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8.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7.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2.xml" ContentType="application/vnd.openxmlformats-officedocument.drawingml.chart+xml"/>
  <Override PartName="/word/charts/chart1.xml" ContentType="application/vnd.openxmlformats-officedocument.drawingml.chart+xml"/>
  <Override PartName="/word/charts/chart3.xml" ContentType="application/vnd.openxmlformats-officedocument.drawingml.chart+xml"/>
  <Override PartName="/word/theme/theme1.xml" ContentType="application/vnd.openxmlformats-officedocument.theme+xml"/>
  <Override PartName="/word/charts/chart4.xml" ContentType="application/vnd.openxmlformats-officedocument.drawingml.chart+xml"/>
  <Override PartName="/word/charts/chart6.xml" ContentType="application/vnd.openxmlformats-officedocument.drawingml.chart+xml"/>
  <Override PartName="/word/charts/chart5.xml" ContentType="application/vnd.openxmlformats-officedocument.drawingml.chart+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numbering.xml" ContentType="application/vnd.openxmlformats-officedocument.wordprocessingml.numbering+xml"/>
  <Override PartName="/customXml/itemProps8.xml" ContentType="application/vnd.openxmlformats-officedocument.customXmlProperties+xml"/>
  <Override PartName="/word/styles.xml" ContentType="application/vnd.openxmlformats-officedocument.wordprocessingml.styl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10.xml" ContentType="application/vnd.openxmlformats-officedocument.customXmlProperties+xml"/>
  <Override PartName="/customXml/itemProps9.xml" ContentType="application/vnd.openxmlformats-officedocument.customXmlProperties+xml"/>
  <Override PartName="/customXml/itemProps1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08E2C" w14:textId="538927BA" w:rsidR="00271794" w:rsidRPr="009F7D61" w:rsidRDefault="00271794" w:rsidP="00DF65F9">
      <w:pPr>
        <w:pStyle w:val="Title"/>
        <w:spacing w:after="2000"/>
        <w:ind w:left="2693" w:right="-624"/>
        <w:rPr>
          <w:rFonts w:eastAsia="Times New Roman" w:cs="Times New Roman"/>
        </w:rPr>
      </w:pPr>
      <w:bookmarkStart w:id="0" w:name="_GoBack"/>
      <w:bookmarkEnd w:id="0"/>
      <w:r w:rsidRPr="009F7D61">
        <w:rPr>
          <w:rFonts w:eastAsia="Times New Roman" w:cs="Times New Roman"/>
          <w:lang w:val="en-AU" w:eastAsia="en-AU"/>
        </w:rPr>
        <w:drawing>
          <wp:anchor distT="0" distB="0" distL="114300" distR="114300" simplePos="0" relativeHeight="251660288" behindDoc="1" locked="0" layoutInCell="1" allowOverlap="1" wp14:anchorId="34E02390" wp14:editId="15C12681">
            <wp:simplePos x="0" y="0"/>
            <wp:positionH relativeFrom="column">
              <wp:posOffset>-2806065</wp:posOffset>
            </wp:positionH>
            <wp:positionV relativeFrom="paragraph">
              <wp:posOffset>-967105</wp:posOffset>
            </wp:positionV>
            <wp:extent cx="18392604" cy="1080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ODE-Headers-02-(25Feb2014)-ReportFront.wmf"/>
                    <pic:cNvPicPr/>
                  </pic:nvPicPr>
                  <pic:blipFill>
                    <a:blip r:embed="rId16">
                      <a:extLst>
                        <a:ext uri="{28A0092B-C50C-407E-A947-70E740481C1C}">
                          <a14:useLocalDpi xmlns:a14="http://schemas.microsoft.com/office/drawing/2010/main" val="0"/>
                        </a:ext>
                      </a:extLst>
                    </a:blip>
                    <a:stretch>
                      <a:fillRect/>
                    </a:stretch>
                  </pic:blipFill>
                  <pic:spPr>
                    <a:xfrm>
                      <a:off x="0" y="0"/>
                      <a:ext cx="18392604" cy="10800000"/>
                    </a:xfrm>
                    <a:prstGeom prst="rect">
                      <a:avLst/>
                    </a:prstGeom>
                  </pic:spPr>
                </pic:pic>
              </a:graphicData>
            </a:graphic>
            <wp14:sizeRelH relativeFrom="page">
              <wp14:pctWidth>0</wp14:pctWidth>
            </wp14:sizeRelH>
            <wp14:sizeRelV relativeFrom="page">
              <wp14:pctHeight>0</wp14:pctHeight>
            </wp14:sizeRelV>
          </wp:anchor>
        </w:drawing>
      </w:r>
      <w:r w:rsidRPr="009F7D61">
        <w:rPr>
          <w:rFonts w:eastAsia="Times New Roman" w:cs="Times New Roman"/>
        </w:rPr>
        <w:t>Quality of Australian aid operational evaluations</w:t>
      </w:r>
    </w:p>
    <w:p w14:paraId="19B26535" w14:textId="77777777" w:rsidR="00271794" w:rsidRDefault="00271794">
      <w:pPr>
        <w:pStyle w:val="Subtitle"/>
        <w:ind w:left="2694" w:right="-624"/>
        <w:rPr>
          <w:rFonts w:eastAsia="Times New Roman" w:cs="Times New Roman"/>
          <w:b/>
          <w:iCs/>
          <w:caps/>
        </w:rPr>
      </w:pPr>
    </w:p>
    <w:p w14:paraId="348B1217" w14:textId="77777777" w:rsidR="00271794" w:rsidRPr="009F7D61" w:rsidRDefault="00271794">
      <w:pPr>
        <w:pStyle w:val="Subtitle"/>
        <w:ind w:left="2694" w:right="-624"/>
        <w:rPr>
          <w:rFonts w:eastAsia="Times New Roman" w:cs="Times New Roman"/>
        </w:rPr>
      </w:pPr>
      <w:r w:rsidRPr="009F7D61">
        <w:rPr>
          <w:rFonts w:eastAsia="Times New Roman" w:cs="Times New Roman"/>
        </w:rPr>
        <w:t>Office of Development Effectiveness</w:t>
      </w:r>
    </w:p>
    <w:p w14:paraId="5641C99B" w14:textId="17811E5A" w:rsidR="0037634F" w:rsidRPr="0037634F" w:rsidRDefault="00006CDF" w:rsidP="0037634F">
      <w:pPr>
        <w:pStyle w:val="Date"/>
        <w:spacing w:before="200" w:line="380" w:lineRule="atLeast"/>
        <w:ind w:left="2694" w:right="-624"/>
        <w:rPr>
          <w:i/>
        </w:rPr>
        <w:sectPr w:rsidR="0037634F" w:rsidRPr="0037634F" w:rsidSect="00B768CA">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576" w:footer="576" w:gutter="0"/>
          <w:pgNumType w:fmt="lowerRoman"/>
          <w:cols w:space="720"/>
          <w:titlePg/>
        </w:sectPr>
      </w:pPr>
      <w:r>
        <w:rPr>
          <w:rFonts w:ascii="Helvetica" w:hAnsi="Helvetica"/>
          <w:i/>
          <w:caps w:val="0"/>
          <w:noProof/>
          <w:color w:val="FFFFFF"/>
          <w:sz w:val="32"/>
          <w:szCs w:val="32"/>
          <w:lang w:val="en-US" w:eastAsia="en-US"/>
        </w:rPr>
        <w:t>June</w:t>
      </w:r>
      <w:r w:rsidR="0037634F">
        <w:rPr>
          <w:rFonts w:ascii="Helvetica" w:hAnsi="Helvetica"/>
          <w:i/>
          <w:caps w:val="0"/>
          <w:noProof/>
          <w:color w:val="FFFFFF"/>
          <w:sz w:val="32"/>
          <w:szCs w:val="32"/>
          <w:lang w:val="en-US" w:eastAsia="en-US"/>
        </w:rPr>
        <w:t xml:space="preserve"> </w:t>
      </w:r>
      <w:r w:rsidR="00271794" w:rsidRPr="0037634F">
        <w:rPr>
          <w:rFonts w:ascii="Helvetica" w:hAnsi="Helvetica"/>
          <w:i/>
          <w:caps w:val="0"/>
          <w:noProof/>
          <w:color w:val="FFFFFF"/>
          <w:sz w:val="32"/>
          <w:szCs w:val="32"/>
          <w:lang w:val="en-US" w:eastAsia="en-US"/>
        </w:rPr>
        <w:t>2014</w:t>
      </w:r>
    </w:p>
    <w:p w14:paraId="53D32E72" w14:textId="77777777" w:rsidR="001015A2" w:rsidRPr="005C15DE" w:rsidRDefault="001015A2" w:rsidP="001015A2">
      <w:pPr>
        <w:pStyle w:val="ImprintText"/>
      </w:pPr>
      <w:r w:rsidRPr="002D0691">
        <w:lastRenderedPageBreak/>
        <w:t xml:space="preserve">© Commonwealth of </w:t>
      </w:r>
      <w:r w:rsidRPr="005C15DE">
        <w:t>Australia 2014</w:t>
      </w:r>
    </w:p>
    <w:p w14:paraId="67A9B510" w14:textId="61E86F0E" w:rsidR="001015A2" w:rsidRDefault="001015A2" w:rsidP="001015A2">
      <w:pPr>
        <w:pStyle w:val="ImprintText"/>
        <w:rPr>
          <w:noProof/>
        </w:rPr>
      </w:pPr>
      <w:r w:rsidRPr="006D46DB">
        <w:rPr>
          <w:rStyle w:val="Strong"/>
        </w:rPr>
        <w:t>ISBN</w:t>
      </w:r>
      <w:r w:rsidRPr="00D0393C">
        <w:rPr>
          <w:noProof/>
        </w:rPr>
        <w:t xml:space="preserve"> </w:t>
      </w:r>
      <w:r w:rsidR="0037634F" w:rsidRPr="0037634F">
        <w:rPr>
          <w:noProof/>
        </w:rPr>
        <w:t>978-0-9874848-2-6</w:t>
      </w:r>
    </w:p>
    <w:p w14:paraId="749404FF" w14:textId="4C583CC8" w:rsidR="001015A2" w:rsidRDefault="001015A2" w:rsidP="001015A2">
      <w:pPr>
        <w:pStyle w:val="ImprintText"/>
        <w:rPr>
          <w:noProof/>
        </w:rPr>
      </w:pPr>
      <w:r w:rsidRPr="0035342F">
        <w:rPr>
          <w:noProof/>
        </w:rPr>
        <w:t>With the exception of the Commonwealth Coat of Arms and where otherwise noted all material presented in this document is provided under a Creative Commons Attribution 3.0 Australia (</w:t>
      </w:r>
      <w:hyperlink r:id="rId23" w:history="1">
        <w:r w:rsidRPr="00F3023B">
          <w:rPr>
            <w:rStyle w:val="Hyperlink"/>
            <w:noProof/>
          </w:rPr>
          <w:t>http://creativecommons.org/licenses/by/3.0/au/</w:t>
        </w:r>
      </w:hyperlink>
      <w:r w:rsidRPr="0035342F">
        <w:rPr>
          <w:noProof/>
        </w:rPr>
        <w:t>) licence. The details of the relevant licence conditions are available on the Creative Commons website (accessible using the links provided) as is the full legal code for the CC BY 3.0 AU licence (</w:t>
      </w:r>
      <w:hyperlink r:id="rId24" w:history="1">
        <w:r w:rsidRPr="00F3023B">
          <w:rPr>
            <w:rStyle w:val="Hyperlink"/>
            <w:noProof/>
          </w:rPr>
          <w:t>http://creativecommons.org/licenses/by/3.0/au/legalcode</w:t>
        </w:r>
      </w:hyperlink>
      <w:r w:rsidRPr="0035342F">
        <w:rPr>
          <w:noProof/>
        </w:rPr>
        <w:t>). The</w:t>
      </w:r>
      <w:r>
        <w:rPr>
          <w:noProof/>
        </w:rPr>
        <w:t xml:space="preserve"> document must be attributed as </w:t>
      </w:r>
      <w:r>
        <w:rPr>
          <w:i/>
          <w:noProof/>
        </w:rPr>
        <w:t xml:space="preserve">Quality of Australian </w:t>
      </w:r>
      <w:r w:rsidR="00937BE8">
        <w:rPr>
          <w:i/>
          <w:noProof/>
        </w:rPr>
        <w:t xml:space="preserve">aid </w:t>
      </w:r>
      <w:r>
        <w:rPr>
          <w:i/>
          <w:noProof/>
        </w:rPr>
        <w:t>operational evaluations</w:t>
      </w:r>
      <w:r w:rsidRPr="0035342F">
        <w:rPr>
          <w:noProof/>
        </w:rPr>
        <w:t>.</w:t>
      </w:r>
    </w:p>
    <w:p w14:paraId="6D9090D6" w14:textId="77777777" w:rsidR="001015A2" w:rsidRPr="005C15DE" w:rsidRDefault="001015A2" w:rsidP="001015A2">
      <w:pPr>
        <w:pStyle w:val="ImprintText"/>
      </w:pPr>
      <w:r>
        <w:t>Published by the Department of Foreign Affairs and Trade, Canberra</w:t>
      </w:r>
      <w:r w:rsidRPr="005C15DE">
        <w:t>, 2014.</w:t>
      </w:r>
    </w:p>
    <w:p w14:paraId="5E1158A7" w14:textId="77777777" w:rsidR="001015A2" w:rsidRDefault="001015A2" w:rsidP="001015A2">
      <w:pPr>
        <w:pStyle w:val="ImprintText"/>
      </w:pPr>
      <w:r>
        <w:t xml:space="preserve">This document is online at </w:t>
      </w:r>
      <w:hyperlink r:id="rId25" w:history="1">
        <w:r w:rsidRPr="00525F64">
          <w:rPr>
            <w:rStyle w:val="Hyperlink"/>
          </w:rPr>
          <w:t>www.ode.dfat.gov.au</w:t>
        </w:r>
      </w:hyperlink>
    </w:p>
    <w:p w14:paraId="5A82E2B2" w14:textId="77777777" w:rsidR="001015A2" w:rsidRPr="000E6E21" w:rsidRDefault="001015A2" w:rsidP="001015A2">
      <w:pPr>
        <w:pStyle w:val="ImprintText"/>
      </w:pPr>
      <w:r w:rsidRPr="004E78D0">
        <w:rPr>
          <w:rStyle w:val="Strong"/>
        </w:rPr>
        <w:t>Disclaimer</w:t>
      </w:r>
      <w:r w:rsidRPr="000E6E21">
        <w:t xml:space="preserve">: The views contained in this report do not necessarily represent those of the Australian Government. </w:t>
      </w:r>
    </w:p>
    <w:p w14:paraId="6A3FB34F" w14:textId="77777777" w:rsidR="001015A2" w:rsidRDefault="001015A2" w:rsidP="001015A2">
      <w:pPr>
        <w:pStyle w:val="ImprintText"/>
      </w:pPr>
      <w:r>
        <w:t>For further information, contact:</w:t>
      </w:r>
    </w:p>
    <w:p w14:paraId="28CEC613" w14:textId="77777777" w:rsidR="001015A2" w:rsidRPr="002D0691" w:rsidRDefault="001015A2" w:rsidP="001015A2">
      <w:pPr>
        <w:pStyle w:val="ImprintText"/>
      </w:pPr>
      <w:r>
        <w:t>Office of Development Effectiveness</w:t>
      </w:r>
      <w:r>
        <w:br/>
        <w:t xml:space="preserve">Department of Foreign Affairs and Trade </w:t>
      </w:r>
      <w:r>
        <w:br/>
        <w:t>GPO Box 887</w:t>
      </w:r>
      <w:r>
        <w:br/>
        <w:t>Canberra ACT 2601</w:t>
      </w:r>
      <w:r>
        <w:br/>
        <w:t>Phone</w:t>
      </w:r>
      <w:r>
        <w:tab/>
      </w:r>
      <w:r>
        <w:tab/>
        <w:t>(02) 6178 4000</w:t>
      </w:r>
      <w:r>
        <w:br/>
        <w:t>Facsimile</w:t>
      </w:r>
      <w:r>
        <w:tab/>
        <w:t>(02) 6178 6076</w:t>
      </w:r>
      <w:r>
        <w:br/>
        <w:t>Internet</w:t>
      </w:r>
      <w:r>
        <w:tab/>
      </w:r>
      <w:r>
        <w:tab/>
      </w:r>
      <w:hyperlink r:id="rId26" w:history="1">
        <w:r w:rsidRPr="00F3023B">
          <w:rPr>
            <w:rStyle w:val="Hyperlink"/>
          </w:rPr>
          <w:t>www.ode.dfat.gov.au</w:t>
        </w:r>
      </w:hyperlink>
    </w:p>
    <w:p w14:paraId="1F91A1B8" w14:textId="77777777" w:rsidR="001015A2" w:rsidRDefault="001015A2" w:rsidP="001015A2">
      <w:pPr>
        <w:pStyle w:val="ImprintText"/>
      </w:pPr>
    </w:p>
    <w:p w14:paraId="30F5C904" w14:textId="77777777" w:rsidR="001015A2" w:rsidRDefault="001015A2" w:rsidP="001015A2">
      <w:pPr>
        <w:pStyle w:val="ImprintText"/>
      </w:pPr>
    </w:p>
    <w:p w14:paraId="602D68A1" w14:textId="77777777" w:rsidR="001015A2" w:rsidRDefault="001015A2" w:rsidP="001015A2">
      <w:pPr>
        <w:pStyle w:val="ImprintText"/>
      </w:pPr>
    </w:p>
    <w:p w14:paraId="4913E1F2" w14:textId="77777777" w:rsidR="001015A2" w:rsidRDefault="001015A2" w:rsidP="001015A2">
      <w:pPr>
        <w:pStyle w:val="ImprintText"/>
      </w:pPr>
    </w:p>
    <w:p w14:paraId="1ACFEB9D" w14:textId="77777777" w:rsidR="001015A2" w:rsidRDefault="001015A2" w:rsidP="001015A2">
      <w:pPr>
        <w:pStyle w:val="ImprintText"/>
      </w:pPr>
    </w:p>
    <w:p w14:paraId="358EB2B0" w14:textId="77777777" w:rsidR="001015A2" w:rsidRDefault="001015A2" w:rsidP="001015A2">
      <w:pPr>
        <w:pStyle w:val="ImprintText"/>
      </w:pPr>
    </w:p>
    <w:p w14:paraId="3E69DCCF" w14:textId="77777777" w:rsidR="001015A2" w:rsidRDefault="001015A2" w:rsidP="001015A2">
      <w:pPr>
        <w:pStyle w:val="ImprintText"/>
      </w:pPr>
    </w:p>
    <w:p w14:paraId="7E48C6FD" w14:textId="77777777" w:rsidR="001015A2" w:rsidRDefault="001015A2" w:rsidP="001015A2">
      <w:pPr>
        <w:pStyle w:val="ImprintText"/>
      </w:pPr>
    </w:p>
    <w:p w14:paraId="4906D74A" w14:textId="77777777" w:rsidR="001015A2" w:rsidRDefault="001015A2" w:rsidP="001015A2">
      <w:pPr>
        <w:pStyle w:val="ImprintText"/>
      </w:pPr>
    </w:p>
    <w:p w14:paraId="267E03A2" w14:textId="77777777" w:rsidR="001015A2" w:rsidRPr="00BE3345" w:rsidRDefault="001015A2" w:rsidP="001015A2">
      <w:pPr>
        <w:pStyle w:val="BoxHeading"/>
      </w:pPr>
      <w:r w:rsidRPr="00BE3345">
        <w:t>Office of Development Effectiveness</w:t>
      </w:r>
    </w:p>
    <w:p w14:paraId="4B5E17D8" w14:textId="77777777" w:rsidR="001015A2" w:rsidRPr="00BE3345" w:rsidRDefault="001015A2" w:rsidP="001015A2">
      <w:pPr>
        <w:pStyle w:val="BoxText"/>
      </w:pPr>
      <w:r w:rsidRPr="00BE3345">
        <w:t xml:space="preserve">The Office of Development Effectiveness (ODE) at the Department of Foreign Affairs and Trade builds stronger evidence for more effective aid. ODE monitors the performance of the Australian aid program, evaluates its impact and contributes to international evidence and debate about aid and development effectiveness. </w:t>
      </w:r>
    </w:p>
    <w:p w14:paraId="73C5A9EF" w14:textId="77777777" w:rsidR="001015A2" w:rsidRPr="00BE3345" w:rsidRDefault="001015A2" w:rsidP="001015A2">
      <w:pPr>
        <w:pStyle w:val="BoxText"/>
      </w:pPr>
      <w:r w:rsidRPr="00BE3345">
        <w:t xml:space="preserve">Visit ODE at </w:t>
      </w:r>
      <w:hyperlink r:id="rId27" w:history="1">
        <w:r w:rsidRPr="00BE3345">
          <w:rPr>
            <w:rStyle w:val="Hyperlink"/>
          </w:rPr>
          <w:t>www.ode.dfat.gov.au</w:t>
        </w:r>
      </w:hyperlink>
    </w:p>
    <w:p w14:paraId="01152852" w14:textId="77777777" w:rsidR="001015A2" w:rsidRPr="00BE3345" w:rsidRDefault="001015A2" w:rsidP="001015A2">
      <w:pPr>
        <w:pStyle w:val="BoxHeading"/>
      </w:pPr>
      <w:r w:rsidRPr="00BE3345">
        <w:t>Independent Evaluation Committee</w:t>
      </w:r>
    </w:p>
    <w:p w14:paraId="23B873E2" w14:textId="77777777" w:rsidR="001015A2" w:rsidRPr="00BE3345" w:rsidRDefault="001015A2" w:rsidP="001015A2">
      <w:pPr>
        <w:pStyle w:val="BoxText"/>
      </w:pPr>
      <w:r w:rsidRPr="00BE3345">
        <w:t xml:space="preserve">The Independent Evaluation Committee (IEC) was established in mid-2012 to strengthen the independence and credibility of the work of the </w:t>
      </w:r>
      <w:r>
        <w:t>ODE. It provides independent expert evaluation advice to improve ODE’s work in planning, commissioning, managing and delivering a high-quality evaluation program.</w:t>
      </w:r>
    </w:p>
    <w:p w14:paraId="77605F18" w14:textId="62616665" w:rsidR="00453CAC" w:rsidRDefault="00453CAC">
      <w:pPr>
        <w:spacing w:before="0" w:after="0" w:line="240" w:lineRule="auto"/>
        <w:rPr>
          <w:sz w:val="20"/>
        </w:rPr>
      </w:pPr>
    </w:p>
    <w:p w14:paraId="1F6ED2AB" w14:textId="576D2BAC" w:rsidR="00453CAC" w:rsidRPr="0037634F" w:rsidRDefault="00453CAC" w:rsidP="0037634F">
      <w:pPr>
        <w:pStyle w:val="SectionTitle"/>
        <w:pageBreakBefore/>
        <w:rPr>
          <w:color w:val="124486"/>
          <w:sz w:val="50"/>
        </w:rPr>
      </w:pPr>
      <w:bookmarkStart w:id="1" w:name="_Toc370827871"/>
      <w:bookmarkStart w:id="2" w:name="_Toc370827921"/>
      <w:bookmarkStart w:id="3" w:name="_Toc372723817"/>
      <w:bookmarkStart w:id="4" w:name="_Toc373304192"/>
      <w:bookmarkStart w:id="5" w:name="_Toc378059966"/>
      <w:bookmarkStart w:id="6" w:name="_Toc387675091"/>
      <w:r w:rsidRPr="0037634F">
        <w:rPr>
          <w:rFonts w:ascii="Arial" w:hAnsi="Arial"/>
          <w:color w:val="124486"/>
          <w:sz w:val="50"/>
        </w:rPr>
        <w:lastRenderedPageBreak/>
        <w:t>Foreword</w:t>
      </w:r>
      <w:bookmarkEnd w:id="1"/>
      <w:bookmarkEnd w:id="2"/>
      <w:bookmarkEnd w:id="3"/>
      <w:bookmarkEnd w:id="4"/>
      <w:bookmarkEnd w:id="5"/>
      <w:bookmarkEnd w:id="6"/>
    </w:p>
    <w:p w14:paraId="56859BB5" w14:textId="33359537" w:rsidR="00CF1D97" w:rsidRDefault="00FC0731">
      <w:r>
        <w:t xml:space="preserve">Independent </w:t>
      </w:r>
      <w:r w:rsidR="00744801">
        <w:t>‘</w:t>
      </w:r>
      <w:r>
        <w:t>operational</w:t>
      </w:r>
      <w:r w:rsidR="00744801">
        <w:t>’</w:t>
      </w:r>
      <w:r>
        <w:t xml:space="preserve"> evaluations are an essential </w:t>
      </w:r>
      <w:r w:rsidR="00B25515">
        <w:t xml:space="preserve">part </w:t>
      </w:r>
      <w:r>
        <w:t xml:space="preserve">of the Australian aid performance </w:t>
      </w:r>
      <w:r w:rsidR="005F058A">
        <w:t xml:space="preserve">management and </w:t>
      </w:r>
      <w:r>
        <w:t>reporting system.</w:t>
      </w:r>
      <w:r w:rsidR="00A74814">
        <w:t xml:space="preserve"> </w:t>
      </w:r>
      <w:r>
        <w:t>Good evaluations can inform the direction, design and management of the aid program.</w:t>
      </w:r>
      <w:r w:rsidR="00A74814">
        <w:t xml:space="preserve"> </w:t>
      </w:r>
      <w:r>
        <w:t>They also play an important accountability role, providing an independent perspective on the quality and results achieved through the Australian aid program.</w:t>
      </w:r>
      <w:r w:rsidR="00A74814">
        <w:t xml:space="preserve"> </w:t>
      </w:r>
      <w:r w:rsidR="004F5362">
        <w:t>It is therefore important to periodically take stock of the quality</w:t>
      </w:r>
      <w:r w:rsidR="00CF1D97">
        <w:t>,</w:t>
      </w:r>
      <w:r w:rsidR="004F5362">
        <w:t xml:space="preserve"> credibility </w:t>
      </w:r>
      <w:r w:rsidR="00CF1D97">
        <w:t xml:space="preserve">and utility </w:t>
      </w:r>
      <w:r w:rsidR="004F5362">
        <w:t xml:space="preserve">of these operational evaluations </w:t>
      </w:r>
      <w:r w:rsidR="000F4BEA">
        <w:t xml:space="preserve">to make sure the </w:t>
      </w:r>
      <w:r w:rsidR="0037634F">
        <w:t>Australian Government</w:t>
      </w:r>
      <w:r w:rsidR="000F4BEA">
        <w:t xml:space="preserve"> is getting it right</w:t>
      </w:r>
      <w:r w:rsidR="004F5362">
        <w:t>.</w:t>
      </w:r>
      <w:r w:rsidR="00A74814">
        <w:t xml:space="preserve"> </w:t>
      </w:r>
    </w:p>
    <w:p w14:paraId="5EB35E78" w14:textId="7DA738C3" w:rsidR="00CF1D97" w:rsidRDefault="005F058A">
      <w:r>
        <w:t>The Office of Development Effectiveness (ODE)</w:t>
      </w:r>
      <w:r w:rsidR="00CF1D97">
        <w:t xml:space="preserve"> at </w:t>
      </w:r>
      <w:r w:rsidR="00CB18F8">
        <w:t xml:space="preserve">the Department of Foreign Affairs and Trade </w:t>
      </w:r>
      <w:r>
        <w:t xml:space="preserve">is </w:t>
      </w:r>
      <w:r w:rsidR="0073543C">
        <w:t>uniquely</w:t>
      </w:r>
      <w:r w:rsidR="004F5362">
        <w:t xml:space="preserve"> placed for such an undertaking.</w:t>
      </w:r>
      <w:r w:rsidR="00A74814">
        <w:t xml:space="preserve"> </w:t>
      </w:r>
      <w:r w:rsidR="00CF1D97">
        <w:t>ODE</w:t>
      </w:r>
      <w:r w:rsidR="00744801">
        <w:t>’</w:t>
      </w:r>
      <w:r w:rsidR="00CF1D97">
        <w:t>s remit is to build stronger evidence for more effective aid</w:t>
      </w:r>
      <w:r w:rsidR="00EC74AC">
        <w:t xml:space="preserve"> in order</w:t>
      </w:r>
      <w:r w:rsidR="00CF1D97">
        <w:t xml:space="preserve"> to assist the continuous improvement of </w:t>
      </w:r>
      <w:r w:rsidR="00CF1D97" w:rsidRPr="002B0FCF">
        <w:t>the Australian aid program</w:t>
      </w:r>
      <w:r w:rsidR="00CF1D97">
        <w:t>.</w:t>
      </w:r>
      <w:r w:rsidR="00A74814">
        <w:t xml:space="preserve"> </w:t>
      </w:r>
      <w:r w:rsidR="00CF1D97">
        <w:t>ODE draws its evidence</w:t>
      </w:r>
      <w:r w:rsidR="00EC74AC">
        <w:t xml:space="preserve"> mainly</w:t>
      </w:r>
      <w:r w:rsidR="00CF1D97">
        <w:t xml:space="preserve"> from </w:t>
      </w:r>
      <w:r w:rsidR="00EC74AC">
        <w:t xml:space="preserve">its own </w:t>
      </w:r>
      <w:r w:rsidR="00CF1D97">
        <w:t xml:space="preserve">evaluations of Australian aid and </w:t>
      </w:r>
      <w:r w:rsidR="00EC74AC">
        <w:t xml:space="preserve">its </w:t>
      </w:r>
      <w:r w:rsidR="00CF1D97">
        <w:t xml:space="preserve">analysis of aid performance systems. </w:t>
      </w:r>
    </w:p>
    <w:p w14:paraId="223C1B21" w14:textId="29AA1B86" w:rsidR="0073543C" w:rsidRDefault="0073543C">
      <w:r>
        <w:t xml:space="preserve">This </w:t>
      </w:r>
      <w:r w:rsidR="00E1414E" w:rsidRPr="00E1414E">
        <w:rPr>
          <w:i/>
        </w:rPr>
        <w:t xml:space="preserve">Quality of Australian </w:t>
      </w:r>
      <w:r w:rsidR="00CB18F8">
        <w:rPr>
          <w:i/>
        </w:rPr>
        <w:t>a</w:t>
      </w:r>
      <w:r w:rsidR="00E1414E" w:rsidRPr="00E1414E">
        <w:rPr>
          <w:i/>
        </w:rPr>
        <w:t xml:space="preserve">id </w:t>
      </w:r>
      <w:r w:rsidR="00CB18F8">
        <w:rPr>
          <w:i/>
        </w:rPr>
        <w:t>o</w:t>
      </w:r>
      <w:r w:rsidR="00E1414E" w:rsidRPr="00E1414E">
        <w:rPr>
          <w:i/>
        </w:rPr>
        <w:t xml:space="preserve">perational </w:t>
      </w:r>
      <w:r w:rsidR="00CB18F8">
        <w:rPr>
          <w:i/>
        </w:rPr>
        <w:t>e</w:t>
      </w:r>
      <w:r w:rsidR="00E1414E" w:rsidRPr="00E1414E">
        <w:rPr>
          <w:i/>
        </w:rPr>
        <w:t>valuations</w:t>
      </w:r>
      <w:r w:rsidR="00E1414E">
        <w:t xml:space="preserve"> </w:t>
      </w:r>
      <w:r>
        <w:t>review is an important piece of work.</w:t>
      </w:r>
      <w:r w:rsidR="00A74814">
        <w:t xml:space="preserve"> </w:t>
      </w:r>
      <w:r w:rsidR="00EC74AC">
        <w:t>It casts a broader net to examine the bulk of the aid program</w:t>
      </w:r>
      <w:r w:rsidR="00744801">
        <w:t>’</w:t>
      </w:r>
      <w:r w:rsidR="00EC74AC">
        <w:t>s independent evaluations</w:t>
      </w:r>
      <w:r w:rsidR="0097725B">
        <w:rPr>
          <w:rFonts w:ascii="Arial" w:hAnsi="Arial"/>
        </w:rPr>
        <w:t>—</w:t>
      </w:r>
      <w:r w:rsidR="00764328">
        <w:t>i.e.</w:t>
      </w:r>
      <w:r w:rsidR="00EC74AC">
        <w:t xml:space="preserve"> those commissioned directly by aid </w:t>
      </w:r>
      <w:r w:rsidR="0037634F">
        <w:t xml:space="preserve">initiative </w:t>
      </w:r>
      <w:r w:rsidR="00EC74AC">
        <w:t>managers.</w:t>
      </w:r>
      <w:r w:rsidR="00A74814">
        <w:t xml:space="preserve"> </w:t>
      </w:r>
      <w:r>
        <w:t>It confirms that the majority of operational evaluations are credible.</w:t>
      </w:r>
      <w:r w:rsidR="00A74814">
        <w:t xml:space="preserve"> </w:t>
      </w:r>
      <w:r>
        <w:t>While further improvements in the quality of operational evaluations are possible, they do provide robust evidence for the performance of the Australian aid program.</w:t>
      </w:r>
    </w:p>
    <w:p w14:paraId="76E98C4A" w14:textId="77777777" w:rsidR="0073543C" w:rsidRDefault="0073543C">
      <w:r>
        <w:t>This is the first quality review of operational evaluations overseen by the Independent Evaluation Committee.</w:t>
      </w:r>
      <w:r w:rsidR="00A74814">
        <w:t xml:space="preserve"> </w:t>
      </w:r>
      <w:r>
        <w:t>I hope such reviews will be undertaken on a regular basis.</w:t>
      </w:r>
    </w:p>
    <w:p w14:paraId="78B7E1C6" w14:textId="77777777" w:rsidR="00FC0731" w:rsidRDefault="00FC0731">
      <w:r>
        <w:t>I commend the report to you.</w:t>
      </w:r>
    </w:p>
    <w:p w14:paraId="41DD8CAB" w14:textId="77777777" w:rsidR="0037634F" w:rsidRDefault="0037634F"/>
    <w:p w14:paraId="415D628A" w14:textId="38E9E855" w:rsidR="005F058A" w:rsidRDefault="0037634F">
      <w:r>
        <w:rPr>
          <w:noProof/>
        </w:rPr>
        <w:drawing>
          <wp:inline distT="0" distB="0" distL="0" distR="0" wp14:anchorId="0082D9B4" wp14:editId="65EC0787">
            <wp:extent cx="1309929" cy="612244"/>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10111" cy="612329"/>
                    </a:xfrm>
                    <a:prstGeom prst="rect">
                      <a:avLst/>
                    </a:prstGeom>
                    <a:noFill/>
                    <a:ln>
                      <a:noFill/>
                    </a:ln>
                  </pic:spPr>
                </pic:pic>
              </a:graphicData>
            </a:graphic>
          </wp:inline>
        </w:drawing>
      </w:r>
    </w:p>
    <w:p w14:paraId="50F6AC10" w14:textId="77777777" w:rsidR="00FC0731" w:rsidRDefault="00FC0731">
      <w:r>
        <w:t>Jim Adams</w:t>
      </w:r>
    </w:p>
    <w:p w14:paraId="2233B150" w14:textId="77777777" w:rsidR="00FC0731" w:rsidRDefault="00FC0731">
      <w:r>
        <w:t>Chair, Independent Evaluation Committee</w:t>
      </w:r>
    </w:p>
    <w:p w14:paraId="34261930" w14:textId="77777777" w:rsidR="00FC0731" w:rsidRDefault="00FC0731"/>
    <w:p w14:paraId="34A11916" w14:textId="77777777" w:rsidR="00453CAC" w:rsidRPr="00D354B2" w:rsidRDefault="00453CAC" w:rsidP="00453CAC"/>
    <w:p w14:paraId="234C21E2" w14:textId="77777777" w:rsidR="00453CAC" w:rsidRPr="0037634F" w:rsidRDefault="00453CAC" w:rsidP="0037634F">
      <w:pPr>
        <w:pStyle w:val="SectionTitle"/>
        <w:pageBreakBefore/>
        <w:rPr>
          <w:color w:val="124486"/>
          <w:sz w:val="50"/>
        </w:rPr>
      </w:pPr>
      <w:bookmarkStart w:id="7" w:name="_Toc370827872"/>
      <w:bookmarkStart w:id="8" w:name="_Toc370827922"/>
      <w:bookmarkStart w:id="9" w:name="_Toc372723818"/>
      <w:bookmarkStart w:id="10" w:name="_Toc373304193"/>
      <w:bookmarkStart w:id="11" w:name="_Toc378059967"/>
      <w:bookmarkStart w:id="12" w:name="_Toc387675092"/>
      <w:r w:rsidRPr="0037634F">
        <w:rPr>
          <w:rFonts w:ascii="Arial" w:hAnsi="Arial"/>
          <w:color w:val="124486"/>
          <w:sz w:val="50"/>
        </w:rPr>
        <w:lastRenderedPageBreak/>
        <w:t>Abbreviations</w:t>
      </w:r>
      <w:bookmarkEnd w:id="7"/>
      <w:bookmarkEnd w:id="8"/>
      <w:bookmarkEnd w:id="9"/>
      <w:bookmarkEnd w:id="10"/>
      <w:bookmarkEnd w:id="11"/>
      <w:bookmarkEnd w:id="12"/>
    </w:p>
    <w:p w14:paraId="3ABC9A1E" w14:textId="574D20D6" w:rsidR="001B62FE" w:rsidRDefault="001B62FE" w:rsidP="0037634F">
      <w:pPr>
        <w:ind w:left="1440" w:hanging="1440"/>
      </w:pPr>
      <w:r>
        <w:t>ACD</w:t>
      </w:r>
      <w:r>
        <w:tab/>
        <w:t xml:space="preserve">Contracting and Aid Management Division </w:t>
      </w:r>
      <w:r w:rsidR="00CB18F8">
        <w:t xml:space="preserve">of </w:t>
      </w:r>
      <w:r w:rsidR="0037634F">
        <w:t xml:space="preserve">the </w:t>
      </w:r>
      <w:r w:rsidR="00CB18F8">
        <w:t>Department of Foreign Affairs and Trade</w:t>
      </w:r>
    </w:p>
    <w:p w14:paraId="70714185" w14:textId="77777777" w:rsidR="00453CAC" w:rsidRPr="00DA623A" w:rsidRDefault="00453CAC" w:rsidP="00453CAC">
      <w:r w:rsidRPr="00DA623A">
        <w:t>AusAID</w:t>
      </w:r>
      <w:r w:rsidRPr="00DA623A">
        <w:tab/>
      </w:r>
      <w:r w:rsidRPr="00DA623A">
        <w:tab/>
      </w:r>
      <w:r w:rsidR="001B62FE">
        <w:t xml:space="preserve">the former </w:t>
      </w:r>
      <w:r w:rsidRPr="00DA623A">
        <w:t>Australian Agency for International Development</w:t>
      </w:r>
      <w:r w:rsidRPr="006E5EE4">
        <w:rPr>
          <w:vertAlign w:val="superscript"/>
        </w:rPr>
        <w:footnoteReference w:id="2"/>
      </w:r>
      <w:r w:rsidRPr="00DA623A">
        <w:t xml:space="preserve"> </w:t>
      </w:r>
    </w:p>
    <w:p w14:paraId="4C3F91B7" w14:textId="6E454043" w:rsidR="00A9421C" w:rsidRPr="00DA623A" w:rsidRDefault="00A9421C" w:rsidP="00A9421C">
      <w:r w:rsidRPr="00DA623A">
        <w:t>CSO</w:t>
      </w:r>
      <w:r w:rsidRPr="00DA623A">
        <w:tab/>
      </w:r>
      <w:r w:rsidRPr="00DA623A">
        <w:tab/>
      </w:r>
      <w:r>
        <w:t>c</w:t>
      </w:r>
      <w:r w:rsidRPr="00DA623A">
        <w:t xml:space="preserve">ivil </w:t>
      </w:r>
      <w:r>
        <w:t>s</w:t>
      </w:r>
      <w:r w:rsidRPr="00DA623A">
        <w:t xml:space="preserve">ociety </w:t>
      </w:r>
      <w:r>
        <w:t>organisation</w:t>
      </w:r>
    </w:p>
    <w:p w14:paraId="3B23E3CB" w14:textId="77777777" w:rsidR="00453CAC" w:rsidRPr="00DA623A" w:rsidRDefault="00453CAC" w:rsidP="00453CAC">
      <w:r w:rsidRPr="00DA623A">
        <w:t>DFAT</w:t>
      </w:r>
      <w:r w:rsidRPr="00DA623A">
        <w:tab/>
      </w:r>
      <w:r w:rsidRPr="00DA623A">
        <w:tab/>
        <w:t>Australian Government Department of Foreign Affairs and Trade</w:t>
      </w:r>
    </w:p>
    <w:p w14:paraId="2F034D81" w14:textId="77777777" w:rsidR="00453CAC" w:rsidRPr="00DA623A" w:rsidRDefault="00453CAC" w:rsidP="00453CAC">
      <w:r w:rsidRPr="00DA623A">
        <w:t>IEC</w:t>
      </w:r>
      <w:r w:rsidRPr="00DA623A">
        <w:tab/>
      </w:r>
      <w:r w:rsidRPr="00DA623A">
        <w:tab/>
        <w:t>Independent Evaluation Committee</w:t>
      </w:r>
    </w:p>
    <w:p w14:paraId="077948F3" w14:textId="6DEA5F89" w:rsidR="00453CAC" w:rsidRPr="00DA623A" w:rsidRDefault="00453CAC" w:rsidP="00453CAC">
      <w:r w:rsidRPr="00DA623A">
        <w:t>M&amp;E</w:t>
      </w:r>
      <w:r w:rsidRPr="00DA623A">
        <w:tab/>
      </w:r>
      <w:r w:rsidRPr="00DA623A">
        <w:tab/>
      </w:r>
      <w:r w:rsidR="00CB18F8">
        <w:t>m</w:t>
      </w:r>
      <w:r w:rsidRPr="00DA623A">
        <w:t xml:space="preserve">onitoring and </w:t>
      </w:r>
      <w:r w:rsidR="00CB18F8">
        <w:t>e</w:t>
      </w:r>
      <w:r w:rsidRPr="00DA623A">
        <w:t>valuation</w:t>
      </w:r>
    </w:p>
    <w:p w14:paraId="52F0392A" w14:textId="2316AC4C" w:rsidR="00453CAC" w:rsidRPr="00DA623A" w:rsidRDefault="00453CAC" w:rsidP="00453CAC">
      <w:r w:rsidRPr="00DA623A">
        <w:t>NGO</w:t>
      </w:r>
      <w:r w:rsidRPr="00DA623A">
        <w:tab/>
      </w:r>
      <w:r w:rsidRPr="00DA623A">
        <w:tab/>
      </w:r>
      <w:r w:rsidR="00CB18F8">
        <w:t>n</w:t>
      </w:r>
      <w:r w:rsidRPr="00DA623A">
        <w:t xml:space="preserve">on-government </w:t>
      </w:r>
      <w:r w:rsidR="00CB18F8">
        <w:t>o</w:t>
      </w:r>
      <w:r w:rsidRPr="00DA623A">
        <w:t>rganisation</w:t>
      </w:r>
    </w:p>
    <w:p w14:paraId="64CDE483" w14:textId="064EF6CD" w:rsidR="00453CAC" w:rsidRPr="00DA623A" w:rsidRDefault="00453CAC" w:rsidP="00453CAC">
      <w:r w:rsidRPr="00DA623A">
        <w:t>ODE</w:t>
      </w:r>
      <w:r w:rsidRPr="00DA623A">
        <w:tab/>
      </w:r>
      <w:r w:rsidRPr="00DA623A">
        <w:tab/>
        <w:t>Office of Development Effectiveness</w:t>
      </w:r>
    </w:p>
    <w:p w14:paraId="15CB8A4B" w14:textId="3B2DD2AE" w:rsidR="00A9421C" w:rsidRPr="00DA623A" w:rsidRDefault="00A9421C" w:rsidP="00A9421C">
      <w:pPr>
        <w:ind w:left="1440" w:hanging="1440"/>
      </w:pPr>
      <w:r w:rsidRPr="00DA623A">
        <w:t>OECD</w:t>
      </w:r>
      <w:r w:rsidR="0097725B">
        <w:t>–</w:t>
      </w:r>
      <w:r w:rsidRPr="00DA623A">
        <w:t>DAC</w:t>
      </w:r>
      <w:r w:rsidRPr="00DA623A">
        <w:tab/>
        <w:t>Organisation for Economic Cooperation and Development</w:t>
      </w:r>
      <w:r>
        <w:t>—</w:t>
      </w:r>
      <w:r w:rsidRPr="00DA623A">
        <w:t>Development Assistance Committee</w:t>
      </w:r>
    </w:p>
    <w:p w14:paraId="49C450C7" w14:textId="23204B53" w:rsidR="00453CAC" w:rsidRPr="00DA623A" w:rsidRDefault="00453CAC" w:rsidP="00453CAC">
      <w:r w:rsidRPr="00DA623A">
        <w:t>PEPD</w:t>
      </w:r>
      <w:r w:rsidRPr="00DA623A">
        <w:tab/>
      </w:r>
      <w:r w:rsidRPr="00DA623A">
        <w:tab/>
      </w:r>
      <w:r w:rsidR="001B62FE">
        <w:t xml:space="preserve">the former </w:t>
      </w:r>
      <w:r w:rsidRPr="00DA623A">
        <w:t>Program Effectiveness and Performance Division</w:t>
      </w:r>
      <w:r w:rsidR="001B62FE">
        <w:rPr>
          <w:rStyle w:val="FootnoteReference"/>
        </w:rPr>
        <w:footnoteReference w:id="3"/>
      </w:r>
      <w:r w:rsidR="006157F9">
        <w:t xml:space="preserve"> </w:t>
      </w:r>
      <w:r w:rsidR="00CB18F8">
        <w:t>of</w:t>
      </w:r>
      <w:r w:rsidR="006157F9">
        <w:t xml:space="preserve"> </w:t>
      </w:r>
      <w:r w:rsidR="00C22AAC">
        <w:t>AusAID/</w:t>
      </w:r>
      <w:r w:rsidR="006157F9">
        <w:t>DFAT</w:t>
      </w:r>
    </w:p>
    <w:p w14:paraId="0B5BBE4F" w14:textId="77777777" w:rsidR="00453CAC" w:rsidRDefault="00453CAC" w:rsidP="00453CAC">
      <w:r>
        <w:t>PNG</w:t>
      </w:r>
      <w:r>
        <w:tab/>
      </w:r>
      <w:r>
        <w:tab/>
        <w:t>Papua New Guinea</w:t>
      </w:r>
    </w:p>
    <w:p w14:paraId="59A09246" w14:textId="05EC2626" w:rsidR="00453CAC" w:rsidRDefault="00453CAC" w:rsidP="00453CAC">
      <w:r>
        <w:t>QAI</w:t>
      </w:r>
      <w:r>
        <w:tab/>
      </w:r>
      <w:r>
        <w:tab/>
      </w:r>
      <w:r w:rsidR="00CB18F8">
        <w:t>q</w:t>
      </w:r>
      <w:r>
        <w:t xml:space="preserve">uality at </w:t>
      </w:r>
      <w:r w:rsidR="00CB18F8">
        <w:t>i</w:t>
      </w:r>
      <w:r>
        <w:t>mplementation</w:t>
      </w:r>
    </w:p>
    <w:p w14:paraId="419D8E25" w14:textId="77777777" w:rsidR="00453CAC" w:rsidRDefault="00453CAC" w:rsidP="00453CAC">
      <w:r>
        <w:t>UN</w:t>
      </w:r>
      <w:r>
        <w:tab/>
      </w:r>
      <w:r>
        <w:tab/>
        <w:t>United Nations</w:t>
      </w:r>
    </w:p>
    <w:p w14:paraId="7423BA67" w14:textId="357A64A1" w:rsidR="00D20FD9" w:rsidRPr="00C22AAC" w:rsidRDefault="0048295D" w:rsidP="00C22AAC">
      <w:pPr>
        <w:pStyle w:val="SectionTitle"/>
        <w:pageBreakBefore/>
        <w:rPr>
          <w:color w:val="124486"/>
          <w:sz w:val="50"/>
        </w:rPr>
      </w:pPr>
      <w:bookmarkStart w:id="13" w:name="_Toc387675093"/>
      <w:r w:rsidRPr="00C22AAC">
        <w:rPr>
          <w:rFonts w:ascii="Arial" w:hAnsi="Arial"/>
          <w:color w:val="124486"/>
          <w:sz w:val="50"/>
        </w:rPr>
        <w:lastRenderedPageBreak/>
        <w:t>Contents</w:t>
      </w:r>
      <w:bookmarkEnd w:id="13"/>
    </w:p>
    <w:p w14:paraId="753FF6AE" w14:textId="77777777" w:rsidR="00CB73AC" w:rsidRPr="001722AE" w:rsidRDefault="00BA0E9A">
      <w:pPr>
        <w:pStyle w:val="TOC1"/>
      </w:pPr>
      <w:r>
        <w:rPr>
          <w:b/>
        </w:rPr>
        <w:fldChar w:fldCharType="begin"/>
      </w:r>
      <w:r>
        <w:instrText xml:space="preserve"> TOC \o "1-2" \t "SectionTitle,1,Itad sub-section heading,3,Itad sub,3" </w:instrText>
      </w:r>
      <w:r>
        <w:rPr>
          <w:b/>
        </w:rPr>
        <w:fldChar w:fldCharType="separate"/>
      </w:r>
      <w:r w:rsidR="00CB73AC" w:rsidRPr="001722AE">
        <w:t>Foreword</w:t>
      </w:r>
      <w:r w:rsidR="00CB73AC">
        <w:tab/>
      </w:r>
      <w:r w:rsidR="00CB73AC">
        <w:fldChar w:fldCharType="begin"/>
      </w:r>
      <w:r w:rsidR="00CB73AC">
        <w:instrText xml:space="preserve"> PAGEREF _Toc387675091 \h </w:instrText>
      </w:r>
      <w:r w:rsidR="00CB73AC">
        <w:fldChar w:fldCharType="separate"/>
      </w:r>
      <w:r w:rsidR="00147362">
        <w:t>ii</w:t>
      </w:r>
      <w:r w:rsidR="00CB73AC">
        <w:fldChar w:fldCharType="end"/>
      </w:r>
    </w:p>
    <w:p w14:paraId="31E75C49" w14:textId="77777777" w:rsidR="00CB73AC" w:rsidRPr="001722AE" w:rsidRDefault="00CB73AC">
      <w:pPr>
        <w:pStyle w:val="TOC1"/>
      </w:pPr>
      <w:r w:rsidRPr="001722AE">
        <w:t>Abbreviations</w:t>
      </w:r>
      <w:r>
        <w:tab/>
      </w:r>
      <w:r>
        <w:fldChar w:fldCharType="begin"/>
      </w:r>
      <w:r>
        <w:instrText xml:space="preserve"> PAGEREF _Toc387675092 \h </w:instrText>
      </w:r>
      <w:r>
        <w:fldChar w:fldCharType="separate"/>
      </w:r>
      <w:r w:rsidR="00147362">
        <w:t>iii</w:t>
      </w:r>
      <w:r>
        <w:fldChar w:fldCharType="end"/>
      </w:r>
    </w:p>
    <w:p w14:paraId="13CC25BA" w14:textId="77777777" w:rsidR="00CB73AC" w:rsidRPr="001722AE" w:rsidRDefault="00CB73AC">
      <w:pPr>
        <w:pStyle w:val="TOC1"/>
      </w:pPr>
      <w:r w:rsidRPr="001722AE">
        <w:t>Contents</w:t>
      </w:r>
      <w:r>
        <w:tab/>
      </w:r>
      <w:r>
        <w:fldChar w:fldCharType="begin"/>
      </w:r>
      <w:r>
        <w:instrText xml:space="preserve"> PAGEREF _Toc387675093 \h </w:instrText>
      </w:r>
      <w:r>
        <w:fldChar w:fldCharType="separate"/>
      </w:r>
      <w:r w:rsidR="00147362">
        <w:t>iv</w:t>
      </w:r>
      <w:r>
        <w:fldChar w:fldCharType="end"/>
      </w:r>
    </w:p>
    <w:p w14:paraId="19D015CF" w14:textId="77777777" w:rsidR="00CB73AC" w:rsidRDefault="00CB73AC">
      <w:pPr>
        <w:pStyle w:val="TOC1"/>
        <w:rPr>
          <w:rFonts w:asciiTheme="minorHAnsi" w:eastAsiaTheme="minorEastAsia" w:hAnsiTheme="minorHAnsi" w:cstheme="minorBidi"/>
          <w:bCs w:val="0"/>
          <w:color w:val="auto"/>
          <w:sz w:val="22"/>
          <w:szCs w:val="22"/>
        </w:rPr>
      </w:pPr>
      <w:r w:rsidRPr="001722AE">
        <w:t>Acknowledgments</w:t>
      </w:r>
      <w:r>
        <w:tab/>
      </w:r>
      <w:r>
        <w:fldChar w:fldCharType="begin"/>
      </w:r>
      <w:r>
        <w:instrText xml:space="preserve"> PAGEREF _Toc387675094 \h </w:instrText>
      </w:r>
      <w:r>
        <w:fldChar w:fldCharType="separate"/>
      </w:r>
      <w:r w:rsidR="00147362">
        <w:t>vi</w:t>
      </w:r>
      <w:r>
        <w:fldChar w:fldCharType="end"/>
      </w:r>
    </w:p>
    <w:p w14:paraId="5EE15361" w14:textId="77777777" w:rsidR="00CB73AC" w:rsidRDefault="00CB73AC">
      <w:pPr>
        <w:pStyle w:val="TOC1"/>
        <w:rPr>
          <w:rFonts w:asciiTheme="minorHAnsi" w:eastAsiaTheme="minorEastAsia" w:hAnsiTheme="minorHAnsi" w:cstheme="minorBidi"/>
          <w:bCs w:val="0"/>
          <w:color w:val="auto"/>
          <w:sz w:val="22"/>
          <w:szCs w:val="22"/>
        </w:rPr>
      </w:pPr>
      <w:r>
        <w:t>Executive summary</w:t>
      </w:r>
      <w:r>
        <w:tab/>
      </w:r>
      <w:r>
        <w:fldChar w:fldCharType="begin"/>
      </w:r>
      <w:r>
        <w:instrText xml:space="preserve"> PAGEREF _Toc387675095 \h </w:instrText>
      </w:r>
      <w:r>
        <w:fldChar w:fldCharType="separate"/>
      </w:r>
      <w:r w:rsidR="00147362">
        <w:t>1</w:t>
      </w:r>
      <w:r>
        <w:fldChar w:fldCharType="end"/>
      </w:r>
    </w:p>
    <w:p w14:paraId="2F2FD2F3" w14:textId="77777777" w:rsidR="00CB73AC" w:rsidRDefault="00CB73AC">
      <w:pPr>
        <w:pStyle w:val="TOC1"/>
        <w:rPr>
          <w:rFonts w:asciiTheme="minorHAnsi" w:eastAsiaTheme="minorEastAsia" w:hAnsiTheme="minorHAnsi" w:cstheme="minorBidi"/>
          <w:bCs w:val="0"/>
          <w:color w:val="auto"/>
          <w:sz w:val="22"/>
          <w:szCs w:val="22"/>
        </w:rPr>
      </w:pPr>
      <w:r>
        <w:t>1</w:t>
      </w:r>
      <w:r>
        <w:rPr>
          <w:rFonts w:asciiTheme="minorHAnsi" w:eastAsiaTheme="minorEastAsia" w:hAnsiTheme="minorHAnsi" w:cstheme="minorBidi"/>
          <w:bCs w:val="0"/>
          <w:color w:val="auto"/>
          <w:sz w:val="22"/>
          <w:szCs w:val="22"/>
        </w:rPr>
        <w:tab/>
      </w:r>
      <w:r>
        <w:t>About this review</w:t>
      </w:r>
      <w:r>
        <w:tab/>
      </w:r>
      <w:r>
        <w:fldChar w:fldCharType="begin"/>
      </w:r>
      <w:r>
        <w:instrText xml:space="preserve"> PAGEREF _Toc387675098 \h </w:instrText>
      </w:r>
      <w:r>
        <w:fldChar w:fldCharType="separate"/>
      </w:r>
      <w:r w:rsidR="00147362">
        <w:t>7</w:t>
      </w:r>
      <w:r>
        <w:fldChar w:fldCharType="end"/>
      </w:r>
    </w:p>
    <w:p w14:paraId="58BC74F0" w14:textId="77777777" w:rsidR="00CB73AC" w:rsidRDefault="00CB73AC">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Operational evaluations</w:t>
      </w:r>
      <w:r>
        <w:rPr>
          <w:noProof/>
        </w:rPr>
        <w:tab/>
      </w:r>
      <w:r>
        <w:rPr>
          <w:noProof/>
        </w:rPr>
        <w:fldChar w:fldCharType="begin"/>
      </w:r>
      <w:r>
        <w:rPr>
          <w:noProof/>
        </w:rPr>
        <w:instrText xml:space="preserve"> PAGEREF _Toc387675099 \h </w:instrText>
      </w:r>
      <w:r>
        <w:rPr>
          <w:noProof/>
        </w:rPr>
      </w:r>
      <w:r>
        <w:rPr>
          <w:noProof/>
        </w:rPr>
        <w:fldChar w:fldCharType="separate"/>
      </w:r>
      <w:r w:rsidR="00147362">
        <w:rPr>
          <w:noProof/>
        </w:rPr>
        <w:t>7</w:t>
      </w:r>
      <w:r>
        <w:rPr>
          <w:noProof/>
        </w:rPr>
        <w:fldChar w:fldCharType="end"/>
      </w:r>
    </w:p>
    <w:p w14:paraId="50DF1206" w14:textId="77777777" w:rsidR="00CB73AC" w:rsidRDefault="00CB73AC">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Objectives</w:t>
      </w:r>
      <w:r>
        <w:rPr>
          <w:noProof/>
        </w:rPr>
        <w:tab/>
      </w:r>
      <w:r>
        <w:rPr>
          <w:noProof/>
        </w:rPr>
        <w:fldChar w:fldCharType="begin"/>
      </w:r>
      <w:r>
        <w:rPr>
          <w:noProof/>
        </w:rPr>
        <w:instrText xml:space="preserve"> PAGEREF _Toc387675100 \h </w:instrText>
      </w:r>
      <w:r>
        <w:rPr>
          <w:noProof/>
        </w:rPr>
      </w:r>
      <w:r>
        <w:rPr>
          <w:noProof/>
        </w:rPr>
        <w:fldChar w:fldCharType="separate"/>
      </w:r>
      <w:r w:rsidR="00147362">
        <w:rPr>
          <w:noProof/>
        </w:rPr>
        <w:t>7</w:t>
      </w:r>
      <w:r>
        <w:rPr>
          <w:noProof/>
        </w:rPr>
        <w:fldChar w:fldCharType="end"/>
      </w:r>
    </w:p>
    <w:p w14:paraId="18C34D2B" w14:textId="77777777" w:rsidR="00CB73AC" w:rsidRDefault="00CB73AC">
      <w:pPr>
        <w:pStyle w:val="TOC2"/>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Approach</w:t>
      </w:r>
      <w:r>
        <w:rPr>
          <w:noProof/>
        </w:rPr>
        <w:tab/>
      </w:r>
      <w:r>
        <w:rPr>
          <w:noProof/>
        </w:rPr>
        <w:fldChar w:fldCharType="begin"/>
      </w:r>
      <w:r>
        <w:rPr>
          <w:noProof/>
        </w:rPr>
        <w:instrText xml:space="preserve"> PAGEREF _Toc387675101 \h </w:instrText>
      </w:r>
      <w:r>
        <w:rPr>
          <w:noProof/>
        </w:rPr>
      </w:r>
      <w:r>
        <w:rPr>
          <w:noProof/>
        </w:rPr>
        <w:fldChar w:fldCharType="separate"/>
      </w:r>
      <w:r w:rsidR="00147362">
        <w:rPr>
          <w:noProof/>
        </w:rPr>
        <w:t>8</w:t>
      </w:r>
      <w:r>
        <w:rPr>
          <w:noProof/>
        </w:rPr>
        <w:fldChar w:fldCharType="end"/>
      </w:r>
    </w:p>
    <w:p w14:paraId="17742E0F" w14:textId="77777777" w:rsidR="00CB73AC" w:rsidRDefault="00CB73AC">
      <w:pPr>
        <w:pStyle w:val="TOC1"/>
        <w:rPr>
          <w:rFonts w:asciiTheme="minorHAnsi" w:eastAsiaTheme="minorEastAsia" w:hAnsiTheme="minorHAnsi" w:cstheme="minorBidi"/>
          <w:bCs w:val="0"/>
          <w:color w:val="auto"/>
          <w:sz w:val="22"/>
          <w:szCs w:val="22"/>
        </w:rPr>
      </w:pPr>
      <w:r>
        <w:t>2</w:t>
      </w:r>
      <w:r>
        <w:rPr>
          <w:rFonts w:asciiTheme="minorHAnsi" w:eastAsiaTheme="minorEastAsia" w:hAnsiTheme="minorHAnsi" w:cstheme="minorBidi"/>
          <w:bCs w:val="0"/>
          <w:color w:val="auto"/>
          <w:sz w:val="22"/>
          <w:szCs w:val="22"/>
        </w:rPr>
        <w:tab/>
      </w:r>
      <w:r>
        <w:t>Independent evaluation of Australian aid</w:t>
      </w:r>
      <w:r>
        <w:tab/>
      </w:r>
      <w:r>
        <w:fldChar w:fldCharType="begin"/>
      </w:r>
      <w:r>
        <w:instrText xml:space="preserve"> PAGEREF _Toc387675102 \h </w:instrText>
      </w:r>
      <w:r>
        <w:fldChar w:fldCharType="separate"/>
      </w:r>
      <w:r w:rsidR="00147362">
        <w:t>10</w:t>
      </w:r>
      <w:r>
        <w:fldChar w:fldCharType="end"/>
      </w:r>
    </w:p>
    <w:p w14:paraId="5F17BB35" w14:textId="77777777" w:rsidR="00CB73AC" w:rsidRDefault="00CB73AC">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Evaluation policy and support</w:t>
      </w:r>
      <w:r>
        <w:rPr>
          <w:noProof/>
        </w:rPr>
        <w:tab/>
      </w:r>
      <w:r>
        <w:rPr>
          <w:noProof/>
        </w:rPr>
        <w:fldChar w:fldCharType="begin"/>
      </w:r>
      <w:r>
        <w:rPr>
          <w:noProof/>
        </w:rPr>
        <w:instrText xml:space="preserve"> PAGEREF _Toc387675103 \h </w:instrText>
      </w:r>
      <w:r>
        <w:rPr>
          <w:noProof/>
        </w:rPr>
      </w:r>
      <w:r>
        <w:rPr>
          <w:noProof/>
        </w:rPr>
        <w:fldChar w:fldCharType="separate"/>
      </w:r>
      <w:r w:rsidR="00147362">
        <w:rPr>
          <w:noProof/>
        </w:rPr>
        <w:t>10</w:t>
      </w:r>
      <w:r>
        <w:rPr>
          <w:noProof/>
        </w:rPr>
        <w:fldChar w:fldCharType="end"/>
      </w:r>
    </w:p>
    <w:p w14:paraId="2C75BE37" w14:textId="77777777" w:rsidR="00CB73AC" w:rsidRDefault="00CB73AC">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Background</w:t>
      </w:r>
      <w:r>
        <w:rPr>
          <w:noProof/>
        </w:rPr>
        <w:tab/>
      </w:r>
      <w:r>
        <w:rPr>
          <w:noProof/>
        </w:rPr>
        <w:fldChar w:fldCharType="begin"/>
      </w:r>
      <w:r>
        <w:rPr>
          <w:noProof/>
        </w:rPr>
        <w:instrText xml:space="preserve"> PAGEREF _Toc387675104 \h </w:instrText>
      </w:r>
      <w:r>
        <w:rPr>
          <w:noProof/>
        </w:rPr>
      </w:r>
      <w:r>
        <w:rPr>
          <w:noProof/>
        </w:rPr>
        <w:fldChar w:fldCharType="separate"/>
      </w:r>
      <w:r w:rsidR="00147362">
        <w:rPr>
          <w:noProof/>
        </w:rPr>
        <w:t>12</w:t>
      </w:r>
      <w:r>
        <w:rPr>
          <w:noProof/>
        </w:rPr>
        <w:fldChar w:fldCharType="end"/>
      </w:r>
    </w:p>
    <w:p w14:paraId="3C0F1547" w14:textId="77777777" w:rsidR="00CB73AC" w:rsidRDefault="00CB73AC">
      <w:pPr>
        <w:pStyle w:val="TOC1"/>
        <w:rPr>
          <w:rFonts w:asciiTheme="minorHAnsi" w:eastAsiaTheme="minorEastAsia" w:hAnsiTheme="minorHAnsi" w:cstheme="minorBidi"/>
          <w:bCs w:val="0"/>
          <w:color w:val="auto"/>
          <w:sz w:val="22"/>
          <w:szCs w:val="22"/>
        </w:rPr>
      </w:pPr>
      <w:r>
        <w:t>3</w:t>
      </w:r>
      <w:r>
        <w:rPr>
          <w:rFonts w:asciiTheme="minorHAnsi" w:eastAsiaTheme="minorEastAsia" w:hAnsiTheme="minorHAnsi" w:cstheme="minorBidi"/>
          <w:bCs w:val="0"/>
          <w:color w:val="auto"/>
          <w:sz w:val="22"/>
          <w:szCs w:val="22"/>
        </w:rPr>
        <w:tab/>
      </w:r>
      <w:r>
        <w:t>Characteristics of initiatives evaluated and  evaluations</w:t>
      </w:r>
      <w:r>
        <w:tab/>
      </w:r>
      <w:r>
        <w:fldChar w:fldCharType="begin"/>
      </w:r>
      <w:r>
        <w:instrText xml:space="preserve"> PAGEREF _Toc387675105 \h </w:instrText>
      </w:r>
      <w:r>
        <w:fldChar w:fldCharType="separate"/>
      </w:r>
      <w:r w:rsidR="00147362">
        <w:t>15</w:t>
      </w:r>
      <w:r>
        <w:fldChar w:fldCharType="end"/>
      </w:r>
    </w:p>
    <w:p w14:paraId="29B021B5" w14:textId="77777777" w:rsidR="00CB73AC" w:rsidRDefault="00CB73AC">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Evaluation coverage and characteristics of the initiatives evaluated</w:t>
      </w:r>
      <w:r>
        <w:rPr>
          <w:noProof/>
        </w:rPr>
        <w:tab/>
      </w:r>
      <w:r>
        <w:rPr>
          <w:noProof/>
        </w:rPr>
        <w:fldChar w:fldCharType="begin"/>
      </w:r>
      <w:r>
        <w:rPr>
          <w:noProof/>
        </w:rPr>
        <w:instrText xml:space="preserve"> PAGEREF _Toc387675106 \h </w:instrText>
      </w:r>
      <w:r>
        <w:rPr>
          <w:noProof/>
        </w:rPr>
      </w:r>
      <w:r>
        <w:rPr>
          <w:noProof/>
        </w:rPr>
        <w:fldChar w:fldCharType="separate"/>
      </w:r>
      <w:r w:rsidR="00147362">
        <w:rPr>
          <w:noProof/>
        </w:rPr>
        <w:t>15</w:t>
      </w:r>
      <w:r>
        <w:rPr>
          <w:noProof/>
        </w:rPr>
        <w:fldChar w:fldCharType="end"/>
      </w:r>
    </w:p>
    <w:p w14:paraId="6509D938" w14:textId="77777777" w:rsidR="00CB73AC" w:rsidRDefault="00CB73AC">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Characteristics of the evaluations reviewed</w:t>
      </w:r>
      <w:r>
        <w:rPr>
          <w:noProof/>
        </w:rPr>
        <w:tab/>
      </w:r>
      <w:r>
        <w:rPr>
          <w:noProof/>
        </w:rPr>
        <w:fldChar w:fldCharType="begin"/>
      </w:r>
      <w:r>
        <w:rPr>
          <w:noProof/>
        </w:rPr>
        <w:instrText xml:space="preserve"> PAGEREF _Toc387675107 \h </w:instrText>
      </w:r>
      <w:r>
        <w:rPr>
          <w:noProof/>
        </w:rPr>
      </w:r>
      <w:r>
        <w:rPr>
          <w:noProof/>
        </w:rPr>
        <w:fldChar w:fldCharType="separate"/>
      </w:r>
      <w:r w:rsidR="00147362">
        <w:rPr>
          <w:noProof/>
        </w:rPr>
        <w:t>16</w:t>
      </w:r>
      <w:r>
        <w:rPr>
          <w:noProof/>
        </w:rPr>
        <w:fldChar w:fldCharType="end"/>
      </w:r>
    </w:p>
    <w:p w14:paraId="45DF2996" w14:textId="77777777" w:rsidR="00CB73AC" w:rsidRDefault="00CB73AC">
      <w:pPr>
        <w:pStyle w:val="TOC1"/>
        <w:rPr>
          <w:rFonts w:asciiTheme="minorHAnsi" w:eastAsiaTheme="minorEastAsia" w:hAnsiTheme="minorHAnsi" w:cstheme="minorBidi"/>
          <w:bCs w:val="0"/>
          <w:color w:val="auto"/>
          <w:sz w:val="22"/>
          <w:szCs w:val="22"/>
        </w:rPr>
      </w:pPr>
      <w:r>
        <w:t>4</w:t>
      </w:r>
      <w:r>
        <w:rPr>
          <w:rFonts w:asciiTheme="minorHAnsi" w:eastAsiaTheme="minorEastAsia" w:hAnsiTheme="minorHAnsi" w:cstheme="minorBidi"/>
          <w:bCs w:val="0"/>
          <w:color w:val="auto"/>
          <w:sz w:val="22"/>
          <w:szCs w:val="22"/>
        </w:rPr>
        <w:tab/>
      </w:r>
      <w:r>
        <w:t>Quality and credibility of evaluations</w:t>
      </w:r>
      <w:r>
        <w:tab/>
      </w:r>
      <w:r>
        <w:fldChar w:fldCharType="begin"/>
      </w:r>
      <w:r>
        <w:instrText xml:space="preserve"> PAGEREF _Toc387675108 \h </w:instrText>
      </w:r>
      <w:r>
        <w:fldChar w:fldCharType="separate"/>
      </w:r>
      <w:r w:rsidR="00147362">
        <w:t>20</w:t>
      </w:r>
      <w:r>
        <w:fldChar w:fldCharType="end"/>
      </w:r>
    </w:p>
    <w:p w14:paraId="1D4B3D14" w14:textId="77777777" w:rsidR="00CB73AC" w:rsidRDefault="00CB73AC">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Quality of evaluation designs</w:t>
      </w:r>
      <w:r>
        <w:rPr>
          <w:noProof/>
        </w:rPr>
        <w:tab/>
      </w:r>
      <w:r>
        <w:rPr>
          <w:noProof/>
        </w:rPr>
        <w:fldChar w:fldCharType="begin"/>
      </w:r>
      <w:r>
        <w:rPr>
          <w:noProof/>
        </w:rPr>
        <w:instrText xml:space="preserve"> PAGEREF _Toc387675109 \h </w:instrText>
      </w:r>
      <w:r>
        <w:rPr>
          <w:noProof/>
        </w:rPr>
      </w:r>
      <w:r>
        <w:rPr>
          <w:noProof/>
        </w:rPr>
        <w:fldChar w:fldCharType="separate"/>
      </w:r>
      <w:r w:rsidR="00147362">
        <w:rPr>
          <w:noProof/>
        </w:rPr>
        <w:t>23</w:t>
      </w:r>
      <w:r>
        <w:rPr>
          <w:noProof/>
        </w:rPr>
        <w:fldChar w:fldCharType="end"/>
      </w:r>
    </w:p>
    <w:p w14:paraId="6A72FD15" w14:textId="77777777" w:rsidR="00CB73AC" w:rsidRDefault="00CB73AC">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Quality of evaluation reports</w:t>
      </w:r>
      <w:r>
        <w:rPr>
          <w:noProof/>
        </w:rPr>
        <w:tab/>
      </w:r>
      <w:r>
        <w:rPr>
          <w:noProof/>
        </w:rPr>
        <w:fldChar w:fldCharType="begin"/>
      </w:r>
      <w:r>
        <w:rPr>
          <w:noProof/>
        </w:rPr>
        <w:instrText xml:space="preserve"> PAGEREF _Toc387675110 \h </w:instrText>
      </w:r>
      <w:r>
        <w:rPr>
          <w:noProof/>
        </w:rPr>
      </w:r>
      <w:r>
        <w:rPr>
          <w:noProof/>
        </w:rPr>
        <w:fldChar w:fldCharType="separate"/>
      </w:r>
      <w:r w:rsidR="00147362">
        <w:rPr>
          <w:noProof/>
        </w:rPr>
        <w:t>25</w:t>
      </w:r>
      <w:r>
        <w:rPr>
          <w:noProof/>
        </w:rPr>
        <w:fldChar w:fldCharType="end"/>
      </w:r>
    </w:p>
    <w:p w14:paraId="58640025" w14:textId="77777777" w:rsidR="00CB73AC" w:rsidRDefault="00CB73AC">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Quality of the evaluations’ assessments against the standard Australian aid quality criteria</w:t>
      </w:r>
      <w:r>
        <w:rPr>
          <w:noProof/>
        </w:rPr>
        <w:tab/>
      </w:r>
      <w:r>
        <w:rPr>
          <w:noProof/>
        </w:rPr>
        <w:fldChar w:fldCharType="begin"/>
      </w:r>
      <w:r>
        <w:rPr>
          <w:noProof/>
        </w:rPr>
        <w:instrText xml:space="preserve"> PAGEREF _Toc387675111 \h </w:instrText>
      </w:r>
      <w:r>
        <w:rPr>
          <w:noProof/>
        </w:rPr>
      </w:r>
      <w:r>
        <w:rPr>
          <w:noProof/>
        </w:rPr>
        <w:fldChar w:fldCharType="separate"/>
      </w:r>
      <w:r w:rsidR="00147362">
        <w:rPr>
          <w:noProof/>
        </w:rPr>
        <w:t>27</w:t>
      </w:r>
      <w:r>
        <w:rPr>
          <w:noProof/>
        </w:rPr>
        <w:fldChar w:fldCharType="end"/>
      </w:r>
    </w:p>
    <w:p w14:paraId="0F666C67" w14:textId="77777777" w:rsidR="00CB73AC" w:rsidRDefault="00CB73AC">
      <w:pPr>
        <w:pStyle w:val="TOC1"/>
        <w:rPr>
          <w:rFonts w:asciiTheme="minorHAnsi" w:eastAsiaTheme="minorEastAsia" w:hAnsiTheme="minorHAnsi" w:cstheme="minorBidi"/>
          <w:bCs w:val="0"/>
          <w:color w:val="auto"/>
          <w:sz w:val="22"/>
          <w:szCs w:val="22"/>
        </w:rPr>
      </w:pPr>
      <w:r>
        <w:t>5</w:t>
      </w:r>
      <w:r>
        <w:rPr>
          <w:rFonts w:asciiTheme="minorHAnsi" w:eastAsiaTheme="minorEastAsia" w:hAnsiTheme="minorHAnsi" w:cstheme="minorBidi"/>
          <w:bCs w:val="0"/>
          <w:color w:val="auto"/>
          <w:sz w:val="22"/>
          <w:szCs w:val="22"/>
        </w:rPr>
        <w:tab/>
      </w:r>
      <w:r>
        <w:t>Factors influencing evaluation quality and utility</w:t>
      </w:r>
      <w:r>
        <w:tab/>
      </w:r>
      <w:r>
        <w:fldChar w:fldCharType="begin"/>
      </w:r>
      <w:r>
        <w:instrText xml:space="preserve"> PAGEREF _Toc387675112 \h </w:instrText>
      </w:r>
      <w:r>
        <w:fldChar w:fldCharType="separate"/>
      </w:r>
      <w:r w:rsidR="00147362">
        <w:t>31</w:t>
      </w:r>
      <w:r>
        <w:fldChar w:fldCharType="end"/>
      </w:r>
    </w:p>
    <w:p w14:paraId="6759608A" w14:textId="77777777" w:rsidR="00CB73AC" w:rsidRDefault="00CB73AC">
      <w:pPr>
        <w:pStyle w:val="TOC2"/>
        <w:rPr>
          <w:rFonts w:asciiTheme="minorHAnsi" w:eastAsiaTheme="minorEastAsia" w:hAnsiTheme="minorHAnsi" w:cstheme="minorBidi"/>
          <w:noProof/>
          <w:sz w:val="22"/>
          <w:szCs w:val="22"/>
        </w:rPr>
      </w:pPr>
      <w:r w:rsidRPr="00FF5848">
        <w:rPr>
          <w:rFonts w:eastAsiaTheme="majorEastAsia"/>
          <w:noProof/>
        </w:rPr>
        <w:t>5.1</w:t>
      </w:r>
      <w:r>
        <w:rPr>
          <w:rFonts w:asciiTheme="minorHAnsi" w:eastAsiaTheme="minorEastAsia" w:hAnsiTheme="minorHAnsi" w:cstheme="minorBidi"/>
          <w:noProof/>
          <w:sz w:val="22"/>
          <w:szCs w:val="22"/>
        </w:rPr>
        <w:tab/>
      </w:r>
      <w:r w:rsidRPr="00FF5848">
        <w:rPr>
          <w:rFonts w:eastAsiaTheme="majorEastAsia"/>
          <w:noProof/>
        </w:rPr>
        <w:t>Characteristics of the aid initiative</w:t>
      </w:r>
      <w:r>
        <w:rPr>
          <w:noProof/>
        </w:rPr>
        <w:tab/>
      </w:r>
      <w:r>
        <w:rPr>
          <w:noProof/>
        </w:rPr>
        <w:fldChar w:fldCharType="begin"/>
      </w:r>
      <w:r>
        <w:rPr>
          <w:noProof/>
        </w:rPr>
        <w:instrText xml:space="preserve"> PAGEREF _Toc387675113 \h </w:instrText>
      </w:r>
      <w:r>
        <w:rPr>
          <w:noProof/>
        </w:rPr>
      </w:r>
      <w:r>
        <w:rPr>
          <w:noProof/>
        </w:rPr>
        <w:fldChar w:fldCharType="separate"/>
      </w:r>
      <w:r w:rsidR="00147362">
        <w:rPr>
          <w:noProof/>
        </w:rPr>
        <w:t>31</w:t>
      </w:r>
      <w:r>
        <w:rPr>
          <w:noProof/>
        </w:rPr>
        <w:fldChar w:fldCharType="end"/>
      </w:r>
    </w:p>
    <w:p w14:paraId="6AD98604" w14:textId="77777777" w:rsidR="00CB73AC" w:rsidRDefault="00CB73AC">
      <w:pPr>
        <w:pStyle w:val="TOC2"/>
        <w:rPr>
          <w:rFonts w:asciiTheme="minorHAnsi" w:eastAsiaTheme="minorEastAsia" w:hAnsiTheme="minorHAnsi" w:cstheme="minorBidi"/>
          <w:noProof/>
          <w:sz w:val="22"/>
          <w:szCs w:val="22"/>
        </w:rPr>
      </w:pPr>
      <w:r w:rsidRPr="00FF5848">
        <w:rPr>
          <w:rFonts w:eastAsiaTheme="majorEastAsia"/>
          <w:noProof/>
        </w:rPr>
        <w:t>5.2</w:t>
      </w:r>
      <w:r>
        <w:rPr>
          <w:rFonts w:asciiTheme="minorHAnsi" w:eastAsiaTheme="minorEastAsia" w:hAnsiTheme="minorHAnsi" w:cstheme="minorBidi"/>
          <w:noProof/>
          <w:sz w:val="22"/>
          <w:szCs w:val="22"/>
        </w:rPr>
        <w:tab/>
      </w:r>
      <w:r w:rsidRPr="00FF5848">
        <w:rPr>
          <w:rFonts w:eastAsiaTheme="majorEastAsia"/>
          <w:noProof/>
        </w:rPr>
        <w:t>Evaluation purpose and type</w:t>
      </w:r>
      <w:r>
        <w:rPr>
          <w:noProof/>
        </w:rPr>
        <w:tab/>
      </w:r>
      <w:r>
        <w:rPr>
          <w:noProof/>
        </w:rPr>
        <w:fldChar w:fldCharType="begin"/>
      </w:r>
      <w:r>
        <w:rPr>
          <w:noProof/>
        </w:rPr>
        <w:instrText xml:space="preserve"> PAGEREF _Toc387675114 \h </w:instrText>
      </w:r>
      <w:r>
        <w:rPr>
          <w:noProof/>
        </w:rPr>
      </w:r>
      <w:r>
        <w:rPr>
          <w:noProof/>
        </w:rPr>
        <w:fldChar w:fldCharType="separate"/>
      </w:r>
      <w:r w:rsidR="00147362">
        <w:rPr>
          <w:noProof/>
        </w:rPr>
        <w:t>32</w:t>
      </w:r>
      <w:r>
        <w:rPr>
          <w:noProof/>
        </w:rPr>
        <w:fldChar w:fldCharType="end"/>
      </w:r>
    </w:p>
    <w:p w14:paraId="35F73945" w14:textId="77777777" w:rsidR="00CB73AC" w:rsidRDefault="00CB73AC">
      <w:pPr>
        <w:pStyle w:val="TOC2"/>
        <w:rPr>
          <w:rFonts w:asciiTheme="minorHAnsi" w:eastAsiaTheme="minorEastAsia" w:hAnsiTheme="minorHAnsi" w:cstheme="minorBidi"/>
          <w:noProof/>
          <w:sz w:val="22"/>
          <w:szCs w:val="22"/>
        </w:rPr>
      </w:pPr>
      <w:r w:rsidRPr="00FF5848">
        <w:rPr>
          <w:rFonts w:eastAsiaTheme="majorEastAsia"/>
          <w:noProof/>
        </w:rPr>
        <w:t>5.3</w:t>
      </w:r>
      <w:r>
        <w:rPr>
          <w:rFonts w:asciiTheme="minorHAnsi" w:eastAsiaTheme="minorEastAsia" w:hAnsiTheme="minorHAnsi" w:cstheme="minorBidi"/>
          <w:noProof/>
          <w:sz w:val="22"/>
          <w:szCs w:val="22"/>
        </w:rPr>
        <w:tab/>
      </w:r>
      <w:r w:rsidRPr="00FF5848">
        <w:rPr>
          <w:rFonts w:eastAsiaTheme="majorEastAsia"/>
          <w:noProof/>
        </w:rPr>
        <w:t>Evaluation resourcing</w:t>
      </w:r>
      <w:r>
        <w:rPr>
          <w:noProof/>
        </w:rPr>
        <w:tab/>
      </w:r>
      <w:r>
        <w:rPr>
          <w:noProof/>
        </w:rPr>
        <w:fldChar w:fldCharType="begin"/>
      </w:r>
      <w:r>
        <w:rPr>
          <w:noProof/>
        </w:rPr>
        <w:instrText xml:space="preserve"> PAGEREF _Toc387675115 \h </w:instrText>
      </w:r>
      <w:r>
        <w:rPr>
          <w:noProof/>
        </w:rPr>
      </w:r>
      <w:r>
        <w:rPr>
          <w:noProof/>
        </w:rPr>
        <w:fldChar w:fldCharType="separate"/>
      </w:r>
      <w:r w:rsidR="00147362">
        <w:rPr>
          <w:noProof/>
        </w:rPr>
        <w:t>34</w:t>
      </w:r>
      <w:r>
        <w:rPr>
          <w:noProof/>
        </w:rPr>
        <w:fldChar w:fldCharType="end"/>
      </w:r>
    </w:p>
    <w:p w14:paraId="685CE29B" w14:textId="77777777" w:rsidR="00CB73AC" w:rsidRDefault="00CB73AC">
      <w:pPr>
        <w:pStyle w:val="TOC2"/>
        <w:rPr>
          <w:rFonts w:asciiTheme="minorHAnsi" w:eastAsiaTheme="minorEastAsia" w:hAnsiTheme="minorHAnsi" w:cstheme="minorBidi"/>
          <w:noProof/>
          <w:sz w:val="22"/>
          <w:szCs w:val="22"/>
        </w:rPr>
      </w:pPr>
      <w:r w:rsidRPr="00FF5848">
        <w:rPr>
          <w:rFonts w:eastAsiaTheme="majorEastAsia"/>
          <w:noProof/>
        </w:rPr>
        <w:t>5.4</w:t>
      </w:r>
      <w:r>
        <w:rPr>
          <w:rFonts w:asciiTheme="minorHAnsi" w:eastAsiaTheme="minorEastAsia" w:hAnsiTheme="minorHAnsi" w:cstheme="minorBidi"/>
          <w:noProof/>
          <w:sz w:val="22"/>
          <w:szCs w:val="22"/>
        </w:rPr>
        <w:tab/>
      </w:r>
      <w:r w:rsidRPr="00FF5848">
        <w:rPr>
          <w:rFonts w:eastAsiaTheme="majorEastAsia"/>
          <w:noProof/>
        </w:rPr>
        <w:t>Evaluation team</w:t>
      </w:r>
      <w:r>
        <w:rPr>
          <w:noProof/>
        </w:rPr>
        <w:tab/>
      </w:r>
      <w:r>
        <w:rPr>
          <w:noProof/>
        </w:rPr>
        <w:fldChar w:fldCharType="begin"/>
      </w:r>
      <w:r>
        <w:rPr>
          <w:noProof/>
        </w:rPr>
        <w:instrText xml:space="preserve"> PAGEREF _Toc387675116 \h </w:instrText>
      </w:r>
      <w:r>
        <w:rPr>
          <w:noProof/>
        </w:rPr>
      </w:r>
      <w:r>
        <w:rPr>
          <w:noProof/>
        </w:rPr>
        <w:fldChar w:fldCharType="separate"/>
      </w:r>
      <w:r w:rsidR="00147362">
        <w:rPr>
          <w:noProof/>
        </w:rPr>
        <w:t>35</w:t>
      </w:r>
      <w:r>
        <w:rPr>
          <w:noProof/>
        </w:rPr>
        <w:fldChar w:fldCharType="end"/>
      </w:r>
    </w:p>
    <w:p w14:paraId="4E6E4CA5" w14:textId="77777777" w:rsidR="00CB73AC" w:rsidRDefault="00CB73AC">
      <w:pPr>
        <w:pStyle w:val="TOC2"/>
        <w:rPr>
          <w:rFonts w:asciiTheme="minorHAnsi" w:eastAsiaTheme="minorEastAsia" w:hAnsiTheme="minorHAnsi" w:cstheme="minorBidi"/>
          <w:noProof/>
          <w:sz w:val="22"/>
          <w:szCs w:val="22"/>
        </w:rPr>
      </w:pPr>
      <w:r w:rsidRPr="00FF5848">
        <w:rPr>
          <w:rFonts w:eastAsiaTheme="majorEastAsia"/>
          <w:noProof/>
        </w:rPr>
        <w:t>5.5</w:t>
      </w:r>
      <w:r>
        <w:rPr>
          <w:rFonts w:asciiTheme="minorHAnsi" w:eastAsiaTheme="minorEastAsia" w:hAnsiTheme="minorHAnsi" w:cstheme="minorBidi"/>
          <w:noProof/>
          <w:sz w:val="22"/>
          <w:szCs w:val="22"/>
        </w:rPr>
        <w:tab/>
      </w:r>
      <w:r w:rsidRPr="00FF5848">
        <w:rPr>
          <w:rFonts w:eastAsiaTheme="majorEastAsia"/>
          <w:noProof/>
        </w:rPr>
        <w:t>Evaluation design</w:t>
      </w:r>
      <w:r>
        <w:rPr>
          <w:noProof/>
        </w:rPr>
        <w:tab/>
      </w:r>
      <w:r>
        <w:rPr>
          <w:noProof/>
        </w:rPr>
        <w:fldChar w:fldCharType="begin"/>
      </w:r>
      <w:r>
        <w:rPr>
          <w:noProof/>
        </w:rPr>
        <w:instrText xml:space="preserve"> PAGEREF _Toc387675117 \h </w:instrText>
      </w:r>
      <w:r>
        <w:rPr>
          <w:noProof/>
        </w:rPr>
      </w:r>
      <w:r>
        <w:rPr>
          <w:noProof/>
        </w:rPr>
        <w:fldChar w:fldCharType="separate"/>
      </w:r>
      <w:r w:rsidR="00147362">
        <w:rPr>
          <w:noProof/>
        </w:rPr>
        <w:t>38</w:t>
      </w:r>
      <w:r>
        <w:rPr>
          <w:noProof/>
        </w:rPr>
        <w:fldChar w:fldCharType="end"/>
      </w:r>
    </w:p>
    <w:p w14:paraId="787F24D6" w14:textId="77777777" w:rsidR="00CB73AC" w:rsidRDefault="00CB73AC">
      <w:pPr>
        <w:pStyle w:val="TOC2"/>
        <w:rPr>
          <w:rFonts w:asciiTheme="minorHAnsi" w:eastAsiaTheme="minorEastAsia" w:hAnsiTheme="minorHAnsi" w:cstheme="minorBidi"/>
          <w:noProof/>
          <w:sz w:val="22"/>
          <w:szCs w:val="22"/>
        </w:rPr>
      </w:pPr>
      <w:r w:rsidRPr="00FF5848">
        <w:rPr>
          <w:rFonts w:eastAsiaTheme="majorEastAsia"/>
          <w:noProof/>
        </w:rPr>
        <w:t>5.6</w:t>
      </w:r>
      <w:r>
        <w:rPr>
          <w:rFonts w:asciiTheme="minorHAnsi" w:eastAsiaTheme="minorEastAsia" w:hAnsiTheme="minorHAnsi" w:cstheme="minorBidi"/>
          <w:noProof/>
          <w:sz w:val="22"/>
          <w:szCs w:val="22"/>
        </w:rPr>
        <w:tab/>
      </w:r>
      <w:r w:rsidRPr="00FF5848">
        <w:rPr>
          <w:rFonts w:eastAsiaTheme="majorEastAsia"/>
          <w:noProof/>
        </w:rPr>
        <w:t>Organisational factors</w:t>
      </w:r>
      <w:r>
        <w:rPr>
          <w:noProof/>
        </w:rPr>
        <w:tab/>
      </w:r>
      <w:r>
        <w:rPr>
          <w:noProof/>
        </w:rPr>
        <w:fldChar w:fldCharType="begin"/>
      </w:r>
      <w:r>
        <w:rPr>
          <w:noProof/>
        </w:rPr>
        <w:instrText xml:space="preserve"> PAGEREF _Toc387675118 \h </w:instrText>
      </w:r>
      <w:r>
        <w:rPr>
          <w:noProof/>
        </w:rPr>
      </w:r>
      <w:r>
        <w:rPr>
          <w:noProof/>
        </w:rPr>
        <w:fldChar w:fldCharType="separate"/>
      </w:r>
      <w:r w:rsidR="00147362">
        <w:rPr>
          <w:noProof/>
        </w:rPr>
        <w:t>39</w:t>
      </w:r>
      <w:r>
        <w:rPr>
          <w:noProof/>
        </w:rPr>
        <w:fldChar w:fldCharType="end"/>
      </w:r>
    </w:p>
    <w:p w14:paraId="40B53036" w14:textId="77777777" w:rsidR="00CB73AC" w:rsidRDefault="00CB73AC">
      <w:pPr>
        <w:pStyle w:val="TOC2"/>
        <w:rPr>
          <w:rFonts w:asciiTheme="minorHAnsi" w:eastAsiaTheme="minorEastAsia" w:hAnsiTheme="minorHAnsi" w:cstheme="minorBidi"/>
          <w:noProof/>
          <w:sz w:val="22"/>
          <w:szCs w:val="22"/>
        </w:rPr>
      </w:pPr>
      <w:r w:rsidRPr="00FF5848">
        <w:rPr>
          <w:rFonts w:eastAsiaTheme="majorEastAsia"/>
          <w:noProof/>
        </w:rPr>
        <w:t>5.7</w:t>
      </w:r>
      <w:r>
        <w:rPr>
          <w:rFonts w:asciiTheme="minorHAnsi" w:eastAsiaTheme="minorEastAsia" w:hAnsiTheme="minorHAnsi" w:cstheme="minorBidi"/>
          <w:noProof/>
          <w:sz w:val="22"/>
          <w:szCs w:val="22"/>
        </w:rPr>
        <w:tab/>
      </w:r>
      <w:r w:rsidRPr="00FF5848">
        <w:rPr>
          <w:rFonts w:eastAsiaTheme="majorEastAsia"/>
          <w:noProof/>
        </w:rPr>
        <w:t>Access to completed evaluations</w:t>
      </w:r>
      <w:r>
        <w:rPr>
          <w:noProof/>
        </w:rPr>
        <w:tab/>
      </w:r>
      <w:r>
        <w:rPr>
          <w:noProof/>
        </w:rPr>
        <w:fldChar w:fldCharType="begin"/>
      </w:r>
      <w:r>
        <w:rPr>
          <w:noProof/>
        </w:rPr>
        <w:instrText xml:space="preserve"> PAGEREF _Toc387675119 \h </w:instrText>
      </w:r>
      <w:r>
        <w:rPr>
          <w:noProof/>
        </w:rPr>
      </w:r>
      <w:r>
        <w:rPr>
          <w:noProof/>
        </w:rPr>
        <w:fldChar w:fldCharType="separate"/>
      </w:r>
      <w:r w:rsidR="00147362">
        <w:rPr>
          <w:noProof/>
        </w:rPr>
        <w:t>41</w:t>
      </w:r>
      <w:r>
        <w:rPr>
          <w:noProof/>
        </w:rPr>
        <w:fldChar w:fldCharType="end"/>
      </w:r>
    </w:p>
    <w:p w14:paraId="020754DF" w14:textId="77777777" w:rsidR="00CB73AC" w:rsidRDefault="00CB73AC">
      <w:pPr>
        <w:pStyle w:val="TOC1"/>
        <w:rPr>
          <w:rFonts w:asciiTheme="minorHAnsi" w:eastAsiaTheme="minorEastAsia" w:hAnsiTheme="minorHAnsi" w:cstheme="minorBidi"/>
          <w:bCs w:val="0"/>
          <w:color w:val="auto"/>
          <w:sz w:val="22"/>
          <w:szCs w:val="22"/>
        </w:rPr>
      </w:pPr>
      <w:r>
        <w:t>6</w:t>
      </w:r>
      <w:r>
        <w:rPr>
          <w:rFonts w:asciiTheme="minorHAnsi" w:eastAsiaTheme="minorEastAsia" w:hAnsiTheme="minorHAnsi" w:cstheme="minorBidi"/>
          <w:bCs w:val="0"/>
          <w:color w:val="auto"/>
          <w:sz w:val="22"/>
          <w:szCs w:val="22"/>
        </w:rPr>
        <w:tab/>
      </w:r>
      <w:r>
        <w:t>Conclusions and recommendations</w:t>
      </w:r>
      <w:r>
        <w:tab/>
      </w:r>
      <w:r>
        <w:fldChar w:fldCharType="begin"/>
      </w:r>
      <w:r>
        <w:instrText xml:space="preserve"> PAGEREF _Toc387675120 \h </w:instrText>
      </w:r>
      <w:r>
        <w:fldChar w:fldCharType="separate"/>
      </w:r>
      <w:r w:rsidR="00147362">
        <w:t>43</w:t>
      </w:r>
      <w:r>
        <w:fldChar w:fldCharType="end"/>
      </w:r>
    </w:p>
    <w:p w14:paraId="6E4FACE6" w14:textId="77777777" w:rsidR="00CB73AC" w:rsidRDefault="00CB73AC">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Assessed quality of operational evaluations</w:t>
      </w:r>
      <w:r>
        <w:rPr>
          <w:noProof/>
        </w:rPr>
        <w:tab/>
      </w:r>
      <w:r>
        <w:rPr>
          <w:noProof/>
        </w:rPr>
        <w:fldChar w:fldCharType="begin"/>
      </w:r>
      <w:r>
        <w:rPr>
          <w:noProof/>
        </w:rPr>
        <w:instrText xml:space="preserve"> PAGEREF _Toc387675121 \h </w:instrText>
      </w:r>
      <w:r>
        <w:rPr>
          <w:noProof/>
        </w:rPr>
      </w:r>
      <w:r>
        <w:rPr>
          <w:noProof/>
        </w:rPr>
        <w:fldChar w:fldCharType="separate"/>
      </w:r>
      <w:r w:rsidR="00147362">
        <w:rPr>
          <w:noProof/>
        </w:rPr>
        <w:t>43</w:t>
      </w:r>
      <w:r>
        <w:rPr>
          <w:noProof/>
        </w:rPr>
        <w:fldChar w:fldCharType="end"/>
      </w:r>
    </w:p>
    <w:p w14:paraId="01A8F51D" w14:textId="77777777" w:rsidR="00CB73AC" w:rsidRDefault="00CB73AC">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Departmental capacity to manage the volume of evaluations</w:t>
      </w:r>
      <w:r>
        <w:rPr>
          <w:noProof/>
        </w:rPr>
        <w:tab/>
      </w:r>
      <w:r>
        <w:rPr>
          <w:noProof/>
        </w:rPr>
        <w:fldChar w:fldCharType="begin"/>
      </w:r>
      <w:r>
        <w:rPr>
          <w:noProof/>
        </w:rPr>
        <w:instrText xml:space="preserve"> PAGEREF _Toc387675122 \h </w:instrText>
      </w:r>
      <w:r>
        <w:rPr>
          <w:noProof/>
        </w:rPr>
      </w:r>
      <w:r>
        <w:rPr>
          <w:noProof/>
        </w:rPr>
        <w:fldChar w:fldCharType="separate"/>
      </w:r>
      <w:r w:rsidR="00147362">
        <w:rPr>
          <w:noProof/>
        </w:rPr>
        <w:t>45</w:t>
      </w:r>
      <w:r>
        <w:rPr>
          <w:noProof/>
        </w:rPr>
        <w:fldChar w:fldCharType="end"/>
      </w:r>
    </w:p>
    <w:p w14:paraId="49CFFFD3" w14:textId="77777777" w:rsidR="00CB73AC" w:rsidRDefault="00CB73AC">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Support arrangements for operational evaluations</w:t>
      </w:r>
      <w:r>
        <w:rPr>
          <w:noProof/>
        </w:rPr>
        <w:tab/>
      </w:r>
      <w:r>
        <w:rPr>
          <w:noProof/>
        </w:rPr>
        <w:fldChar w:fldCharType="begin"/>
      </w:r>
      <w:r>
        <w:rPr>
          <w:noProof/>
        </w:rPr>
        <w:instrText xml:space="preserve"> PAGEREF _Toc387675123 \h </w:instrText>
      </w:r>
      <w:r>
        <w:rPr>
          <w:noProof/>
        </w:rPr>
      </w:r>
      <w:r>
        <w:rPr>
          <w:noProof/>
        </w:rPr>
        <w:fldChar w:fldCharType="separate"/>
      </w:r>
      <w:r w:rsidR="00147362">
        <w:rPr>
          <w:noProof/>
        </w:rPr>
        <w:t>46</w:t>
      </w:r>
      <w:r>
        <w:rPr>
          <w:noProof/>
        </w:rPr>
        <w:fldChar w:fldCharType="end"/>
      </w:r>
    </w:p>
    <w:p w14:paraId="4B961486" w14:textId="77777777" w:rsidR="00CB73AC" w:rsidRDefault="00CB73AC">
      <w:pPr>
        <w:pStyle w:val="TOC2"/>
        <w:rPr>
          <w:rFonts w:asciiTheme="minorHAnsi" w:eastAsiaTheme="minorEastAsia" w:hAnsiTheme="minorHAnsi" w:cstheme="minorBidi"/>
          <w:noProof/>
          <w:sz w:val="22"/>
          <w:szCs w:val="22"/>
        </w:rPr>
      </w:pPr>
      <w:r>
        <w:rPr>
          <w:noProof/>
        </w:rPr>
        <w:t>6.4</w:t>
      </w:r>
      <w:r>
        <w:rPr>
          <w:rFonts w:asciiTheme="minorHAnsi" w:eastAsiaTheme="minorEastAsia" w:hAnsiTheme="minorHAnsi" w:cstheme="minorBidi"/>
          <w:noProof/>
          <w:sz w:val="22"/>
          <w:szCs w:val="22"/>
        </w:rPr>
        <w:tab/>
      </w:r>
      <w:r>
        <w:rPr>
          <w:noProof/>
        </w:rPr>
        <w:t>Access to completed evaluations</w:t>
      </w:r>
      <w:r>
        <w:rPr>
          <w:noProof/>
        </w:rPr>
        <w:tab/>
      </w:r>
      <w:r>
        <w:rPr>
          <w:noProof/>
        </w:rPr>
        <w:fldChar w:fldCharType="begin"/>
      </w:r>
      <w:r>
        <w:rPr>
          <w:noProof/>
        </w:rPr>
        <w:instrText xml:space="preserve"> PAGEREF _Toc387675124 \h </w:instrText>
      </w:r>
      <w:r>
        <w:rPr>
          <w:noProof/>
        </w:rPr>
      </w:r>
      <w:r>
        <w:rPr>
          <w:noProof/>
        </w:rPr>
        <w:fldChar w:fldCharType="separate"/>
      </w:r>
      <w:r w:rsidR="00147362">
        <w:rPr>
          <w:noProof/>
        </w:rPr>
        <w:t>46</w:t>
      </w:r>
      <w:r>
        <w:rPr>
          <w:noProof/>
        </w:rPr>
        <w:fldChar w:fldCharType="end"/>
      </w:r>
    </w:p>
    <w:p w14:paraId="579E39EF" w14:textId="77777777" w:rsidR="00CB73AC" w:rsidRDefault="00CB73AC">
      <w:pPr>
        <w:pStyle w:val="TOC2"/>
        <w:rPr>
          <w:rFonts w:asciiTheme="minorHAnsi" w:eastAsiaTheme="minorEastAsia" w:hAnsiTheme="minorHAnsi" w:cstheme="minorBidi"/>
          <w:noProof/>
          <w:sz w:val="22"/>
          <w:szCs w:val="22"/>
        </w:rPr>
      </w:pPr>
      <w:r>
        <w:rPr>
          <w:noProof/>
        </w:rPr>
        <w:lastRenderedPageBreak/>
        <w:t>6.5</w:t>
      </w:r>
      <w:r>
        <w:rPr>
          <w:rFonts w:asciiTheme="minorHAnsi" w:eastAsiaTheme="minorEastAsia" w:hAnsiTheme="minorHAnsi" w:cstheme="minorBidi"/>
          <w:noProof/>
          <w:sz w:val="22"/>
          <w:szCs w:val="22"/>
        </w:rPr>
        <w:tab/>
      </w:r>
      <w:r>
        <w:rPr>
          <w:noProof/>
        </w:rPr>
        <w:t>Evaluation purpose</w:t>
      </w:r>
      <w:r>
        <w:rPr>
          <w:noProof/>
        </w:rPr>
        <w:tab/>
      </w:r>
      <w:r>
        <w:rPr>
          <w:noProof/>
        </w:rPr>
        <w:fldChar w:fldCharType="begin"/>
      </w:r>
      <w:r>
        <w:rPr>
          <w:noProof/>
        </w:rPr>
        <w:instrText xml:space="preserve"> PAGEREF _Toc387675125 \h </w:instrText>
      </w:r>
      <w:r>
        <w:rPr>
          <w:noProof/>
        </w:rPr>
      </w:r>
      <w:r>
        <w:rPr>
          <w:noProof/>
        </w:rPr>
        <w:fldChar w:fldCharType="separate"/>
      </w:r>
      <w:r w:rsidR="00147362">
        <w:rPr>
          <w:noProof/>
        </w:rPr>
        <w:t>46</w:t>
      </w:r>
      <w:r>
        <w:rPr>
          <w:noProof/>
        </w:rPr>
        <w:fldChar w:fldCharType="end"/>
      </w:r>
    </w:p>
    <w:p w14:paraId="6C217D2F" w14:textId="77777777" w:rsidR="00CB73AC" w:rsidRDefault="00CB73AC">
      <w:pPr>
        <w:pStyle w:val="TOC2"/>
        <w:rPr>
          <w:rFonts w:asciiTheme="minorHAnsi" w:eastAsiaTheme="minorEastAsia" w:hAnsiTheme="minorHAnsi" w:cstheme="minorBidi"/>
          <w:noProof/>
          <w:sz w:val="22"/>
          <w:szCs w:val="22"/>
        </w:rPr>
      </w:pPr>
      <w:r>
        <w:rPr>
          <w:noProof/>
        </w:rPr>
        <w:t>6.6</w:t>
      </w:r>
      <w:r>
        <w:rPr>
          <w:rFonts w:asciiTheme="minorHAnsi" w:eastAsiaTheme="minorEastAsia" w:hAnsiTheme="minorHAnsi" w:cstheme="minorBidi"/>
          <w:noProof/>
          <w:sz w:val="22"/>
          <w:szCs w:val="22"/>
        </w:rPr>
        <w:tab/>
      </w:r>
      <w:r>
        <w:rPr>
          <w:noProof/>
        </w:rPr>
        <w:t>Lessons for DFAT evaluation commissioning areas to maximise evaluation quality and utility</w:t>
      </w:r>
      <w:r>
        <w:rPr>
          <w:noProof/>
        </w:rPr>
        <w:tab/>
      </w:r>
      <w:r>
        <w:rPr>
          <w:noProof/>
        </w:rPr>
        <w:fldChar w:fldCharType="begin"/>
      </w:r>
      <w:r>
        <w:rPr>
          <w:noProof/>
        </w:rPr>
        <w:instrText xml:space="preserve"> PAGEREF _Toc387675126 \h </w:instrText>
      </w:r>
      <w:r>
        <w:rPr>
          <w:noProof/>
        </w:rPr>
      </w:r>
      <w:r>
        <w:rPr>
          <w:noProof/>
        </w:rPr>
        <w:fldChar w:fldCharType="separate"/>
      </w:r>
      <w:r w:rsidR="00147362">
        <w:rPr>
          <w:noProof/>
        </w:rPr>
        <w:t>47</w:t>
      </w:r>
      <w:r>
        <w:rPr>
          <w:noProof/>
        </w:rPr>
        <w:fldChar w:fldCharType="end"/>
      </w:r>
    </w:p>
    <w:p w14:paraId="5BCC5B79" w14:textId="77777777" w:rsidR="00CB73AC" w:rsidRDefault="00CB73AC">
      <w:pPr>
        <w:pStyle w:val="TOC2"/>
        <w:rPr>
          <w:rFonts w:asciiTheme="minorHAnsi" w:eastAsiaTheme="minorEastAsia" w:hAnsiTheme="minorHAnsi" w:cstheme="minorBidi"/>
          <w:noProof/>
          <w:sz w:val="22"/>
          <w:szCs w:val="22"/>
        </w:rPr>
      </w:pPr>
      <w:r>
        <w:rPr>
          <w:noProof/>
        </w:rPr>
        <w:t>6.7</w:t>
      </w:r>
      <w:r>
        <w:rPr>
          <w:rFonts w:asciiTheme="minorHAnsi" w:eastAsiaTheme="minorEastAsia" w:hAnsiTheme="minorHAnsi" w:cstheme="minorBidi"/>
          <w:noProof/>
          <w:sz w:val="22"/>
          <w:szCs w:val="22"/>
        </w:rPr>
        <w:tab/>
      </w:r>
      <w:r>
        <w:rPr>
          <w:noProof/>
        </w:rPr>
        <w:t xml:space="preserve">Recommendations </w:t>
      </w:r>
      <w:r>
        <w:rPr>
          <w:noProof/>
        </w:rPr>
        <w:tab/>
      </w:r>
      <w:r>
        <w:rPr>
          <w:noProof/>
        </w:rPr>
        <w:fldChar w:fldCharType="begin"/>
      </w:r>
      <w:r>
        <w:rPr>
          <w:noProof/>
        </w:rPr>
        <w:instrText xml:space="preserve"> PAGEREF _Toc387675127 \h </w:instrText>
      </w:r>
      <w:r>
        <w:rPr>
          <w:noProof/>
        </w:rPr>
      </w:r>
      <w:r>
        <w:rPr>
          <w:noProof/>
        </w:rPr>
        <w:fldChar w:fldCharType="separate"/>
      </w:r>
      <w:r w:rsidR="00147362">
        <w:rPr>
          <w:noProof/>
        </w:rPr>
        <w:t>48</w:t>
      </w:r>
      <w:r>
        <w:rPr>
          <w:noProof/>
        </w:rPr>
        <w:fldChar w:fldCharType="end"/>
      </w:r>
    </w:p>
    <w:p w14:paraId="49DE2445" w14:textId="77777777" w:rsidR="00CB73AC" w:rsidRDefault="00CB73AC">
      <w:pPr>
        <w:pStyle w:val="TOC1"/>
        <w:rPr>
          <w:rFonts w:asciiTheme="minorHAnsi" w:eastAsiaTheme="minorEastAsia" w:hAnsiTheme="minorHAnsi" w:cstheme="minorBidi"/>
          <w:bCs w:val="0"/>
          <w:color w:val="auto"/>
          <w:sz w:val="22"/>
          <w:szCs w:val="22"/>
        </w:rPr>
      </w:pPr>
      <w:r>
        <w:t>Annex 1: Terms of Reference</w:t>
      </w:r>
      <w:r>
        <w:tab/>
      </w:r>
      <w:r>
        <w:fldChar w:fldCharType="begin"/>
      </w:r>
      <w:r>
        <w:instrText xml:space="preserve"> PAGEREF _Toc387675128 \h </w:instrText>
      </w:r>
      <w:r>
        <w:fldChar w:fldCharType="separate"/>
      </w:r>
      <w:r w:rsidR="00147362">
        <w:t>50</w:t>
      </w:r>
      <w:r>
        <w:fldChar w:fldCharType="end"/>
      </w:r>
    </w:p>
    <w:p w14:paraId="6A2259CF" w14:textId="77777777" w:rsidR="00CB73AC" w:rsidRDefault="00CB73AC">
      <w:pPr>
        <w:pStyle w:val="TOC1"/>
        <w:rPr>
          <w:rFonts w:asciiTheme="minorHAnsi" w:eastAsiaTheme="minorEastAsia" w:hAnsiTheme="minorHAnsi" w:cstheme="minorBidi"/>
          <w:bCs w:val="0"/>
          <w:color w:val="auto"/>
          <w:sz w:val="22"/>
          <w:szCs w:val="22"/>
        </w:rPr>
      </w:pPr>
      <w:r>
        <w:t>Annex 2: Detailed methodology</w:t>
      </w:r>
      <w:r>
        <w:tab/>
      </w:r>
      <w:r>
        <w:fldChar w:fldCharType="begin"/>
      </w:r>
      <w:r>
        <w:instrText xml:space="preserve"> PAGEREF _Toc387675129 \h </w:instrText>
      </w:r>
      <w:r>
        <w:fldChar w:fldCharType="separate"/>
      </w:r>
      <w:r w:rsidR="00147362">
        <w:t>58</w:t>
      </w:r>
      <w:r>
        <w:fldChar w:fldCharType="end"/>
      </w:r>
    </w:p>
    <w:p w14:paraId="0C18E1FD" w14:textId="77777777" w:rsidR="00CB73AC" w:rsidRDefault="00CB73AC">
      <w:pPr>
        <w:pStyle w:val="TOC1"/>
        <w:rPr>
          <w:rFonts w:asciiTheme="minorHAnsi" w:eastAsiaTheme="minorEastAsia" w:hAnsiTheme="minorHAnsi" w:cstheme="minorBidi"/>
          <w:bCs w:val="0"/>
          <w:color w:val="auto"/>
          <w:sz w:val="22"/>
          <w:szCs w:val="22"/>
        </w:rPr>
      </w:pPr>
      <w:r>
        <w:t>Annex 3: Pro forma for quality review</w:t>
      </w:r>
      <w:r>
        <w:tab/>
      </w:r>
      <w:r>
        <w:fldChar w:fldCharType="begin"/>
      </w:r>
      <w:r>
        <w:instrText xml:space="preserve"> PAGEREF _Toc387675136 \h </w:instrText>
      </w:r>
      <w:r>
        <w:fldChar w:fldCharType="separate"/>
      </w:r>
      <w:r w:rsidR="00147362">
        <w:t>64</w:t>
      </w:r>
      <w:r>
        <w:fldChar w:fldCharType="end"/>
      </w:r>
    </w:p>
    <w:p w14:paraId="31A24BED" w14:textId="77777777" w:rsidR="00CB73AC" w:rsidRDefault="00CB73AC">
      <w:pPr>
        <w:pStyle w:val="TOC1"/>
        <w:rPr>
          <w:rFonts w:asciiTheme="minorHAnsi" w:eastAsiaTheme="minorEastAsia" w:hAnsiTheme="minorHAnsi" w:cstheme="minorBidi"/>
          <w:bCs w:val="0"/>
          <w:color w:val="auto"/>
          <w:sz w:val="22"/>
          <w:szCs w:val="22"/>
        </w:rPr>
      </w:pPr>
      <w:r>
        <w:t>Annex 4: Additional analysis</w:t>
      </w:r>
      <w:r>
        <w:tab/>
      </w:r>
      <w:r>
        <w:fldChar w:fldCharType="begin"/>
      </w:r>
      <w:r>
        <w:instrText xml:space="preserve"> PAGEREF _Toc387675137 \h </w:instrText>
      </w:r>
      <w:r>
        <w:fldChar w:fldCharType="separate"/>
      </w:r>
      <w:r w:rsidR="00147362">
        <w:t>68</w:t>
      </w:r>
      <w:r>
        <w:fldChar w:fldCharType="end"/>
      </w:r>
    </w:p>
    <w:p w14:paraId="3EDB904E" w14:textId="77777777" w:rsidR="00CB73AC" w:rsidRDefault="00CB73AC">
      <w:pPr>
        <w:pStyle w:val="TOC1"/>
        <w:rPr>
          <w:rFonts w:asciiTheme="minorHAnsi" w:eastAsiaTheme="minorEastAsia" w:hAnsiTheme="minorHAnsi" w:cstheme="minorBidi"/>
          <w:bCs w:val="0"/>
          <w:color w:val="auto"/>
          <w:sz w:val="22"/>
          <w:szCs w:val="22"/>
        </w:rPr>
      </w:pPr>
      <w:r>
        <w:t>Annex 5: DFAT Aid Monitoring and Evaluation Standards</w:t>
      </w:r>
      <w:r>
        <w:tab/>
      </w:r>
      <w:r>
        <w:fldChar w:fldCharType="begin"/>
      </w:r>
      <w:r>
        <w:instrText xml:space="preserve"> PAGEREF _Toc387675141 \h </w:instrText>
      </w:r>
      <w:r>
        <w:fldChar w:fldCharType="separate"/>
      </w:r>
      <w:r w:rsidR="00147362">
        <w:t>72</w:t>
      </w:r>
      <w:r>
        <w:fldChar w:fldCharType="end"/>
      </w:r>
    </w:p>
    <w:p w14:paraId="2CCAE5C8" w14:textId="77777777" w:rsidR="00CB73AC" w:rsidRDefault="00CB73AC">
      <w:pPr>
        <w:pStyle w:val="TOC1"/>
        <w:rPr>
          <w:rFonts w:asciiTheme="minorHAnsi" w:eastAsiaTheme="minorEastAsia" w:hAnsiTheme="minorHAnsi" w:cstheme="minorBidi"/>
          <w:bCs w:val="0"/>
          <w:color w:val="auto"/>
          <w:sz w:val="22"/>
          <w:szCs w:val="22"/>
        </w:rPr>
      </w:pPr>
      <w:r>
        <w:t>Annex 6: Good-practice examples</w:t>
      </w:r>
      <w:r>
        <w:tab/>
      </w:r>
      <w:r>
        <w:fldChar w:fldCharType="begin"/>
      </w:r>
      <w:r>
        <w:instrText xml:space="preserve"> PAGEREF _Toc387675145 \h </w:instrText>
      </w:r>
      <w:r>
        <w:fldChar w:fldCharType="separate"/>
      </w:r>
      <w:r w:rsidR="00147362">
        <w:t>85</w:t>
      </w:r>
      <w:r>
        <w:fldChar w:fldCharType="end"/>
      </w:r>
    </w:p>
    <w:p w14:paraId="19459900" w14:textId="77777777" w:rsidR="00CB73AC" w:rsidRDefault="00CB73AC">
      <w:pPr>
        <w:pStyle w:val="TOC1"/>
        <w:rPr>
          <w:rFonts w:asciiTheme="minorHAnsi" w:eastAsiaTheme="minorEastAsia" w:hAnsiTheme="minorHAnsi" w:cstheme="minorBidi"/>
          <w:bCs w:val="0"/>
          <w:color w:val="auto"/>
          <w:sz w:val="22"/>
          <w:szCs w:val="22"/>
        </w:rPr>
      </w:pPr>
      <w:r>
        <w:t>Annex 7: List of evaluations reviewed</w:t>
      </w:r>
      <w:r>
        <w:tab/>
      </w:r>
      <w:r>
        <w:fldChar w:fldCharType="begin"/>
      </w:r>
      <w:r>
        <w:instrText xml:space="preserve"> PAGEREF _Toc387675151 \h </w:instrText>
      </w:r>
      <w:r>
        <w:fldChar w:fldCharType="separate"/>
      </w:r>
      <w:r w:rsidR="00147362">
        <w:t>90</w:t>
      </w:r>
      <w:r>
        <w:fldChar w:fldCharType="end"/>
      </w:r>
    </w:p>
    <w:p w14:paraId="3B1FCFCD" w14:textId="0963869C" w:rsidR="00D7621D" w:rsidRDefault="00BA0E9A" w:rsidP="008D68B1">
      <w:pPr>
        <w:pStyle w:val="TOC2"/>
        <w:ind w:left="0" w:firstLine="0"/>
        <w:rPr>
          <w:noProof/>
          <w:sz w:val="32"/>
        </w:rPr>
      </w:pPr>
      <w:r>
        <w:rPr>
          <w:noProof/>
          <w:sz w:val="32"/>
        </w:rPr>
        <w:fldChar w:fldCharType="end"/>
      </w:r>
    </w:p>
    <w:p w14:paraId="7873C260" w14:textId="77777777" w:rsidR="00D7621D" w:rsidRDefault="00D7621D">
      <w:pPr>
        <w:spacing w:before="0" w:after="0" w:line="240" w:lineRule="auto"/>
        <w:rPr>
          <w:rFonts w:ascii="Arial" w:hAnsi="Arial"/>
          <w:noProof/>
          <w:sz w:val="32"/>
        </w:rPr>
      </w:pPr>
      <w:r>
        <w:rPr>
          <w:noProof/>
          <w:sz w:val="32"/>
        </w:rPr>
        <w:br w:type="page"/>
      </w:r>
    </w:p>
    <w:p w14:paraId="4A2FBC27" w14:textId="77777777" w:rsidR="00D7621D" w:rsidRPr="00E260E9" w:rsidRDefault="00D7621D" w:rsidP="00D7621D">
      <w:pPr>
        <w:pStyle w:val="SectionTitle"/>
        <w:pageBreakBefore/>
        <w:rPr>
          <w:rFonts w:ascii="Arial" w:hAnsi="Arial"/>
          <w:color w:val="124486"/>
          <w:sz w:val="50"/>
        </w:rPr>
      </w:pPr>
      <w:bookmarkStart w:id="14" w:name="_Toc387675094"/>
      <w:r w:rsidRPr="00E260E9">
        <w:rPr>
          <w:rFonts w:ascii="Arial" w:hAnsi="Arial"/>
          <w:color w:val="124486"/>
          <w:sz w:val="50"/>
        </w:rPr>
        <w:lastRenderedPageBreak/>
        <w:t>Acknowledgments</w:t>
      </w:r>
      <w:bookmarkEnd w:id="14"/>
    </w:p>
    <w:p w14:paraId="245207D3" w14:textId="77777777" w:rsidR="00D7621D" w:rsidRPr="00DA623A" w:rsidRDefault="00D7621D" w:rsidP="00D7621D">
      <w:r w:rsidRPr="00DA623A">
        <w:t>The Office of Development Effectiveness (ODE) would like to thank all those who contributed to this review.</w:t>
      </w:r>
      <w:r>
        <w:t xml:space="preserve"> </w:t>
      </w:r>
    </w:p>
    <w:p w14:paraId="7A02F374" w14:textId="0AD639D6" w:rsidR="00D7621D" w:rsidRPr="00DA623A" w:rsidRDefault="00D7621D" w:rsidP="00D7621D">
      <w:r w:rsidRPr="00DA623A">
        <w:t xml:space="preserve">The review team consisted of Nick Chapman (team leader), Hugh Goyder and Rob Lloyd from ITAD Ltd. The core DFAT management team for the review </w:t>
      </w:r>
      <w:r w:rsidR="00C22AAC">
        <w:t>was led by</w:t>
      </w:r>
      <w:r w:rsidR="00C22AAC" w:rsidRPr="00DA623A">
        <w:t xml:space="preserve"> </w:t>
      </w:r>
      <w:r w:rsidRPr="00DA623A">
        <w:t xml:space="preserve">Sam Vallance and Jo Hall from ODE, </w:t>
      </w:r>
      <w:r w:rsidR="00C22AAC">
        <w:t>with</w:t>
      </w:r>
      <w:r w:rsidR="00C22AAC" w:rsidRPr="00DA623A">
        <w:t xml:space="preserve"> </w:t>
      </w:r>
      <w:r w:rsidRPr="00DA623A">
        <w:t>Penny Davis and Simon Ernst from</w:t>
      </w:r>
      <w:r>
        <w:t xml:space="preserve"> the former</w:t>
      </w:r>
      <w:r w:rsidRPr="00DA623A">
        <w:t xml:space="preserve"> Program Effectiveness and Performance Division. The ITAD review team collected and analysed the data from the evaluations, while a collaborative approach was taken to the design of the review, the interpretation of the findings</w:t>
      </w:r>
      <w:r>
        <w:t xml:space="preserve"> and framing of recommendations</w:t>
      </w:r>
      <w:r w:rsidRPr="00DA623A">
        <w:t>, and the drafting of this report. The Independent Evaluation Committee provided technical oversight.</w:t>
      </w:r>
    </w:p>
    <w:p w14:paraId="5E42A61F" w14:textId="77777777" w:rsidR="00D7621D" w:rsidRPr="00DA623A" w:rsidRDefault="00D7621D" w:rsidP="00D7621D">
      <w:r w:rsidRPr="00DA623A">
        <w:t xml:space="preserve">The </w:t>
      </w:r>
      <w:r>
        <w:t xml:space="preserve">review </w:t>
      </w:r>
      <w:r w:rsidRPr="00DA623A">
        <w:t xml:space="preserve">team </w:t>
      </w:r>
      <w:r>
        <w:t>would like</w:t>
      </w:r>
      <w:r w:rsidRPr="00DA623A">
        <w:t xml:space="preserve"> to thank the independent evaluators and DFAT managers who made time to be interviewed for the review</w:t>
      </w:r>
      <w:r>
        <w:t>, and the peer reviewers who provided feedback on the draft report.</w:t>
      </w:r>
    </w:p>
    <w:p w14:paraId="3DEBCC34" w14:textId="77777777" w:rsidR="00D7621D" w:rsidRPr="00D354B2" w:rsidRDefault="00D7621D" w:rsidP="00D7621D">
      <w:pPr>
        <w:pStyle w:val="BodyText"/>
      </w:pPr>
    </w:p>
    <w:p w14:paraId="17103A92" w14:textId="77777777" w:rsidR="00E92F8F" w:rsidRDefault="00E92F8F" w:rsidP="008D68B1">
      <w:pPr>
        <w:pStyle w:val="TOC2"/>
        <w:ind w:left="0" w:firstLine="0"/>
      </w:pPr>
    </w:p>
    <w:p w14:paraId="0BF4DF07" w14:textId="77777777" w:rsidR="00D7621D" w:rsidRDefault="00D7621D" w:rsidP="00C22AAC"/>
    <w:p w14:paraId="4C1CD6A6" w14:textId="77777777" w:rsidR="00D7621D" w:rsidRPr="00126E56" w:rsidRDefault="00D7621D" w:rsidP="00C22AAC"/>
    <w:p w14:paraId="4E73CDDA" w14:textId="77777777" w:rsidR="00795B53" w:rsidRDefault="00795B53">
      <w:pPr>
        <w:sectPr w:rsidR="00795B53" w:rsidSect="00B768CA">
          <w:headerReference w:type="even" r:id="rId29"/>
          <w:headerReference w:type="default" r:id="rId30"/>
          <w:footerReference w:type="even" r:id="rId31"/>
          <w:footerReference w:type="default" r:id="rId32"/>
          <w:headerReference w:type="first" r:id="rId33"/>
          <w:footerReference w:type="first" r:id="rId34"/>
          <w:footnotePr>
            <w:numRestart w:val="eachSect"/>
          </w:footnotePr>
          <w:type w:val="oddPage"/>
          <w:pgSz w:w="11906" w:h="16838" w:code="9"/>
          <w:pgMar w:top="1440" w:right="1440" w:bottom="1440" w:left="1440" w:header="576" w:footer="576" w:gutter="0"/>
          <w:pgNumType w:fmt="lowerRoman" w:start="1"/>
          <w:cols w:space="720"/>
          <w:docGrid w:linePitch="286"/>
        </w:sectPr>
      </w:pPr>
    </w:p>
    <w:bookmarkStart w:id="15" w:name="_Toc387675095"/>
    <w:bookmarkStart w:id="16" w:name="_Toc357065921"/>
    <w:bookmarkStart w:id="17" w:name="_Toc370827874"/>
    <w:bookmarkStart w:id="18" w:name="_Toc370827924"/>
    <w:bookmarkStart w:id="19" w:name="_Toc372723820"/>
    <w:p w14:paraId="4BAD10FE" w14:textId="3E71B738" w:rsidR="00E24EDE" w:rsidRPr="00284845" w:rsidRDefault="00284845" w:rsidP="00A44BBA">
      <w:pPr>
        <w:pStyle w:val="Heading1"/>
        <w:spacing w:after="1640"/>
      </w:pPr>
      <w:r>
        <w:rPr>
          <w:noProof/>
        </w:rPr>
        <w:lastRenderedPageBreak/>
        <mc:AlternateContent>
          <mc:Choice Requires="wps">
            <w:drawing>
              <wp:anchor distT="0" distB="0" distL="114300" distR="114300" simplePos="0" relativeHeight="251662336" behindDoc="1" locked="0" layoutInCell="1" allowOverlap="1" wp14:anchorId="284D3D81" wp14:editId="7EBFE0DF">
                <wp:simplePos x="0" y="0"/>
                <wp:positionH relativeFrom="page">
                  <wp:align>left</wp:align>
                </wp:positionH>
                <wp:positionV relativeFrom="paragraph">
                  <wp:posOffset>-144145</wp:posOffset>
                </wp:positionV>
                <wp:extent cx="7610400" cy="1468800"/>
                <wp:effectExtent l="0" t="0" r="0" b="0"/>
                <wp:wrapNone/>
                <wp:docPr id="9" name="Rectangle 9"/>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8C61596" id="Rectangle 9" o:spid="_x0000_s1026" style="position:absolute;margin-left:0;margin-top:-11.35pt;width:599.25pt;height:115.65pt;z-index:-2516541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lgIAAIYFAAAOAAAAZHJzL2Uyb0RvYy54bWysVMFu2zAMvQ/YPwi6r7YDN02DOkXQosOA&#10;oi3aDj0rshQbkEVNUuJkXz9Kst2uK3YYloMiiuQj+Uzy4vLQKbIX1rWgK1qc5JQIzaFu9bai359v&#10;viwocZ7pminQoqJH4ejl6vOni94sxQwaULWwBEG0W/amoo33ZplljjeiY+4EjNColGA75lG026y2&#10;rEf0TmWzPJ9nPdjaWODCOXy9Tkq6ivhSCu7vpXTCE1VRzM3H08ZzE85sdcGWW8tM0/IhDfYPWXSs&#10;1Rh0grpmnpGdbf+A6lpuwYH0Jxy6DKRsuYg1YDVF/q6ap4YZEWtBcpyZaHL/D5bf7R8saeuKnlOi&#10;WYef6BFJY3qrBDkP9PTGLdHqyTzYQXJ4DbUepO3CP1ZBDpHS40SpOHjC8fFsXuRljsxz1BXlfLFA&#10;AXGyV3djnf8qoCPhUlGL4SOVbH/rfDIdTUI0B6qtb1qlomC3mytlyZ7h9y1mZbmYD+i/mSkdjDUE&#10;t4QYXrJQWiom3vxRiWCn9KOQyAmmP4uZxG4UUxzGudC+SKqG1SKFP83xN0YP/Rs8YqURMCBLjD9h&#10;DwCjZQIZsVOWg31wFbGZJ+f8b4kl58kjRgbtJ+eu1WA/AlBY1RA52Y8kJWoCSxuoj9gxFtIoOcNv&#10;Wvxut8z5B2ZxdvBb4z7w93hIBX1FYbhR0oD9+dF7sMeWRi0lPc5iRd2PHbOCEvVNY7OfF2UZhjcK&#10;5enZDAX7VrN5q9G77gpCO+DmMTxeg71X41Va6F5wbaxDVFQxzTF2Rbm3o3Dl047AxcPFeh3NcGAN&#10;87f6yfAAHlgNffl8eGHWDM3rse/vYJxbtnzXw8k2eGpY7zzINjb4K68D3zjssXGGxRS2yVs5Wr2u&#10;z9UvAAAA//8DAFBLAwQUAAYACAAAACEAmSApJt0AAAAJAQAADwAAAGRycy9kb3ducmV2LnhtbEyP&#10;wU7DMBBE70j8g7VI3FonRpQQsqlQJThE4kBL7268xBHxOsRuG/4e9wTH0Yxm3lTr2Q3iRFPoPSPk&#10;ywwEcetNzx3Cx+5lUYAIUbPRg2dC+KEA6/r6qtKl8Wd+p9M2diKVcCg1go1xLKUMrSWnw9KPxMn7&#10;9JPTMcmpk2bS51TuBqmybCWd7jktWD3SxlL7tT06hKYgu+/emmH+bna53Ny9+j0pxNub+fkJRKQ5&#10;/oXhgp/QoU5MB39kE8SAkI5EhIVSDyAudv5Y3IM4IKisWIGsK/n/Qf0LAAD//wMAUEsBAi0AFAAG&#10;AAgAAAAhALaDOJL+AAAA4QEAABMAAAAAAAAAAAAAAAAAAAAAAFtDb250ZW50X1R5cGVzXS54bWxQ&#10;SwECLQAUAAYACAAAACEAOP0h/9YAAACUAQAACwAAAAAAAAAAAAAAAAAvAQAAX3JlbHMvLnJlbHNQ&#10;SwECLQAUAAYACAAAACEAcftfsJYCAACGBQAADgAAAAAAAAAAAAAAAAAuAgAAZHJzL2Uyb0RvYy54&#10;bWxQSwECLQAUAAYACAAAACEAmSApJt0AAAAJAQAADwAAAAAAAAAAAAAAAADwBAAAZHJzL2Rvd25y&#10;ZXYueG1sUEsFBgAAAAAEAAQA8wAAAPoFAAAAAA==&#10;" fillcolor="#124486" stroked="f" strokeweight="2pt">
                <w10:wrap anchorx="page"/>
              </v:rect>
            </w:pict>
          </mc:Fallback>
        </mc:AlternateContent>
      </w:r>
      <w:r w:rsidR="00E24EDE" w:rsidRPr="00284845">
        <w:t>Executive summary</w:t>
      </w:r>
      <w:bookmarkEnd w:id="15"/>
    </w:p>
    <w:p w14:paraId="4971B039" w14:textId="77777777" w:rsidR="0048453B" w:rsidRDefault="0048453B" w:rsidP="0048453B">
      <w:pPr>
        <w:rPr>
          <w:rFonts w:cs="Arial"/>
          <w:color w:val="000000" w:themeColor="text1"/>
        </w:rPr>
      </w:pPr>
      <w:r>
        <w:t xml:space="preserve">The Office of Development Effectiveness (ODE) at </w:t>
      </w:r>
      <w:r w:rsidR="00CF5FEE" w:rsidRPr="005A4E6B">
        <w:rPr>
          <w:rFonts w:cs="Arial"/>
          <w:color w:val="000000" w:themeColor="text1"/>
        </w:rPr>
        <w:t>the Department of Foreign Affairs and Trade (DFAT)</w:t>
      </w:r>
      <w:r w:rsidR="00CF5FEE">
        <w:t xml:space="preserve"> builds stronger evidence for more effective aid.</w:t>
      </w:r>
      <w:r w:rsidR="00A74814">
        <w:t xml:space="preserve"> </w:t>
      </w:r>
      <w:r w:rsidR="00CF5FEE">
        <w:t>ODE</w:t>
      </w:r>
      <w:r w:rsidRPr="005A4E6B">
        <w:rPr>
          <w:rFonts w:cs="Arial"/>
          <w:color w:val="000000" w:themeColor="text1"/>
        </w:rPr>
        <w:t xml:space="preserve"> </w:t>
      </w:r>
      <w:r w:rsidR="00CF5FEE">
        <w:t>conducts in-depth evaluations of Australian aid and analysis of aid performance management and reporting systems, to assist the continuous improvement of</w:t>
      </w:r>
      <w:r w:rsidR="0080054E">
        <w:t xml:space="preserve"> the</w:t>
      </w:r>
      <w:r w:rsidR="00CF5FEE">
        <w:t xml:space="preserve"> Australian aid program.</w:t>
      </w:r>
    </w:p>
    <w:p w14:paraId="78A80801" w14:textId="3DAAD8FD" w:rsidR="006A241F" w:rsidRDefault="00E24EDE" w:rsidP="00E24EDE">
      <w:r w:rsidRPr="005A4E6B">
        <w:rPr>
          <w:color w:val="000000" w:themeColor="text1"/>
        </w:rPr>
        <w:t xml:space="preserve">Evaluation of the Australian aid program is </w:t>
      </w:r>
      <w:r w:rsidRPr="005A4E6B">
        <w:rPr>
          <w:rFonts w:cs="Arial"/>
          <w:color w:val="000000" w:themeColor="text1"/>
        </w:rPr>
        <w:t>undertaken at several levels and managed by different areas within DFAT.</w:t>
      </w:r>
      <w:r w:rsidR="00A74814">
        <w:rPr>
          <w:rFonts w:cs="Arial"/>
          <w:color w:val="000000" w:themeColor="text1"/>
        </w:rPr>
        <w:t xml:space="preserve"> </w:t>
      </w:r>
      <w:r w:rsidR="0080054E">
        <w:rPr>
          <w:rFonts w:cs="Arial"/>
          <w:color w:val="000000" w:themeColor="text1"/>
        </w:rPr>
        <w:t>ODE evaluations typically focus on strategic issues or cross-cutting themes, and often entail cross-country comparison and analysis.</w:t>
      </w:r>
      <w:r w:rsidR="00A74814">
        <w:rPr>
          <w:rFonts w:cs="Arial"/>
          <w:color w:val="000000" w:themeColor="text1"/>
        </w:rPr>
        <w:t xml:space="preserve"> </w:t>
      </w:r>
      <w:r w:rsidR="0080054E">
        <w:rPr>
          <w:rFonts w:cs="Arial"/>
          <w:color w:val="000000" w:themeColor="text1"/>
        </w:rPr>
        <w:t xml:space="preserve">ODE (under the guidance of the Independent Evaluation Committee) </w:t>
      </w:r>
      <w:r w:rsidR="00571DF1">
        <w:rPr>
          <w:rFonts w:cs="Arial"/>
          <w:color w:val="000000" w:themeColor="text1"/>
        </w:rPr>
        <w:t xml:space="preserve">publishes </w:t>
      </w:r>
      <w:r w:rsidR="0080054E">
        <w:rPr>
          <w:rFonts w:cs="Arial"/>
          <w:color w:val="000000" w:themeColor="text1"/>
        </w:rPr>
        <w:t>only five or six evaluations each year.</w:t>
      </w:r>
      <w:r w:rsidR="00A74814">
        <w:rPr>
          <w:rFonts w:cs="Arial"/>
          <w:color w:val="000000" w:themeColor="text1"/>
        </w:rPr>
        <w:t xml:space="preserve"> </w:t>
      </w:r>
      <w:r w:rsidR="0080054E">
        <w:rPr>
          <w:rFonts w:cs="Arial"/>
          <w:color w:val="000000" w:themeColor="text1"/>
        </w:rPr>
        <w:t>The vast bulk of DFAT</w:t>
      </w:r>
      <w:r w:rsidR="00744801">
        <w:rPr>
          <w:rFonts w:cs="Arial"/>
          <w:color w:val="000000" w:themeColor="text1"/>
        </w:rPr>
        <w:t>’</w:t>
      </w:r>
      <w:r w:rsidR="0080054E">
        <w:rPr>
          <w:rFonts w:cs="Arial"/>
          <w:color w:val="000000" w:themeColor="text1"/>
        </w:rPr>
        <w:t xml:space="preserve">s independent evaluations are commissioned by the managers of discrete aid </w:t>
      </w:r>
      <w:r w:rsidR="00281CB0">
        <w:rPr>
          <w:rFonts w:cs="Arial"/>
          <w:color w:val="000000" w:themeColor="text1"/>
        </w:rPr>
        <w:t>initiatives</w:t>
      </w:r>
      <w:r w:rsidR="0080054E">
        <w:rPr>
          <w:rFonts w:cs="Arial"/>
          <w:color w:val="000000" w:themeColor="text1"/>
        </w:rPr>
        <w:t>.</w:t>
      </w:r>
      <w:r w:rsidR="00A74814">
        <w:rPr>
          <w:rFonts w:cs="Arial"/>
          <w:color w:val="000000" w:themeColor="text1"/>
        </w:rPr>
        <w:t xml:space="preserve"> </w:t>
      </w:r>
      <w:r w:rsidR="0080054E">
        <w:rPr>
          <w:rFonts w:cs="Arial"/>
          <w:color w:val="000000" w:themeColor="text1"/>
        </w:rPr>
        <w:t xml:space="preserve">These are termed </w:t>
      </w:r>
      <w:r w:rsidR="00744801">
        <w:rPr>
          <w:rFonts w:cs="Arial"/>
          <w:color w:val="000000" w:themeColor="text1"/>
        </w:rPr>
        <w:t>‘</w:t>
      </w:r>
      <w:r w:rsidR="0080054E">
        <w:rPr>
          <w:rFonts w:cs="Arial"/>
          <w:color w:val="000000" w:themeColor="text1"/>
        </w:rPr>
        <w:t>operational</w:t>
      </w:r>
      <w:r w:rsidR="00744801">
        <w:rPr>
          <w:rFonts w:cs="Arial"/>
          <w:color w:val="000000" w:themeColor="text1"/>
        </w:rPr>
        <w:t>’</w:t>
      </w:r>
      <w:r w:rsidR="0080054E">
        <w:rPr>
          <w:rFonts w:cs="Arial"/>
          <w:color w:val="000000" w:themeColor="text1"/>
        </w:rPr>
        <w:t xml:space="preserve"> evaluations to distinguish them from ODE evaluations and </w:t>
      </w:r>
      <w:r w:rsidR="00281CB0">
        <w:rPr>
          <w:rFonts w:cs="Arial"/>
          <w:color w:val="000000" w:themeColor="text1"/>
        </w:rPr>
        <w:t xml:space="preserve">performance audits </w:t>
      </w:r>
      <w:r w:rsidR="0080054E">
        <w:rPr>
          <w:rFonts w:cs="Arial"/>
          <w:color w:val="000000" w:themeColor="text1"/>
        </w:rPr>
        <w:t>undertaken by the Australian National Audit Office.</w:t>
      </w:r>
      <w:r w:rsidR="006A241F">
        <w:rPr>
          <w:rFonts w:cs="Arial"/>
          <w:color w:val="000000" w:themeColor="text1"/>
        </w:rPr>
        <w:t xml:space="preserve"> </w:t>
      </w:r>
      <w:r w:rsidR="006A241F">
        <w:t xml:space="preserve">DFAT policy requires that all significant aid initiatives undergo at least one independent evaluation during their life cycle.   </w:t>
      </w:r>
    </w:p>
    <w:p w14:paraId="06DB7D14" w14:textId="5E5326C5" w:rsidR="0048453B" w:rsidRDefault="00E24EDE" w:rsidP="00E24EDE">
      <w:pPr>
        <w:rPr>
          <w:rFonts w:cs="Arial"/>
          <w:color w:val="000000" w:themeColor="text1"/>
        </w:rPr>
      </w:pPr>
      <w:r w:rsidRPr="005A4E6B">
        <w:rPr>
          <w:rFonts w:cs="Arial"/>
          <w:color w:val="000000" w:themeColor="text1"/>
        </w:rPr>
        <w:t>The 87 independent operational evaluations managed by program areas and completed in 2012 are the subject of this review</w:t>
      </w:r>
      <w:r w:rsidR="00CF5FEE">
        <w:rPr>
          <w:rFonts w:cs="Arial"/>
          <w:color w:val="000000" w:themeColor="text1"/>
        </w:rPr>
        <w:t xml:space="preserve"> by ODE</w:t>
      </w:r>
      <w:r w:rsidRPr="005A4E6B">
        <w:rPr>
          <w:rFonts w:cs="Arial"/>
          <w:color w:val="000000" w:themeColor="text1"/>
        </w:rPr>
        <w:t>.</w:t>
      </w:r>
      <w:r w:rsidR="00A74814">
        <w:rPr>
          <w:rFonts w:cs="Arial"/>
          <w:color w:val="000000" w:themeColor="text1"/>
        </w:rPr>
        <w:t xml:space="preserve"> </w:t>
      </w:r>
      <w:r w:rsidR="001B60A2">
        <w:rPr>
          <w:rFonts w:cs="Arial"/>
          <w:color w:val="000000" w:themeColor="text1"/>
        </w:rPr>
        <w:t xml:space="preserve">This review </w:t>
      </w:r>
      <w:r w:rsidR="00CF5FEE">
        <w:rPr>
          <w:rFonts w:cs="Arial"/>
          <w:color w:val="000000" w:themeColor="text1"/>
        </w:rPr>
        <w:t>assess</w:t>
      </w:r>
      <w:r w:rsidR="001B60A2">
        <w:rPr>
          <w:rFonts w:cs="Arial"/>
          <w:color w:val="000000" w:themeColor="text1"/>
        </w:rPr>
        <w:t>es</w:t>
      </w:r>
      <w:r w:rsidR="001D3B5D">
        <w:rPr>
          <w:rFonts w:cs="Arial"/>
          <w:color w:val="000000" w:themeColor="text1"/>
        </w:rPr>
        <w:t xml:space="preserve"> the quality of the evaluations, considers underlying factors influencing evaluation quality and utility</w:t>
      </w:r>
      <w:r w:rsidR="00CF5FEE">
        <w:rPr>
          <w:rFonts w:cs="Arial"/>
          <w:color w:val="000000" w:themeColor="text1"/>
        </w:rPr>
        <w:t>, and provides recommendations for improving evaluation quality and utility</w:t>
      </w:r>
      <w:r w:rsidR="001D3B5D">
        <w:rPr>
          <w:rFonts w:cs="Arial"/>
          <w:color w:val="000000" w:themeColor="text1"/>
        </w:rPr>
        <w:t>.</w:t>
      </w:r>
      <w:r w:rsidR="00A74814">
        <w:rPr>
          <w:rFonts w:cs="Arial"/>
          <w:color w:val="000000" w:themeColor="text1"/>
        </w:rPr>
        <w:t xml:space="preserve"> </w:t>
      </w:r>
      <w:r w:rsidR="0048453B">
        <w:rPr>
          <w:rFonts w:cs="Arial"/>
          <w:color w:val="000000" w:themeColor="text1"/>
        </w:rPr>
        <w:t xml:space="preserve">(It </w:t>
      </w:r>
      <w:r w:rsidR="00676C47">
        <w:rPr>
          <w:rFonts w:cs="Arial"/>
          <w:color w:val="000000" w:themeColor="text1"/>
        </w:rPr>
        <w:t>was beyond the scope of this review to</w:t>
      </w:r>
      <w:r w:rsidR="0048453B">
        <w:rPr>
          <w:rFonts w:cs="Arial"/>
          <w:color w:val="000000" w:themeColor="text1"/>
        </w:rPr>
        <w:t xml:space="preserve"> </w:t>
      </w:r>
      <w:r w:rsidR="00C06CEF">
        <w:rPr>
          <w:rFonts w:cs="Arial"/>
          <w:color w:val="000000" w:themeColor="text1"/>
        </w:rPr>
        <w:t>look at</w:t>
      </w:r>
      <w:r w:rsidR="0048453B">
        <w:rPr>
          <w:rFonts w:cs="Arial"/>
          <w:color w:val="000000" w:themeColor="text1"/>
        </w:rPr>
        <w:t xml:space="preserve"> the quality or performance of the</w:t>
      </w:r>
      <w:r w:rsidR="00C06CEF">
        <w:rPr>
          <w:rFonts w:cs="Arial"/>
          <w:color w:val="000000" w:themeColor="text1"/>
        </w:rPr>
        <w:t xml:space="preserve"> aid</w:t>
      </w:r>
      <w:r w:rsidR="0048453B">
        <w:rPr>
          <w:rFonts w:cs="Arial"/>
          <w:color w:val="000000" w:themeColor="text1"/>
        </w:rPr>
        <w:t xml:space="preserve"> initiatives themselves.)</w:t>
      </w:r>
    </w:p>
    <w:p w14:paraId="2D5A2B67" w14:textId="4F4AA020" w:rsidR="00E24EDE" w:rsidRPr="005A4E6B" w:rsidRDefault="00E24EDE" w:rsidP="00E24EDE">
      <w:pPr>
        <w:rPr>
          <w:color w:val="000000" w:themeColor="text1"/>
        </w:rPr>
      </w:pPr>
      <w:r w:rsidRPr="005A4E6B">
        <w:rPr>
          <w:color w:val="000000" w:themeColor="text1"/>
        </w:rPr>
        <w:t xml:space="preserve">The timing for this review is opportune, as </w:t>
      </w:r>
      <w:r>
        <w:rPr>
          <w:color w:val="000000" w:themeColor="text1"/>
        </w:rPr>
        <w:t xml:space="preserve">several </w:t>
      </w:r>
      <w:r w:rsidRPr="005A4E6B">
        <w:rPr>
          <w:color w:val="000000" w:themeColor="text1"/>
        </w:rPr>
        <w:t>recent developments</w:t>
      </w:r>
      <w:r w:rsidR="00CB5BD1">
        <w:rPr>
          <w:rFonts w:ascii="Arial" w:hAnsi="Arial" w:cs="Arial"/>
          <w:color w:val="000000" w:themeColor="text1"/>
        </w:rPr>
        <w:t>—</w:t>
      </w:r>
      <w:r w:rsidRPr="005A4E6B">
        <w:rPr>
          <w:color w:val="000000" w:themeColor="text1"/>
        </w:rPr>
        <w:t xml:space="preserve">the introduction of the </w:t>
      </w:r>
      <w:r w:rsidRPr="00281CB0">
        <w:rPr>
          <w:i/>
          <w:color w:val="000000" w:themeColor="text1"/>
        </w:rPr>
        <w:t>Public Governance, Performance, and Accountability Act</w:t>
      </w:r>
      <w:r w:rsidR="00BB287B" w:rsidRPr="00281CB0">
        <w:rPr>
          <w:i/>
          <w:color w:val="000000" w:themeColor="text1"/>
        </w:rPr>
        <w:t xml:space="preserve"> 2013</w:t>
      </w:r>
      <w:r w:rsidRPr="005A4E6B">
        <w:rPr>
          <w:color w:val="000000" w:themeColor="text1"/>
        </w:rPr>
        <w:t xml:space="preserve">, the integration of the former </w:t>
      </w:r>
      <w:r w:rsidR="00571DF1" w:rsidRPr="00DA623A">
        <w:t>Australian Agency for International Development</w:t>
      </w:r>
      <w:r w:rsidR="00571DF1" w:rsidRPr="005A4E6B">
        <w:rPr>
          <w:color w:val="000000" w:themeColor="text1"/>
        </w:rPr>
        <w:t xml:space="preserve"> </w:t>
      </w:r>
      <w:r w:rsidR="00571DF1">
        <w:rPr>
          <w:color w:val="000000" w:themeColor="text1"/>
        </w:rPr>
        <w:t>(</w:t>
      </w:r>
      <w:r w:rsidRPr="005A4E6B">
        <w:rPr>
          <w:color w:val="000000" w:themeColor="text1"/>
        </w:rPr>
        <w:t>AusAID</w:t>
      </w:r>
      <w:r w:rsidR="00571DF1">
        <w:rPr>
          <w:color w:val="000000" w:themeColor="text1"/>
        </w:rPr>
        <w:t>)</w:t>
      </w:r>
      <w:r w:rsidRPr="005A4E6B">
        <w:rPr>
          <w:color w:val="000000" w:themeColor="text1"/>
        </w:rPr>
        <w:t xml:space="preserve"> into DFAT, and the planned simplification of the aid management system</w:t>
      </w:r>
      <w:r w:rsidR="00CB5BD1">
        <w:rPr>
          <w:rFonts w:ascii="Arial" w:hAnsi="Arial" w:cs="Arial"/>
          <w:color w:val="000000" w:themeColor="text1"/>
        </w:rPr>
        <w:t>—</w:t>
      </w:r>
      <w:r w:rsidRPr="005A4E6B">
        <w:rPr>
          <w:color w:val="000000" w:themeColor="text1"/>
        </w:rPr>
        <w:t>open up additional opportunities for DFAT to take a lead role in demonstrating high</w:t>
      </w:r>
      <w:r w:rsidR="00571DF1">
        <w:rPr>
          <w:color w:val="000000" w:themeColor="text1"/>
        </w:rPr>
        <w:t>-</w:t>
      </w:r>
      <w:r w:rsidRPr="005A4E6B">
        <w:rPr>
          <w:color w:val="000000" w:themeColor="text1"/>
        </w:rPr>
        <w:t xml:space="preserve">quality evaluation practice across the Australian Government, and to consider the role of the </w:t>
      </w:r>
      <w:r w:rsidR="00443763">
        <w:rPr>
          <w:color w:val="000000" w:themeColor="text1"/>
        </w:rPr>
        <w:t xml:space="preserve">aid </w:t>
      </w:r>
      <w:r w:rsidRPr="005A4E6B">
        <w:rPr>
          <w:color w:val="000000" w:themeColor="text1"/>
        </w:rPr>
        <w:t>evaluation function within DFAT.</w:t>
      </w:r>
      <w:r w:rsidR="00A74814">
        <w:rPr>
          <w:color w:val="000000" w:themeColor="text1"/>
        </w:rPr>
        <w:t xml:space="preserve"> </w:t>
      </w:r>
    </w:p>
    <w:p w14:paraId="773FDEAA" w14:textId="0F87653E" w:rsidR="00EF328F" w:rsidRDefault="00EF328F" w:rsidP="00EF328F">
      <w:pPr>
        <w:rPr>
          <w:color w:val="000000" w:themeColor="text1"/>
        </w:rPr>
      </w:pPr>
      <w:r>
        <w:rPr>
          <w:color w:val="000000" w:themeColor="text1"/>
        </w:rPr>
        <w:t xml:space="preserve">A </w:t>
      </w:r>
      <w:r w:rsidR="0080054E">
        <w:rPr>
          <w:color w:val="000000" w:themeColor="text1"/>
        </w:rPr>
        <w:t xml:space="preserve">companion </w:t>
      </w:r>
      <w:r>
        <w:rPr>
          <w:color w:val="000000" w:themeColor="text1"/>
        </w:rPr>
        <w:t xml:space="preserve">ODE report, </w:t>
      </w:r>
      <w:r w:rsidR="001B2D9F">
        <w:rPr>
          <w:i/>
          <w:color w:val="000000" w:themeColor="text1"/>
        </w:rPr>
        <w:t>Learning from</w:t>
      </w:r>
      <w:r w:rsidRPr="0048453B">
        <w:rPr>
          <w:i/>
          <w:color w:val="000000" w:themeColor="text1"/>
        </w:rPr>
        <w:t xml:space="preserve"> Australian </w:t>
      </w:r>
      <w:r w:rsidR="00571DF1">
        <w:rPr>
          <w:i/>
          <w:color w:val="000000" w:themeColor="text1"/>
        </w:rPr>
        <w:t>a</w:t>
      </w:r>
      <w:r w:rsidRPr="0048453B">
        <w:rPr>
          <w:i/>
          <w:color w:val="000000" w:themeColor="text1"/>
        </w:rPr>
        <w:t xml:space="preserve">id </w:t>
      </w:r>
      <w:r w:rsidR="00571DF1">
        <w:rPr>
          <w:i/>
          <w:color w:val="000000" w:themeColor="text1"/>
        </w:rPr>
        <w:t>o</w:t>
      </w:r>
      <w:r w:rsidRPr="0048453B">
        <w:rPr>
          <w:i/>
          <w:color w:val="000000" w:themeColor="text1"/>
        </w:rPr>
        <w:t xml:space="preserve">perational </w:t>
      </w:r>
      <w:r w:rsidR="00571DF1">
        <w:rPr>
          <w:i/>
          <w:color w:val="000000" w:themeColor="text1"/>
        </w:rPr>
        <w:t>e</w:t>
      </w:r>
      <w:r w:rsidRPr="0048453B">
        <w:rPr>
          <w:i/>
          <w:color w:val="000000" w:themeColor="text1"/>
        </w:rPr>
        <w:t>valuations</w:t>
      </w:r>
      <w:r>
        <w:rPr>
          <w:color w:val="000000" w:themeColor="text1"/>
        </w:rPr>
        <w:t xml:space="preserve">, synthesises the findings from the </w:t>
      </w:r>
      <w:r w:rsidRPr="008C210C">
        <w:rPr>
          <w:color w:val="000000" w:themeColor="text1"/>
        </w:rPr>
        <w:t>evaluations that were found</w:t>
      </w:r>
      <w:r w:rsidR="00214D89">
        <w:rPr>
          <w:color w:val="000000" w:themeColor="text1"/>
        </w:rPr>
        <w:t xml:space="preserve"> in this review</w:t>
      </w:r>
      <w:r w:rsidRPr="008C210C">
        <w:rPr>
          <w:color w:val="000000" w:themeColor="text1"/>
        </w:rPr>
        <w:t xml:space="preserve"> to contain credible evidence and analysis</w:t>
      </w:r>
      <w:r>
        <w:rPr>
          <w:color w:val="000000" w:themeColor="text1"/>
        </w:rPr>
        <w:t xml:space="preserve">, to </w:t>
      </w:r>
      <w:r>
        <w:rPr>
          <w:rFonts w:cs="Arial"/>
          <w:color w:val="000000" w:themeColor="text1"/>
        </w:rPr>
        <w:t>provide lessons for improving the effectiveness of the Australian aid program.</w:t>
      </w:r>
    </w:p>
    <w:p w14:paraId="684E0E33" w14:textId="77777777" w:rsidR="00E24EDE" w:rsidRDefault="001E066C" w:rsidP="00281CB0">
      <w:pPr>
        <w:pStyle w:val="Heading2a"/>
        <w:rPr>
          <w:noProof/>
        </w:rPr>
      </w:pPr>
      <w:r>
        <w:rPr>
          <w:noProof/>
        </w:rPr>
        <w:t>Findings on q</w:t>
      </w:r>
      <w:r w:rsidR="00E24EDE">
        <w:rPr>
          <w:noProof/>
        </w:rPr>
        <w:t>uality and credibility of evaluations</w:t>
      </w:r>
    </w:p>
    <w:p w14:paraId="1583B0D8" w14:textId="77777777" w:rsidR="00CD3C56" w:rsidRPr="00CD3C56" w:rsidRDefault="00CD3C56" w:rsidP="00CD3C56">
      <w:pPr>
        <w:pStyle w:val="Heading3"/>
      </w:pPr>
      <w:r>
        <w:t>Coverage of the aid program</w:t>
      </w:r>
      <w:r w:rsidR="007406CC">
        <w:t xml:space="preserve"> </w:t>
      </w:r>
      <w:r>
        <w:t>is satisfactory</w:t>
      </w:r>
    </w:p>
    <w:p w14:paraId="7823FAAC" w14:textId="22AF79AD" w:rsidR="00F73A3A" w:rsidRDefault="007406CC" w:rsidP="003D7F35">
      <w:r>
        <w:t>C</w:t>
      </w:r>
      <w:r w:rsidR="00E24EDE" w:rsidRPr="001B6143">
        <w:t xml:space="preserve">ompliance with mandatory operational evaluation requirements </w:t>
      </w:r>
      <w:r w:rsidR="00E24EDE">
        <w:t>wa</w:t>
      </w:r>
      <w:r w:rsidR="00E24EDE" w:rsidRPr="001B6143">
        <w:t>s satisfactory</w:t>
      </w:r>
      <w:r w:rsidR="00571DF1">
        <w:t>. The</w:t>
      </w:r>
      <w:r w:rsidR="00E24EDE" w:rsidRPr="001B6143">
        <w:t xml:space="preserve"> initiatives evaluated </w:t>
      </w:r>
      <w:r w:rsidR="00E24EDE">
        <w:t>were</w:t>
      </w:r>
      <w:r w:rsidR="00E24EDE" w:rsidRPr="001B6143">
        <w:t xml:space="preserve"> diverse in terms of value, sector and geographic region and can be considered broadly representative of the overall </w:t>
      </w:r>
      <w:r w:rsidR="00FA41BE">
        <w:t xml:space="preserve">Australian </w:t>
      </w:r>
      <w:r w:rsidR="00E24EDE" w:rsidRPr="001B6143">
        <w:t>aid program.</w:t>
      </w:r>
      <w:r w:rsidR="00A74814">
        <w:t xml:space="preserve"> </w:t>
      </w:r>
    </w:p>
    <w:p w14:paraId="17549F22" w14:textId="600A1B12" w:rsidR="00E24EDE" w:rsidRPr="001B6143" w:rsidRDefault="00F73A3A" w:rsidP="003D7F35">
      <w:r>
        <w:t xml:space="preserve">About half of </w:t>
      </w:r>
      <w:r w:rsidR="00571DF1">
        <w:t xml:space="preserve">the </w:t>
      </w:r>
      <w:r>
        <w:t>completed operational evaluations were published.</w:t>
      </w:r>
      <w:r w:rsidR="00A74814">
        <w:t xml:space="preserve"> </w:t>
      </w:r>
      <w:r>
        <w:t xml:space="preserve">While this represents a significant increase </w:t>
      </w:r>
      <w:r w:rsidR="00571DF1">
        <w:t xml:space="preserve">from </w:t>
      </w:r>
      <w:r>
        <w:t>previous publication rates, there is still room for improvement</w:t>
      </w:r>
      <w:r w:rsidR="00D926C5">
        <w:t xml:space="preserve">. There is also </w:t>
      </w:r>
      <w:r w:rsidR="00D926C5">
        <w:lastRenderedPageBreak/>
        <w:t>scope</w:t>
      </w:r>
      <w:r>
        <w:t xml:space="preserve"> to improve the accessibility of published evaluations.</w:t>
      </w:r>
      <w:r w:rsidR="00A44BBA">
        <w:t xml:space="preserve">  These improvements would provide greater transparency and support the development of a culture of learning from Australian aid evaluations.</w:t>
      </w:r>
    </w:p>
    <w:p w14:paraId="24699E90" w14:textId="77777777" w:rsidR="00CD3C56" w:rsidRPr="00CD3C56" w:rsidRDefault="00E943C0" w:rsidP="00CD3C56">
      <w:pPr>
        <w:pStyle w:val="Heading3"/>
      </w:pPr>
      <w:r>
        <w:t>The m</w:t>
      </w:r>
      <w:r w:rsidR="00CD3C56">
        <w:t xml:space="preserve">ajority of evaluations </w:t>
      </w:r>
      <w:r w:rsidR="007406CC">
        <w:t>are</w:t>
      </w:r>
      <w:r w:rsidR="00CD3C56">
        <w:t xml:space="preserve"> credible</w:t>
      </w:r>
      <w:r w:rsidR="00CD3C56" w:rsidRPr="00CD3C56">
        <w:t xml:space="preserve"> </w:t>
      </w:r>
    </w:p>
    <w:p w14:paraId="02F4D188" w14:textId="0C4C0790" w:rsidR="00FA41BE" w:rsidRDefault="00167807" w:rsidP="001D3B5D">
      <w:pPr>
        <w:rPr>
          <w:color w:val="000000" w:themeColor="text1"/>
        </w:rPr>
      </w:pPr>
      <w:r>
        <w:rPr>
          <w:color w:val="000000" w:themeColor="text1"/>
        </w:rPr>
        <w:t>T</w:t>
      </w:r>
      <w:r w:rsidR="00E24EDE" w:rsidRPr="00A22487">
        <w:rPr>
          <w:color w:val="000000" w:themeColor="text1"/>
        </w:rPr>
        <w:t>he</w:t>
      </w:r>
      <w:r w:rsidR="00E24EDE">
        <w:rPr>
          <w:color w:val="000000" w:themeColor="text1"/>
        </w:rPr>
        <w:t xml:space="preserve"> overall</w:t>
      </w:r>
      <w:r w:rsidR="00E24EDE" w:rsidRPr="00A22487">
        <w:rPr>
          <w:color w:val="000000" w:themeColor="text1"/>
        </w:rPr>
        <w:t xml:space="preserve"> credibility of the evidence and analysis in the evaluation reports </w:t>
      </w:r>
      <w:r>
        <w:rPr>
          <w:color w:val="000000" w:themeColor="text1"/>
        </w:rPr>
        <w:t>was</w:t>
      </w:r>
      <w:r w:rsidR="00E24EDE" w:rsidRPr="00A22487">
        <w:rPr>
          <w:color w:val="000000" w:themeColor="text1"/>
        </w:rPr>
        <w:t xml:space="preserve"> </w:t>
      </w:r>
      <w:r w:rsidR="00974891">
        <w:rPr>
          <w:color w:val="000000" w:themeColor="text1"/>
        </w:rPr>
        <w:t>satisfactory</w:t>
      </w:r>
      <w:r w:rsidR="00E24EDE" w:rsidRPr="00A22487">
        <w:rPr>
          <w:color w:val="000000" w:themeColor="text1"/>
        </w:rPr>
        <w:t xml:space="preserve"> in 74</w:t>
      </w:r>
      <w:r w:rsidR="00D926C5">
        <w:rPr>
          <w:color w:val="000000" w:themeColor="text1"/>
        </w:rPr>
        <w:t> </w:t>
      </w:r>
      <w:r w:rsidR="00E24EDE" w:rsidRPr="00A22487">
        <w:rPr>
          <w:color w:val="000000" w:themeColor="text1"/>
        </w:rPr>
        <w:t xml:space="preserve">per cent of </w:t>
      </w:r>
      <w:r w:rsidR="00974891">
        <w:rPr>
          <w:color w:val="000000" w:themeColor="text1"/>
        </w:rPr>
        <w:t>cases</w:t>
      </w:r>
      <w:r w:rsidR="00E24EDE">
        <w:rPr>
          <w:color w:val="000000" w:themeColor="text1"/>
        </w:rPr>
        <w:t>.</w:t>
      </w:r>
      <w:r w:rsidR="00A74814">
        <w:rPr>
          <w:color w:val="000000" w:themeColor="text1"/>
        </w:rPr>
        <w:t xml:space="preserve"> </w:t>
      </w:r>
      <w:r w:rsidR="00427762">
        <w:rPr>
          <w:color w:val="000000" w:themeColor="text1"/>
        </w:rPr>
        <w:t>Most</w:t>
      </w:r>
      <w:r w:rsidR="0057532A">
        <w:rPr>
          <w:color w:val="000000" w:themeColor="text1"/>
        </w:rPr>
        <w:t xml:space="preserve"> evaluations satisfactorily assessed the relevance and effectiveness of the aid initiative</w:t>
      </w:r>
      <w:r w:rsidR="00427762">
        <w:rPr>
          <w:color w:val="000000" w:themeColor="text1"/>
        </w:rPr>
        <w:t>, which</w:t>
      </w:r>
      <w:r w:rsidR="00E24EDE" w:rsidRPr="00A22487">
        <w:rPr>
          <w:color w:val="000000" w:themeColor="text1"/>
        </w:rPr>
        <w:t xml:space="preserve"> indicates </w:t>
      </w:r>
      <w:r w:rsidR="00E24EDE" w:rsidRPr="005F29F2">
        <w:rPr>
          <w:color w:val="000000" w:themeColor="text1"/>
        </w:rPr>
        <w:t xml:space="preserve">that operational evaluations are </w:t>
      </w:r>
      <w:r w:rsidR="00E24EDE">
        <w:rPr>
          <w:color w:val="000000" w:themeColor="text1"/>
        </w:rPr>
        <w:t xml:space="preserve">generally </w:t>
      </w:r>
      <w:r w:rsidR="00E24EDE" w:rsidRPr="005F29F2">
        <w:rPr>
          <w:color w:val="000000" w:themeColor="text1"/>
        </w:rPr>
        <w:t xml:space="preserve">a robust source of evidence about </w:t>
      </w:r>
      <w:r w:rsidR="00E24EDE" w:rsidRPr="007B1DDF">
        <w:rPr>
          <w:color w:val="000000" w:themeColor="text1"/>
        </w:rPr>
        <w:t>the effectiveness of the Australian aid program.</w:t>
      </w:r>
      <w:r w:rsidR="00A74814">
        <w:rPr>
          <w:color w:val="000000" w:themeColor="text1"/>
        </w:rPr>
        <w:t xml:space="preserve"> </w:t>
      </w:r>
    </w:p>
    <w:p w14:paraId="0517125F" w14:textId="1F4121B4" w:rsidR="00EF328F" w:rsidRDefault="0053433F" w:rsidP="0053433F">
      <w:pPr>
        <w:rPr>
          <w:color w:val="000000" w:themeColor="text1"/>
        </w:rPr>
      </w:pPr>
      <w:r w:rsidRPr="007B1DDF">
        <w:rPr>
          <w:color w:val="000000" w:themeColor="text1"/>
        </w:rPr>
        <w:t xml:space="preserve">Report quality could, however, be improved by </w:t>
      </w:r>
      <w:r w:rsidR="00F173ED">
        <w:rPr>
          <w:color w:val="000000" w:themeColor="text1"/>
        </w:rPr>
        <w:t xml:space="preserve">a </w:t>
      </w:r>
      <w:r w:rsidRPr="007B1DDF">
        <w:rPr>
          <w:color w:val="000000" w:themeColor="text1"/>
        </w:rPr>
        <w:t xml:space="preserve">stronger focus on analysis of the extent to which </w:t>
      </w:r>
      <w:r w:rsidR="00F173ED">
        <w:rPr>
          <w:color w:val="000000" w:themeColor="text1"/>
        </w:rPr>
        <w:t xml:space="preserve">the aid </w:t>
      </w:r>
      <w:r w:rsidRPr="00A22487">
        <w:rPr>
          <w:color w:val="000000" w:themeColor="text1"/>
        </w:rPr>
        <w:t>initiatives contribute to the outcomes observed</w:t>
      </w:r>
      <w:r>
        <w:rPr>
          <w:color w:val="000000" w:themeColor="text1"/>
        </w:rPr>
        <w:t xml:space="preserve"> and on </w:t>
      </w:r>
      <w:r w:rsidRPr="00A22487">
        <w:rPr>
          <w:color w:val="000000" w:themeColor="text1"/>
        </w:rPr>
        <w:t>the influence of context on initiative performance.</w:t>
      </w:r>
      <w:r w:rsidR="00A74814">
        <w:rPr>
          <w:color w:val="000000" w:themeColor="text1"/>
        </w:rPr>
        <w:t xml:space="preserve"> </w:t>
      </w:r>
    </w:p>
    <w:p w14:paraId="61287053" w14:textId="34B12648" w:rsidR="00EF328F" w:rsidRDefault="0044432E" w:rsidP="0053433F">
      <w:pPr>
        <w:rPr>
          <w:color w:val="000000" w:themeColor="text1"/>
        </w:rPr>
      </w:pPr>
      <w:r>
        <w:rPr>
          <w:color w:val="000000" w:themeColor="text1"/>
        </w:rPr>
        <w:t>Evaluation</w:t>
      </w:r>
      <w:r w:rsidR="00EF328F">
        <w:rPr>
          <w:color w:val="000000" w:themeColor="text1"/>
        </w:rPr>
        <w:t xml:space="preserve"> quality could also be improved by taking a broader view of efficiency</w:t>
      </w:r>
      <w:r w:rsidR="00172854">
        <w:rPr>
          <w:color w:val="000000" w:themeColor="text1"/>
        </w:rPr>
        <w:t xml:space="preserve">, including more substantive engagement with broader issues of </w:t>
      </w:r>
      <w:r w:rsidR="00172854">
        <w:rPr>
          <w:rFonts w:eastAsiaTheme="minorEastAsia"/>
          <w:kern w:val="24"/>
        </w:rPr>
        <w:t>value for money such as cost-efficiency or cost-effectiveness</w:t>
      </w:r>
      <w:r w:rsidR="00EE4684">
        <w:rPr>
          <w:rFonts w:eastAsiaTheme="minorEastAsia"/>
          <w:kern w:val="24"/>
        </w:rPr>
        <w:t>.</w:t>
      </w:r>
      <w:r w:rsidR="00172854">
        <w:rPr>
          <w:rFonts w:eastAsiaTheme="minorEastAsia"/>
          <w:kern w:val="24"/>
        </w:rPr>
        <w:t xml:space="preserve"> </w:t>
      </w:r>
      <w:r w:rsidR="00EE4684">
        <w:rPr>
          <w:rFonts w:eastAsiaTheme="minorEastAsia"/>
          <w:kern w:val="24"/>
        </w:rPr>
        <w:t>H</w:t>
      </w:r>
      <w:r w:rsidR="00172854">
        <w:rPr>
          <w:rFonts w:eastAsiaTheme="minorEastAsia"/>
          <w:kern w:val="24"/>
        </w:rPr>
        <w:t>owever</w:t>
      </w:r>
      <w:r w:rsidR="00DC4C2C">
        <w:rPr>
          <w:rFonts w:eastAsiaTheme="minorEastAsia"/>
          <w:kern w:val="24"/>
        </w:rPr>
        <w:t>,</w:t>
      </w:r>
      <w:r w:rsidR="00172854">
        <w:rPr>
          <w:rFonts w:eastAsiaTheme="minorEastAsia"/>
          <w:kern w:val="24"/>
        </w:rPr>
        <w:t xml:space="preserve"> a full </w:t>
      </w:r>
      <w:r w:rsidR="00DC4C2C">
        <w:rPr>
          <w:rFonts w:eastAsiaTheme="minorEastAsia"/>
          <w:kern w:val="24"/>
        </w:rPr>
        <w:t xml:space="preserve">value for money </w:t>
      </w:r>
      <w:r w:rsidR="00172854">
        <w:rPr>
          <w:rFonts w:eastAsiaTheme="minorEastAsia"/>
          <w:kern w:val="24"/>
        </w:rPr>
        <w:t>analysis may be beyond the scope of most evaluations.</w:t>
      </w:r>
    </w:p>
    <w:p w14:paraId="6769F842" w14:textId="0925D23C" w:rsidR="0053433F" w:rsidRDefault="0053433F" w:rsidP="0053433F">
      <w:pPr>
        <w:rPr>
          <w:color w:val="000000" w:themeColor="text1"/>
        </w:rPr>
      </w:pPr>
      <w:r>
        <w:rPr>
          <w:color w:val="000000" w:themeColor="text1"/>
        </w:rPr>
        <w:t>The quality of the evaluations</w:t>
      </w:r>
      <w:r w:rsidR="00744801">
        <w:rPr>
          <w:color w:val="000000" w:themeColor="text1"/>
        </w:rPr>
        <w:t>’</w:t>
      </w:r>
      <w:r>
        <w:rPr>
          <w:color w:val="000000" w:themeColor="text1"/>
        </w:rPr>
        <w:t xml:space="preserve"> assessments of initiative sustainability and advancement of gender equality could also be improved. </w:t>
      </w:r>
    </w:p>
    <w:p w14:paraId="6765DDE8" w14:textId="54A5A00D" w:rsidR="0053433F" w:rsidRDefault="00167807" w:rsidP="00E24EDE">
      <w:pPr>
        <w:rPr>
          <w:color w:val="000000" w:themeColor="text1"/>
        </w:rPr>
      </w:pPr>
      <w:r>
        <w:rPr>
          <w:color w:val="000000" w:themeColor="text1"/>
        </w:rPr>
        <w:t>U</w:t>
      </w:r>
      <w:r w:rsidR="0053433F" w:rsidRPr="00D10D8F">
        <w:rPr>
          <w:color w:val="000000" w:themeColor="text1"/>
        </w:rPr>
        <w:t xml:space="preserve">p to a point, higher initiative value corresponded </w:t>
      </w:r>
      <w:r w:rsidR="00EE4684">
        <w:rPr>
          <w:color w:val="000000" w:themeColor="text1"/>
        </w:rPr>
        <w:t>to</w:t>
      </w:r>
      <w:r w:rsidR="00EE4684" w:rsidRPr="00D10D8F">
        <w:rPr>
          <w:color w:val="000000" w:themeColor="text1"/>
        </w:rPr>
        <w:t xml:space="preserve"> </w:t>
      </w:r>
      <w:r w:rsidR="0053433F">
        <w:rPr>
          <w:color w:val="000000" w:themeColor="text1"/>
        </w:rPr>
        <w:t>better</w:t>
      </w:r>
      <w:r w:rsidR="0053433F" w:rsidRPr="00D10D8F">
        <w:rPr>
          <w:color w:val="000000" w:themeColor="text1"/>
        </w:rPr>
        <w:t xml:space="preserve"> evaluation quality.</w:t>
      </w:r>
      <w:r w:rsidR="00A74814">
        <w:rPr>
          <w:color w:val="000000" w:themeColor="text1"/>
        </w:rPr>
        <w:t xml:space="preserve"> </w:t>
      </w:r>
      <w:r w:rsidR="0053433F" w:rsidRPr="00D10D8F">
        <w:rPr>
          <w:color w:val="000000" w:themeColor="text1"/>
        </w:rPr>
        <w:t>However,</w:t>
      </w:r>
      <w:r w:rsidR="00174807">
        <w:rPr>
          <w:color w:val="000000" w:themeColor="text1"/>
        </w:rPr>
        <w:t xml:space="preserve"> it was concerning that</w:t>
      </w:r>
      <w:r w:rsidR="0053433F" w:rsidRPr="00D10D8F">
        <w:rPr>
          <w:color w:val="000000" w:themeColor="text1"/>
        </w:rPr>
        <w:t xml:space="preserve"> a higher than average proportion of evaluations for very large initiatives ($100</w:t>
      </w:r>
      <w:r w:rsidR="00EE4684">
        <w:rPr>
          <w:color w:val="000000" w:themeColor="text1"/>
        </w:rPr>
        <w:t> </w:t>
      </w:r>
      <w:r w:rsidR="0053433F" w:rsidRPr="00D10D8F">
        <w:rPr>
          <w:color w:val="000000" w:themeColor="text1"/>
        </w:rPr>
        <w:t xml:space="preserve">million or greater value) </w:t>
      </w:r>
      <w:r w:rsidR="0053433F">
        <w:rPr>
          <w:color w:val="000000" w:themeColor="text1"/>
        </w:rPr>
        <w:t xml:space="preserve">were found to be </w:t>
      </w:r>
      <w:r w:rsidR="0053433F" w:rsidRPr="00D10D8F">
        <w:rPr>
          <w:color w:val="000000" w:themeColor="text1"/>
        </w:rPr>
        <w:t>to be</w:t>
      </w:r>
      <w:r w:rsidR="00EE4684">
        <w:rPr>
          <w:color w:val="000000" w:themeColor="text1"/>
        </w:rPr>
        <w:t xml:space="preserve"> of</w:t>
      </w:r>
      <w:r w:rsidR="0053433F" w:rsidRPr="00D10D8F">
        <w:rPr>
          <w:color w:val="000000" w:themeColor="text1"/>
        </w:rPr>
        <w:t xml:space="preserve"> inadequate quality</w:t>
      </w:r>
      <w:r w:rsidR="00174807">
        <w:rPr>
          <w:color w:val="000000" w:themeColor="text1"/>
        </w:rPr>
        <w:t>.</w:t>
      </w:r>
      <w:r w:rsidR="00A74814">
        <w:rPr>
          <w:color w:val="000000" w:themeColor="text1"/>
        </w:rPr>
        <w:t xml:space="preserve"> </w:t>
      </w:r>
      <w:r w:rsidR="00174807">
        <w:rPr>
          <w:color w:val="000000" w:themeColor="text1"/>
        </w:rPr>
        <w:t>This may in part reflect the complexity of very large initiatives, and suggests</w:t>
      </w:r>
      <w:r w:rsidR="0053433F">
        <w:rPr>
          <w:color w:val="000000" w:themeColor="text1"/>
        </w:rPr>
        <w:t xml:space="preserve"> a need to focus on improving quality for these </w:t>
      </w:r>
      <w:r w:rsidR="00443763">
        <w:rPr>
          <w:color w:val="000000" w:themeColor="text1"/>
        </w:rPr>
        <w:t xml:space="preserve">important </w:t>
      </w:r>
      <w:r w:rsidR="0053433F">
        <w:rPr>
          <w:color w:val="000000" w:themeColor="text1"/>
        </w:rPr>
        <w:t>evaluations</w:t>
      </w:r>
      <w:r w:rsidR="0053433F" w:rsidRPr="00D10D8F">
        <w:rPr>
          <w:color w:val="000000" w:themeColor="text1"/>
        </w:rPr>
        <w:t>.</w:t>
      </w:r>
      <w:r w:rsidR="00A74814">
        <w:rPr>
          <w:color w:val="000000" w:themeColor="text1"/>
        </w:rPr>
        <w:t xml:space="preserve"> </w:t>
      </w:r>
    </w:p>
    <w:p w14:paraId="49FEF6A1" w14:textId="77777777" w:rsidR="00E943C0" w:rsidRPr="007B1DDF" w:rsidRDefault="00E943C0" w:rsidP="00E943C0">
      <w:pPr>
        <w:rPr>
          <w:color w:val="000000" w:themeColor="text1"/>
        </w:rPr>
      </w:pPr>
      <w:r>
        <w:rPr>
          <w:color w:val="000000" w:themeColor="text1"/>
        </w:rPr>
        <w:t xml:space="preserve">It is also worth noting </w:t>
      </w:r>
      <w:r w:rsidRPr="007B1DDF">
        <w:rPr>
          <w:color w:val="000000" w:themeColor="text1"/>
        </w:rPr>
        <w:t>that</w:t>
      </w:r>
      <w:r>
        <w:rPr>
          <w:color w:val="000000" w:themeColor="text1"/>
        </w:rPr>
        <w:t>,</w:t>
      </w:r>
      <w:r w:rsidRPr="007B1DDF">
        <w:rPr>
          <w:color w:val="000000" w:themeColor="text1"/>
        </w:rPr>
        <w:t xml:space="preserve"> overall</w:t>
      </w:r>
      <w:r>
        <w:rPr>
          <w:color w:val="000000" w:themeColor="text1"/>
        </w:rPr>
        <w:t>,</w:t>
      </w:r>
      <w:r w:rsidRPr="007B1DDF">
        <w:rPr>
          <w:color w:val="000000" w:themeColor="text1"/>
        </w:rPr>
        <w:t xml:space="preserve"> the quality of evaluations managed</w:t>
      </w:r>
      <w:r>
        <w:rPr>
          <w:color w:val="000000" w:themeColor="text1"/>
        </w:rPr>
        <w:t xml:space="preserve"> wholly</w:t>
      </w:r>
      <w:r w:rsidRPr="007B1DDF">
        <w:rPr>
          <w:color w:val="000000" w:themeColor="text1"/>
        </w:rPr>
        <w:t xml:space="preserve"> by the former AusAID was</w:t>
      </w:r>
      <w:r>
        <w:rPr>
          <w:color w:val="000000" w:themeColor="text1"/>
        </w:rPr>
        <w:t xml:space="preserve"> found to be</w:t>
      </w:r>
      <w:r w:rsidRPr="007B1DDF">
        <w:rPr>
          <w:color w:val="000000" w:themeColor="text1"/>
        </w:rPr>
        <w:t xml:space="preserve"> at least as good as that of joint evaluations</w:t>
      </w:r>
      <w:r>
        <w:rPr>
          <w:color w:val="000000" w:themeColor="text1"/>
        </w:rPr>
        <w:t xml:space="preserve"> led by partners</w:t>
      </w:r>
      <w:r w:rsidRPr="007B1DDF">
        <w:rPr>
          <w:color w:val="000000" w:themeColor="text1"/>
        </w:rPr>
        <w:t>, and that this was generally achieved with fewer resources.</w:t>
      </w:r>
      <w:r>
        <w:rPr>
          <w:color w:val="000000" w:themeColor="text1"/>
        </w:rPr>
        <w:t xml:space="preserve"> </w:t>
      </w:r>
    </w:p>
    <w:p w14:paraId="5548672A" w14:textId="77777777" w:rsidR="00CD3C56" w:rsidRPr="00CD3C56" w:rsidRDefault="00427762" w:rsidP="00CD3C56">
      <w:pPr>
        <w:pStyle w:val="Heading3"/>
      </w:pPr>
      <w:r>
        <w:t xml:space="preserve">The </w:t>
      </w:r>
      <w:r w:rsidR="00FE2B29">
        <w:t xml:space="preserve">design of </w:t>
      </w:r>
      <w:r w:rsidR="007406CC">
        <w:t>evaluations could be improved</w:t>
      </w:r>
    </w:p>
    <w:p w14:paraId="55AA8694" w14:textId="0AF435E5" w:rsidR="00E24EDE" w:rsidRDefault="006A7E74" w:rsidP="00E24EDE">
      <w:pPr>
        <w:rPr>
          <w:color w:val="000000" w:themeColor="text1"/>
        </w:rPr>
      </w:pPr>
      <w:r>
        <w:rPr>
          <w:color w:val="000000" w:themeColor="text1"/>
        </w:rPr>
        <w:t>Greater attention to</w:t>
      </w:r>
      <w:r w:rsidR="00340355">
        <w:rPr>
          <w:color w:val="000000" w:themeColor="text1"/>
        </w:rPr>
        <w:t xml:space="preserve"> </w:t>
      </w:r>
      <w:r w:rsidR="00340355" w:rsidRPr="005375C2">
        <w:rPr>
          <w:color w:val="000000" w:themeColor="text1"/>
        </w:rPr>
        <w:t>the evaluation design phase (ev</w:t>
      </w:r>
      <w:r w:rsidR="00340355">
        <w:rPr>
          <w:color w:val="000000" w:themeColor="text1"/>
        </w:rPr>
        <w:t>aluation terms of reference and</w:t>
      </w:r>
      <w:r w:rsidR="00340355" w:rsidRPr="005375C2">
        <w:rPr>
          <w:color w:val="000000" w:themeColor="text1"/>
        </w:rPr>
        <w:t xml:space="preserve"> evaluation plans) may </w:t>
      </w:r>
      <w:r w:rsidR="00340355">
        <w:rPr>
          <w:color w:val="000000" w:themeColor="text1"/>
        </w:rPr>
        <w:t xml:space="preserve">also </w:t>
      </w:r>
      <w:r w:rsidR="00340355" w:rsidRPr="005375C2">
        <w:rPr>
          <w:color w:val="000000" w:themeColor="text1"/>
        </w:rPr>
        <w:t xml:space="preserve">help </w:t>
      </w:r>
      <w:r w:rsidR="00340355">
        <w:rPr>
          <w:color w:val="000000" w:themeColor="text1"/>
        </w:rPr>
        <w:t>strengthen</w:t>
      </w:r>
      <w:r w:rsidR="00340355" w:rsidRPr="005375C2">
        <w:rPr>
          <w:color w:val="000000" w:themeColor="text1"/>
        </w:rPr>
        <w:t xml:space="preserve"> overall evaluation quality.</w:t>
      </w:r>
      <w:r w:rsidR="00A74814">
        <w:rPr>
          <w:color w:val="000000" w:themeColor="text1"/>
        </w:rPr>
        <w:t xml:space="preserve"> </w:t>
      </w:r>
      <w:r w:rsidR="00340355">
        <w:rPr>
          <w:color w:val="000000" w:themeColor="text1"/>
        </w:rPr>
        <w:t>W</w:t>
      </w:r>
      <w:r w:rsidR="00E24EDE" w:rsidRPr="00CA75F2">
        <w:rPr>
          <w:color w:val="000000" w:themeColor="text1"/>
        </w:rPr>
        <w:t>e found that most evaluations had a clear purpose but just over half did not assess the</w:t>
      </w:r>
      <w:r w:rsidR="00E24EDE">
        <w:rPr>
          <w:color w:val="000000" w:themeColor="text1"/>
        </w:rPr>
        <w:t xml:space="preserve"> underlying</w:t>
      </w:r>
      <w:r w:rsidR="00E24EDE" w:rsidRPr="00CA75F2">
        <w:rPr>
          <w:color w:val="000000" w:themeColor="text1"/>
        </w:rPr>
        <w:t xml:space="preserve"> logic of the intervention or had a weak assessment </w:t>
      </w:r>
      <w:r w:rsidR="001266B1">
        <w:rPr>
          <w:color w:val="000000" w:themeColor="text1"/>
        </w:rPr>
        <w:t>and/</w:t>
      </w:r>
      <w:r w:rsidR="00E24EDE">
        <w:rPr>
          <w:color w:val="000000" w:themeColor="text1"/>
        </w:rPr>
        <w:t xml:space="preserve">or </w:t>
      </w:r>
      <w:r w:rsidR="00E24EDE" w:rsidRPr="00CA75F2">
        <w:rPr>
          <w:color w:val="000000" w:themeColor="text1"/>
        </w:rPr>
        <w:t>did not adequately justify the evaluation methodology used.</w:t>
      </w:r>
      <w:r w:rsidR="00A74814">
        <w:rPr>
          <w:color w:val="000000" w:themeColor="text1"/>
        </w:rPr>
        <w:t xml:space="preserve"> </w:t>
      </w:r>
      <w:r w:rsidR="00443763">
        <w:rPr>
          <w:color w:val="000000" w:themeColor="text1"/>
        </w:rPr>
        <w:t xml:space="preserve">This in part reflects the absence of any specific guidelines requiring either an assessment of the underlying logic or </w:t>
      </w:r>
      <w:r w:rsidR="00E240B3">
        <w:rPr>
          <w:color w:val="000000" w:themeColor="text1"/>
        </w:rPr>
        <w:t xml:space="preserve">a </w:t>
      </w:r>
      <w:r w:rsidR="00443763">
        <w:rPr>
          <w:color w:val="000000" w:themeColor="text1"/>
        </w:rPr>
        <w:t>justification of methodology.</w:t>
      </w:r>
      <w:r w:rsidR="00A74814">
        <w:rPr>
          <w:color w:val="000000" w:themeColor="text1"/>
        </w:rPr>
        <w:t xml:space="preserve"> </w:t>
      </w:r>
      <w:r w:rsidR="00443763">
        <w:rPr>
          <w:color w:val="000000" w:themeColor="text1"/>
        </w:rPr>
        <w:t>It may also relate to the capacity of non-specialist staff to commission high</w:t>
      </w:r>
      <w:r w:rsidR="00E240B3">
        <w:rPr>
          <w:color w:val="000000" w:themeColor="text1"/>
        </w:rPr>
        <w:t>-</w:t>
      </w:r>
      <w:r w:rsidR="00443763">
        <w:rPr>
          <w:color w:val="000000" w:themeColor="text1"/>
        </w:rPr>
        <w:t>quality evaluations.</w:t>
      </w:r>
      <w:r w:rsidR="00A74814">
        <w:rPr>
          <w:color w:val="000000" w:themeColor="text1"/>
        </w:rPr>
        <w:t xml:space="preserve"> </w:t>
      </w:r>
      <w:r w:rsidR="00443763">
        <w:rPr>
          <w:color w:val="000000" w:themeColor="text1"/>
        </w:rPr>
        <w:t>This finding suggests a need to focus greater support and quality assurance efforts at this early stage.</w:t>
      </w:r>
      <w:r w:rsidR="00A74814">
        <w:rPr>
          <w:color w:val="000000" w:themeColor="text1"/>
        </w:rPr>
        <w:t xml:space="preserve"> </w:t>
      </w:r>
    </w:p>
    <w:p w14:paraId="09F9D12F" w14:textId="77777777" w:rsidR="00E24EDE" w:rsidRPr="003E7D70" w:rsidRDefault="00E24EDE" w:rsidP="00167807">
      <w:pPr>
        <w:pStyle w:val="Heading2a"/>
        <w:rPr>
          <w:noProof/>
        </w:rPr>
      </w:pPr>
      <w:r w:rsidRPr="003E7D70">
        <w:rPr>
          <w:noProof/>
        </w:rPr>
        <w:t>Factors influencing evaluation quality and utility</w:t>
      </w:r>
    </w:p>
    <w:p w14:paraId="4FDA9D63" w14:textId="77777777" w:rsidR="00605AFF" w:rsidRDefault="00605AFF" w:rsidP="00097C4E">
      <w:pPr>
        <w:pStyle w:val="Heading3"/>
        <w:ind w:left="0" w:firstLine="0"/>
      </w:pPr>
      <w:r>
        <w:t>The quality of an initiative</w:t>
      </w:r>
      <w:r w:rsidR="00744801">
        <w:t>’</w:t>
      </w:r>
      <w:r>
        <w:t>s monitoring and evaluation system affects evaluation quality</w:t>
      </w:r>
    </w:p>
    <w:p w14:paraId="10D4CA57" w14:textId="1A035F64" w:rsidR="00424513" w:rsidRDefault="00424513" w:rsidP="00424513">
      <w:pPr>
        <w:rPr>
          <w:color w:val="000000" w:themeColor="text1"/>
        </w:rPr>
      </w:pPr>
      <w:r w:rsidRPr="00424513">
        <w:rPr>
          <w:color w:val="000000" w:themeColor="text1"/>
        </w:rPr>
        <w:t>The quality of evidence available to an evaluation team will depend in part o</w:t>
      </w:r>
      <w:r w:rsidR="00E240B3">
        <w:rPr>
          <w:color w:val="000000" w:themeColor="text1"/>
        </w:rPr>
        <w:t>n</w:t>
      </w:r>
      <w:r w:rsidRPr="00424513">
        <w:rPr>
          <w:color w:val="000000" w:themeColor="text1"/>
        </w:rPr>
        <w:t xml:space="preserve"> the quality of the initiative</w:t>
      </w:r>
      <w:r w:rsidR="00744801">
        <w:rPr>
          <w:color w:val="000000" w:themeColor="text1"/>
        </w:rPr>
        <w:t>’</w:t>
      </w:r>
      <w:r w:rsidRPr="00424513">
        <w:rPr>
          <w:color w:val="000000" w:themeColor="text1"/>
        </w:rPr>
        <w:t xml:space="preserve">s </w:t>
      </w:r>
      <w:r w:rsidR="00E240B3">
        <w:rPr>
          <w:color w:val="000000" w:themeColor="text1"/>
        </w:rPr>
        <w:t>m</w:t>
      </w:r>
      <w:r w:rsidR="00605AFF">
        <w:rPr>
          <w:color w:val="000000" w:themeColor="text1"/>
        </w:rPr>
        <w:t xml:space="preserve">onitoring and </w:t>
      </w:r>
      <w:r w:rsidR="00E240B3">
        <w:rPr>
          <w:color w:val="000000" w:themeColor="text1"/>
        </w:rPr>
        <w:t>e</w:t>
      </w:r>
      <w:r w:rsidR="00605AFF">
        <w:rPr>
          <w:color w:val="000000" w:themeColor="text1"/>
        </w:rPr>
        <w:t>valuation (</w:t>
      </w:r>
      <w:r w:rsidRPr="00424513">
        <w:rPr>
          <w:color w:val="000000" w:themeColor="text1"/>
        </w:rPr>
        <w:t>M&amp;E</w:t>
      </w:r>
      <w:r w:rsidR="00605AFF">
        <w:rPr>
          <w:color w:val="000000" w:themeColor="text1"/>
        </w:rPr>
        <w:t>)</w:t>
      </w:r>
      <w:r w:rsidRPr="00424513">
        <w:rPr>
          <w:color w:val="000000" w:themeColor="text1"/>
        </w:rPr>
        <w:t xml:space="preserve"> system, which </w:t>
      </w:r>
      <w:r w:rsidR="00605AFF">
        <w:rPr>
          <w:color w:val="000000" w:themeColor="text1"/>
        </w:rPr>
        <w:t>is</w:t>
      </w:r>
      <w:r w:rsidRPr="00424513">
        <w:rPr>
          <w:color w:val="000000" w:themeColor="text1"/>
        </w:rPr>
        <w:t xml:space="preserve"> intended to generate performance information over the life of the initiative.</w:t>
      </w:r>
      <w:r w:rsidR="00A74814">
        <w:rPr>
          <w:color w:val="000000" w:themeColor="text1"/>
        </w:rPr>
        <w:t xml:space="preserve"> </w:t>
      </w:r>
      <w:r w:rsidR="006A5B2F">
        <w:rPr>
          <w:color w:val="000000" w:themeColor="text1"/>
        </w:rPr>
        <w:t>W</w:t>
      </w:r>
      <w:r w:rsidR="00605AFF">
        <w:rPr>
          <w:color w:val="000000" w:themeColor="text1"/>
        </w:rPr>
        <w:t xml:space="preserve">e were </w:t>
      </w:r>
      <w:r w:rsidRPr="00424513">
        <w:rPr>
          <w:color w:val="000000" w:themeColor="text1"/>
        </w:rPr>
        <w:t xml:space="preserve">unable to </w:t>
      </w:r>
      <w:r w:rsidR="006A5B2F">
        <w:rPr>
          <w:color w:val="000000" w:themeColor="text1"/>
        </w:rPr>
        <w:t>determine</w:t>
      </w:r>
      <w:r w:rsidRPr="00424513">
        <w:rPr>
          <w:color w:val="000000" w:themeColor="text1"/>
        </w:rPr>
        <w:t xml:space="preserve"> the</w:t>
      </w:r>
      <w:r w:rsidR="006A5B2F">
        <w:rPr>
          <w:color w:val="000000" w:themeColor="text1"/>
        </w:rPr>
        <w:t xml:space="preserve"> precise</w:t>
      </w:r>
      <w:r w:rsidRPr="00424513">
        <w:rPr>
          <w:color w:val="000000" w:themeColor="text1"/>
        </w:rPr>
        <w:t xml:space="preserve"> </w:t>
      </w:r>
      <w:r w:rsidR="00605AFF">
        <w:rPr>
          <w:color w:val="000000" w:themeColor="text1"/>
        </w:rPr>
        <w:t xml:space="preserve">nature and </w:t>
      </w:r>
      <w:r w:rsidR="00605AFF">
        <w:rPr>
          <w:color w:val="000000" w:themeColor="text1"/>
        </w:rPr>
        <w:lastRenderedPageBreak/>
        <w:t>strength of the relationship</w:t>
      </w:r>
      <w:r w:rsidRPr="00424513">
        <w:rPr>
          <w:color w:val="000000" w:themeColor="text1"/>
        </w:rPr>
        <w:t xml:space="preserve"> between </w:t>
      </w:r>
      <w:r w:rsidR="00605AFF">
        <w:rPr>
          <w:color w:val="000000" w:themeColor="text1"/>
        </w:rPr>
        <w:t xml:space="preserve">the </w:t>
      </w:r>
      <w:r w:rsidRPr="00424513">
        <w:rPr>
          <w:color w:val="000000" w:themeColor="text1"/>
        </w:rPr>
        <w:t xml:space="preserve">quality </w:t>
      </w:r>
      <w:r w:rsidR="00605AFF">
        <w:rPr>
          <w:color w:val="000000" w:themeColor="text1"/>
        </w:rPr>
        <w:t>of</w:t>
      </w:r>
      <w:r w:rsidRPr="00424513">
        <w:rPr>
          <w:color w:val="000000" w:themeColor="text1"/>
        </w:rPr>
        <w:t xml:space="preserve"> M&amp;E system</w:t>
      </w:r>
      <w:r w:rsidR="00605AFF">
        <w:rPr>
          <w:color w:val="000000" w:themeColor="text1"/>
        </w:rPr>
        <w:t>s and evaluation</w:t>
      </w:r>
      <w:r w:rsidRPr="00424513">
        <w:rPr>
          <w:color w:val="000000" w:themeColor="text1"/>
        </w:rPr>
        <w:t xml:space="preserve"> quality</w:t>
      </w:r>
      <w:r w:rsidR="006A5B2F">
        <w:rPr>
          <w:color w:val="000000" w:themeColor="text1"/>
        </w:rPr>
        <w:t xml:space="preserve"> due to insufficient data</w:t>
      </w:r>
      <w:r w:rsidR="00E240B3">
        <w:rPr>
          <w:color w:val="000000" w:themeColor="text1"/>
        </w:rPr>
        <w:t>;</w:t>
      </w:r>
      <w:r w:rsidRPr="00424513">
        <w:rPr>
          <w:color w:val="000000" w:themeColor="text1"/>
        </w:rPr>
        <w:t xml:space="preserve"> however</w:t>
      </w:r>
      <w:r w:rsidR="00E240B3">
        <w:rPr>
          <w:color w:val="000000" w:themeColor="text1"/>
        </w:rPr>
        <w:t>,</w:t>
      </w:r>
      <w:r w:rsidRPr="00424513">
        <w:rPr>
          <w:color w:val="000000" w:themeColor="text1"/>
        </w:rPr>
        <w:t xml:space="preserve"> a separate ODE study is proposed </w:t>
      </w:r>
      <w:r w:rsidR="00E240B3">
        <w:rPr>
          <w:color w:val="000000" w:themeColor="text1"/>
        </w:rPr>
        <w:t>for</w:t>
      </w:r>
      <w:r w:rsidRPr="00424513">
        <w:rPr>
          <w:color w:val="000000" w:themeColor="text1"/>
        </w:rPr>
        <w:t xml:space="preserve"> 2014 on the quality of</w:t>
      </w:r>
      <w:r w:rsidR="00605AFF">
        <w:rPr>
          <w:color w:val="000000" w:themeColor="text1"/>
        </w:rPr>
        <w:t xml:space="preserve"> initiative</w:t>
      </w:r>
      <w:r w:rsidRPr="00424513">
        <w:rPr>
          <w:color w:val="000000" w:themeColor="text1"/>
        </w:rPr>
        <w:t xml:space="preserve"> M&amp;E systems.</w:t>
      </w:r>
    </w:p>
    <w:p w14:paraId="4E632A3F" w14:textId="49BC7BB4" w:rsidR="005972A4" w:rsidRPr="00C21A84" w:rsidRDefault="00C21A84" w:rsidP="00C21A84">
      <w:pPr>
        <w:pStyle w:val="Heading3"/>
      </w:pPr>
      <w:r w:rsidRPr="00C21A84">
        <w:t>G</w:t>
      </w:r>
      <w:r w:rsidR="005972A4" w:rsidRPr="00C21A84">
        <w:t>ood evaluation</w:t>
      </w:r>
      <w:r w:rsidRPr="00C21A84">
        <w:t>s</w:t>
      </w:r>
      <w:r w:rsidR="005972A4" w:rsidRPr="00C21A84">
        <w:t xml:space="preserve"> require investment </w:t>
      </w:r>
      <w:r w:rsidR="004B412F">
        <w:t>of</w:t>
      </w:r>
      <w:r w:rsidR="004B412F" w:rsidRPr="00C21A84">
        <w:t xml:space="preserve"> </w:t>
      </w:r>
      <w:r w:rsidR="00211DBF" w:rsidRPr="00C21A84">
        <w:t>funding</w:t>
      </w:r>
      <w:r w:rsidRPr="00C21A84">
        <w:t>, time and human resourc</w:t>
      </w:r>
      <w:r w:rsidR="00E240B3">
        <w:t>es</w:t>
      </w:r>
    </w:p>
    <w:p w14:paraId="4D588708" w14:textId="2A189E0C" w:rsidR="00E24EDE" w:rsidRPr="00D10D8F" w:rsidRDefault="00FE2B29" w:rsidP="00E24EDE">
      <w:pPr>
        <w:rPr>
          <w:color w:val="000000" w:themeColor="text1"/>
        </w:rPr>
      </w:pPr>
      <w:r w:rsidRPr="00D10D8F">
        <w:rPr>
          <w:color w:val="000000" w:themeColor="text1"/>
        </w:rPr>
        <w:t xml:space="preserve">We found a positive correlation between evaluation quality and evaluation </w:t>
      </w:r>
      <w:r w:rsidR="006A7E74">
        <w:rPr>
          <w:color w:val="000000" w:themeColor="text1"/>
        </w:rPr>
        <w:t>duration</w:t>
      </w:r>
      <w:r w:rsidRPr="00D10D8F">
        <w:rPr>
          <w:color w:val="000000" w:themeColor="text1"/>
        </w:rPr>
        <w:t>.</w:t>
      </w:r>
      <w:r w:rsidR="00A74814">
        <w:rPr>
          <w:color w:val="000000" w:themeColor="text1"/>
        </w:rPr>
        <w:t xml:space="preserve"> </w:t>
      </w:r>
      <w:r w:rsidR="00443763">
        <w:rPr>
          <w:color w:val="000000" w:themeColor="text1"/>
        </w:rPr>
        <w:t>O</w:t>
      </w:r>
      <w:r w:rsidR="00E24EDE" w:rsidRPr="00D10D8F">
        <w:rPr>
          <w:color w:val="000000" w:themeColor="text1"/>
        </w:rPr>
        <w:t>ur findings</w:t>
      </w:r>
      <w:r w:rsidR="00443763">
        <w:rPr>
          <w:color w:val="000000" w:themeColor="text1"/>
        </w:rPr>
        <w:t xml:space="preserve"> also</w:t>
      </w:r>
      <w:r w:rsidR="00E24EDE" w:rsidRPr="00D10D8F">
        <w:rPr>
          <w:color w:val="000000" w:themeColor="text1"/>
        </w:rPr>
        <w:t xml:space="preserve"> suggest that evaluation quality is influenced by the level of resourcing provided</w:t>
      </w:r>
      <w:r w:rsidR="00E240B3">
        <w:rPr>
          <w:color w:val="000000" w:themeColor="text1"/>
        </w:rPr>
        <w:t>;</w:t>
      </w:r>
      <w:r w:rsidR="00675D3D">
        <w:rPr>
          <w:color w:val="000000" w:themeColor="text1"/>
        </w:rPr>
        <w:t xml:space="preserve"> however</w:t>
      </w:r>
      <w:r w:rsidR="00E240B3">
        <w:rPr>
          <w:color w:val="000000" w:themeColor="text1"/>
        </w:rPr>
        <w:t>,</w:t>
      </w:r>
      <w:r w:rsidR="00675D3D">
        <w:rPr>
          <w:color w:val="000000" w:themeColor="text1"/>
        </w:rPr>
        <w:t xml:space="preserve"> w</w:t>
      </w:r>
      <w:r w:rsidR="0053433F">
        <w:rPr>
          <w:color w:val="000000" w:themeColor="text1"/>
        </w:rPr>
        <w:t xml:space="preserve">e were limited by </w:t>
      </w:r>
      <w:r w:rsidR="00675D3D">
        <w:rPr>
          <w:color w:val="000000" w:themeColor="text1"/>
        </w:rPr>
        <w:t xml:space="preserve">patchy </w:t>
      </w:r>
      <w:r w:rsidR="0053433F">
        <w:rPr>
          <w:color w:val="000000" w:themeColor="text1"/>
        </w:rPr>
        <w:t xml:space="preserve">data </w:t>
      </w:r>
      <w:r w:rsidR="00675D3D">
        <w:rPr>
          <w:color w:val="000000" w:themeColor="text1"/>
        </w:rPr>
        <w:t>on evaluation cost.</w:t>
      </w:r>
      <w:r w:rsidR="00A74814">
        <w:rPr>
          <w:color w:val="000000" w:themeColor="text1"/>
        </w:rPr>
        <w:t xml:space="preserve"> </w:t>
      </w:r>
      <w:r w:rsidR="00E24EDE" w:rsidRPr="00D10D8F">
        <w:rPr>
          <w:color w:val="000000" w:themeColor="text1"/>
        </w:rPr>
        <w:t>We found that, on average, more resources tended to be applied to evaluating larger initiatives</w:t>
      </w:r>
      <w:r w:rsidR="0053433F">
        <w:rPr>
          <w:color w:val="000000" w:themeColor="text1"/>
        </w:rPr>
        <w:t xml:space="preserve"> and that</w:t>
      </w:r>
      <w:r w:rsidR="00E24EDE" w:rsidRPr="00D10D8F">
        <w:rPr>
          <w:color w:val="000000" w:themeColor="text1"/>
        </w:rPr>
        <w:t xml:space="preserve">, up to a point, higher initiative value corresponded with </w:t>
      </w:r>
      <w:r w:rsidR="00E24EDE">
        <w:rPr>
          <w:color w:val="000000" w:themeColor="text1"/>
        </w:rPr>
        <w:t>better</w:t>
      </w:r>
      <w:r w:rsidR="00E24EDE" w:rsidRPr="00D10D8F">
        <w:rPr>
          <w:color w:val="000000" w:themeColor="text1"/>
        </w:rPr>
        <w:t xml:space="preserve"> evaluation quality.</w:t>
      </w:r>
      <w:r w:rsidR="00A74814">
        <w:rPr>
          <w:color w:val="000000" w:themeColor="text1"/>
        </w:rPr>
        <w:t xml:space="preserve"> </w:t>
      </w:r>
    </w:p>
    <w:p w14:paraId="58411712" w14:textId="339F381D" w:rsidR="0053433F" w:rsidRDefault="00BE3C22" w:rsidP="00E24EDE">
      <w:pPr>
        <w:rPr>
          <w:color w:val="000000" w:themeColor="text1"/>
        </w:rPr>
      </w:pPr>
      <w:r>
        <w:rPr>
          <w:color w:val="000000" w:themeColor="text1"/>
        </w:rPr>
        <w:t>E</w:t>
      </w:r>
      <w:r w:rsidR="00E24EDE" w:rsidRPr="00D10D8F">
        <w:rPr>
          <w:color w:val="000000" w:themeColor="text1"/>
        </w:rPr>
        <w:t xml:space="preserve">valuation teams of three or four members (not including any Australian aid program staff involved) </w:t>
      </w:r>
      <w:r>
        <w:rPr>
          <w:color w:val="000000" w:themeColor="text1"/>
        </w:rPr>
        <w:t xml:space="preserve">were </w:t>
      </w:r>
      <w:r w:rsidR="003E5630">
        <w:rPr>
          <w:color w:val="000000" w:themeColor="text1"/>
        </w:rPr>
        <w:t>more likely to produce</w:t>
      </w:r>
      <w:r w:rsidR="00E24EDE" w:rsidRPr="00D10D8F">
        <w:rPr>
          <w:color w:val="000000" w:themeColor="text1"/>
        </w:rPr>
        <w:t xml:space="preserve"> adequate quality evaluations</w:t>
      </w:r>
      <w:r w:rsidR="00E240B3">
        <w:rPr>
          <w:color w:val="000000" w:themeColor="text1"/>
        </w:rPr>
        <w:t xml:space="preserve"> than</w:t>
      </w:r>
      <w:r w:rsidR="00E24EDE" w:rsidRPr="00D10D8F">
        <w:rPr>
          <w:color w:val="000000" w:themeColor="text1"/>
        </w:rPr>
        <w:t xml:space="preserve"> teams of one or two</w:t>
      </w:r>
      <w:r w:rsidR="003E5630">
        <w:rPr>
          <w:color w:val="000000" w:themeColor="text1"/>
        </w:rPr>
        <w:t>,</w:t>
      </w:r>
      <w:r w:rsidR="00E24EDE" w:rsidRPr="00D10D8F">
        <w:rPr>
          <w:color w:val="000000" w:themeColor="text1"/>
        </w:rPr>
        <w:t xml:space="preserve"> or teams of five or more.</w:t>
      </w:r>
      <w:r w:rsidR="00A74814">
        <w:rPr>
          <w:color w:val="000000" w:themeColor="text1"/>
        </w:rPr>
        <w:t xml:space="preserve"> </w:t>
      </w:r>
      <w:r>
        <w:rPr>
          <w:color w:val="000000" w:themeColor="text1"/>
        </w:rPr>
        <w:t>This and other</w:t>
      </w:r>
      <w:r w:rsidR="00675D3D">
        <w:rPr>
          <w:color w:val="000000" w:themeColor="text1"/>
        </w:rPr>
        <w:t xml:space="preserve"> evidence </w:t>
      </w:r>
      <w:r w:rsidR="0053433F">
        <w:rPr>
          <w:color w:val="000000" w:themeColor="text1"/>
        </w:rPr>
        <w:t>suggest</w:t>
      </w:r>
      <w:r w:rsidR="00675D3D">
        <w:rPr>
          <w:color w:val="000000" w:themeColor="text1"/>
        </w:rPr>
        <w:t>s</w:t>
      </w:r>
      <w:r w:rsidR="0053433F">
        <w:rPr>
          <w:color w:val="000000" w:themeColor="text1"/>
        </w:rPr>
        <w:t xml:space="preserve"> that the expertise </w:t>
      </w:r>
      <w:r w:rsidR="00675D3D">
        <w:rPr>
          <w:color w:val="000000" w:themeColor="text1"/>
        </w:rPr>
        <w:t xml:space="preserve">covered </w:t>
      </w:r>
      <w:r w:rsidR="0053433F">
        <w:rPr>
          <w:color w:val="000000" w:themeColor="text1"/>
        </w:rPr>
        <w:t>in the evaluation team is a key factor</w:t>
      </w:r>
      <w:r w:rsidR="00675D3D">
        <w:rPr>
          <w:color w:val="000000" w:themeColor="text1"/>
        </w:rPr>
        <w:t xml:space="preserve"> contributing to evaluation quality.</w:t>
      </w:r>
      <w:r w:rsidR="00A74814">
        <w:rPr>
          <w:color w:val="000000" w:themeColor="text1"/>
        </w:rPr>
        <w:t xml:space="preserve"> </w:t>
      </w:r>
      <w:r w:rsidR="00675D3D">
        <w:rPr>
          <w:color w:val="000000" w:themeColor="text1"/>
        </w:rPr>
        <w:t>This would usually include</w:t>
      </w:r>
      <w:r w:rsidR="0053433F">
        <w:rPr>
          <w:color w:val="000000" w:themeColor="text1"/>
        </w:rPr>
        <w:t xml:space="preserve"> strong technical expertise in evaluation, </w:t>
      </w:r>
      <w:r w:rsidR="00675D3D">
        <w:rPr>
          <w:color w:val="000000" w:themeColor="text1"/>
        </w:rPr>
        <w:t>good</w:t>
      </w:r>
      <w:r w:rsidR="0053433F">
        <w:rPr>
          <w:color w:val="000000" w:themeColor="text1"/>
        </w:rPr>
        <w:t xml:space="preserve"> interpersonal skills, sector</w:t>
      </w:r>
      <w:r w:rsidR="00675D3D">
        <w:rPr>
          <w:color w:val="000000" w:themeColor="text1"/>
        </w:rPr>
        <w:t xml:space="preserve"> knowledge</w:t>
      </w:r>
      <w:r w:rsidR="0053433F">
        <w:rPr>
          <w:color w:val="000000" w:themeColor="text1"/>
        </w:rPr>
        <w:t xml:space="preserve"> and, to a lesser extent, understanding of the country or regional context</w:t>
      </w:r>
      <w:r w:rsidR="00675D3D">
        <w:rPr>
          <w:color w:val="000000" w:themeColor="text1"/>
        </w:rPr>
        <w:t>.</w:t>
      </w:r>
    </w:p>
    <w:p w14:paraId="541EED39" w14:textId="31EC0682" w:rsidR="00E24EDE" w:rsidRDefault="00675D3D" w:rsidP="00E24EDE">
      <w:pPr>
        <w:rPr>
          <w:color w:val="000000" w:themeColor="text1"/>
        </w:rPr>
      </w:pPr>
      <w:r>
        <w:rPr>
          <w:color w:val="000000" w:themeColor="text1"/>
        </w:rPr>
        <w:t>The evidence suggest</w:t>
      </w:r>
      <w:r w:rsidR="00BE3C22">
        <w:rPr>
          <w:color w:val="000000" w:themeColor="text1"/>
        </w:rPr>
        <w:t>s</w:t>
      </w:r>
      <w:r>
        <w:rPr>
          <w:color w:val="000000" w:themeColor="text1"/>
        </w:rPr>
        <w:t xml:space="preserve"> that it is worth</w:t>
      </w:r>
      <w:r w:rsidR="00E240B3">
        <w:rPr>
          <w:color w:val="000000" w:themeColor="text1"/>
        </w:rPr>
        <w:t>while for</w:t>
      </w:r>
      <w:r>
        <w:rPr>
          <w:color w:val="000000" w:themeColor="text1"/>
        </w:rPr>
        <w:t xml:space="preserve"> </w:t>
      </w:r>
      <w:r w:rsidRPr="00D10D8F">
        <w:rPr>
          <w:color w:val="000000" w:themeColor="text1"/>
        </w:rPr>
        <w:t xml:space="preserve">aid </w:t>
      </w:r>
      <w:r w:rsidR="001266B1">
        <w:rPr>
          <w:color w:val="000000" w:themeColor="text1"/>
        </w:rPr>
        <w:t xml:space="preserve">initiative </w:t>
      </w:r>
      <w:r w:rsidRPr="00D10D8F">
        <w:rPr>
          <w:color w:val="000000" w:themeColor="text1"/>
        </w:rPr>
        <w:t>managers</w:t>
      </w:r>
      <w:r w:rsidR="00E240B3">
        <w:rPr>
          <w:color w:val="000000" w:themeColor="text1"/>
        </w:rPr>
        <w:t xml:space="preserve"> to</w:t>
      </w:r>
      <w:r w:rsidRPr="00D10D8F">
        <w:rPr>
          <w:color w:val="000000" w:themeColor="text1"/>
        </w:rPr>
        <w:t xml:space="preserve"> </w:t>
      </w:r>
      <w:r>
        <w:rPr>
          <w:color w:val="000000" w:themeColor="text1"/>
        </w:rPr>
        <w:t>invest time and effort in building a strong relationship with the evaluation team.</w:t>
      </w:r>
      <w:r w:rsidR="00A74814">
        <w:rPr>
          <w:color w:val="000000" w:themeColor="text1"/>
        </w:rPr>
        <w:t xml:space="preserve"> </w:t>
      </w:r>
      <w:r>
        <w:rPr>
          <w:color w:val="000000" w:themeColor="text1"/>
        </w:rPr>
        <w:t>We also found</w:t>
      </w:r>
      <w:r w:rsidR="00E24EDE" w:rsidRPr="00D10D8F">
        <w:rPr>
          <w:color w:val="000000" w:themeColor="text1"/>
        </w:rPr>
        <w:t xml:space="preserve"> that involvement of Australian aid program staff in </w:t>
      </w:r>
      <w:r w:rsidR="00BE3C22">
        <w:rPr>
          <w:color w:val="000000" w:themeColor="text1"/>
        </w:rPr>
        <w:t xml:space="preserve">delivering </w:t>
      </w:r>
      <w:r w:rsidR="00E24EDE" w:rsidRPr="00D10D8F">
        <w:rPr>
          <w:color w:val="000000" w:themeColor="text1"/>
        </w:rPr>
        <w:t>an evaluation can have numerous benefits</w:t>
      </w:r>
      <w:r w:rsidR="009E0284">
        <w:rPr>
          <w:color w:val="000000" w:themeColor="text1"/>
        </w:rPr>
        <w:t>,</w:t>
      </w:r>
      <w:r w:rsidR="00E240B3">
        <w:rPr>
          <w:color w:val="000000" w:themeColor="text1"/>
        </w:rPr>
        <w:t xml:space="preserve"> but that</w:t>
      </w:r>
      <w:r w:rsidR="00E24EDE" w:rsidRPr="00D10D8F">
        <w:rPr>
          <w:color w:val="000000" w:themeColor="text1"/>
        </w:rPr>
        <w:t xml:space="preserve"> this involvement needs to be </w:t>
      </w:r>
      <w:r w:rsidR="008814AF">
        <w:rPr>
          <w:color w:val="000000" w:themeColor="text1"/>
        </w:rPr>
        <w:t>carefully defined so as not to compromise the independence of the evaluation</w:t>
      </w:r>
      <w:r w:rsidR="00E24EDE" w:rsidRPr="00DE1534">
        <w:rPr>
          <w:color w:val="000000" w:themeColor="text1"/>
        </w:rPr>
        <w:t>.</w:t>
      </w:r>
      <w:r w:rsidR="00A74814">
        <w:rPr>
          <w:color w:val="000000" w:themeColor="text1"/>
        </w:rPr>
        <w:t xml:space="preserve"> </w:t>
      </w:r>
    </w:p>
    <w:p w14:paraId="417F7BD3" w14:textId="0E13EBEC" w:rsidR="00B3511A" w:rsidRDefault="004B412F" w:rsidP="00B3511A">
      <w:pPr>
        <w:pStyle w:val="Heading3"/>
      </w:pPr>
      <w:r>
        <w:t>Capacity to effectively manage evaluations is stretched</w:t>
      </w:r>
    </w:p>
    <w:p w14:paraId="52BE1881" w14:textId="2D33009E" w:rsidR="008A4620" w:rsidRDefault="00D51375" w:rsidP="00801561">
      <w:r>
        <w:t>A central feature of the department</w:t>
      </w:r>
      <w:r w:rsidR="00744801">
        <w:t>’</w:t>
      </w:r>
      <w:r>
        <w:t>s evaluation policy is mandatory evaluation</w:t>
      </w:r>
      <w:r w:rsidR="009E0284">
        <w:t xml:space="preserve"> of</w:t>
      </w:r>
      <w:r w:rsidR="00DD36AE">
        <w:t xml:space="preserve"> all</w:t>
      </w:r>
      <w:r w:rsidR="009E0284">
        <w:t xml:space="preserve"> </w:t>
      </w:r>
      <w:r w:rsidR="006A241F">
        <w:t xml:space="preserve">significant </w:t>
      </w:r>
      <w:r w:rsidR="009E0284">
        <w:t>aid initiatives</w:t>
      </w:r>
      <w:r>
        <w:t>.</w:t>
      </w:r>
      <w:r w:rsidR="00A74814">
        <w:t xml:space="preserve"> </w:t>
      </w:r>
      <w:r>
        <w:t>As a consequence</w:t>
      </w:r>
      <w:r w:rsidR="00947870">
        <w:t>,</w:t>
      </w:r>
      <w:r>
        <w:t xml:space="preserve"> </w:t>
      </w:r>
      <w:r w:rsidR="008A4620">
        <w:t xml:space="preserve">a large cohort of program staff are required to commission and manage evaluations as part of their normal program management duties. In recent years there have been significant efforts </w:t>
      </w:r>
      <w:r w:rsidR="00BE1EA9">
        <w:t xml:space="preserve">across the department </w:t>
      </w:r>
      <w:r w:rsidR="008A4620">
        <w:t xml:space="preserve">to boost the </w:t>
      </w:r>
      <w:r w:rsidR="008A4620" w:rsidRPr="008A4620">
        <w:t xml:space="preserve">capacity of non-specialist staff to </w:t>
      </w:r>
      <w:r w:rsidR="009E09F5">
        <w:t>help deliver</w:t>
      </w:r>
      <w:r w:rsidR="008A4620" w:rsidRPr="008A4620">
        <w:t xml:space="preserve"> high</w:t>
      </w:r>
      <w:r w:rsidR="00E240B3">
        <w:t>-</w:t>
      </w:r>
      <w:r w:rsidR="008A4620" w:rsidRPr="008A4620">
        <w:t xml:space="preserve">quality evaluations. </w:t>
      </w:r>
      <w:r w:rsidR="009E09F5">
        <w:t>Nevertheless</w:t>
      </w:r>
      <w:r w:rsidR="009E0284">
        <w:t>,</w:t>
      </w:r>
      <w:r w:rsidR="009E09F5">
        <w:t xml:space="preserve"> realistic expectations need to be maintained as to the degree of </w:t>
      </w:r>
      <w:r w:rsidR="00801561">
        <w:t>evaluation</w:t>
      </w:r>
      <w:r w:rsidR="009E09F5">
        <w:t xml:space="preserve"> expertise and knowledge these staff can or should </w:t>
      </w:r>
      <w:r w:rsidR="00E240B3">
        <w:t>acquire</w:t>
      </w:r>
      <w:r w:rsidR="009E09F5">
        <w:t xml:space="preserve">. </w:t>
      </w:r>
      <w:r w:rsidR="00994C66">
        <w:t>S</w:t>
      </w:r>
      <w:r w:rsidR="009E09F5">
        <w:t xml:space="preserve">everal interviewees </w:t>
      </w:r>
      <w:r w:rsidR="009E0284">
        <w:t xml:space="preserve">suggested </w:t>
      </w:r>
      <w:r w:rsidR="009E09F5">
        <w:t>that</w:t>
      </w:r>
      <w:r w:rsidR="009C1922">
        <w:t>,</w:t>
      </w:r>
      <w:r w:rsidR="009E09F5">
        <w:t xml:space="preserve"> given the volume of evaluations undertaken</w:t>
      </w:r>
      <w:r w:rsidR="009C1922">
        <w:t>,</w:t>
      </w:r>
      <w:r w:rsidR="009E09F5">
        <w:t xml:space="preserve"> the evaluation capacity </w:t>
      </w:r>
      <w:r w:rsidR="00801561">
        <w:t>within the department is particularly stretched.</w:t>
      </w:r>
      <w:r w:rsidR="008A4620" w:rsidRPr="008A4620">
        <w:t xml:space="preserve"> </w:t>
      </w:r>
      <w:r w:rsidR="00801561">
        <w:t xml:space="preserve">Some also suggested that evaluation numbers are beyond </w:t>
      </w:r>
      <w:r w:rsidR="009E0284">
        <w:t>the</w:t>
      </w:r>
      <w:r w:rsidR="00801561">
        <w:t xml:space="preserve"> optimum for performance management and learning</w:t>
      </w:r>
      <w:r w:rsidR="00947870">
        <w:t>,</w:t>
      </w:r>
      <w:r w:rsidR="00801561">
        <w:t xml:space="preserve"> and do little to assist the </w:t>
      </w:r>
      <w:r w:rsidR="008A4620" w:rsidRPr="008A4620">
        <w:t>development of a department-wide culture of learning from evaluations</w:t>
      </w:r>
      <w:r w:rsidR="00801561">
        <w:t>.</w:t>
      </w:r>
    </w:p>
    <w:p w14:paraId="3231E443" w14:textId="49145853" w:rsidR="00EF7AFB" w:rsidRPr="008A4620" w:rsidRDefault="00ED47FF" w:rsidP="00801561">
      <w:r>
        <w:t>The</w:t>
      </w:r>
      <w:r w:rsidR="003B5217">
        <w:t>se</w:t>
      </w:r>
      <w:r>
        <w:t xml:space="preserve"> issue</w:t>
      </w:r>
      <w:r w:rsidR="003B5217">
        <w:t>s</w:t>
      </w:r>
      <w:r>
        <w:t xml:space="preserve"> </w:t>
      </w:r>
      <w:r w:rsidR="003B5217">
        <w:t xml:space="preserve">have already been recognised and are </w:t>
      </w:r>
      <w:r>
        <w:t>being addressed in several ways:</w:t>
      </w:r>
    </w:p>
    <w:p w14:paraId="36C5DDC4" w14:textId="61C07D2E" w:rsidR="00ED47FF" w:rsidRPr="003B5217" w:rsidRDefault="00546B1C" w:rsidP="003B5217">
      <w:pPr>
        <w:pStyle w:val="Bullet"/>
      </w:pPr>
      <w:r w:rsidRPr="003B5217">
        <w:t>In early 2012 the department</w:t>
      </w:r>
      <w:r w:rsidR="00744801" w:rsidRPr="003B5217">
        <w:t>’</w:t>
      </w:r>
      <w:r w:rsidRPr="003B5217">
        <w:t>s evaluation policy was revised, reducing the number of mandatory operational evaluation</w:t>
      </w:r>
      <w:r w:rsidR="00947870" w:rsidRPr="003B5217">
        <w:t>s</w:t>
      </w:r>
      <w:r w:rsidRPr="003B5217">
        <w:t xml:space="preserve"> by approximately half </w:t>
      </w:r>
      <w:r w:rsidR="00B3511A" w:rsidRPr="003B5217">
        <w:t>to only one during the lifetime of each aid initiative</w:t>
      </w:r>
      <w:r w:rsidRPr="003B5217">
        <w:t>.</w:t>
      </w:r>
      <w:r w:rsidR="003B5217" w:rsidRPr="003B5217">
        <w:t xml:space="preserve"> </w:t>
      </w:r>
      <w:r w:rsidRPr="003B5217">
        <w:t>Further changes planned for</w:t>
      </w:r>
      <w:r w:rsidR="00B3511A" w:rsidRPr="003B5217">
        <w:t xml:space="preserve"> mid-2014</w:t>
      </w:r>
      <w:r w:rsidRPr="003B5217">
        <w:t xml:space="preserve"> </w:t>
      </w:r>
      <w:r w:rsidR="00B3511A" w:rsidRPr="003B5217">
        <w:t xml:space="preserve">will </w:t>
      </w:r>
      <w:r w:rsidRPr="003B5217">
        <w:t xml:space="preserve">raise the financial threshold for </w:t>
      </w:r>
      <w:r w:rsidR="00947870" w:rsidRPr="003B5217">
        <w:t xml:space="preserve">aid initiatives </w:t>
      </w:r>
      <w:r w:rsidRPr="003B5217">
        <w:t>requir</w:t>
      </w:r>
      <w:r w:rsidR="003B5217">
        <w:t>ing</w:t>
      </w:r>
      <w:r w:rsidRPr="003B5217">
        <w:t xml:space="preserve"> mandatory evalu</w:t>
      </w:r>
      <w:r w:rsidR="008E71F4" w:rsidRPr="003B5217">
        <w:t>a</w:t>
      </w:r>
      <w:r w:rsidRPr="003B5217">
        <w:t xml:space="preserve">tion and will reduce evaluation numbers by a further 42 per cent. </w:t>
      </w:r>
    </w:p>
    <w:p w14:paraId="7E8E9A7B" w14:textId="770F3E84" w:rsidR="00ED47FF" w:rsidRDefault="00ED47FF" w:rsidP="003B5217">
      <w:pPr>
        <w:pStyle w:val="Bullet"/>
      </w:pPr>
      <w:r>
        <w:t>C</w:t>
      </w:r>
      <w:r w:rsidR="00546B1C">
        <w:t>ountry and regional program</w:t>
      </w:r>
      <w:r w:rsidR="00992497">
        <w:t xml:space="preserve"> evaluation</w:t>
      </w:r>
      <w:r w:rsidR="00546B1C">
        <w:t xml:space="preserve"> plans</w:t>
      </w:r>
      <w:r>
        <w:t xml:space="preserve"> are being introduced</w:t>
      </w:r>
      <w:r w:rsidR="00546B1C">
        <w:t xml:space="preserve"> to help improve </w:t>
      </w:r>
      <w:r w:rsidR="00546B1C" w:rsidRPr="001E03C5">
        <w:t>the allocation of resources and skilled staff.</w:t>
      </w:r>
      <w:r w:rsidR="00546B1C">
        <w:t xml:space="preserve"> </w:t>
      </w:r>
    </w:p>
    <w:p w14:paraId="61BEF84F" w14:textId="35D1C0BA" w:rsidR="00B41190" w:rsidRDefault="003B5217" w:rsidP="003B5217">
      <w:pPr>
        <w:pStyle w:val="BulletLast"/>
      </w:pPr>
      <w:r>
        <w:t>T</w:t>
      </w:r>
      <w:r w:rsidR="00B41190">
        <w:t>he responsibility for</w:t>
      </w:r>
      <w:r w:rsidR="00947870">
        <w:t xml:space="preserve"> </w:t>
      </w:r>
      <w:r w:rsidR="005105DE">
        <w:t>monitoring and reporting on</w:t>
      </w:r>
      <w:r w:rsidR="00B41190">
        <w:t xml:space="preserve"> operational evaluations</w:t>
      </w:r>
      <w:r w:rsidR="008C5425">
        <w:t xml:space="preserve"> has</w:t>
      </w:r>
      <w:r w:rsidR="00B41190">
        <w:t xml:space="preserve"> shift</w:t>
      </w:r>
      <w:r w:rsidR="008C5425">
        <w:t>ed</w:t>
      </w:r>
      <w:r w:rsidR="00B41190">
        <w:t xml:space="preserve"> to ODE</w:t>
      </w:r>
      <w:r>
        <w:t>,</w:t>
      </w:r>
      <w:r w:rsidR="00B41190">
        <w:t xml:space="preserve"> marking a move towards consolidation of </w:t>
      </w:r>
      <w:r w:rsidR="006A7E74">
        <w:t xml:space="preserve">aid </w:t>
      </w:r>
      <w:r w:rsidR="00546B1C">
        <w:t>evaluation expertise within</w:t>
      </w:r>
      <w:r w:rsidR="00B41190">
        <w:t xml:space="preserve"> the department.</w:t>
      </w:r>
    </w:p>
    <w:p w14:paraId="7648DAAB" w14:textId="18AB7DE0" w:rsidR="00211DBF" w:rsidRDefault="004B412F" w:rsidP="003B5217">
      <w:pPr>
        <w:pStyle w:val="Heading3"/>
        <w:ind w:left="0" w:firstLine="0"/>
      </w:pPr>
      <w:bookmarkStart w:id="20" w:name="rvw2here"/>
      <w:bookmarkEnd w:id="20"/>
      <w:r>
        <w:lastRenderedPageBreak/>
        <w:t>Evaluations with a clear</w:t>
      </w:r>
      <w:r w:rsidR="00B557F3">
        <w:t xml:space="preserve"> and</w:t>
      </w:r>
      <w:r w:rsidR="00E8166C">
        <w:t xml:space="preserve"> immediate</w:t>
      </w:r>
      <w:r>
        <w:t xml:space="preserve"> </w:t>
      </w:r>
      <w:r w:rsidR="00762D9B">
        <w:t xml:space="preserve">program management </w:t>
      </w:r>
      <w:r>
        <w:t xml:space="preserve">purpose </w:t>
      </w:r>
      <w:r w:rsidR="00B557F3">
        <w:t>are more likely t</w:t>
      </w:r>
      <w:r>
        <w:t xml:space="preserve">o be </w:t>
      </w:r>
      <w:r w:rsidR="00B557F3">
        <w:t xml:space="preserve">adequately resourced and be of </w:t>
      </w:r>
      <w:r w:rsidR="00E8166C">
        <w:t>higher</w:t>
      </w:r>
      <w:r>
        <w:t xml:space="preserve"> quality</w:t>
      </w:r>
      <w:r w:rsidR="00C427E5">
        <w:t xml:space="preserve"> </w:t>
      </w:r>
    </w:p>
    <w:p w14:paraId="63F9C882" w14:textId="61448DA1" w:rsidR="00443763" w:rsidRPr="007A6A7F" w:rsidRDefault="00443763" w:rsidP="00443763">
      <w:r w:rsidRPr="007A6A7F">
        <w:t xml:space="preserve">Evaluations are commissioned for various purposes, including to drive improvement, to inform future programming decisions and </w:t>
      </w:r>
      <w:r w:rsidR="0098432C">
        <w:t>to provide</w:t>
      </w:r>
      <w:r w:rsidRPr="007A6A7F">
        <w:t xml:space="preserve"> accountability.</w:t>
      </w:r>
      <w:r w:rsidR="00A74814">
        <w:t xml:space="preserve"> </w:t>
      </w:r>
      <w:r w:rsidRPr="007A6A7F">
        <w:t>This is reflected in guidelines for operational evaluations</w:t>
      </w:r>
      <w:r w:rsidR="0098432C">
        <w:t>,</w:t>
      </w:r>
      <w:r w:rsidRPr="007A6A7F">
        <w:t xml:space="preserve"> which allow a high degree of flexibility in evaluation timing</w:t>
      </w:r>
      <w:r w:rsidR="006A7E74">
        <w:t xml:space="preserve"> and</w:t>
      </w:r>
      <w:r w:rsidRPr="007A6A7F">
        <w:t xml:space="preserve"> resourcing.</w:t>
      </w:r>
      <w:r w:rsidR="00A74814">
        <w:t xml:space="preserve"> </w:t>
      </w:r>
    </w:p>
    <w:p w14:paraId="60AEA571" w14:textId="6F181F6E" w:rsidR="00EF7AFB" w:rsidRDefault="007870D9" w:rsidP="00443763">
      <w:pPr>
        <w:rPr>
          <w:color w:val="000000" w:themeColor="text1"/>
        </w:rPr>
      </w:pPr>
      <w:r>
        <w:rPr>
          <w:color w:val="000000" w:themeColor="text1"/>
        </w:rPr>
        <w:t>In terms of timing, e</w:t>
      </w:r>
      <w:r w:rsidR="00443763" w:rsidRPr="007A6A7F">
        <w:rPr>
          <w:color w:val="000000" w:themeColor="text1"/>
        </w:rPr>
        <w:t>valuations can be undertaken during initiative implementation (</w:t>
      </w:r>
      <w:r w:rsidR="00835545">
        <w:rPr>
          <w:color w:val="000000" w:themeColor="text1"/>
        </w:rPr>
        <w:t xml:space="preserve">an </w:t>
      </w:r>
      <w:r w:rsidR="00443763" w:rsidRPr="007A6A7F">
        <w:rPr>
          <w:color w:val="000000" w:themeColor="text1"/>
        </w:rPr>
        <w:t>independent progress report) or at the close of an initiative (</w:t>
      </w:r>
      <w:r w:rsidR="00835545">
        <w:rPr>
          <w:color w:val="000000" w:themeColor="text1"/>
        </w:rPr>
        <w:t xml:space="preserve">an </w:t>
      </w:r>
      <w:r w:rsidR="00443763" w:rsidRPr="007A6A7F">
        <w:rPr>
          <w:color w:val="000000" w:themeColor="text1"/>
        </w:rPr>
        <w:t>independent completion report).</w:t>
      </w:r>
      <w:r w:rsidR="00A74814">
        <w:rPr>
          <w:color w:val="000000" w:themeColor="text1"/>
        </w:rPr>
        <w:t xml:space="preserve"> </w:t>
      </w:r>
      <w:r w:rsidR="00443763" w:rsidRPr="007A6A7F">
        <w:rPr>
          <w:color w:val="000000" w:themeColor="text1"/>
        </w:rPr>
        <w:t>We found that</w:t>
      </w:r>
      <w:r w:rsidR="00EF7AFB">
        <w:rPr>
          <w:color w:val="000000" w:themeColor="text1"/>
        </w:rPr>
        <w:t>:</w:t>
      </w:r>
      <w:r w:rsidR="00443763" w:rsidRPr="007A6A7F">
        <w:rPr>
          <w:color w:val="000000" w:themeColor="text1"/>
        </w:rPr>
        <w:t xml:space="preserve"> </w:t>
      </w:r>
    </w:p>
    <w:p w14:paraId="06FAE464" w14:textId="6EBB890F" w:rsidR="00EF7AFB" w:rsidRPr="00E8166C" w:rsidRDefault="00835545" w:rsidP="00E8166C">
      <w:pPr>
        <w:pStyle w:val="Bullet"/>
      </w:pPr>
      <w:r w:rsidRPr="00E8166C">
        <w:t xml:space="preserve">more </w:t>
      </w:r>
      <w:r w:rsidR="0098432C" w:rsidRPr="00E8166C">
        <w:t xml:space="preserve">independent progress reports </w:t>
      </w:r>
      <w:r w:rsidRPr="00E8166C">
        <w:t xml:space="preserve">are undertaken than </w:t>
      </w:r>
      <w:r w:rsidR="0098432C" w:rsidRPr="00E8166C">
        <w:t>independent completion reports</w:t>
      </w:r>
    </w:p>
    <w:p w14:paraId="57273019" w14:textId="22ECF730" w:rsidR="00EF7AFB" w:rsidRPr="00B557F3" w:rsidRDefault="0098432C" w:rsidP="00B557F3">
      <w:pPr>
        <w:pStyle w:val="Bullet"/>
      </w:pPr>
      <w:r w:rsidRPr="00B557F3">
        <w:t>independent progress reports</w:t>
      </w:r>
      <w:r w:rsidR="00443763" w:rsidRPr="00B557F3">
        <w:t xml:space="preserve"> had a higher average level of resourcing than </w:t>
      </w:r>
      <w:r w:rsidRPr="00B557F3">
        <w:t>independent completion reports</w:t>
      </w:r>
    </w:p>
    <w:p w14:paraId="1D1C6D0E" w14:textId="0FC6E1DC" w:rsidR="00EF7AFB" w:rsidRDefault="00443763" w:rsidP="00E8166C">
      <w:pPr>
        <w:pStyle w:val="BulletLast"/>
      </w:pPr>
      <w:r w:rsidRPr="007A6A7F">
        <w:t xml:space="preserve">a higher proportion of </w:t>
      </w:r>
      <w:r w:rsidR="0098432C">
        <w:t>independent progress reports</w:t>
      </w:r>
      <w:r w:rsidRPr="007A6A7F">
        <w:t xml:space="preserve"> </w:t>
      </w:r>
      <w:r w:rsidR="0017776D" w:rsidRPr="007A6A7F">
        <w:t xml:space="preserve">had a clear </w:t>
      </w:r>
      <w:r w:rsidR="0017776D">
        <w:t>purpose and</w:t>
      </w:r>
      <w:r w:rsidR="0017776D" w:rsidRPr="007A6A7F">
        <w:t xml:space="preserve"> were</w:t>
      </w:r>
      <w:r w:rsidRPr="007A6A7F">
        <w:t xml:space="preserve"> of satisfactory overall quality</w:t>
      </w:r>
      <w:r w:rsidR="0017776D">
        <w:t>.</w:t>
      </w:r>
      <w:r w:rsidRPr="007A6A7F">
        <w:t xml:space="preserve"> </w:t>
      </w:r>
    </w:p>
    <w:p w14:paraId="008DFCC5" w14:textId="62A1BF72" w:rsidR="00443763" w:rsidRPr="007A6A7F" w:rsidRDefault="00443763">
      <w:r w:rsidRPr="007A6A7F">
        <w:t xml:space="preserve">This may indicate that </w:t>
      </w:r>
      <w:r w:rsidR="0098432C">
        <w:t>independent progress reports</w:t>
      </w:r>
      <w:r w:rsidRPr="007A6A7F">
        <w:t xml:space="preserve"> </w:t>
      </w:r>
      <w:r w:rsidR="0098432C">
        <w:t>are more useful</w:t>
      </w:r>
      <w:r w:rsidR="0017776D">
        <w:t xml:space="preserve"> </w:t>
      </w:r>
      <w:r w:rsidRPr="007A6A7F">
        <w:t xml:space="preserve">to aid managers in terms of providing evidence </w:t>
      </w:r>
      <w:r w:rsidR="00E8166C">
        <w:t xml:space="preserve">and analysis </w:t>
      </w:r>
      <w:r w:rsidRPr="007A6A7F">
        <w:t>to inform critical programming decisions such as whether to extend an investment.</w:t>
      </w:r>
    </w:p>
    <w:p w14:paraId="6226C75D" w14:textId="41428178" w:rsidR="00443763" w:rsidRPr="007A6A7F" w:rsidRDefault="00443763" w:rsidP="00443763">
      <w:pPr>
        <w:rPr>
          <w:color w:val="000000" w:themeColor="text1"/>
        </w:rPr>
      </w:pPr>
      <w:r w:rsidRPr="007A6A7F">
        <w:t xml:space="preserve">However, </w:t>
      </w:r>
      <w:r w:rsidR="001A1A2D">
        <w:t>departmental evaluation</w:t>
      </w:r>
      <w:r w:rsidR="001A1A2D" w:rsidRPr="007A6A7F">
        <w:t xml:space="preserve"> </w:t>
      </w:r>
      <w:r w:rsidRPr="007A6A7F">
        <w:t>guidelines, while not mandatory, do not encourage flexibility in scoping</w:t>
      </w:r>
      <w:r w:rsidR="001A1A2D">
        <w:t>.</w:t>
      </w:r>
      <w:r w:rsidR="00A74814">
        <w:t xml:space="preserve"> </w:t>
      </w:r>
      <w:r w:rsidR="001A1A2D">
        <w:t>They</w:t>
      </w:r>
      <w:r w:rsidRPr="007A6A7F">
        <w:rPr>
          <w:color w:val="000000" w:themeColor="text1"/>
        </w:rPr>
        <w:t xml:space="preserve"> set out expectations that </w:t>
      </w:r>
      <w:r w:rsidR="006A7E74">
        <w:rPr>
          <w:color w:val="000000" w:themeColor="text1"/>
        </w:rPr>
        <w:t xml:space="preserve">all </w:t>
      </w:r>
      <w:r w:rsidRPr="007A6A7F">
        <w:t>operational evaluations</w:t>
      </w:r>
      <w:r w:rsidR="006A7E74">
        <w:t xml:space="preserve"> will</w:t>
      </w:r>
      <w:r w:rsidRPr="007A6A7F">
        <w:t xml:space="preserve"> assess initiative performance against</w:t>
      </w:r>
      <w:r w:rsidR="0067037C">
        <w:t xml:space="preserve"> a set of</w:t>
      </w:r>
      <w:r w:rsidRPr="007A6A7F">
        <w:t xml:space="preserve"> standard quality criteria (relevance, effectiveness, efficiency, sustainability, impact, and gender equality).</w:t>
      </w:r>
      <w:r w:rsidR="0017776D">
        <w:rPr>
          <w:color w:val="000000" w:themeColor="text1"/>
        </w:rPr>
        <w:t xml:space="preserve"> </w:t>
      </w:r>
      <w:r w:rsidRPr="007A6A7F">
        <w:rPr>
          <w:color w:val="000000" w:themeColor="text1"/>
        </w:rPr>
        <w:t xml:space="preserve">Our review found evidence that </w:t>
      </w:r>
      <w:r w:rsidR="0067037C">
        <w:rPr>
          <w:color w:val="000000" w:themeColor="text1"/>
        </w:rPr>
        <w:t xml:space="preserve">this can potentially lead to an evaluation scope that is too ambitious to be realistic or appropriate, and that </w:t>
      </w:r>
      <w:r w:rsidR="0017776D">
        <w:rPr>
          <w:color w:val="000000" w:themeColor="text1"/>
        </w:rPr>
        <w:t xml:space="preserve">this </w:t>
      </w:r>
      <w:r w:rsidR="00D035DE">
        <w:rPr>
          <w:color w:val="000000" w:themeColor="text1"/>
        </w:rPr>
        <w:t xml:space="preserve">can </w:t>
      </w:r>
      <w:r w:rsidRPr="007A6A7F">
        <w:rPr>
          <w:color w:val="000000" w:themeColor="text1"/>
        </w:rPr>
        <w:t>negatively affect evaluation quality and utility.</w:t>
      </w:r>
      <w:r w:rsidR="00A74814">
        <w:rPr>
          <w:color w:val="000000" w:themeColor="text1"/>
        </w:rPr>
        <w:t xml:space="preserve"> </w:t>
      </w:r>
      <w:r w:rsidRPr="007A6A7F">
        <w:rPr>
          <w:color w:val="000000" w:themeColor="text1"/>
        </w:rPr>
        <w:t>While the</w:t>
      </w:r>
      <w:r w:rsidR="00E8166C">
        <w:rPr>
          <w:color w:val="000000" w:themeColor="text1"/>
        </w:rPr>
        <w:t xml:space="preserve"> evaluations’</w:t>
      </w:r>
      <w:r w:rsidRPr="007A6A7F">
        <w:rPr>
          <w:color w:val="000000" w:themeColor="text1"/>
        </w:rPr>
        <w:t xml:space="preserve"> assessments against the key aid quality criteria of relevance and effectiveness were generally strong, about half of the</w:t>
      </w:r>
      <w:r w:rsidR="00E8166C">
        <w:rPr>
          <w:color w:val="000000" w:themeColor="text1"/>
        </w:rPr>
        <w:t xml:space="preserve"> evaluations’</w:t>
      </w:r>
      <w:r w:rsidRPr="007A6A7F">
        <w:rPr>
          <w:color w:val="000000" w:themeColor="text1"/>
        </w:rPr>
        <w:t xml:space="preserve"> assessments against the other criteria were weak and were sometimes completed in a perfunctory manner (especially gender equality).</w:t>
      </w:r>
      <w:r w:rsidR="00A74814">
        <w:rPr>
          <w:color w:val="000000" w:themeColor="text1"/>
        </w:rPr>
        <w:t xml:space="preserve"> </w:t>
      </w:r>
      <w:r w:rsidRPr="007A6A7F">
        <w:rPr>
          <w:color w:val="000000" w:themeColor="text1"/>
        </w:rPr>
        <w:t xml:space="preserve">This suggests a need for clearer departmental </w:t>
      </w:r>
      <w:r w:rsidR="00E8166C">
        <w:rPr>
          <w:color w:val="000000" w:themeColor="text1"/>
        </w:rPr>
        <w:t>guidance</w:t>
      </w:r>
      <w:r w:rsidR="00E8166C" w:rsidRPr="007A6A7F">
        <w:rPr>
          <w:color w:val="000000" w:themeColor="text1"/>
        </w:rPr>
        <w:t xml:space="preserve"> </w:t>
      </w:r>
      <w:r w:rsidRPr="007A6A7F">
        <w:rPr>
          <w:color w:val="000000" w:themeColor="text1"/>
        </w:rPr>
        <w:t xml:space="preserve">that operational evaluations should be scoped to meet the </w:t>
      </w:r>
      <w:r w:rsidR="00E8166C">
        <w:rPr>
          <w:color w:val="000000" w:themeColor="text1"/>
        </w:rPr>
        <w:t>specific</w:t>
      </w:r>
      <w:r w:rsidR="00E8166C" w:rsidRPr="007A6A7F">
        <w:rPr>
          <w:color w:val="000000" w:themeColor="text1"/>
        </w:rPr>
        <w:t xml:space="preserve"> </w:t>
      </w:r>
      <w:r w:rsidRPr="007A6A7F">
        <w:rPr>
          <w:color w:val="000000" w:themeColor="text1"/>
        </w:rPr>
        <w:t>information needs of program areas.</w:t>
      </w:r>
    </w:p>
    <w:p w14:paraId="70D2DF55" w14:textId="498BDAF5" w:rsidR="003506E7" w:rsidRDefault="003506E7" w:rsidP="009C17CC">
      <w:pPr>
        <w:pStyle w:val="Heading3"/>
      </w:pPr>
      <w:r>
        <w:t>Assessing impact is difficult</w:t>
      </w:r>
    </w:p>
    <w:p w14:paraId="04BB24AA" w14:textId="65713B8F" w:rsidR="00443763" w:rsidRPr="007A6A7F" w:rsidRDefault="004C2B33" w:rsidP="00443763">
      <w:pPr>
        <w:rPr>
          <w:color w:val="000000" w:themeColor="text1"/>
        </w:rPr>
      </w:pPr>
      <w:r>
        <w:rPr>
          <w:color w:val="000000" w:themeColor="text1"/>
        </w:rPr>
        <w:t>Half of</w:t>
      </w:r>
      <w:r w:rsidR="00443763" w:rsidRPr="007A6A7F">
        <w:rPr>
          <w:color w:val="000000" w:themeColor="text1"/>
        </w:rPr>
        <w:t xml:space="preserve"> </w:t>
      </w:r>
      <w:r w:rsidR="0098432C">
        <w:rPr>
          <w:color w:val="000000" w:themeColor="text1"/>
        </w:rPr>
        <w:t xml:space="preserve">the </w:t>
      </w:r>
      <w:r w:rsidR="00443763" w:rsidRPr="007A6A7F">
        <w:rPr>
          <w:color w:val="000000" w:themeColor="text1"/>
        </w:rPr>
        <w:t>evaluations did not attempt to assess the</w:t>
      </w:r>
      <w:r w:rsidR="0067037C">
        <w:rPr>
          <w:color w:val="000000" w:themeColor="text1"/>
        </w:rPr>
        <w:t xml:space="preserve"> long-term</w:t>
      </w:r>
      <w:r w:rsidR="00443763" w:rsidRPr="007A6A7F">
        <w:rPr>
          <w:color w:val="000000" w:themeColor="text1"/>
        </w:rPr>
        <w:t xml:space="preserve"> impact of the aid initiative.</w:t>
      </w:r>
      <w:r w:rsidR="00A74814">
        <w:rPr>
          <w:color w:val="000000" w:themeColor="text1"/>
        </w:rPr>
        <w:t xml:space="preserve"> </w:t>
      </w:r>
      <w:r w:rsidR="00443763" w:rsidRPr="007A6A7F">
        <w:rPr>
          <w:color w:val="000000" w:themeColor="text1"/>
        </w:rPr>
        <w:t xml:space="preserve">Where an assessment of impact was made, the quality of </w:t>
      </w:r>
      <w:r w:rsidR="0067037C">
        <w:rPr>
          <w:color w:val="000000" w:themeColor="text1"/>
        </w:rPr>
        <w:t xml:space="preserve">the majority </w:t>
      </w:r>
      <w:r>
        <w:rPr>
          <w:color w:val="000000" w:themeColor="text1"/>
        </w:rPr>
        <w:t xml:space="preserve">of </w:t>
      </w:r>
      <w:r w:rsidR="00443763" w:rsidRPr="007A6A7F">
        <w:rPr>
          <w:color w:val="000000" w:themeColor="text1"/>
        </w:rPr>
        <w:t xml:space="preserve">those assessments </w:t>
      </w:r>
      <w:r w:rsidR="00D035DE">
        <w:rPr>
          <w:color w:val="000000" w:themeColor="text1"/>
        </w:rPr>
        <w:t>was</w:t>
      </w:r>
      <w:r w:rsidR="00443763" w:rsidRPr="007A6A7F">
        <w:rPr>
          <w:color w:val="000000" w:themeColor="text1"/>
        </w:rPr>
        <w:t xml:space="preserve"> weak.</w:t>
      </w:r>
      <w:r w:rsidR="00A74814">
        <w:rPr>
          <w:color w:val="000000" w:themeColor="text1"/>
        </w:rPr>
        <w:t xml:space="preserve"> </w:t>
      </w:r>
      <w:r w:rsidR="00443763" w:rsidRPr="007A6A7F">
        <w:rPr>
          <w:color w:val="000000" w:themeColor="text1"/>
        </w:rPr>
        <w:t xml:space="preserve">This raises questions about the appropriateness of including the assessment of impact as standard in operational evaluations, given </w:t>
      </w:r>
      <w:r w:rsidR="006A7E74">
        <w:rPr>
          <w:color w:val="000000" w:themeColor="text1"/>
        </w:rPr>
        <w:t xml:space="preserve">that </w:t>
      </w:r>
      <w:r w:rsidR="00443763" w:rsidRPr="007A6A7F">
        <w:rPr>
          <w:color w:val="000000" w:themeColor="text1"/>
        </w:rPr>
        <w:t xml:space="preserve">the impact of an aid initiative is difficult to assess until well after its completion and typically relies on a robust monitoring and evaluation system </w:t>
      </w:r>
      <w:r w:rsidR="0017776D">
        <w:rPr>
          <w:color w:val="000000" w:themeColor="text1"/>
        </w:rPr>
        <w:t xml:space="preserve">being in place across </w:t>
      </w:r>
      <w:r w:rsidR="00443763" w:rsidRPr="007A6A7F">
        <w:rPr>
          <w:color w:val="000000" w:themeColor="text1"/>
        </w:rPr>
        <w:t xml:space="preserve">the lifetime of </w:t>
      </w:r>
      <w:r w:rsidR="0098432C">
        <w:rPr>
          <w:color w:val="000000" w:themeColor="text1"/>
        </w:rPr>
        <w:t>the</w:t>
      </w:r>
      <w:r w:rsidR="00443763" w:rsidRPr="007A6A7F">
        <w:rPr>
          <w:color w:val="000000" w:themeColor="text1"/>
        </w:rPr>
        <w:t xml:space="preserve"> initiative.</w:t>
      </w:r>
      <w:r w:rsidR="00A74814">
        <w:rPr>
          <w:color w:val="000000" w:themeColor="text1"/>
        </w:rPr>
        <w:t xml:space="preserve"> </w:t>
      </w:r>
    </w:p>
    <w:p w14:paraId="1A7A3F96" w14:textId="793F59F9" w:rsidR="001B1191" w:rsidRDefault="006A7E74" w:rsidP="008774FC">
      <w:r>
        <w:t>Rigorous assessments of end</w:t>
      </w:r>
      <w:r w:rsidR="0098432C">
        <w:t>-</w:t>
      </w:r>
      <w:r>
        <w:t>of</w:t>
      </w:r>
      <w:r w:rsidR="0098432C">
        <w:t>-</w:t>
      </w:r>
      <w:r>
        <w:t>program outcomes and</w:t>
      </w:r>
      <w:r w:rsidR="00DE497D">
        <w:t xml:space="preserve"> of</w:t>
      </w:r>
      <w:r>
        <w:t xml:space="preserve"> impact remain a high priority to inform learning and account for the results of public spending on aid.</w:t>
      </w:r>
      <w:r w:rsidR="00A74814">
        <w:t xml:space="preserve"> </w:t>
      </w:r>
      <w:r>
        <w:t>Special a</w:t>
      </w:r>
      <w:r w:rsidR="001B1191">
        <w:t xml:space="preserve">rrangements for commissioning and resourcing evaluations specifically designed to look at the long-term impact of aid initiatives should be considered, particularly for high-value investments and/or those </w:t>
      </w:r>
      <w:r w:rsidR="00DE497D">
        <w:t xml:space="preserve">that </w:t>
      </w:r>
      <w:r w:rsidR="001B1191">
        <w:t>offer broader learning opportunities.</w:t>
      </w:r>
    </w:p>
    <w:p w14:paraId="5EE62F50" w14:textId="008FDB29" w:rsidR="00EF7C97" w:rsidRPr="00EF7C97" w:rsidRDefault="00EF7C97" w:rsidP="00D648DC">
      <w:pPr>
        <w:pStyle w:val="Heading2"/>
        <w:ind w:left="0" w:firstLine="0"/>
      </w:pPr>
      <w:bookmarkStart w:id="21" w:name="_Toc387675096"/>
      <w:r w:rsidRPr="00EF7C97">
        <w:t>Lessons for DFAT evaluation commissioning areas to maximise evaluation quality</w:t>
      </w:r>
      <w:r w:rsidR="002005D6">
        <w:t xml:space="preserve"> and utility</w:t>
      </w:r>
      <w:bookmarkEnd w:id="21"/>
    </w:p>
    <w:p w14:paraId="3FB1F764" w14:textId="2FDFBD47" w:rsidR="00A13E74" w:rsidRDefault="00FC0894" w:rsidP="00EF7C97">
      <w:pPr>
        <w:rPr>
          <w:color w:val="000000" w:themeColor="text1"/>
          <w:szCs w:val="21"/>
        </w:rPr>
      </w:pPr>
      <w:r>
        <w:rPr>
          <w:color w:val="000000" w:themeColor="text1"/>
          <w:szCs w:val="21"/>
        </w:rPr>
        <w:t>T</w:t>
      </w:r>
      <w:r w:rsidR="00E6468F">
        <w:rPr>
          <w:color w:val="000000" w:themeColor="text1"/>
          <w:szCs w:val="21"/>
        </w:rPr>
        <w:t xml:space="preserve">he evidence </w:t>
      </w:r>
      <w:r w:rsidR="00214D89">
        <w:rPr>
          <w:color w:val="000000" w:themeColor="text1"/>
          <w:szCs w:val="21"/>
        </w:rPr>
        <w:t>from our</w:t>
      </w:r>
      <w:r w:rsidR="00E6468F">
        <w:rPr>
          <w:color w:val="000000" w:themeColor="text1"/>
          <w:szCs w:val="21"/>
        </w:rPr>
        <w:t xml:space="preserve"> review </w:t>
      </w:r>
      <w:r>
        <w:rPr>
          <w:color w:val="000000" w:themeColor="text1"/>
          <w:szCs w:val="21"/>
        </w:rPr>
        <w:t>highlights</w:t>
      </w:r>
      <w:r w:rsidR="00EF7C97" w:rsidRPr="009F4869">
        <w:rPr>
          <w:color w:val="000000" w:themeColor="text1"/>
          <w:szCs w:val="21"/>
        </w:rPr>
        <w:t xml:space="preserve"> </w:t>
      </w:r>
      <w:r w:rsidR="00DE497D">
        <w:rPr>
          <w:color w:val="000000" w:themeColor="text1"/>
          <w:szCs w:val="21"/>
        </w:rPr>
        <w:t>the following</w:t>
      </w:r>
      <w:r w:rsidR="00EF7C97" w:rsidRPr="009F4869">
        <w:rPr>
          <w:color w:val="000000" w:themeColor="text1"/>
          <w:szCs w:val="21"/>
        </w:rPr>
        <w:t xml:space="preserve"> specific lessons for DFAT evaluation commissioning areas to maximise evaluation quality</w:t>
      </w:r>
      <w:r w:rsidR="002005D6">
        <w:rPr>
          <w:color w:val="000000" w:themeColor="text1"/>
          <w:szCs w:val="21"/>
        </w:rPr>
        <w:t xml:space="preserve"> and utility</w:t>
      </w:r>
      <w:r w:rsidR="00DE497D">
        <w:rPr>
          <w:color w:val="000000" w:themeColor="text1"/>
          <w:szCs w:val="21"/>
        </w:rPr>
        <w:t>.</w:t>
      </w:r>
      <w:r w:rsidR="00A74814">
        <w:rPr>
          <w:color w:val="000000" w:themeColor="text1"/>
          <w:szCs w:val="21"/>
        </w:rPr>
        <w:t xml:space="preserve"> </w:t>
      </w:r>
    </w:p>
    <w:p w14:paraId="66733705" w14:textId="5DA85A2B" w:rsidR="0071770B" w:rsidRPr="008774FC" w:rsidRDefault="0071770B" w:rsidP="008774FC">
      <w:pPr>
        <w:pStyle w:val="Boxheading0"/>
        <w:rPr>
          <w:sz w:val="23"/>
          <w:szCs w:val="23"/>
        </w:rPr>
      </w:pPr>
      <w:r w:rsidRPr="008774FC">
        <w:rPr>
          <w:sz w:val="23"/>
          <w:szCs w:val="23"/>
        </w:rPr>
        <w:lastRenderedPageBreak/>
        <w:t xml:space="preserve">Lessons for DFAT evaluation commissioning areas </w:t>
      </w:r>
    </w:p>
    <w:p w14:paraId="65B173AD" w14:textId="77777777" w:rsidR="00822A79" w:rsidRPr="00822A79" w:rsidRDefault="00822A79" w:rsidP="00822A79">
      <w:pPr>
        <w:pStyle w:val="BoxHeading21"/>
        <w:spacing w:before="240"/>
        <w:rPr>
          <w:i w:val="0"/>
          <w:sz w:val="2"/>
          <w:szCs w:val="2"/>
        </w:rPr>
      </w:pPr>
    </w:p>
    <w:p w14:paraId="7922E432" w14:textId="77777777" w:rsidR="00822A79" w:rsidRPr="00822A79" w:rsidRDefault="00822A79" w:rsidP="00822A79">
      <w:pPr>
        <w:pStyle w:val="BoxHeading21"/>
        <w:rPr>
          <w:i w:val="0"/>
        </w:rPr>
      </w:pPr>
      <w:r w:rsidRPr="00822A79">
        <w:rPr>
          <w:i w:val="0"/>
        </w:rPr>
        <w:t xml:space="preserve">Start evaluation planning well in advance </w:t>
      </w:r>
    </w:p>
    <w:p w14:paraId="4A994A80" w14:textId="77777777" w:rsidR="00822A79" w:rsidRPr="00822A79" w:rsidRDefault="00822A79" w:rsidP="00822A79">
      <w:pPr>
        <w:pStyle w:val="Boxbullet"/>
        <w:numPr>
          <w:ilvl w:val="0"/>
          <w:numId w:val="132"/>
        </w:numPr>
      </w:pPr>
      <w:r w:rsidRPr="00822A79">
        <w:t>Consider the timing of an evaluation when you are developing initiative monitoring and evaluation arrangements. Plan the timing of the evaluation so that it will be most useful for program management purposes. Use program-level evaluation planning to help with the allocation of resources and skilled staff.</w:t>
      </w:r>
    </w:p>
    <w:p w14:paraId="75CBDF66" w14:textId="177701FC" w:rsidR="00822A79" w:rsidRPr="00822A79" w:rsidRDefault="00822A79" w:rsidP="00822A79">
      <w:pPr>
        <w:pStyle w:val="Boxbullet"/>
        <w:numPr>
          <w:ilvl w:val="0"/>
          <w:numId w:val="132"/>
        </w:numPr>
      </w:pPr>
      <w:r w:rsidRPr="00822A79">
        <w:t xml:space="preserve">Start planning the evaluation six months ahead of planned commencement. Adequate time is needed to develop good-quality terms of reference (seeking support from performance and quality managers if needed), contract the most suitable consultants, engage with the consultants in their evaluation planning and schedule fieldwork to allow access to key stakeholders. </w:t>
      </w:r>
      <w:r w:rsidR="005D6CC2">
        <w:t>O</w:t>
      </w:r>
      <w:r w:rsidRPr="00822A79">
        <w:t>ptions may be limited if there is insufficient lead time.</w:t>
      </w:r>
    </w:p>
    <w:p w14:paraId="29463029" w14:textId="77777777" w:rsidR="00822A79" w:rsidRPr="00822A79" w:rsidRDefault="00822A79" w:rsidP="00822A79">
      <w:pPr>
        <w:pStyle w:val="BoxHeading21"/>
        <w:rPr>
          <w:i w:val="0"/>
        </w:rPr>
      </w:pPr>
      <w:r w:rsidRPr="00822A79">
        <w:rPr>
          <w:i w:val="0"/>
        </w:rPr>
        <w:t>Focus on developing strong terms of reference as the basis for a good-quality evaluation</w:t>
      </w:r>
    </w:p>
    <w:p w14:paraId="04B26226" w14:textId="77777777" w:rsidR="00822A79" w:rsidRPr="00822A79" w:rsidRDefault="00822A79" w:rsidP="00822A79">
      <w:pPr>
        <w:pStyle w:val="Boxbullet"/>
        <w:numPr>
          <w:ilvl w:val="0"/>
          <w:numId w:val="132"/>
        </w:numPr>
      </w:pPr>
      <w:r w:rsidRPr="00822A79">
        <w:t>Using the aid quality criteria as a starting point, develop a limited number of key evaluation questions that address the most critical issues and management decisions related to the initiative. Prioritise these questions to ensure a focus on the things that really matter. Consider including assessment of the intervention logic or theory of change. (If the intervention logic is not clearly articulated in the initiative design or implementation documents then one of the first evaluation tasks should be to reconstruct the intervention logic.)</w:t>
      </w:r>
    </w:p>
    <w:p w14:paraId="4A6C09B2" w14:textId="77777777" w:rsidR="00822A79" w:rsidRPr="00822A79" w:rsidRDefault="00822A79" w:rsidP="00822A79">
      <w:pPr>
        <w:pStyle w:val="Boxbullet"/>
        <w:numPr>
          <w:ilvl w:val="0"/>
          <w:numId w:val="132"/>
        </w:numPr>
      </w:pPr>
      <w:r w:rsidRPr="00822A79">
        <w:t xml:space="preserve">Allocate sufficient time for the evaluation. This should match the scope of the evaluation but for a good quality evaluation would typically be two to three months from when the consultants commence to when the evaluation report is finalised. In particular, allow enough days for the consultants to develop a strong evaluation plan with a methodology that is appropriate to the evaluation questions, and for fieldwork. </w:t>
      </w:r>
    </w:p>
    <w:p w14:paraId="2DBCCCDA" w14:textId="77777777" w:rsidR="00822A79" w:rsidRPr="00822A79" w:rsidRDefault="00822A79" w:rsidP="00822A79">
      <w:pPr>
        <w:pStyle w:val="Boxbullet"/>
        <w:numPr>
          <w:ilvl w:val="0"/>
          <w:numId w:val="132"/>
        </w:numPr>
      </w:pPr>
      <w:r w:rsidRPr="00822A79">
        <w:t>Consider the skills required within the evaluation team, and the number of evaluation team members needed to cover this range of skills. Evaluation teams should consist of people with technical evaluation expertise and strong interpersonal skills, in addition to sectoral expertise and, to a lesser extent, knowledge of the country or regional context.</w:t>
      </w:r>
    </w:p>
    <w:p w14:paraId="3F0BA335" w14:textId="77777777" w:rsidR="00822A79" w:rsidRPr="00822A79" w:rsidRDefault="00822A79" w:rsidP="00822A79">
      <w:pPr>
        <w:pStyle w:val="Boxbullet"/>
        <w:numPr>
          <w:ilvl w:val="0"/>
          <w:numId w:val="132"/>
        </w:numPr>
      </w:pPr>
      <w:r w:rsidRPr="00822A79">
        <w:t>Be clear about the roles of any DFAT staff involved in the evaluation.</w:t>
      </w:r>
    </w:p>
    <w:p w14:paraId="3C810431" w14:textId="77777777" w:rsidR="00822A79" w:rsidRPr="00822A79" w:rsidRDefault="00822A79" w:rsidP="00822A79">
      <w:pPr>
        <w:pStyle w:val="BoxHeading21"/>
        <w:rPr>
          <w:i w:val="0"/>
        </w:rPr>
      </w:pPr>
      <w:r w:rsidRPr="00822A79">
        <w:rPr>
          <w:i w:val="0"/>
        </w:rPr>
        <w:t>Continue to actively engage with the evaluation team during the evaluation</w:t>
      </w:r>
    </w:p>
    <w:p w14:paraId="1BCC052E" w14:textId="77777777" w:rsidR="0066769E" w:rsidRDefault="00822A79" w:rsidP="001E6473">
      <w:pPr>
        <w:pStyle w:val="Boxbullet"/>
        <w:numPr>
          <w:ilvl w:val="0"/>
          <w:numId w:val="132"/>
        </w:numPr>
      </w:pPr>
      <w:r w:rsidRPr="00822A79">
        <w:t xml:space="preserve">Invest time and effort in building strong relationships with the evaluation team. </w:t>
      </w:r>
    </w:p>
    <w:p w14:paraId="760B5FA0" w14:textId="0C2F3A4D" w:rsidR="0071770B" w:rsidRDefault="00822A79" w:rsidP="001E6473">
      <w:pPr>
        <w:pStyle w:val="Boxbullet"/>
        <w:numPr>
          <w:ilvl w:val="0"/>
          <w:numId w:val="132"/>
        </w:numPr>
      </w:pPr>
      <w:r w:rsidRPr="00822A79">
        <w:t>Debate contentious issues, but respect the independence of the evaluation. Allow the team leader to exercise judgment on participation of staff in meetings or interviews.</w:t>
      </w:r>
    </w:p>
    <w:p w14:paraId="14CD027B" w14:textId="77777777" w:rsidR="00966FCA" w:rsidRPr="00966FCA" w:rsidRDefault="00966FCA" w:rsidP="00966FCA">
      <w:pPr>
        <w:pStyle w:val="Boxbullet"/>
        <w:numPr>
          <w:ilvl w:val="0"/>
          <w:numId w:val="0"/>
        </w:numPr>
        <w:rPr>
          <w:sz w:val="2"/>
          <w:szCs w:val="2"/>
        </w:rPr>
      </w:pPr>
    </w:p>
    <w:p w14:paraId="5DD4C5A2" w14:textId="77777777" w:rsidR="008774FC" w:rsidRPr="008774FC" w:rsidRDefault="008774FC" w:rsidP="00925FD0">
      <w:pPr>
        <w:rPr>
          <w:sz w:val="2"/>
          <w:szCs w:val="2"/>
        </w:rPr>
      </w:pPr>
    </w:p>
    <w:p w14:paraId="4C4C51E8" w14:textId="045A088B" w:rsidR="00A13E74" w:rsidRPr="00A13E74" w:rsidRDefault="00A13E74" w:rsidP="00925FD0">
      <w:r>
        <w:t>The</w:t>
      </w:r>
      <w:r w:rsidR="00E6468F">
        <w:t>se</w:t>
      </w:r>
      <w:r>
        <w:t xml:space="preserve"> lessons shou</w:t>
      </w:r>
      <w:r w:rsidR="009F4869">
        <w:t>ld be read in conjunction with departmental evaluation guidelines</w:t>
      </w:r>
      <w:r w:rsidR="00FC0894">
        <w:t>,</w:t>
      </w:r>
      <w:r w:rsidR="009F4869">
        <w:t xml:space="preserve"> particularly the DFAT </w:t>
      </w:r>
      <w:r w:rsidR="00DE497D">
        <w:t>A</w:t>
      </w:r>
      <w:r w:rsidR="009F4869">
        <w:t xml:space="preserve">id </w:t>
      </w:r>
      <w:r>
        <w:t>Monitoring and Evaluation</w:t>
      </w:r>
      <w:r w:rsidR="009F4869">
        <w:t xml:space="preserve"> Standards</w:t>
      </w:r>
      <w:r w:rsidR="00473E01">
        <w:t>,</w:t>
      </w:r>
      <w:r w:rsidR="00473E01" w:rsidRPr="00473E01">
        <w:t xml:space="preserve"> </w:t>
      </w:r>
      <w:r w:rsidR="00473E01">
        <w:t>which</w:t>
      </w:r>
      <w:r w:rsidR="00473E01" w:rsidRPr="002615AD">
        <w:t xml:space="preserve"> articulate expectations of the quality expected from a range of M&amp;E products. </w:t>
      </w:r>
      <w:r>
        <w:t>The relevant standards</w:t>
      </w:r>
      <w:r w:rsidR="00473E01">
        <w:t xml:space="preserve"> relating to independent evaluations</w:t>
      </w:r>
      <w:r>
        <w:t xml:space="preserve"> are included at Annex 5.</w:t>
      </w:r>
      <w:r w:rsidR="00A74814">
        <w:t xml:space="preserve"> </w:t>
      </w:r>
      <w:r>
        <w:t>The</w:t>
      </w:r>
      <w:r w:rsidR="00FC0894">
        <w:t xml:space="preserve"> standards</w:t>
      </w:r>
      <w:r>
        <w:t xml:space="preserve"> had not been formally </w:t>
      </w:r>
      <w:r w:rsidR="00214D89">
        <w:t>adopt</w:t>
      </w:r>
      <w:r>
        <w:t>ed</w:t>
      </w:r>
      <w:r w:rsidRPr="00A13E74">
        <w:t xml:space="preserve"> at the time the evaluations</w:t>
      </w:r>
      <w:r w:rsidR="00DE497D">
        <w:t xml:space="preserve"> examined</w:t>
      </w:r>
      <w:r>
        <w:t xml:space="preserve"> in this review</w:t>
      </w:r>
      <w:r w:rsidRPr="00A13E74">
        <w:t xml:space="preserve"> were undertaken</w:t>
      </w:r>
      <w:r w:rsidR="00E6468F">
        <w:t xml:space="preserve">, </w:t>
      </w:r>
      <w:r>
        <w:t xml:space="preserve">but </w:t>
      </w:r>
      <w:r w:rsidR="00473E01">
        <w:t>they were</w:t>
      </w:r>
      <w:r>
        <w:t xml:space="preserve"> integrated into </w:t>
      </w:r>
      <w:r w:rsidR="00473E01">
        <w:t xml:space="preserve">evaluation </w:t>
      </w:r>
      <w:r>
        <w:t xml:space="preserve">guidance </w:t>
      </w:r>
      <w:r w:rsidR="00473E01">
        <w:t>in</w:t>
      </w:r>
      <w:r>
        <w:t xml:space="preserve"> 2012</w:t>
      </w:r>
      <w:r w:rsidRPr="00A13E74">
        <w:t>.</w:t>
      </w:r>
      <w:r w:rsidR="00A74814">
        <w:t xml:space="preserve"> </w:t>
      </w:r>
      <w:r w:rsidR="00473E01">
        <w:t xml:space="preserve">The Standards </w:t>
      </w:r>
      <w:r w:rsidR="00473E01" w:rsidRPr="002615AD">
        <w:t>provide a useful resource for evaluation commission</w:t>
      </w:r>
      <w:r w:rsidR="00473E01">
        <w:t>ing</w:t>
      </w:r>
      <w:r w:rsidR="00473E01" w:rsidRPr="002615AD">
        <w:t xml:space="preserve"> areas</w:t>
      </w:r>
      <w:r w:rsidR="00473E01">
        <w:t>.</w:t>
      </w:r>
    </w:p>
    <w:p w14:paraId="26EF19A9" w14:textId="0D067692" w:rsidR="00EF7C97" w:rsidRPr="00C427E5" w:rsidRDefault="00EF7C97" w:rsidP="00925FD0">
      <w:r w:rsidRPr="009F4869">
        <w:t>Our review also identified several examples of good</w:t>
      </w:r>
      <w:r w:rsidR="00DE497D">
        <w:t>-</w:t>
      </w:r>
      <w:r w:rsidRPr="009F4869">
        <w:t xml:space="preserve">practice evaluation documents, which are discussed in Annex </w:t>
      </w:r>
      <w:r w:rsidR="00FC0894">
        <w:t>6</w:t>
      </w:r>
      <w:r w:rsidRPr="009F4869">
        <w:t>.</w:t>
      </w:r>
    </w:p>
    <w:p w14:paraId="3DB81CD8" w14:textId="4AFBE6DC" w:rsidR="00FA6908" w:rsidRDefault="00FA6908" w:rsidP="006A5B2F">
      <w:pPr>
        <w:pStyle w:val="Heading2"/>
      </w:pPr>
      <w:bookmarkStart w:id="22" w:name="_Toc378764144"/>
      <w:bookmarkStart w:id="23" w:name="_Toc387675097"/>
      <w:r>
        <w:t>Recommendations and management response</w:t>
      </w:r>
      <w:bookmarkEnd w:id="22"/>
      <w:bookmarkEnd w:id="23"/>
    </w:p>
    <w:p w14:paraId="5B376A00" w14:textId="1888FA83" w:rsidR="00030D98" w:rsidRDefault="00FA6908" w:rsidP="00FA6908">
      <w:pPr>
        <w:rPr>
          <w:color w:val="000000" w:themeColor="text1"/>
        </w:rPr>
      </w:pPr>
      <w:r w:rsidRPr="00C427E5">
        <w:rPr>
          <w:color w:val="000000" w:themeColor="text1"/>
        </w:rPr>
        <w:t xml:space="preserve">Acknowledging the need to </w:t>
      </w:r>
      <w:r w:rsidRPr="000D3402">
        <w:rPr>
          <w:color w:val="000000" w:themeColor="text1"/>
        </w:rPr>
        <w:t>improve the evidence base for effective aid program</w:t>
      </w:r>
      <w:r w:rsidR="004511CB">
        <w:rPr>
          <w:color w:val="000000" w:themeColor="text1"/>
        </w:rPr>
        <w:t>m</w:t>
      </w:r>
      <w:r w:rsidRPr="000D3402">
        <w:rPr>
          <w:color w:val="000000" w:themeColor="text1"/>
        </w:rPr>
        <w:t xml:space="preserve">ing and the principles of simplicity, proportionality and value for money, </w:t>
      </w:r>
      <w:r w:rsidR="000D3402" w:rsidRPr="000558F6">
        <w:rPr>
          <w:color w:val="000000" w:themeColor="text1"/>
        </w:rPr>
        <w:t>this review</w:t>
      </w:r>
      <w:r w:rsidRPr="009933AE">
        <w:rPr>
          <w:color w:val="000000" w:themeColor="text1"/>
        </w:rPr>
        <w:t xml:space="preserve"> mak</w:t>
      </w:r>
      <w:r w:rsidRPr="000D3402">
        <w:rPr>
          <w:color w:val="000000" w:themeColor="text1"/>
        </w:rPr>
        <w:t>es</w:t>
      </w:r>
      <w:r w:rsidR="00C54340" w:rsidRPr="000D3402">
        <w:rPr>
          <w:color w:val="000000" w:themeColor="text1"/>
        </w:rPr>
        <w:t xml:space="preserve"> the</w:t>
      </w:r>
      <w:r w:rsidRPr="000D3402">
        <w:rPr>
          <w:color w:val="000000" w:themeColor="text1"/>
        </w:rPr>
        <w:t xml:space="preserve"> following recommendations for improving </w:t>
      </w:r>
      <w:r w:rsidR="00211DBF" w:rsidRPr="000D3402">
        <w:rPr>
          <w:color w:val="000000" w:themeColor="text1"/>
        </w:rPr>
        <w:t>the quality and utility of</w:t>
      </w:r>
      <w:r w:rsidR="00442BEB">
        <w:rPr>
          <w:color w:val="000000" w:themeColor="text1"/>
        </w:rPr>
        <w:t xml:space="preserve"> operational</w:t>
      </w:r>
      <w:r w:rsidR="00211DBF" w:rsidRPr="000D3402">
        <w:rPr>
          <w:color w:val="000000" w:themeColor="text1"/>
        </w:rPr>
        <w:t xml:space="preserve"> evaluation</w:t>
      </w:r>
      <w:r w:rsidR="00442BEB">
        <w:rPr>
          <w:color w:val="000000" w:themeColor="text1"/>
        </w:rPr>
        <w:t>s</w:t>
      </w:r>
      <w:r w:rsidR="00211DBF" w:rsidRPr="000D3402">
        <w:rPr>
          <w:color w:val="000000" w:themeColor="text1"/>
        </w:rPr>
        <w:t xml:space="preserve"> of Australian aid</w:t>
      </w:r>
      <w:r w:rsidRPr="000D3402">
        <w:rPr>
          <w:color w:val="000000" w:themeColor="text1"/>
        </w:rPr>
        <w:t>.</w:t>
      </w:r>
    </w:p>
    <w:tbl>
      <w:tblPr>
        <w:tblStyle w:val="TableGrid"/>
        <w:tblpPr w:leftFromText="180" w:rightFromText="180" w:vertAnchor="text" w:tblpY="1"/>
        <w:tblOverlap w:val="never"/>
        <w:tblW w:w="0" w:type="auto"/>
        <w:tblBorders>
          <w:top w:val="single" w:sz="4" w:space="0" w:color="007FAD"/>
          <w:left w:val="single" w:sz="4" w:space="0" w:color="007FAD"/>
          <w:bottom w:val="single" w:sz="4" w:space="0" w:color="007FAD"/>
          <w:right w:val="single" w:sz="4" w:space="0" w:color="007FAD"/>
          <w:insideH w:val="single" w:sz="4" w:space="0" w:color="007FAD"/>
          <w:insideV w:val="single" w:sz="4" w:space="0" w:color="007FAD"/>
        </w:tblBorders>
        <w:tblLook w:val="04A0" w:firstRow="1" w:lastRow="0" w:firstColumn="1" w:lastColumn="0" w:noHBand="0" w:noVBand="1"/>
      </w:tblPr>
      <w:tblGrid>
        <w:gridCol w:w="4510"/>
        <w:gridCol w:w="4510"/>
      </w:tblGrid>
      <w:tr w:rsidR="001E6473" w14:paraId="6C89F7F1" w14:textId="77777777" w:rsidTr="003B7688">
        <w:trPr>
          <w:cnfStyle w:val="100000000000" w:firstRow="1" w:lastRow="0" w:firstColumn="0" w:lastColumn="0" w:oddVBand="0" w:evenVBand="0" w:oddHBand="0" w:evenHBand="0" w:firstRowFirstColumn="0" w:firstRowLastColumn="0" w:lastRowFirstColumn="0" w:lastRowLastColumn="0"/>
          <w:cantSplit/>
        </w:trPr>
        <w:tc>
          <w:tcPr>
            <w:tcW w:w="9020" w:type="dxa"/>
            <w:gridSpan w:val="2"/>
            <w:tcBorders>
              <w:top w:val="none" w:sz="0" w:space="0" w:color="auto"/>
              <w:left w:val="none" w:sz="0" w:space="0" w:color="auto"/>
              <w:bottom w:val="none" w:sz="0" w:space="0" w:color="auto"/>
              <w:right w:val="none" w:sz="0" w:space="0" w:color="auto"/>
            </w:tcBorders>
            <w:shd w:val="clear" w:color="auto" w:fill="007FAD"/>
            <w:hideMark/>
          </w:tcPr>
          <w:p w14:paraId="6AB63E89" w14:textId="77777777" w:rsidR="001E6473" w:rsidRPr="008774FC" w:rsidRDefault="001E6473" w:rsidP="001E6473">
            <w:pPr>
              <w:pStyle w:val="TableHeading21"/>
              <w:rPr>
                <w:i w:val="0"/>
                <w:sz w:val="24"/>
                <w:szCs w:val="24"/>
              </w:rPr>
            </w:pPr>
            <w:r w:rsidRPr="008774FC">
              <w:rPr>
                <w:i w:val="0"/>
                <w:sz w:val="24"/>
                <w:szCs w:val="24"/>
              </w:rPr>
              <w:lastRenderedPageBreak/>
              <w:t>Recommendations and specific management responses</w:t>
            </w:r>
          </w:p>
        </w:tc>
      </w:tr>
      <w:tr w:rsidR="001E6473" w14:paraId="32662929" w14:textId="77777777" w:rsidTr="003B7688">
        <w:trPr>
          <w:cantSplit/>
          <w:trHeight w:val="4132"/>
        </w:trPr>
        <w:tc>
          <w:tcPr>
            <w:tcW w:w="4510" w:type="dxa"/>
            <w:shd w:val="clear" w:color="auto" w:fill="ECF1F7"/>
            <w:hideMark/>
          </w:tcPr>
          <w:p w14:paraId="03F9C128" w14:textId="77777777" w:rsidR="001E6473" w:rsidRPr="008774FC" w:rsidRDefault="001E6473" w:rsidP="001E6473">
            <w:pPr>
              <w:pStyle w:val="Tabletext0"/>
              <w:rPr>
                <w:b/>
                <w:sz w:val="21"/>
              </w:rPr>
            </w:pPr>
            <w:r w:rsidRPr="008774FC">
              <w:rPr>
                <w:b/>
                <w:sz w:val="21"/>
              </w:rPr>
              <w:t>Recommendation 1</w:t>
            </w:r>
          </w:p>
          <w:p w14:paraId="1F73BE86" w14:textId="77777777" w:rsidR="001E6473" w:rsidRPr="008774FC" w:rsidRDefault="001E6473" w:rsidP="001E6473">
            <w:pPr>
              <w:pStyle w:val="Tabletext0"/>
              <w:rPr>
                <w:rFonts w:eastAsia="Calibri"/>
                <w:noProof/>
                <w:color w:val="auto"/>
                <w:sz w:val="21"/>
                <w:lang w:eastAsia="en-US"/>
              </w:rPr>
            </w:pPr>
            <w:r w:rsidRPr="008774FC">
              <w:rPr>
                <w:rFonts w:eastAsia="Calibri"/>
                <w:noProof/>
                <w:color w:val="auto"/>
                <w:sz w:val="21"/>
                <w:lang w:eastAsia="en-US"/>
              </w:rPr>
              <w:t>DFAT should review arrangements (including responsibility and resourcing) for the following evaluation functions:</w:t>
            </w:r>
          </w:p>
          <w:p w14:paraId="3660EDDA" w14:textId="77777777" w:rsidR="001E6473" w:rsidRPr="008774FC" w:rsidRDefault="001E6473" w:rsidP="001E6473">
            <w:pPr>
              <w:pStyle w:val="Tablebullet"/>
              <w:rPr>
                <w:sz w:val="21"/>
                <w:szCs w:val="21"/>
              </w:rPr>
            </w:pPr>
            <w:r w:rsidRPr="008774FC">
              <w:rPr>
                <w:sz w:val="21"/>
                <w:szCs w:val="21"/>
              </w:rPr>
              <w:t>evaluation planning at program level, including prioritisation and resourcing of evaluations</w:t>
            </w:r>
          </w:p>
          <w:p w14:paraId="3F918F80" w14:textId="77777777" w:rsidR="001E6473" w:rsidRPr="008774FC" w:rsidRDefault="001E6473" w:rsidP="001E6473">
            <w:pPr>
              <w:pStyle w:val="Tablebullet"/>
              <w:rPr>
                <w:sz w:val="21"/>
                <w:szCs w:val="21"/>
              </w:rPr>
            </w:pPr>
            <w:r w:rsidRPr="008774FC">
              <w:rPr>
                <w:sz w:val="21"/>
                <w:szCs w:val="21"/>
              </w:rPr>
              <w:t>support by dedicated evaluation staff for non-specialist evaluation managers, particularly for developing evaluation terms of reference and/or evaluation plans and for evaluation of high-value investments.</w:t>
            </w:r>
          </w:p>
        </w:tc>
        <w:tc>
          <w:tcPr>
            <w:tcW w:w="4510" w:type="dxa"/>
            <w:shd w:val="clear" w:color="auto" w:fill="ECF1F7"/>
          </w:tcPr>
          <w:p w14:paraId="4E3AEA08" w14:textId="77777777" w:rsidR="001E6473" w:rsidRPr="008774FC" w:rsidRDefault="001E6473" w:rsidP="001E6473">
            <w:pPr>
              <w:pStyle w:val="Tabletext0"/>
              <w:rPr>
                <w:b/>
                <w:sz w:val="21"/>
              </w:rPr>
            </w:pPr>
            <w:r w:rsidRPr="008774FC">
              <w:rPr>
                <w:b/>
                <w:sz w:val="21"/>
              </w:rPr>
              <w:t>Management response</w:t>
            </w:r>
          </w:p>
          <w:p w14:paraId="2B3DEC39" w14:textId="77777777" w:rsidR="00847BEB" w:rsidRPr="00847BEB" w:rsidRDefault="001E6473" w:rsidP="00847BEB">
            <w:pPr>
              <w:pStyle w:val="Tabletext0"/>
              <w:spacing w:after="120"/>
              <w:rPr>
                <w:rFonts w:eastAsia="Calibri"/>
                <w:noProof/>
                <w:color w:val="auto"/>
                <w:sz w:val="21"/>
                <w:lang w:eastAsia="en-US"/>
              </w:rPr>
            </w:pPr>
            <w:r w:rsidRPr="008774FC">
              <w:rPr>
                <w:rFonts w:eastAsia="Calibri"/>
                <w:noProof/>
                <w:color w:val="auto"/>
                <w:sz w:val="21"/>
                <w:lang w:eastAsia="en-US"/>
              </w:rPr>
              <w:t xml:space="preserve">Agreed. </w:t>
            </w:r>
            <w:r w:rsidR="00847BEB" w:rsidRPr="00847BEB">
              <w:rPr>
                <w:rFonts w:eastAsia="Calibri"/>
                <w:noProof/>
                <w:color w:val="auto"/>
                <w:sz w:val="21"/>
                <w:lang w:eastAsia="en-US"/>
              </w:rPr>
              <w:t xml:space="preserve"> The Government is committed to improving the effectiveness and efficiency of Australian aid, and has introduced a new performance framework which will see funding at all levels of the aid program linked to progress against rigorous targets and performance benchmarks. Independent evaluations are an important component of this strong focus on results and value for money.</w:t>
            </w:r>
          </w:p>
          <w:p w14:paraId="45310827" w14:textId="019C2366" w:rsidR="001E6473" w:rsidRPr="008774FC" w:rsidRDefault="001E6473" w:rsidP="001E6473">
            <w:pPr>
              <w:pStyle w:val="Tabletext0"/>
              <w:rPr>
                <w:rFonts w:eastAsia="Calibri"/>
                <w:noProof/>
                <w:color w:val="auto"/>
                <w:sz w:val="21"/>
                <w:lang w:eastAsia="en-US"/>
              </w:rPr>
            </w:pPr>
            <w:r w:rsidRPr="008774FC">
              <w:rPr>
                <w:rFonts w:eastAsia="Calibri"/>
                <w:noProof/>
                <w:color w:val="auto"/>
                <w:sz w:val="21"/>
                <w:lang w:eastAsia="en-US"/>
              </w:rPr>
              <w:t>The review findings have been used to inform the development of a new aid management architecture. This includes:</w:t>
            </w:r>
          </w:p>
          <w:p w14:paraId="05129271" w14:textId="77777777" w:rsidR="001E6473" w:rsidRPr="008774FC" w:rsidRDefault="001E6473" w:rsidP="001E6473">
            <w:pPr>
              <w:pStyle w:val="Tablebullet"/>
              <w:rPr>
                <w:color w:val="auto"/>
                <w:sz w:val="21"/>
                <w:szCs w:val="21"/>
              </w:rPr>
            </w:pPr>
            <w:r w:rsidRPr="008774FC">
              <w:rPr>
                <w:sz w:val="21"/>
                <w:szCs w:val="21"/>
              </w:rPr>
              <w:t>explicit evaluation plans in country/regional Aid Investment Plans and annual performance reports</w:t>
            </w:r>
          </w:p>
          <w:p w14:paraId="3488BD76" w14:textId="77777777" w:rsidR="001E6473" w:rsidRPr="008774FC" w:rsidRDefault="001E6473" w:rsidP="001E6473">
            <w:pPr>
              <w:pStyle w:val="Tablebullet"/>
              <w:rPr>
                <w:sz w:val="21"/>
                <w:szCs w:val="21"/>
              </w:rPr>
            </w:pPr>
            <w:r w:rsidRPr="008774FC">
              <w:rPr>
                <w:sz w:val="21"/>
                <w:szCs w:val="21"/>
              </w:rPr>
              <w:t>the creation of a unit within ODE which, alongside performance and quality managers, provides evaluation support across the department. An evaluation tracking database has been established to assist the targeting of support to evaluations of high value, high risk or otherwise strategically important investments.</w:t>
            </w:r>
          </w:p>
          <w:p w14:paraId="7CD92B7C" w14:textId="77777777" w:rsidR="001E6473" w:rsidRPr="00A166DA" w:rsidRDefault="001E6473" w:rsidP="001E6473">
            <w:pPr>
              <w:pStyle w:val="Tablebullet"/>
              <w:numPr>
                <w:ilvl w:val="0"/>
                <w:numId w:val="0"/>
              </w:numPr>
              <w:rPr>
                <w:b/>
                <w:sz w:val="2"/>
                <w:szCs w:val="2"/>
              </w:rPr>
            </w:pPr>
          </w:p>
        </w:tc>
      </w:tr>
      <w:tr w:rsidR="001E6473" w14:paraId="467B5686" w14:textId="77777777" w:rsidTr="003B7688">
        <w:trPr>
          <w:cantSplit/>
        </w:trPr>
        <w:tc>
          <w:tcPr>
            <w:tcW w:w="4510" w:type="dxa"/>
            <w:shd w:val="clear" w:color="auto" w:fill="ECF1F7"/>
            <w:hideMark/>
          </w:tcPr>
          <w:p w14:paraId="1445E024" w14:textId="77777777" w:rsidR="001E6473" w:rsidRPr="008774FC" w:rsidRDefault="001E6473" w:rsidP="001E6473">
            <w:pPr>
              <w:pStyle w:val="Tabletext0"/>
              <w:rPr>
                <w:rFonts w:eastAsiaTheme="majorEastAsia" w:cstheme="majorBidi"/>
                <w:iCs/>
                <w:caps/>
                <w:sz w:val="21"/>
              </w:rPr>
            </w:pPr>
            <w:r w:rsidRPr="008774FC">
              <w:rPr>
                <w:b/>
                <w:sz w:val="21"/>
              </w:rPr>
              <w:t>Recommendation 2</w:t>
            </w:r>
          </w:p>
          <w:p w14:paraId="57B47B2D" w14:textId="77777777" w:rsidR="001E6473" w:rsidRPr="008774FC" w:rsidRDefault="001E6473" w:rsidP="001E6473">
            <w:pPr>
              <w:pStyle w:val="Tabletext0"/>
              <w:rPr>
                <w:rFonts w:eastAsia="Calibri"/>
                <w:noProof/>
                <w:color w:val="auto"/>
                <w:sz w:val="21"/>
                <w:lang w:eastAsia="en-US"/>
              </w:rPr>
            </w:pPr>
            <w:r w:rsidRPr="008774FC">
              <w:rPr>
                <w:rFonts w:eastAsia="Calibri"/>
                <w:noProof/>
                <w:color w:val="auto"/>
                <w:sz w:val="21"/>
                <w:lang w:eastAsia="en-US"/>
              </w:rPr>
              <w:t xml:space="preserve">DFAT should make it explicit that the purpose of the evaluation guides the approach to that evaluation. Specifically: </w:t>
            </w:r>
          </w:p>
          <w:p w14:paraId="41E64CBB" w14:textId="77777777" w:rsidR="001E6473" w:rsidRPr="008774FC" w:rsidRDefault="001E6473" w:rsidP="001E6473">
            <w:pPr>
              <w:pStyle w:val="Tablebullet"/>
              <w:rPr>
                <w:color w:val="auto"/>
                <w:sz w:val="21"/>
                <w:szCs w:val="21"/>
              </w:rPr>
            </w:pPr>
            <w:r w:rsidRPr="008774FC">
              <w:rPr>
                <w:sz w:val="21"/>
                <w:szCs w:val="21"/>
              </w:rPr>
              <w:t>operational evaluations should remain flexible in timing, with their scope and methodology purposefully designed to meet the specific information needs of program areas</w:t>
            </w:r>
          </w:p>
          <w:p w14:paraId="3B1A848A" w14:textId="77777777" w:rsidR="001E6473" w:rsidRPr="008774FC" w:rsidRDefault="001E6473" w:rsidP="001E6473">
            <w:pPr>
              <w:pStyle w:val="Tablebullet"/>
              <w:rPr>
                <w:sz w:val="21"/>
                <w:szCs w:val="21"/>
              </w:rPr>
            </w:pPr>
            <w:r w:rsidRPr="008774FC">
              <w:rPr>
                <w:sz w:val="21"/>
                <w:szCs w:val="21"/>
              </w:rPr>
              <w:t>consideration should be given to commissioning impact evaluations, especially of high-value investments and/or those that offer broader learning opportunities.</w:t>
            </w:r>
          </w:p>
        </w:tc>
        <w:tc>
          <w:tcPr>
            <w:tcW w:w="4510" w:type="dxa"/>
            <w:shd w:val="clear" w:color="auto" w:fill="ECF1F7"/>
          </w:tcPr>
          <w:p w14:paraId="035B7D79" w14:textId="77777777" w:rsidR="001E6473" w:rsidRPr="008774FC" w:rsidRDefault="001E6473" w:rsidP="001E6473">
            <w:pPr>
              <w:pStyle w:val="Tabletext0"/>
              <w:rPr>
                <w:b/>
                <w:color w:val="auto"/>
                <w:sz w:val="21"/>
              </w:rPr>
            </w:pPr>
            <w:r w:rsidRPr="008774FC">
              <w:rPr>
                <w:b/>
                <w:color w:val="auto"/>
                <w:sz w:val="21"/>
              </w:rPr>
              <w:t>Management response</w:t>
            </w:r>
          </w:p>
          <w:p w14:paraId="67E94E8A" w14:textId="77777777" w:rsidR="001E6473" w:rsidRPr="008774FC" w:rsidRDefault="001E6473" w:rsidP="001E6473">
            <w:pPr>
              <w:pStyle w:val="Tabletext0"/>
              <w:rPr>
                <w:rFonts w:eastAsia="Calibri"/>
                <w:noProof/>
                <w:color w:val="auto"/>
                <w:sz w:val="21"/>
                <w:lang w:eastAsia="en-US"/>
              </w:rPr>
            </w:pPr>
            <w:r w:rsidRPr="008774FC">
              <w:rPr>
                <w:rFonts w:eastAsia="Calibri"/>
                <w:noProof/>
                <w:color w:val="auto"/>
                <w:sz w:val="21"/>
                <w:lang w:eastAsia="en-US"/>
              </w:rPr>
              <w:t>Agreed. This review has been particularly helpful in shaping the evolution of the department’s evaluation guidance. Specifically:</w:t>
            </w:r>
          </w:p>
          <w:p w14:paraId="7C76FE30" w14:textId="77777777" w:rsidR="001E6473" w:rsidRPr="008774FC" w:rsidRDefault="001E6473" w:rsidP="001E6473">
            <w:pPr>
              <w:pStyle w:val="Tablebullet"/>
              <w:rPr>
                <w:color w:val="auto"/>
                <w:sz w:val="21"/>
                <w:szCs w:val="21"/>
              </w:rPr>
            </w:pPr>
            <w:r w:rsidRPr="008774FC">
              <w:rPr>
                <w:color w:val="auto"/>
                <w:sz w:val="21"/>
                <w:szCs w:val="21"/>
              </w:rPr>
              <w:t>revised evaluation guidance will emphasise that evaluation purpose be the key guide to determining the overall evaluation approach</w:t>
            </w:r>
          </w:p>
          <w:p w14:paraId="7C027384" w14:textId="77777777" w:rsidR="001E6473" w:rsidRPr="008774FC" w:rsidRDefault="001E6473" w:rsidP="001E6473">
            <w:pPr>
              <w:pStyle w:val="Tablebullet"/>
              <w:rPr>
                <w:color w:val="auto"/>
                <w:sz w:val="21"/>
                <w:szCs w:val="21"/>
              </w:rPr>
            </w:pPr>
            <w:r w:rsidRPr="008774FC">
              <w:rPr>
                <w:color w:val="auto"/>
                <w:sz w:val="21"/>
                <w:szCs w:val="21"/>
              </w:rPr>
              <w:t>the department has raised the minimum value threshold for mandatory evaluations to encourage fewer, better quality evaluations</w:t>
            </w:r>
          </w:p>
          <w:p w14:paraId="0516875E" w14:textId="77777777" w:rsidR="001E6473" w:rsidRPr="008774FC" w:rsidRDefault="001E6473" w:rsidP="001E6473">
            <w:pPr>
              <w:pStyle w:val="Tablebullet"/>
              <w:rPr>
                <w:sz w:val="21"/>
                <w:szCs w:val="21"/>
              </w:rPr>
            </w:pPr>
            <w:r w:rsidRPr="008774FC">
              <w:rPr>
                <w:color w:val="auto"/>
                <w:sz w:val="21"/>
                <w:szCs w:val="21"/>
              </w:rPr>
              <w:t>ODE will work with programs to identify areas where impact evaluation may be of strategic value. It is anticipated that this will result in ongoing collaboration between ODE and programs on a limited number of impact evaluations.</w:t>
            </w:r>
          </w:p>
          <w:p w14:paraId="4C53D0BA" w14:textId="77777777" w:rsidR="001E6473" w:rsidRPr="00A166DA" w:rsidRDefault="001E6473" w:rsidP="001E6473">
            <w:pPr>
              <w:pStyle w:val="Tablebullet"/>
              <w:numPr>
                <w:ilvl w:val="0"/>
                <w:numId w:val="0"/>
              </w:numPr>
              <w:rPr>
                <w:sz w:val="2"/>
                <w:szCs w:val="2"/>
              </w:rPr>
            </w:pPr>
          </w:p>
        </w:tc>
      </w:tr>
      <w:tr w:rsidR="001E6473" w14:paraId="2C3EDE88" w14:textId="77777777" w:rsidTr="003B7688">
        <w:trPr>
          <w:cantSplit/>
          <w:trHeight w:val="1352"/>
        </w:trPr>
        <w:tc>
          <w:tcPr>
            <w:tcW w:w="4510" w:type="dxa"/>
            <w:shd w:val="clear" w:color="auto" w:fill="ECF1F7"/>
          </w:tcPr>
          <w:p w14:paraId="04B31C30" w14:textId="77777777" w:rsidR="001E6473" w:rsidRPr="008774FC" w:rsidRDefault="001E6473" w:rsidP="001E6473">
            <w:pPr>
              <w:pStyle w:val="Tabletext0"/>
              <w:rPr>
                <w:rFonts w:eastAsiaTheme="majorEastAsia" w:cstheme="majorBidi"/>
                <w:iCs/>
                <w:caps/>
                <w:sz w:val="21"/>
              </w:rPr>
            </w:pPr>
            <w:r w:rsidRPr="008774FC">
              <w:rPr>
                <w:b/>
                <w:sz w:val="21"/>
              </w:rPr>
              <w:t>Recommendation 3</w:t>
            </w:r>
          </w:p>
          <w:p w14:paraId="664D182E" w14:textId="77777777" w:rsidR="001E6473" w:rsidRPr="008774FC" w:rsidRDefault="001E6473" w:rsidP="001E6473">
            <w:pPr>
              <w:pStyle w:val="Tabletext0"/>
              <w:rPr>
                <w:sz w:val="21"/>
              </w:rPr>
            </w:pPr>
            <w:r w:rsidRPr="008774FC">
              <w:rPr>
                <w:rFonts w:eastAsia="Calibri"/>
                <w:noProof/>
                <w:color w:val="auto"/>
                <w:sz w:val="21"/>
              </w:rPr>
              <w:t>DFAT should monitor implementation of the policy requirement to publish all independent operational evaluations and should improve their public accessibility.</w:t>
            </w:r>
          </w:p>
        </w:tc>
        <w:tc>
          <w:tcPr>
            <w:tcW w:w="4510" w:type="dxa"/>
            <w:shd w:val="clear" w:color="auto" w:fill="ECF1F7"/>
          </w:tcPr>
          <w:p w14:paraId="36A58623" w14:textId="77777777" w:rsidR="001E6473" w:rsidRPr="008774FC" w:rsidRDefault="001E6473" w:rsidP="001E6473">
            <w:pPr>
              <w:pStyle w:val="Tabletext0"/>
              <w:rPr>
                <w:b/>
                <w:sz w:val="21"/>
              </w:rPr>
            </w:pPr>
            <w:r w:rsidRPr="008774FC">
              <w:rPr>
                <w:b/>
                <w:sz w:val="21"/>
              </w:rPr>
              <w:t>Management response</w:t>
            </w:r>
          </w:p>
          <w:p w14:paraId="0717B600" w14:textId="77777777" w:rsidR="001E6473" w:rsidRPr="008774FC" w:rsidRDefault="001E6473" w:rsidP="001E6473">
            <w:pPr>
              <w:pStyle w:val="Tabletext0"/>
              <w:rPr>
                <w:rFonts w:eastAsia="Calibri"/>
                <w:noProof/>
                <w:color w:val="auto"/>
                <w:sz w:val="21"/>
              </w:rPr>
            </w:pPr>
            <w:r w:rsidRPr="008774FC">
              <w:rPr>
                <w:rFonts w:eastAsia="Calibri"/>
                <w:noProof/>
                <w:color w:val="auto"/>
                <w:sz w:val="21"/>
              </w:rPr>
              <w:t>Agreed. ODE will monitor and support the publication of completed evaluations. An online register with links to completed evaluations will be incorporated into ODE’s webpage.</w:t>
            </w:r>
          </w:p>
          <w:p w14:paraId="33ADC3D7" w14:textId="77777777" w:rsidR="001E6473" w:rsidRPr="00A166DA" w:rsidRDefault="001E6473" w:rsidP="001E6473">
            <w:pPr>
              <w:pStyle w:val="Tabletext0"/>
              <w:rPr>
                <w:b/>
                <w:sz w:val="2"/>
                <w:szCs w:val="2"/>
              </w:rPr>
            </w:pPr>
          </w:p>
        </w:tc>
      </w:tr>
    </w:tbl>
    <w:p w14:paraId="235FC514" w14:textId="77777777" w:rsidR="00C0445D" w:rsidRDefault="00C0445D" w:rsidP="00C0445D">
      <w:pPr>
        <w:rPr>
          <w:b/>
        </w:rPr>
      </w:pPr>
    </w:p>
    <w:bookmarkStart w:id="24" w:name="_Toc387675098"/>
    <w:bookmarkStart w:id="25" w:name="_Toc357065922"/>
    <w:bookmarkEnd w:id="16"/>
    <w:bookmarkEnd w:id="17"/>
    <w:bookmarkEnd w:id="18"/>
    <w:bookmarkEnd w:id="19"/>
    <w:p w14:paraId="2C184D69" w14:textId="5F9FA799" w:rsidR="00860B13" w:rsidRPr="006D53CA" w:rsidRDefault="00177F48" w:rsidP="008774FC">
      <w:pPr>
        <w:pStyle w:val="Heading1"/>
      </w:pPr>
      <w:r>
        <w:rPr>
          <w:noProof/>
        </w:rPr>
        <w:lastRenderedPageBreak/>
        <mc:AlternateContent>
          <mc:Choice Requires="wps">
            <w:drawing>
              <wp:anchor distT="0" distB="0" distL="114300" distR="114300" simplePos="0" relativeHeight="251664384" behindDoc="1" locked="0" layoutInCell="1" allowOverlap="1" wp14:anchorId="09372B40" wp14:editId="01315D99">
                <wp:simplePos x="0" y="0"/>
                <wp:positionH relativeFrom="page">
                  <wp:align>left</wp:align>
                </wp:positionH>
                <wp:positionV relativeFrom="paragraph">
                  <wp:posOffset>-263746</wp:posOffset>
                </wp:positionV>
                <wp:extent cx="7610400" cy="1468800"/>
                <wp:effectExtent l="0" t="0" r="0" b="0"/>
                <wp:wrapNone/>
                <wp:docPr id="5" name="Rectangle 5"/>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C6B8A94" id="Rectangle 5" o:spid="_x0000_s1026" style="position:absolute;margin-left:0;margin-top:-20.75pt;width:599.25pt;height:115.6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1rlgIAAIYFAAAOAAAAZHJzL2Uyb0RvYy54bWysVMFu2zAMvQ/YPwi6r7YDJ82COkXQosOA&#10;oivaDj0rshQbkEVNUuJkXz9Kst2uK3YYloMiiuQj+Uzy4vLYKXIQ1rWgK1qc5ZQIzaFu9a6i359u&#10;Pi0pcZ7pminQoqIn4ejl+uOHi96sxAwaULWwBEG0W/Wmoo33ZpVljjeiY+4MjNColGA75lG0u6y2&#10;rEf0TmWzPF9kPdjaWODCOXy9Tkq6jvhSCu6/SemEJ6qimJuPp43nNpzZ+oKtdpaZpuVDGuwfsuhY&#10;qzHoBHXNPCN72/4B1bXcggPpzzh0GUjZchFrwGqK/E01jw0zItaC5Dgz0eT+Hyy/O9xb0tYVnVOi&#10;WYef6AFJY3qnBJkHenrjVmj1aO7tIDm8hlqP0nbhH6sgx0jpaaJUHD3h+Hi+KPIyR+Y56opysVyi&#10;gDjZi7uxzn8R0JFwqajF8JFKdrh1PpmOJiGaA9XWN61SUbC77ZWy5MDw+xazslwuBvTfzJQOxhqC&#10;W0IML1koLRUTb/6kRLBT+kFI5ATTn8VMYjeKKQ7jXGhfJFXDapHCz3P8jdFD/waPWGkEDMgS40/Y&#10;A8BomUBG7JTlYB9cRWzmyTn/W2LJefKIkUH7yblrNdj3ABRWNURO9iNJiZrA0hbqE3aMhTRKzvCb&#10;Fr/bLXP+nlmcHfzWuA/8Nzykgr6iMNwoacD+fO892GNLo5aSHmexou7HnllBifqqsdk/F2UZhjcK&#10;5fx8hoJ9rdm+1uh9dwWhHXDzGB6vwd6r8SotdM+4NjYhKqqY5hi7otzbUbjyaUfg4uFis4lmOLCG&#10;+Vv9aHgAD6yGvnw6PjNrhub12Pd3MM4tW73p4WQbPDVs9h5kGxv8hdeBbxz22DjDYgrb5LUcrV7W&#10;5/oXAAAA//8DAFBLAwQUAAYACAAAACEAESk7jd0AAAAJAQAADwAAAGRycy9kb3ducmV2LnhtbEyP&#10;zU7DMBCE70i8g7VI3Fon5UduGqdCleAQiQMtvbvxEkeN1yF22/D2bE9wm9WMZr8p15PvxRnH2AXS&#10;kM8zEEhNsB21Gj53rzMFIiZD1vSBUMMPRlhXtzelKWy40Aeet6kVXEKxMBpcSkMhZWwcehPnYUBi&#10;7yuM3iQ+x1ba0Vy43PdykWXP0puO+IMzA24cNsftyWuoFbp9+17303e9y+Xm4S3scaH1/d30sgKR&#10;cEp/YbjiMzpUzHQIJ7JR9Bp4SNIwe8yfQFztfKlYHVippQJZlfL/guoXAAD//wMAUEsBAi0AFAAG&#10;AAgAAAAhALaDOJL+AAAA4QEAABMAAAAAAAAAAAAAAAAAAAAAAFtDb250ZW50X1R5cGVzXS54bWxQ&#10;SwECLQAUAAYACAAAACEAOP0h/9YAAACUAQAACwAAAAAAAAAAAAAAAAAvAQAAX3JlbHMvLnJlbHNQ&#10;SwECLQAUAAYACAAAACEAVxoNa5YCAACGBQAADgAAAAAAAAAAAAAAAAAuAgAAZHJzL2Uyb0RvYy54&#10;bWxQSwECLQAUAAYACAAAACEAESk7jd0AAAAJAQAADwAAAAAAAAAAAAAAAADwBAAAZHJzL2Rvd25y&#10;ZXYueG1sUEsFBgAAAAAEAAQA8wAAAPoFAAAAAA==&#10;" fillcolor="#124486" stroked="f" strokeweight="2pt">
                <w10:wrap anchorx="page"/>
              </v:rect>
            </w:pict>
          </mc:Fallback>
        </mc:AlternateContent>
      </w:r>
      <w:r w:rsidR="006D53CA">
        <w:t>1</w:t>
      </w:r>
      <w:r w:rsidR="006D53CA">
        <w:tab/>
      </w:r>
      <w:r w:rsidR="00860B13" w:rsidRPr="006D53CA">
        <w:t>About this review</w:t>
      </w:r>
      <w:bookmarkEnd w:id="24"/>
    </w:p>
    <w:p w14:paraId="3B5E7103" w14:textId="77777777" w:rsidR="00860B13" w:rsidRPr="00D81D66" w:rsidRDefault="00860B13" w:rsidP="009726C1">
      <w:pPr>
        <w:pStyle w:val="Heading2"/>
        <w:numPr>
          <w:ilvl w:val="0"/>
          <w:numId w:val="48"/>
        </w:numPr>
        <w:ind w:left="357" w:hanging="357"/>
      </w:pPr>
      <w:bookmarkStart w:id="26" w:name="_Toc387675099"/>
      <w:r>
        <w:t>Operational evaluations</w:t>
      </w:r>
      <w:bookmarkEnd w:id="26"/>
      <w:r w:rsidRPr="00D81D66">
        <w:t xml:space="preserve"> </w:t>
      </w:r>
    </w:p>
    <w:p w14:paraId="31225EF3" w14:textId="031C478D" w:rsidR="00860B13" w:rsidRPr="007B6C46" w:rsidRDefault="009C7D23">
      <w:r>
        <w:t>Independent evaluations</w:t>
      </w:r>
      <w:r w:rsidR="00CF1D97">
        <w:rPr>
          <w:rStyle w:val="FootnoteReference"/>
        </w:rPr>
        <w:footnoteReference w:id="4"/>
      </w:r>
      <w:r>
        <w:t xml:space="preserve"> complement annual self-assessment processes such as </w:t>
      </w:r>
      <w:r w:rsidR="00485EF0">
        <w:t>‘q</w:t>
      </w:r>
      <w:r>
        <w:t xml:space="preserve">uality at </w:t>
      </w:r>
      <w:r w:rsidR="00485EF0">
        <w:t>i</w:t>
      </w:r>
      <w:r>
        <w:t>mplementation</w:t>
      </w:r>
      <w:r w:rsidR="00485EF0">
        <w:t>’</w:t>
      </w:r>
      <w:r>
        <w:t xml:space="preserve"> reporting, where program areas assess the progress of their initiatives. </w:t>
      </w:r>
      <w:r w:rsidR="00860B13" w:rsidRPr="007B6C46">
        <w:t>Good evaluations can inform the direction, design and management of the aid program. Independent evaluations also play an important accountability role in the aid program</w:t>
      </w:r>
      <w:r w:rsidR="00744801">
        <w:t>’</w:t>
      </w:r>
      <w:r w:rsidR="00860B13" w:rsidRPr="007B6C46">
        <w:t>s performance management systems</w:t>
      </w:r>
      <w:r w:rsidR="00860B13">
        <w:t xml:space="preserve">, providing </w:t>
      </w:r>
      <w:r w:rsidR="00860B13" w:rsidRPr="007B6C46">
        <w:t xml:space="preserve">an independent perspective </w:t>
      </w:r>
      <w:r w:rsidR="00860B13">
        <w:t>on</w:t>
      </w:r>
      <w:r w:rsidR="00860B13" w:rsidRPr="007B6C46">
        <w:t xml:space="preserve"> the quality and results achieved through the Australian aid program.</w:t>
      </w:r>
    </w:p>
    <w:p w14:paraId="0EA16879" w14:textId="08B75B10" w:rsidR="00860B13" w:rsidRDefault="00860B13">
      <w:pPr>
        <w:rPr>
          <w:rFonts w:cs="Arial"/>
        </w:rPr>
      </w:pPr>
      <w:r w:rsidRPr="007B6C46">
        <w:t>Most of the Australian aid program is managed by the Department of Foreign Affairs and Trade (DFAT), which in November 2013 took responsibility for overseas development assistance, previously administered by the Australian Agency for International Development (AusAID).</w:t>
      </w:r>
      <w:r w:rsidR="00A74814">
        <w:t xml:space="preserve"> </w:t>
      </w:r>
      <w:r w:rsidRPr="007B6C46">
        <w:t xml:space="preserve">Evaluation is </w:t>
      </w:r>
      <w:r w:rsidRPr="007B6C46">
        <w:rPr>
          <w:rFonts w:cs="Arial"/>
        </w:rPr>
        <w:t>undertaken at several levels and managed by different areas within the department.</w:t>
      </w:r>
      <w:r w:rsidR="00A74814">
        <w:rPr>
          <w:rFonts w:cs="Arial"/>
        </w:rPr>
        <w:t xml:space="preserve"> </w:t>
      </w:r>
    </w:p>
    <w:p w14:paraId="6131956A" w14:textId="57E7AFAC" w:rsidR="00860B13" w:rsidRDefault="00860B13">
      <w:r w:rsidRPr="007B6C46">
        <w:rPr>
          <w:rFonts w:cs="Arial"/>
        </w:rPr>
        <w:t xml:space="preserve">Program areas in DFAT </w:t>
      </w:r>
      <w:r w:rsidR="00A22743">
        <w:rPr>
          <w:rFonts w:cs="Arial"/>
        </w:rPr>
        <w:t xml:space="preserve">commission and </w:t>
      </w:r>
      <w:r w:rsidRPr="007B6C46">
        <w:rPr>
          <w:rFonts w:cs="Arial"/>
        </w:rPr>
        <w:t>manage independent evaluations of individual aid initiatives.</w:t>
      </w:r>
      <w:r w:rsidR="00A74814">
        <w:rPr>
          <w:rFonts w:cs="Arial"/>
        </w:rPr>
        <w:t xml:space="preserve"> </w:t>
      </w:r>
      <w:r w:rsidRPr="007B6C46">
        <w:rPr>
          <w:rFonts w:cs="Arial"/>
        </w:rPr>
        <w:t xml:space="preserve">It is these initiative-level </w:t>
      </w:r>
      <w:r w:rsidR="00744801">
        <w:rPr>
          <w:rFonts w:cs="Arial"/>
        </w:rPr>
        <w:t>‘</w:t>
      </w:r>
      <w:r w:rsidRPr="007B6C46">
        <w:rPr>
          <w:rFonts w:cs="Arial"/>
        </w:rPr>
        <w:t>operational</w:t>
      </w:r>
      <w:r w:rsidR="00744801">
        <w:rPr>
          <w:rFonts w:cs="Arial"/>
        </w:rPr>
        <w:t>’</w:t>
      </w:r>
      <w:r w:rsidRPr="007B6C46">
        <w:rPr>
          <w:rFonts w:cs="Arial"/>
        </w:rPr>
        <w:t xml:space="preserve"> evaluations managed by program areas that are the subject of this </w:t>
      </w:r>
      <w:r w:rsidR="00E75E42">
        <w:rPr>
          <w:rFonts w:cs="Arial"/>
        </w:rPr>
        <w:t xml:space="preserve">quality </w:t>
      </w:r>
      <w:r w:rsidRPr="007B6C46">
        <w:rPr>
          <w:rFonts w:cs="Arial"/>
        </w:rPr>
        <w:t>review.</w:t>
      </w:r>
      <w:r>
        <w:rPr>
          <w:rFonts w:cs="Arial"/>
        </w:rPr>
        <w:t xml:space="preserve"> Currently an independent evaluation is required for every monitored initiative (</w:t>
      </w:r>
      <w:r w:rsidR="009726C1">
        <w:rPr>
          <w:rFonts w:cs="Arial"/>
        </w:rPr>
        <w:t xml:space="preserve">i.e. </w:t>
      </w:r>
      <w:r>
        <w:rPr>
          <w:rFonts w:cs="Arial"/>
        </w:rPr>
        <w:t>those</w:t>
      </w:r>
      <w:r w:rsidR="00485EF0">
        <w:rPr>
          <w:rFonts w:cs="Arial"/>
        </w:rPr>
        <w:t xml:space="preserve"> that are</w:t>
      </w:r>
      <w:r>
        <w:rPr>
          <w:rFonts w:cs="Arial"/>
        </w:rPr>
        <w:t xml:space="preserve"> valued over $3</w:t>
      </w:r>
      <w:r w:rsidR="00485EF0">
        <w:rPr>
          <w:rFonts w:cs="Arial"/>
        </w:rPr>
        <w:t> </w:t>
      </w:r>
      <w:r w:rsidR="00001345">
        <w:rPr>
          <w:rFonts w:cs="Arial"/>
        </w:rPr>
        <w:t>million</w:t>
      </w:r>
      <w:r>
        <w:rPr>
          <w:rFonts w:cs="Arial"/>
        </w:rPr>
        <w:t xml:space="preserve"> or have strategic or political importance) at least once over its life</w:t>
      </w:r>
      <w:r w:rsidR="00001345">
        <w:rPr>
          <w:rFonts w:cs="Arial"/>
        </w:rPr>
        <w:t>.</w:t>
      </w:r>
      <w:r>
        <w:rPr>
          <w:rFonts w:cs="Arial"/>
        </w:rPr>
        <w:t xml:space="preserve"> </w:t>
      </w:r>
    </w:p>
    <w:p w14:paraId="463DEAD5" w14:textId="77777777" w:rsidR="00860B13" w:rsidRPr="007B6C46" w:rsidRDefault="00860B13" w:rsidP="009726C1">
      <w:pPr>
        <w:pStyle w:val="NormalBeforeBullet"/>
      </w:pPr>
      <w:r w:rsidRPr="007B6C46">
        <w:t xml:space="preserve">Other types of </w:t>
      </w:r>
      <w:r>
        <w:t xml:space="preserve">independent </w:t>
      </w:r>
      <w:r w:rsidRPr="007B6C46">
        <w:t>aid evaluations include:</w:t>
      </w:r>
    </w:p>
    <w:p w14:paraId="5066D9B9" w14:textId="4408BB1D" w:rsidR="00860B13" w:rsidRPr="006E6ED4" w:rsidRDefault="00B57386">
      <w:pPr>
        <w:pStyle w:val="Bullet"/>
      </w:pPr>
      <w:r>
        <w:t>e</w:t>
      </w:r>
      <w:r w:rsidR="00860B13" w:rsidRPr="003E1512">
        <w:t>valuations</w:t>
      </w:r>
      <w:r w:rsidR="00860B13" w:rsidRPr="006E6ED4">
        <w:t xml:space="preserve"> of broad strategic relevance undertaken by the Office of Development Effectiveness</w:t>
      </w:r>
      <w:r w:rsidR="00485EF0">
        <w:t xml:space="preserve"> (ODE)</w:t>
      </w:r>
      <w:r w:rsidR="00860B13" w:rsidRPr="006E6ED4">
        <w:t xml:space="preserve"> in line with its evaluation policy and three</w:t>
      </w:r>
      <w:r w:rsidR="00485EF0">
        <w:t>-</w:t>
      </w:r>
      <w:r w:rsidR="00860B13" w:rsidRPr="006E6ED4">
        <w:t xml:space="preserve">year rolling work program, under the oversight of </w:t>
      </w:r>
      <w:r w:rsidR="00485EF0">
        <w:t>the</w:t>
      </w:r>
      <w:r w:rsidR="00860B13" w:rsidRPr="006E6ED4">
        <w:t xml:space="preserve"> Independent Evaluation Committee established in 2012</w:t>
      </w:r>
    </w:p>
    <w:p w14:paraId="14BB8113" w14:textId="5CA2B36A" w:rsidR="00001345" w:rsidRDefault="00B57386" w:rsidP="009726C1">
      <w:pPr>
        <w:pStyle w:val="BulletLast"/>
      </w:pPr>
      <w:r>
        <w:t>s</w:t>
      </w:r>
      <w:r w:rsidR="00860B13" w:rsidRPr="006E6ED4">
        <w:t>ector</w:t>
      </w:r>
      <w:r w:rsidR="00485EF0">
        <w:t>-</w:t>
      </w:r>
      <w:r w:rsidR="00860B13" w:rsidRPr="006E6ED4">
        <w:t>wide evaluations occasionally undertaken by thematic areas</w:t>
      </w:r>
      <w:r w:rsidR="00860B13">
        <w:t>.</w:t>
      </w:r>
    </w:p>
    <w:p w14:paraId="78537AD5" w14:textId="77777777" w:rsidR="00860B13" w:rsidRDefault="00860B13">
      <w:r>
        <w:t>The Pacific program is also partnering with the Overseas Development Institute (ODI) to explore approaches to impact evaluations for specific aid initiatives.</w:t>
      </w:r>
      <w:r w:rsidR="00A74814">
        <w:t xml:space="preserve"> </w:t>
      </w:r>
    </w:p>
    <w:p w14:paraId="359C41C7" w14:textId="77777777" w:rsidR="00860B13" w:rsidRPr="001D0C55" w:rsidRDefault="00860B13" w:rsidP="009726C1">
      <w:pPr>
        <w:pStyle w:val="Heading2"/>
        <w:numPr>
          <w:ilvl w:val="0"/>
          <w:numId w:val="48"/>
        </w:numPr>
        <w:ind w:left="357" w:hanging="357"/>
      </w:pPr>
      <w:bookmarkStart w:id="27" w:name="_Toc387675100"/>
      <w:r w:rsidRPr="001D0C55">
        <w:t>Objectives</w:t>
      </w:r>
      <w:bookmarkEnd w:id="27"/>
    </w:p>
    <w:p w14:paraId="469447A2" w14:textId="2F756D87" w:rsidR="00860B13" w:rsidRPr="003E1512" w:rsidRDefault="00860B13">
      <w:r>
        <w:t>Th</w:t>
      </w:r>
      <w:r w:rsidR="00A838B3">
        <w:t>e objective of this</w:t>
      </w:r>
      <w:r>
        <w:t xml:space="preserve"> </w:t>
      </w:r>
      <w:r w:rsidR="005105DE">
        <w:t>review</w:t>
      </w:r>
      <w:r>
        <w:t xml:space="preserve"> </w:t>
      </w:r>
      <w:r w:rsidR="00A838B3">
        <w:t xml:space="preserve">is </w:t>
      </w:r>
      <w:r>
        <w:t>to promote good</w:t>
      </w:r>
      <w:r w:rsidR="00485EF0">
        <w:t>-</w:t>
      </w:r>
      <w:r>
        <w:t>quality independent evaluations of aid initiatives</w:t>
      </w:r>
      <w:r w:rsidR="00A838B3">
        <w:t>.</w:t>
      </w:r>
      <w:r w:rsidR="00A74814">
        <w:t xml:space="preserve"> </w:t>
      </w:r>
      <w:r w:rsidRPr="00947964">
        <w:t>Th</w:t>
      </w:r>
      <w:r>
        <w:t>e review</w:t>
      </w:r>
      <w:r w:rsidRPr="00947964">
        <w:t xml:space="preserve"> </w:t>
      </w:r>
      <w:r>
        <w:t xml:space="preserve">assesses </w:t>
      </w:r>
      <w:r w:rsidRPr="00947964">
        <w:t xml:space="preserve">the quality of </w:t>
      </w:r>
      <w:r>
        <w:t xml:space="preserve">the 87 </w:t>
      </w:r>
      <w:r w:rsidRPr="00947964">
        <w:t>independent</w:t>
      </w:r>
      <w:r>
        <w:t xml:space="preserve"> operational</w:t>
      </w:r>
      <w:r w:rsidRPr="00947964">
        <w:t xml:space="preserve"> evaluations completed in 2012</w:t>
      </w:r>
      <w:r w:rsidRPr="000147A0">
        <w:rPr>
          <w:rStyle w:val="FootnoteReference"/>
        </w:rPr>
        <w:footnoteReference w:id="5"/>
      </w:r>
      <w:r>
        <w:t xml:space="preserve"> </w:t>
      </w:r>
      <w:r w:rsidR="00086CB0">
        <w:t xml:space="preserve">to </w:t>
      </w:r>
      <w:r w:rsidR="005F670E" w:rsidRPr="003E1512">
        <w:t>identify</w:t>
      </w:r>
      <w:r w:rsidR="00086CB0" w:rsidRPr="009726C1">
        <w:t xml:space="preserve"> actions that should be taken to improve the quality and</w:t>
      </w:r>
      <w:r w:rsidR="005F670E" w:rsidRPr="009726C1">
        <w:t xml:space="preserve"> utility </w:t>
      </w:r>
      <w:r w:rsidR="00086CB0" w:rsidRPr="009726C1">
        <w:t>of independent evaluations</w:t>
      </w:r>
      <w:r w:rsidR="00A838B3" w:rsidRPr="009726C1">
        <w:t xml:space="preserve"> of Australian aid</w:t>
      </w:r>
      <w:r w:rsidR="005F670E" w:rsidRPr="009726C1">
        <w:t>.</w:t>
      </w:r>
      <w:r w:rsidR="00A74814" w:rsidRPr="009726C1">
        <w:t xml:space="preserve"> </w:t>
      </w:r>
    </w:p>
    <w:p w14:paraId="366C507A" w14:textId="77777777" w:rsidR="00966FCA" w:rsidRDefault="00966FCA">
      <w:pPr>
        <w:spacing w:before="0" w:after="0" w:line="240" w:lineRule="auto"/>
      </w:pPr>
      <w:r>
        <w:br w:type="page"/>
      </w:r>
    </w:p>
    <w:p w14:paraId="418CF19C" w14:textId="35E1E71F" w:rsidR="00860B13" w:rsidRPr="00947964" w:rsidRDefault="00860B13">
      <w:r w:rsidRPr="00947964">
        <w:lastRenderedPageBreak/>
        <w:t>Th</w:t>
      </w:r>
      <w:r>
        <w:t>e</w:t>
      </w:r>
      <w:r w:rsidRPr="00947964">
        <w:t xml:space="preserve"> </w:t>
      </w:r>
      <w:r>
        <w:t>r</w:t>
      </w:r>
      <w:r w:rsidRPr="00947964">
        <w:t>eview seek</w:t>
      </w:r>
      <w:r>
        <w:t>s</w:t>
      </w:r>
      <w:r w:rsidRPr="00947964">
        <w:t xml:space="preserve"> to answer the following questions:</w:t>
      </w:r>
    </w:p>
    <w:p w14:paraId="571DCCC1" w14:textId="77777777" w:rsidR="00860B13" w:rsidRPr="00773273" w:rsidRDefault="00860B13" w:rsidP="009726C1">
      <w:pPr>
        <w:pStyle w:val="Numberlist"/>
      </w:pPr>
      <w:r w:rsidRPr="00773273">
        <w:t>What are the basic characteristics of different levels of independent evaluation in the aid program and the history and nature of independent evaluation at the initiative level?</w:t>
      </w:r>
    </w:p>
    <w:p w14:paraId="2D44F536" w14:textId="77777777" w:rsidR="00860B13" w:rsidRPr="00C638C2" w:rsidRDefault="00860B13" w:rsidP="009726C1">
      <w:pPr>
        <w:pStyle w:val="Numberlist"/>
      </w:pPr>
      <w:r w:rsidRPr="00773273">
        <w:t>To what degree do independent operational evaluations provide a credible source of evidence for the effectiveness of the Australian aid program?</w:t>
      </w:r>
    </w:p>
    <w:p w14:paraId="497FDE13" w14:textId="77777777" w:rsidR="00860B13" w:rsidRPr="00C638C2" w:rsidRDefault="00860B13" w:rsidP="009726C1">
      <w:pPr>
        <w:pStyle w:val="Numberlist"/>
      </w:pPr>
      <w:r w:rsidRPr="00C638C2">
        <w:t>What are the major strengths and weaknesses of independent evaluations of Australian aid initiatives?</w:t>
      </w:r>
    </w:p>
    <w:p w14:paraId="4977675A" w14:textId="2836C21A" w:rsidR="00860B13" w:rsidRPr="00C638C2" w:rsidRDefault="00860B13" w:rsidP="009726C1">
      <w:pPr>
        <w:pStyle w:val="Numberlist"/>
      </w:pPr>
      <w:r w:rsidRPr="00C638C2">
        <w:t>What are the factors that contribute to their quality</w:t>
      </w:r>
      <w:r w:rsidR="00672DF3" w:rsidRPr="00C638C2">
        <w:t xml:space="preserve"> and utility</w:t>
      </w:r>
      <w:r w:rsidRPr="00C638C2">
        <w:t xml:space="preserve">? </w:t>
      </w:r>
    </w:p>
    <w:p w14:paraId="04C4C97B" w14:textId="77777777" w:rsidR="00860B13" w:rsidRPr="00773273" w:rsidRDefault="00860B13" w:rsidP="009726C1">
      <w:pPr>
        <w:pStyle w:val="Numberlist"/>
      </w:pPr>
      <w:r w:rsidRPr="00773273">
        <w:t>What actions should be taken to improve the quality and utility of independent operational evaluations?</w:t>
      </w:r>
    </w:p>
    <w:p w14:paraId="0C7228BC" w14:textId="77777777" w:rsidR="00672DF3" w:rsidRDefault="00672DF3">
      <w:r>
        <w:t>The structure of this report follows these key evaluation questions.</w:t>
      </w:r>
      <w:r w:rsidR="00A74814">
        <w:t xml:space="preserve"> </w:t>
      </w:r>
    </w:p>
    <w:p w14:paraId="12917EDB" w14:textId="69FCCBF3" w:rsidR="00A838B3" w:rsidRDefault="00A838B3">
      <w:r w:rsidRPr="003462AC">
        <w:t xml:space="preserve">A second ODE report, </w:t>
      </w:r>
      <w:r w:rsidR="001B2D9F">
        <w:rPr>
          <w:i/>
        </w:rPr>
        <w:t>Learning from</w:t>
      </w:r>
      <w:r w:rsidRPr="003462AC">
        <w:rPr>
          <w:i/>
        </w:rPr>
        <w:t xml:space="preserve"> Australian </w:t>
      </w:r>
      <w:r w:rsidR="00CB4C78">
        <w:rPr>
          <w:i/>
        </w:rPr>
        <w:t>a</w:t>
      </w:r>
      <w:r w:rsidRPr="003462AC">
        <w:rPr>
          <w:i/>
        </w:rPr>
        <w:t xml:space="preserve">id </w:t>
      </w:r>
      <w:r w:rsidR="00CB4C78">
        <w:rPr>
          <w:i/>
        </w:rPr>
        <w:t>o</w:t>
      </w:r>
      <w:r w:rsidRPr="003462AC">
        <w:rPr>
          <w:i/>
        </w:rPr>
        <w:t xml:space="preserve">perational </w:t>
      </w:r>
      <w:r w:rsidR="00CB4C78">
        <w:rPr>
          <w:i/>
        </w:rPr>
        <w:t>e</w:t>
      </w:r>
      <w:r w:rsidRPr="003462AC">
        <w:rPr>
          <w:i/>
        </w:rPr>
        <w:t>valuations</w:t>
      </w:r>
      <w:r w:rsidRPr="003462AC">
        <w:t xml:space="preserve">, synthesises the findings from </w:t>
      </w:r>
      <w:r w:rsidR="00DD3116">
        <w:t>the 64</w:t>
      </w:r>
      <w:r w:rsidR="00DD3116" w:rsidRPr="003462AC">
        <w:t xml:space="preserve"> </w:t>
      </w:r>
      <w:r w:rsidRPr="003462AC">
        <w:t xml:space="preserve">evaluations that were found in this review to contain credible evidence and analysis, to provide lessons for </w:t>
      </w:r>
      <w:r>
        <w:t>program design and management and</w:t>
      </w:r>
      <w:r w:rsidR="003462AC">
        <w:t xml:space="preserve"> </w:t>
      </w:r>
      <w:r w:rsidR="00CB4C78">
        <w:t>for</w:t>
      </w:r>
      <w:r>
        <w:t xml:space="preserve"> the broader community of development and aid actors.</w:t>
      </w:r>
    </w:p>
    <w:p w14:paraId="72BC40C4" w14:textId="1C8B8F00" w:rsidR="00860B13" w:rsidRPr="007B68EE" w:rsidRDefault="00860B13">
      <w:r>
        <w:t xml:space="preserve">The </w:t>
      </w:r>
      <w:r w:rsidR="00CB4C78">
        <w:t>t</w:t>
      </w:r>
      <w:r>
        <w:t xml:space="preserve">erms of </w:t>
      </w:r>
      <w:r w:rsidR="00CB4C78">
        <w:t>r</w:t>
      </w:r>
      <w:r>
        <w:t>eference</w:t>
      </w:r>
      <w:r w:rsidR="00A838B3">
        <w:t xml:space="preserve"> </w:t>
      </w:r>
      <w:r w:rsidR="003462AC">
        <w:t>covering</w:t>
      </w:r>
      <w:r w:rsidR="00A838B3">
        <w:t xml:space="preserve"> both reviews</w:t>
      </w:r>
      <w:r>
        <w:t xml:space="preserve"> are at Annex 1.</w:t>
      </w:r>
    </w:p>
    <w:p w14:paraId="3B0D9BA9" w14:textId="77777777" w:rsidR="00860B13" w:rsidRDefault="00860B13" w:rsidP="009726C1">
      <w:pPr>
        <w:pStyle w:val="Heading2"/>
        <w:numPr>
          <w:ilvl w:val="0"/>
          <w:numId w:val="48"/>
        </w:numPr>
        <w:ind w:left="357" w:hanging="357"/>
      </w:pPr>
      <w:bookmarkStart w:id="28" w:name="_Toc387675101"/>
      <w:r>
        <w:t>Approach</w:t>
      </w:r>
      <w:bookmarkEnd w:id="28"/>
    </w:p>
    <w:p w14:paraId="141970FF" w14:textId="213714B0" w:rsidR="00860B13" w:rsidRDefault="00860B13" w:rsidP="00860B13">
      <w:r>
        <w:rPr>
          <w:color w:val="000000" w:themeColor="text1"/>
        </w:rPr>
        <w:t xml:space="preserve">The </w:t>
      </w:r>
      <w:r w:rsidRPr="001018BC">
        <w:rPr>
          <w:color w:val="000000" w:themeColor="text1"/>
        </w:rPr>
        <w:t>review was undertaken</w:t>
      </w:r>
      <w:r>
        <w:rPr>
          <w:color w:val="000000" w:themeColor="text1"/>
        </w:rPr>
        <w:t xml:space="preserve"> </w:t>
      </w:r>
      <w:r w:rsidRPr="001018BC">
        <w:rPr>
          <w:color w:val="000000" w:themeColor="text1"/>
        </w:rPr>
        <w:t xml:space="preserve">from May 2013 to </w:t>
      </w:r>
      <w:r>
        <w:rPr>
          <w:color w:val="000000" w:themeColor="text1"/>
        </w:rPr>
        <w:t>February</w:t>
      </w:r>
      <w:r w:rsidRPr="001018BC">
        <w:rPr>
          <w:color w:val="000000" w:themeColor="text1"/>
        </w:rPr>
        <w:t xml:space="preserve"> 2014</w:t>
      </w:r>
      <w:r>
        <w:rPr>
          <w:color w:val="000000" w:themeColor="text1"/>
        </w:rPr>
        <w:t xml:space="preserve"> by a team of consultants from ITAD Ltd and managed by ODE in partnership with DFAT</w:t>
      </w:r>
      <w:r w:rsidR="00744801">
        <w:rPr>
          <w:color w:val="000000" w:themeColor="text1"/>
        </w:rPr>
        <w:t>’</w:t>
      </w:r>
      <w:r>
        <w:rPr>
          <w:color w:val="000000" w:themeColor="text1"/>
        </w:rPr>
        <w:t>s former Program Effectiveness and Performance Division</w:t>
      </w:r>
      <w:r w:rsidR="00CB4C78">
        <w:rPr>
          <w:color w:val="000000" w:themeColor="text1"/>
        </w:rPr>
        <w:t>.</w:t>
      </w:r>
      <w:r>
        <w:rPr>
          <w:rStyle w:val="FootnoteReference"/>
          <w:color w:val="000000" w:themeColor="text1"/>
        </w:rPr>
        <w:footnoteReference w:id="6"/>
      </w:r>
      <w:r w:rsidR="00A74814">
        <w:rPr>
          <w:color w:val="000000" w:themeColor="text1"/>
        </w:rPr>
        <w:t xml:space="preserve"> </w:t>
      </w:r>
      <w:r>
        <w:rPr>
          <w:color w:val="000000" w:themeColor="text1"/>
        </w:rPr>
        <w:t>The review was undertaken at the request of the Independent Evaluation Committee, which also provided technical oversight.</w:t>
      </w:r>
      <w:r w:rsidR="00A74814">
        <w:rPr>
          <w:color w:val="000000" w:themeColor="text1"/>
        </w:rPr>
        <w:t xml:space="preserve"> </w:t>
      </w:r>
    </w:p>
    <w:p w14:paraId="2F10AEDE" w14:textId="77777777" w:rsidR="00A86ED3" w:rsidRDefault="006A7E74" w:rsidP="00A86ED3">
      <w:r>
        <w:rPr>
          <w:color w:val="000000" w:themeColor="text1"/>
        </w:rPr>
        <w:t xml:space="preserve">The review was based </w:t>
      </w:r>
      <w:r w:rsidR="006174C4">
        <w:rPr>
          <w:color w:val="000000" w:themeColor="text1"/>
        </w:rPr>
        <w:t xml:space="preserve">primarily </w:t>
      </w:r>
      <w:r>
        <w:rPr>
          <w:color w:val="000000" w:themeColor="text1"/>
        </w:rPr>
        <w:t>on a desk assessment of evaluation reports and interview</w:t>
      </w:r>
      <w:r w:rsidR="00D315F8">
        <w:rPr>
          <w:color w:val="000000" w:themeColor="text1"/>
        </w:rPr>
        <w:t>s of</w:t>
      </w:r>
      <w:r>
        <w:rPr>
          <w:color w:val="000000" w:themeColor="text1"/>
        </w:rPr>
        <w:t xml:space="preserve"> a sample of independent evaluators and DFAT aid </w:t>
      </w:r>
      <w:r w:rsidR="00D315F8">
        <w:rPr>
          <w:color w:val="000000" w:themeColor="text1"/>
        </w:rPr>
        <w:t xml:space="preserve">program </w:t>
      </w:r>
      <w:r>
        <w:rPr>
          <w:color w:val="000000" w:themeColor="text1"/>
        </w:rPr>
        <w:t>staff.</w:t>
      </w:r>
      <w:r w:rsidR="00A74814">
        <w:rPr>
          <w:color w:val="000000" w:themeColor="text1"/>
        </w:rPr>
        <w:t xml:space="preserve"> </w:t>
      </w:r>
      <w:r w:rsidR="00A86ED3">
        <w:rPr>
          <w:color w:val="000000" w:themeColor="text1"/>
        </w:rPr>
        <w:t>An overview of t</w:t>
      </w:r>
      <w:r w:rsidR="00A86ED3" w:rsidRPr="00625A39">
        <w:rPr>
          <w:color w:val="000000" w:themeColor="text1"/>
        </w:rPr>
        <w:t xml:space="preserve">he methodological approach </w:t>
      </w:r>
      <w:r w:rsidR="00A86ED3">
        <w:rPr>
          <w:color w:val="000000" w:themeColor="text1"/>
        </w:rPr>
        <w:t>taken for this review is provided here, with full details at Annex 2.</w:t>
      </w:r>
      <w:r w:rsidR="00A74814">
        <w:t xml:space="preserve"> </w:t>
      </w:r>
    </w:p>
    <w:p w14:paraId="2E115863" w14:textId="0A55CA76" w:rsidR="00B0560C" w:rsidRDefault="006A7E74" w:rsidP="00860B13">
      <w:r>
        <w:rPr>
          <w:color w:val="000000" w:themeColor="text1"/>
        </w:rPr>
        <w:t>T</w:t>
      </w:r>
      <w:r w:rsidR="00860B13" w:rsidRPr="00625A39">
        <w:t xml:space="preserve">he review team </w:t>
      </w:r>
      <w:r w:rsidR="00860B13">
        <w:t>assessed</w:t>
      </w:r>
      <w:r w:rsidR="00860B13" w:rsidRPr="00625A39">
        <w:t xml:space="preserve"> each of the 87 independent </w:t>
      </w:r>
      <w:r w:rsidR="00860B13">
        <w:t xml:space="preserve">operational </w:t>
      </w:r>
      <w:r w:rsidR="00860B13" w:rsidRPr="00625A39">
        <w:t xml:space="preserve">evaluations completed in 2012 </w:t>
      </w:r>
      <w:r w:rsidR="00860B13" w:rsidRPr="00C672A1">
        <w:t>aga</w:t>
      </w:r>
      <w:r w:rsidR="00860B13">
        <w:t xml:space="preserve">inst </w:t>
      </w:r>
      <w:r w:rsidR="00B0560C">
        <w:t xml:space="preserve">15 </w:t>
      </w:r>
      <w:r w:rsidR="00860B13">
        <w:t>quality criteria</w:t>
      </w:r>
      <w:r w:rsidR="00B57386">
        <w:t>:</w:t>
      </w:r>
    </w:p>
    <w:p w14:paraId="6A788A5B" w14:textId="14AF008C" w:rsidR="00860B13" w:rsidRDefault="00860B13">
      <w:pPr>
        <w:pStyle w:val="Bullet"/>
      </w:pPr>
      <w:r>
        <w:t xml:space="preserve">Nine of the </w:t>
      </w:r>
      <w:r w:rsidRPr="007A10CA">
        <w:t>criteria</w:t>
      </w:r>
      <w:r>
        <w:t xml:space="preserve"> are general evaluation quality standards outlin</w:t>
      </w:r>
      <w:r w:rsidR="00CB4C78">
        <w:t>ing</w:t>
      </w:r>
      <w:r>
        <w:t xml:space="preserve"> </w:t>
      </w:r>
      <w:r w:rsidR="005F670E">
        <w:t>features</w:t>
      </w:r>
      <w:r w:rsidR="005B1450">
        <w:t xml:space="preserve"> that</w:t>
      </w:r>
      <w:r w:rsidR="005F670E">
        <w:t xml:space="preserve"> </w:t>
      </w:r>
      <w:r w:rsidR="00B0560C">
        <w:t xml:space="preserve">a </w:t>
      </w:r>
      <w:r>
        <w:t xml:space="preserve">good evaluation ought to </w:t>
      </w:r>
      <w:r w:rsidR="005F670E">
        <w:t xml:space="preserve">have </w:t>
      </w:r>
      <w:r>
        <w:t>(for example, clear purpose and scope</w:t>
      </w:r>
      <w:r w:rsidR="00CB4C78">
        <w:t>,</w:t>
      </w:r>
      <w:r>
        <w:t xml:space="preserve"> appropriate methodology and credible evidence and analysis). </w:t>
      </w:r>
    </w:p>
    <w:p w14:paraId="2D60AE56" w14:textId="1CC5A3BD" w:rsidR="009B7090" w:rsidRDefault="00CB4C78" w:rsidP="00F47B40">
      <w:pPr>
        <w:pStyle w:val="BulletLast"/>
      </w:pPr>
      <w:r>
        <w:rPr>
          <w:color w:val="000000" w:themeColor="text1"/>
        </w:rPr>
        <w:t>Six of the criteria are</w:t>
      </w:r>
      <w:r w:rsidRPr="00CB4C78">
        <w:t xml:space="preserve"> </w:t>
      </w:r>
      <w:r w:rsidRPr="00B65DBF">
        <w:t xml:space="preserve">standard </w:t>
      </w:r>
      <w:r>
        <w:t>Australian aid quality criteria</w:t>
      </w:r>
      <w:r w:rsidR="009B7090">
        <w:t>.</w:t>
      </w:r>
      <w:r w:rsidR="00A74814">
        <w:t xml:space="preserve"> </w:t>
      </w:r>
      <w:r w:rsidR="009B7090">
        <w:t xml:space="preserve">Under </w:t>
      </w:r>
      <w:r w:rsidR="009B7090" w:rsidRPr="004C4DBE">
        <w:rPr>
          <w:color w:val="000000" w:themeColor="text1"/>
        </w:rPr>
        <w:t xml:space="preserve">current guidelines, each operational evaluation should </w:t>
      </w:r>
      <w:r w:rsidR="009B7090">
        <w:rPr>
          <w:color w:val="000000" w:themeColor="text1"/>
        </w:rPr>
        <w:t>assess initiative</w:t>
      </w:r>
      <w:r w:rsidR="009B7090" w:rsidRPr="004C4DBE">
        <w:rPr>
          <w:color w:val="000000" w:themeColor="text1"/>
        </w:rPr>
        <w:t xml:space="preserve"> relevance, effectiveness, efficiency, impact, sustainability and</w:t>
      </w:r>
      <w:r w:rsidR="009B7090">
        <w:rPr>
          <w:color w:val="000000" w:themeColor="text1"/>
        </w:rPr>
        <w:t xml:space="preserve"> advancement of</w:t>
      </w:r>
      <w:r w:rsidR="009B7090" w:rsidRPr="004C4DBE">
        <w:rPr>
          <w:color w:val="000000" w:themeColor="text1"/>
        </w:rPr>
        <w:t xml:space="preserve"> gender equality.</w:t>
      </w:r>
      <w:r w:rsidR="00A74814">
        <w:rPr>
          <w:color w:val="000000" w:themeColor="text1"/>
        </w:rPr>
        <w:t xml:space="preserve"> </w:t>
      </w:r>
      <w:r w:rsidR="009B7090">
        <w:rPr>
          <w:color w:val="000000" w:themeColor="text1"/>
        </w:rPr>
        <w:t>We looked at how well these six criteria were applied.</w:t>
      </w:r>
    </w:p>
    <w:p w14:paraId="710CD495" w14:textId="77777777" w:rsidR="00860B13" w:rsidRDefault="00860B13" w:rsidP="00860B13">
      <w:r>
        <w:lastRenderedPageBreak/>
        <w:t>The team analysed the extent to which there were correlations between evaluation quality and the characteristics of the initiatives evaluated (for example, value or sector), or between evaluation quality and evaluation characteristics (for example, type or length of evaluation).</w:t>
      </w:r>
    </w:p>
    <w:p w14:paraId="144452F0" w14:textId="1D887E69" w:rsidR="00860B13" w:rsidRDefault="00860B13" w:rsidP="00860B13">
      <w:r>
        <w:t xml:space="preserve">The team interviewed </w:t>
      </w:r>
      <w:r w:rsidR="00B0560C">
        <w:t xml:space="preserve">a total of </w:t>
      </w:r>
      <w:r>
        <w:t>27</w:t>
      </w:r>
      <w:r w:rsidR="007E5BDF">
        <w:t xml:space="preserve"> people</w:t>
      </w:r>
      <w:r w:rsidR="00B57386">
        <w:rPr>
          <w:rFonts w:ascii="Arial" w:hAnsi="Arial"/>
        </w:rPr>
        <w:t>—</w:t>
      </w:r>
      <w:r>
        <w:t>independent evaluators, Australian Government aid initiative managers and senior aid program executives</w:t>
      </w:r>
      <w:r w:rsidR="00B57386">
        <w:rPr>
          <w:rFonts w:ascii="Arial" w:hAnsi="Arial"/>
        </w:rPr>
        <w:t>—</w:t>
      </w:r>
      <w:r>
        <w:t xml:space="preserve">and analysed the interview responses. Taking an </w:t>
      </w:r>
      <w:r w:rsidR="00744801">
        <w:t>‘</w:t>
      </w:r>
      <w:r>
        <w:t>appreciative inquiry</w:t>
      </w:r>
      <w:r w:rsidR="00744801">
        <w:t>’</w:t>
      </w:r>
      <w:r>
        <w:t xml:space="preserve"> approach (</w:t>
      </w:r>
      <w:r w:rsidRPr="007A10CA">
        <w:t>emphasising understanding and learning from positive experiences) t</w:t>
      </w:r>
      <w:r>
        <w:t>he interviews sought to identify the factors contributing to stronger or weaker evaluations.</w:t>
      </w:r>
    </w:p>
    <w:p w14:paraId="1C2E8FF1" w14:textId="1806B714" w:rsidR="00860B13" w:rsidRDefault="00860B13" w:rsidP="00860B13">
      <w:r>
        <w:t>The team identified examples of good</w:t>
      </w:r>
      <w:r w:rsidR="00230CCA">
        <w:t xml:space="preserve"> </w:t>
      </w:r>
      <w:r>
        <w:t>practice evaluation products (terms of reference, evaluation plans, and evaluation reports) to provide learning material for use by aid initiative managers and evaluators.</w:t>
      </w:r>
    </w:p>
    <w:p w14:paraId="4154C05B" w14:textId="78B10D54" w:rsidR="00A86ED3" w:rsidRDefault="00A86ED3" w:rsidP="00860B13">
      <w:r>
        <w:t xml:space="preserve">The team then triangulated between the various forms of evidence and analysis to identify the key conclusions and recommendations presented in this report. </w:t>
      </w:r>
    </w:p>
    <w:bookmarkStart w:id="29" w:name="_Toc387675102"/>
    <w:p w14:paraId="6B64388D" w14:textId="1D74D866" w:rsidR="00860B13" w:rsidRDefault="007A10CA" w:rsidP="00D5151D">
      <w:pPr>
        <w:pStyle w:val="Heading1"/>
      </w:pPr>
      <w:r>
        <w:rPr>
          <w:noProof/>
        </w:rPr>
        <w:lastRenderedPageBreak/>
        <mc:AlternateContent>
          <mc:Choice Requires="wps">
            <w:drawing>
              <wp:anchor distT="0" distB="0" distL="114300" distR="114300" simplePos="0" relativeHeight="251666432" behindDoc="1" locked="0" layoutInCell="1" allowOverlap="1" wp14:anchorId="4DB6D658" wp14:editId="733305D8">
                <wp:simplePos x="0" y="0"/>
                <wp:positionH relativeFrom="page">
                  <wp:align>left</wp:align>
                </wp:positionH>
                <wp:positionV relativeFrom="paragraph">
                  <wp:posOffset>-144145</wp:posOffset>
                </wp:positionV>
                <wp:extent cx="7610400" cy="1468800"/>
                <wp:effectExtent l="0" t="0" r="0" b="0"/>
                <wp:wrapNone/>
                <wp:docPr id="6" name="Rectangle 6"/>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2B4A17B" id="Rectangle 6" o:spid="_x0000_s1026" style="position:absolute;margin-left:0;margin-top:-11.35pt;width:599.25pt;height:115.65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wkwIAAIYFAAAOAAAAZHJzL2Uyb0RvYy54bWysVE1v2zAMvQ/YfxB0X20HbpoFdYqgRYcB&#10;RVu0HXpWZCk2IIsapXzt14+SHbdrix2G5aCIIvlIPpM8v9h3hm0V+hZsxYuTnDNlJdStXVf8x9P1&#10;lxlnPghbCwNWVfygPL9YfP50vnNzNYEGTK2QEYj1852reBOCm2eZl43qhD8BpywpNWAnAom4zmoU&#10;O0LvTDbJ82m2A6wdglTe0+tVr+SLhK+1kuFOa68CMxWn3EI6MZ2reGaLczFfo3BNK4c0xD9k0YnW&#10;UtAR6koEwTbYvoPqWongQYcTCV0GWrdSpRqomiJ/U81jI5xKtRA53o00+f8HK2+398jauuJTzqzo&#10;6BM9EGnCro1i00jPzvk5WT26exwkT9dY615jF/+pCrZPlB5GStU+MEmPZ9MiL3NiXpKuKKezGQmE&#10;k724O/Thm4KOxUvFkcInKsX2xofe9GgSo3kwbX3dGpMEXK8uDbKtoO9bTMpylnIm9D/MjI3GFqJb&#10;jxhfslhaX0y6hYNR0c7YB6WJE0p/kjJJ3ajGOEJKZUPRqxpRqz78aU6/obbRI1WaACOypvgj9gAQ&#10;O/09dp/lYB9dVWrm0Tn/W2K98+iRIoMNo3PXWsCPAAxVNUTu7Y8k9dREllZQH6hjEPpR8k5et/Td&#10;boQP9wJpduhb0z4Id3RoA7uKw3DjrAH89dF7tKeWJi1nO5rFivufG4GKM/PdUrN/LcoyDm8SytOz&#10;CQn4WrN6rbGb7hJiO9DmcTJdo30wx6tG6J5pbSxjVFIJKyl2xWXAo3AZ+h1Bi0eq5TKZ0cA6EW7s&#10;o5MRPLIa+/Jp/yzQDc0bqO9v4Ti3Yv6mh3vb6GlhuQmg29TgL7wOfNOwp8YZFlPcJq/lZPWyPhe/&#10;AQAA//8DAFBLAwQUAAYACAAAACEAmSApJt0AAAAJAQAADwAAAGRycy9kb3ducmV2LnhtbEyPwU7D&#10;MBBE70j8g7VI3FonRpQQsqlQJThE4kBL7268xBHxOsRuG/4e9wTH0Yxm3lTr2Q3iRFPoPSPkywwE&#10;cetNzx3Cx+5lUYAIUbPRg2dC+KEA6/r6qtKl8Wd+p9M2diKVcCg1go1xLKUMrSWnw9KPxMn79JPT&#10;Mcmpk2bS51TuBqmybCWd7jktWD3SxlL7tT06hKYgu+/emmH+bna53Ny9+j0pxNub+fkJRKQ5/oXh&#10;gp/QoU5MB39kE8SAkI5EhIVSDyAudv5Y3IM4IKisWIGsK/n/Qf0LAAD//wMAUEsBAi0AFAAGAAgA&#10;AAAhALaDOJL+AAAA4QEAABMAAAAAAAAAAAAAAAAAAAAAAFtDb250ZW50X1R5cGVzXS54bWxQSwEC&#10;LQAUAAYACAAAACEAOP0h/9YAAACUAQAACwAAAAAAAAAAAAAAAAAvAQAAX3JlbHMvLnJlbHNQSwEC&#10;LQAUAAYACAAAACEAPiFhsJMCAACGBQAADgAAAAAAAAAAAAAAAAAuAgAAZHJzL2Uyb0RvYy54bWxQ&#10;SwECLQAUAAYACAAAACEAmSApJt0AAAAJAQAADwAAAAAAAAAAAAAAAADtBAAAZHJzL2Rvd25yZXYu&#10;eG1sUEsFBgAAAAAEAAQA8wAAAPcFAAAAAA==&#10;" fillcolor="#124486" stroked="f" strokeweight="2pt">
                <w10:wrap anchorx="page"/>
              </v:rect>
            </w:pict>
          </mc:Fallback>
        </mc:AlternateContent>
      </w:r>
      <w:r>
        <w:t>2</w:t>
      </w:r>
      <w:r>
        <w:tab/>
      </w:r>
      <w:r w:rsidR="00860B13">
        <w:t>Independent evaluation of Australian aid</w:t>
      </w:r>
      <w:bookmarkEnd w:id="29"/>
    </w:p>
    <w:p w14:paraId="7EDA5CB9" w14:textId="2E5104A0" w:rsidR="008537B5" w:rsidRDefault="00860B13" w:rsidP="00860B13">
      <w:pPr>
        <w:rPr>
          <w:color w:val="000000" w:themeColor="text1"/>
        </w:rPr>
      </w:pPr>
      <w:r w:rsidRPr="00C672A1">
        <w:rPr>
          <w:color w:val="000000" w:themeColor="text1"/>
        </w:rPr>
        <w:t xml:space="preserve">This chapter </w:t>
      </w:r>
      <w:r w:rsidRPr="007A6A7F">
        <w:rPr>
          <w:color w:val="000000" w:themeColor="text1"/>
        </w:rPr>
        <w:t>outlines policy requirements and support for ope</w:t>
      </w:r>
      <w:r>
        <w:rPr>
          <w:color w:val="000000" w:themeColor="text1"/>
        </w:rPr>
        <w:t>rational evaluations within the Department of Foreign Affairs and Trade</w:t>
      </w:r>
      <w:r w:rsidR="00D876DE">
        <w:rPr>
          <w:color w:val="000000" w:themeColor="text1"/>
        </w:rPr>
        <w:t xml:space="preserve"> (DFAT)</w:t>
      </w:r>
      <w:r w:rsidR="00775BB1">
        <w:rPr>
          <w:color w:val="000000" w:themeColor="text1"/>
        </w:rPr>
        <w:t>, including recent and planned changes</w:t>
      </w:r>
      <w:r w:rsidRPr="007A6A7F">
        <w:rPr>
          <w:color w:val="000000" w:themeColor="text1"/>
        </w:rPr>
        <w:t xml:space="preserve">. </w:t>
      </w:r>
      <w:r w:rsidR="008537B5">
        <w:rPr>
          <w:color w:val="000000" w:themeColor="text1"/>
        </w:rPr>
        <w:t xml:space="preserve">It also provides background on the introduction of the </w:t>
      </w:r>
      <w:r w:rsidR="008537B5" w:rsidRPr="00D5151D">
        <w:rPr>
          <w:i/>
          <w:color w:val="000000" w:themeColor="text1"/>
        </w:rPr>
        <w:t>Public Governance, Performance and Accountability Act</w:t>
      </w:r>
      <w:r w:rsidR="00BB287B">
        <w:rPr>
          <w:i/>
          <w:color w:val="000000" w:themeColor="text1"/>
        </w:rPr>
        <w:t xml:space="preserve"> 2013</w:t>
      </w:r>
      <w:r w:rsidR="008537B5">
        <w:rPr>
          <w:color w:val="000000" w:themeColor="text1"/>
        </w:rPr>
        <w:t xml:space="preserve"> and the evaluation-related recommendations of the </w:t>
      </w:r>
      <w:r w:rsidR="008537B5" w:rsidRPr="00A01760">
        <w:rPr>
          <w:i/>
          <w:color w:val="000000" w:themeColor="text1"/>
        </w:rPr>
        <w:t xml:space="preserve">2011 Independent </w:t>
      </w:r>
      <w:r w:rsidR="00280308" w:rsidRPr="00A01760">
        <w:rPr>
          <w:i/>
          <w:color w:val="000000" w:themeColor="text1"/>
        </w:rPr>
        <w:t>R</w:t>
      </w:r>
      <w:r w:rsidR="008537B5" w:rsidRPr="00A01760">
        <w:rPr>
          <w:i/>
          <w:color w:val="000000" w:themeColor="text1"/>
        </w:rPr>
        <w:t xml:space="preserve">eview of </w:t>
      </w:r>
      <w:r w:rsidR="00280308" w:rsidRPr="00A01760">
        <w:rPr>
          <w:i/>
          <w:color w:val="000000" w:themeColor="text1"/>
        </w:rPr>
        <w:t>A</w:t>
      </w:r>
      <w:r w:rsidR="008537B5" w:rsidRPr="00A01760">
        <w:rPr>
          <w:i/>
          <w:color w:val="000000" w:themeColor="text1"/>
        </w:rPr>
        <w:t xml:space="preserve">id </w:t>
      </w:r>
      <w:r w:rsidR="00280308" w:rsidRPr="00A01760">
        <w:rPr>
          <w:i/>
          <w:color w:val="000000" w:themeColor="text1"/>
        </w:rPr>
        <w:t>E</w:t>
      </w:r>
      <w:r w:rsidR="008537B5" w:rsidRPr="00A01760">
        <w:rPr>
          <w:i/>
          <w:color w:val="000000" w:themeColor="text1"/>
        </w:rPr>
        <w:t>ffectiveness</w:t>
      </w:r>
      <w:r w:rsidR="008537B5" w:rsidRPr="00D5151D">
        <w:rPr>
          <w:color w:val="000000" w:themeColor="text1"/>
        </w:rPr>
        <w:t>.</w:t>
      </w:r>
      <w:r w:rsidR="008537B5" w:rsidRPr="00280308">
        <w:rPr>
          <w:color w:val="000000" w:themeColor="text1"/>
        </w:rPr>
        <w:t xml:space="preserve"> </w:t>
      </w:r>
      <w:r w:rsidR="008537B5" w:rsidRPr="006C1AD4">
        <w:rPr>
          <w:color w:val="000000" w:themeColor="text1"/>
        </w:rPr>
        <w:t xml:space="preserve">The timing </w:t>
      </w:r>
      <w:r w:rsidR="00D876DE">
        <w:rPr>
          <w:color w:val="000000" w:themeColor="text1"/>
        </w:rPr>
        <w:t>of</w:t>
      </w:r>
      <w:r w:rsidR="008537B5" w:rsidRPr="006C1AD4">
        <w:rPr>
          <w:color w:val="000000" w:themeColor="text1"/>
        </w:rPr>
        <w:t xml:space="preserve"> this review is opportune, as these developments open up additional opportunities for DFAT to take a lead role in demonstrating high</w:t>
      </w:r>
      <w:r w:rsidR="00D876DE">
        <w:rPr>
          <w:color w:val="000000" w:themeColor="text1"/>
        </w:rPr>
        <w:t>-</w:t>
      </w:r>
      <w:r w:rsidR="008537B5" w:rsidRPr="006C1AD4">
        <w:rPr>
          <w:color w:val="000000" w:themeColor="text1"/>
        </w:rPr>
        <w:t>quality evaluation practice across the Australian Government and to consider the role of the evaluation function within DFAT.</w:t>
      </w:r>
    </w:p>
    <w:p w14:paraId="1A242DCE" w14:textId="77777777" w:rsidR="00860B13" w:rsidRDefault="00860B13" w:rsidP="00D5151D">
      <w:pPr>
        <w:pStyle w:val="Heading2"/>
        <w:numPr>
          <w:ilvl w:val="0"/>
          <w:numId w:val="49"/>
        </w:numPr>
        <w:ind w:left="357" w:hanging="357"/>
      </w:pPr>
      <w:bookmarkStart w:id="30" w:name="_Ref381702971"/>
      <w:bookmarkStart w:id="31" w:name="_Toc387675103"/>
      <w:r>
        <w:t xml:space="preserve">Evaluation </w:t>
      </w:r>
      <w:r w:rsidR="000C18E0">
        <w:t xml:space="preserve">policy </w:t>
      </w:r>
      <w:r>
        <w:t xml:space="preserve">and </w:t>
      </w:r>
      <w:r w:rsidR="000C18E0">
        <w:t>support</w:t>
      </w:r>
      <w:bookmarkEnd w:id="30"/>
      <w:bookmarkEnd w:id="31"/>
    </w:p>
    <w:p w14:paraId="78FDF067" w14:textId="77777777" w:rsidR="00860B13" w:rsidRDefault="000C18E0" w:rsidP="00860B13">
      <w:pPr>
        <w:pStyle w:val="Heading3"/>
      </w:pPr>
      <w:r>
        <w:t>Policy requirements for o</w:t>
      </w:r>
      <w:r w:rsidR="00860B13">
        <w:t xml:space="preserve">perational </w:t>
      </w:r>
      <w:r>
        <w:t>e</w:t>
      </w:r>
      <w:r w:rsidR="00860B13">
        <w:t>valuations</w:t>
      </w:r>
      <w:r w:rsidR="00D24E23">
        <w:t xml:space="preserve"> in 2012</w:t>
      </w:r>
    </w:p>
    <w:p w14:paraId="40FCA4F1" w14:textId="77777777" w:rsidR="00860B13" w:rsidRPr="00F1451C" w:rsidRDefault="00860B13" w:rsidP="00860B13">
      <w:r w:rsidRPr="00F1451C">
        <w:t xml:space="preserve">The operational evaluations reviewed in this report were completed in 2012. In early 2012, the evaluation policy of the former AusAID was as follows: </w:t>
      </w:r>
    </w:p>
    <w:p w14:paraId="37507F67" w14:textId="5522C111" w:rsidR="00860B13" w:rsidRPr="007A10CA" w:rsidRDefault="00860B13" w:rsidP="00213DC9">
      <w:pPr>
        <w:pStyle w:val="Bullet"/>
      </w:pPr>
      <w:r>
        <w:t>All monitored</w:t>
      </w:r>
      <w:r w:rsidR="00213DC9">
        <w:t xml:space="preserve"> aid</w:t>
      </w:r>
      <w:r>
        <w:t xml:space="preserve"> i</w:t>
      </w:r>
      <w:r w:rsidRPr="00F1451C">
        <w:t xml:space="preserve">nitiatives </w:t>
      </w:r>
      <w:r>
        <w:t xml:space="preserve">(those valued </w:t>
      </w:r>
      <w:r w:rsidRPr="00F1451C">
        <w:t>over $3</w:t>
      </w:r>
      <w:r w:rsidR="004C1102">
        <w:t> </w:t>
      </w:r>
      <w:r w:rsidRPr="00F1451C">
        <w:t>million</w:t>
      </w:r>
      <w:r>
        <w:t xml:space="preserve"> or </w:t>
      </w:r>
      <w:r w:rsidR="004C1102">
        <w:t>with</w:t>
      </w:r>
      <w:r>
        <w:t xml:space="preserve"> strategic or political </w:t>
      </w:r>
      <w:r w:rsidRPr="007A10CA">
        <w:t>importance)</w:t>
      </w:r>
      <w:r w:rsidR="00213DC9" w:rsidRPr="00773273">
        <w:rPr>
          <w:rStyle w:val="FootnoteReference"/>
          <w:szCs w:val="21"/>
        </w:rPr>
        <w:footnoteReference w:id="7"/>
      </w:r>
      <w:r w:rsidRPr="007A10CA">
        <w:t xml:space="preserve"> </w:t>
      </w:r>
      <w:r w:rsidR="00213DC9">
        <w:t>required evaluation</w:t>
      </w:r>
      <w:r w:rsidRPr="007A10CA">
        <w:t xml:space="preserve"> at least once every four years</w:t>
      </w:r>
      <w:r w:rsidR="004C1102" w:rsidRPr="007A10CA">
        <w:t>.</w:t>
      </w:r>
      <w:r w:rsidRPr="007A10CA">
        <w:t xml:space="preserve"> In practi</w:t>
      </w:r>
      <w:r w:rsidR="004C1102" w:rsidRPr="007A10CA">
        <w:t>c</w:t>
      </w:r>
      <w:r w:rsidRPr="007A10CA">
        <w:t xml:space="preserve">e this meant </w:t>
      </w:r>
      <w:r w:rsidR="00CF55FE">
        <w:t xml:space="preserve">that </w:t>
      </w:r>
      <w:r w:rsidRPr="007A10CA">
        <w:t xml:space="preserve">many initiatives </w:t>
      </w:r>
      <w:r w:rsidR="00213DC9">
        <w:t>required</w:t>
      </w:r>
      <w:r w:rsidRPr="007A10CA">
        <w:t xml:space="preserve"> evaluation during implementation and at completion.</w:t>
      </w:r>
    </w:p>
    <w:p w14:paraId="263461B2" w14:textId="60F86E52" w:rsidR="00860B13" w:rsidRPr="007A10CA" w:rsidRDefault="00860B13" w:rsidP="00213DC9">
      <w:pPr>
        <w:pStyle w:val="Bullet"/>
      </w:pPr>
      <w:r w:rsidRPr="007A10CA">
        <w:t xml:space="preserve">All evaluations were expected to assess the initiative against eight evaluation criteria: relevance; effectiveness; efficiency; impact (where feasible); sustainability; monitoring and evaluation; gender equality; and analysis and learning. The first five of these criteria are based on the internationally agreed aid effectiveness criteria identified by the </w:t>
      </w:r>
      <w:r w:rsidR="00BB287B" w:rsidRPr="007A10CA">
        <w:t>Organisation for Economic Cooperation and Development—Development Assistance Committee (</w:t>
      </w:r>
      <w:r w:rsidRPr="007A10CA">
        <w:t>OECD</w:t>
      </w:r>
      <w:r w:rsidR="00CF55FE">
        <w:t>–</w:t>
      </w:r>
      <w:r w:rsidRPr="007A10CA">
        <w:t>DAC</w:t>
      </w:r>
      <w:r w:rsidR="00BB287B" w:rsidRPr="007A10CA">
        <w:t>)</w:t>
      </w:r>
      <w:r w:rsidRPr="007A10CA">
        <w:t xml:space="preserve">, while the final three criteria are specific to </w:t>
      </w:r>
      <w:r w:rsidR="009570EE" w:rsidRPr="007A10CA">
        <w:t>the Australian aid program</w:t>
      </w:r>
      <w:r w:rsidRPr="007A10CA">
        <w:t xml:space="preserve">. </w:t>
      </w:r>
    </w:p>
    <w:p w14:paraId="4294A3E2" w14:textId="51ED0B69" w:rsidR="00860B13" w:rsidRPr="007A10CA" w:rsidRDefault="00860B13" w:rsidP="00213DC9">
      <w:pPr>
        <w:pStyle w:val="Bullet"/>
      </w:pPr>
      <w:r w:rsidRPr="007A10CA">
        <w:t>All evaluations were required to rate the initiative against the above criteria</w:t>
      </w:r>
      <w:r w:rsidR="000A6831" w:rsidRPr="007A10CA">
        <w:t xml:space="preserve"> (except for impact)</w:t>
      </w:r>
      <w:r w:rsidRPr="007A10CA">
        <w:t xml:space="preserve">. A </w:t>
      </w:r>
      <w:r w:rsidR="000C18E0" w:rsidRPr="007A10CA">
        <w:t>six-point</w:t>
      </w:r>
      <w:r w:rsidRPr="007A10CA">
        <w:t xml:space="preserve"> scale was used, with 1 indicating </w:t>
      </w:r>
      <w:r w:rsidR="004C1102" w:rsidRPr="007A10CA">
        <w:t xml:space="preserve">that </w:t>
      </w:r>
      <w:r w:rsidRPr="007A10CA">
        <w:t>an initiative was very low quality in relation to a particular criterion and 6 indicating</w:t>
      </w:r>
      <w:r w:rsidR="004C1102" w:rsidRPr="007A10CA">
        <w:t xml:space="preserve"> that</w:t>
      </w:r>
      <w:r w:rsidRPr="007A10CA">
        <w:t xml:space="preserve"> it was very high quality</w:t>
      </w:r>
      <w:r w:rsidR="004C1102" w:rsidRPr="007A10CA">
        <w:t>.</w:t>
      </w:r>
      <w:r w:rsidRPr="00773273">
        <w:rPr>
          <w:rStyle w:val="FootnoteReference"/>
          <w:szCs w:val="21"/>
        </w:rPr>
        <w:footnoteReference w:id="8"/>
      </w:r>
      <w:r w:rsidRPr="007A10CA">
        <w:t xml:space="preserve"> </w:t>
      </w:r>
    </w:p>
    <w:p w14:paraId="5B5FF41C" w14:textId="77777777" w:rsidR="00D315F8" w:rsidRDefault="00D315F8" w:rsidP="00213DC9">
      <w:pPr>
        <w:pStyle w:val="Bullet"/>
      </w:pPr>
      <w:r w:rsidRPr="007A10CA">
        <w:t>All evaluations were subject to formal peer review</w:t>
      </w:r>
      <w:r>
        <w:t>.</w:t>
      </w:r>
    </w:p>
    <w:p w14:paraId="0B24BC4D" w14:textId="77777777" w:rsidR="00D315F8" w:rsidRDefault="00D315F8" w:rsidP="00213DC9">
      <w:pPr>
        <w:pStyle w:val="BulletLast"/>
      </w:pPr>
      <w:r>
        <w:t>A formal management response from the evaluation commissioning area was required.</w:t>
      </w:r>
    </w:p>
    <w:p w14:paraId="1B589F8E" w14:textId="77777777" w:rsidR="00860B13" w:rsidRPr="00F1451C" w:rsidRDefault="00860B13" w:rsidP="00860B13">
      <w:r w:rsidRPr="00F1451C">
        <w:t>An updated policy came into effect in March 2012 and detailed guidance on implementing the policy was released in December 2012. The new evaluation policy stated that:</w:t>
      </w:r>
    </w:p>
    <w:p w14:paraId="31EDCC4D" w14:textId="31557B86" w:rsidR="00860B13" w:rsidRPr="00F1451C" w:rsidRDefault="00860B13" w:rsidP="00213DC9">
      <w:pPr>
        <w:pStyle w:val="Bullet"/>
      </w:pPr>
      <w:r>
        <w:lastRenderedPageBreak/>
        <w:t xml:space="preserve">All monitored </w:t>
      </w:r>
      <w:r w:rsidR="00213DC9">
        <w:t xml:space="preserve">aid </w:t>
      </w:r>
      <w:r>
        <w:t>i</w:t>
      </w:r>
      <w:r w:rsidRPr="00F1451C">
        <w:t xml:space="preserve">nitiatives </w:t>
      </w:r>
      <w:r w:rsidR="00213DC9">
        <w:t>required evaluation</w:t>
      </w:r>
      <w:r w:rsidRPr="00F1451C">
        <w:t xml:space="preserve"> </w:t>
      </w:r>
      <w:r w:rsidR="000C18E0">
        <w:t xml:space="preserve">once </w:t>
      </w:r>
      <w:r w:rsidRPr="00F1451C">
        <w:t>over their life at the best time for program purposes</w:t>
      </w:r>
      <w:r>
        <w:t>.</w:t>
      </w:r>
    </w:p>
    <w:p w14:paraId="0AC364EA" w14:textId="77777777" w:rsidR="00860B13" w:rsidRPr="00C672A1" w:rsidRDefault="00860B13" w:rsidP="00213DC9">
      <w:pPr>
        <w:pStyle w:val="Bullet"/>
      </w:pPr>
      <w:r w:rsidRPr="00F1451C">
        <w:t xml:space="preserve">All evaluations </w:t>
      </w:r>
      <w:r w:rsidR="00DC2D4C">
        <w:t xml:space="preserve">were expected to </w:t>
      </w:r>
      <w:r>
        <w:t>consider the following six</w:t>
      </w:r>
      <w:r w:rsidRPr="007A6A7F">
        <w:t xml:space="preserve"> standard Australian aid quality criteria: </w:t>
      </w:r>
      <w:r w:rsidRPr="00C672A1">
        <w:t xml:space="preserve">relevance; effectiveness; efficiency; sustainability; impact; and gender equality. If a particular criterion had already been addressed through another </w:t>
      </w:r>
      <w:r w:rsidR="00C51D29">
        <w:t xml:space="preserve">assessment </w:t>
      </w:r>
      <w:r w:rsidRPr="00C672A1">
        <w:t>process</w:t>
      </w:r>
      <w:r w:rsidR="00C51D29">
        <w:t xml:space="preserve"> (such as a partner-led evaluation)</w:t>
      </w:r>
      <w:r w:rsidRPr="00C672A1">
        <w:t>, it did not need t</w:t>
      </w:r>
      <w:r w:rsidRPr="007A6A7F">
        <w:t xml:space="preserve">o be included in the evaluation. </w:t>
      </w:r>
    </w:p>
    <w:p w14:paraId="05032EAB" w14:textId="52ED4A72" w:rsidR="00860B13" w:rsidRDefault="000A6831" w:rsidP="00AA481B">
      <w:pPr>
        <w:pStyle w:val="Bullet"/>
      </w:pPr>
      <w:r>
        <w:t>All e</w:t>
      </w:r>
      <w:r w:rsidR="00860B13" w:rsidRPr="00F1451C">
        <w:t xml:space="preserve">valuations were </w:t>
      </w:r>
      <w:r>
        <w:t>expected</w:t>
      </w:r>
      <w:r w:rsidR="00860B13" w:rsidRPr="00F1451C">
        <w:t xml:space="preserve"> to rate the initiative against the chosen criteria using the existing </w:t>
      </w:r>
      <w:r w:rsidR="000C18E0">
        <w:t>six-point</w:t>
      </w:r>
      <w:r w:rsidR="00860B13" w:rsidRPr="00F1451C">
        <w:t xml:space="preserve"> scale.</w:t>
      </w:r>
    </w:p>
    <w:p w14:paraId="6621F870" w14:textId="744DCCD4" w:rsidR="00D315F8" w:rsidRDefault="00D315F8" w:rsidP="00AA481B">
      <w:pPr>
        <w:pStyle w:val="Bullet"/>
      </w:pPr>
      <w:r>
        <w:t>Peer review was recommended but no longer mandated.</w:t>
      </w:r>
    </w:p>
    <w:p w14:paraId="4044C1DF" w14:textId="742D01F2" w:rsidR="00D315F8" w:rsidRPr="00F1451C" w:rsidRDefault="00D315F8" w:rsidP="00AA481B">
      <w:pPr>
        <w:pStyle w:val="BulletLast"/>
      </w:pPr>
      <w:r>
        <w:t xml:space="preserve">A formal management response by the evaluation commissioning area </w:t>
      </w:r>
      <w:r w:rsidR="00AA481B">
        <w:t xml:space="preserve">was required </w:t>
      </w:r>
      <w:r>
        <w:t xml:space="preserve">and </w:t>
      </w:r>
      <w:r w:rsidR="00213DC9">
        <w:t xml:space="preserve">had </w:t>
      </w:r>
      <w:r>
        <w:t>to be published.</w:t>
      </w:r>
    </w:p>
    <w:p w14:paraId="28CE520B" w14:textId="365AC913" w:rsidR="00860B13" w:rsidRPr="00F1451C" w:rsidRDefault="00860B13" w:rsidP="00860B13">
      <w:r w:rsidRPr="00F1451C">
        <w:t xml:space="preserve">Under this updated policy it was expected that </w:t>
      </w:r>
      <w:r w:rsidR="00C51D29">
        <w:t xml:space="preserve">approximately </w:t>
      </w:r>
      <w:r w:rsidRPr="00F1451C">
        <w:t>11</w:t>
      </w:r>
      <w:r w:rsidR="00C51D29">
        <w:t>0</w:t>
      </w:r>
      <w:r w:rsidRPr="00F1451C">
        <w:t xml:space="preserve"> operational evaluations would be conducted in 2012</w:t>
      </w:r>
      <w:r w:rsidR="004C1102">
        <w:t>.</w:t>
      </w:r>
      <w:r w:rsidR="00D3623A" w:rsidRPr="00D20A7C">
        <w:rPr>
          <w:rStyle w:val="FootnoteReference"/>
          <w:rFonts w:cs="Arial"/>
          <w:szCs w:val="22"/>
        </w:rPr>
        <w:footnoteReference w:id="9"/>
      </w:r>
    </w:p>
    <w:p w14:paraId="0E2E3529" w14:textId="4AFC3DCF" w:rsidR="00D24E23" w:rsidRDefault="00860B13" w:rsidP="00860B13">
      <w:r>
        <w:t>The new</w:t>
      </w:r>
      <w:r w:rsidRPr="00F1451C">
        <w:t xml:space="preserve"> evaluation</w:t>
      </w:r>
      <w:r>
        <w:t xml:space="preserve"> guidance</w:t>
      </w:r>
      <w:r w:rsidRPr="00F1451C">
        <w:t xml:space="preserve"> </w:t>
      </w:r>
      <w:r>
        <w:t xml:space="preserve">also </w:t>
      </w:r>
      <w:r w:rsidRPr="00F1451C">
        <w:t xml:space="preserve">introduced the </w:t>
      </w:r>
      <w:r w:rsidR="00D3623A">
        <w:t xml:space="preserve">AusAID </w:t>
      </w:r>
      <w:r w:rsidRPr="00C672A1">
        <w:t>Monitoring and Evaluation Standards.</w:t>
      </w:r>
      <w:r w:rsidRPr="00F1451C">
        <w:t xml:space="preserve"> These </w:t>
      </w:r>
      <w:r w:rsidR="004C1102">
        <w:t>s</w:t>
      </w:r>
      <w:r w:rsidRPr="00F1451C">
        <w:t>tandards</w:t>
      </w:r>
      <w:r w:rsidR="00CF55FE">
        <w:rPr>
          <w:rFonts w:ascii="Arial" w:hAnsi="Arial"/>
        </w:rPr>
        <w:t>—</w:t>
      </w:r>
      <w:r w:rsidR="00ED7407">
        <w:t xml:space="preserve">now the DFAT </w:t>
      </w:r>
      <w:r w:rsidR="00473E01">
        <w:t>A</w:t>
      </w:r>
      <w:r w:rsidR="00ED7407">
        <w:t>id Monitoring and Evaluation Standards</w:t>
      </w:r>
      <w:r w:rsidR="00CF55FE">
        <w:rPr>
          <w:rFonts w:ascii="Arial" w:hAnsi="Arial"/>
        </w:rPr>
        <w:t>—</w:t>
      </w:r>
      <w:r w:rsidRPr="00F1451C">
        <w:t>provide guidance for staff and evaluators on what good</w:t>
      </w:r>
      <w:r w:rsidR="004C1102">
        <w:t>-</w:t>
      </w:r>
      <w:r w:rsidRPr="00F1451C">
        <w:t>quality evaluation products look like.</w:t>
      </w:r>
      <w:r>
        <w:t xml:space="preserve"> </w:t>
      </w:r>
      <w:r w:rsidR="00ED7407">
        <w:rPr>
          <w:color w:val="000000" w:themeColor="text1"/>
          <w:szCs w:val="21"/>
        </w:rPr>
        <w:t>The relevant standards (</w:t>
      </w:r>
      <w:r w:rsidR="00ED7407" w:rsidRPr="005215B7">
        <w:rPr>
          <w:color w:val="000000" w:themeColor="text1"/>
          <w:szCs w:val="21"/>
        </w:rPr>
        <w:t>Standard 4: Terms of Reference for Indepe</w:t>
      </w:r>
      <w:r w:rsidR="00ED7407" w:rsidRPr="006C4F7A">
        <w:rPr>
          <w:color w:val="000000" w:themeColor="text1"/>
          <w:szCs w:val="21"/>
        </w:rPr>
        <w:t>n</w:t>
      </w:r>
      <w:r w:rsidR="00ED7407" w:rsidRPr="00EF7AFB">
        <w:rPr>
          <w:color w:val="000000" w:themeColor="text1"/>
          <w:szCs w:val="21"/>
        </w:rPr>
        <w:t>dent Evaluations, Standard 5: Independent Evaluation Plans, and Standard 6: Independent Evaluation Reports) are included at Annex 5</w:t>
      </w:r>
      <w:r w:rsidR="00ED7407">
        <w:rPr>
          <w:color w:val="000000" w:themeColor="text1"/>
          <w:szCs w:val="21"/>
        </w:rPr>
        <w:t xml:space="preserve"> of this report.</w:t>
      </w:r>
      <w:r w:rsidR="00A74814">
        <w:rPr>
          <w:color w:val="000000" w:themeColor="text1"/>
          <w:szCs w:val="21"/>
        </w:rPr>
        <w:t xml:space="preserve"> </w:t>
      </w:r>
      <w:r w:rsidRPr="00F1451C">
        <w:t xml:space="preserve">In addition, the updated evaluation guidance </w:t>
      </w:r>
      <w:r w:rsidR="00D558D6">
        <w:t xml:space="preserve">provided </w:t>
      </w:r>
      <w:r w:rsidR="009121BE">
        <w:t xml:space="preserve">some </w:t>
      </w:r>
      <w:r w:rsidR="00D558D6">
        <w:t>new</w:t>
      </w:r>
      <w:r w:rsidR="000A6831">
        <w:t xml:space="preserve"> information on</w:t>
      </w:r>
      <w:r w:rsidR="00D558D6">
        <w:t xml:space="preserve"> conducting</w:t>
      </w:r>
      <w:r w:rsidR="000A6831">
        <w:t xml:space="preserve"> impact evaluations</w:t>
      </w:r>
      <w:r w:rsidR="00D558D6">
        <w:t xml:space="preserve">. It encouraged initiative managers who were considering an impact evaluation to refer to a discussion paper on this topic released by the </w:t>
      </w:r>
      <w:r w:rsidR="00280308">
        <w:t>Office of Development Effectiveness (</w:t>
      </w:r>
      <w:r w:rsidR="004C1102">
        <w:t>ODE</w:t>
      </w:r>
      <w:r w:rsidR="00280308">
        <w:t>)</w:t>
      </w:r>
      <w:r w:rsidR="00D558D6">
        <w:t xml:space="preserve"> in September 2012.</w:t>
      </w:r>
      <w:r w:rsidR="00A74814">
        <w:t xml:space="preserve"> </w:t>
      </w:r>
    </w:p>
    <w:p w14:paraId="1DBA0C1C" w14:textId="41C2916B" w:rsidR="00860B13" w:rsidRDefault="00D24E23" w:rsidP="00860B13">
      <w:r>
        <w:t>At</w:t>
      </w:r>
      <w:r w:rsidR="00860B13" w:rsidRPr="00F1451C">
        <w:t xml:space="preserve"> each iteration of the evaluation policy, joint or partner-led evaluations have been encouraged for initiatives that are co-financed or implemented through partn</w:t>
      </w:r>
      <w:r w:rsidR="00860B13">
        <w:t>ers. These evaluations aim to share</w:t>
      </w:r>
      <w:r w:rsidR="00860B13" w:rsidRPr="00F1451C">
        <w:t xml:space="preserve"> learning across </w:t>
      </w:r>
      <w:r w:rsidR="00860B13">
        <w:t xml:space="preserve">partners and </w:t>
      </w:r>
      <w:r w:rsidR="00860B13" w:rsidRPr="00F1451C">
        <w:t>to avoid overburdening partner government</w:t>
      </w:r>
      <w:r>
        <w:t>s</w:t>
      </w:r>
      <w:r w:rsidR="00860B13" w:rsidRPr="00F1451C">
        <w:t xml:space="preserve"> and beneficiaries with multiple evaluation processes.</w:t>
      </w:r>
    </w:p>
    <w:p w14:paraId="056F5A14" w14:textId="77777777" w:rsidR="00860B13" w:rsidRDefault="00860B13" w:rsidP="00860B13">
      <w:pPr>
        <w:pStyle w:val="Heading3"/>
        <w:ind w:left="0" w:firstLine="0"/>
      </w:pPr>
      <w:r>
        <w:t>Departmental integration and simplification</w:t>
      </w:r>
      <w:r w:rsidR="00DC2D4C">
        <w:t xml:space="preserve"> of the aid management system</w:t>
      </w:r>
    </w:p>
    <w:p w14:paraId="1BDF64D2" w14:textId="219292EE" w:rsidR="00860B13" w:rsidRDefault="00860B13" w:rsidP="00860B13">
      <w:r>
        <w:t xml:space="preserve">In November 2013 AusAID ceased as an agency and </w:t>
      </w:r>
      <w:r w:rsidR="00DC2D4C">
        <w:t>most of Australia</w:t>
      </w:r>
      <w:r w:rsidR="00744801">
        <w:t>’</w:t>
      </w:r>
      <w:r w:rsidR="00DC2D4C">
        <w:t>s aid program is now delivered by</w:t>
      </w:r>
      <w:r w:rsidR="00DC2D4C" w:rsidDel="00DC2D4C">
        <w:t xml:space="preserve"> </w:t>
      </w:r>
      <w:r w:rsidR="00EF00DA">
        <w:t>DFAT</w:t>
      </w:r>
      <w:r>
        <w:t>. An integration process is under</w:t>
      </w:r>
      <w:r w:rsidR="004C1102">
        <w:t xml:space="preserve"> </w:t>
      </w:r>
      <w:r>
        <w:t xml:space="preserve">way towards </w:t>
      </w:r>
      <w:r w:rsidRPr="00154852">
        <w:t>a transformed D</w:t>
      </w:r>
      <w:r>
        <w:t>FAT</w:t>
      </w:r>
      <w:r w:rsidRPr="00154852">
        <w:t xml:space="preserve"> that aligns and implements foreign, trade</w:t>
      </w:r>
      <w:r>
        <w:t xml:space="preserve"> and aid</w:t>
      </w:r>
      <w:r w:rsidRPr="00154852">
        <w:t xml:space="preserve"> policies and programs in a coherent</w:t>
      </w:r>
      <w:r>
        <w:t xml:space="preserve"> </w:t>
      </w:r>
      <w:r w:rsidRPr="00154852">
        <w:t>manner</w:t>
      </w:r>
      <w:r>
        <w:t xml:space="preserve">. </w:t>
      </w:r>
      <w:r w:rsidR="004C1102">
        <w:t xml:space="preserve">In </w:t>
      </w:r>
      <w:r>
        <w:t xml:space="preserve">the transition process </w:t>
      </w:r>
      <w:r w:rsidR="004C1102">
        <w:t>the department</w:t>
      </w:r>
      <w:r>
        <w:t xml:space="preserve"> recognise</w:t>
      </w:r>
      <w:r w:rsidR="004C1102">
        <w:t>s</w:t>
      </w:r>
      <w:r>
        <w:t xml:space="preserve"> that high</w:t>
      </w:r>
      <w:r w:rsidR="004C1102">
        <w:t>-</w:t>
      </w:r>
      <w:r>
        <w:t xml:space="preserve">quality evaluations remain central to an effective aid program </w:t>
      </w:r>
      <w:r w:rsidR="000E67A2">
        <w:t xml:space="preserve">that </w:t>
      </w:r>
      <w:r>
        <w:t>advances Australia</w:t>
      </w:r>
      <w:r w:rsidR="00744801">
        <w:t>’</w:t>
      </w:r>
      <w:r>
        <w:t>s national interests.</w:t>
      </w:r>
    </w:p>
    <w:p w14:paraId="642B7E90" w14:textId="47494876" w:rsidR="00860B13" w:rsidRDefault="00EF00DA" w:rsidP="00EF00DA">
      <w:r w:rsidRPr="00624056">
        <w:t xml:space="preserve">A </w:t>
      </w:r>
      <w:r w:rsidR="00AB413D">
        <w:t>b</w:t>
      </w:r>
      <w:r w:rsidRPr="00624056">
        <w:t xml:space="preserve">usiness </w:t>
      </w:r>
      <w:r w:rsidR="00AB413D">
        <w:t>m</w:t>
      </w:r>
      <w:r w:rsidRPr="00624056">
        <w:t xml:space="preserve">odel </w:t>
      </w:r>
      <w:r w:rsidR="00AB413D">
        <w:t>r</w:t>
      </w:r>
      <w:r w:rsidRPr="00624056">
        <w:t xml:space="preserve">eview conducted by AusAID immediately </w:t>
      </w:r>
      <w:r w:rsidR="00AB413D">
        <w:t>before</w:t>
      </w:r>
      <w:r w:rsidRPr="00624056">
        <w:t xml:space="preserve"> integration found a need to simplify and streamline the aid management system in order to improve both effectiveness and efficiency.</w:t>
      </w:r>
      <w:r w:rsidR="00A74814">
        <w:t xml:space="preserve"> </w:t>
      </w:r>
      <w:r w:rsidR="00860B13">
        <w:t xml:space="preserve">Departmental integration has made the planned simplification of the aid management system more urgent. </w:t>
      </w:r>
    </w:p>
    <w:p w14:paraId="73A355F1" w14:textId="0C0ECFBF" w:rsidR="00860B13" w:rsidRPr="00F1451C" w:rsidRDefault="00860B13" w:rsidP="00860B13">
      <w:r>
        <w:t xml:space="preserve">As a result, </w:t>
      </w:r>
      <w:r w:rsidRPr="00F1451C">
        <w:t xml:space="preserve">further revisions </w:t>
      </w:r>
      <w:r w:rsidR="00AB413D">
        <w:t>of</w:t>
      </w:r>
      <w:r w:rsidRPr="00F1451C">
        <w:t xml:space="preserve"> the evaluation policy </w:t>
      </w:r>
      <w:r w:rsidR="009C0531">
        <w:t>are</w:t>
      </w:r>
      <w:r w:rsidR="009C0531" w:rsidRPr="00F1451C">
        <w:t xml:space="preserve"> </w:t>
      </w:r>
      <w:r w:rsidRPr="00F1451C">
        <w:t xml:space="preserve">being undertaken. </w:t>
      </w:r>
      <w:r w:rsidR="00EF00DA">
        <w:t xml:space="preserve">The new evaluation policy will not come into effect until </w:t>
      </w:r>
      <w:r w:rsidR="00397A37">
        <w:t xml:space="preserve">July </w:t>
      </w:r>
      <w:r w:rsidR="00EF00DA">
        <w:t>2014 and</w:t>
      </w:r>
      <w:r w:rsidR="00EF00DA" w:rsidRPr="00F1451C">
        <w:t xml:space="preserve"> </w:t>
      </w:r>
      <w:r w:rsidRPr="00F1451C">
        <w:t xml:space="preserve">many details are still being decided, </w:t>
      </w:r>
      <w:r w:rsidR="00EF00DA">
        <w:t xml:space="preserve">but </w:t>
      </w:r>
      <w:r w:rsidRPr="00F1451C">
        <w:t xml:space="preserve">the following parameters </w:t>
      </w:r>
      <w:r w:rsidR="00EF00DA">
        <w:t>have</w:t>
      </w:r>
      <w:r w:rsidR="009C0531">
        <w:t xml:space="preserve"> so far</w:t>
      </w:r>
      <w:r w:rsidR="00EF00DA">
        <w:t xml:space="preserve"> been</w:t>
      </w:r>
      <w:r w:rsidR="00EF00DA" w:rsidRPr="00F1451C">
        <w:t xml:space="preserve"> </w:t>
      </w:r>
      <w:r w:rsidRPr="00F1451C">
        <w:t>determined</w:t>
      </w:r>
      <w:r w:rsidR="00FE012C">
        <w:t>:</w:t>
      </w:r>
    </w:p>
    <w:p w14:paraId="5C24F383" w14:textId="7DB09666" w:rsidR="00860B13" w:rsidRPr="00F1451C" w:rsidRDefault="00860B13" w:rsidP="008A5573">
      <w:pPr>
        <w:pStyle w:val="Bullet"/>
      </w:pPr>
      <w:r w:rsidRPr="00F1451C">
        <w:lastRenderedPageBreak/>
        <w:t xml:space="preserve">All aid initiatives over $10 million </w:t>
      </w:r>
      <w:r w:rsidR="008A5573">
        <w:t xml:space="preserve">will </w:t>
      </w:r>
      <w:r w:rsidR="00213DC9">
        <w:t>require evaluation</w:t>
      </w:r>
      <w:r w:rsidRPr="00F1451C">
        <w:t xml:space="preserve"> once over their life at the best time for program purposes</w:t>
      </w:r>
      <w:r>
        <w:t>.</w:t>
      </w:r>
    </w:p>
    <w:p w14:paraId="109ED743" w14:textId="0E3AA704" w:rsidR="00860B13" w:rsidRPr="00F1451C" w:rsidRDefault="00860B13" w:rsidP="008A5573">
      <w:pPr>
        <w:pStyle w:val="BulletLast"/>
      </w:pPr>
      <w:r w:rsidRPr="00F1451C">
        <w:t>All country programs are required to develop evaluation pipeline plans</w:t>
      </w:r>
      <w:r w:rsidR="00AB413D">
        <w:t xml:space="preserve"> and to</w:t>
      </w:r>
      <w:r w:rsidRPr="00F1451C">
        <w:t xml:space="preserve"> update</w:t>
      </w:r>
      <w:r w:rsidR="00AB413D">
        <w:t xml:space="preserve"> them</w:t>
      </w:r>
      <w:r w:rsidRPr="00F1451C">
        <w:t xml:space="preserve"> annually. </w:t>
      </w:r>
    </w:p>
    <w:p w14:paraId="38B4E3AE" w14:textId="7A86C010" w:rsidR="00860B13" w:rsidRDefault="00860B13" w:rsidP="00860B13">
      <w:r w:rsidRPr="00F1451C">
        <w:t>Under this revised policy it is anticipated that approximately 64 operational evaluati</w:t>
      </w:r>
      <w:r>
        <w:t xml:space="preserve">ons will be completed each year, representing a significant reduction </w:t>
      </w:r>
      <w:r w:rsidR="008A5573">
        <w:t xml:space="preserve">since early 2012 </w:t>
      </w:r>
      <w:r>
        <w:t xml:space="preserve">in the number of evaluations required. </w:t>
      </w:r>
    </w:p>
    <w:p w14:paraId="0E8F68D9" w14:textId="77777777" w:rsidR="00860B13" w:rsidRDefault="00860B13" w:rsidP="00860B13">
      <w:pPr>
        <w:pStyle w:val="Heading3"/>
        <w:ind w:left="0" w:firstLine="0"/>
      </w:pPr>
      <w:r>
        <w:t>Support for operational evaluations</w:t>
      </w:r>
    </w:p>
    <w:p w14:paraId="2EB6101E" w14:textId="28EFB466" w:rsidR="00860B13" w:rsidRPr="00404778" w:rsidRDefault="00860B13" w:rsidP="00860B13">
      <w:r>
        <w:rPr>
          <w:color w:val="000000" w:themeColor="text1"/>
        </w:rPr>
        <w:t>There is currently no consistent or centralised approach to quality assuring operational evaluations.</w:t>
      </w:r>
      <w:r w:rsidR="00A74814">
        <w:rPr>
          <w:color w:val="000000" w:themeColor="text1"/>
        </w:rPr>
        <w:t xml:space="preserve"> </w:t>
      </w:r>
      <w:r>
        <w:rPr>
          <w:color w:val="000000" w:themeColor="text1"/>
        </w:rPr>
        <w:t xml:space="preserve">Program areas internally quality assure their own </w:t>
      </w:r>
      <w:r w:rsidRPr="003B3601">
        <w:t xml:space="preserve">evaluation </w:t>
      </w:r>
      <w:r>
        <w:t>terms of reference</w:t>
      </w:r>
      <w:r w:rsidRPr="003B3601">
        <w:t>, plans and reports</w:t>
      </w:r>
      <w:r w:rsidR="00AB413D">
        <w:t>.</w:t>
      </w:r>
      <w:r>
        <w:t xml:space="preserve"> </w:t>
      </w:r>
      <w:r w:rsidR="00AB413D">
        <w:t>M</w:t>
      </w:r>
      <w:r>
        <w:t>any</w:t>
      </w:r>
      <w:r>
        <w:rPr>
          <w:color w:val="000000" w:themeColor="text1"/>
        </w:rPr>
        <w:t xml:space="preserve"> evaluation reports are peer reviewed, although the approach varies considerably.</w:t>
      </w:r>
      <w:r w:rsidR="00A74814">
        <w:rPr>
          <w:color w:val="000000" w:themeColor="text1"/>
        </w:rPr>
        <w:t xml:space="preserve"> </w:t>
      </w:r>
      <w:r w:rsidR="00F61D94">
        <w:rPr>
          <w:color w:val="000000" w:themeColor="text1"/>
        </w:rPr>
        <w:t>Under a</w:t>
      </w:r>
      <w:r>
        <w:rPr>
          <w:color w:val="000000" w:themeColor="text1"/>
        </w:rPr>
        <w:t xml:space="preserve"> previous centralised independent technical review process for operational evaluations, consultants reviewed more than 70 draft evaluation reports</w:t>
      </w:r>
      <w:r w:rsidR="00AB413D" w:rsidRPr="00AB413D">
        <w:rPr>
          <w:color w:val="000000" w:themeColor="text1"/>
        </w:rPr>
        <w:t xml:space="preserve"> </w:t>
      </w:r>
      <w:r w:rsidR="00AB413D">
        <w:rPr>
          <w:color w:val="000000" w:themeColor="text1"/>
        </w:rPr>
        <w:t>between 2008 and 2010</w:t>
      </w:r>
      <w:r w:rsidRPr="00324AE8">
        <w:rPr>
          <w:color w:val="000000" w:themeColor="text1"/>
        </w:rPr>
        <w:t xml:space="preserve">, </w:t>
      </w:r>
      <w:r w:rsidR="00386EE0">
        <w:rPr>
          <w:color w:val="000000" w:themeColor="text1"/>
        </w:rPr>
        <w:t>however</w:t>
      </w:r>
      <w:r w:rsidR="00F61D94">
        <w:rPr>
          <w:color w:val="000000" w:themeColor="text1"/>
        </w:rPr>
        <w:t xml:space="preserve"> </w:t>
      </w:r>
      <w:r w:rsidR="00AB413D">
        <w:rPr>
          <w:color w:val="000000" w:themeColor="text1"/>
        </w:rPr>
        <w:t>this process</w:t>
      </w:r>
      <w:r w:rsidRPr="00324AE8">
        <w:rPr>
          <w:color w:val="000000" w:themeColor="text1"/>
        </w:rPr>
        <w:t xml:space="preserve"> was discontinued in 2011.</w:t>
      </w:r>
    </w:p>
    <w:p w14:paraId="19952D16" w14:textId="6F1151F2" w:rsidR="00860B13" w:rsidRDefault="00860B13" w:rsidP="00860B13">
      <w:pPr>
        <w:rPr>
          <w:color w:val="000000" w:themeColor="text1"/>
        </w:rPr>
      </w:pPr>
      <w:r>
        <w:rPr>
          <w:color w:val="000000" w:themeColor="text1"/>
        </w:rPr>
        <w:t xml:space="preserve">Program areas have </w:t>
      </w:r>
      <w:r w:rsidR="00386EE0">
        <w:rPr>
          <w:color w:val="000000" w:themeColor="text1"/>
        </w:rPr>
        <w:t xml:space="preserve">designated </w:t>
      </w:r>
      <w:r w:rsidR="00331E72">
        <w:rPr>
          <w:color w:val="000000" w:themeColor="text1"/>
        </w:rPr>
        <w:t>p</w:t>
      </w:r>
      <w:r>
        <w:rPr>
          <w:color w:val="000000" w:themeColor="text1"/>
        </w:rPr>
        <w:t xml:space="preserve">erformance and </w:t>
      </w:r>
      <w:r w:rsidR="00331E72">
        <w:rPr>
          <w:color w:val="000000" w:themeColor="text1"/>
        </w:rPr>
        <w:t>q</w:t>
      </w:r>
      <w:r>
        <w:rPr>
          <w:color w:val="000000" w:themeColor="text1"/>
        </w:rPr>
        <w:t xml:space="preserve">uality staff who coordinate evaluation </w:t>
      </w:r>
      <w:r w:rsidR="00386EE0">
        <w:rPr>
          <w:color w:val="000000" w:themeColor="text1"/>
        </w:rPr>
        <w:t xml:space="preserve">planning </w:t>
      </w:r>
      <w:r>
        <w:rPr>
          <w:color w:val="000000" w:themeColor="text1"/>
        </w:rPr>
        <w:t>and assist initiative managers to commission operational evaluations (as well as undertak</w:t>
      </w:r>
      <w:r w:rsidR="00AB413D">
        <w:rPr>
          <w:color w:val="000000" w:themeColor="text1"/>
        </w:rPr>
        <w:t>ing</w:t>
      </w:r>
      <w:r>
        <w:rPr>
          <w:color w:val="000000" w:themeColor="text1"/>
        </w:rPr>
        <w:t xml:space="preserve"> other quality processes).</w:t>
      </w:r>
      <w:r w:rsidRPr="005A746B" w:rsidDel="00506903">
        <w:rPr>
          <w:color w:val="000000" w:themeColor="text1"/>
        </w:rPr>
        <w:t xml:space="preserve"> </w:t>
      </w:r>
      <w:r w:rsidRPr="00324AE8" w:rsidDel="00506903">
        <w:rPr>
          <w:color w:val="000000" w:themeColor="text1"/>
        </w:rPr>
        <w:t xml:space="preserve">An active </w:t>
      </w:r>
      <w:r w:rsidR="00331E72">
        <w:rPr>
          <w:color w:val="000000" w:themeColor="text1"/>
        </w:rPr>
        <w:t>performance and quality</w:t>
      </w:r>
      <w:r w:rsidRPr="00324AE8" w:rsidDel="00506903">
        <w:rPr>
          <w:color w:val="000000" w:themeColor="text1"/>
        </w:rPr>
        <w:t xml:space="preserve"> network provides regular </w:t>
      </w:r>
      <w:r w:rsidRPr="00C053E5" w:rsidDel="00506903">
        <w:rPr>
          <w:color w:val="000000" w:themeColor="text1"/>
        </w:rPr>
        <w:t>opportunit</w:t>
      </w:r>
      <w:r w:rsidRPr="00C053E5">
        <w:rPr>
          <w:color w:val="000000" w:themeColor="text1"/>
        </w:rPr>
        <w:t>ies</w:t>
      </w:r>
      <w:r w:rsidRPr="00324AE8" w:rsidDel="00506903">
        <w:rPr>
          <w:color w:val="000000" w:themeColor="text1"/>
        </w:rPr>
        <w:t xml:space="preserve"> for these staff to share lessons and develop their knowledge and capacity in practical application of performance assessment and evaluation.</w:t>
      </w:r>
      <w:r w:rsidR="00A74814">
        <w:rPr>
          <w:color w:val="000000" w:themeColor="text1"/>
        </w:rPr>
        <w:t xml:space="preserve"> </w:t>
      </w:r>
    </w:p>
    <w:p w14:paraId="0AEF64D6" w14:textId="088C6FE0" w:rsidR="00860B13" w:rsidRPr="0050184C" w:rsidRDefault="00860B13">
      <w:r w:rsidRPr="0050184C">
        <w:t>Several country programs also fund evaluation capacity building programs for their staff. Different program models have been used</w:t>
      </w:r>
      <w:r w:rsidR="00AB413D">
        <w:t>;</w:t>
      </w:r>
      <w:r w:rsidRPr="0050184C">
        <w:t xml:space="preserve"> however, the core aim of these internal programs is to build the capacity of DFAT staff to commission, assess and use high</w:t>
      </w:r>
      <w:r w:rsidR="00AB413D">
        <w:t>-</w:t>
      </w:r>
      <w:r w:rsidRPr="0050184C">
        <w:t>quality monitoring and evaluation products for their initiatives. Some evaluation capacity</w:t>
      </w:r>
      <w:r w:rsidR="00FE012C">
        <w:t>-</w:t>
      </w:r>
      <w:r w:rsidRPr="0050184C">
        <w:t>building programs also work with external contractors to build their ability to produce the high</w:t>
      </w:r>
      <w:r w:rsidR="00AB413D">
        <w:t>-</w:t>
      </w:r>
      <w:r w:rsidRPr="0050184C">
        <w:t>quality monitoring and evaluation products that DFAT demands. In early 2014</w:t>
      </w:r>
      <w:r w:rsidR="00AB413D">
        <w:t>,</w:t>
      </w:r>
      <w:r w:rsidRPr="0050184C">
        <w:t xml:space="preserve"> eight country or regional programs had, were planning</w:t>
      </w:r>
      <w:r w:rsidR="00F61D94">
        <w:t>,</w:t>
      </w:r>
      <w:r w:rsidRPr="0050184C">
        <w:t xml:space="preserve"> or had completed an evaluation capacity building program</w:t>
      </w:r>
      <w:r w:rsidR="00280308">
        <w:t>.</w:t>
      </w:r>
      <w:r w:rsidRPr="0050184C">
        <w:rPr>
          <w:vertAlign w:val="superscript"/>
        </w:rPr>
        <w:footnoteReference w:id="10"/>
      </w:r>
      <w:r w:rsidR="00A74814">
        <w:t xml:space="preserve"> </w:t>
      </w:r>
    </w:p>
    <w:p w14:paraId="1CFC0FEE" w14:textId="1C2E056C" w:rsidR="00860B13" w:rsidRPr="006A59CF" w:rsidRDefault="00860B13" w:rsidP="00860B13">
      <w:r w:rsidRPr="00FA4180">
        <w:rPr>
          <w:color w:val="000000" w:themeColor="text1"/>
        </w:rPr>
        <w:t xml:space="preserve">The </w:t>
      </w:r>
      <w:r w:rsidR="004F7015">
        <w:rPr>
          <w:color w:val="000000" w:themeColor="text1"/>
        </w:rPr>
        <w:t xml:space="preserve">department </w:t>
      </w:r>
      <w:r>
        <w:rPr>
          <w:color w:val="000000" w:themeColor="text1"/>
        </w:rPr>
        <w:t>also</w:t>
      </w:r>
      <w:r w:rsidRPr="00FA4180">
        <w:rPr>
          <w:color w:val="000000" w:themeColor="text1"/>
        </w:rPr>
        <w:t xml:space="preserve"> provide</w:t>
      </w:r>
      <w:r>
        <w:rPr>
          <w:color w:val="000000" w:themeColor="text1"/>
        </w:rPr>
        <w:t>s</w:t>
      </w:r>
      <w:r w:rsidRPr="00FA4180">
        <w:rPr>
          <w:color w:val="000000" w:themeColor="text1"/>
        </w:rPr>
        <w:t xml:space="preserve"> support to program areas in all asp</w:t>
      </w:r>
      <w:r>
        <w:rPr>
          <w:color w:val="000000" w:themeColor="text1"/>
        </w:rPr>
        <w:t xml:space="preserve">ects of performance management. This includes formal training in monitoring and evaluation. </w:t>
      </w:r>
      <w:r>
        <w:t>T</w:t>
      </w:r>
      <w:r w:rsidRPr="00624056">
        <w:t xml:space="preserve">he function of providing support </w:t>
      </w:r>
      <w:r>
        <w:t xml:space="preserve">and guidance </w:t>
      </w:r>
      <w:r w:rsidRPr="00624056">
        <w:t>to program areas commissioning operational evaluations</w:t>
      </w:r>
      <w:r w:rsidR="00A22743">
        <w:t xml:space="preserve">, as well as </w:t>
      </w:r>
      <w:r w:rsidR="00A22743">
        <w:rPr>
          <w:color w:val="000000" w:themeColor="text1"/>
        </w:rPr>
        <w:t>monitoring and reporting on operational evaluations,</w:t>
      </w:r>
      <w:r w:rsidRPr="00624056">
        <w:t xml:space="preserve"> was transferred from </w:t>
      </w:r>
      <w:r w:rsidR="00FF4F12">
        <w:t>the Program Effectiveness and Performance Division</w:t>
      </w:r>
      <w:r w:rsidR="00FF4F12" w:rsidRPr="00624056">
        <w:t xml:space="preserve"> </w:t>
      </w:r>
      <w:r w:rsidRPr="00624056">
        <w:t>to ODE</w:t>
      </w:r>
      <w:r w:rsidR="00FF4F12" w:rsidRPr="00FF4F12">
        <w:t xml:space="preserve"> </w:t>
      </w:r>
      <w:r w:rsidR="00FF4F12" w:rsidRPr="00624056">
        <w:t>in February 2014</w:t>
      </w:r>
      <w:r>
        <w:t xml:space="preserve"> to optimise coherence and efficiency</w:t>
      </w:r>
      <w:r w:rsidRPr="00624056">
        <w:t>.</w:t>
      </w:r>
      <w:r w:rsidR="00A74814">
        <w:t xml:space="preserve"> </w:t>
      </w:r>
    </w:p>
    <w:p w14:paraId="0CFBDB0E" w14:textId="77777777" w:rsidR="00860B13" w:rsidRDefault="007C639A" w:rsidP="008A5573">
      <w:pPr>
        <w:pStyle w:val="Heading2"/>
        <w:numPr>
          <w:ilvl w:val="0"/>
          <w:numId w:val="49"/>
        </w:numPr>
        <w:ind w:left="357" w:hanging="357"/>
      </w:pPr>
      <w:bookmarkStart w:id="32" w:name="_Toc387675104"/>
      <w:r>
        <w:t>B</w:t>
      </w:r>
      <w:r w:rsidR="00860B13">
        <w:t>ackground</w:t>
      </w:r>
      <w:bookmarkEnd w:id="32"/>
    </w:p>
    <w:p w14:paraId="350F6767" w14:textId="27DDBBA9" w:rsidR="00860B13" w:rsidRPr="00640AA6" w:rsidRDefault="00860B13" w:rsidP="00860B13">
      <w:pPr>
        <w:pStyle w:val="Heading3"/>
        <w:ind w:left="0" w:firstLine="0"/>
        <w:rPr>
          <w:szCs w:val="21"/>
        </w:rPr>
      </w:pPr>
      <w:r w:rsidRPr="00EA6894">
        <w:t xml:space="preserve">Public Governance, Performance, and Accountability Act </w:t>
      </w:r>
    </w:p>
    <w:p w14:paraId="2AFEA08D" w14:textId="374E4518" w:rsidR="00860B13" w:rsidRDefault="00860B13" w:rsidP="00860B13">
      <w:r w:rsidRPr="006E6ED4">
        <w:t xml:space="preserve">Since late 2010, the Australian Government has been reviewing the framework for financial accountability </w:t>
      </w:r>
      <w:r w:rsidRPr="0086430F">
        <w:t xml:space="preserve">across the </w:t>
      </w:r>
      <w:r w:rsidR="00FC58FD">
        <w:t>P</w:t>
      </w:r>
      <w:r w:rsidRPr="006C4F7A">
        <w:t xml:space="preserve">ublic </w:t>
      </w:r>
      <w:r w:rsidR="00FC58FD">
        <w:t>S</w:t>
      </w:r>
      <w:r w:rsidRPr="006C4F7A">
        <w:t>ervice</w:t>
      </w:r>
      <w:r w:rsidRPr="0086430F">
        <w:t xml:space="preserve"> to improve </w:t>
      </w:r>
      <w:r w:rsidRPr="006E6ED4">
        <w:t>performance</w:t>
      </w:r>
      <w:r w:rsidRPr="0086430F">
        <w:t>, accountability and risk</w:t>
      </w:r>
      <w:r w:rsidRPr="006E6ED4">
        <w:t xml:space="preserve"> management</w:t>
      </w:r>
      <w:r w:rsidRPr="0086430F">
        <w:t xml:space="preserve">. </w:t>
      </w:r>
      <w:r>
        <w:t xml:space="preserve">As a result the </w:t>
      </w:r>
      <w:r w:rsidRPr="006B6150">
        <w:t>Public Governance, Performance and Accountability Act was introduced</w:t>
      </w:r>
      <w:r w:rsidR="00FC58FD">
        <w:t xml:space="preserve"> in 2013</w:t>
      </w:r>
      <w:r>
        <w:t xml:space="preserve">, with its key provisions to commence on 1 July 2014. This reform aims to </w:t>
      </w:r>
      <w:r w:rsidRPr="0086430F">
        <w:t xml:space="preserve">transform the way </w:t>
      </w:r>
      <w:r w:rsidRPr="0086430F">
        <w:lastRenderedPageBreak/>
        <w:t>that Australian Government agencies approach financial management, including recognition that</w:t>
      </w:r>
      <w:r w:rsidRPr="006E6ED4">
        <w:t xml:space="preserve"> performance </w:t>
      </w:r>
      <w:r w:rsidRPr="0086430F">
        <w:t xml:space="preserve">of the public sector is more than financial. Requirements for performance </w:t>
      </w:r>
      <w:r w:rsidRPr="006E6ED4">
        <w:t xml:space="preserve">management </w:t>
      </w:r>
      <w:r w:rsidRPr="0086430F">
        <w:t>will be made more consistent across government agencies</w:t>
      </w:r>
      <w:r>
        <w:t xml:space="preserve">, with implications for how evaluation is conducted. </w:t>
      </w:r>
    </w:p>
    <w:p w14:paraId="05621BAA" w14:textId="2C92B4FC" w:rsidR="00860B13" w:rsidRPr="001F41F5" w:rsidRDefault="00860B13" w:rsidP="00860B13">
      <w:pPr>
        <w:rPr>
          <w:color w:val="000000" w:themeColor="text1"/>
        </w:rPr>
      </w:pPr>
      <w:r w:rsidRPr="001F41F5">
        <w:rPr>
          <w:color w:val="000000" w:themeColor="text1"/>
        </w:rPr>
        <w:t>The aid program is ahead of other government programs in this regard given its long history of evaluation and established performance management systems and DFAT will be well positioned to take a lead role in demonstrating high</w:t>
      </w:r>
      <w:r w:rsidR="00FE012C">
        <w:rPr>
          <w:color w:val="000000" w:themeColor="text1"/>
        </w:rPr>
        <w:t>-</w:t>
      </w:r>
      <w:r w:rsidRPr="001F41F5">
        <w:rPr>
          <w:color w:val="000000" w:themeColor="text1"/>
        </w:rPr>
        <w:t xml:space="preserve">quality evaluation practice across the Australian </w:t>
      </w:r>
      <w:r w:rsidR="006F7A76">
        <w:rPr>
          <w:color w:val="000000" w:themeColor="text1"/>
        </w:rPr>
        <w:t>Public Service</w:t>
      </w:r>
      <w:r w:rsidRPr="001F41F5">
        <w:rPr>
          <w:color w:val="000000" w:themeColor="text1"/>
        </w:rPr>
        <w:t>. As the Act provisions come into place, it will be important for DFAT to maintain a high</w:t>
      </w:r>
      <w:r w:rsidR="00FE012C">
        <w:rPr>
          <w:color w:val="000000" w:themeColor="text1"/>
        </w:rPr>
        <w:t>-</w:t>
      </w:r>
      <w:r w:rsidRPr="001F41F5">
        <w:rPr>
          <w:color w:val="000000" w:themeColor="text1"/>
        </w:rPr>
        <w:t>quality and systematic program of evaluations.</w:t>
      </w:r>
      <w:r w:rsidR="00A74814">
        <w:rPr>
          <w:color w:val="000000" w:themeColor="text1"/>
        </w:rPr>
        <w:t xml:space="preserve"> </w:t>
      </w:r>
      <w:r w:rsidRPr="001F41F5">
        <w:rPr>
          <w:color w:val="000000" w:themeColor="text1"/>
        </w:rPr>
        <w:t xml:space="preserve">This </w:t>
      </w:r>
      <w:r w:rsidR="005105DE">
        <w:rPr>
          <w:color w:val="000000" w:themeColor="text1"/>
        </w:rPr>
        <w:t>review</w:t>
      </w:r>
      <w:r w:rsidRPr="001F41F5">
        <w:rPr>
          <w:color w:val="000000" w:themeColor="text1"/>
        </w:rPr>
        <w:t xml:space="preserve"> will provide a baseline for quality of evaluations and highlight </w:t>
      </w:r>
      <w:r>
        <w:rPr>
          <w:color w:val="000000" w:themeColor="text1"/>
        </w:rPr>
        <w:t xml:space="preserve">underlying </w:t>
      </w:r>
      <w:r w:rsidRPr="001F41F5">
        <w:rPr>
          <w:color w:val="000000" w:themeColor="text1"/>
        </w:rPr>
        <w:t>factors contributing to evaluation quality.</w:t>
      </w:r>
      <w:r w:rsidR="00A74814">
        <w:rPr>
          <w:color w:val="000000" w:themeColor="text1"/>
        </w:rPr>
        <w:t xml:space="preserve"> </w:t>
      </w:r>
    </w:p>
    <w:p w14:paraId="1FCC0574" w14:textId="77777777" w:rsidR="00860B13" w:rsidRPr="00EA6894" w:rsidRDefault="00860B13" w:rsidP="00860B13">
      <w:pPr>
        <w:pStyle w:val="Heading3"/>
      </w:pPr>
      <w:r w:rsidRPr="00EA6894">
        <w:t>Independent Review of Aid Effectiveness</w:t>
      </w:r>
    </w:p>
    <w:p w14:paraId="70F9EB8F" w14:textId="07862293" w:rsidR="00860B13" w:rsidRDefault="00860B13" w:rsidP="00860B13">
      <w:pPr>
        <w:rPr>
          <w:color w:val="000000" w:themeColor="text1"/>
        </w:rPr>
      </w:pPr>
      <w:r w:rsidRPr="00324AE8">
        <w:rPr>
          <w:color w:val="000000" w:themeColor="text1"/>
        </w:rPr>
        <w:t xml:space="preserve">The </w:t>
      </w:r>
      <w:r w:rsidRPr="000E5C3B">
        <w:rPr>
          <w:color w:val="000000" w:themeColor="text1"/>
        </w:rPr>
        <w:t xml:space="preserve">2011 </w:t>
      </w:r>
      <w:r w:rsidRPr="00A01760">
        <w:rPr>
          <w:i/>
          <w:color w:val="000000" w:themeColor="text1"/>
        </w:rPr>
        <w:t>Independent Review of Aid Effectiveness</w:t>
      </w:r>
      <w:r>
        <w:rPr>
          <w:i/>
          <w:color w:val="000000" w:themeColor="text1"/>
        </w:rPr>
        <w:t xml:space="preserve"> </w:t>
      </w:r>
      <w:r w:rsidRPr="003D5537">
        <w:rPr>
          <w:color w:val="000000" w:themeColor="text1"/>
        </w:rPr>
        <w:t>was a comprehensive</w:t>
      </w:r>
      <w:r w:rsidRPr="00324AE8">
        <w:rPr>
          <w:color w:val="000000" w:themeColor="text1"/>
        </w:rPr>
        <w:t xml:space="preserve"> </w:t>
      </w:r>
      <w:r>
        <w:t>review of Australia</w:t>
      </w:r>
      <w:r w:rsidR="00744801">
        <w:t>’</w:t>
      </w:r>
      <w:r>
        <w:t xml:space="preserve">s aid program. To support </w:t>
      </w:r>
      <w:r w:rsidR="00555EAE">
        <w:t>that</w:t>
      </w:r>
      <w:r>
        <w:t xml:space="preserve"> </w:t>
      </w:r>
      <w:r w:rsidR="00555EAE">
        <w:t>r</w:t>
      </w:r>
      <w:r>
        <w:t>eview, a study of independent evaluations of the aid program was commissioned</w:t>
      </w:r>
      <w:r w:rsidR="00555EAE">
        <w:t>,</w:t>
      </w:r>
      <w:r>
        <w:t xml:space="preserve"> which found issues with evaluation quality and compliance (</w:t>
      </w:r>
      <w:r w:rsidRPr="005215B7">
        <w:t>see</w:t>
      </w:r>
      <w:r w:rsidR="00860ED5" w:rsidRPr="006C4F7A">
        <w:t xml:space="preserve"> </w:t>
      </w:r>
      <w:r w:rsidR="00860ED5" w:rsidRPr="006F7A76">
        <w:rPr>
          <w:highlight w:val="yellow"/>
        </w:rPr>
        <w:fldChar w:fldCharType="begin"/>
      </w:r>
      <w:r w:rsidR="00860ED5" w:rsidRPr="006F7A76">
        <w:rPr>
          <w:highlight w:val="yellow"/>
        </w:rPr>
        <w:instrText xml:space="preserve"> REF _Ref381857414 \h </w:instrText>
      </w:r>
      <w:r w:rsidR="00860ED5" w:rsidRPr="006F7A76">
        <w:rPr>
          <w:highlight w:val="yellow"/>
        </w:rPr>
      </w:r>
      <w:r w:rsidR="00860ED5" w:rsidRPr="006F7A76">
        <w:rPr>
          <w:highlight w:val="yellow"/>
        </w:rPr>
        <w:fldChar w:fldCharType="separate"/>
      </w:r>
      <w:r w:rsidR="00147362">
        <w:t xml:space="preserve">Box </w:t>
      </w:r>
      <w:r w:rsidR="00147362">
        <w:rPr>
          <w:noProof/>
        </w:rPr>
        <w:t>1</w:t>
      </w:r>
      <w:r w:rsidR="00860ED5" w:rsidRPr="006F7A76">
        <w:rPr>
          <w:highlight w:val="yellow"/>
        </w:rPr>
        <w:fldChar w:fldCharType="end"/>
      </w:r>
      <w:r>
        <w:t>)</w:t>
      </w:r>
      <w:r w:rsidRPr="00324AE8">
        <w:rPr>
          <w:color w:val="000000" w:themeColor="text1"/>
        </w:rPr>
        <w:t>.</w:t>
      </w:r>
      <w:r w:rsidR="00A74814">
        <w:rPr>
          <w:color w:val="000000" w:themeColor="text1"/>
        </w:rPr>
        <w:t xml:space="preserve"> </w:t>
      </w:r>
    </w:p>
    <w:p w14:paraId="717C66B6" w14:textId="77777777" w:rsidR="00B6199A" w:rsidRDefault="00B6199A" w:rsidP="00B6199A">
      <w:pPr>
        <w:pStyle w:val="Boxheading0"/>
      </w:pPr>
      <w:bookmarkStart w:id="33" w:name="_Ref381857414"/>
      <w:r>
        <w:t xml:space="preserve">Box </w:t>
      </w:r>
      <w:r w:rsidR="007C3830">
        <w:fldChar w:fldCharType="begin"/>
      </w:r>
      <w:r w:rsidR="007C3830">
        <w:instrText xml:space="preserve"> SEQ Box \* ARABIC </w:instrText>
      </w:r>
      <w:r w:rsidR="007C3830">
        <w:fldChar w:fldCharType="separate"/>
      </w:r>
      <w:r w:rsidR="00147362">
        <w:rPr>
          <w:noProof/>
        </w:rPr>
        <w:t>1</w:t>
      </w:r>
      <w:r w:rsidR="007C3830">
        <w:rPr>
          <w:noProof/>
        </w:rPr>
        <w:fldChar w:fldCharType="end"/>
      </w:r>
      <w:bookmarkEnd w:id="33"/>
      <w:r>
        <w:tab/>
        <w:t xml:space="preserve">2011 Study of independent completion reports </w:t>
      </w:r>
    </w:p>
    <w:p w14:paraId="4C7D35E6" w14:textId="77777777" w:rsidR="00B6199A" w:rsidRPr="00A01760" w:rsidRDefault="00B6199A" w:rsidP="00B6199A">
      <w:pPr>
        <w:pStyle w:val="BoxText"/>
        <w:rPr>
          <w:sz w:val="2"/>
          <w:szCs w:val="2"/>
        </w:rPr>
      </w:pPr>
    </w:p>
    <w:p w14:paraId="7A89940A" w14:textId="77777777" w:rsidR="00B6199A" w:rsidRPr="00912ED2" w:rsidRDefault="00B6199A" w:rsidP="00B6199A">
      <w:pPr>
        <w:pStyle w:val="BoxText"/>
      </w:pPr>
      <w:r>
        <w:t xml:space="preserve">Peter Bazeley’s </w:t>
      </w:r>
      <w:r w:rsidRPr="00912ED2">
        <w:rPr>
          <w:i/>
        </w:rPr>
        <w:t xml:space="preserve">Study of </w:t>
      </w:r>
      <w:r>
        <w:rPr>
          <w:i/>
        </w:rPr>
        <w:t>i</w:t>
      </w:r>
      <w:r w:rsidRPr="00912ED2">
        <w:rPr>
          <w:i/>
        </w:rPr>
        <w:t xml:space="preserve">ndependent </w:t>
      </w:r>
      <w:r>
        <w:rPr>
          <w:i/>
        </w:rPr>
        <w:t>c</w:t>
      </w:r>
      <w:r w:rsidRPr="00912ED2">
        <w:rPr>
          <w:i/>
        </w:rPr>
        <w:t xml:space="preserve">ompletion </w:t>
      </w:r>
      <w:r>
        <w:rPr>
          <w:i/>
        </w:rPr>
        <w:t>r</w:t>
      </w:r>
      <w:r w:rsidRPr="00912ED2">
        <w:rPr>
          <w:i/>
        </w:rPr>
        <w:t xml:space="preserve">eports and other evaluation documents </w:t>
      </w:r>
      <w:r w:rsidRPr="00912ED2">
        <w:t xml:space="preserve">rapidly reviewed evaluations from a </w:t>
      </w:r>
      <w:r>
        <w:t>four-</w:t>
      </w:r>
      <w:r w:rsidRPr="00912ED2">
        <w:t>year period from July 2006 to June 2010</w:t>
      </w:r>
      <w:r>
        <w:t>. It</w:t>
      </w:r>
      <w:r w:rsidRPr="00912ED2">
        <w:t xml:space="preserve"> f</w:t>
      </w:r>
      <w:r>
        <w:t>ound</w:t>
      </w:r>
      <w:r w:rsidRPr="00912ED2">
        <w:t xml:space="preserve"> that there was low compliance with agency evaluation requirements</w:t>
      </w:r>
      <w:r>
        <w:t xml:space="preserve">: </w:t>
      </w:r>
      <w:r w:rsidRPr="00912ED2">
        <w:t xml:space="preserve">236 evaluations </w:t>
      </w:r>
      <w:r>
        <w:t xml:space="preserve">were </w:t>
      </w:r>
      <w:r w:rsidRPr="00912ED2">
        <w:t xml:space="preserve">identified by AusAID as having been </w:t>
      </w:r>
      <w:r>
        <w:t>completed</w:t>
      </w:r>
      <w:r w:rsidRPr="00912ED2">
        <w:t xml:space="preserve"> in that period. </w:t>
      </w:r>
    </w:p>
    <w:p w14:paraId="0B013B86" w14:textId="77777777" w:rsidR="00B6199A" w:rsidRPr="00912ED2" w:rsidRDefault="00B6199A" w:rsidP="00B6199A">
      <w:pPr>
        <w:pStyle w:val="BoxText"/>
      </w:pPr>
      <w:r w:rsidRPr="00912ED2">
        <w:t>The study also found</w:t>
      </w:r>
      <w:r>
        <w:t xml:space="preserve"> the following</w:t>
      </w:r>
      <w:r w:rsidRPr="00912ED2">
        <w:t xml:space="preserve"> issues with the quality of evaluations</w:t>
      </w:r>
      <w:r>
        <w:t>:</w:t>
      </w:r>
      <w:r w:rsidRPr="00912ED2">
        <w:t xml:space="preserve"> </w:t>
      </w:r>
    </w:p>
    <w:p w14:paraId="495528C5" w14:textId="77777777" w:rsidR="00B6199A" w:rsidRPr="00DC669C" w:rsidRDefault="00B6199A" w:rsidP="00B6199A">
      <w:pPr>
        <w:pStyle w:val="Boxbullet"/>
      </w:pPr>
      <w:r w:rsidRPr="00DC669C">
        <w:t>Independent completion reports were undertaken primarily for accountability purposes and not for learning or management</w:t>
      </w:r>
      <w:r>
        <w:t>.</w:t>
      </w:r>
    </w:p>
    <w:p w14:paraId="6309E408" w14:textId="77777777" w:rsidR="00B6199A" w:rsidRPr="00DC669C" w:rsidRDefault="00B6199A" w:rsidP="00B6199A">
      <w:pPr>
        <w:pStyle w:val="Boxbullet"/>
      </w:pPr>
      <w:r w:rsidRPr="00126E56">
        <w:t xml:space="preserve">Approximately </w:t>
      </w:r>
      <w:r>
        <w:t>one-</w:t>
      </w:r>
      <w:r w:rsidRPr="00126E56">
        <w:t>quarter of evaluation reports were po</w:t>
      </w:r>
      <w:r w:rsidRPr="005728EA">
        <w:t>or quality and not publishable</w:t>
      </w:r>
      <w:r>
        <w:t>.</w:t>
      </w:r>
    </w:p>
    <w:p w14:paraId="0D7DF847" w14:textId="77777777" w:rsidR="00B6199A" w:rsidRPr="00DC669C" w:rsidRDefault="00B6199A" w:rsidP="00B6199A">
      <w:pPr>
        <w:pStyle w:val="Boxbullet"/>
      </w:pPr>
      <w:r>
        <w:t xml:space="preserve">More than 60 per cent of initiative </w:t>
      </w:r>
      <w:r w:rsidRPr="00DC669C">
        <w:t>monitoring and evaluation (M&amp;E) systems were deemed ‘less than satisfactory’</w:t>
      </w:r>
      <w:r>
        <w:t>: they</w:t>
      </w:r>
      <w:r w:rsidRPr="00DC669C">
        <w:t xml:space="preserve"> had inadequate or non</w:t>
      </w:r>
      <w:r>
        <w:t>-</w:t>
      </w:r>
      <w:r w:rsidRPr="00DC669C">
        <w:t>existent baselines</w:t>
      </w:r>
      <w:r>
        <w:t>,</w:t>
      </w:r>
      <w:r w:rsidRPr="00DC669C">
        <w:t xml:space="preserve"> and </w:t>
      </w:r>
      <w:r>
        <w:t>provided insufficient or poor quality</w:t>
      </w:r>
      <w:r w:rsidRPr="00DC669C">
        <w:t xml:space="preserve"> quantitative data on costs, intermediate impacts and outcomes</w:t>
      </w:r>
      <w:r>
        <w:t>.</w:t>
      </w:r>
      <w:r w:rsidRPr="00DC669C">
        <w:t xml:space="preserve"> </w:t>
      </w:r>
    </w:p>
    <w:p w14:paraId="34AA6874" w14:textId="77777777" w:rsidR="00B6199A" w:rsidRPr="00DC669C" w:rsidRDefault="00B6199A" w:rsidP="00B6199A">
      <w:pPr>
        <w:pStyle w:val="Boxbullet"/>
      </w:pPr>
      <w:r w:rsidRPr="00DC669C">
        <w:t>The average time allowed (23 days) was minimal given the evaluation expectations</w:t>
      </w:r>
      <w:r>
        <w:t>.</w:t>
      </w:r>
    </w:p>
    <w:p w14:paraId="0875E783" w14:textId="77777777" w:rsidR="00B6199A" w:rsidRPr="00DC669C" w:rsidRDefault="00B6199A" w:rsidP="00B6199A">
      <w:pPr>
        <w:pStyle w:val="Boxbullet"/>
      </w:pPr>
      <w:r w:rsidRPr="00126E56">
        <w:t>Evaluations focu</w:t>
      </w:r>
      <w:r w:rsidRPr="0097725B">
        <w:t>sed on low</w:t>
      </w:r>
      <w:r w:rsidRPr="00773273">
        <w:t>-level activity and process over strategic or higher</w:t>
      </w:r>
      <w:r>
        <w:t>-</w:t>
      </w:r>
      <w:r w:rsidRPr="00773273">
        <w:t>level outcomes/impact</w:t>
      </w:r>
      <w:r>
        <w:t>.</w:t>
      </w:r>
    </w:p>
    <w:p w14:paraId="2E3F3700" w14:textId="77777777" w:rsidR="00B6199A" w:rsidRPr="00DC669C" w:rsidRDefault="00B6199A" w:rsidP="00B6199A">
      <w:pPr>
        <w:pStyle w:val="Boxbullet"/>
      </w:pPr>
      <w:r w:rsidRPr="00126E56">
        <w:t>There was poor discussion of efficiency</w:t>
      </w:r>
      <w:r w:rsidRPr="005728EA">
        <w:t>,</w:t>
      </w:r>
      <w:r w:rsidRPr="00DC669C">
        <w:t xml:space="preserve"> with a major focus on ‘low-level activity management processes’ rather than value for money</w:t>
      </w:r>
      <w:r>
        <w:t>.</w:t>
      </w:r>
    </w:p>
    <w:p w14:paraId="4A2DCD7F" w14:textId="77777777" w:rsidR="00B6199A" w:rsidRPr="00DC669C" w:rsidRDefault="00B6199A" w:rsidP="00B6199A">
      <w:pPr>
        <w:pStyle w:val="Boxbullet"/>
      </w:pPr>
      <w:r w:rsidRPr="00126E56">
        <w:t>There was a narrow, variable interpretation of evaluation criteria</w:t>
      </w:r>
      <w:r w:rsidRPr="005728EA">
        <w:t>.</w:t>
      </w:r>
      <w:r w:rsidRPr="00DC669C">
        <w:t xml:space="preserve"> </w:t>
      </w:r>
    </w:p>
    <w:p w14:paraId="5A315A73" w14:textId="77777777" w:rsidR="00B6199A" w:rsidRPr="000A0EF1" w:rsidRDefault="00B6199A" w:rsidP="00B6199A">
      <w:pPr>
        <w:pStyle w:val="BoxNotes"/>
        <w:jc w:val="right"/>
      </w:pPr>
      <w:r w:rsidRPr="000A0EF1">
        <w:t>Source: Peter Bazeley, Study of independent completion reports and other evaluation documents, 2011.</w:t>
      </w:r>
    </w:p>
    <w:p w14:paraId="74A20F73" w14:textId="77777777" w:rsidR="00B6199A" w:rsidRPr="00B6199A" w:rsidRDefault="00B6199A" w:rsidP="00B6199A">
      <w:pPr>
        <w:spacing w:before="120"/>
        <w:rPr>
          <w:sz w:val="2"/>
          <w:szCs w:val="2"/>
        </w:rPr>
      </w:pPr>
    </w:p>
    <w:p w14:paraId="2067C06D" w14:textId="77777777" w:rsidR="0066769E" w:rsidRPr="00FC58FD" w:rsidRDefault="0066769E" w:rsidP="00B6199A">
      <w:pPr>
        <w:spacing w:before="120"/>
      </w:pPr>
      <w:r>
        <w:t xml:space="preserve">The </w:t>
      </w:r>
      <w:r w:rsidRPr="000A0EF1">
        <w:rPr>
          <w:i/>
          <w:color w:val="000000" w:themeColor="text1"/>
        </w:rPr>
        <w:t>Independent Review of Aid Effectiveness</w:t>
      </w:r>
      <w:r w:rsidRPr="00324AE8">
        <w:rPr>
          <w:color w:val="000000" w:themeColor="text1"/>
        </w:rPr>
        <w:t xml:space="preserve"> </w:t>
      </w:r>
      <w:r>
        <w:t xml:space="preserve">subsequently made a number of recommendations in relation to independent evaluation of Australian aid. It called for the establishment of the Independent </w:t>
      </w:r>
      <w:r w:rsidRPr="005215B7">
        <w:t xml:space="preserve">Evaluation Committee (IEC) to oversee the work of </w:t>
      </w:r>
      <w:r w:rsidRPr="00EF7AFB">
        <w:t>ODE</w:t>
      </w:r>
      <w:r w:rsidRPr="00FC58FD">
        <w:t xml:space="preserve"> and allow for greater independence in evaluations. In 2012 the IEC was established. In its first year of operations it focused on the rolling program of evaluations conducted by ODE, quality assurance reports produced by ODE and ODE’s first </w:t>
      </w:r>
      <w:r w:rsidRPr="00FC58FD">
        <w:rPr>
          <w:i/>
        </w:rPr>
        <w:t>Lessons from Australian aid</w:t>
      </w:r>
      <w:r w:rsidRPr="00FC58FD">
        <w:t xml:space="preserve"> report (a synthesis of independent evaluations and quality assurance reports</w:t>
      </w:r>
      <w:r>
        <w:rPr>
          <w:rFonts w:ascii="Arial" w:hAnsi="Arial"/>
        </w:rPr>
        <w:t>—</w:t>
      </w:r>
      <w:r w:rsidRPr="00FC58FD">
        <w:t xml:space="preserve">also a recommendation of the </w:t>
      </w:r>
      <w:r w:rsidRPr="00A01760">
        <w:rPr>
          <w:i/>
        </w:rPr>
        <w:t>Independent Review of Aid Effectiveness</w:t>
      </w:r>
      <w:r w:rsidRPr="005215B7">
        <w:t>). The IEC requested this</w:t>
      </w:r>
      <w:r>
        <w:t xml:space="preserve"> </w:t>
      </w:r>
      <w:r w:rsidRPr="00A01760">
        <w:rPr>
          <w:i/>
        </w:rPr>
        <w:t>Quality of Australian aid operational evaluations</w:t>
      </w:r>
      <w:r w:rsidRPr="005215B7">
        <w:t xml:space="preserve"> </w:t>
      </w:r>
      <w:r w:rsidRPr="006C4F7A">
        <w:t>review</w:t>
      </w:r>
      <w:r w:rsidRPr="00EF7AFB">
        <w:t xml:space="preserve"> as its </w:t>
      </w:r>
      <w:r w:rsidRPr="00EF7AFB">
        <w:lastRenderedPageBreak/>
        <w:t xml:space="preserve">first look at evaluations of the aid program beyond those of ODE. This </w:t>
      </w:r>
      <w:r w:rsidRPr="00FC58FD">
        <w:t>review has been prepared under the oversight of the IEC.</w:t>
      </w:r>
    </w:p>
    <w:p w14:paraId="68244EF4" w14:textId="04FC3295" w:rsidR="0066769E" w:rsidRDefault="00860B13" w:rsidP="00860B13">
      <w:pPr>
        <w:rPr>
          <w:color w:val="000000" w:themeColor="text1"/>
        </w:rPr>
      </w:pPr>
      <w:r w:rsidRPr="00FC58FD">
        <w:rPr>
          <w:color w:val="000000" w:themeColor="text1"/>
        </w:rPr>
        <w:t xml:space="preserve">The </w:t>
      </w:r>
      <w:r w:rsidRPr="00A01760">
        <w:rPr>
          <w:i/>
          <w:color w:val="000000" w:themeColor="text1"/>
        </w:rPr>
        <w:t>Independent Review of Aid Effectiveness</w:t>
      </w:r>
      <w:r w:rsidRPr="005215B7">
        <w:rPr>
          <w:color w:val="000000" w:themeColor="text1"/>
        </w:rPr>
        <w:t xml:space="preserve"> also recommended an overhaul of the aid program</w:t>
      </w:r>
      <w:r w:rsidR="00744801" w:rsidRPr="006C4F7A">
        <w:rPr>
          <w:color w:val="000000" w:themeColor="text1"/>
        </w:rPr>
        <w:t>’</w:t>
      </w:r>
      <w:r w:rsidRPr="00EF7AFB">
        <w:rPr>
          <w:color w:val="000000" w:themeColor="text1"/>
        </w:rPr>
        <w:t>s independent evaluation system (see</w:t>
      </w:r>
      <w:r w:rsidR="00860ED5" w:rsidRPr="00FC58FD">
        <w:rPr>
          <w:color w:val="000000" w:themeColor="text1"/>
        </w:rPr>
        <w:t xml:space="preserve"> </w:t>
      </w:r>
      <w:r w:rsidR="00860ED5" w:rsidRPr="005728EA">
        <w:rPr>
          <w:color w:val="000000" w:themeColor="text1"/>
        </w:rPr>
        <w:fldChar w:fldCharType="begin"/>
      </w:r>
      <w:r w:rsidR="00860ED5" w:rsidRPr="00FC58FD">
        <w:rPr>
          <w:color w:val="000000" w:themeColor="text1"/>
        </w:rPr>
        <w:instrText xml:space="preserve"> REF _Ref381857436 \h </w:instrText>
      </w:r>
      <w:r w:rsidR="00860ED5" w:rsidRPr="005728EA">
        <w:rPr>
          <w:color w:val="000000" w:themeColor="text1"/>
        </w:rPr>
      </w:r>
      <w:r w:rsidR="00860ED5" w:rsidRPr="005728EA">
        <w:rPr>
          <w:color w:val="000000" w:themeColor="text1"/>
        </w:rPr>
        <w:fldChar w:fldCharType="separate"/>
      </w:r>
      <w:r w:rsidR="00147362">
        <w:t xml:space="preserve">Box </w:t>
      </w:r>
      <w:r w:rsidR="00147362">
        <w:rPr>
          <w:noProof/>
        </w:rPr>
        <w:t>2</w:t>
      </w:r>
      <w:r w:rsidR="00860ED5" w:rsidRPr="005728EA">
        <w:rPr>
          <w:color w:val="000000" w:themeColor="text1"/>
        </w:rPr>
        <w:fldChar w:fldCharType="end"/>
      </w:r>
      <w:r w:rsidRPr="00FC58FD">
        <w:rPr>
          <w:color w:val="000000" w:themeColor="text1"/>
        </w:rPr>
        <w:t xml:space="preserve">). It called for an overhaul of the evaluation system with a view to </w:t>
      </w:r>
      <w:r w:rsidR="00744801" w:rsidRPr="00FC58FD">
        <w:rPr>
          <w:color w:val="000000" w:themeColor="text1"/>
        </w:rPr>
        <w:t>‘</w:t>
      </w:r>
      <w:r w:rsidRPr="00FC58FD">
        <w:rPr>
          <w:color w:val="000000" w:themeColor="text1"/>
        </w:rPr>
        <w:t>undertake fewer, but higher quality independent evaluations and publish them all</w:t>
      </w:r>
      <w:r w:rsidR="00744801" w:rsidRPr="00FC58FD">
        <w:rPr>
          <w:color w:val="000000" w:themeColor="text1"/>
        </w:rPr>
        <w:t>’</w:t>
      </w:r>
      <w:r w:rsidRPr="00FC58FD">
        <w:rPr>
          <w:color w:val="000000" w:themeColor="text1"/>
        </w:rPr>
        <w:t>. This has been progressed through</w:t>
      </w:r>
      <w:r w:rsidR="00A74814" w:rsidRPr="00FC58FD">
        <w:rPr>
          <w:color w:val="000000" w:themeColor="text1"/>
        </w:rPr>
        <w:t xml:space="preserve"> </w:t>
      </w:r>
      <w:r w:rsidR="003055BD" w:rsidRPr="00FC58FD">
        <w:rPr>
          <w:color w:val="000000" w:themeColor="text1"/>
        </w:rPr>
        <w:t>revisions to the</w:t>
      </w:r>
      <w:r w:rsidRPr="00FC58FD">
        <w:rPr>
          <w:color w:val="000000" w:themeColor="text1"/>
        </w:rPr>
        <w:t xml:space="preserve"> evaluation policy</w:t>
      </w:r>
      <w:r w:rsidR="003055BD" w:rsidRPr="00FC58FD">
        <w:rPr>
          <w:color w:val="000000" w:themeColor="text1"/>
        </w:rPr>
        <w:t xml:space="preserve"> since 2012</w:t>
      </w:r>
      <w:r w:rsidRPr="00FC58FD">
        <w:rPr>
          <w:color w:val="000000" w:themeColor="text1"/>
        </w:rPr>
        <w:t xml:space="preserve"> (see</w:t>
      </w:r>
      <w:r w:rsidR="003055BD" w:rsidRPr="00FC58FD">
        <w:rPr>
          <w:color w:val="000000" w:themeColor="text1"/>
        </w:rPr>
        <w:t xml:space="preserve"> section</w:t>
      </w:r>
      <w:r w:rsidRPr="00FC58FD">
        <w:rPr>
          <w:color w:val="000000" w:themeColor="text1"/>
        </w:rPr>
        <w:t xml:space="preserve"> </w:t>
      </w:r>
      <w:r w:rsidR="003055BD" w:rsidRPr="005728EA">
        <w:rPr>
          <w:color w:val="000000" w:themeColor="text1"/>
        </w:rPr>
        <w:fldChar w:fldCharType="begin"/>
      </w:r>
      <w:r w:rsidR="003055BD" w:rsidRPr="00FC58FD">
        <w:rPr>
          <w:color w:val="000000" w:themeColor="text1"/>
        </w:rPr>
        <w:instrText xml:space="preserve"> REF _Ref381702971 \r \h </w:instrText>
      </w:r>
      <w:r w:rsidR="003055BD" w:rsidRPr="005728EA">
        <w:rPr>
          <w:color w:val="000000" w:themeColor="text1"/>
        </w:rPr>
      </w:r>
      <w:r w:rsidR="003055BD" w:rsidRPr="005728EA">
        <w:rPr>
          <w:color w:val="000000" w:themeColor="text1"/>
        </w:rPr>
        <w:fldChar w:fldCharType="separate"/>
      </w:r>
      <w:r w:rsidR="00147362">
        <w:rPr>
          <w:color w:val="000000" w:themeColor="text1"/>
        </w:rPr>
        <w:t>2.1</w:t>
      </w:r>
      <w:r w:rsidR="003055BD" w:rsidRPr="005728EA">
        <w:rPr>
          <w:color w:val="000000" w:themeColor="text1"/>
        </w:rPr>
        <w:fldChar w:fldCharType="end"/>
      </w:r>
      <w:r w:rsidRPr="00FC58FD">
        <w:rPr>
          <w:color w:val="000000" w:themeColor="text1"/>
        </w:rPr>
        <w:t>)</w:t>
      </w:r>
      <w:r w:rsidR="003055BD" w:rsidRPr="00FC58FD">
        <w:rPr>
          <w:color w:val="000000" w:themeColor="text1"/>
        </w:rPr>
        <w:t xml:space="preserve"> and</w:t>
      </w:r>
      <w:r w:rsidR="003055BD">
        <w:rPr>
          <w:color w:val="000000" w:themeColor="text1"/>
        </w:rPr>
        <w:t xml:space="preserve"> efforts to improve the publication rate</w:t>
      </w:r>
      <w:r>
        <w:rPr>
          <w:color w:val="000000" w:themeColor="text1"/>
        </w:rPr>
        <w:t>.</w:t>
      </w:r>
      <w:r w:rsidR="00A74814">
        <w:rPr>
          <w:color w:val="000000" w:themeColor="text1"/>
        </w:rPr>
        <w:t xml:space="preserve"> </w:t>
      </w:r>
    </w:p>
    <w:p w14:paraId="53F5CEF1" w14:textId="718A45B7" w:rsidR="00860B13" w:rsidRDefault="00860B13" w:rsidP="005D5682">
      <w:pPr>
        <w:pStyle w:val="Boxheading0"/>
      </w:pPr>
      <w:bookmarkStart w:id="34" w:name="_Ref381857436"/>
      <w:r>
        <w:t xml:space="preserve">Box </w:t>
      </w:r>
      <w:r w:rsidR="007C3830">
        <w:fldChar w:fldCharType="begin"/>
      </w:r>
      <w:r w:rsidR="007C3830">
        <w:instrText xml:space="preserve"> SEQ Box \* ARABIC </w:instrText>
      </w:r>
      <w:r w:rsidR="007C3830">
        <w:fldChar w:fldCharType="separate"/>
      </w:r>
      <w:r w:rsidR="00147362">
        <w:rPr>
          <w:noProof/>
        </w:rPr>
        <w:t>2</w:t>
      </w:r>
      <w:r w:rsidR="007C3830">
        <w:rPr>
          <w:noProof/>
        </w:rPr>
        <w:fldChar w:fldCharType="end"/>
      </w:r>
      <w:bookmarkEnd w:id="34"/>
      <w:r w:rsidRPr="00973470">
        <w:t xml:space="preserve"> </w:t>
      </w:r>
      <w:r w:rsidR="00FC58FD">
        <w:tab/>
      </w:r>
      <w:r w:rsidRPr="00973470">
        <w:t>Evaluation conclusions of the 2011 Independent Review of Aid Effectiveness</w:t>
      </w:r>
    </w:p>
    <w:p w14:paraId="62989D8B" w14:textId="77777777" w:rsidR="000E5C3B" w:rsidRPr="0021284E" w:rsidRDefault="000E5C3B" w:rsidP="000E5C3B">
      <w:pPr>
        <w:pStyle w:val="BoxText"/>
        <w:rPr>
          <w:sz w:val="2"/>
          <w:szCs w:val="2"/>
        </w:rPr>
      </w:pPr>
    </w:p>
    <w:p w14:paraId="66617692" w14:textId="77777777" w:rsidR="005D5682" w:rsidRDefault="003A433D" w:rsidP="005D5682">
      <w:pPr>
        <w:pStyle w:val="BoxText"/>
      </w:pPr>
      <w:r>
        <w:t xml:space="preserve">The </w:t>
      </w:r>
      <w:r w:rsidRPr="000E5C3B">
        <w:t xml:space="preserve">2011 </w:t>
      </w:r>
      <w:r w:rsidRPr="000E5C3B">
        <w:rPr>
          <w:i/>
        </w:rPr>
        <w:t>Independent Review of Aid Effectiveness</w:t>
      </w:r>
      <w:r>
        <w:t xml:space="preserve"> found that</w:t>
      </w:r>
      <w:r w:rsidR="005D5682">
        <w:t>:</w:t>
      </w:r>
    </w:p>
    <w:p w14:paraId="1810C766" w14:textId="73E94DE4" w:rsidR="00860B13" w:rsidRPr="005D5682" w:rsidRDefault="005D5682" w:rsidP="000E5C3B">
      <w:pPr>
        <w:pStyle w:val="BoxQuote"/>
      </w:pPr>
      <w:r>
        <w:rPr>
          <w:sz w:val="20"/>
        </w:rPr>
        <w:t xml:space="preserve">       </w:t>
      </w:r>
      <w:r w:rsidR="00860B13" w:rsidRPr="005D5682">
        <w:t>While AusAID</w:t>
      </w:r>
      <w:r w:rsidR="00744801" w:rsidRPr="005D5682">
        <w:t>’</w:t>
      </w:r>
      <w:r w:rsidR="00860B13" w:rsidRPr="005D5682">
        <w:t xml:space="preserve">s self–rating system has taken great strides in recent years, the evaluation system, though equally important, is not working well, and requires an overhaul. </w:t>
      </w:r>
    </w:p>
    <w:p w14:paraId="56BE5158" w14:textId="2854C75E" w:rsidR="00860B13" w:rsidRPr="005D5682" w:rsidRDefault="005D5682" w:rsidP="000E5C3B">
      <w:pPr>
        <w:pStyle w:val="BoxHeading21"/>
      </w:pPr>
      <w:r>
        <w:t xml:space="preserve">       </w:t>
      </w:r>
      <w:r w:rsidR="00860B13" w:rsidRPr="005D5682">
        <w:t xml:space="preserve">Undertake Fewer, but Higher Quality Independent Evaluations and Publish them all </w:t>
      </w:r>
    </w:p>
    <w:p w14:paraId="608A4E55" w14:textId="2AEF935A" w:rsidR="00860B13" w:rsidRPr="005D5682" w:rsidRDefault="005D5682" w:rsidP="000E5C3B">
      <w:pPr>
        <w:pStyle w:val="BoxQuote"/>
        <w:spacing w:after="120"/>
      </w:pPr>
      <w:r>
        <w:rPr>
          <w:sz w:val="20"/>
        </w:rPr>
        <w:t xml:space="preserve">       </w:t>
      </w:r>
      <w:r w:rsidR="00860B13" w:rsidRPr="005D5682">
        <w:t xml:space="preserve">The compliance burden of the current system is too high. The number of projects that require an independent evaluation should be reduced. </w:t>
      </w:r>
    </w:p>
    <w:p w14:paraId="34EBEBD2" w14:textId="76FD4BB1" w:rsidR="00860B13" w:rsidRPr="005D5682" w:rsidRDefault="005D5682" w:rsidP="000E5C3B">
      <w:pPr>
        <w:pStyle w:val="BoxQuote"/>
        <w:spacing w:after="120"/>
      </w:pPr>
      <w:r w:rsidRPr="000E5C3B">
        <w:t xml:space="preserve">       </w:t>
      </w:r>
      <w:r w:rsidR="00860B13" w:rsidRPr="005D5682">
        <w:t xml:space="preserve">Every substantial project should have a completion report of some form or another. This should be a management responsibility, and it would be a management decision as to whether these reports were done independently or not. </w:t>
      </w:r>
    </w:p>
    <w:p w14:paraId="59C2A211" w14:textId="595C0352" w:rsidR="00860B13" w:rsidRPr="005D5682" w:rsidRDefault="005D5682" w:rsidP="000E5C3B">
      <w:pPr>
        <w:pStyle w:val="BoxQuote"/>
        <w:spacing w:after="120"/>
      </w:pPr>
      <w:r w:rsidRPr="000E5C3B">
        <w:t xml:space="preserve">       </w:t>
      </w:r>
      <w:r w:rsidR="00860B13" w:rsidRPr="005D5682">
        <w:t xml:space="preserve">A smaller number of projects, themes and country programs should be chosen for mandatory independent evaluation. </w:t>
      </w:r>
    </w:p>
    <w:p w14:paraId="1AD04AA8" w14:textId="3B2E7EC4" w:rsidR="00860B13" w:rsidRPr="005D5682" w:rsidRDefault="005D5682" w:rsidP="000E5C3B">
      <w:pPr>
        <w:pStyle w:val="BoxQuote"/>
        <w:spacing w:after="120"/>
      </w:pPr>
      <w:r w:rsidRPr="000E5C3B">
        <w:t xml:space="preserve">       </w:t>
      </w:r>
      <w:r w:rsidR="00860B13" w:rsidRPr="005D5682">
        <w:t xml:space="preserve">The aim should be to do about 10–20 of these independent evaluations every year. Maintaining an annual independent evaluation plan, implementing it and ensuring quality and publication would be the responsibility of ODE. </w:t>
      </w:r>
    </w:p>
    <w:p w14:paraId="43CCD8C3" w14:textId="017DECD5" w:rsidR="00860B13" w:rsidRPr="005D5682" w:rsidRDefault="005D5682" w:rsidP="000E5C3B">
      <w:pPr>
        <w:pStyle w:val="BoxQuote"/>
        <w:spacing w:after="120"/>
      </w:pPr>
      <w:r w:rsidRPr="000E5C3B">
        <w:t xml:space="preserve">       </w:t>
      </w:r>
      <w:r w:rsidR="00860B13" w:rsidRPr="005D5682">
        <w:t xml:space="preserve">Centralising quality control in this way is critical to improve report quality. This will help AusAID feel more comfortable about publishing them. The current system is decentralised, leading to variable quality. </w:t>
      </w:r>
    </w:p>
    <w:p w14:paraId="24A4807E" w14:textId="53AAC8DB" w:rsidR="00860B13" w:rsidRPr="005D5682" w:rsidRDefault="005D5682" w:rsidP="000E5C3B">
      <w:pPr>
        <w:pStyle w:val="BoxQuote"/>
        <w:spacing w:after="120"/>
      </w:pPr>
      <w:r w:rsidRPr="000E5C3B">
        <w:t xml:space="preserve">       </w:t>
      </w:r>
      <w:r w:rsidR="00860B13" w:rsidRPr="005D5682">
        <w:t>Under the new system</w:t>
      </w:r>
      <w:r w:rsidRPr="005D5682">
        <w:t xml:space="preserve">… </w:t>
      </w:r>
      <w:r w:rsidR="00860B13" w:rsidRPr="005D5682">
        <w:t xml:space="preserve">ODE would have to vouch for the quality of the evaluation, even if not endorsing the contents. ODE could also sign off on evaluation teams and ensure the quality of consultants eligible to be contracted to write evaluation reports. </w:t>
      </w:r>
    </w:p>
    <w:p w14:paraId="55E21878" w14:textId="3CCF604B" w:rsidR="00860B13" w:rsidRPr="005D5682" w:rsidRDefault="00860B13" w:rsidP="000E5C3B">
      <w:pPr>
        <w:pStyle w:val="BoxNotes"/>
        <w:jc w:val="right"/>
      </w:pPr>
      <w:r w:rsidRPr="005D5682">
        <w:t>Source:</w:t>
      </w:r>
      <w:r w:rsidR="00A74814" w:rsidRPr="005D5682">
        <w:t xml:space="preserve"> </w:t>
      </w:r>
      <w:r w:rsidRPr="005D5682">
        <w:t xml:space="preserve">Independent </w:t>
      </w:r>
      <w:r w:rsidR="00280308" w:rsidRPr="005D5682">
        <w:t>r</w:t>
      </w:r>
      <w:r w:rsidRPr="005D5682">
        <w:t xml:space="preserve">eview of </w:t>
      </w:r>
      <w:r w:rsidR="00280308" w:rsidRPr="005D5682">
        <w:t>a</w:t>
      </w:r>
      <w:r w:rsidRPr="005D5682">
        <w:t xml:space="preserve">id </w:t>
      </w:r>
      <w:r w:rsidR="00280308" w:rsidRPr="005D5682">
        <w:t>e</w:t>
      </w:r>
      <w:r w:rsidRPr="005D5682">
        <w:t>ffectiveness, pp. 297</w:t>
      </w:r>
      <w:r w:rsidR="00280308" w:rsidRPr="005D5682">
        <w:t>–</w:t>
      </w:r>
      <w:r w:rsidR="00030D98">
        <w:t>29</w:t>
      </w:r>
      <w:r w:rsidRPr="005D5682">
        <w:t>8.</w:t>
      </w:r>
    </w:p>
    <w:p w14:paraId="5DD1A45C" w14:textId="4B73971A" w:rsidR="00860B13" w:rsidRPr="00584BDF" w:rsidRDefault="00860B13" w:rsidP="00860B13">
      <w:pPr>
        <w:spacing w:before="0" w:after="0" w:line="240" w:lineRule="auto"/>
      </w:pPr>
      <w:r>
        <w:br w:type="page"/>
      </w:r>
    </w:p>
    <w:bookmarkStart w:id="35" w:name="_Toc378247953"/>
    <w:bookmarkStart w:id="36" w:name="_Toc378749845"/>
    <w:bookmarkStart w:id="37" w:name="_Toc378749995"/>
    <w:bookmarkStart w:id="38" w:name="_Toc378247954"/>
    <w:bookmarkStart w:id="39" w:name="_Toc378749846"/>
    <w:bookmarkStart w:id="40" w:name="_Toc378749996"/>
    <w:bookmarkStart w:id="41" w:name="_Toc378247959"/>
    <w:bookmarkStart w:id="42" w:name="_Toc378749849"/>
    <w:bookmarkStart w:id="43" w:name="_Toc378749999"/>
    <w:bookmarkStart w:id="44" w:name="_Toc378247963"/>
    <w:bookmarkStart w:id="45" w:name="_Toc378750002"/>
    <w:bookmarkStart w:id="46" w:name="_Toc372125012"/>
    <w:bookmarkStart w:id="47" w:name="_Toc372723824"/>
    <w:bookmarkStart w:id="48" w:name="_Toc378059978"/>
    <w:bookmarkStart w:id="49" w:name="_Toc387675105"/>
    <w:bookmarkEnd w:id="35"/>
    <w:bookmarkEnd w:id="36"/>
    <w:bookmarkEnd w:id="37"/>
    <w:bookmarkEnd w:id="38"/>
    <w:bookmarkEnd w:id="39"/>
    <w:bookmarkEnd w:id="40"/>
    <w:bookmarkEnd w:id="41"/>
    <w:bookmarkEnd w:id="42"/>
    <w:bookmarkEnd w:id="43"/>
    <w:bookmarkEnd w:id="44"/>
    <w:bookmarkEnd w:id="45"/>
    <w:p w14:paraId="4E9B456C" w14:textId="2AF69F29" w:rsidR="00F3602E" w:rsidRPr="00C5152F" w:rsidRDefault="00C83818" w:rsidP="00A01760">
      <w:pPr>
        <w:pStyle w:val="Heading1"/>
        <w:spacing w:after="1200"/>
      </w:pPr>
      <w:r w:rsidRPr="00126E56">
        <w:rPr>
          <w:noProof/>
        </w:rPr>
        <w:lastRenderedPageBreak/>
        <mc:AlternateContent>
          <mc:Choice Requires="wps">
            <w:drawing>
              <wp:anchor distT="0" distB="0" distL="114300" distR="114300" simplePos="0" relativeHeight="251668480" behindDoc="1" locked="0" layoutInCell="1" allowOverlap="1" wp14:anchorId="1921EEC3" wp14:editId="41350B13">
                <wp:simplePos x="0" y="0"/>
                <wp:positionH relativeFrom="page">
                  <wp:align>left</wp:align>
                </wp:positionH>
                <wp:positionV relativeFrom="paragraph">
                  <wp:posOffset>-144145</wp:posOffset>
                </wp:positionV>
                <wp:extent cx="7610400" cy="1468800"/>
                <wp:effectExtent l="0" t="0" r="0" b="0"/>
                <wp:wrapNone/>
                <wp:docPr id="16" name="Rectangle 16"/>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0F65488" id="Rectangle 16" o:spid="_x0000_s1026" style="position:absolute;margin-left:0;margin-top:-11.35pt;width:599.25pt;height:115.65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yTlAIAAIgFAAAOAAAAZHJzL2Uyb0RvYy54bWysVE1v2zAMvQ/YfxB0X20HbpoFdYqgRYcB&#10;RVu0HXpWZCk2IIsapXzt14+SHbdrix2G5eCIIvlIPpE8v9h3hm0V+hZsxYuTnDNlJdStXVf8x9P1&#10;lxlnPghbCwNWVfygPL9YfP50vnNzNYEGTK2QEYj1852reBOCm2eZl43qhD8BpywpNWAnAom4zmoU&#10;O0LvTDbJ82m2A6wdglTe0+1Vr+SLhK+1kuFOa68CMxWn3EL6Yvqu4jdbnIv5GoVrWjmkIf4hi060&#10;loKOUFciCLbB9h1U10oEDzqcSOgy0LqVKtVA1RT5m2oeG+FUqoXI8W6kyf8/WHm7vUfW1vR2U86s&#10;6OiNHog1YddGMbojgnbOz8nu0d3jIHk6xmr3Grv4T3WwfSL1MJKq9oFJujybFnmZE/eSdEU5nc1I&#10;IJzsxd2hD98UdCweKo4UP5Eptjc+9KZHkxjNg2nr69aYJOB6dWmQbQW9cDEpy1nKmdD/MDM2GluI&#10;bj1ivMliaX0x6RQORkU7Yx+UJlYo/UnKJPWjGuMIKZUNRa9qRK368Kc5/YbaRo9UaQKMyJrij9gD&#10;QOz199h9loN9dFWpnUfn/G+J9c6jR4oMNozOXWsBPwIwVNUQubc/ktRTE1laQX2gnkHoh8k7ed3S&#10;u90IH+4F0vTQW9NGCHf00QZ2FYfhxFkD+Ouj+2hPTU1aznY0jRX3PzcCFWfmu6V2/1qUZRzfJJSn&#10;ZxMS8LVm9VpjN90lxHag3eNkOkb7YI5HjdA90+JYxqikElZS7IrLgEfhMvRbglaPVMtlMqORdSLc&#10;2EcnI3hkNfbl0/5ZoBuaN1Df38JxcsX8TQ/3ttHTwnITQLepwV94HfimcU+NM6ymuE9ey8nqZYEu&#10;fgMAAP//AwBQSwMEFAAGAAgAAAAhAJkgKSbdAAAACQEAAA8AAABkcnMvZG93bnJldi54bWxMj8FO&#10;wzAQRO9I/IO1SNxaJ0aUELKpUCU4ROJAS+9uvMQR8TrEbhv+HvcEx9GMZt5U69kN4kRT6D0j5MsM&#10;BHHrTc8dwsfuZVGACFGz0YNnQvihAOv6+qrSpfFnfqfTNnYilXAoNYKNcSylDK0lp8PSj8TJ+/ST&#10;0zHJqZNm0udU7gapsmwlne45LVg90sZS+7U9OoSmILvv3pph/m52udzcvfo9KcTbm/n5CUSkOf6F&#10;4YKf0KFOTAd/ZBPEgJCORISFUg8gLnb+WNyDOCCorFiBrCv5/0H9CwAA//8DAFBLAQItABQABgAI&#10;AAAAIQC2gziS/gAAAOEBAAATAAAAAAAAAAAAAAAAAAAAAABbQ29udGVudF9UeXBlc10ueG1sUEsB&#10;Ai0AFAAGAAgAAAAhADj9If/WAAAAlAEAAAsAAAAAAAAAAAAAAAAALwEAAF9yZWxzLy5yZWxzUEsB&#10;Ai0AFAAGAAgAAAAhADdmjJOUAgAAiAUAAA4AAAAAAAAAAAAAAAAALgIAAGRycy9lMm9Eb2MueG1s&#10;UEsBAi0AFAAGAAgAAAAhAJkgKSbdAAAACQEAAA8AAAAAAAAAAAAAAAAA7gQAAGRycy9kb3ducmV2&#10;LnhtbFBLBQYAAAAABAAEAPMAAAD4BQAAAAA=&#10;" fillcolor="#124486" stroked="f" strokeweight="2pt">
                <w10:wrap anchorx="page"/>
              </v:rect>
            </w:pict>
          </mc:Fallback>
        </mc:AlternateContent>
      </w:r>
      <w:r w:rsidRPr="00C83818">
        <w:t>3</w:t>
      </w:r>
      <w:r w:rsidRPr="00C5152F">
        <w:tab/>
      </w:r>
      <w:r w:rsidR="00F3602E" w:rsidRPr="00C5152F">
        <w:t xml:space="preserve">Characteristics of initiatives </w:t>
      </w:r>
      <w:r w:rsidR="00E742B0" w:rsidRPr="00C5152F">
        <w:t xml:space="preserve">evaluated </w:t>
      </w:r>
      <w:r w:rsidR="00F3602E" w:rsidRPr="00C5152F">
        <w:t xml:space="preserve">and </w:t>
      </w:r>
      <w:r w:rsidR="006A0B8C" w:rsidRPr="00C5152F">
        <w:br/>
      </w:r>
      <w:r w:rsidR="00F3602E" w:rsidRPr="00C5152F">
        <w:t>evaluations</w:t>
      </w:r>
      <w:bookmarkEnd w:id="46"/>
      <w:bookmarkEnd w:id="47"/>
      <w:bookmarkEnd w:id="48"/>
      <w:bookmarkEnd w:id="49"/>
      <w:r w:rsidR="00F3602E" w:rsidRPr="00C5152F">
        <w:t xml:space="preserve"> </w:t>
      </w:r>
    </w:p>
    <w:p w14:paraId="35C31E92" w14:textId="77777777" w:rsidR="00F3602E" w:rsidRPr="00002D1F" w:rsidRDefault="00F3602E" w:rsidP="000E5C3B">
      <w:pPr>
        <w:pStyle w:val="Heading2"/>
        <w:numPr>
          <w:ilvl w:val="0"/>
          <w:numId w:val="50"/>
        </w:numPr>
        <w:ind w:left="720" w:hanging="720"/>
      </w:pPr>
      <w:bookmarkStart w:id="50" w:name="_Toc372723825"/>
      <w:bookmarkStart w:id="51" w:name="_Toc378059979"/>
      <w:bookmarkStart w:id="52" w:name="_Ref378685811"/>
      <w:bookmarkStart w:id="53" w:name="_Ref380162647"/>
      <w:bookmarkStart w:id="54" w:name="_Toc387675106"/>
      <w:r>
        <w:t>Evaluation coverage and c</w:t>
      </w:r>
      <w:r w:rsidRPr="00002D1F">
        <w:t>haracteristics</w:t>
      </w:r>
      <w:r w:rsidRPr="001B1E4C">
        <w:t xml:space="preserve"> </w:t>
      </w:r>
      <w:r>
        <w:t>of the i</w:t>
      </w:r>
      <w:r w:rsidRPr="00002D1F">
        <w:t>nitiative</w:t>
      </w:r>
      <w:r>
        <w:t>s</w:t>
      </w:r>
      <w:bookmarkEnd w:id="50"/>
      <w:bookmarkEnd w:id="51"/>
      <w:bookmarkEnd w:id="52"/>
      <w:r w:rsidR="006163E1">
        <w:t xml:space="preserve"> evaluated</w:t>
      </w:r>
      <w:bookmarkEnd w:id="53"/>
      <w:bookmarkEnd w:id="54"/>
    </w:p>
    <w:p w14:paraId="197894D1" w14:textId="1DA9DCC1" w:rsidR="00FA7F8C" w:rsidRPr="006163E1" w:rsidRDefault="000D2E3C" w:rsidP="003C5211">
      <w:pPr>
        <w:rPr>
          <w:color w:val="000000" w:themeColor="text1"/>
        </w:rPr>
      </w:pPr>
      <w:r w:rsidRPr="005215B7">
        <w:t xml:space="preserve">The level of coverage is satisfactory in terms of compliance with </w:t>
      </w:r>
      <w:r w:rsidR="004F7015">
        <w:t>DFAT’s evaluation policy</w:t>
      </w:r>
      <w:r w:rsidR="00893C52" w:rsidRPr="005215B7">
        <w:t>, which</w:t>
      </w:r>
      <w:r>
        <w:t xml:space="preserve"> requir</w:t>
      </w:r>
      <w:r w:rsidR="00893C52">
        <w:t>es</w:t>
      </w:r>
      <w:r>
        <w:t xml:space="preserve"> an evaluation once in the life of every </w:t>
      </w:r>
      <w:r w:rsidR="004F7015">
        <w:t xml:space="preserve">significant aid </w:t>
      </w:r>
      <w:r>
        <w:t xml:space="preserve">initiative. </w:t>
      </w:r>
      <w:r w:rsidR="00F3602E">
        <w:t xml:space="preserve">Of the 87 </w:t>
      </w:r>
      <w:r w:rsidR="00E742B0">
        <w:t>operational</w:t>
      </w:r>
      <w:r w:rsidR="00F3602E">
        <w:t xml:space="preserve"> evaluations completed in 2012, six were </w:t>
      </w:r>
      <w:r w:rsidR="00744801">
        <w:t>‘</w:t>
      </w:r>
      <w:r w:rsidR="00F3602E">
        <w:t>cluster</w:t>
      </w:r>
      <w:r w:rsidR="00744801">
        <w:t>’</w:t>
      </w:r>
      <w:r w:rsidR="00F3602E">
        <w:t xml:space="preserve"> evaluations covering more than one initiative, so the total number of initiatives actually covered by the evaluations was 94.</w:t>
      </w:r>
      <w:r w:rsidR="00F3602E">
        <w:rPr>
          <w:rStyle w:val="FootnoteReference"/>
        </w:rPr>
        <w:footnoteReference w:id="11"/>
      </w:r>
      <w:r w:rsidR="00A74814">
        <w:t xml:space="preserve"> </w:t>
      </w:r>
      <w:r w:rsidR="00E742B0">
        <w:t>T</w:t>
      </w:r>
      <w:r w:rsidR="00F3602E">
        <w:t xml:space="preserve">he expectation </w:t>
      </w:r>
      <w:r w:rsidR="005477AE">
        <w:t>was</w:t>
      </w:r>
      <w:r w:rsidR="00F3602E">
        <w:t xml:space="preserve"> that </w:t>
      </w:r>
      <w:r w:rsidR="003B2755">
        <w:t xml:space="preserve">approximately </w:t>
      </w:r>
      <w:r w:rsidR="00F3602E">
        <w:t>11</w:t>
      </w:r>
      <w:r w:rsidR="003B2755">
        <w:t>0</w:t>
      </w:r>
      <w:r w:rsidR="00F3602E">
        <w:t xml:space="preserve"> initiatives </w:t>
      </w:r>
      <w:r w:rsidR="006D5E30">
        <w:t xml:space="preserve">would </w:t>
      </w:r>
      <w:r w:rsidR="00F3602E">
        <w:t xml:space="preserve">be evaluated </w:t>
      </w:r>
      <w:r w:rsidR="006D5E30">
        <w:t>in 2012</w:t>
      </w:r>
      <w:r w:rsidR="00F3602E">
        <w:t>.</w:t>
      </w:r>
    </w:p>
    <w:p w14:paraId="41F1DE3B" w14:textId="18CE4DDE" w:rsidR="00F3602E" w:rsidRDefault="00F3602E" w:rsidP="0067172D">
      <w:r w:rsidRPr="000F660C">
        <w:t xml:space="preserve">Of the 87 evaluations completed in 2012, </w:t>
      </w:r>
      <w:r>
        <w:t>42 (48</w:t>
      </w:r>
      <w:r w:rsidR="005477AE">
        <w:t> </w:t>
      </w:r>
      <w:r>
        <w:t>per cent) were published</w:t>
      </w:r>
      <w:r w:rsidR="006163E1">
        <w:t xml:space="preserve"> </w:t>
      </w:r>
      <w:r w:rsidR="003342D9">
        <w:t xml:space="preserve">externally </w:t>
      </w:r>
      <w:r w:rsidR="006163E1">
        <w:t>on the Australian aid website</w:t>
      </w:r>
      <w:r>
        <w:t xml:space="preserve"> as of 30</w:t>
      </w:r>
      <w:r w:rsidR="005477AE">
        <w:t> </w:t>
      </w:r>
      <w:r>
        <w:t xml:space="preserve">September </w:t>
      </w:r>
      <w:r w:rsidRPr="000F660C">
        <w:t>2013, which is a significant improvement on previous publication rates.</w:t>
      </w:r>
      <w:r w:rsidR="00A74814">
        <w:t xml:space="preserve"> </w:t>
      </w:r>
    </w:p>
    <w:p w14:paraId="76E76222" w14:textId="77777777" w:rsidR="00F3602E" w:rsidRDefault="00504F91" w:rsidP="00F3602E">
      <w:r>
        <w:t>T</w:t>
      </w:r>
      <w:r w:rsidR="00F3602E">
        <w:t>he 94 initiatives</w:t>
      </w:r>
      <w:r w:rsidR="006163E1">
        <w:t xml:space="preserve"> evaluated</w:t>
      </w:r>
      <w:r w:rsidR="00F3602E">
        <w:t xml:space="preserve"> are diverse in terms of </w:t>
      </w:r>
      <w:r>
        <w:t xml:space="preserve">value, sector and </w:t>
      </w:r>
      <w:r w:rsidR="00F3602E">
        <w:t xml:space="preserve">geographic region, and can be considered broadly representative of the </w:t>
      </w:r>
      <w:r w:rsidR="0074157A">
        <w:t xml:space="preserve">overall </w:t>
      </w:r>
      <w:r w:rsidR="00F3602E">
        <w:t>aid program.</w:t>
      </w:r>
      <w:r w:rsidR="00A74814">
        <w:t xml:space="preserve"> </w:t>
      </w:r>
      <w:r w:rsidR="00F3602E">
        <w:t>In summary:</w:t>
      </w:r>
    </w:p>
    <w:p w14:paraId="25ACB75A" w14:textId="72CFF5C4" w:rsidR="00984427" w:rsidRPr="00E925F7" w:rsidRDefault="00504F91">
      <w:pPr>
        <w:pStyle w:val="Bullet"/>
      </w:pPr>
      <w:r w:rsidRPr="00E925F7">
        <w:rPr>
          <w:b/>
        </w:rPr>
        <w:t>Initiative value</w:t>
      </w:r>
      <w:r w:rsidRPr="00E925F7">
        <w:t xml:space="preserve">: The total approved investment value represented by the 94 evaluated initiatives was </w:t>
      </w:r>
      <w:r w:rsidR="001F0EF0" w:rsidRPr="00720638">
        <w:t>approximately</w:t>
      </w:r>
      <w:r w:rsidR="001F0EF0" w:rsidRPr="00E925F7">
        <w:t xml:space="preserve"> </w:t>
      </w:r>
      <w:r w:rsidRPr="00E925F7">
        <w:t>$3</w:t>
      </w:r>
      <w:r w:rsidR="00C771CE">
        <w:t>.2</w:t>
      </w:r>
      <w:r w:rsidR="002C477A">
        <w:t> </w:t>
      </w:r>
      <w:r w:rsidRPr="00E925F7">
        <w:t>billion.</w:t>
      </w:r>
      <w:r w:rsidRPr="00E925F7">
        <w:rPr>
          <w:rStyle w:val="FootnoteReference"/>
        </w:rPr>
        <w:footnoteReference w:id="12"/>
      </w:r>
      <w:r w:rsidRPr="00E925F7">
        <w:t xml:space="preserve"> Initiatives ranged in value from $200,000 to $212</w:t>
      </w:r>
      <w:r w:rsidR="002C477A">
        <w:t> </w:t>
      </w:r>
      <w:r w:rsidRPr="00E925F7">
        <w:t>million, with an average of $3</w:t>
      </w:r>
      <w:r w:rsidR="00046558" w:rsidRPr="00E925F7">
        <w:t>5</w:t>
      </w:r>
      <w:r w:rsidRPr="00E925F7">
        <w:t xml:space="preserve"> million. </w:t>
      </w:r>
      <w:r w:rsidR="00984427" w:rsidRPr="00E925F7">
        <w:t>Sixty-eight per cent of initiatives were</w:t>
      </w:r>
      <w:r w:rsidR="002C477A">
        <w:t xml:space="preserve"> valued at</w:t>
      </w:r>
      <w:r w:rsidR="00984427" w:rsidRPr="00E925F7">
        <w:t xml:space="preserve"> less than $30</w:t>
      </w:r>
      <w:r w:rsidR="002C477A">
        <w:t> </w:t>
      </w:r>
      <w:r w:rsidR="00984427" w:rsidRPr="00E925F7">
        <w:t>million, while there were nine initiatives valued at $100</w:t>
      </w:r>
      <w:r w:rsidR="002C477A">
        <w:t> </w:t>
      </w:r>
      <w:r w:rsidR="00984427" w:rsidRPr="00E925F7">
        <w:t>million or more.</w:t>
      </w:r>
      <w:r w:rsidR="00A74814">
        <w:t xml:space="preserve"> </w:t>
      </w:r>
    </w:p>
    <w:p w14:paraId="6E02BB0E" w14:textId="1CB81B05" w:rsidR="007F3CC5" w:rsidRDefault="007F3CC5">
      <w:pPr>
        <w:pStyle w:val="Bullet"/>
      </w:pPr>
      <w:r w:rsidRPr="00B6199A">
        <w:rPr>
          <w:b/>
        </w:rPr>
        <w:t>Sector</w:t>
      </w:r>
      <w:r>
        <w:t>:</w:t>
      </w:r>
      <w:r w:rsidR="00A74814">
        <w:t xml:space="preserve"> </w:t>
      </w:r>
      <w:r w:rsidR="00DB5661">
        <w:t>T</w:t>
      </w:r>
      <w:r>
        <w:t xml:space="preserve">he 94 </w:t>
      </w:r>
      <w:r w:rsidR="00DB5661">
        <w:t xml:space="preserve">evaluated </w:t>
      </w:r>
      <w:r>
        <w:t xml:space="preserve">initiatives </w:t>
      </w:r>
      <w:r w:rsidR="002B7980">
        <w:t>cover all major sectors</w:t>
      </w:r>
      <w:r w:rsidR="002B7980">
        <w:rPr>
          <w:rStyle w:val="FootnoteReference"/>
        </w:rPr>
        <w:footnoteReference w:id="13"/>
      </w:r>
      <w:r w:rsidR="00E742B0">
        <w:t xml:space="preserve"> </w:t>
      </w:r>
      <w:r w:rsidR="00E742B0" w:rsidRPr="000F441C">
        <w:t>(see</w:t>
      </w:r>
      <w:r w:rsidR="00B6199A">
        <w:t xml:space="preserve"> </w:t>
      </w:r>
      <w:r w:rsidR="00B6199A">
        <w:fldChar w:fldCharType="begin"/>
      </w:r>
      <w:r w:rsidR="00B6199A">
        <w:instrText xml:space="preserve"> REF _Ref387837569 \h </w:instrText>
      </w:r>
      <w:r w:rsidR="00B6199A">
        <w:fldChar w:fldCharType="separate"/>
      </w:r>
      <w:r w:rsidR="00147362" w:rsidRPr="00E80071">
        <w:t xml:space="preserve">Figure </w:t>
      </w:r>
      <w:r w:rsidR="00147362">
        <w:rPr>
          <w:noProof/>
        </w:rPr>
        <w:t>1</w:t>
      </w:r>
      <w:r w:rsidR="00B6199A">
        <w:fldChar w:fldCharType="end"/>
      </w:r>
      <w:r w:rsidR="00E742B0" w:rsidRPr="000F441C">
        <w:t>)</w:t>
      </w:r>
      <w:r w:rsidR="00DB5661" w:rsidRPr="000F441C">
        <w:t>.</w:t>
      </w:r>
      <w:r w:rsidR="00A74814" w:rsidRPr="000F441C">
        <w:t xml:space="preserve"> </w:t>
      </w:r>
      <w:r w:rsidR="00EF16AB" w:rsidRPr="000F441C">
        <w:t>In comparison</w:t>
      </w:r>
      <w:r w:rsidR="00DB5661">
        <w:t xml:space="preserve"> to the </w:t>
      </w:r>
      <w:r w:rsidR="00101D47">
        <w:t>total</w:t>
      </w:r>
      <w:r w:rsidR="00DB5661">
        <w:t xml:space="preserve"> aid program for 2011</w:t>
      </w:r>
      <w:r w:rsidR="00EF16AB">
        <w:t>–</w:t>
      </w:r>
      <w:r w:rsidR="00DB5661">
        <w:t>12</w:t>
      </w:r>
      <w:r w:rsidR="00EF16AB">
        <w:t>,</w:t>
      </w:r>
      <w:r w:rsidR="00101D47">
        <w:rPr>
          <w:rStyle w:val="FootnoteReference"/>
        </w:rPr>
        <w:footnoteReference w:id="14"/>
      </w:r>
      <w:r w:rsidRPr="0077319E">
        <w:t xml:space="preserve"> education appears to be </w:t>
      </w:r>
      <w:r>
        <w:t xml:space="preserve">rather </w:t>
      </w:r>
      <w:r w:rsidRPr="0077319E">
        <w:t>under</w:t>
      </w:r>
      <w:r>
        <w:t>-</w:t>
      </w:r>
      <w:r w:rsidRPr="0077319E">
        <w:t>represented</w:t>
      </w:r>
      <w:r w:rsidR="00E742B0">
        <w:t xml:space="preserve"> in the evaluations</w:t>
      </w:r>
      <w:r w:rsidRPr="0077319E">
        <w:t xml:space="preserve">, and </w:t>
      </w:r>
      <w:r w:rsidR="00E742B0">
        <w:t xml:space="preserve">improved </w:t>
      </w:r>
      <w:r w:rsidRPr="0077319E">
        <w:t xml:space="preserve">governance </w:t>
      </w:r>
      <w:r>
        <w:t xml:space="preserve">somewhat </w:t>
      </w:r>
      <w:r w:rsidRPr="0077319E">
        <w:t>over</w:t>
      </w:r>
      <w:r w:rsidR="00EF16AB">
        <w:t>-</w:t>
      </w:r>
      <w:r w:rsidRPr="0077319E">
        <w:t>represented</w:t>
      </w:r>
      <w:r w:rsidR="0074157A">
        <w:t>.</w:t>
      </w:r>
      <w:r w:rsidR="00A74814">
        <w:t xml:space="preserve"> </w:t>
      </w:r>
      <w:r w:rsidR="00DB5661">
        <w:t xml:space="preserve">While </w:t>
      </w:r>
      <w:r>
        <w:t xml:space="preserve">the broad strategic goal of </w:t>
      </w:r>
      <w:r w:rsidR="00EF16AB">
        <w:t>e</w:t>
      </w:r>
      <w:r>
        <w:t xml:space="preserve">ffective </w:t>
      </w:r>
      <w:r w:rsidR="00EF16AB">
        <w:t>g</w:t>
      </w:r>
      <w:r>
        <w:t xml:space="preserve">overnance </w:t>
      </w:r>
      <w:r w:rsidR="00DB5661">
        <w:t>(</w:t>
      </w:r>
      <w:r w:rsidR="002E5996">
        <w:t xml:space="preserve">which </w:t>
      </w:r>
      <w:r w:rsidR="00DB5661">
        <w:t>includ</w:t>
      </w:r>
      <w:r w:rsidR="002E5996">
        <w:t>es the</w:t>
      </w:r>
      <w:r w:rsidR="00DB5661">
        <w:t xml:space="preserve"> improved government, security and justice, and human rights</w:t>
      </w:r>
      <w:r w:rsidR="002E5996">
        <w:t xml:space="preserve"> sectors</w:t>
      </w:r>
      <w:r w:rsidR="00DB5661">
        <w:t xml:space="preserve">) </w:t>
      </w:r>
      <w:r>
        <w:t>represent</w:t>
      </w:r>
      <w:r w:rsidR="00DB5661">
        <w:t>ed</w:t>
      </w:r>
      <w:r>
        <w:t xml:space="preserve"> </w:t>
      </w:r>
      <w:r w:rsidR="00505762">
        <w:t>1</w:t>
      </w:r>
      <w:r w:rsidR="00AB715D">
        <w:t>9</w:t>
      </w:r>
      <w:r w:rsidR="00EF16AB">
        <w:t> </w:t>
      </w:r>
      <w:r w:rsidR="00101D47">
        <w:t xml:space="preserve">per cent </w:t>
      </w:r>
      <w:r>
        <w:t xml:space="preserve">of </w:t>
      </w:r>
      <w:r w:rsidR="00DB5661">
        <w:t>Australian Government aid</w:t>
      </w:r>
      <w:r>
        <w:t xml:space="preserve"> investment</w:t>
      </w:r>
      <w:r w:rsidR="00CC4DB9">
        <w:t xml:space="preserve"> in 2011</w:t>
      </w:r>
      <w:r w:rsidR="00EF16AB">
        <w:t>–</w:t>
      </w:r>
      <w:r w:rsidR="00CC4DB9">
        <w:t>12</w:t>
      </w:r>
      <w:r w:rsidR="00EF16AB">
        <w:t>,</w:t>
      </w:r>
      <w:r w:rsidR="00505762">
        <w:rPr>
          <w:rStyle w:val="FootnoteReference"/>
        </w:rPr>
        <w:footnoteReference w:id="15"/>
      </w:r>
      <w:r w:rsidR="007803BD">
        <w:t xml:space="preserve"> t</w:t>
      </w:r>
      <w:r>
        <w:t xml:space="preserve">he </w:t>
      </w:r>
      <w:r w:rsidR="00CC4DB9">
        <w:t xml:space="preserve">value of the </w:t>
      </w:r>
      <w:r w:rsidR="007803BD">
        <w:t>evaluat</w:t>
      </w:r>
      <w:r w:rsidR="00DB5661">
        <w:t>ed initiatives included in this review that ha</w:t>
      </w:r>
      <w:r w:rsidR="00EF16AB">
        <w:t>d</w:t>
      </w:r>
      <w:r w:rsidR="00DB5661">
        <w:t xml:space="preserve"> </w:t>
      </w:r>
      <w:r w:rsidR="00EF16AB">
        <w:t>e</w:t>
      </w:r>
      <w:r w:rsidR="007803BD">
        <w:t xml:space="preserve">ffective </w:t>
      </w:r>
      <w:r w:rsidR="00EF16AB">
        <w:t>g</w:t>
      </w:r>
      <w:r w:rsidR="007803BD">
        <w:t>overnance as the</w:t>
      </w:r>
      <w:r w:rsidR="00DB5661">
        <w:t>ir</w:t>
      </w:r>
      <w:r w:rsidR="007803BD">
        <w:t xml:space="preserve"> primary strategic goal </w:t>
      </w:r>
      <w:r>
        <w:t>represent</w:t>
      </w:r>
      <w:r w:rsidR="00CC4DB9">
        <w:t>ed</w:t>
      </w:r>
      <w:r>
        <w:t xml:space="preserve"> </w:t>
      </w:r>
      <w:r w:rsidR="00D773DA">
        <w:t xml:space="preserve">43 </w:t>
      </w:r>
      <w:r w:rsidR="00101D47">
        <w:t xml:space="preserve">per cent </w:t>
      </w:r>
      <w:r>
        <w:t xml:space="preserve">of </w:t>
      </w:r>
      <w:r w:rsidR="00DB5661">
        <w:t xml:space="preserve">the </w:t>
      </w:r>
      <w:r>
        <w:t>total</w:t>
      </w:r>
      <w:r w:rsidR="008B0F6A">
        <w:t xml:space="preserve"> value of the evaluated initiatives</w:t>
      </w:r>
      <w:r>
        <w:t>. Th</w:t>
      </w:r>
      <w:r w:rsidR="00CC4DB9">
        <w:t>is</w:t>
      </w:r>
      <w:r>
        <w:t xml:space="preserve"> concentration is partly explained by the </w:t>
      </w:r>
      <w:r w:rsidR="00D773DA">
        <w:t>inclusion of evaluations</w:t>
      </w:r>
      <w:r>
        <w:t xml:space="preserve"> of </w:t>
      </w:r>
      <w:r w:rsidR="002E5996">
        <w:t xml:space="preserve">five </w:t>
      </w:r>
      <w:r>
        <w:t xml:space="preserve">very large initiatives </w:t>
      </w:r>
      <w:r w:rsidR="000E5C3B">
        <w:lastRenderedPageBreak/>
        <w:t>together valued at</w:t>
      </w:r>
      <w:r>
        <w:t xml:space="preserve"> $</w:t>
      </w:r>
      <w:r w:rsidR="002E5996">
        <w:t>755</w:t>
      </w:r>
      <w:r w:rsidR="00EF16AB">
        <w:t> </w:t>
      </w:r>
      <w:r w:rsidR="00F51EDE">
        <w:t>m</w:t>
      </w:r>
      <w:r>
        <w:t>illion</w:t>
      </w:r>
      <w:r w:rsidR="00EF16AB">
        <w:t>,</w:t>
      </w:r>
      <w:r>
        <w:t xml:space="preserve"> or </w:t>
      </w:r>
      <w:r w:rsidR="00E742B0">
        <w:t xml:space="preserve">almost </w:t>
      </w:r>
      <w:r w:rsidR="007E21B2">
        <w:t>one-</w:t>
      </w:r>
      <w:r w:rsidR="002E5996">
        <w:t xml:space="preserve">quarter </w:t>
      </w:r>
      <w:r>
        <w:t xml:space="preserve">of the total value of the 94 </w:t>
      </w:r>
      <w:r w:rsidR="00CC4DB9">
        <w:t xml:space="preserve">evaluated </w:t>
      </w:r>
      <w:r>
        <w:t>initiatives.</w:t>
      </w:r>
    </w:p>
    <w:p w14:paraId="0E758723" w14:textId="08C13CFA" w:rsidR="000E018A" w:rsidRDefault="000E018A" w:rsidP="000F441C">
      <w:pPr>
        <w:pStyle w:val="BulletLast"/>
      </w:pPr>
      <w:bookmarkStart w:id="55" w:name="_Ref372872814"/>
      <w:r>
        <w:rPr>
          <w:b/>
        </w:rPr>
        <w:t>C</w:t>
      </w:r>
      <w:r w:rsidRPr="00F3602E">
        <w:rPr>
          <w:b/>
        </w:rPr>
        <w:t>ountry and region</w:t>
      </w:r>
      <w:r>
        <w:t>: The 94 evaluated initiatives were spread across all major geographic regions covered by the aid program.</w:t>
      </w:r>
      <w:r>
        <w:rPr>
          <w:rStyle w:val="FootnoteReference"/>
        </w:rPr>
        <w:footnoteReference w:id="16"/>
      </w:r>
      <w:r>
        <w:t xml:space="preserve"> Papua New Guinea and Indonesia</w:t>
      </w:r>
      <w:r w:rsidR="007E21B2">
        <w:rPr>
          <w:rFonts w:ascii="Arial" w:hAnsi="Arial"/>
        </w:rPr>
        <w:t>—</w:t>
      </w:r>
      <w:r>
        <w:t>Australia’s two largest country programs by value</w:t>
      </w:r>
      <w:r w:rsidR="007E21B2">
        <w:rPr>
          <w:rFonts w:ascii="Arial" w:hAnsi="Arial"/>
        </w:rPr>
        <w:t>—</w:t>
      </w:r>
      <w:r>
        <w:t>had the highest representation by total initiative value, with respectively 23 per cent and 15 per cent of the total value of the evaluated initiatives. There was also a significant proportion (16 per cent) of multicountry initiatives.</w:t>
      </w:r>
    </w:p>
    <w:p w14:paraId="79CEED3C" w14:textId="7A4EA376" w:rsidR="00DB1C84" w:rsidRDefault="000A2AB9" w:rsidP="000F441C">
      <w:pPr>
        <w:pStyle w:val="Figuretitle"/>
      </w:pPr>
      <w:bookmarkStart w:id="56" w:name="_Ref387837569"/>
      <w:r w:rsidRPr="00E80071">
        <w:t xml:space="preserve">Figure </w:t>
      </w:r>
      <w:r w:rsidR="007C3830">
        <w:fldChar w:fldCharType="begin"/>
      </w:r>
      <w:r w:rsidR="007C3830">
        <w:instrText xml:space="preserve"> SEQ Figure \* ARABIC </w:instrText>
      </w:r>
      <w:r w:rsidR="007C3830">
        <w:fldChar w:fldCharType="separate"/>
      </w:r>
      <w:r w:rsidR="00147362">
        <w:rPr>
          <w:noProof/>
        </w:rPr>
        <w:t>1</w:t>
      </w:r>
      <w:r w:rsidR="007C3830">
        <w:rPr>
          <w:noProof/>
        </w:rPr>
        <w:fldChar w:fldCharType="end"/>
      </w:r>
      <w:bookmarkEnd w:id="55"/>
      <w:bookmarkEnd w:id="56"/>
      <w:r w:rsidR="009010BA">
        <w:tab/>
      </w:r>
      <w:r w:rsidR="00DB1C84" w:rsidRPr="00E80071">
        <w:t xml:space="preserve">Indicative comparison by sector between overall aid program expenditure in </w:t>
      </w:r>
      <w:r w:rsidR="00966FCA">
        <w:t xml:space="preserve">      </w:t>
      </w:r>
      <w:r w:rsidR="00DB1C84" w:rsidRPr="00E80071">
        <w:t>2011</w:t>
      </w:r>
      <w:r w:rsidR="006417EA">
        <w:t>–</w:t>
      </w:r>
      <w:r w:rsidR="00DB1C84" w:rsidRPr="00E80071">
        <w:t>12 and investment value</w:t>
      </w:r>
      <w:r w:rsidR="00DB1C84" w:rsidRPr="00F847F4">
        <w:rPr>
          <w:b w:val="0"/>
          <w:sz w:val="21"/>
          <w:vertAlign w:val="superscript"/>
        </w:rPr>
        <w:footnoteReference w:id="17"/>
      </w:r>
      <w:r w:rsidR="00030D98">
        <w:t xml:space="preserve"> </w:t>
      </w:r>
      <w:r w:rsidR="00DB1C84" w:rsidRPr="00E80071">
        <w:t>of the 94 evaluated initiatives</w:t>
      </w:r>
      <w:r w:rsidR="00101D47">
        <w:t xml:space="preserve"> </w:t>
      </w:r>
    </w:p>
    <w:p w14:paraId="12701F65" w14:textId="5FBD36FC" w:rsidR="00046558" w:rsidRPr="00EB21AA" w:rsidRDefault="005215B7" w:rsidP="00F847F4">
      <w:pPr>
        <w:jc w:val="center"/>
      </w:pPr>
      <w:r>
        <w:rPr>
          <w:noProof/>
        </w:rPr>
        <w:drawing>
          <wp:inline distT="0" distB="0" distL="0" distR="0" wp14:anchorId="78F357C8" wp14:editId="6CD77F90">
            <wp:extent cx="5712031" cy="4370119"/>
            <wp:effectExtent l="0" t="0" r="317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8A2CF7F" w14:textId="77777777" w:rsidR="00F3602E" w:rsidRDefault="00F3602E" w:rsidP="000F441C">
      <w:pPr>
        <w:pStyle w:val="Heading2"/>
        <w:numPr>
          <w:ilvl w:val="0"/>
          <w:numId w:val="50"/>
        </w:numPr>
        <w:ind w:left="357" w:hanging="357"/>
      </w:pPr>
      <w:bookmarkStart w:id="57" w:name="_Toc372723826"/>
      <w:bookmarkStart w:id="58" w:name="_Toc378059980"/>
      <w:bookmarkStart w:id="59" w:name="_Ref379293612"/>
      <w:bookmarkStart w:id="60" w:name="_Ref379293823"/>
      <w:bookmarkStart w:id="61" w:name="_Ref380149088"/>
      <w:bookmarkStart w:id="62" w:name="_Ref380416038"/>
      <w:bookmarkStart w:id="63" w:name="_Toc387675107"/>
      <w:r w:rsidRPr="00002D1F">
        <w:t>Characteristics</w:t>
      </w:r>
      <w:r>
        <w:t xml:space="preserve"> of the</w:t>
      </w:r>
      <w:r w:rsidRPr="00002D1F">
        <w:t xml:space="preserve"> </w:t>
      </w:r>
      <w:r>
        <w:t>e</w:t>
      </w:r>
      <w:r w:rsidRPr="00002D1F">
        <w:t>valuation</w:t>
      </w:r>
      <w:r>
        <w:t>s</w:t>
      </w:r>
      <w:r w:rsidR="00D83F9C">
        <w:t xml:space="preserve"> reviewed</w:t>
      </w:r>
      <w:bookmarkEnd w:id="57"/>
      <w:bookmarkEnd w:id="58"/>
      <w:bookmarkEnd w:id="59"/>
      <w:bookmarkEnd w:id="60"/>
      <w:bookmarkEnd w:id="61"/>
      <w:bookmarkEnd w:id="62"/>
      <w:bookmarkEnd w:id="63"/>
    </w:p>
    <w:p w14:paraId="18FF2F5A" w14:textId="3307A81B" w:rsidR="00AF3243" w:rsidRDefault="00AF3243" w:rsidP="003E71A4">
      <w:r>
        <w:t xml:space="preserve">Eighty-seven independent evaluations of Australian aid initiatives were completed in 2012 and </w:t>
      </w:r>
      <w:r w:rsidR="00C66398">
        <w:t xml:space="preserve">are </w:t>
      </w:r>
      <w:r>
        <w:t>included in our review.</w:t>
      </w:r>
      <w:r w:rsidR="00A74814">
        <w:t xml:space="preserve"> </w:t>
      </w:r>
      <w:r>
        <w:t>The characteristics of these evaluations are described below.</w:t>
      </w:r>
    </w:p>
    <w:p w14:paraId="10C85F0C" w14:textId="77777777" w:rsidR="00F3602E" w:rsidRDefault="00F3602E" w:rsidP="00F3602E">
      <w:pPr>
        <w:pStyle w:val="Heading3"/>
      </w:pPr>
      <w:bookmarkStart w:id="64" w:name="_Toc373303642"/>
      <w:bookmarkStart w:id="65" w:name="_Toc373304209"/>
      <w:r w:rsidRPr="005B02D2">
        <w:lastRenderedPageBreak/>
        <w:t>Evaluation</w:t>
      </w:r>
      <w:r>
        <w:t xml:space="preserve"> type</w:t>
      </w:r>
      <w:bookmarkEnd w:id="64"/>
      <w:bookmarkEnd w:id="65"/>
      <w:r>
        <w:t xml:space="preserve"> </w:t>
      </w:r>
    </w:p>
    <w:p w14:paraId="71F3108B" w14:textId="5052E963" w:rsidR="00F3602E" w:rsidRDefault="00F3602E">
      <w:pPr>
        <w:pStyle w:val="Bullet"/>
      </w:pPr>
      <w:r>
        <w:t>Fifty-one of the 87 evaluations reviewed (59 per cent) were independent progress reports</w:t>
      </w:r>
      <w:r w:rsidR="00C55D0C">
        <w:t xml:space="preserve"> (including mid-term reviews)</w:t>
      </w:r>
      <w:r>
        <w:t xml:space="preserve">, which </w:t>
      </w:r>
      <w:r w:rsidR="00C66398">
        <w:t>were completed</w:t>
      </w:r>
      <w:r>
        <w:t xml:space="preserve"> on average </w:t>
      </w:r>
      <w:r w:rsidR="00EF16AB" w:rsidRPr="005215B7">
        <w:t>two</w:t>
      </w:r>
      <w:r w:rsidRPr="006C4F7A">
        <w:t xml:space="preserve"> to 2.5 years</w:t>
      </w:r>
      <w:r>
        <w:t xml:space="preserve"> before the end of the initiative.</w:t>
      </w:r>
      <w:r w:rsidR="00A74814">
        <w:t xml:space="preserve"> </w:t>
      </w:r>
      <w:r>
        <w:t>Thirty-</w:t>
      </w:r>
      <w:r w:rsidR="00E67649">
        <w:t xml:space="preserve">four </w:t>
      </w:r>
      <w:r>
        <w:t>(</w:t>
      </w:r>
      <w:r w:rsidR="00E67649">
        <w:t>39</w:t>
      </w:r>
      <w:r w:rsidR="00EF16AB">
        <w:t> </w:t>
      </w:r>
      <w:r>
        <w:t xml:space="preserve">per cent) were independent completion reports, which </w:t>
      </w:r>
      <w:r w:rsidR="00C66398">
        <w:t>were completed</w:t>
      </w:r>
      <w:r>
        <w:t xml:space="preserve"> about one year before the end of </w:t>
      </w:r>
      <w:r w:rsidR="007C5173">
        <w:t xml:space="preserve">the </w:t>
      </w:r>
      <w:r>
        <w:t>initiative.</w:t>
      </w:r>
      <w:r w:rsidR="00A74814">
        <w:t xml:space="preserve"> </w:t>
      </w:r>
      <w:r>
        <w:t>Two were ex-post evaluations completed around five years after the end of the initiative.</w:t>
      </w:r>
      <w:r w:rsidR="004C6F4F">
        <w:rPr>
          <w:rStyle w:val="FootnoteReference"/>
        </w:rPr>
        <w:footnoteReference w:id="18"/>
      </w:r>
      <w:r w:rsidR="00A74814">
        <w:t xml:space="preserve"> </w:t>
      </w:r>
    </w:p>
    <w:p w14:paraId="14CEA5C0" w14:textId="30316B11" w:rsidR="00F3602E" w:rsidRDefault="00F3602E">
      <w:pPr>
        <w:pStyle w:val="Bullet"/>
      </w:pPr>
      <w:r>
        <w:t xml:space="preserve">Six of the 87 evaluations reviewed were </w:t>
      </w:r>
      <w:r w:rsidR="00744801">
        <w:t>‘</w:t>
      </w:r>
      <w:r>
        <w:t>cluster</w:t>
      </w:r>
      <w:r w:rsidR="00744801">
        <w:t>’</w:t>
      </w:r>
      <w:r>
        <w:t xml:space="preserve"> evaluations </w:t>
      </w:r>
      <w:r w:rsidR="00C55D0C">
        <w:t>covering</w:t>
      </w:r>
      <w:r>
        <w:t xml:space="preserve"> </w:t>
      </w:r>
      <w:r w:rsidR="00C55D0C">
        <w:t>more than one</w:t>
      </w:r>
      <w:r>
        <w:t xml:space="preserve"> initiative. Initiatives were </w:t>
      </w:r>
      <w:r w:rsidR="00AF3243">
        <w:t>evaluated as a cluster</w:t>
      </w:r>
      <w:r>
        <w:t xml:space="preserve"> because they were contemporaneous and fell within the same sector and country or because they formed separate phases</w:t>
      </w:r>
      <w:r w:rsidR="00AF3243">
        <w:t xml:space="preserve"> or types</w:t>
      </w:r>
      <w:r>
        <w:t xml:space="preserve"> of support for the same activity.</w:t>
      </w:r>
      <w:r>
        <w:rPr>
          <w:rStyle w:val="FootnoteReference"/>
        </w:rPr>
        <w:footnoteReference w:id="19"/>
      </w:r>
      <w:r>
        <w:t xml:space="preserve"> </w:t>
      </w:r>
    </w:p>
    <w:p w14:paraId="56B976F6" w14:textId="77777777" w:rsidR="00F3602E" w:rsidRDefault="00C66398" w:rsidP="007C5173">
      <w:pPr>
        <w:pStyle w:val="BulletLast"/>
      </w:pPr>
      <w:r>
        <w:t xml:space="preserve">Fifteen </w:t>
      </w:r>
      <w:r w:rsidR="00F3602E">
        <w:t xml:space="preserve">evaluations were joint evaluations led by partners rather than </w:t>
      </w:r>
      <w:r w:rsidR="00E742B0">
        <w:t>manag</w:t>
      </w:r>
      <w:r w:rsidR="00F3602E">
        <w:t>ed by</w:t>
      </w:r>
      <w:r w:rsidR="00555896">
        <w:t xml:space="preserve"> the former</w:t>
      </w:r>
      <w:r w:rsidR="00F3602E">
        <w:t xml:space="preserve"> </w:t>
      </w:r>
      <w:r w:rsidR="00F3602E" w:rsidRPr="00555896">
        <w:t>AusAID</w:t>
      </w:r>
      <w:r w:rsidR="00F3602E">
        <w:t xml:space="preserve"> alone. The</w:t>
      </w:r>
      <w:r>
        <w:t>se</w:t>
      </w:r>
      <w:r w:rsidR="00F3602E">
        <w:t xml:space="preserve"> </w:t>
      </w:r>
      <w:r w:rsidR="00C55D0C">
        <w:t xml:space="preserve">evaluations </w:t>
      </w:r>
      <w:r w:rsidR="00F3602E">
        <w:t>were mostly led by the World Bank or the United Nations.</w:t>
      </w:r>
      <w:r w:rsidR="00A74814">
        <w:t xml:space="preserve"> </w:t>
      </w:r>
    </w:p>
    <w:p w14:paraId="2415AEC2" w14:textId="77777777" w:rsidR="00DA28F7" w:rsidRPr="003A1D92" w:rsidRDefault="00DA28F7" w:rsidP="00DA28F7">
      <w:pPr>
        <w:pStyle w:val="Heading3"/>
      </w:pPr>
      <w:bookmarkStart w:id="66" w:name="_Toc373303645"/>
      <w:bookmarkStart w:id="67" w:name="_Toc373304212"/>
      <w:bookmarkStart w:id="68" w:name="_Toc373303643"/>
      <w:bookmarkStart w:id="69" w:name="_Toc373304210"/>
      <w:r w:rsidRPr="003A1D92">
        <w:t>Evaluation cost</w:t>
      </w:r>
      <w:bookmarkEnd w:id="66"/>
      <w:bookmarkEnd w:id="67"/>
    </w:p>
    <w:p w14:paraId="6EDE17D3" w14:textId="2DB0A0C8" w:rsidR="00DA28F7" w:rsidRPr="00170ED3" w:rsidRDefault="00170ED3" w:rsidP="00DA28F7">
      <w:pPr>
        <w:rPr>
          <w:color w:val="000000" w:themeColor="text1"/>
        </w:rPr>
      </w:pPr>
      <w:r w:rsidRPr="00170ED3">
        <w:rPr>
          <w:color w:val="000000" w:themeColor="text1"/>
        </w:rPr>
        <w:t>E</w:t>
      </w:r>
      <w:r w:rsidR="00DA28F7" w:rsidRPr="00170ED3">
        <w:rPr>
          <w:color w:val="000000" w:themeColor="text1"/>
        </w:rPr>
        <w:t xml:space="preserve">valuation budget details were available </w:t>
      </w:r>
      <w:r w:rsidR="00AD7BDA">
        <w:rPr>
          <w:color w:val="000000" w:themeColor="text1"/>
        </w:rPr>
        <w:t xml:space="preserve">for </w:t>
      </w:r>
      <w:r w:rsidR="00DA28F7" w:rsidRPr="00170ED3">
        <w:rPr>
          <w:color w:val="000000" w:themeColor="text1"/>
        </w:rPr>
        <w:t xml:space="preserve">only 39 </w:t>
      </w:r>
      <w:r w:rsidRPr="00170ED3">
        <w:rPr>
          <w:color w:val="000000" w:themeColor="text1"/>
        </w:rPr>
        <w:t xml:space="preserve">of the AusAID-managed evaluations and </w:t>
      </w:r>
      <w:r w:rsidR="00DA28F7" w:rsidRPr="00170ED3">
        <w:rPr>
          <w:color w:val="000000" w:themeColor="text1"/>
        </w:rPr>
        <w:t xml:space="preserve">do not include the cost of </w:t>
      </w:r>
      <w:r w:rsidR="00A15806">
        <w:rPr>
          <w:color w:val="000000" w:themeColor="text1"/>
        </w:rPr>
        <w:t>Australian Government aid</w:t>
      </w:r>
      <w:r w:rsidR="00E742B0">
        <w:rPr>
          <w:color w:val="000000" w:themeColor="text1"/>
        </w:rPr>
        <w:t xml:space="preserve"> program</w:t>
      </w:r>
      <w:r w:rsidR="00DA28F7" w:rsidRPr="00170ED3">
        <w:rPr>
          <w:color w:val="000000" w:themeColor="text1"/>
        </w:rPr>
        <w:t xml:space="preserve"> staff </w:t>
      </w:r>
      <w:r w:rsidRPr="00170ED3">
        <w:rPr>
          <w:color w:val="000000" w:themeColor="text1"/>
        </w:rPr>
        <w:t xml:space="preserve">involvement </w:t>
      </w:r>
      <w:r w:rsidR="00DA28F7" w:rsidRPr="00170ED3">
        <w:rPr>
          <w:color w:val="000000" w:themeColor="text1"/>
        </w:rPr>
        <w:t>where this occurred.</w:t>
      </w:r>
      <w:r w:rsidR="00A74814">
        <w:rPr>
          <w:color w:val="000000" w:themeColor="text1"/>
        </w:rPr>
        <w:t xml:space="preserve"> </w:t>
      </w:r>
      <w:r w:rsidR="00DA28F7" w:rsidRPr="00170ED3">
        <w:rPr>
          <w:color w:val="000000" w:themeColor="text1"/>
        </w:rPr>
        <w:t>For these 39 evaluations:</w:t>
      </w:r>
    </w:p>
    <w:p w14:paraId="5944E134" w14:textId="208A9627" w:rsidR="00DA28F7" w:rsidRPr="00170ED3" w:rsidRDefault="00DA28F7">
      <w:pPr>
        <w:pStyle w:val="Bullet"/>
      </w:pPr>
      <w:r w:rsidRPr="00170ED3">
        <w:t>The average cost was $90,000 but most evaluations cost less than this, with a median cost of $80,000.</w:t>
      </w:r>
      <w:r w:rsidR="00A74814">
        <w:t xml:space="preserve"> </w:t>
      </w:r>
      <w:r w:rsidRPr="00170ED3">
        <w:t>One</w:t>
      </w:r>
      <w:r w:rsidR="00AD7BDA">
        <w:t>-</w:t>
      </w:r>
      <w:r w:rsidRPr="00170ED3">
        <w:t xml:space="preserve">third cost more than $100,000. </w:t>
      </w:r>
    </w:p>
    <w:p w14:paraId="428062EE" w14:textId="7E5BB3B3" w:rsidR="00DA28F7" w:rsidRPr="00170ED3" w:rsidRDefault="00DA28F7">
      <w:pPr>
        <w:pStyle w:val="Bullet"/>
      </w:pPr>
      <w:r w:rsidRPr="00170ED3">
        <w:rPr>
          <w:rFonts w:eastAsiaTheme="minorEastAsia"/>
        </w:rPr>
        <w:t>More resources tended to be applied to evaluating larger initiatives.</w:t>
      </w:r>
      <w:r w:rsidRPr="00170ED3">
        <w:rPr>
          <w:rStyle w:val="FootnoteReference"/>
          <w:rFonts w:eastAsiaTheme="minorEastAsia"/>
          <w:color w:val="000000" w:themeColor="text1"/>
        </w:rPr>
        <w:footnoteReference w:id="20"/>
      </w:r>
      <w:r w:rsidR="00A74814">
        <w:rPr>
          <w:rFonts w:eastAsiaTheme="minorEastAsia"/>
        </w:rPr>
        <w:t xml:space="preserve"> </w:t>
      </w:r>
      <w:r w:rsidRPr="00170ED3">
        <w:rPr>
          <w:rFonts w:eastAsiaTheme="minorEastAsia"/>
        </w:rPr>
        <w:t xml:space="preserve">Evaluations </w:t>
      </w:r>
      <w:r w:rsidR="00170ED3" w:rsidRPr="00170ED3">
        <w:rPr>
          <w:rFonts w:eastAsiaTheme="minorEastAsia"/>
        </w:rPr>
        <w:t>of</w:t>
      </w:r>
      <w:r w:rsidRPr="00170ED3">
        <w:rPr>
          <w:rFonts w:eastAsiaTheme="minorEastAsia"/>
        </w:rPr>
        <w:t xml:space="preserve"> initiatives valued at more than $50</w:t>
      </w:r>
      <w:r w:rsidR="00AD7BDA">
        <w:rPr>
          <w:rFonts w:eastAsiaTheme="minorEastAsia"/>
        </w:rPr>
        <w:t> </w:t>
      </w:r>
      <w:r w:rsidRPr="00170ED3">
        <w:rPr>
          <w:rFonts w:eastAsiaTheme="minorEastAsia"/>
        </w:rPr>
        <w:t>million cost on average $125,000, while evaluations for initiatives valued at $50</w:t>
      </w:r>
      <w:r w:rsidR="00AD7BDA">
        <w:rPr>
          <w:rFonts w:eastAsiaTheme="minorEastAsia"/>
        </w:rPr>
        <w:t> </w:t>
      </w:r>
      <w:r w:rsidRPr="00170ED3">
        <w:rPr>
          <w:rFonts w:eastAsiaTheme="minorEastAsia"/>
        </w:rPr>
        <w:t>million or less cost on average $78,000.</w:t>
      </w:r>
      <w:r w:rsidR="00A74814">
        <w:rPr>
          <w:rFonts w:eastAsiaTheme="minorEastAsia"/>
        </w:rPr>
        <w:t xml:space="preserve"> </w:t>
      </w:r>
    </w:p>
    <w:p w14:paraId="52601289" w14:textId="5794B9AE" w:rsidR="00DA28F7" w:rsidRPr="00170ED3" w:rsidRDefault="00DA28F7" w:rsidP="007C5173">
      <w:pPr>
        <w:pStyle w:val="BulletLast"/>
      </w:pPr>
      <w:r w:rsidRPr="00170ED3">
        <w:t>Independent progress reviews were on average more expensive than independent completion reports, at an average of $98,000 for the former compared to $77,000 for the latter</w:t>
      </w:r>
      <w:r w:rsidR="00AD7BDA">
        <w:t>.</w:t>
      </w:r>
      <w:r w:rsidR="0027726C">
        <w:rPr>
          <w:rStyle w:val="FootnoteReference"/>
          <w:color w:val="000000" w:themeColor="text1"/>
        </w:rPr>
        <w:footnoteReference w:id="21"/>
      </w:r>
      <w:r w:rsidR="00A74814">
        <w:t xml:space="preserve"> </w:t>
      </w:r>
      <w:r w:rsidRPr="00170ED3">
        <w:t xml:space="preserve">This is most likely linked to the larger average team size for </w:t>
      </w:r>
      <w:r w:rsidR="00AD7BDA">
        <w:t xml:space="preserve">independent progress reviews </w:t>
      </w:r>
      <w:r w:rsidR="00A15806">
        <w:t>(discussed below)</w:t>
      </w:r>
      <w:r w:rsidRPr="00170ED3">
        <w:t>.</w:t>
      </w:r>
    </w:p>
    <w:p w14:paraId="4AB3F5F3" w14:textId="3FE70B8A" w:rsidR="00DA28F7" w:rsidRDefault="00DA28F7" w:rsidP="007C5173">
      <w:r>
        <w:t>Reliable evaluation cost data was not available for</w:t>
      </w:r>
      <w:r w:rsidR="00170ED3">
        <w:t xml:space="preserve"> </w:t>
      </w:r>
      <w:r>
        <w:t>the partner-led joint evaluations</w:t>
      </w:r>
      <w:r w:rsidR="009010BA">
        <w:t>,</w:t>
      </w:r>
      <w:r>
        <w:t xml:space="preserve"> but if overall length, number of fieldwork days and number of team members are used as proxy measures for resourcing</w:t>
      </w:r>
      <w:r w:rsidR="007C5173">
        <w:t>,</w:t>
      </w:r>
      <w:r>
        <w:t xml:space="preserve"> then</w:t>
      </w:r>
      <w:r w:rsidR="00A15806">
        <w:t xml:space="preserve"> the</w:t>
      </w:r>
      <w:r>
        <w:t xml:space="preserve"> partner-led joint evaluations </w:t>
      </w:r>
      <w:r w:rsidR="00A15806">
        <w:t>were</w:t>
      </w:r>
      <w:r>
        <w:t xml:space="preserve">, on average, better resourced than </w:t>
      </w:r>
      <w:r w:rsidR="00A15806">
        <w:t xml:space="preserve">the </w:t>
      </w:r>
      <w:r>
        <w:t>evaluations managed by the former AusAID alone</w:t>
      </w:r>
      <w:r w:rsidR="00170ED3">
        <w:t xml:space="preserve"> (discussed below)</w:t>
      </w:r>
      <w:r>
        <w:t>.</w:t>
      </w:r>
    </w:p>
    <w:p w14:paraId="74EF3F7E" w14:textId="074AB076" w:rsidR="00F3602E" w:rsidRDefault="00F3602E" w:rsidP="00F3602E">
      <w:pPr>
        <w:pStyle w:val="Heading3"/>
      </w:pPr>
      <w:r w:rsidRPr="005B02D2">
        <w:t>Evaluation team</w:t>
      </w:r>
      <w:bookmarkEnd w:id="68"/>
      <w:bookmarkEnd w:id="69"/>
    </w:p>
    <w:p w14:paraId="1963CB46" w14:textId="1084BC46" w:rsidR="00637D34" w:rsidRDefault="00AD7BDA">
      <w:pPr>
        <w:pStyle w:val="Bullet"/>
      </w:pPr>
      <w:bookmarkStart w:id="70" w:name="_Toc373303644"/>
      <w:bookmarkStart w:id="71" w:name="_Toc373304211"/>
      <w:r>
        <w:t xml:space="preserve">Seventy-eight </w:t>
      </w:r>
      <w:r w:rsidR="00637D34">
        <w:t>of the 87 evaluation reports had information on team size. The evaluation teams ranged in size from one to eight, with the majority having one, two or three members (17</w:t>
      </w:r>
      <w:r>
        <w:t> </w:t>
      </w:r>
      <w:r w:rsidR="00637D34">
        <w:t>per cent</w:t>
      </w:r>
      <w:r w:rsidR="00637D34" w:rsidRPr="008404D6">
        <w:t xml:space="preserve"> had a single evaluator</w:t>
      </w:r>
      <w:r w:rsidR="00637D34">
        <w:t xml:space="preserve"> and</w:t>
      </w:r>
      <w:r w:rsidR="00637D34" w:rsidRPr="008404D6">
        <w:t xml:space="preserve"> </w:t>
      </w:r>
      <w:r w:rsidR="00637D34">
        <w:t>60</w:t>
      </w:r>
      <w:r>
        <w:t> </w:t>
      </w:r>
      <w:r w:rsidR="00637D34">
        <w:t>per cent</w:t>
      </w:r>
      <w:r w:rsidR="00637D34" w:rsidRPr="008404D6">
        <w:t xml:space="preserve"> had </w:t>
      </w:r>
      <w:r w:rsidR="00637D34">
        <w:t>two or three</w:t>
      </w:r>
      <w:r w:rsidR="00637D34" w:rsidRPr="008404D6">
        <w:t xml:space="preserve"> </w:t>
      </w:r>
      <w:r>
        <w:t>people</w:t>
      </w:r>
      <w:r w:rsidR="00637D34" w:rsidRPr="008404D6">
        <w:t>)</w:t>
      </w:r>
      <w:r w:rsidR="00637D34">
        <w:t xml:space="preserve">. </w:t>
      </w:r>
    </w:p>
    <w:p w14:paraId="2479F1B5" w14:textId="3DF1A3C5" w:rsidR="00637D34" w:rsidRDefault="00637D34">
      <w:pPr>
        <w:pStyle w:val="Bullet"/>
      </w:pPr>
      <w:r>
        <w:lastRenderedPageBreak/>
        <w:t xml:space="preserve">On average, </w:t>
      </w:r>
      <w:r w:rsidR="00AD7BDA">
        <w:t>independent progress report</w:t>
      </w:r>
      <w:r>
        <w:t xml:space="preserve">s had larger teams than </w:t>
      </w:r>
      <w:r w:rsidR="00AD7BDA">
        <w:t>independent completion report</w:t>
      </w:r>
      <w:r>
        <w:t>s.</w:t>
      </w:r>
      <w:r w:rsidR="00A74814">
        <w:t xml:space="preserve"> </w:t>
      </w:r>
      <w:r w:rsidR="008C1678">
        <w:t>Twenty-four</w:t>
      </w:r>
      <w:r>
        <w:t xml:space="preserve"> of the 45 </w:t>
      </w:r>
      <w:r w:rsidR="00AD7BDA">
        <w:t>independent progress report</w:t>
      </w:r>
      <w:r>
        <w:t>s with information on team size available (53</w:t>
      </w:r>
      <w:r w:rsidR="008C1678">
        <w:t> </w:t>
      </w:r>
      <w:r>
        <w:t xml:space="preserve">per cent) had teams of </w:t>
      </w:r>
      <w:r w:rsidR="008C1678">
        <w:t>three</w:t>
      </w:r>
      <w:r>
        <w:t xml:space="preserve"> or more, compared to only </w:t>
      </w:r>
      <w:r w:rsidR="008C1678">
        <w:t>nine</w:t>
      </w:r>
      <w:r>
        <w:t xml:space="preserve"> of the 31 </w:t>
      </w:r>
      <w:r w:rsidR="00AD7BDA">
        <w:t>independent completion report</w:t>
      </w:r>
      <w:r>
        <w:t>s (29</w:t>
      </w:r>
      <w:r w:rsidR="008C1678">
        <w:t> </w:t>
      </w:r>
      <w:r>
        <w:t xml:space="preserve">per cent) </w:t>
      </w:r>
      <w:r w:rsidR="008C1678">
        <w:t xml:space="preserve">for which </w:t>
      </w:r>
      <w:r>
        <w:t>this information</w:t>
      </w:r>
      <w:r w:rsidR="008C1678">
        <w:t xml:space="preserve"> was</w:t>
      </w:r>
      <w:r>
        <w:t xml:space="preserve"> available. </w:t>
      </w:r>
    </w:p>
    <w:p w14:paraId="753A65D9" w14:textId="43EB6261" w:rsidR="00637D34" w:rsidRDefault="00637D34">
      <w:pPr>
        <w:pStyle w:val="Bullet"/>
      </w:pPr>
      <w:r>
        <w:t>Seventy-four different team leaders were used.</w:t>
      </w:r>
      <w:r w:rsidR="00A74814">
        <w:t xml:space="preserve"> </w:t>
      </w:r>
      <w:r>
        <w:t xml:space="preserve">One </w:t>
      </w:r>
      <w:r w:rsidR="008C1678">
        <w:t>t</w:t>
      </w:r>
      <w:r>
        <w:t xml:space="preserve">eam </w:t>
      </w:r>
      <w:r w:rsidR="008C1678">
        <w:t>l</w:t>
      </w:r>
      <w:r>
        <w:t xml:space="preserve">eader completed three evaluations and five completed two evaluations. </w:t>
      </w:r>
    </w:p>
    <w:p w14:paraId="5C621F68" w14:textId="2086735E" w:rsidR="00637D34" w:rsidRDefault="00637D34" w:rsidP="007C5173">
      <w:pPr>
        <w:pStyle w:val="BulletLast"/>
      </w:pPr>
      <w:r>
        <w:t xml:space="preserve">In just under half of </w:t>
      </w:r>
      <w:r w:rsidR="008C1678">
        <w:t xml:space="preserve">the </w:t>
      </w:r>
      <w:r>
        <w:t xml:space="preserve">evaluations (42 of the 87), Australian Government aid </w:t>
      </w:r>
      <w:r w:rsidR="00345588">
        <w:t>program staff</w:t>
      </w:r>
      <w:r>
        <w:t xml:space="preserve"> were also involved in conducting the evaluation.</w:t>
      </w:r>
      <w:r w:rsidR="00A74814">
        <w:t xml:space="preserve"> </w:t>
      </w:r>
      <w:r w:rsidR="00345588">
        <w:t xml:space="preserve">This typically included aid initiative or program managers, or in </w:t>
      </w:r>
      <w:r w:rsidR="0027726C">
        <w:t>some</w:t>
      </w:r>
      <w:r w:rsidR="00345588">
        <w:t xml:space="preserve"> cases specialist advisers (e.g. gender or sector specialists).</w:t>
      </w:r>
      <w:r w:rsidR="00A74814">
        <w:t xml:space="preserve"> </w:t>
      </w:r>
      <w:r>
        <w:t xml:space="preserve">However, as the extent of their role was not always stated, we did not include these staff members as team members in our analysis </w:t>
      </w:r>
      <w:r w:rsidR="0027726C">
        <w:t>around</w:t>
      </w:r>
      <w:r>
        <w:t xml:space="preserve"> team size.</w:t>
      </w:r>
      <w:r w:rsidR="00A74814">
        <w:t xml:space="preserve"> </w:t>
      </w:r>
    </w:p>
    <w:p w14:paraId="3B5BB013" w14:textId="2D005199" w:rsidR="00637D34" w:rsidRDefault="00637D34" w:rsidP="00637D34">
      <w:r>
        <w:t xml:space="preserve">Details were not readily available on the range of skills and experience or areas of specialisation </w:t>
      </w:r>
      <w:r w:rsidR="008C1678">
        <w:t>of</w:t>
      </w:r>
      <w:r>
        <w:t xml:space="preserve"> team</w:t>
      </w:r>
      <w:r w:rsidR="008C1678">
        <w:t xml:space="preserve"> members</w:t>
      </w:r>
      <w:r>
        <w:t>.</w:t>
      </w:r>
    </w:p>
    <w:p w14:paraId="477E93D5" w14:textId="5ECCF881" w:rsidR="003A1D92" w:rsidRPr="003A1D92" w:rsidRDefault="00F3602E" w:rsidP="00D83F9C">
      <w:pPr>
        <w:pStyle w:val="Heading3"/>
      </w:pPr>
      <w:r w:rsidRPr="003A1D92">
        <w:t xml:space="preserve">Evaluation </w:t>
      </w:r>
      <w:r w:rsidR="002F2667">
        <w:t>d</w:t>
      </w:r>
      <w:r w:rsidRPr="003A1D92">
        <w:t>uration</w:t>
      </w:r>
      <w:bookmarkEnd w:id="70"/>
      <w:bookmarkEnd w:id="71"/>
    </w:p>
    <w:p w14:paraId="5DFA1E6E" w14:textId="219B79B8" w:rsidR="00F630D5" w:rsidRDefault="00F3602E" w:rsidP="00F3602E">
      <w:r>
        <w:t xml:space="preserve">The length of the evaluations </w:t>
      </w:r>
      <w:r w:rsidR="003E71A4">
        <w:t xml:space="preserve">was </w:t>
      </w:r>
      <w:r>
        <w:t>measured in two ways</w:t>
      </w:r>
      <w:r w:rsidR="00F630D5">
        <w:t>:</w:t>
      </w:r>
      <w:r w:rsidR="00A74814">
        <w:t xml:space="preserve"> </w:t>
      </w:r>
      <w:r>
        <w:t xml:space="preserve">the total length from the start of the </w:t>
      </w:r>
      <w:r w:rsidR="00F630D5">
        <w:t xml:space="preserve">evaluation </w:t>
      </w:r>
      <w:r>
        <w:t>to the</w:t>
      </w:r>
      <w:r w:rsidR="00F630D5">
        <w:t xml:space="preserve"> evaluation</w:t>
      </w:r>
      <w:r>
        <w:t xml:space="preserve"> report submissio</w:t>
      </w:r>
      <w:r w:rsidR="00774EFB">
        <w:t>n</w:t>
      </w:r>
      <w:r w:rsidR="008C1678">
        <w:t>;</w:t>
      </w:r>
      <w:r>
        <w:t xml:space="preserve"> and the number of fieldwork days. Calendar days (the overall period of time for the work) rather than person </w:t>
      </w:r>
      <w:r w:rsidR="00F630D5">
        <w:t xml:space="preserve">or consultancy days </w:t>
      </w:r>
      <w:r>
        <w:t xml:space="preserve">were used, as this data was more consistently reported. </w:t>
      </w:r>
    </w:p>
    <w:p w14:paraId="5F6E49CF" w14:textId="057CBFE6" w:rsidR="00774EFB" w:rsidRDefault="00F630D5">
      <w:pPr>
        <w:pStyle w:val="Bullet"/>
      </w:pPr>
      <w:r>
        <w:t>For the 58 evaluations that had data available</w:t>
      </w:r>
      <w:r w:rsidR="00774EFB">
        <w:t>, t</w:t>
      </w:r>
      <w:r w:rsidR="00F3602E">
        <w:t>he total l</w:t>
      </w:r>
      <w:r w:rsidR="00F3602E" w:rsidRPr="00EC0D65">
        <w:t xml:space="preserve">ength of </w:t>
      </w:r>
      <w:r w:rsidR="00F3602E">
        <w:t>most was three to six weeks, with a range from 10 to 270</w:t>
      </w:r>
      <w:r w:rsidR="008C1678">
        <w:t> </w:t>
      </w:r>
      <w:r w:rsidR="00F3602E">
        <w:t>days.</w:t>
      </w:r>
      <w:r w:rsidR="00A74814">
        <w:t xml:space="preserve"> </w:t>
      </w:r>
      <w:r w:rsidR="006A5B5E">
        <w:t>P</w:t>
      </w:r>
      <w:r w:rsidR="00774EFB" w:rsidRPr="007E53F6">
        <w:t xml:space="preserve">artner-led </w:t>
      </w:r>
      <w:r w:rsidR="006A5B5E">
        <w:t xml:space="preserve">joint </w:t>
      </w:r>
      <w:r w:rsidR="00774EFB" w:rsidRPr="007E53F6">
        <w:t>evaluations</w:t>
      </w:r>
      <w:r w:rsidR="00774EFB">
        <w:t xml:space="preserve"> were longer on average (averaging 80</w:t>
      </w:r>
      <w:r w:rsidR="008C1678">
        <w:t> </w:t>
      </w:r>
      <w:r w:rsidR="00774EFB">
        <w:t>days compared to 37 for evaluations</w:t>
      </w:r>
      <w:r w:rsidR="006A5B5E">
        <w:t xml:space="preserve"> managed by the former AusAID alone</w:t>
      </w:r>
      <w:r w:rsidR="00774EFB">
        <w:t>)</w:t>
      </w:r>
      <w:r w:rsidR="008C1678">
        <w:t>.</w:t>
      </w:r>
      <w:r w:rsidR="00774EFB">
        <w:t xml:space="preserve"> </w:t>
      </w:r>
      <w:r w:rsidR="008C1678">
        <w:t>S</w:t>
      </w:r>
      <w:r w:rsidR="00774EFB">
        <w:t>ome of these are major studies such as the evaluations of UN Delivering as One reform or the Afghanistan Reconstruction Trust Fund.</w:t>
      </w:r>
    </w:p>
    <w:p w14:paraId="251280F6" w14:textId="1C402A4A" w:rsidR="00F3602E" w:rsidRDefault="00F630D5" w:rsidP="009A5A32">
      <w:pPr>
        <w:pStyle w:val="BulletLast"/>
      </w:pPr>
      <w:r>
        <w:t xml:space="preserve">For the 67 evaluations that had data available, </w:t>
      </w:r>
      <w:r w:rsidR="00774EFB">
        <w:t xml:space="preserve">fieldwork </w:t>
      </w:r>
      <w:r w:rsidR="00F3602E">
        <w:t>wa</w:t>
      </w:r>
      <w:r w:rsidR="00F3602E" w:rsidRPr="00EC0D65">
        <w:t xml:space="preserve">s </w:t>
      </w:r>
      <w:r w:rsidR="00F3602E">
        <w:t>on average 15</w:t>
      </w:r>
      <w:r w:rsidR="008C1678">
        <w:t> </w:t>
      </w:r>
      <w:r w:rsidR="00F3602E">
        <w:t>calendar days with a range from zero to 42</w:t>
      </w:r>
      <w:r w:rsidR="008C1678">
        <w:t> </w:t>
      </w:r>
      <w:r w:rsidR="00B04A75">
        <w:t>days</w:t>
      </w:r>
      <w:r w:rsidR="00F3602E">
        <w:t>.</w:t>
      </w:r>
      <w:r w:rsidR="00A74814">
        <w:t xml:space="preserve"> </w:t>
      </w:r>
      <w:r w:rsidR="006A5B5E">
        <w:t xml:space="preserve">On average, partner-led joint evaluations had </w:t>
      </w:r>
      <w:r w:rsidR="00637D34">
        <w:t>five</w:t>
      </w:r>
      <w:r w:rsidR="006A5B5E">
        <w:t xml:space="preserve"> more fieldwork days than evaluations managed by the former AusAID alone.</w:t>
      </w:r>
    </w:p>
    <w:p w14:paraId="51EA3362" w14:textId="77777777" w:rsidR="00E863DD" w:rsidRDefault="00E863DD" w:rsidP="00E11385">
      <w:pPr>
        <w:pStyle w:val="Heading3"/>
      </w:pPr>
      <w:bookmarkStart w:id="72" w:name="_Toc372723827"/>
      <w:bookmarkStart w:id="73" w:name="_Ref377989638"/>
      <w:bookmarkStart w:id="74" w:name="_Ref377990661"/>
      <w:bookmarkStart w:id="75" w:name="_Toc378059981"/>
      <w:r>
        <w:t>Assessment</w:t>
      </w:r>
      <w:r w:rsidR="004F0355">
        <w:t>s</w:t>
      </w:r>
      <w:r>
        <w:t xml:space="preserve"> </w:t>
      </w:r>
      <w:r w:rsidR="004F0355">
        <w:t xml:space="preserve">and ratings </w:t>
      </w:r>
      <w:r>
        <w:t>against standard Australian aid quality criteria</w:t>
      </w:r>
    </w:p>
    <w:bookmarkEnd w:id="72"/>
    <w:bookmarkEnd w:id="73"/>
    <w:bookmarkEnd w:id="74"/>
    <w:bookmarkEnd w:id="75"/>
    <w:p w14:paraId="20C22486" w14:textId="63E2E089" w:rsidR="00AA07E8" w:rsidRDefault="006954E8" w:rsidP="00107C97">
      <w:r>
        <w:t xml:space="preserve">As discussed in section </w:t>
      </w:r>
      <w:r>
        <w:fldChar w:fldCharType="begin"/>
      </w:r>
      <w:r>
        <w:instrText xml:space="preserve"> REF _Ref381702971 \r \h </w:instrText>
      </w:r>
      <w:r>
        <w:fldChar w:fldCharType="separate"/>
      </w:r>
      <w:r w:rsidR="00147362">
        <w:t>2.1</w:t>
      </w:r>
      <w:r>
        <w:fldChar w:fldCharType="end"/>
      </w:r>
      <w:r>
        <w:t>, a</w:t>
      </w:r>
      <w:r w:rsidR="00705B66">
        <w:t>cross DFAT</w:t>
      </w:r>
      <w:r w:rsidR="00744801">
        <w:t>’</w:t>
      </w:r>
      <w:r w:rsidR="00705B66">
        <w:t xml:space="preserve">s aid performance management and reporting systems </w:t>
      </w:r>
      <w:r w:rsidR="00705B66" w:rsidRPr="00470983">
        <w:t>standard criteria</w:t>
      </w:r>
      <w:r w:rsidR="00705B66">
        <w:t xml:space="preserve"> are used</w:t>
      </w:r>
      <w:r w:rsidR="00705B66" w:rsidRPr="00470983">
        <w:t xml:space="preserve"> for evaluating </w:t>
      </w:r>
      <w:r w:rsidR="000A7AD8">
        <w:t>the quality of Australian aid</w:t>
      </w:r>
      <w:r w:rsidR="00705B66">
        <w:t>.</w:t>
      </w:r>
      <w:r w:rsidR="00A74814">
        <w:t xml:space="preserve"> </w:t>
      </w:r>
      <w:r w:rsidR="00727515">
        <w:t>Of these, t</w:t>
      </w:r>
      <w:r w:rsidR="00705B66">
        <w:t>he following five criteria</w:t>
      </w:r>
      <w:r w:rsidR="00705B66" w:rsidRPr="00294662">
        <w:t xml:space="preserve"> </w:t>
      </w:r>
      <w:r w:rsidR="000A7AD8">
        <w:t>are based on</w:t>
      </w:r>
      <w:r w:rsidR="00705B66" w:rsidRPr="00294662">
        <w:t xml:space="preserve"> the</w:t>
      </w:r>
      <w:r w:rsidR="000A7AD8">
        <w:t xml:space="preserve"> internationally agreed aid effectiveness criteria identified by the</w:t>
      </w:r>
      <w:r w:rsidR="00705B66" w:rsidRPr="00294662">
        <w:t xml:space="preserve"> OECD-DAC</w:t>
      </w:r>
      <w:r w:rsidR="00705B66">
        <w:t>: relevance, effectiveness, efficiency, impact</w:t>
      </w:r>
      <w:r w:rsidR="001B7CFB">
        <w:rPr>
          <w:rStyle w:val="FootnoteReference"/>
        </w:rPr>
        <w:footnoteReference w:id="22"/>
      </w:r>
      <w:r w:rsidR="001B7CFB">
        <w:t xml:space="preserve"> </w:t>
      </w:r>
      <w:r w:rsidR="00705B66">
        <w:t>and sustainability.</w:t>
      </w:r>
      <w:r w:rsidR="00A74814">
        <w:t xml:space="preserve"> </w:t>
      </w:r>
      <w:r w:rsidR="001B7CFB">
        <w:t xml:space="preserve">Two </w:t>
      </w:r>
      <w:r w:rsidR="00727515">
        <w:t>further</w:t>
      </w:r>
      <w:r w:rsidR="001B7CFB">
        <w:t xml:space="preserve"> criteria are also widely used </w:t>
      </w:r>
      <w:r w:rsidR="00A964D9">
        <w:t>within</w:t>
      </w:r>
      <w:r w:rsidR="001B7CFB">
        <w:t xml:space="preserve"> DFAT:</w:t>
      </w:r>
      <w:r w:rsidR="00A74814">
        <w:t xml:space="preserve"> </w:t>
      </w:r>
      <w:r w:rsidR="001B7CFB">
        <w:t>monitoring and evaluation</w:t>
      </w:r>
      <w:r w:rsidR="00D30B32">
        <w:t>, and gender equality</w:t>
      </w:r>
      <w:r w:rsidR="001B7CFB">
        <w:t>.</w:t>
      </w:r>
      <w:r w:rsidR="00A964D9">
        <w:rPr>
          <w:rStyle w:val="FootnoteReference"/>
        </w:rPr>
        <w:footnoteReference w:id="23"/>
      </w:r>
      <w:r w:rsidR="00A74814">
        <w:t xml:space="preserve"> </w:t>
      </w:r>
      <w:r>
        <w:t>W</w:t>
      </w:r>
      <w:r w:rsidR="004F0355">
        <w:t>hile there was some variation across the criteria, w</w:t>
      </w:r>
      <w:r>
        <w:t>e found that most evaluations provided assessments against most of these criteria, with the notable exception of impact.</w:t>
      </w:r>
      <w:r w:rsidR="00A74814">
        <w:t xml:space="preserve"> </w:t>
      </w:r>
      <w:r w:rsidR="004F0355">
        <w:t xml:space="preserve">The coverage and quality of these assessments is discussed in section </w:t>
      </w:r>
      <w:r w:rsidR="004F0355">
        <w:fldChar w:fldCharType="begin"/>
      </w:r>
      <w:r w:rsidR="004F0355">
        <w:instrText xml:space="preserve"> REF _Ref379184164 \r \h </w:instrText>
      </w:r>
      <w:r w:rsidR="004F0355">
        <w:fldChar w:fldCharType="separate"/>
      </w:r>
      <w:r w:rsidR="00147362">
        <w:t>4.3</w:t>
      </w:r>
      <w:r w:rsidR="004F0355">
        <w:fldChar w:fldCharType="end"/>
      </w:r>
      <w:r w:rsidR="004F0355">
        <w:t>.</w:t>
      </w:r>
      <w:r w:rsidR="003342D9" w:rsidRPr="003342D9">
        <w:t xml:space="preserve"> </w:t>
      </w:r>
    </w:p>
    <w:p w14:paraId="52FFEE10" w14:textId="67A62020" w:rsidR="001722AE" w:rsidRDefault="006954E8" w:rsidP="00EB0A5D">
      <w:r>
        <w:t>Guidelines in effect in 2012 recommended the inclusion of numerical ratings for initiative performance against these criteria (except impact).</w:t>
      </w:r>
      <w:r w:rsidR="00A74814">
        <w:t xml:space="preserve"> </w:t>
      </w:r>
      <w:r>
        <w:t>A six-point rating scale is used</w:t>
      </w:r>
      <w:r w:rsidR="004F0355">
        <w:t xml:space="preserve">, with </w:t>
      </w:r>
      <w:r>
        <w:t xml:space="preserve">1 </w:t>
      </w:r>
      <w:r w:rsidR="004F0355">
        <w:t>indicating</w:t>
      </w:r>
      <w:r>
        <w:t xml:space="preserve"> very poor quality and 6 </w:t>
      </w:r>
      <w:r w:rsidR="004F0355">
        <w:t>indicating</w:t>
      </w:r>
      <w:r>
        <w:t xml:space="preserve"> very high quality.</w:t>
      </w:r>
      <w:r w:rsidR="00A74814">
        <w:t xml:space="preserve"> </w:t>
      </w:r>
      <w:r w:rsidR="00C957F8">
        <w:t>However</w:t>
      </w:r>
      <w:r w:rsidR="00E863DD">
        <w:t xml:space="preserve">, </w:t>
      </w:r>
      <w:r w:rsidR="008C1678">
        <w:t xml:space="preserve">fewer </w:t>
      </w:r>
      <w:r w:rsidR="00AD2271">
        <w:t>than half</w:t>
      </w:r>
      <w:r w:rsidR="00AA07E8">
        <w:t xml:space="preserve"> of the 87 evaluations</w:t>
      </w:r>
      <w:r w:rsidR="00C55EF9">
        <w:t xml:space="preserve"> </w:t>
      </w:r>
      <w:r w:rsidR="00C55EF9">
        <w:lastRenderedPageBreak/>
        <w:t>actually</w:t>
      </w:r>
      <w:r w:rsidR="00AD2271">
        <w:t xml:space="preserve"> </w:t>
      </w:r>
      <w:r w:rsidR="00F3602E">
        <w:t>provided</w:t>
      </w:r>
      <w:r w:rsidR="00367A23">
        <w:t xml:space="preserve"> numerical</w:t>
      </w:r>
      <w:r w:rsidR="00F3602E">
        <w:t xml:space="preserve"> ratings.</w:t>
      </w:r>
      <w:r w:rsidR="00A74814">
        <w:t xml:space="preserve"> </w:t>
      </w:r>
      <w:r w:rsidR="00F3602E">
        <w:t>The criteria were</w:t>
      </w:r>
      <w:r w:rsidR="00F3602E" w:rsidRPr="00405640">
        <w:t xml:space="preserve"> not covered equally</w:t>
      </w:r>
      <w:r w:rsidR="00F3602E">
        <w:t>:</w:t>
      </w:r>
      <w:r w:rsidR="00A74814">
        <w:t xml:space="preserve"> </w:t>
      </w:r>
      <w:r w:rsidR="00F3602E" w:rsidRPr="00405640">
        <w:t xml:space="preserve">38 evaluations </w:t>
      </w:r>
      <w:r w:rsidR="00F30ADE">
        <w:t>provided</w:t>
      </w:r>
      <w:r w:rsidR="00F30ADE" w:rsidRPr="00405640">
        <w:t xml:space="preserve"> </w:t>
      </w:r>
      <w:r w:rsidR="00F3602E" w:rsidRPr="00405640">
        <w:t xml:space="preserve">ratings for </w:t>
      </w:r>
      <w:r w:rsidR="009017FC">
        <w:t>e</w:t>
      </w:r>
      <w:r w:rsidR="00F3602E" w:rsidRPr="00405640">
        <w:t>ffectiveness</w:t>
      </w:r>
      <w:r w:rsidR="00F3602E">
        <w:t xml:space="preserve"> (44</w:t>
      </w:r>
      <w:r w:rsidR="009017FC">
        <w:t> </w:t>
      </w:r>
      <w:r w:rsidR="00F30ADE">
        <w:t>per cent)</w:t>
      </w:r>
      <w:r w:rsidR="009017FC">
        <w:t>;</w:t>
      </w:r>
      <w:r w:rsidR="00F30ADE" w:rsidRPr="00405640">
        <w:t xml:space="preserve"> </w:t>
      </w:r>
      <w:r w:rsidR="00F3602E" w:rsidRPr="00405640">
        <w:t xml:space="preserve">37 rated </w:t>
      </w:r>
      <w:r w:rsidR="009017FC">
        <w:t>r</w:t>
      </w:r>
      <w:r w:rsidR="00F3602E" w:rsidRPr="00405640">
        <w:t xml:space="preserve">elevance, </w:t>
      </w:r>
      <w:r w:rsidR="009017FC">
        <w:t>e</w:t>
      </w:r>
      <w:r w:rsidR="00F3602E" w:rsidRPr="00405640">
        <w:t xml:space="preserve">fficiency and </w:t>
      </w:r>
      <w:r w:rsidR="009017FC">
        <w:t>s</w:t>
      </w:r>
      <w:r w:rsidR="00F3602E" w:rsidRPr="00405640">
        <w:t>ustainability</w:t>
      </w:r>
      <w:r w:rsidR="00F3602E">
        <w:t xml:space="preserve"> (43</w:t>
      </w:r>
      <w:r w:rsidR="009017FC">
        <w:t> </w:t>
      </w:r>
      <w:r w:rsidR="00F30ADE">
        <w:t>per cent</w:t>
      </w:r>
      <w:r w:rsidR="00F3602E">
        <w:t>)</w:t>
      </w:r>
      <w:r w:rsidR="009017FC">
        <w:t>;</w:t>
      </w:r>
      <w:r w:rsidR="00F3602E" w:rsidRPr="00405640">
        <w:t xml:space="preserve"> 35 rated </w:t>
      </w:r>
      <w:r w:rsidR="009017FC">
        <w:t>monitoring and evaluation (</w:t>
      </w:r>
      <w:r w:rsidR="00F3602E" w:rsidRPr="00405640">
        <w:t>M&amp;E</w:t>
      </w:r>
      <w:r w:rsidR="009017FC">
        <w:t>)</w:t>
      </w:r>
      <w:r w:rsidR="00F3602E">
        <w:t xml:space="preserve"> (40</w:t>
      </w:r>
      <w:r w:rsidR="009017FC">
        <w:t> </w:t>
      </w:r>
      <w:r w:rsidR="00F30ADE">
        <w:t>per cent</w:t>
      </w:r>
      <w:r w:rsidR="00F3602E">
        <w:t>)</w:t>
      </w:r>
      <w:r w:rsidR="009017FC">
        <w:t>;</w:t>
      </w:r>
      <w:r w:rsidR="00F3602E" w:rsidRPr="00405640">
        <w:t xml:space="preserve"> 33 rated </w:t>
      </w:r>
      <w:r w:rsidR="009017FC">
        <w:t>g</w:t>
      </w:r>
      <w:r w:rsidR="00F3602E" w:rsidRPr="00405640">
        <w:t xml:space="preserve">ender </w:t>
      </w:r>
      <w:r w:rsidR="009017FC">
        <w:t>e</w:t>
      </w:r>
      <w:r w:rsidR="00F3602E" w:rsidRPr="00405640">
        <w:t>quality</w:t>
      </w:r>
      <w:r w:rsidR="00F3602E">
        <w:t xml:space="preserve"> (38</w:t>
      </w:r>
      <w:r w:rsidR="00F30ADE">
        <w:t xml:space="preserve"> per cent</w:t>
      </w:r>
      <w:r w:rsidR="00F3602E">
        <w:t>)</w:t>
      </w:r>
      <w:r w:rsidR="009017FC">
        <w:t>;</w:t>
      </w:r>
      <w:r w:rsidR="00F3602E" w:rsidRPr="00405640">
        <w:t xml:space="preserve"> and only </w:t>
      </w:r>
      <w:r w:rsidR="009017FC">
        <w:t>nine</w:t>
      </w:r>
      <w:r w:rsidR="00F3602E" w:rsidRPr="00405640">
        <w:t xml:space="preserve"> rated </w:t>
      </w:r>
      <w:r w:rsidR="009017FC">
        <w:t>i</w:t>
      </w:r>
      <w:r w:rsidR="00F3602E" w:rsidRPr="00405640">
        <w:t>mpact</w:t>
      </w:r>
      <w:r w:rsidR="00F3602E">
        <w:t xml:space="preserve"> (10</w:t>
      </w:r>
      <w:r w:rsidR="009017FC">
        <w:t> </w:t>
      </w:r>
      <w:r w:rsidR="00F30ADE">
        <w:t>per cent</w:t>
      </w:r>
      <w:r w:rsidR="00F3602E">
        <w:t>)</w:t>
      </w:r>
      <w:r w:rsidR="00F3602E" w:rsidRPr="00405640">
        <w:t>.</w:t>
      </w:r>
      <w:r w:rsidR="00A74814">
        <w:t xml:space="preserve"> </w:t>
      </w:r>
      <w:r w:rsidR="002F5E43">
        <w:t xml:space="preserve">Evaluation </w:t>
      </w:r>
      <w:r w:rsidR="00AD2271">
        <w:t>report</w:t>
      </w:r>
      <w:r w:rsidR="00F3602E">
        <w:t xml:space="preserve">s did not </w:t>
      </w:r>
      <w:r w:rsidR="00A24900">
        <w:t xml:space="preserve">provide </w:t>
      </w:r>
      <w:r w:rsidR="00F3602E">
        <w:t xml:space="preserve">ratings </w:t>
      </w:r>
      <w:r w:rsidR="00107C97">
        <w:t xml:space="preserve">against </w:t>
      </w:r>
      <w:r w:rsidR="008F3D2F">
        <w:t>the</w:t>
      </w:r>
      <w:r w:rsidR="00107C97" w:rsidRPr="00107C97">
        <w:t xml:space="preserve"> standard </w:t>
      </w:r>
      <w:r w:rsidR="008F3D2F">
        <w:t xml:space="preserve">Australian </w:t>
      </w:r>
      <w:r w:rsidR="00A24900">
        <w:t xml:space="preserve">aid </w:t>
      </w:r>
      <w:r w:rsidR="00107C97" w:rsidRPr="00107C97">
        <w:t xml:space="preserve">quality criteria </w:t>
      </w:r>
      <w:r w:rsidR="00F3602E">
        <w:t>for various reasons</w:t>
      </w:r>
      <w:r w:rsidR="009017FC">
        <w:t>;</w:t>
      </w:r>
      <w:r w:rsidR="002F5E43">
        <w:t xml:space="preserve"> </w:t>
      </w:r>
      <w:r w:rsidR="00470983">
        <w:t>most commonly</w:t>
      </w:r>
      <w:r w:rsidR="009017FC">
        <w:t xml:space="preserve"> it was</w:t>
      </w:r>
      <w:r w:rsidR="00470983">
        <w:t xml:space="preserve"> because</w:t>
      </w:r>
      <w:r w:rsidR="00F3602E">
        <w:t xml:space="preserve"> the </w:t>
      </w:r>
      <w:r w:rsidR="00ED26E9">
        <w:t xml:space="preserve">terms of reference </w:t>
      </w:r>
      <w:r w:rsidR="00F3602E">
        <w:t xml:space="preserve">did not require ratings to be </w:t>
      </w:r>
      <w:r w:rsidR="00A24900">
        <w:t>provided</w:t>
      </w:r>
      <w:r w:rsidR="00F3602E">
        <w:t xml:space="preserve"> or </w:t>
      </w:r>
      <w:r w:rsidR="009017FC">
        <w:t xml:space="preserve">because </w:t>
      </w:r>
      <w:r w:rsidR="00F3602E">
        <w:t xml:space="preserve">the evaluation was a partner-led exercise where no ratings were </w:t>
      </w:r>
      <w:r w:rsidR="00A24900">
        <w:t xml:space="preserve">provided </w:t>
      </w:r>
      <w:r w:rsidR="00F3602E">
        <w:t>or a different rating system was used</w:t>
      </w:r>
      <w:r w:rsidR="002F5E43">
        <w:t xml:space="preserve"> that </w:t>
      </w:r>
      <w:r w:rsidR="002C6D3E">
        <w:t xml:space="preserve">was not comparable to the </w:t>
      </w:r>
      <w:r w:rsidR="00107C97">
        <w:t>DFAT</w:t>
      </w:r>
      <w:r w:rsidR="002C6D3E">
        <w:t xml:space="preserve"> system</w:t>
      </w:r>
      <w:r w:rsidR="009017FC">
        <w:t>.</w:t>
      </w:r>
      <w:r w:rsidR="00470983" w:rsidRPr="00335B74">
        <w:rPr>
          <w:rStyle w:val="FootnoteReference"/>
        </w:rPr>
        <w:footnoteReference w:id="24"/>
      </w:r>
      <w:r w:rsidR="00A74814">
        <w:t xml:space="preserve"> </w:t>
      </w:r>
      <w:r w:rsidR="00C957F8">
        <w:t xml:space="preserve">Section </w:t>
      </w:r>
      <w:r w:rsidR="00C957F8">
        <w:fldChar w:fldCharType="begin"/>
      </w:r>
      <w:r w:rsidR="00C957F8">
        <w:instrText xml:space="preserve"> REF _Ref379292060 \r \h  \* MERGEFORMAT </w:instrText>
      </w:r>
      <w:r w:rsidR="00C957F8">
        <w:fldChar w:fldCharType="separate"/>
      </w:r>
      <w:r w:rsidR="00147362">
        <w:t>4.3</w:t>
      </w:r>
      <w:r w:rsidR="00C957F8">
        <w:fldChar w:fldCharType="end"/>
      </w:r>
      <w:r w:rsidR="00C957F8">
        <w:t xml:space="preserve"> considers the robustness of the ratings.</w:t>
      </w:r>
    </w:p>
    <w:p w14:paraId="3D66BE59" w14:textId="77777777" w:rsidR="00B6199A" w:rsidRDefault="00B6199A" w:rsidP="00B6199A">
      <w:pPr>
        <w:pStyle w:val="Boxheading0"/>
      </w:pPr>
      <w:r>
        <w:t xml:space="preserve">Box </w:t>
      </w:r>
      <w:r w:rsidR="007C3830">
        <w:fldChar w:fldCharType="begin"/>
      </w:r>
      <w:r w:rsidR="007C3830">
        <w:instrText xml:space="preserve"> SEQ Box \* ARABIC </w:instrText>
      </w:r>
      <w:r w:rsidR="007C3830">
        <w:fldChar w:fldCharType="separate"/>
      </w:r>
      <w:r w:rsidR="00147362">
        <w:rPr>
          <w:noProof/>
        </w:rPr>
        <w:t>3</w:t>
      </w:r>
      <w:r w:rsidR="007C3830">
        <w:rPr>
          <w:noProof/>
        </w:rPr>
        <w:fldChar w:fldCharType="end"/>
      </w:r>
      <w:r>
        <w:tab/>
        <w:t>What do the ratings tell us about the performance of aid initiatives?</w:t>
      </w:r>
    </w:p>
    <w:p w14:paraId="29A13593" w14:textId="77777777" w:rsidR="00B6199A" w:rsidRPr="00CB73AC" w:rsidRDefault="00B6199A" w:rsidP="00B6199A">
      <w:pPr>
        <w:pStyle w:val="BoxText"/>
        <w:rPr>
          <w:sz w:val="2"/>
          <w:szCs w:val="2"/>
        </w:rPr>
      </w:pPr>
    </w:p>
    <w:p w14:paraId="289108B1" w14:textId="77777777" w:rsidR="00B6199A" w:rsidRDefault="00B6199A" w:rsidP="00B6199A">
      <w:pPr>
        <w:pStyle w:val="BoxText"/>
      </w:pPr>
      <w:r>
        <w:t>While this review focuses on the quality (coverage and robustness) and, to a lesser extent, utility of the ratings provided in the evaluations, the question of what the ratings actually tell us about the performance of Australian aid initiatives is also of interest.</w:t>
      </w:r>
    </w:p>
    <w:p w14:paraId="5F07424B" w14:textId="77777777" w:rsidR="00B6199A" w:rsidRDefault="00B6199A" w:rsidP="00B6199A">
      <w:pPr>
        <w:pStyle w:val="BoxText"/>
      </w:pPr>
      <w:r>
        <w:t>That fewer than half of the evaluations provided numerical ratings limits our ability</w:t>
      </w:r>
      <w:r>
        <w:rPr>
          <w:rFonts w:ascii="Arial" w:hAnsi="Arial"/>
        </w:rPr>
        <w:t>—</w:t>
      </w:r>
      <w:r>
        <w:t>and the ability of areas across the department</w:t>
      </w:r>
      <w:r>
        <w:rPr>
          <w:rFonts w:ascii="Arial" w:hAnsi="Arial"/>
        </w:rPr>
        <w:t>—</w:t>
      </w:r>
      <w:r>
        <w:t xml:space="preserve">to make findings based on evaluation ratings with a high degree of confidence. Given that caveat, the ratings data can still provide an overview of the assessed performance of these initiatives </w:t>
      </w:r>
      <w:r w:rsidRPr="00DA1090">
        <w:t>(see</w:t>
      </w:r>
      <w:r>
        <w:t xml:space="preserve"> Figure 2). In summary:</w:t>
      </w:r>
    </w:p>
    <w:p w14:paraId="348728D7" w14:textId="77777777" w:rsidR="00B6199A" w:rsidRDefault="00B6199A" w:rsidP="00B6199A">
      <w:pPr>
        <w:pStyle w:val="Boxbullet"/>
      </w:pPr>
      <w:r w:rsidRPr="00E260E9">
        <w:t>Relevance</w:t>
      </w:r>
      <w:r>
        <w:t xml:space="preserve"> was rated as adequate or better in all rated initiatives, including all but two rated as either good or very high quality.</w:t>
      </w:r>
    </w:p>
    <w:p w14:paraId="403681AB" w14:textId="77777777" w:rsidR="00B6199A" w:rsidRDefault="00B6199A" w:rsidP="00B6199A">
      <w:pPr>
        <w:pStyle w:val="Boxbullet"/>
      </w:pPr>
      <w:r w:rsidRPr="00E260E9">
        <w:t>Effectiveness</w:t>
      </w:r>
      <w:r>
        <w:t xml:space="preserve"> was rated as adequate or better</w:t>
      </w:r>
      <w:r w:rsidDel="00AA07E8">
        <w:t xml:space="preserve"> </w:t>
      </w:r>
      <w:r>
        <w:t>in 92 per cent of rated initiatives, but with the majority rated as adequate rather than good.</w:t>
      </w:r>
    </w:p>
    <w:p w14:paraId="0619547E" w14:textId="77777777" w:rsidR="00B6199A" w:rsidRDefault="00B6199A" w:rsidP="00B6199A">
      <w:pPr>
        <w:pStyle w:val="Boxbullet"/>
      </w:pPr>
      <w:r w:rsidRPr="00E260E9">
        <w:t>Efficiency</w:t>
      </w:r>
      <w:r>
        <w:t xml:space="preserve"> was rated adequate or better in 62 per cent of rated initiatives.</w:t>
      </w:r>
    </w:p>
    <w:p w14:paraId="14CB114F" w14:textId="77777777" w:rsidR="00B6199A" w:rsidRDefault="00B6199A" w:rsidP="00B6199A">
      <w:pPr>
        <w:pStyle w:val="Boxbullet"/>
      </w:pPr>
      <w:r w:rsidRPr="00E260E9">
        <w:t xml:space="preserve">Sustainability </w:t>
      </w:r>
      <w:r>
        <w:t>was rated as adequate or better in 73 per cent of rated initiatives.</w:t>
      </w:r>
    </w:p>
    <w:p w14:paraId="4D63CBA1" w14:textId="77777777" w:rsidR="00B6199A" w:rsidRDefault="00B6199A" w:rsidP="00B6199A">
      <w:pPr>
        <w:pStyle w:val="Boxbullet"/>
      </w:pPr>
      <w:r w:rsidRPr="00E260E9">
        <w:t xml:space="preserve">M&amp;E </w:t>
      </w:r>
      <w:r>
        <w:t xml:space="preserve">was rated adequate or better in only 51 per cent of rated initiatives, with more initiatives rated as poor or very poor than any other criterion. </w:t>
      </w:r>
    </w:p>
    <w:p w14:paraId="0887C7B8" w14:textId="77777777" w:rsidR="00B6199A" w:rsidRDefault="00B6199A" w:rsidP="00B6199A">
      <w:pPr>
        <w:pStyle w:val="Boxbullet"/>
      </w:pPr>
      <w:r w:rsidRPr="00E260E9">
        <w:t>Gender</w:t>
      </w:r>
      <w:r>
        <w:t xml:space="preserve"> </w:t>
      </w:r>
      <w:r w:rsidRPr="00E260E9">
        <w:t>equality</w:t>
      </w:r>
      <w:r>
        <w:t xml:space="preserve"> was rated adequate or better in 61 per cent of rated initiatives.</w:t>
      </w:r>
      <w:r w:rsidRPr="00405640">
        <w:t xml:space="preserve"> </w:t>
      </w:r>
    </w:p>
    <w:p w14:paraId="5C05845B" w14:textId="77777777" w:rsidR="00B6199A" w:rsidRDefault="00B6199A" w:rsidP="00B6199A">
      <w:pPr>
        <w:pStyle w:val="Boxbullet"/>
        <w:spacing w:after="240"/>
        <w:ind w:left="425" w:hanging="425"/>
      </w:pPr>
      <w:r w:rsidRPr="00E260E9">
        <w:t xml:space="preserve">Impact </w:t>
      </w:r>
      <w:r w:rsidRPr="00016978">
        <w:t xml:space="preserve">was rated in only </w:t>
      </w:r>
      <w:r>
        <w:t>nine</w:t>
      </w:r>
      <w:r w:rsidRPr="00016978">
        <w:t xml:space="preserve"> evaluations</w:t>
      </w:r>
      <w:r>
        <w:t xml:space="preserve"> (</w:t>
      </w:r>
      <w:r w:rsidRPr="00016978">
        <w:t>so is not included in Figure 2</w:t>
      </w:r>
      <w:r>
        <w:t>)</w:t>
      </w:r>
      <w:r w:rsidRPr="00016978">
        <w:t>.</w:t>
      </w:r>
    </w:p>
    <w:p w14:paraId="5AB37ED5" w14:textId="77777777" w:rsidR="00B6199A" w:rsidRPr="00F6334F" w:rsidRDefault="00B6199A" w:rsidP="00B6199A">
      <w:pPr>
        <w:pStyle w:val="BoxText"/>
        <w:rPr>
          <w:b/>
          <w:sz w:val="22"/>
          <w:szCs w:val="22"/>
        </w:rPr>
      </w:pPr>
      <w:r w:rsidRPr="00F6334F">
        <w:rPr>
          <w:b/>
          <w:sz w:val="22"/>
          <w:szCs w:val="22"/>
        </w:rPr>
        <w:t xml:space="preserve">Figure </w:t>
      </w:r>
      <w:r w:rsidRPr="00F6334F">
        <w:rPr>
          <w:b/>
          <w:sz w:val="22"/>
          <w:szCs w:val="22"/>
        </w:rPr>
        <w:fldChar w:fldCharType="begin"/>
      </w:r>
      <w:r w:rsidRPr="00F6334F">
        <w:rPr>
          <w:b/>
          <w:sz w:val="22"/>
          <w:szCs w:val="22"/>
        </w:rPr>
        <w:instrText xml:space="preserve"> SEQ Figure \* ARABIC </w:instrText>
      </w:r>
      <w:r w:rsidRPr="00F6334F">
        <w:rPr>
          <w:b/>
          <w:sz w:val="22"/>
          <w:szCs w:val="22"/>
        </w:rPr>
        <w:fldChar w:fldCharType="separate"/>
      </w:r>
      <w:r w:rsidR="00147362">
        <w:rPr>
          <w:b/>
          <w:noProof/>
          <w:sz w:val="22"/>
          <w:szCs w:val="22"/>
        </w:rPr>
        <w:t>2</w:t>
      </w:r>
      <w:r w:rsidRPr="00F6334F">
        <w:rPr>
          <w:b/>
          <w:sz w:val="22"/>
          <w:szCs w:val="22"/>
        </w:rPr>
        <w:fldChar w:fldCharType="end"/>
      </w:r>
      <w:r w:rsidRPr="00F6334F">
        <w:rPr>
          <w:b/>
          <w:sz w:val="22"/>
          <w:szCs w:val="22"/>
        </w:rPr>
        <w:tab/>
        <w:t>Standard Australian aid quality criteria—ratings data from the evaluations</w:t>
      </w:r>
    </w:p>
    <w:p w14:paraId="5619F8B3" w14:textId="5248762F" w:rsidR="00B6199A" w:rsidRDefault="00B6199A" w:rsidP="00B6199A">
      <w:pPr>
        <w:pStyle w:val="Boxbullet"/>
        <w:numPr>
          <w:ilvl w:val="0"/>
          <w:numId w:val="0"/>
        </w:numPr>
        <w:ind w:left="426" w:hanging="426"/>
        <w:jc w:val="center"/>
      </w:pPr>
      <w:r w:rsidRPr="00B768CA">
        <w:rPr>
          <w:noProof/>
        </w:rPr>
        <w:drawing>
          <wp:inline distT="0" distB="0" distL="0" distR="0" wp14:anchorId="5FD4EF1F" wp14:editId="4DDE5582">
            <wp:extent cx="5104737" cy="2234317"/>
            <wp:effectExtent l="0" t="0" r="127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bookmarkStart w:id="76" w:name="_Toc372125014"/>
    <w:bookmarkStart w:id="77" w:name="_Toc372723828"/>
    <w:bookmarkStart w:id="78" w:name="_Ref373159497"/>
    <w:bookmarkStart w:id="79" w:name="_Ref378239137"/>
    <w:bookmarkStart w:id="80" w:name="_Toc378059982"/>
    <w:bookmarkStart w:id="81" w:name="_Ref381710878"/>
    <w:bookmarkStart w:id="82" w:name="_Toc387675108"/>
    <w:p w14:paraId="4262A8D8" w14:textId="531EB815" w:rsidR="00F3602E" w:rsidRDefault="00D80938">
      <w:pPr>
        <w:pStyle w:val="Heading1"/>
      </w:pPr>
      <w:r w:rsidRPr="00380EAE">
        <w:rPr>
          <w:noProof/>
        </w:rPr>
        <w:lastRenderedPageBreak/>
        <mc:AlternateContent>
          <mc:Choice Requires="wps">
            <w:drawing>
              <wp:anchor distT="0" distB="0" distL="114300" distR="114300" simplePos="0" relativeHeight="251670528" behindDoc="1" locked="0" layoutInCell="1" allowOverlap="1" wp14:anchorId="237326DB" wp14:editId="7C1FD46D">
                <wp:simplePos x="0" y="0"/>
                <wp:positionH relativeFrom="page">
                  <wp:align>left</wp:align>
                </wp:positionH>
                <wp:positionV relativeFrom="paragraph">
                  <wp:posOffset>-144145</wp:posOffset>
                </wp:positionV>
                <wp:extent cx="7610400" cy="1468800"/>
                <wp:effectExtent l="0" t="0" r="10160" b="4445"/>
                <wp:wrapNone/>
                <wp:docPr id="20" name="Rectangle 20"/>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BDE562D" id="Rectangle 20" o:spid="_x0000_s1026" style="position:absolute;margin-left:0;margin-top:-11.35pt;width:599.25pt;height:115.65pt;z-index:-2516459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pelgIAAIgFAAAOAAAAZHJzL2Uyb0RvYy54bWysVMFu2zAMvQ/YPwi6r7YDN02DOkXQosOA&#10;oi3aDj0rshQbkEVNUuJkXz9Kst2uK3YYloMiiuQj+Uzy4vLQKbIX1rWgK1qc5JQIzaFu9bai359v&#10;viwocZ7pminQoqJH4ejl6vOni94sxQwaULWwBEG0W/amoo33ZplljjeiY+4EjNColGA75lG026y2&#10;rEf0TmWzPJ9nPdjaWODCOXy9Tkq6ivhSCu7vpXTCE1VRzM3H08ZzE85sdcGWW8tM0/IhDfYPWXSs&#10;1Rh0grpmnpGdbf+A6lpuwYH0Jxy6DKRsuYg1YDVF/q6ap4YZEWtBcpyZaHL/D5bf7R8saeuKzpAe&#10;zTr8Ro/IGtNbJQi+IUG9cUu0ezIPdpAcXkO1B2m78I91kEMk9TiRKg6ecHw8mxd5mSM4R11RzhcL&#10;FBAne3U31vmvAjoSLhW1GD+Syfa3zifT0SREc6Da+qZVKgp2u7lSluwZfuFiVpaL+YD+m5nSwVhD&#10;cEuI4SULpaVi4s0flQh2Sj8Kiaxg+rOYSexHMcVhnAvti6RqWC1S+NMcf2P00MHBI1YaAQOyxPgT&#10;9gAwWiaQETtlOdgHVxHbeXLO/5ZYcp48YmTQfnLuWg32IwCFVQ2Rk/1IUqImsLSB+og9YyENkzP8&#10;psXvdsucf2AWpwe/NW4Ef4+HVNBXFIYbJQ3Ynx+9B3tsatRS0uM0VtT92DErKFHfNLb7eVGWYXyj&#10;UJ6ehWa1bzWbtxq9664gtAPuHsPjNdh7NV6lhe4FF8c6REUV0xxjV5R7OwpXPm0JXD1crNfRDEfW&#10;MH+rnwwP4IHV0JfPhxdmzdC8Hvv+DsbJZct3PZxsg6eG9c6DbGODv/I68I3jHhtnWE1hn7yVo9Xr&#10;Al39AgAA//8DAFBLAwQUAAYACAAAACEAmSApJt0AAAAJAQAADwAAAGRycy9kb3ducmV2LnhtbEyP&#10;wU7DMBBE70j8g7VI3FonRpQQsqlQJThE4kBL7268xBHxOsRuG/4e9wTH0Yxm3lTr2Q3iRFPoPSPk&#10;ywwEcetNzx3Cx+5lUYAIUbPRg2dC+KEA6/r6qtKl8Wd+p9M2diKVcCg1go1xLKUMrSWnw9KPxMn7&#10;9JPTMcmpk2bS51TuBqmybCWd7jktWD3SxlL7tT06hKYgu+/emmH+bna53Ny9+j0pxNub+fkJRKQ5&#10;/oXhgp/QoU5MB39kE8SAkI5EhIVSDyAudv5Y3IM4IKisWIGsK/n/Qf0LAAD//wMAUEsBAi0AFAAG&#10;AAgAAAAhALaDOJL+AAAA4QEAABMAAAAAAAAAAAAAAAAAAAAAAFtDb250ZW50X1R5cGVzXS54bWxQ&#10;SwECLQAUAAYACAAAACEAOP0h/9YAAACUAQAACwAAAAAAAAAAAAAAAAAvAQAAX3JlbHMvLnJlbHNQ&#10;SwECLQAUAAYACAAAACEA7RDKXpYCAACIBQAADgAAAAAAAAAAAAAAAAAuAgAAZHJzL2Uyb0RvYy54&#10;bWxQSwECLQAUAAYACAAAACEAmSApJt0AAAAJAQAADwAAAAAAAAAAAAAAAADwBAAAZHJzL2Rvd25y&#10;ZXYueG1sUEsFBgAAAAAEAAQA8wAAAPoFAAAAAA==&#10;" fillcolor="#124486" stroked="f" strokeweight="2pt">
                <w10:wrap anchorx="page"/>
              </v:rect>
            </w:pict>
          </mc:Fallback>
        </mc:AlternateContent>
      </w:r>
      <w:r w:rsidRPr="00C5152F">
        <w:t>4</w:t>
      </w:r>
      <w:r w:rsidRPr="00C5152F">
        <w:tab/>
        <w:t>Q</w:t>
      </w:r>
      <w:r w:rsidR="00F3602E" w:rsidRPr="00C5152F">
        <w:t>uality and credibility of evaluations</w:t>
      </w:r>
      <w:bookmarkEnd w:id="76"/>
      <w:bookmarkEnd w:id="77"/>
      <w:bookmarkEnd w:id="78"/>
      <w:bookmarkEnd w:id="79"/>
      <w:bookmarkEnd w:id="80"/>
      <w:bookmarkEnd w:id="81"/>
      <w:bookmarkEnd w:id="82"/>
    </w:p>
    <w:p w14:paraId="5DF4348B" w14:textId="73E7945E" w:rsidR="009C1140" w:rsidRDefault="009C1140" w:rsidP="0059696E">
      <w:r>
        <w:t xml:space="preserve">This chapter </w:t>
      </w:r>
      <w:r w:rsidR="00733ACA">
        <w:t>considers</w:t>
      </w:r>
      <w:r w:rsidR="00D63B27">
        <w:t xml:space="preserve"> the degree to which operational evaluations provide a credible source of evidence for the effectiveness of the Australian aid program, and identif</w:t>
      </w:r>
      <w:r w:rsidR="00733ACA">
        <w:t>ies</w:t>
      </w:r>
      <w:r w:rsidR="00D63B27">
        <w:t xml:space="preserve"> the major strengths and weaknesses of operational evaluations.</w:t>
      </w:r>
      <w:r w:rsidR="00A74814">
        <w:t xml:space="preserve"> </w:t>
      </w:r>
    </w:p>
    <w:p w14:paraId="7C909CAC" w14:textId="77777777" w:rsidR="004A6F77" w:rsidRPr="004A6F77" w:rsidRDefault="00917362" w:rsidP="0059696E">
      <w:pPr>
        <w:rPr>
          <w:color w:val="000000" w:themeColor="text1"/>
        </w:rPr>
      </w:pPr>
      <w:r w:rsidRPr="00940722">
        <w:t xml:space="preserve">Our review </w:t>
      </w:r>
      <w:r>
        <w:t xml:space="preserve">team </w:t>
      </w:r>
      <w:r w:rsidRPr="00940722">
        <w:t>assessed the quality</w:t>
      </w:r>
      <w:r>
        <w:t xml:space="preserve"> and credibility</w:t>
      </w:r>
      <w:r w:rsidRPr="00940722">
        <w:t xml:space="preserve"> of the 87 </w:t>
      </w:r>
      <w:r>
        <w:t xml:space="preserve">independent </w:t>
      </w:r>
      <w:r w:rsidRPr="00940722">
        <w:t xml:space="preserve">evaluations </w:t>
      </w:r>
      <w:r>
        <w:t xml:space="preserve">completed in 2012 </w:t>
      </w:r>
      <w:r w:rsidRPr="00940722">
        <w:t xml:space="preserve">against </w:t>
      </w:r>
      <w:r w:rsidR="00092774">
        <w:t xml:space="preserve">a total of </w:t>
      </w:r>
      <w:r w:rsidRPr="00940722">
        <w:t>15 quality criteria</w:t>
      </w:r>
      <w:r w:rsidR="00733ACA">
        <w:t xml:space="preserve"> (</w:t>
      </w:r>
      <w:r w:rsidR="004A6F77">
        <w:t xml:space="preserve">set out in </w:t>
      </w:r>
      <w:r w:rsidR="004A6F77">
        <w:fldChar w:fldCharType="begin"/>
      </w:r>
      <w:r w:rsidR="004A6F77">
        <w:instrText xml:space="preserve"> REF _Ref379293543 \h </w:instrText>
      </w:r>
      <w:r w:rsidR="004A6F77">
        <w:fldChar w:fldCharType="separate"/>
      </w:r>
      <w:r w:rsidR="00147362" w:rsidRPr="00C72750">
        <w:t xml:space="preserve">Figure </w:t>
      </w:r>
      <w:r w:rsidR="00147362">
        <w:rPr>
          <w:noProof/>
        </w:rPr>
        <w:t>3</w:t>
      </w:r>
      <w:r w:rsidR="004A6F77">
        <w:fldChar w:fldCharType="end"/>
      </w:r>
      <w:r w:rsidR="004A6F77">
        <w:t xml:space="preserve"> below)</w:t>
      </w:r>
      <w:r w:rsidR="004A6F77" w:rsidRPr="00841B16">
        <w:rPr>
          <w:color w:val="000000" w:themeColor="text1"/>
        </w:rPr>
        <w:t>.</w:t>
      </w:r>
    </w:p>
    <w:p w14:paraId="52D76D11" w14:textId="351BE4AE" w:rsidR="00AD1BCB" w:rsidRDefault="004A6F77" w:rsidP="004A6F77">
      <w:pPr>
        <w:rPr>
          <w:color w:val="000000" w:themeColor="text1"/>
        </w:rPr>
      </w:pPr>
      <w:r>
        <w:t xml:space="preserve">The 15 quality criteria include </w:t>
      </w:r>
      <w:r w:rsidR="00A52E82" w:rsidRPr="00D618B1">
        <w:t>nine general evaluation quality standards</w:t>
      </w:r>
      <w:r w:rsidR="00294662" w:rsidRPr="00D618B1">
        <w:t>.</w:t>
      </w:r>
      <w:r w:rsidR="00A74814">
        <w:t xml:space="preserve"> </w:t>
      </w:r>
      <w:r w:rsidR="00294662" w:rsidRPr="00D618B1">
        <w:t xml:space="preserve">These </w:t>
      </w:r>
      <w:r w:rsidR="003C18E2">
        <w:t xml:space="preserve">are </w:t>
      </w:r>
      <w:r w:rsidR="004C4DBE">
        <w:t xml:space="preserve">features that a good evaluation ought to have </w:t>
      </w:r>
      <w:r w:rsidR="004C4DBE" w:rsidRPr="005215B7">
        <w:t>(for example, clear</w:t>
      </w:r>
      <w:r w:rsidR="004C4DBE">
        <w:t xml:space="preserve"> purpose and scope; appropriate methodology; and credible evidence and analysis).</w:t>
      </w:r>
      <w:r w:rsidR="00A74814">
        <w:t xml:space="preserve"> </w:t>
      </w:r>
      <w:r w:rsidR="004C4DBE">
        <w:t>They draw</w:t>
      </w:r>
      <w:r w:rsidR="00092774" w:rsidRPr="00D618B1">
        <w:t xml:space="preserve"> on a selection</w:t>
      </w:r>
      <w:r w:rsidR="00092774">
        <w:t xml:space="preserve"> from the </w:t>
      </w:r>
      <w:r w:rsidR="00FD5AD5">
        <w:t xml:space="preserve">DFAT </w:t>
      </w:r>
      <w:r w:rsidR="0015399E">
        <w:t xml:space="preserve">Aid </w:t>
      </w:r>
      <w:r w:rsidR="00092774">
        <w:t xml:space="preserve">Monitoring and Evaluation </w:t>
      </w:r>
      <w:r w:rsidR="00294662">
        <w:t>S</w:t>
      </w:r>
      <w:r w:rsidR="00092774">
        <w:t>tandards</w:t>
      </w:r>
      <w:r w:rsidR="004C4DBE">
        <w:t xml:space="preserve"> </w:t>
      </w:r>
      <w:r w:rsidR="004C4DBE">
        <w:rPr>
          <w:color w:val="000000" w:themeColor="text1"/>
        </w:rPr>
        <w:t>for good practice</w:t>
      </w:r>
      <w:r w:rsidR="00FD5AD5">
        <w:rPr>
          <w:color w:val="000000" w:themeColor="text1"/>
        </w:rPr>
        <w:t xml:space="preserve"> (see Annex 5),</w:t>
      </w:r>
      <w:r w:rsidR="00FD5AD5">
        <w:t xml:space="preserve"> </w:t>
      </w:r>
      <w:r w:rsidR="004C4DBE">
        <w:t>especially standard</w:t>
      </w:r>
      <w:r w:rsidR="003C18E2">
        <w:t> </w:t>
      </w:r>
      <w:r w:rsidR="004C4DBE">
        <w:t>6 relating to evaluation reports</w:t>
      </w:r>
      <w:r w:rsidR="0015399E">
        <w:t>.</w:t>
      </w:r>
      <w:r w:rsidR="00A74814">
        <w:t xml:space="preserve"> </w:t>
      </w:r>
      <w:r w:rsidR="0015399E">
        <w:t xml:space="preserve">These </w:t>
      </w:r>
      <w:r w:rsidR="003C18E2">
        <w:t>s</w:t>
      </w:r>
      <w:r w:rsidR="0015399E">
        <w:t xml:space="preserve">tandards </w:t>
      </w:r>
      <w:r w:rsidR="00CB67BC">
        <w:t>in turn</w:t>
      </w:r>
      <w:r w:rsidR="00092774">
        <w:t xml:space="preserve"> draw on the</w:t>
      </w:r>
      <w:r w:rsidR="00D618B1">
        <w:t xml:space="preserve"> internationally</w:t>
      </w:r>
      <w:r w:rsidR="003C18E2">
        <w:t xml:space="preserve"> </w:t>
      </w:r>
      <w:r w:rsidR="00D618B1">
        <w:t>agreed</w:t>
      </w:r>
      <w:r w:rsidR="00092774">
        <w:t xml:space="preserve"> OECD</w:t>
      </w:r>
      <w:r w:rsidR="003A5BA1">
        <w:t>–</w:t>
      </w:r>
      <w:r w:rsidR="00092774">
        <w:t xml:space="preserve">DAC evaluation </w:t>
      </w:r>
      <w:r w:rsidR="00092774" w:rsidRPr="004A6F77">
        <w:rPr>
          <w:color w:val="000000" w:themeColor="text1"/>
        </w:rPr>
        <w:t>quality standards</w:t>
      </w:r>
      <w:r w:rsidR="00294662" w:rsidRPr="004A6F77">
        <w:rPr>
          <w:color w:val="000000" w:themeColor="text1"/>
        </w:rPr>
        <w:t>.</w:t>
      </w:r>
      <w:r w:rsidR="00A74814">
        <w:rPr>
          <w:color w:val="000000" w:themeColor="text1"/>
        </w:rPr>
        <w:t xml:space="preserve"> </w:t>
      </w:r>
    </w:p>
    <w:p w14:paraId="2D80054F" w14:textId="468F8EFD" w:rsidR="004A6F77" w:rsidRPr="004A6F77" w:rsidRDefault="00733ACA" w:rsidP="004A6F77">
      <w:pPr>
        <w:rPr>
          <w:color w:val="000000" w:themeColor="text1"/>
        </w:rPr>
      </w:pPr>
      <w:r>
        <w:rPr>
          <w:color w:val="000000" w:themeColor="text1"/>
        </w:rPr>
        <w:t>W</w:t>
      </w:r>
      <w:r w:rsidR="004A6F77" w:rsidRPr="004A6F77">
        <w:rPr>
          <w:color w:val="000000" w:themeColor="text1"/>
        </w:rPr>
        <w:t xml:space="preserve">e have assessed each evaluation against </w:t>
      </w:r>
      <w:r w:rsidR="003C18E2">
        <w:rPr>
          <w:color w:val="000000" w:themeColor="text1"/>
        </w:rPr>
        <w:t>these</w:t>
      </w:r>
      <w:r>
        <w:rPr>
          <w:color w:val="000000" w:themeColor="text1"/>
        </w:rPr>
        <w:t xml:space="preserve"> generic</w:t>
      </w:r>
      <w:r w:rsidR="004A6F77" w:rsidRPr="004A6F77">
        <w:rPr>
          <w:color w:val="000000" w:themeColor="text1"/>
        </w:rPr>
        <w:t xml:space="preserve"> criteria without taking into account the intended purpose or utility of the individual evaluation.</w:t>
      </w:r>
      <w:r w:rsidR="00A74814">
        <w:rPr>
          <w:color w:val="000000" w:themeColor="text1"/>
        </w:rPr>
        <w:t xml:space="preserve"> </w:t>
      </w:r>
      <w:r w:rsidR="004A6F77" w:rsidRPr="004A6F77">
        <w:rPr>
          <w:color w:val="000000" w:themeColor="text1"/>
        </w:rPr>
        <w:t>Evaluations can be undertaken for a range of purposes, as reflected in the variation in scope, design and resourcing.</w:t>
      </w:r>
      <w:r w:rsidR="00A74814">
        <w:rPr>
          <w:color w:val="000000" w:themeColor="text1"/>
        </w:rPr>
        <w:t xml:space="preserve"> </w:t>
      </w:r>
      <w:r w:rsidR="004A6F77" w:rsidRPr="004A6F77">
        <w:rPr>
          <w:color w:val="000000" w:themeColor="text1"/>
        </w:rPr>
        <w:t xml:space="preserve">Some evaluations are </w:t>
      </w:r>
      <w:r>
        <w:rPr>
          <w:color w:val="000000" w:themeColor="text1"/>
        </w:rPr>
        <w:t>design</w:t>
      </w:r>
      <w:r w:rsidR="004A6F77" w:rsidRPr="004A6F77">
        <w:rPr>
          <w:color w:val="000000" w:themeColor="text1"/>
        </w:rPr>
        <w:t>ed to rapidly review the progress of an aid initiative within a narrowly</w:t>
      </w:r>
      <w:r w:rsidR="003C18E2">
        <w:rPr>
          <w:color w:val="000000" w:themeColor="text1"/>
        </w:rPr>
        <w:t xml:space="preserve"> </w:t>
      </w:r>
      <w:r w:rsidR="004A6F77" w:rsidRPr="004A6F77">
        <w:rPr>
          <w:color w:val="000000" w:themeColor="text1"/>
        </w:rPr>
        <w:t xml:space="preserve">defined scope, while others are intended to be comprehensive </w:t>
      </w:r>
      <w:r w:rsidR="00744801">
        <w:rPr>
          <w:color w:val="000000" w:themeColor="text1"/>
        </w:rPr>
        <w:t>‘</w:t>
      </w:r>
      <w:r w:rsidR="004A6F77" w:rsidRPr="004A6F77">
        <w:rPr>
          <w:color w:val="000000" w:themeColor="text1"/>
        </w:rPr>
        <w:t>gold standard</w:t>
      </w:r>
      <w:r w:rsidR="00744801">
        <w:rPr>
          <w:color w:val="000000" w:themeColor="text1"/>
        </w:rPr>
        <w:t>’</w:t>
      </w:r>
      <w:r w:rsidR="004A6F77" w:rsidRPr="004A6F77">
        <w:rPr>
          <w:color w:val="000000" w:themeColor="text1"/>
        </w:rPr>
        <w:t xml:space="preserve"> evaluations.</w:t>
      </w:r>
      <w:r w:rsidR="00A74814">
        <w:rPr>
          <w:color w:val="000000" w:themeColor="text1"/>
        </w:rPr>
        <w:t xml:space="preserve"> </w:t>
      </w:r>
      <w:r w:rsidR="004A6F77" w:rsidRPr="004A6F77">
        <w:rPr>
          <w:color w:val="000000" w:themeColor="text1"/>
        </w:rPr>
        <w:t>Aid managers have some freedom to scope evaluations according to their information needs.</w:t>
      </w:r>
      <w:r w:rsidR="00A74814">
        <w:rPr>
          <w:color w:val="000000" w:themeColor="text1"/>
        </w:rPr>
        <w:t xml:space="preserve"> </w:t>
      </w:r>
      <w:r w:rsidR="004A6F77" w:rsidRPr="004A6F77">
        <w:rPr>
          <w:color w:val="000000" w:themeColor="text1"/>
        </w:rPr>
        <w:t xml:space="preserve">However, it was not within the scope of this review to assess whether the evaluations were fit for the purpose intended and we have </w:t>
      </w:r>
      <w:r w:rsidR="003C18E2">
        <w:rPr>
          <w:color w:val="000000" w:themeColor="text1"/>
        </w:rPr>
        <w:t>therefore</w:t>
      </w:r>
      <w:r w:rsidR="003C18E2" w:rsidRPr="004A6F77">
        <w:rPr>
          <w:color w:val="000000" w:themeColor="text1"/>
        </w:rPr>
        <w:t xml:space="preserve"> </w:t>
      </w:r>
      <w:r w:rsidR="004A6F77" w:rsidRPr="004A6F77">
        <w:rPr>
          <w:color w:val="000000" w:themeColor="text1"/>
        </w:rPr>
        <w:t xml:space="preserve">reviewed the quality of the evaluations against </w:t>
      </w:r>
      <w:r w:rsidR="003C18E2">
        <w:rPr>
          <w:color w:val="000000" w:themeColor="text1"/>
        </w:rPr>
        <w:t>the</w:t>
      </w:r>
      <w:r w:rsidR="004A6F77" w:rsidRPr="004A6F77">
        <w:rPr>
          <w:color w:val="000000" w:themeColor="text1"/>
        </w:rPr>
        <w:t xml:space="preserve"> nine generic evaluation quality standards.</w:t>
      </w:r>
      <w:r w:rsidR="00A74814">
        <w:rPr>
          <w:color w:val="000000" w:themeColor="text1"/>
        </w:rPr>
        <w:t xml:space="preserve"> </w:t>
      </w:r>
      <w:r w:rsidR="004A6F77" w:rsidRPr="004A6F77">
        <w:rPr>
          <w:color w:val="000000" w:themeColor="text1"/>
        </w:rPr>
        <w:t xml:space="preserve">It is reasonable to expect all evaluations </w:t>
      </w:r>
      <w:r w:rsidR="003C18E2">
        <w:rPr>
          <w:color w:val="000000" w:themeColor="text1"/>
        </w:rPr>
        <w:t>to</w:t>
      </w:r>
      <w:r w:rsidR="003C18E2" w:rsidRPr="004A6F77">
        <w:rPr>
          <w:color w:val="000000" w:themeColor="text1"/>
        </w:rPr>
        <w:t xml:space="preserve"> </w:t>
      </w:r>
      <w:r w:rsidR="004A6F77" w:rsidRPr="004A6F77">
        <w:rPr>
          <w:color w:val="000000" w:themeColor="text1"/>
        </w:rPr>
        <w:t xml:space="preserve">at least minimally meet these </w:t>
      </w:r>
      <w:r w:rsidR="00CB67BC">
        <w:rPr>
          <w:color w:val="000000" w:themeColor="text1"/>
        </w:rPr>
        <w:t>standards</w:t>
      </w:r>
      <w:r w:rsidR="005E6BC8">
        <w:rPr>
          <w:color w:val="000000" w:themeColor="text1"/>
        </w:rPr>
        <w:t>,</w:t>
      </w:r>
      <w:r w:rsidR="004A6F77" w:rsidRPr="004A6F77">
        <w:rPr>
          <w:color w:val="000000" w:themeColor="text1"/>
        </w:rPr>
        <w:t xml:space="preserve"> with the possible exception of </w:t>
      </w:r>
      <w:r w:rsidR="00CB67BC">
        <w:rPr>
          <w:color w:val="000000" w:themeColor="text1"/>
        </w:rPr>
        <w:t xml:space="preserve">the </w:t>
      </w:r>
      <w:r w:rsidR="00744801">
        <w:rPr>
          <w:color w:val="000000" w:themeColor="text1"/>
        </w:rPr>
        <w:t>‘</w:t>
      </w:r>
      <w:r w:rsidR="003C18E2">
        <w:rPr>
          <w:color w:val="000000" w:themeColor="text1"/>
        </w:rPr>
        <w:t>a</w:t>
      </w:r>
      <w:r w:rsidR="004A6F77" w:rsidRPr="004A6F77">
        <w:rPr>
          <w:color w:val="000000" w:themeColor="text1"/>
        </w:rPr>
        <w:t>ssessment of intervention logic</w:t>
      </w:r>
      <w:r w:rsidR="00744801">
        <w:rPr>
          <w:color w:val="000000" w:themeColor="text1"/>
        </w:rPr>
        <w:t>’</w:t>
      </w:r>
      <w:r w:rsidR="004A6F77" w:rsidRPr="004A6F77">
        <w:rPr>
          <w:color w:val="000000" w:themeColor="text1"/>
        </w:rPr>
        <w:t xml:space="preserve"> </w:t>
      </w:r>
      <w:r w:rsidR="00CB67BC">
        <w:rPr>
          <w:color w:val="000000" w:themeColor="text1"/>
        </w:rPr>
        <w:t>standard</w:t>
      </w:r>
      <w:r w:rsidR="004A6F77" w:rsidRPr="004A6F77">
        <w:rPr>
          <w:color w:val="000000" w:themeColor="text1"/>
        </w:rPr>
        <w:t xml:space="preserve"> (</w:t>
      </w:r>
      <w:r>
        <w:rPr>
          <w:color w:val="000000" w:themeColor="text1"/>
        </w:rPr>
        <w:t>as discussed below</w:t>
      </w:r>
      <w:r w:rsidR="004A6F77" w:rsidRPr="004A6F77">
        <w:rPr>
          <w:color w:val="000000" w:themeColor="text1"/>
        </w:rPr>
        <w:t>).</w:t>
      </w:r>
      <w:r w:rsidR="00A74814">
        <w:rPr>
          <w:color w:val="000000" w:themeColor="text1"/>
        </w:rPr>
        <w:t xml:space="preserve"> </w:t>
      </w:r>
    </w:p>
    <w:p w14:paraId="23588343" w14:textId="77777777" w:rsidR="004C4DBE" w:rsidRDefault="00A52E82" w:rsidP="0059696E">
      <w:r w:rsidRPr="004A6F77">
        <w:rPr>
          <w:color w:val="000000" w:themeColor="text1"/>
        </w:rPr>
        <w:t xml:space="preserve">The review team also assessed </w:t>
      </w:r>
      <w:r w:rsidRPr="00B65DBF">
        <w:t>the quality of each evaluation</w:t>
      </w:r>
      <w:r w:rsidR="00744801">
        <w:t>’</w:t>
      </w:r>
      <w:r w:rsidRPr="00B65DBF">
        <w:t xml:space="preserve">s assessment against </w:t>
      </w:r>
      <w:r w:rsidR="004D3B7F" w:rsidRPr="000A7AD8">
        <w:t>six</w:t>
      </w:r>
      <w:r w:rsidR="00FD2DCE" w:rsidRPr="00B65DBF">
        <w:rPr>
          <w:rStyle w:val="FootnoteReference"/>
        </w:rPr>
        <w:footnoteReference w:id="25"/>
      </w:r>
      <w:r w:rsidR="004D3B7F" w:rsidRPr="00B65DBF">
        <w:t xml:space="preserve"> </w:t>
      </w:r>
      <w:r w:rsidRPr="00B65DBF">
        <w:t xml:space="preserve">standard </w:t>
      </w:r>
      <w:r w:rsidR="00727515">
        <w:t>Australian aid quality criteria</w:t>
      </w:r>
      <w:r w:rsidR="009C1140">
        <w:t xml:space="preserve"> (</w:t>
      </w:r>
      <w:r w:rsidR="004D3B7F" w:rsidRPr="000A7AD8">
        <w:t>discussed in section</w:t>
      </w:r>
      <w:r w:rsidR="0053134E">
        <w:t xml:space="preserve"> </w:t>
      </w:r>
      <w:r w:rsidR="0053134E">
        <w:fldChar w:fldCharType="begin"/>
      </w:r>
      <w:r w:rsidR="0053134E">
        <w:instrText xml:space="preserve"> REF _Ref379293612 \r \h </w:instrText>
      </w:r>
      <w:r w:rsidR="0053134E">
        <w:fldChar w:fldCharType="separate"/>
      </w:r>
      <w:r w:rsidR="00147362">
        <w:t>3.2</w:t>
      </w:r>
      <w:r w:rsidR="0053134E">
        <w:fldChar w:fldCharType="end"/>
      </w:r>
      <w:r w:rsidR="009C1140">
        <w:t>).</w:t>
      </w:r>
      <w:r w:rsidR="00A74814">
        <w:t xml:space="preserve"> </w:t>
      </w:r>
      <w:r w:rsidR="004C4DBE">
        <w:t xml:space="preserve">Under </w:t>
      </w:r>
      <w:r w:rsidR="004C4DBE" w:rsidRPr="004C4DBE">
        <w:rPr>
          <w:color w:val="000000" w:themeColor="text1"/>
        </w:rPr>
        <w:t xml:space="preserve">current guidelines, each operational evaluation should </w:t>
      </w:r>
      <w:r w:rsidR="009B7090">
        <w:rPr>
          <w:color w:val="000000" w:themeColor="text1"/>
        </w:rPr>
        <w:t>assess initiative</w:t>
      </w:r>
      <w:r w:rsidR="004C4DBE" w:rsidRPr="004C4DBE">
        <w:rPr>
          <w:color w:val="000000" w:themeColor="text1"/>
        </w:rPr>
        <w:t xml:space="preserve"> relevance, effectiveness, efficiency, impact, sustainability and</w:t>
      </w:r>
      <w:r w:rsidR="009B7090">
        <w:rPr>
          <w:color w:val="000000" w:themeColor="text1"/>
        </w:rPr>
        <w:t xml:space="preserve"> advancement of</w:t>
      </w:r>
      <w:r w:rsidR="004C4DBE" w:rsidRPr="004C4DBE">
        <w:rPr>
          <w:color w:val="000000" w:themeColor="text1"/>
        </w:rPr>
        <w:t xml:space="preserve"> gender equality.</w:t>
      </w:r>
      <w:r w:rsidR="00A74814">
        <w:rPr>
          <w:color w:val="000000" w:themeColor="text1"/>
        </w:rPr>
        <w:t xml:space="preserve"> </w:t>
      </w:r>
      <w:r w:rsidR="009B7090">
        <w:rPr>
          <w:color w:val="000000" w:themeColor="text1"/>
        </w:rPr>
        <w:t>We looked at how well these six criteria were applied.</w:t>
      </w:r>
    </w:p>
    <w:p w14:paraId="15B079D5" w14:textId="07AB8CCE" w:rsidR="004A6F77" w:rsidRDefault="00A006CD" w:rsidP="0059696E">
      <w:r>
        <w:t xml:space="preserve">There was significant variation across evaluations </w:t>
      </w:r>
      <w:r w:rsidR="003C18E2">
        <w:t xml:space="preserve">as to </w:t>
      </w:r>
      <w:r>
        <w:t>which of these criteria were addressed and to what extent.</w:t>
      </w:r>
      <w:r w:rsidR="00A74814">
        <w:t xml:space="preserve"> </w:t>
      </w:r>
      <w:r>
        <w:t>This is reflected in our discussion of each criterion.</w:t>
      </w:r>
    </w:p>
    <w:p w14:paraId="2E3EA7B6" w14:textId="0F5B5F1F" w:rsidR="00917362" w:rsidRDefault="00917362" w:rsidP="0059696E">
      <w:pPr>
        <w:rPr>
          <w:color w:val="000000" w:themeColor="text1"/>
        </w:rPr>
      </w:pPr>
      <w:r w:rsidRPr="00841B16">
        <w:rPr>
          <w:color w:val="000000" w:themeColor="text1"/>
        </w:rPr>
        <w:t xml:space="preserve">This chapter </w:t>
      </w:r>
      <w:r w:rsidR="004A6F77">
        <w:rPr>
          <w:color w:val="000000" w:themeColor="text1"/>
        </w:rPr>
        <w:t xml:space="preserve">first </w:t>
      </w:r>
      <w:r w:rsidRPr="00841B16">
        <w:rPr>
          <w:color w:val="000000" w:themeColor="text1"/>
        </w:rPr>
        <w:t xml:space="preserve">presents </w:t>
      </w:r>
      <w:r w:rsidR="0059696E">
        <w:rPr>
          <w:color w:val="000000" w:themeColor="text1"/>
        </w:rPr>
        <w:t xml:space="preserve">an overview of </w:t>
      </w:r>
      <w:r w:rsidRPr="00841B16">
        <w:rPr>
          <w:color w:val="000000" w:themeColor="text1"/>
        </w:rPr>
        <w:t xml:space="preserve">the findings from </w:t>
      </w:r>
      <w:r w:rsidR="00D07E79" w:rsidRPr="00841B16">
        <w:rPr>
          <w:color w:val="000000" w:themeColor="text1"/>
        </w:rPr>
        <w:t xml:space="preserve">our </w:t>
      </w:r>
      <w:r w:rsidRPr="00841B16">
        <w:rPr>
          <w:color w:val="000000" w:themeColor="text1"/>
        </w:rPr>
        <w:t>assessment</w:t>
      </w:r>
      <w:r w:rsidR="00D07E79" w:rsidRPr="00841B16">
        <w:rPr>
          <w:color w:val="000000" w:themeColor="text1"/>
        </w:rPr>
        <w:t xml:space="preserve"> against the </w:t>
      </w:r>
      <w:r w:rsidR="00733ACA">
        <w:rPr>
          <w:color w:val="000000" w:themeColor="text1"/>
        </w:rPr>
        <w:t xml:space="preserve">15 </w:t>
      </w:r>
      <w:r w:rsidR="00D07E79" w:rsidRPr="00841B16">
        <w:rPr>
          <w:color w:val="000000" w:themeColor="text1"/>
        </w:rPr>
        <w:t>criteria</w:t>
      </w:r>
      <w:r w:rsidRPr="00841B16">
        <w:rPr>
          <w:color w:val="000000" w:themeColor="text1"/>
        </w:rPr>
        <w:t xml:space="preserve"> </w:t>
      </w:r>
      <w:r w:rsidR="0059696E">
        <w:rPr>
          <w:color w:val="000000" w:themeColor="text1"/>
        </w:rPr>
        <w:t xml:space="preserve">and then moves </w:t>
      </w:r>
      <w:r w:rsidRPr="00841B16">
        <w:rPr>
          <w:color w:val="000000" w:themeColor="text1"/>
        </w:rPr>
        <w:t>on to more detailed analysis</w:t>
      </w:r>
      <w:r w:rsidR="00733ACA">
        <w:rPr>
          <w:color w:val="000000" w:themeColor="text1"/>
        </w:rPr>
        <w:t xml:space="preserve"> for each criterion</w:t>
      </w:r>
      <w:r w:rsidRPr="00841B16">
        <w:rPr>
          <w:color w:val="000000" w:themeColor="text1"/>
        </w:rPr>
        <w:t>.</w:t>
      </w:r>
    </w:p>
    <w:p w14:paraId="34B4C7F6" w14:textId="77777777" w:rsidR="00F3602E" w:rsidRPr="003D2A2A" w:rsidRDefault="00F3602E" w:rsidP="00E11385">
      <w:pPr>
        <w:pStyle w:val="Heading3"/>
      </w:pPr>
      <w:bookmarkStart w:id="83" w:name="_Toc366500428"/>
      <w:bookmarkStart w:id="84" w:name="_Toc372723829"/>
      <w:bookmarkStart w:id="85" w:name="_Toc378059983"/>
      <w:r w:rsidRPr="003D2A2A">
        <w:lastRenderedPageBreak/>
        <w:t xml:space="preserve">Overview of the </w:t>
      </w:r>
      <w:bookmarkEnd w:id="83"/>
      <w:bookmarkEnd w:id="84"/>
      <w:r w:rsidR="00623C79">
        <w:t>findings</w:t>
      </w:r>
      <w:bookmarkEnd w:id="85"/>
    </w:p>
    <w:p w14:paraId="1667EFDA" w14:textId="7B97B68C" w:rsidR="00974B77" w:rsidRDefault="00974B77" w:rsidP="0059696E">
      <w:r>
        <w:t>In reviewing the quality of evaluation designs, we found that most evaluations had a clear purpose.</w:t>
      </w:r>
      <w:r w:rsidR="00A74814">
        <w:t xml:space="preserve"> </w:t>
      </w:r>
      <w:r>
        <w:t xml:space="preserve">Just over half either did not assess the logic of the intervention or </w:t>
      </w:r>
      <w:r w:rsidR="003C18E2">
        <w:t>provided</w:t>
      </w:r>
      <w:r>
        <w:t xml:space="preserve"> a weak assessment and did not adequately justify the evaluation methodology used.</w:t>
      </w:r>
      <w:r w:rsidR="00A74814">
        <w:t xml:space="preserve"> </w:t>
      </w:r>
      <w:r>
        <w:t>While the evaluation guidelines at the time did not explicitly require either an assessment of logic or a justification of evaluation methodology</w:t>
      </w:r>
      <w:r w:rsidR="00CB67BC">
        <w:t xml:space="preserve"> (a </w:t>
      </w:r>
      <w:r w:rsidR="00CB67BC" w:rsidRPr="002C6BF3">
        <w:t>description</w:t>
      </w:r>
      <w:r w:rsidR="00CB67BC" w:rsidRPr="009017FC">
        <w:t xml:space="preserve"> o</w:t>
      </w:r>
      <w:r w:rsidR="00CB67BC">
        <w:t>f the methodology was required)</w:t>
      </w:r>
      <w:r>
        <w:t>, these would have strengthened the quality of the final evaluation reports.</w:t>
      </w:r>
      <w:r w:rsidR="00A74814">
        <w:t xml:space="preserve"> </w:t>
      </w:r>
      <w:r>
        <w:t xml:space="preserve">Greater focus on evaluation design, particularly through the routine requirement for an evaluation plan, may help improve overall evaluation quality. Specialist support to commissioning areas in the early stages of an evaluation is also likely to help address these </w:t>
      </w:r>
      <w:r w:rsidR="00CB67BC">
        <w:t xml:space="preserve">evaluation </w:t>
      </w:r>
      <w:r>
        <w:t>design weaknesses.</w:t>
      </w:r>
    </w:p>
    <w:p w14:paraId="2C693C9D" w14:textId="213F6614" w:rsidR="00FE0A0B" w:rsidRDefault="006378D1" w:rsidP="0059696E">
      <w:r>
        <w:t xml:space="preserve">For the key criteria relating to the quality of the </w:t>
      </w:r>
      <w:r w:rsidR="00F243AC">
        <w:t xml:space="preserve">final </w:t>
      </w:r>
      <w:r>
        <w:t>evaluation report, w</w:t>
      </w:r>
      <w:r w:rsidR="00FE0A0B">
        <w:t>e found</w:t>
      </w:r>
      <w:r w:rsidR="001C76AA">
        <w:t xml:space="preserve"> that quality was adequate</w:t>
      </w:r>
      <w:r>
        <w:t xml:space="preserve"> </w:t>
      </w:r>
      <w:r w:rsidR="009B71BF">
        <w:t xml:space="preserve">or better </w:t>
      </w:r>
      <w:r>
        <w:t>in most cases</w:t>
      </w:r>
      <w:r w:rsidR="001C76AA">
        <w:t>.</w:t>
      </w:r>
      <w:r w:rsidR="00A74814">
        <w:t xml:space="preserve"> </w:t>
      </w:r>
      <w:r w:rsidR="001C76AA">
        <w:t>The credibility of the evidence and analysis was adequate or better in 74</w:t>
      </w:r>
      <w:r w:rsidR="003C18E2">
        <w:t> </w:t>
      </w:r>
      <w:r w:rsidR="001C76AA">
        <w:t>per cent of evaluation reports</w:t>
      </w:r>
      <w:r w:rsidR="00733ACA">
        <w:t xml:space="preserve">, showing that </w:t>
      </w:r>
      <w:r w:rsidR="0045311B">
        <w:t xml:space="preserve">independent initiative-level evaluations do generally provide a credible source of evidence for the effectiveness of the Australian aid program. </w:t>
      </w:r>
      <w:r w:rsidR="008A614A">
        <w:t xml:space="preserve">Other </w:t>
      </w:r>
      <w:r w:rsidR="001C76AA">
        <w:t>area</w:t>
      </w:r>
      <w:r w:rsidR="008A614A">
        <w:t>s</w:t>
      </w:r>
      <w:r w:rsidR="001C76AA">
        <w:t xml:space="preserve"> of strength </w:t>
      </w:r>
      <w:r w:rsidR="008A614A">
        <w:t>were</w:t>
      </w:r>
      <w:r w:rsidR="001C76AA">
        <w:t xml:space="preserve"> the quality of the evaluations</w:t>
      </w:r>
      <w:r w:rsidR="00744801">
        <w:t>’</w:t>
      </w:r>
      <w:r w:rsidR="001C76AA">
        <w:t xml:space="preserve"> assessments of the initiative</w:t>
      </w:r>
      <w:r w:rsidR="00B1593E">
        <w:t>s’</w:t>
      </w:r>
      <w:r w:rsidR="001C76AA">
        <w:t xml:space="preserve"> </w:t>
      </w:r>
      <w:r w:rsidR="00B1593E">
        <w:t>monitoring and evaluation (</w:t>
      </w:r>
      <w:r w:rsidR="001C76AA">
        <w:t>M&amp;E</w:t>
      </w:r>
      <w:r w:rsidR="00B1593E">
        <w:t>)</w:t>
      </w:r>
      <w:r w:rsidR="001C76AA">
        <w:t xml:space="preserve"> syst</w:t>
      </w:r>
      <w:r w:rsidR="008A614A">
        <w:t>ems and the quality of the recommendations.</w:t>
      </w:r>
      <w:r w:rsidR="00A74814">
        <w:t xml:space="preserve"> </w:t>
      </w:r>
      <w:r w:rsidR="004876BF">
        <w:t>Many evaluations</w:t>
      </w:r>
      <w:r w:rsidR="00E65435">
        <w:t xml:space="preserve"> did not</w:t>
      </w:r>
      <w:r w:rsidR="004876BF">
        <w:t>, however,</w:t>
      </w:r>
      <w:r w:rsidR="00E65435">
        <w:t xml:space="preserve"> adequate</w:t>
      </w:r>
      <w:r w:rsidR="003C18E2">
        <w:t>ly</w:t>
      </w:r>
      <w:r w:rsidR="00E65435">
        <w:t xml:space="preserve"> c</w:t>
      </w:r>
      <w:r w:rsidR="004876BF">
        <w:t xml:space="preserve">onsider the influence </w:t>
      </w:r>
      <w:r w:rsidR="00733ACA">
        <w:t xml:space="preserve">of context </w:t>
      </w:r>
      <w:r w:rsidR="004876BF">
        <w:t>on</w:t>
      </w:r>
      <w:r w:rsidR="00733ACA">
        <w:t xml:space="preserve"> </w:t>
      </w:r>
      <w:r w:rsidR="00BD2F36">
        <w:t>initiative</w:t>
      </w:r>
      <w:r w:rsidR="004876BF">
        <w:t xml:space="preserve"> performance.</w:t>
      </w:r>
    </w:p>
    <w:p w14:paraId="5C471246" w14:textId="183BE2C3" w:rsidR="00894041" w:rsidRDefault="006378D1" w:rsidP="000E25D0">
      <w:r>
        <w:t>When we looked at the quality of the evaluations</w:t>
      </w:r>
      <w:r w:rsidR="00744801">
        <w:t>’</w:t>
      </w:r>
      <w:r>
        <w:t xml:space="preserve"> assessments against </w:t>
      </w:r>
      <w:r w:rsidR="00733ACA">
        <w:t>the</w:t>
      </w:r>
      <w:r>
        <w:t xml:space="preserve"> standard </w:t>
      </w:r>
      <w:r w:rsidR="00733ACA">
        <w:t xml:space="preserve">Australian </w:t>
      </w:r>
      <w:r>
        <w:t>aid quality criteria we found that most assessments of relevance and effectiveness were adequate</w:t>
      </w:r>
      <w:r w:rsidR="009B71BF">
        <w:t xml:space="preserve"> or better</w:t>
      </w:r>
      <w:r>
        <w:t>.</w:t>
      </w:r>
      <w:r w:rsidR="00A74814">
        <w:t xml:space="preserve"> </w:t>
      </w:r>
      <w:r>
        <w:t xml:space="preserve">However, only about half of </w:t>
      </w:r>
      <w:r w:rsidR="003C18E2">
        <w:t xml:space="preserve">the </w:t>
      </w:r>
      <w:r>
        <w:t>assessments against the other criteria were adequate.</w:t>
      </w:r>
      <w:r w:rsidR="00A74814">
        <w:t xml:space="preserve"> </w:t>
      </w:r>
      <w:r w:rsidR="00611530">
        <w:t>Where numerical ratings were provided we found that</w:t>
      </w:r>
      <w:r w:rsidR="00BD2F36">
        <w:t xml:space="preserve"> </w:t>
      </w:r>
      <w:r w:rsidR="00611530">
        <w:t>across five criteria (excluding impact)</w:t>
      </w:r>
      <w:r w:rsidR="00BD2F36">
        <w:t xml:space="preserve"> </w:t>
      </w:r>
      <w:r w:rsidR="00611530">
        <w:t>about two-thirds were robust.</w:t>
      </w:r>
      <w:r w:rsidR="00A74814">
        <w:t xml:space="preserve"> </w:t>
      </w:r>
      <w:r w:rsidR="00FB76D6">
        <w:t xml:space="preserve">Only half of the evaluations attempted to assess the impact of the aid initiative, </w:t>
      </w:r>
      <w:r w:rsidR="003C18E2">
        <w:t xml:space="preserve">and </w:t>
      </w:r>
      <w:r w:rsidR="008C1678">
        <w:t>fewer</w:t>
      </w:r>
      <w:r w:rsidR="00FB76D6">
        <w:t xml:space="preserve"> than half of th</w:t>
      </w:r>
      <w:r w:rsidR="003C18E2">
        <w:t>o</w:t>
      </w:r>
      <w:r w:rsidR="00FB76D6">
        <w:t xml:space="preserve">se assessments </w:t>
      </w:r>
      <w:r w:rsidR="003C18E2">
        <w:t>were</w:t>
      </w:r>
      <w:r w:rsidR="00FB76D6">
        <w:t xml:space="preserve"> adequate.</w:t>
      </w:r>
      <w:r w:rsidR="00A74814">
        <w:t xml:space="preserve"> </w:t>
      </w:r>
    </w:p>
    <w:p w14:paraId="1FF59E8D" w14:textId="2F1FC7C6" w:rsidR="00932A56" w:rsidRDefault="00894041" w:rsidP="0059696E">
      <w:pPr>
        <w:sectPr w:rsidR="00932A56" w:rsidSect="00B768CA">
          <w:footerReference w:type="default" r:id="rId37"/>
          <w:pgSz w:w="11900" w:h="16840" w:code="9"/>
          <w:pgMar w:top="1440" w:right="1440" w:bottom="1440" w:left="1440" w:header="709" w:footer="539" w:gutter="0"/>
          <w:pgNumType w:start="1"/>
          <w:cols w:space="708"/>
          <w:docGrid w:linePitch="360"/>
        </w:sectPr>
      </w:pPr>
      <w:r>
        <w:fldChar w:fldCharType="begin"/>
      </w:r>
      <w:r>
        <w:instrText xml:space="preserve"> REF _Ref379293543 \h </w:instrText>
      </w:r>
      <w:r>
        <w:fldChar w:fldCharType="separate"/>
      </w:r>
      <w:r w:rsidR="00147362" w:rsidRPr="00C72750">
        <w:t xml:space="preserve">Figure </w:t>
      </w:r>
      <w:r w:rsidR="00147362">
        <w:rPr>
          <w:noProof/>
        </w:rPr>
        <w:t>3</w:t>
      </w:r>
      <w:r>
        <w:fldChar w:fldCharType="end"/>
      </w:r>
      <w:r w:rsidR="00F3602E">
        <w:t xml:space="preserve"> present</w:t>
      </w:r>
      <w:r w:rsidR="00E750AD">
        <w:t>s</w:t>
      </w:r>
      <w:r w:rsidR="00F3602E">
        <w:t xml:space="preserve"> </w:t>
      </w:r>
      <w:r w:rsidR="004C27E0">
        <w:t xml:space="preserve">a </w:t>
      </w:r>
      <w:r w:rsidR="00623C79">
        <w:t>summary</w:t>
      </w:r>
      <w:r w:rsidR="00F3602E">
        <w:t xml:space="preserve"> of our </w:t>
      </w:r>
      <w:r w:rsidR="00CF2EC6">
        <w:t xml:space="preserve">assessment results </w:t>
      </w:r>
      <w:r w:rsidR="00F3602E">
        <w:t xml:space="preserve">for the </w:t>
      </w:r>
      <w:r w:rsidR="00BD2F36">
        <w:t>15</w:t>
      </w:r>
      <w:r w:rsidR="00F3602E">
        <w:t xml:space="preserve"> quality criteria</w:t>
      </w:r>
      <w:r w:rsidR="00F3602E" w:rsidRPr="00DB0840">
        <w:t>.</w:t>
      </w:r>
      <w:r w:rsidR="00A74814">
        <w:t xml:space="preserve"> </w:t>
      </w:r>
      <w:r w:rsidR="008C2AE3" w:rsidRPr="00DB0840">
        <w:fldChar w:fldCharType="begin"/>
      </w:r>
      <w:r w:rsidR="008C2AE3" w:rsidRPr="00DB0840">
        <w:instrText xml:space="preserve"> REF _Ref381100743 \h </w:instrText>
      </w:r>
      <w:r w:rsidR="008C2AE3">
        <w:instrText xml:space="preserve"> \* MERGEFORMAT </w:instrText>
      </w:r>
      <w:r w:rsidR="008C2AE3" w:rsidRPr="00DB0840">
        <w:fldChar w:fldCharType="separate"/>
      </w:r>
      <w:r w:rsidR="00147362" w:rsidRPr="00C72750">
        <w:t xml:space="preserve">Figure </w:t>
      </w:r>
      <w:r w:rsidR="00147362">
        <w:rPr>
          <w:noProof/>
        </w:rPr>
        <w:t>8</w:t>
      </w:r>
      <w:r w:rsidR="008C2AE3" w:rsidRPr="00DB0840">
        <w:fldChar w:fldCharType="end"/>
      </w:r>
      <w:r w:rsidR="00F3602E" w:rsidRPr="00DB0840">
        <w:t xml:space="preserve"> </w:t>
      </w:r>
      <w:r w:rsidR="00C62448" w:rsidRPr="00DB0840">
        <w:t>i</w:t>
      </w:r>
      <w:r w:rsidR="00915A24" w:rsidRPr="00DB0840">
        <w:t>n Annex</w:t>
      </w:r>
      <w:r w:rsidR="003C18E2">
        <w:t> </w:t>
      </w:r>
      <w:r w:rsidR="005304BA">
        <w:t>4</w:t>
      </w:r>
      <w:r w:rsidR="008C2AE3">
        <w:t xml:space="preserve"> </w:t>
      </w:r>
      <w:r w:rsidR="00F3602E">
        <w:t xml:space="preserve">presents </w:t>
      </w:r>
      <w:r w:rsidR="00C62448">
        <w:t>detailed</w:t>
      </w:r>
      <w:r w:rsidR="00CF2EC6">
        <w:t xml:space="preserve"> </w:t>
      </w:r>
      <w:r w:rsidR="00F3602E">
        <w:t xml:space="preserve">results. </w:t>
      </w:r>
    </w:p>
    <w:p w14:paraId="45535190" w14:textId="7A47BB28" w:rsidR="00F3602E" w:rsidRDefault="00E750AD" w:rsidP="00E750AD">
      <w:pPr>
        <w:pStyle w:val="FigureName"/>
      </w:pPr>
      <w:bookmarkStart w:id="86" w:name="_Ref379293543"/>
      <w:bookmarkStart w:id="87" w:name="_Toc372738075"/>
      <w:r w:rsidRPr="00C72750">
        <w:lastRenderedPageBreak/>
        <w:t xml:space="preserve">Figure </w:t>
      </w:r>
      <w:r w:rsidR="007C3830">
        <w:fldChar w:fldCharType="begin"/>
      </w:r>
      <w:r w:rsidR="007C3830">
        <w:instrText xml:space="preserve"> SEQ Figure \* ARABIC </w:instrText>
      </w:r>
      <w:r w:rsidR="007C3830">
        <w:fldChar w:fldCharType="separate"/>
      </w:r>
      <w:r w:rsidR="00147362">
        <w:rPr>
          <w:noProof/>
        </w:rPr>
        <w:t>3</w:t>
      </w:r>
      <w:r w:rsidR="007C3830">
        <w:rPr>
          <w:noProof/>
        </w:rPr>
        <w:fldChar w:fldCharType="end"/>
      </w:r>
      <w:bookmarkEnd w:id="86"/>
      <w:r w:rsidR="001722AE">
        <w:tab/>
        <w:t xml:space="preserve">Summary </w:t>
      </w:r>
      <w:r>
        <w:t>of 87 evaluations against 15 quality criteria</w:t>
      </w:r>
      <w:bookmarkEnd w:id="87"/>
      <w:r w:rsidRPr="002C6BF3">
        <w:rPr>
          <w:rStyle w:val="FootnoteReference"/>
          <w:rFonts w:cs="Calibri"/>
          <w:b w:val="0"/>
          <w:szCs w:val="22"/>
          <w:lang w:val="en-GB"/>
        </w:rPr>
        <w:footnoteReference w:id="26"/>
      </w:r>
      <w:r w:rsidR="00A74814">
        <w:t xml:space="preserve"> </w:t>
      </w:r>
      <w:bookmarkStart w:id="88" w:name="_Ref363401449"/>
      <w:bookmarkStart w:id="89" w:name="_Toc372125028"/>
    </w:p>
    <w:p w14:paraId="557AFEDD" w14:textId="77777777" w:rsidR="00932A56" w:rsidRDefault="0081602A" w:rsidP="00932A56">
      <w:pPr>
        <w:spacing w:before="0" w:after="0" w:line="240" w:lineRule="auto"/>
        <w:sectPr w:rsidR="00932A56" w:rsidSect="00B768CA">
          <w:pgSz w:w="11900" w:h="16840" w:code="9"/>
          <w:pgMar w:top="1440" w:right="1440" w:bottom="1440" w:left="1440" w:header="709" w:footer="539" w:gutter="0"/>
          <w:cols w:space="708"/>
          <w:docGrid w:linePitch="360"/>
        </w:sectPr>
      </w:pPr>
      <w:bookmarkStart w:id="90" w:name="_Ref365791482"/>
      <w:bookmarkStart w:id="91" w:name="_Ref370806499"/>
      <w:bookmarkStart w:id="92" w:name="_Toc372125029"/>
      <w:bookmarkStart w:id="93" w:name="_Toc372738076"/>
      <w:bookmarkEnd w:id="88"/>
      <w:bookmarkEnd w:id="89"/>
      <w:r w:rsidRPr="00EA0C0D">
        <w:rPr>
          <w:noProof/>
        </w:rPr>
        <w:drawing>
          <wp:inline distT="0" distB="0" distL="0" distR="0" wp14:anchorId="739C2488" wp14:editId="361C9297">
            <wp:extent cx="5915770" cy="6520070"/>
            <wp:effectExtent l="0" t="0" r="889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4736994" w14:textId="4EE44803" w:rsidR="008E473B" w:rsidRDefault="008E473B" w:rsidP="009B71BF">
      <w:pPr>
        <w:pStyle w:val="Boxheading0"/>
      </w:pPr>
      <w:bookmarkStart w:id="94" w:name="_Toc372723830"/>
      <w:bookmarkStart w:id="95" w:name="_Toc378059984"/>
      <w:bookmarkEnd w:id="90"/>
      <w:bookmarkEnd w:id="91"/>
      <w:bookmarkEnd w:id="92"/>
      <w:bookmarkEnd w:id="93"/>
      <w:r>
        <w:lastRenderedPageBreak/>
        <w:t xml:space="preserve">Box </w:t>
      </w:r>
      <w:r w:rsidR="007C3830">
        <w:fldChar w:fldCharType="begin"/>
      </w:r>
      <w:r w:rsidR="007C3830">
        <w:instrText xml:space="preserve"> SEQ Box \* ARABIC </w:instrText>
      </w:r>
      <w:r w:rsidR="007C3830">
        <w:fldChar w:fldCharType="separate"/>
      </w:r>
      <w:r w:rsidR="00147362">
        <w:rPr>
          <w:noProof/>
        </w:rPr>
        <w:t>4</w:t>
      </w:r>
      <w:r w:rsidR="007C3830">
        <w:rPr>
          <w:noProof/>
        </w:rPr>
        <w:fldChar w:fldCharType="end"/>
      </w:r>
      <w:r w:rsidR="003A5BA1">
        <w:tab/>
      </w:r>
      <w:r>
        <w:t>Good</w:t>
      </w:r>
      <w:r w:rsidR="003A5BA1">
        <w:t xml:space="preserve"> </w:t>
      </w:r>
      <w:r>
        <w:t>practice examples</w:t>
      </w:r>
    </w:p>
    <w:p w14:paraId="1E152F51" w14:textId="77777777" w:rsidR="002C6BF3" w:rsidRPr="0021284E" w:rsidRDefault="002C6BF3" w:rsidP="002C6BF3">
      <w:pPr>
        <w:pStyle w:val="BoxText"/>
        <w:rPr>
          <w:sz w:val="2"/>
          <w:szCs w:val="2"/>
        </w:rPr>
      </w:pPr>
    </w:p>
    <w:p w14:paraId="0AA63899" w14:textId="1A16671E" w:rsidR="008E473B" w:rsidRPr="00C01122" w:rsidRDefault="008E473B" w:rsidP="008E473B">
      <w:pPr>
        <w:pStyle w:val="BoxText"/>
      </w:pPr>
      <w:r w:rsidRPr="00C01122">
        <w:t>To highlight instances of model practice and support ongoing learning and improvement within the aid program, our review identified several examples of good</w:t>
      </w:r>
      <w:r w:rsidR="003A5BA1">
        <w:t xml:space="preserve"> </w:t>
      </w:r>
      <w:r w:rsidRPr="00C01122">
        <w:t>practice evaluation documents</w:t>
      </w:r>
      <w:r>
        <w:t>:</w:t>
      </w:r>
      <w:r>
        <w:rPr>
          <w:rStyle w:val="FootnoteReference"/>
        </w:rPr>
        <w:footnoteReference w:id="27"/>
      </w:r>
      <w:r w:rsidRPr="00C01122">
        <w:t xml:space="preserve"> </w:t>
      </w:r>
    </w:p>
    <w:p w14:paraId="25D5F35D" w14:textId="43158D2E" w:rsidR="008E473B" w:rsidRPr="00C01122" w:rsidRDefault="00185E9A" w:rsidP="00C951F9">
      <w:pPr>
        <w:pStyle w:val="Boxbullet"/>
      </w:pPr>
      <w:r w:rsidRPr="00DE1AF3">
        <w:rPr>
          <w:lang w:val="en-GB" w:eastAsia="en-GB"/>
        </w:rPr>
        <w:t xml:space="preserve">Independent </w:t>
      </w:r>
      <w:r w:rsidR="00F83027">
        <w:rPr>
          <w:lang w:val="en-GB" w:eastAsia="en-GB"/>
        </w:rPr>
        <w:t>p</w:t>
      </w:r>
      <w:r w:rsidR="00F83027" w:rsidRPr="00DE1AF3">
        <w:rPr>
          <w:lang w:val="en-GB" w:eastAsia="en-GB"/>
        </w:rPr>
        <w:t xml:space="preserve">rogress </w:t>
      </w:r>
      <w:r w:rsidR="00F83027">
        <w:rPr>
          <w:lang w:val="en-GB" w:eastAsia="en-GB"/>
        </w:rPr>
        <w:t>r</w:t>
      </w:r>
      <w:r w:rsidR="00F83027" w:rsidRPr="00DE1AF3">
        <w:rPr>
          <w:lang w:val="en-GB" w:eastAsia="en-GB"/>
        </w:rPr>
        <w:t xml:space="preserve">eview </w:t>
      </w:r>
      <w:r w:rsidRPr="00DE1AF3">
        <w:rPr>
          <w:lang w:val="en-GB" w:eastAsia="en-GB"/>
        </w:rPr>
        <w:t>of Partnership for Knowledge-Based Poverty Reduction</w:t>
      </w:r>
      <w:r w:rsidRPr="00C01122" w:rsidDel="00185E9A">
        <w:t xml:space="preserve"> </w:t>
      </w:r>
      <w:r w:rsidR="008E473B" w:rsidRPr="00C01122">
        <w:t>(INJ244)</w:t>
      </w:r>
      <w:r w:rsidR="003A5BA1">
        <w:rPr>
          <w:rFonts w:ascii="Arial" w:hAnsi="Arial"/>
        </w:rPr>
        <w:t>—</w:t>
      </w:r>
      <w:r>
        <w:rPr>
          <w:rFonts w:ascii="Arial" w:hAnsi="Arial"/>
        </w:rPr>
        <w:t xml:space="preserve">terms of reference, </w:t>
      </w:r>
      <w:r w:rsidR="008E473B" w:rsidRPr="00C01122">
        <w:t xml:space="preserve">evaluation plan, and </w:t>
      </w:r>
      <w:r w:rsidR="00544BC7">
        <w:t>e</w:t>
      </w:r>
      <w:r w:rsidR="008E473B" w:rsidRPr="00C01122">
        <w:t xml:space="preserve">valuation </w:t>
      </w:r>
      <w:r w:rsidR="00544BC7">
        <w:t>r</w:t>
      </w:r>
      <w:r w:rsidR="008E473B" w:rsidRPr="00C01122">
        <w:t>eport</w:t>
      </w:r>
    </w:p>
    <w:p w14:paraId="13F38721" w14:textId="27642F73" w:rsidR="00185E9A" w:rsidRPr="00C01122" w:rsidRDefault="00185E9A" w:rsidP="00185E9A">
      <w:pPr>
        <w:pStyle w:val="Boxbullet"/>
      </w:pPr>
      <w:r>
        <w:rPr>
          <w:lang w:val="en-GB" w:eastAsia="en-GB"/>
        </w:rPr>
        <w:t xml:space="preserve">Independent </w:t>
      </w:r>
      <w:r w:rsidR="00F83027">
        <w:rPr>
          <w:lang w:val="en-GB" w:eastAsia="en-GB"/>
        </w:rPr>
        <w:t xml:space="preserve">completion report </w:t>
      </w:r>
      <w:r>
        <w:rPr>
          <w:lang w:val="en-GB" w:eastAsia="en-GB"/>
        </w:rPr>
        <w:t xml:space="preserve">for </w:t>
      </w:r>
      <w:r w:rsidRPr="00DE1AF3">
        <w:rPr>
          <w:lang w:val="en-GB" w:eastAsia="en-GB"/>
        </w:rPr>
        <w:t>Timor–Leste Asian Development Bank Infrastructure Project Management/Infrastructure Technical Assistance</w:t>
      </w:r>
      <w:r w:rsidRPr="00C01122" w:rsidDel="00185E9A">
        <w:t xml:space="preserve"> </w:t>
      </w:r>
      <w:r w:rsidRPr="00C01122">
        <w:t>(INH497)</w:t>
      </w:r>
      <w:r>
        <w:rPr>
          <w:rFonts w:ascii="Arial" w:hAnsi="Arial"/>
        </w:rPr>
        <w:t>—</w:t>
      </w:r>
      <w:r>
        <w:t>terms of reference</w:t>
      </w:r>
      <w:r w:rsidRPr="00C01122">
        <w:t xml:space="preserve"> </w:t>
      </w:r>
    </w:p>
    <w:p w14:paraId="23E15870" w14:textId="07A46DE9" w:rsidR="00185E9A" w:rsidRPr="00C01122" w:rsidRDefault="00185E9A" w:rsidP="00185E9A">
      <w:pPr>
        <w:pStyle w:val="Boxbullet"/>
      </w:pPr>
      <w:r>
        <w:t>I</w:t>
      </w:r>
      <w:r w:rsidRPr="00940710">
        <w:t>ndependent evaluation of AusAID’s support to rural WASH in Timor-Leste</w:t>
      </w:r>
      <w:r>
        <w:t xml:space="preserve"> through the </w:t>
      </w:r>
      <w:r w:rsidRPr="00940710">
        <w:t xml:space="preserve">Rural Water Supply and Sanitation Program </w:t>
      </w:r>
      <w:r w:rsidRPr="00C01122">
        <w:t>(ING002)</w:t>
      </w:r>
      <w:r>
        <w:rPr>
          <w:rFonts w:ascii="Arial" w:hAnsi="Arial"/>
        </w:rPr>
        <w:t>—</w:t>
      </w:r>
      <w:r w:rsidRPr="00C01122">
        <w:t xml:space="preserve">evaluation plan </w:t>
      </w:r>
    </w:p>
    <w:p w14:paraId="1BE60FF4" w14:textId="72330B61" w:rsidR="008E473B" w:rsidRPr="00C01122" w:rsidRDefault="00185E9A" w:rsidP="00C951F9">
      <w:pPr>
        <w:pStyle w:val="Boxbullet"/>
      </w:pPr>
      <w:r w:rsidRPr="00DE1AF3">
        <w:rPr>
          <w:lang w:val="en-GB" w:eastAsia="en-GB"/>
        </w:rPr>
        <w:t xml:space="preserve">Independent </w:t>
      </w:r>
      <w:r w:rsidR="00F83027">
        <w:rPr>
          <w:lang w:val="en-GB" w:eastAsia="en-GB"/>
        </w:rPr>
        <w:t>c</w:t>
      </w:r>
      <w:r w:rsidR="00F83027" w:rsidRPr="00DE1AF3">
        <w:rPr>
          <w:lang w:val="en-GB" w:eastAsia="en-GB"/>
        </w:rPr>
        <w:t xml:space="preserve">ompletion </w:t>
      </w:r>
      <w:r w:rsidR="00F83027">
        <w:rPr>
          <w:lang w:val="en-GB" w:eastAsia="en-GB"/>
        </w:rPr>
        <w:t>r</w:t>
      </w:r>
      <w:r w:rsidR="00F83027" w:rsidRPr="00DE1AF3">
        <w:rPr>
          <w:lang w:val="en-GB" w:eastAsia="en-GB"/>
        </w:rPr>
        <w:t xml:space="preserve">eview </w:t>
      </w:r>
      <w:r>
        <w:rPr>
          <w:lang w:val="en-GB" w:eastAsia="en-GB"/>
        </w:rPr>
        <w:t xml:space="preserve">of the </w:t>
      </w:r>
      <w:r w:rsidRPr="00DE1AF3">
        <w:rPr>
          <w:lang w:val="en-GB" w:eastAsia="en-GB"/>
        </w:rPr>
        <w:t>Civil Society Water, Sanitation and Hygiene Fund</w:t>
      </w:r>
      <w:r w:rsidRPr="00C01122" w:rsidDel="00185E9A">
        <w:t xml:space="preserve"> </w:t>
      </w:r>
      <w:r w:rsidR="008E473B" w:rsidRPr="00C01122">
        <w:t>(INI592)</w:t>
      </w:r>
      <w:r w:rsidR="003A5BA1">
        <w:rPr>
          <w:rFonts w:ascii="Arial" w:hAnsi="Arial"/>
        </w:rPr>
        <w:t>—</w:t>
      </w:r>
      <w:r w:rsidR="00544BC7">
        <w:t>e</w:t>
      </w:r>
      <w:r w:rsidR="008E473B" w:rsidRPr="00C01122">
        <w:t xml:space="preserve">valuation </w:t>
      </w:r>
      <w:r w:rsidR="00544BC7">
        <w:t>r</w:t>
      </w:r>
      <w:r w:rsidR="008E473B" w:rsidRPr="00C01122">
        <w:t xml:space="preserve">eport </w:t>
      </w:r>
    </w:p>
    <w:p w14:paraId="63FEBCF5" w14:textId="2B488BAA" w:rsidR="008E473B" w:rsidRPr="00C01122" w:rsidRDefault="00185E9A" w:rsidP="002C6BF3">
      <w:pPr>
        <w:pStyle w:val="Boxbullet"/>
      </w:pPr>
      <w:r w:rsidRPr="00DE1AF3">
        <w:rPr>
          <w:lang w:val="en-GB" w:eastAsia="en-GB"/>
        </w:rPr>
        <w:t xml:space="preserve">Independent </w:t>
      </w:r>
      <w:r w:rsidR="00F83027">
        <w:rPr>
          <w:lang w:val="en-GB" w:eastAsia="en-GB"/>
        </w:rPr>
        <w:t>r</w:t>
      </w:r>
      <w:r w:rsidR="00F83027" w:rsidRPr="00DE1AF3">
        <w:rPr>
          <w:lang w:val="en-GB" w:eastAsia="en-GB"/>
        </w:rPr>
        <w:t xml:space="preserve">eview </w:t>
      </w:r>
      <w:r w:rsidRPr="00DE1AF3">
        <w:rPr>
          <w:lang w:val="en-GB" w:eastAsia="en-GB"/>
        </w:rPr>
        <w:t>of two remote service delivery and community development programs in Papua New Guinea</w:t>
      </w:r>
      <w:r w:rsidRPr="002C6BF3">
        <w:t xml:space="preserve"> </w:t>
      </w:r>
      <w:r>
        <w:t>(</w:t>
      </w:r>
      <w:r w:rsidR="002C6BF3" w:rsidRPr="002C6BF3">
        <w:t>INH843 and INJ153)</w:t>
      </w:r>
      <w:r w:rsidR="003A5BA1">
        <w:rPr>
          <w:rFonts w:ascii="Arial" w:hAnsi="Arial"/>
        </w:rPr>
        <w:t>—</w:t>
      </w:r>
      <w:r w:rsidR="00544BC7">
        <w:t>e</w:t>
      </w:r>
      <w:r w:rsidR="008E473B" w:rsidRPr="00C01122">
        <w:t xml:space="preserve">valuation </w:t>
      </w:r>
      <w:r w:rsidR="00544BC7">
        <w:t>r</w:t>
      </w:r>
      <w:r w:rsidR="008E473B" w:rsidRPr="00C01122">
        <w:t xml:space="preserve">eport </w:t>
      </w:r>
    </w:p>
    <w:p w14:paraId="2030AF01" w14:textId="328550BB" w:rsidR="008E473B" w:rsidRDefault="008E473B" w:rsidP="008E473B">
      <w:pPr>
        <w:pStyle w:val="BoxText"/>
      </w:pPr>
      <w:r w:rsidRPr="00C01122">
        <w:t>These examples are</w:t>
      </w:r>
      <w:r>
        <w:t xml:space="preserve"> referred to throughout section</w:t>
      </w:r>
      <w:r w:rsidR="004739E2">
        <w:t>s</w:t>
      </w:r>
      <w:r>
        <w:t xml:space="preserve"> </w:t>
      </w:r>
      <w:r w:rsidR="004739E2">
        <w:fldChar w:fldCharType="begin"/>
      </w:r>
      <w:r w:rsidR="004739E2">
        <w:instrText xml:space="preserve"> REF _Ref379364132 \r \h </w:instrText>
      </w:r>
      <w:r w:rsidR="004739E2">
        <w:fldChar w:fldCharType="separate"/>
      </w:r>
      <w:r w:rsidR="00147362">
        <w:t>4.1</w:t>
      </w:r>
      <w:r w:rsidR="004739E2">
        <w:fldChar w:fldCharType="end"/>
      </w:r>
      <w:r w:rsidR="004739E2">
        <w:t xml:space="preserve"> and </w:t>
      </w:r>
      <w:r w:rsidR="004739E2">
        <w:fldChar w:fldCharType="begin"/>
      </w:r>
      <w:r w:rsidR="004739E2">
        <w:instrText xml:space="preserve"> REF _Ref379184079 \r \h </w:instrText>
      </w:r>
      <w:r w:rsidR="004739E2">
        <w:fldChar w:fldCharType="separate"/>
      </w:r>
      <w:r w:rsidR="00147362">
        <w:t>4.2</w:t>
      </w:r>
      <w:r w:rsidR="004739E2">
        <w:fldChar w:fldCharType="end"/>
      </w:r>
      <w:r>
        <w:t xml:space="preserve"> and </w:t>
      </w:r>
      <w:r w:rsidRPr="00C01122">
        <w:t xml:space="preserve">discussed in </w:t>
      </w:r>
      <w:r>
        <w:t xml:space="preserve">detail in </w:t>
      </w:r>
      <w:r w:rsidRPr="00C01122">
        <w:t>Annex</w:t>
      </w:r>
      <w:r w:rsidR="00544BC7">
        <w:t> </w:t>
      </w:r>
      <w:r w:rsidR="001E267E">
        <w:t>6</w:t>
      </w:r>
      <w:r w:rsidRPr="00C01122">
        <w:t>.</w:t>
      </w:r>
      <w:r w:rsidR="00A74814">
        <w:t xml:space="preserve"> </w:t>
      </w:r>
    </w:p>
    <w:p w14:paraId="29324F02" w14:textId="77777777" w:rsidR="009B71BF" w:rsidRPr="009B71BF" w:rsidRDefault="009B71BF" w:rsidP="008E473B">
      <w:pPr>
        <w:pStyle w:val="BoxText"/>
        <w:rPr>
          <w:sz w:val="2"/>
          <w:szCs w:val="2"/>
        </w:rPr>
      </w:pPr>
    </w:p>
    <w:p w14:paraId="06B67EFA" w14:textId="77777777" w:rsidR="00F3602E" w:rsidRPr="003F58C3" w:rsidRDefault="0072363F" w:rsidP="009B71BF">
      <w:pPr>
        <w:pStyle w:val="Heading2"/>
        <w:numPr>
          <w:ilvl w:val="0"/>
          <w:numId w:val="51"/>
        </w:numPr>
        <w:ind w:left="357" w:hanging="357"/>
      </w:pPr>
      <w:bookmarkStart w:id="96" w:name="_Ref379364132"/>
      <w:bookmarkStart w:id="97" w:name="_Toc387675109"/>
      <w:bookmarkEnd w:id="94"/>
      <w:bookmarkEnd w:id="95"/>
      <w:r>
        <w:t>Quality of evaluation design</w:t>
      </w:r>
      <w:r w:rsidR="006B4E54">
        <w:t>s</w:t>
      </w:r>
      <w:bookmarkEnd w:id="96"/>
      <w:bookmarkEnd w:id="97"/>
    </w:p>
    <w:p w14:paraId="2231E67C" w14:textId="308B273F" w:rsidR="00C71FEC" w:rsidRPr="00C71FEC" w:rsidRDefault="00FA2C44" w:rsidP="00841B16">
      <w:pPr>
        <w:rPr>
          <w:color w:val="000000" w:themeColor="text1"/>
        </w:rPr>
      </w:pPr>
      <w:bookmarkStart w:id="98" w:name="_Toc373303651"/>
      <w:bookmarkStart w:id="99" w:name="_Toc373304218"/>
      <w:r>
        <w:rPr>
          <w:color w:val="000000" w:themeColor="text1"/>
        </w:rPr>
        <w:t>Four of</w:t>
      </w:r>
      <w:r w:rsidR="006B4E54" w:rsidRPr="00C71FEC">
        <w:rPr>
          <w:color w:val="000000" w:themeColor="text1"/>
        </w:rPr>
        <w:t xml:space="preserve"> </w:t>
      </w:r>
      <w:r w:rsidR="000D2E3C">
        <w:rPr>
          <w:color w:val="000000" w:themeColor="text1"/>
        </w:rPr>
        <w:t>the</w:t>
      </w:r>
      <w:r w:rsidR="000D2E3C" w:rsidRPr="00C71FEC">
        <w:rPr>
          <w:color w:val="000000" w:themeColor="text1"/>
        </w:rPr>
        <w:t xml:space="preserve"> </w:t>
      </w:r>
      <w:r>
        <w:rPr>
          <w:color w:val="000000" w:themeColor="text1"/>
        </w:rPr>
        <w:t>general evaluation quality criteria</w:t>
      </w:r>
      <w:r w:rsidRPr="00C71FEC">
        <w:rPr>
          <w:color w:val="000000" w:themeColor="text1"/>
        </w:rPr>
        <w:t xml:space="preserve"> </w:t>
      </w:r>
      <w:r w:rsidR="006B4E54" w:rsidRPr="00C71FEC">
        <w:rPr>
          <w:color w:val="000000" w:themeColor="text1"/>
        </w:rPr>
        <w:t>relate to the quality of the</w:t>
      </w:r>
      <w:r w:rsidR="00C71FEC">
        <w:rPr>
          <w:color w:val="000000" w:themeColor="text1"/>
        </w:rPr>
        <w:t xml:space="preserve"> underlying</w:t>
      </w:r>
      <w:r w:rsidR="006B4E54" w:rsidRPr="00C71FEC">
        <w:rPr>
          <w:color w:val="000000" w:themeColor="text1"/>
        </w:rPr>
        <w:t xml:space="preserve"> evaluation designs.</w:t>
      </w:r>
      <w:r w:rsidR="00A74814">
        <w:rPr>
          <w:color w:val="000000" w:themeColor="text1"/>
        </w:rPr>
        <w:t xml:space="preserve"> </w:t>
      </w:r>
      <w:r w:rsidR="00C71FEC" w:rsidRPr="00C71FEC">
        <w:rPr>
          <w:color w:val="000000" w:themeColor="text1"/>
        </w:rPr>
        <w:t xml:space="preserve">While documents such as terms of reference and evaluation plans typically provide detailed information on the evaluation design, these documents were not available in all cases, so our assessments were based </w:t>
      </w:r>
      <w:r w:rsidR="006B4E54" w:rsidRPr="00C71FEC">
        <w:rPr>
          <w:color w:val="000000" w:themeColor="text1"/>
        </w:rPr>
        <w:t xml:space="preserve">primarily on </w:t>
      </w:r>
      <w:r w:rsidR="004739E2">
        <w:rPr>
          <w:color w:val="000000" w:themeColor="text1"/>
        </w:rPr>
        <w:t xml:space="preserve">evidence from </w:t>
      </w:r>
      <w:r w:rsidR="006B4E54" w:rsidRPr="00C71FEC">
        <w:rPr>
          <w:color w:val="000000" w:themeColor="text1"/>
        </w:rPr>
        <w:t>the evaluation reports themselves</w:t>
      </w:r>
      <w:r w:rsidR="00C71FEC" w:rsidRPr="00C71FEC">
        <w:rPr>
          <w:color w:val="000000" w:themeColor="text1"/>
        </w:rPr>
        <w:t xml:space="preserve"> (although </w:t>
      </w:r>
      <w:r w:rsidR="00C71FEC">
        <w:rPr>
          <w:color w:val="000000" w:themeColor="text1"/>
        </w:rPr>
        <w:t>many</w:t>
      </w:r>
      <w:r w:rsidR="00C71FEC" w:rsidRPr="00C71FEC">
        <w:rPr>
          <w:color w:val="000000" w:themeColor="text1"/>
        </w:rPr>
        <w:t xml:space="preserve"> reports included these documents as annexes</w:t>
      </w:r>
      <w:r w:rsidR="00235A9B">
        <w:rPr>
          <w:color w:val="000000" w:themeColor="text1"/>
        </w:rPr>
        <w:t xml:space="preserve"> and we did consider them where they were available</w:t>
      </w:r>
      <w:r w:rsidR="00C71FEC" w:rsidRPr="00C71FEC">
        <w:rPr>
          <w:color w:val="000000" w:themeColor="text1"/>
        </w:rPr>
        <w:t>).</w:t>
      </w:r>
      <w:r w:rsidR="00A74814">
        <w:rPr>
          <w:color w:val="000000" w:themeColor="text1"/>
        </w:rPr>
        <w:t xml:space="preserve"> </w:t>
      </w:r>
    </w:p>
    <w:p w14:paraId="6F63D638" w14:textId="77777777" w:rsidR="00F3602E" w:rsidRPr="00275138" w:rsidRDefault="00F3602E" w:rsidP="00A15582">
      <w:pPr>
        <w:pStyle w:val="Heading3"/>
      </w:pPr>
      <w:r>
        <w:t>Clarity of p</w:t>
      </w:r>
      <w:r w:rsidRPr="00275138">
        <w:t>urpose of evaluation</w:t>
      </w:r>
      <w:bookmarkEnd w:id="98"/>
      <w:bookmarkEnd w:id="99"/>
    </w:p>
    <w:p w14:paraId="641E24DE" w14:textId="79405D5C" w:rsidR="00F3602E" w:rsidRDefault="00F3602E" w:rsidP="00A15582">
      <w:r>
        <w:t>We found t</w:t>
      </w:r>
      <w:r w:rsidRPr="005A18AC">
        <w:t xml:space="preserve">he </w:t>
      </w:r>
      <w:r>
        <w:t xml:space="preserve">clarity of the </w:t>
      </w:r>
      <w:r w:rsidRPr="00ED034B">
        <w:t>purpose of the evaluation</w:t>
      </w:r>
      <w:r w:rsidRPr="00DA564B">
        <w:rPr>
          <w:b/>
        </w:rPr>
        <w:t xml:space="preserve"> </w:t>
      </w:r>
      <w:r>
        <w:t>to be adequate or better</w:t>
      </w:r>
      <w:r w:rsidRPr="00B26953">
        <w:t xml:space="preserve"> </w:t>
      </w:r>
      <w:r>
        <w:t>in 87</w:t>
      </w:r>
      <w:r w:rsidR="00013BE5">
        <w:t> </w:t>
      </w:r>
      <w:r w:rsidR="00BB057F">
        <w:t xml:space="preserve">per cent </w:t>
      </w:r>
      <w:r>
        <w:t>of evaluation reports.</w:t>
      </w:r>
      <w:r w:rsidR="00A74814">
        <w:t xml:space="preserve"> </w:t>
      </w:r>
      <w:r>
        <w:t>This indicates that</w:t>
      </w:r>
      <w:r w:rsidR="00013BE5">
        <w:t>,</w:t>
      </w:r>
      <w:r>
        <w:t xml:space="preserve"> on the whole, the overall focus of </w:t>
      </w:r>
      <w:r w:rsidR="00BB057F">
        <w:t xml:space="preserve">evaluations of </w:t>
      </w:r>
      <w:r>
        <w:t xml:space="preserve">Australian aid </w:t>
      </w:r>
      <w:r w:rsidR="00BB057F">
        <w:t>initiatives</w:t>
      </w:r>
      <w:r>
        <w:t xml:space="preserve"> is being clearly articulated.</w:t>
      </w:r>
      <w:r w:rsidR="00A74814">
        <w:t xml:space="preserve"> </w:t>
      </w:r>
      <w:r w:rsidR="00013BE5">
        <w:t xml:space="preserve">The purpose </w:t>
      </w:r>
      <w:r>
        <w:t xml:space="preserve">was often couched in the language of </w:t>
      </w:r>
      <w:r w:rsidR="00744801">
        <w:t>‘</w:t>
      </w:r>
      <w:r>
        <w:t>accountability</w:t>
      </w:r>
      <w:r w:rsidR="00744801">
        <w:t>’</w:t>
      </w:r>
      <w:r>
        <w:t xml:space="preserve">, </w:t>
      </w:r>
      <w:r w:rsidR="00744801">
        <w:t>‘</w:t>
      </w:r>
      <w:r>
        <w:t>identifying lessons</w:t>
      </w:r>
      <w:r w:rsidR="00744801">
        <w:t>’</w:t>
      </w:r>
      <w:r>
        <w:t xml:space="preserve">, </w:t>
      </w:r>
      <w:r w:rsidR="00744801">
        <w:t>‘</w:t>
      </w:r>
      <w:r>
        <w:t>driving improvement</w:t>
      </w:r>
      <w:r w:rsidR="00744801">
        <w:t>’</w:t>
      </w:r>
      <w:r>
        <w:t xml:space="preserve"> and </w:t>
      </w:r>
      <w:r w:rsidR="00744801">
        <w:t>‘</w:t>
      </w:r>
      <w:r>
        <w:t>informing future decisions</w:t>
      </w:r>
      <w:r w:rsidR="00744801">
        <w:t>’</w:t>
      </w:r>
      <w:r>
        <w:t>.</w:t>
      </w:r>
      <w:r w:rsidR="00A74814">
        <w:t xml:space="preserve"> </w:t>
      </w:r>
    </w:p>
    <w:p w14:paraId="737942AB" w14:textId="08049BCD" w:rsidR="00B25051" w:rsidRDefault="00F3602E" w:rsidP="00A15582">
      <w:r>
        <w:t xml:space="preserve">It is worth noting, however, that fewer than half of these </w:t>
      </w:r>
      <w:r w:rsidRPr="00692D06">
        <w:t xml:space="preserve">evaluations explicitly detailed the primary audience for </w:t>
      </w:r>
      <w:r>
        <w:t xml:space="preserve">the report, and that these frequently referred only to </w:t>
      </w:r>
      <w:r w:rsidR="00744801">
        <w:t>‘</w:t>
      </w:r>
      <w:r w:rsidRPr="00692D06">
        <w:t>AusAID</w:t>
      </w:r>
      <w:r w:rsidR="00744801">
        <w:t>’</w:t>
      </w:r>
      <w:r>
        <w:t xml:space="preserve"> without additional details.</w:t>
      </w:r>
      <w:r w:rsidR="00A74814">
        <w:t xml:space="preserve"> </w:t>
      </w:r>
      <w:r>
        <w:t xml:space="preserve">This is important as it </w:t>
      </w:r>
      <w:r w:rsidR="00013BE5">
        <w:t>indicates</w:t>
      </w:r>
      <w:r>
        <w:t xml:space="preserve"> the up-front planning that has gone into how the evaluation findings are going to be used and who is to take them forward</w:t>
      </w:r>
      <w:r w:rsidR="001C58F9">
        <w:t>.</w:t>
      </w:r>
      <w:r>
        <w:t xml:space="preserve"> </w:t>
      </w:r>
    </w:p>
    <w:p w14:paraId="0DFF9B27" w14:textId="36C63F63" w:rsidR="00F3602E" w:rsidRPr="00B666B6" w:rsidRDefault="00F83027" w:rsidP="00B666B6">
      <w:pPr>
        <w:pStyle w:val="BoxText"/>
        <w:pBdr>
          <w:top w:val="single" w:sz="4" w:space="4" w:color="124486"/>
          <w:left w:val="single" w:sz="4" w:space="4" w:color="124486"/>
          <w:bottom w:val="single" w:sz="4" w:space="4" w:color="124486"/>
          <w:right w:val="single" w:sz="4" w:space="4" w:color="124486"/>
        </w:pBdr>
        <w:rPr>
          <w:color w:val="124486"/>
        </w:rPr>
      </w:pPr>
      <w:r>
        <w:rPr>
          <w:color w:val="124486"/>
        </w:rPr>
        <w:t>F</w:t>
      </w:r>
      <w:r w:rsidRPr="00B666B6">
        <w:rPr>
          <w:color w:val="124486"/>
        </w:rPr>
        <w:t>or terms of reference that provide a clear outline of the audience for an evaluation</w:t>
      </w:r>
      <w:r>
        <w:rPr>
          <w:color w:val="124486"/>
        </w:rPr>
        <w:t>, s</w:t>
      </w:r>
      <w:r w:rsidR="00F3602E" w:rsidRPr="00B666B6">
        <w:rPr>
          <w:color w:val="124486"/>
        </w:rPr>
        <w:t>ee the good</w:t>
      </w:r>
      <w:r w:rsidR="00013BE5" w:rsidRPr="00B666B6">
        <w:rPr>
          <w:color w:val="124486"/>
        </w:rPr>
        <w:t>-</w:t>
      </w:r>
      <w:r w:rsidR="00F3602E" w:rsidRPr="00B666B6">
        <w:rPr>
          <w:color w:val="124486"/>
        </w:rPr>
        <w:t>practice example</w:t>
      </w:r>
      <w:r w:rsidR="00BB057F" w:rsidRPr="00B666B6">
        <w:rPr>
          <w:color w:val="124486"/>
        </w:rPr>
        <w:t xml:space="preserve"> from </w:t>
      </w:r>
      <w:r>
        <w:rPr>
          <w:color w:val="124486"/>
        </w:rPr>
        <w:t xml:space="preserve">the evaluation of </w:t>
      </w:r>
      <w:r w:rsidRPr="00F83027">
        <w:rPr>
          <w:color w:val="124486"/>
        </w:rPr>
        <w:t xml:space="preserve">Timor–Leste Asian Development Bank Infrastructure Project Management/Infrastructure Technical Assistance </w:t>
      </w:r>
      <w:r w:rsidR="00B666B6" w:rsidRPr="00B666B6">
        <w:rPr>
          <w:color w:val="124486"/>
        </w:rPr>
        <w:t xml:space="preserve">(INH497) </w:t>
      </w:r>
      <w:r w:rsidR="00F3602E" w:rsidRPr="00B666B6">
        <w:rPr>
          <w:color w:val="124486"/>
        </w:rPr>
        <w:t xml:space="preserve">in Annex </w:t>
      </w:r>
      <w:r w:rsidR="004A242D" w:rsidRPr="00B666B6">
        <w:rPr>
          <w:color w:val="124486"/>
        </w:rPr>
        <w:t>6</w:t>
      </w:r>
      <w:r w:rsidR="001C58F9" w:rsidRPr="00B666B6">
        <w:rPr>
          <w:color w:val="124486"/>
        </w:rPr>
        <w:t>.</w:t>
      </w:r>
      <w:r w:rsidR="00A74814" w:rsidRPr="00B666B6">
        <w:rPr>
          <w:color w:val="124486"/>
        </w:rPr>
        <w:t xml:space="preserve"> </w:t>
      </w:r>
    </w:p>
    <w:p w14:paraId="21EFD28E" w14:textId="0755D3A0" w:rsidR="00CB1AE8" w:rsidRDefault="000D2E3C" w:rsidP="00CB1AE8">
      <w:bookmarkStart w:id="100" w:name="_Toc373303652"/>
      <w:bookmarkStart w:id="101" w:name="_Toc373304219"/>
      <w:r>
        <w:lastRenderedPageBreak/>
        <w:t>The true purpose of the evaluation should be made clear from the beginning and should inform the evaluation design.</w:t>
      </w:r>
      <w:r w:rsidR="00A74814">
        <w:t xml:space="preserve"> </w:t>
      </w:r>
      <w:r>
        <w:t>D</w:t>
      </w:r>
      <w:r w:rsidR="00CB1AE8">
        <w:t xml:space="preserve">uring interviews three consultants </w:t>
      </w:r>
      <w:r w:rsidR="00013BE5">
        <w:t xml:space="preserve">mentioned </w:t>
      </w:r>
      <w:r w:rsidR="00CB1AE8">
        <w:t xml:space="preserve">cases where decisions about the future of an initiative had </w:t>
      </w:r>
      <w:r w:rsidR="00CB2084">
        <w:t xml:space="preserve">been made </w:t>
      </w:r>
      <w:r w:rsidR="00013BE5">
        <w:t>before</w:t>
      </w:r>
      <w:r w:rsidR="00CB2084">
        <w:t xml:space="preserve"> an</w:t>
      </w:r>
      <w:r w:rsidR="00CB1AE8">
        <w:t xml:space="preserve"> evaluation</w:t>
      </w:r>
      <w:r w:rsidR="00CB2084">
        <w:t xml:space="preserve"> </w:t>
      </w:r>
      <w:r w:rsidR="00013BE5">
        <w:t>began</w:t>
      </w:r>
      <w:r w:rsidR="00CB2084">
        <w:t xml:space="preserve"> but had n</w:t>
      </w:r>
      <w:r w:rsidR="00CB1AE8">
        <w:t>ot been communicated to the evaluation team.</w:t>
      </w:r>
      <w:r w:rsidR="00A74814">
        <w:t xml:space="preserve"> </w:t>
      </w:r>
      <w:r w:rsidR="00CB1AE8">
        <w:t xml:space="preserve">While </w:t>
      </w:r>
      <w:r w:rsidR="00CB2084">
        <w:t>it</w:t>
      </w:r>
      <w:r w:rsidR="00CB1AE8">
        <w:t xml:space="preserve"> is sometimes unavoidable</w:t>
      </w:r>
      <w:r w:rsidR="00CB2084">
        <w:t xml:space="preserve"> </w:t>
      </w:r>
      <w:r w:rsidR="00013BE5">
        <w:t xml:space="preserve">to undertake </w:t>
      </w:r>
      <w:r w:rsidR="00CB2084">
        <w:t>an evaluation after key</w:t>
      </w:r>
      <w:r w:rsidR="004739E2">
        <w:t xml:space="preserve"> programming</w:t>
      </w:r>
      <w:r w:rsidR="00CB2084">
        <w:t xml:space="preserve"> decisions have been made, </w:t>
      </w:r>
      <w:r w:rsidR="00CB1AE8">
        <w:t>there may still be good opportunities for learning</w:t>
      </w:r>
      <w:r w:rsidR="00CB2084">
        <w:t>.</w:t>
      </w:r>
      <w:r w:rsidR="00A74814">
        <w:t xml:space="preserve"> </w:t>
      </w:r>
    </w:p>
    <w:p w14:paraId="086D4B96" w14:textId="77777777" w:rsidR="0072363F" w:rsidRDefault="001C58F9" w:rsidP="00A15582">
      <w:pPr>
        <w:pStyle w:val="Heading3"/>
      </w:pPr>
      <w:r>
        <w:t>S</w:t>
      </w:r>
      <w:r w:rsidR="0072363F">
        <w:t>cope of evaluation</w:t>
      </w:r>
    </w:p>
    <w:p w14:paraId="63F95D3B" w14:textId="5200CBAA" w:rsidR="00CC781F" w:rsidRDefault="001C58F9" w:rsidP="00841B16">
      <w:pPr>
        <w:rPr>
          <w:color w:val="000000" w:themeColor="text1"/>
        </w:rPr>
      </w:pPr>
      <w:bookmarkStart w:id="102" w:name="_Toc373303655"/>
      <w:bookmarkStart w:id="103" w:name="_Toc373304222"/>
      <w:bookmarkEnd w:id="100"/>
      <w:bookmarkEnd w:id="101"/>
      <w:r w:rsidRPr="00AD59CB">
        <w:rPr>
          <w:color w:val="000000" w:themeColor="text1"/>
        </w:rPr>
        <w:t>We found that 62 per cent of evaluations adequately considered the scope of the evaluation</w:t>
      </w:r>
      <w:r w:rsidR="00AD59CB" w:rsidRPr="00AD59CB">
        <w:rPr>
          <w:color w:val="000000" w:themeColor="text1"/>
        </w:rPr>
        <w:t>, including whether the scope matches the evaluation resources and whether the roles of the evaluation team members and management are set out.</w:t>
      </w:r>
      <w:r w:rsidR="00A74814">
        <w:rPr>
          <w:color w:val="000000" w:themeColor="text1"/>
        </w:rPr>
        <w:t xml:space="preserve"> </w:t>
      </w:r>
    </w:p>
    <w:p w14:paraId="707A92EC" w14:textId="03922602" w:rsidR="00AD59CB" w:rsidRPr="00AD59CB" w:rsidRDefault="00AD59CB" w:rsidP="00841B16">
      <w:pPr>
        <w:rPr>
          <w:color w:val="000000" w:themeColor="text1"/>
        </w:rPr>
      </w:pPr>
      <w:r w:rsidRPr="00AD59CB">
        <w:rPr>
          <w:color w:val="000000" w:themeColor="text1"/>
        </w:rPr>
        <w:t>It is worth noting that</w:t>
      </w:r>
      <w:r>
        <w:rPr>
          <w:color w:val="000000" w:themeColor="text1"/>
        </w:rPr>
        <w:t>,</w:t>
      </w:r>
      <w:r w:rsidRPr="00AD59CB">
        <w:rPr>
          <w:color w:val="000000" w:themeColor="text1"/>
        </w:rPr>
        <w:t xml:space="preserve"> </w:t>
      </w:r>
      <w:r w:rsidR="004739E2">
        <w:rPr>
          <w:color w:val="000000" w:themeColor="text1"/>
        </w:rPr>
        <w:t>of</w:t>
      </w:r>
      <w:r w:rsidR="001C58F9" w:rsidRPr="00AD59CB">
        <w:rPr>
          <w:color w:val="000000" w:themeColor="text1"/>
        </w:rPr>
        <w:t xml:space="preserve"> the 41 cases (47 per cent of evaluations) where AusAID </w:t>
      </w:r>
      <w:r w:rsidRPr="00AD59CB">
        <w:rPr>
          <w:color w:val="000000" w:themeColor="text1"/>
        </w:rPr>
        <w:t>officers</w:t>
      </w:r>
      <w:r w:rsidR="001C58F9" w:rsidRPr="00AD59CB">
        <w:rPr>
          <w:color w:val="000000" w:themeColor="text1"/>
        </w:rPr>
        <w:t xml:space="preserve"> were </w:t>
      </w:r>
      <w:r w:rsidRPr="00AD59CB">
        <w:rPr>
          <w:color w:val="000000" w:themeColor="text1"/>
        </w:rPr>
        <w:t>included</w:t>
      </w:r>
      <w:r w:rsidR="001C58F9" w:rsidRPr="00AD59CB">
        <w:rPr>
          <w:color w:val="000000" w:themeColor="text1"/>
        </w:rPr>
        <w:t xml:space="preserve"> in the evaluation team,</w:t>
      </w:r>
      <w:r w:rsidRPr="00AD59CB">
        <w:rPr>
          <w:color w:val="000000" w:themeColor="text1"/>
        </w:rPr>
        <w:t xml:space="preserve"> </w:t>
      </w:r>
      <w:r w:rsidR="003A5BA1">
        <w:rPr>
          <w:color w:val="000000" w:themeColor="text1"/>
        </w:rPr>
        <w:t xml:space="preserve">in half of the cases </w:t>
      </w:r>
      <w:r w:rsidRPr="00AD59CB">
        <w:rPr>
          <w:color w:val="000000" w:themeColor="text1"/>
        </w:rPr>
        <w:t>their role was not clearly defined.</w:t>
      </w:r>
    </w:p>
    <w:p w14:paraId="2963568E" w14:textId="77777777" w:rsidR="0072363F" w:rsidRPr="00E11C0A" w:rsidRDefault="007E7349" w:rsidP="0072363F">
      <w:pPr>
        <w:pStyle w:val="Heading3"/>
      </w:pPr>
      <w:bookmarkStart w:id="104" w:name="_Toc373303659"/>
      <w:bookmarkStart w:id="105" w:name="_Toc373304226"/>
      <w:r>
        <w:t>Assessment of i</w:t>
      </w:r>
      <w:r w:rsidR="0072363F" w:rsidRPr="00ED034B">
        <w:t>ntervention logic</w:t>
      </w:r>
      <w:bookmarkEnd w:id="104"/>
      <w:bookmarkEnd w:id="105"/>
    </w:p>
    <w:p w14:paraId="62FC51F0" w14:textId="3F8B0EAB" w:rsidR="00AD1BCB" w:rsidRDefault="004739E2" w:rsidP="0072363F">
      <w:r>
        <w:t>Our review found that</w:t>
      </w:r>
      <w:r w:rsidR="0072363F">
        <w:t xml:space="preserve"> </w:t>
      </w:r>
      <w:r w:rsidR="006D1DA4">
        <w:t xml:space="preserve">there was adequate </w:t>
      </w:r>
      <w:r w:rsidR="0072363F">
        <w:t>a</w:t>
      </w:r>
      <w:r w:rsidR="0072363F" w:rsidRPr="008C5A59">
        <w:t>ssessment of the</w:t>
      </w:r>
      <w:r>
        <w:t xml:space="preserve"> underlying</w:t>
      </w:r>
      <w:r w:rsidR="00AD59CB">
        <w:t xml:space="preserve"> logic of the</w:t>
      </w:r>
      <w:r w:rsidR="0072363F" w:rsidRPr="008C5A59">
        <w:t xml:space="preserve"> </w:t>
      </w:r>
      <w:r w:rsidR="0072363F" w:rsidRPr="00ED034B">
        <w:t xml:space="preserve">intervention </w:t>
      </w:r>
      <w:r w:rsidR="000D2E3C">
        <w:t xml:space="preserve">in </w:t>
      </w:r>
      <w:r w:rsidR="0072363F">
        <w:t>only 42</w:t>
      </w:r>
      <w:r w:rsidR="00852D0D">
        <w:t> </w:t>
      </w:r>
      <w:r w:rsidR="0072363F">
        <w:t>per cent of evaluations.</w:t>
      </w:r>
      <w:r w:rsidR="00A74814">
        <w:t xml:space="preserve"> </w:t>
      </w:r>
      <w:r w:rsidR="0072363F" w:rsidRPr="00331DCE">
        <w:t>Typically evaluations fail</w:t>
      </w:r>
      <w:r w:rsidR="0072363F">
        <w:t>ed</w:t>
      </w:r>
      <w:r w:rsidR="0072363F" w:rsidRPr="00331DCE">
        <w:t xml:space="preserve"> to assess the intervention logic</w:t>
      </w:r>
      <w:r w:rsidR="0072363F">
        <w:t xml:space="preserve"> or theory of change,</w:t>
      </w:r>
      <w:r w:rsidR="0072363F" w:rsidRPr="00331DCE">
        <w:t xml:space="preserve"> or the clarity of the initiative</w:t>
      </w:r>
      <w:r w:rsidR="00744801">
        <w:t>’</w:t>
      </w:r>
      <w:r w:rsidR="0072363F" w:rsidRPr="00331DCE">
        <w:t>s objectives</w:t>
      </w:r>
      <w:r w:rsidR="0072363F">
        <w:t>.</w:t>
      </w:r>
      <w:r w:rsidR="00A74814">
        <w:t xml:space="preserve"> </w:t>
      </w:r>
      <w:r w:rsidR="0072363F">
        <w:t>E</w:t>
      </w:r>
      <w:r w:rsidR="0072363F" w:rsidRPr="00331DCE">
        <w:t xml:space="preserve">ven evaluations </w:t>
      </w:r>
      <w:r w:rsidR="0072363F">
        <w:t xml:space="preserve">rated highly against other criteria </w:t>
      </w:r>
      <w:r w:rsidR="0072363F" w:rsidRPr="00331DCE">
        <w:t>mostly assess</w:t>
      </w:r>
      <w:r w:rsidR="0072363F">
        <w:t>ed</w:t>
      </w:r>
      <w:r w:rsidR="0072363F" w:rsidRPr="00331DCE">
        <w:t xml:space="preserve"> the intervention logic in an implicit way only</w:t>
      </w:r>
      <w:r w:rsidR="0072363F">
        <w:t>, and t</w:t>
      </w:r>
      <w:r w:rsidR="0072363F" w:rsidRPr="00331DCE">
        <w:t xml:space="preserve">here </w:t>
      </w:r>
      <w:r w:rsidR="0072363F">
        <w:t>was</w:t>
      </w:r>
      <w:r w:rsidR="0072363F" w:rsidRPr="00331DCE">
        <w:t xml:space="preserve"> </w:t>
      </w:r>
      <w:r w:rsidR="0072363F">
        <w:t>rarely an</w:t>
      </w:r>
      <w:r w:rsidR="0072363F" w:rsidRPr="00331DCE">
        <w:t xml:space="preserve"> explicit section devoted to assessment of</w:t>
      </w:r>
      <w:r w:rsidR="00AE36F9">
        <w:t xml:space="preserve"> the</w:t>
      </w:r>
      <w:r w:rsidR="0072363F" w:rsidRPr="00331DCE">
        <w:t xml:space="preserve"> </w:t>
      </w:r>
      <w:r w:rsidR="0072363F">
        <w:t>intervention logic</w:t>
      </w:r>
      <w:r w:rsidR="0072363F" w:rsidRPr="00331DCE">
        <w:t>.</w:t>
      </w:r>
      <w:r w:rsidR="00A74814">
        <w:t xml:space="preserve"> </w:t>
      </w:r>
    </w:p>
    <w:p w14:paraId="04E0418D" w14:textId="7FE3FB9D" w:rsidR="0072363F" w:rsidRDefault="0072363F" w:rsidP="0072363F">
      <w:r>
        <w:t xml:space="preserve">While the </w:t>
      </w:r>
      <w:r w:rsidR="00AD59CB">
        <w:t xml:space="preserve">terms of reference </w:t>
      </w:r>
      <w:r>
        <w:t xml:space="preserve">for many evaluations, especially </w:t>
      </w:r>
      <w:r w:rsidR="004739E2">
        <w:t>independent progress reports</w:t>
      </w:r>
      <w:r>
        <w:t>, did not ask for a critique of</w:t>
      </w:r>
      <w:r w:rsidR="00AE36F9">
        <w:t xml:space="preserve"> the</w:t>
      </w:r>
      <w:r>
        <w:t xml:space="preserve"> intervention logic, </w:t>
      </w:r>
      <w:r w:rsidR="002E646F">
        <w:t>and the evaluation guidelines at the time did not explicitly require an assessment of</w:t>
      </w:r>
      <w:r w:rsidR="00AE36F9">
        <w:t xml:space="preserve"> the intervention</w:t>
      </w:r>
      <w:r w:rsidR="002E646F">
        <w:t xml:space="preserve"> logic, </w:t>
      </w:r>
      <w:r>
        <w:t xml:space="preserve">it was surprising that more </w:t>
      </w:r>
      <w:r w:rsidR="006F6E3D">
        <w:t>evaluation</w:t>
      </w:r>
      <w:r w:rsidR="00852D0D">
        <w:t>-</w:t>
      </w:r>
      <w:r w:rsidR="006F6E3D">
        <w:t>commissioning areas and evaluators</w:t>
      </w:r>
      <w:r>
        <w:t xml:space="preserve"> were not more inquisitive on this point.</w:t>
      </w:r>
      <w:r w:rsidR="00A74814">
        <w:t xml:space="preserve"> </w:t>
      </w:r>
      <w:r w:rsidR="00852D0D">
        <w:t>L</w:t>
      </w:r>
      <w:r w:rsidR="009121BE">
        <w:t>ack of assessment</w:t>
      </w:r>
      <w:r w:rsidR="00A74814">
        <w:t xml:space="preserve"> </w:t>
      </w:r>
      <w:r>
        <w:t>of an intervention</w:t>
      </w:r>
      <w:r w:rsidR="00744801">
        <w:t>’</w:t>
      </w:r>
      <w:r w:rsidR="009121BE">
        <w:t>s</w:t>
      </w:r>
      <w:r>
        <w:t xml:space="preserve"> logic does not preclude gathering robust evidence,</w:t>
      </w:r>
      <w:r w:rsidR="00852D0D">
        <w:t xml:space="preserve"> but assessment of logic</w:t>
      </w:r>
      <w:r>
        <w:t xml:space="preserve"> provides a structure and coherence to an evaluation process that significantly strength</w:t>
      </w:r>
      <w:r w:rsidR="00AD59CB">
        <w:t>en</w:t>
      </w:r>
      <w:r>
        <w:t>s the analysis.</w:t>
      </w:r>
      <w:r w:rsidR="00A74814">
        <w:t xml:space="preserve"> </w:t>
      </w:r>
      <w:r>
        <w:t>The conclusion is that t</w:t>
      </w:r>
      <w:r w:rsidRPr="00692D06">
        <w:t xml:space="preserve">he majority of evaluations are failing to really test </w:t>
      </w:r>
      <w:r w:rsidR="00AD59CB">
        <w:t>the</w:t>
      </w:r>
      <w:r w:rsidR="00AD59CB" w:rsidRPr="00692D06">
        <w:t xml:space="preserve"> </w:t>
      </w:r>
      <w:r w:rsidRPr="00692D06">
        <w:t>underlying logic and objectives</w:t>
      </w:r>
      <w:r>
        <w:rPr>
          <w:b/>
        </w:rPr>
        <w:t xml:space="preserve"> </w:t>
      </w:r>
      <w:r w:rsidRPr="00CE46F2">
        <w:t>of the intervention</w:t>
      </w:r>
      <w:r w:rsidR="003A5BA1">
        <w:rPr>
          <w:rFonts w:ascii="Arial" w:hAnsi="Arial"/>
        </w:rPr>
        <w:t>—</w:t>
      </w:r>
      <w:r w:rsidRPr="00DC79DD">
        <w:t>which</w:t>
      </w:r>
      <w:r w:rsidR="006F6E3D">
        <w:t xml:space="preserve"> in most cases</w:t>
      </w:r>
      <w:r w:rsidRPr="00DC79DD">
        <w:t xml:space="preserve"> </w:t>
      </w:r>
      <w:r>
        <w:t>should be</w:t>
      </w:r>
      <w:r w:rsidRPr="00DC79DD">
        <w:t xml:space="preserve"> a key rationale for commissioning an external evaluation.</w:t>
      </w:r>
    </w:p>
    <w:p w14:paraId="2A3F7E23" w14:textId="77777777" w:rsidR="007E7349" w:rsidRPr="00F7258E" w:rsidRDefault="0003703E" w:rsidP="007E7349">
      <w:pPr>
        <w:pStyle w:val="Heading3"/>
      </w:pPr>
      <w:r>
        <w:t>E</w:t>
      </w:r>
      <w:r w:rsidR="007E7349" w:rsidRPr="003C31D9">
        <w:t>valuation methodology</w:t>
      </w:r>
      <w:r w:rsidR="007E7349" w:rsidRPr="00F7258E">
        <w:t xml:space="preserve"> </w:t>
      </w:r>
    </w:p>
    <w:p w14:paraId="60D6DC3B" w14:textId="3F1CE5E2" w:rsidR="007E7349" w:rsidRDefault="00974B77" w:rsidP="007E7349">
      <w:r w:rsidRPr="00935B6A">
        <w:t xml:space="preserve">A common weakness </w:t>
      </w:r>
      <w:r>
        <w:t>wa</w:t>
      </w:r>
      <w:r w:rsidRPr="00935B6A">
        <w:t>s that</w:t>
      </w:r>
      <w:r>
        <w:t>,</w:t>
      </w:r>
      <w:r w:rsidRPr="00935B6A">
        <w:t xml:space="preserve"> while </w:t>
      </w:r>
      <w:r>
        <w:t>evaluation reports des</w:t>
      </w:r>
      <w:r w:rsidRPr="00935B6A">
        <w:t>cribe</w:t>
      </w:r>
      <w:r>
        <w:t>d</w:t>
      </w:r>
      <w:r w:rsidRPr="00935B6A">
        <w:t xml:space="preserve"> the methods used</w:t>
      </w:r>
      <w:r>
        <w:t>,</w:t>
      </w:r>
      <w:r w:rsidRPr="00935B6A">
        <w:t xml:space="preserve"> </w:t>
      </w:r>
      <w:r>
        <w:t xml:space="preserve">most offered </w:t>
      </w:r>
      <w:r w:rsidRPr="00935B6A">
        <w:t xml:space="preserve">no </w:t>
      </w:r>
      <w:r>
        <w:t>justification as to</w:t>
      </w:r>
      <w:r w:rsidRPr="00935B6A">
        <w:t xml:space="preserve"> their suitability </w:t>
      </w:r>
      <w:r>
        <w:t>for</w:t>
      </w:r>
      <w:r w:rsidRPr="00935B6A">
        <w:t xml:space="preserve"> the purpose of the evaluation and/or their possible </w:t>
      </w:r>
      <w:r>
        <w:t xml:space="preserve">strengths and weaknesses. </w:t>
      </w:r>
      <w:r w:rsidR="006F6E3D">
        <w:t>We found t</w:t>
      </w:r>
      <w:r w:rsidR="007E7349" w:rsidRPr="00692D06">
        <w:t xml:space="preserve">he </w:t>
      </w:r>
      <w:r w:rsidR="007E7349" w:rsidRPr="00F7258E">
        <w:rPr>
          <w:bCs/>
        </w:rPr>
        <w:t>evaluation methodology</w:t>
      </w:r>
      <w:r w:rsidR="00CB26B4">
        <w:rPr>
          <w:bCs/>
        </w:rPr>
        <w:t xml:space="preserve"> to be adequately justified</w:t>
      </w:r>
      <w:r w:rsidR="007E7349" w:rsidRPr="00692D06">
        <w:rPr>
          <w:bCs/>
        </w:rPr>
        <w:t xml:space="preserve"> </w:t>
      </w:r>
      <w:r w:rsidR="007E7349" w:rsidRPr="00692D06">
        <w:t xml:space="preserve">and the use of sources </w:t>
      </w:r>
      <w:r w:rsidR="006F6E3D">
        <w:t>to be</w:t>
      </w:r>
      <w:r w:rsidR="007E7349">
        <w:t xml:space="preserve"> adequate in only 40</w:t>
      </w:r>
      <w:r w:rsidR="00852D0D">
        <w:t> </w:t>
      </w:r>
      <w:r w:rsidR="007E7349">
        <w:t>per cent of all evaluation reports.</w:t>
      </w:r>
      <w:r w:rsidR="00A74814">
        <w:t xml:space="preserve"> </w:t>
      </w:r>
      <w:r w:rsidR="007E7349">
        <w:t xml:space="preserve">In arriving at this assessment, we considered </w:t>
      </w:r>
      <w:r w:rsidR="007E7349" w:rsidRPr="003F794B">
        <w:rPr>
          <w:rFonts w:cs="Arial"/>
        </w:rPr>
        <w:t>justification o</w:t>
      </w:r>
      <w:r w:rsidR="007E7349">
        <w:rPr>
          <w:rFonts w:cs="Arial"/>
        </w:rPr>
        <w:t xml:space="preserve">f the design of the evaluation and whether a clear explanation of the </w:t>
      </w:r>
      <w:r w:rsidR="007E7349" w:rsidRPr="003F794B">
        <w:rPr>
          <w:rFonts w:cs="Arial"/>
        </w:rPr>
        <w:t>techniques f</w:t>
      </w:r>
      <w:r w:rsidR="007E7349">
        <w:rPr>
          <w:rFonts w:cs="Arial"/>
        </w:rPr>
        <w:t>or data collection and analysis was provided</w:t>
      </w:r>
      <w:r w:rsidR="007E7349" w:rsidRPr="003F794B">
        <w:rPr>
          <w:rFonts w:cs="Arial"/>
        </w:rPr>
        <w:t>. In addition</w:t>
      </w:r>
      <w:r w:rsidR="007E7349">
        <w:rPr>
          <w:rFonts w:cs="Arial"/>
        </w:rPr>
        <w:t xml:space="preserve">, we looked for </w:t>
      </w:r>
      <w:r w:rsidR="007E7349" w:rsidRPr="003F794B">
        <w:rPr>
          <w:rFonts w:cs="Arial"/>
        </w:rPr>
        <w:t xml:space="preserve">evidence of </w:t>
      </w:r>
      <w:r w:rsidR="007E7349">
        <w:rPr>
          <w:rFonts w:cs="Arial"/>
        </w:rPr>
        <w:t>t</w:t>
      </w:r>
      <w:r w:rsidR="007E7349" w:rsidRPr="003F794B">
        <w:rPr>
          <w:rFonts w:cs="Arial"/>
        </w:rPr>
        <w:t>riangulation</w:t>
      </w:r>
      <w:r w:rsidR="007E7349">
        <w:rPr>
          <w:rFonts w:cs="Arial"/>
        </w:rPr>
        <w:t xml:space="preserve"> between types of evidence</w:t>
      </w:r>
      <w:r w:rsidR="007E7349" w:rsidRPr="003F794B">
        <w:rPr>
          <w:rFonts w:cs="Arial"/>
        </w:rPr>
        <w:t xml:space="preserve"> and</w:t>
      </w:r>
      <w:r w:rsidR="007E7349">
        <w:rPr>
          <w:rFonts w:cs="Arial"/>
        </w:rPr>
        <w:t>,</w:t>
      </w:r>
      <w:r w:rsidR="007E7349" w:rsidRPr="003F794B">
        <w:rPr>
          <w:rFonts w:cs="Arial"/>
        </w:rPr>
        <w:t xml:space="preserve"> where applicable</w:t>
      </w:r>
      <w:r w:rsidR="007E7349">
        <w:rPr>
          <w:rFonts w:cs="Arial"/>
        </w:rPr>
        <w:t>,</w:t>
      </w:r>
      <w:r w:rsidR="007E7349" w:rsidRPr="003F794B">
        <w:rPr>
          <w:rFonts w:cs="Arial"/>
        </w:rPr>
        <w:t xml:space="preserve"> an appropriate </w:t>
      </w:r>
      <w:r w:rsidR="007E7349" w:rsidRPr="003F794B">
        <w:t>samp</w:t>
      </w:r>
      <w:r w:rsidR="007E7349">
        <w:t>ling strategy, discussion</w:t>
      </w:r>
      <w:r w:rsidR="007E7349" w:rsidRPr="003F794B">
        <w:t xml:space="preserve"> of the </w:t>
      </w:r>
      <w:r w:rsidR="007E7349">
        <w:t>l</w:t>
      </w:r>
      <w:r w:rsidR="007E7349" w:rsidRPr="003F794B">
        <w:t xml:space="preserve">imitations </w:t>
      </w:r>
      <w:r w:rsidR="00AD59CB">
        <w:t>of</w:t>
      </w:r>
      <w:r w:rsidR="00AD59CB" w:rsidRPr="003F794B">
        <w:t xml:space="preserve"> </w:t>
      </w:r>
      <w:r w:rsidR="007E7349" w:rsidRPr="003F794B">
        <w:t>the methodology</w:t>
      </w:r>
      <w:r w:rsidR="007E7349">
        <w:t>, and consideration of ethical and cultural issues</w:t>
      </w:r>
      <w:r w:rsidR="007E7349" w:rsidRPr="003F794B">
        <w:t>.</w:t>
      </w:r>
      <w:r w:rsidR="00A74814">
        <w:t xml:space="preserve"> </w:t>
      </w:r>
    </w:p>
    <w:p w14:paraId="2DCBA345" w14:textId="1C15A046" w:rsidR="004739E2" w:rsidRDefault="00235A9B" w:rsidP="007E7349">
      <w:r>
        <w:t xml:space="preserve">The treatment of methodology in the majority of reports </w:t>
      </w:r>
      <w:r w:rsidR="000D2E3C">
        <w:t>tended to be</w:t>
      </w:r>
      <w:r>
        <w:t xml:space="preserve"> formulaic</w:t>
      </w:r>
      <w:r w:rsidR="00852D0D">
        <w:t>.</w:t>
      </w:r>
      <w:r>
        <w:t xml:space="preserve"> </w:t>
      </w:r>
      <w:r w:rsidR="00852D0D">
        <w:t>M</w:t>
      </w:r>
      <w:r>
        <w:t>any simply list</w:t>
      </w:r>
      <w:r w:rsidR="00852D0D">
        <w:t>ed</w:t>
      </w:r>
      <w:r>
        <w:t xml:space="preserve"> interviews and focus groups as the specified methodology without </w:t>
      </w:r>
      <w:r w:rsidR="000D2E3C">
        <w:t>reflecti</w:t>
      </w:r>
      <w:r w:rsidR="00852D0D">
        <w:t>ng</w:t>
      </w:r>
      <w:r w:rsidR="000D2E3C">
        <w:t xml:space="preserve"> on their suitability compared to other possible methods or providing details on exactly how they </w:t>
      </w:r>
      <w:r w:rsidR="00852D0D">
        <w:t>would</w:t>
      </w:r>
      <w:r w:rsidR="000D2E3C">
        <w:t xml:space="preserve"> be used to gather the necessary data</w:t>
      </w:r>
      <w:r>
        <w:t xml:space="preserve">. </w:t>
      </w:r>
      <w:r w:rsidR="007E7349" w:rsidRPr="00935B6A">
        <w:t>Most reports provide</w:t>
      </w:r>
      <w:r w:rsidR="007E7349">
        <w:t>d</w:t>
      </w:r>
      <w:r w:rsidR="007E7349" w:rsidRPr="00935B6A">
        <w:t xml:space="preserve"> </w:t>
      </w:r>
      <w:r w:rsidR="007E7349">
        <w:t xml:space="preserve">little or no </w:t>
      </w:r>
      <w:r w:rsidR="007E7349" w:rsidRPr="00935B6A">
        <w:t xml:space="preserve">explanation of the sampling strategy </w:t>
      </w:r>
      <w:r w:rsidR="00974B77" w:rsidRPr="00935B6A">
        <w:t>used</w:t>
      </w:r>
      <w:r w:rsidR="00974B77">
        <w:t>.</w:t>
      </w:r>
      <w:r w:rsidR="00A74814">
        <w:t xml:space="preserve"> </w:t>
      </w:r>
      <w:r w:rsidR="00974B77">
        <w:t>While we acknowledge that this is not an explicit requirement of the evaluation standards or guidelines, it does make it</w:t>
      </w:r>
      <w:r w:rsidR="00974B77" w:rsidRPr="00935B6A">
        <w:t xml:space="preserve"> difficult to understand why certain people were interviewed and not others</w:t>
      </w:r>
      <w:r w:rsidR="00974B77">
        <w:t>.</w:t>
      </w:r>
      <w:r w:rsidR="00974B77" w:rsidRPr="00666ABC">
        <w:t xml:space="preserve"> </w:t>
      </w:r>
      <w:r w:rsidR="00974B77">
        <w:t xml:space="preserve">While general </w:t>
      </w:r>
      <w:r w:rsidR="00974B77" w:rsidRPr="00692D06">
        <w:t>limitations</w:t>
      </w:r>
      <w:r w:rsidR="00974B77">
        <w:t xml:space="preserve"> like lack of time or access were mentioned, reports rarely discussed </w:t>
      </w:r>
      <w:r w:rsidR="00684F10">
        <w:t xml:space="preserve">the </w:t>
      </w:r>
      <w:r w:rsidR="00684F10">
        <w:lastRenderedPageBreak/>
        <w:t xml:space="preserve">limitations of specific methods, or </w:t>
      </w:r>
      <w:r w:rsidR="00974B77">
        <w:t>whether the methodology had to be changed as the evaluation proceeded.</w:t>
      </w:r>
      <w:r w:rsidR="00A74814">
        <w:t xml:space="preserve"> </w:t>
      </w:r>
    </w:p>
    <w:p w14:paraId="78434DC1" w14:textId="4E012C4D" w:rsidR="000D2E3C" w:rsidRDefault="00852D0D" w:rsidP="006F6E3D">
      <w:r>
        <w:t>We</w:t>
      </w:r>
      <w:r w:rsidR="000D2E3C">
        <w:t xml:space="preserve"> expected the methodology sections to </w:t>
      </w:r>
      <w:r w:rsidR="00695024">
        <w:t>at least touch on</w:t>
      </w:r>
      <w:r w:rsidR="007C3E03">
        <w:t xml:space="preserve"> </w:t>
      </w:r>
      <w:r w:rsidR="000D2E3C">
        <w:t>issues of attribution and contribution, including the extent to which changes or results can be attributed to the Australian aid program, and</w:t>
      </w:r>
      <w:r>
        <w:t xml:space="preserve"> on</w:t>
      </w:r>
      <w:r w:rsidR="000D2E3C">
        <w:t xml:space="preserve"> counterfactual issues like what might have happened without a particular initiative. However</w:t>
      </w:r>
      <w:r>
        <w:t>,</w:t>
      </w:r>
      <w:r w:rsidR="000D2E3C">
        <w:t xml:space="preserve"> these issues were addressed </w:t>
      </w:r>
      <w:r>
        <w:t xml:space="preserve">very rarely </w:t>
      </w:r>
      <w:r w:rsidR="000D2E3C">
        <w:t>in relation to methodology and infrequently in other parts of the evaluation reports.</w:t>
      </w:r>
    </w:p>
    <w:p w14:paraId="490ACE16" w14:textId="1E0D6FB4" w:rsidR="006F6E3D" w:rsidRDefault="006F6E3D" w:rsidP="006F6E3D">
      <w:r>
        <w:t>Most reports lacked a</w:t>
      </w:r>
      <w:r w:rsidRPr="00935B6A">
        <w:t>n adequate description of the ethical issues faced by an evaluation and how they were addressed</w:t>
      </w:r>
      <w:r>
        <w:t>. Even when such issues were covered, there was usually only a brief discussion of confidentiality and little discussion of other issues.</w:t>
      </w:r>
      <w:r w:rsidR="00A74814">
        <w:t xml:space="preserve"> </w:t>
      </w:r>
    </w:p>
    <w:p w14:paraId="3E910E44" w14:textId="77777777" w:rsidR="00F3602E" w:rsidRDefault="0072363F" w:rsidP="00684F10">
      <w:pPr>
        <w:pStyle w:val="Heading2"/>
        <w:numPr>
          <w:ilvl w:val="0"/>
          <w:numId w:val="51"/>
        </w:numPr>
        <w:ind w:left="357" w:hanging="357"/>
      </w:pPr>
      <w:bookmarkStart w:id="106" w:name="_Ref379184079"/>
      <w:bookmarkStart w:id="107" w:name="_Toc387675110"/>
      <w:bookmarkEnd w:id="102"/>
      <w:bookmarkEnd w:id="103"/>
      <w:r>
        <w:t>Quality of evaluation report</w:t>
      </w:r>
      <w:r w:rsidR="00841C2D">
        <w:t>s</w:t>
      </w:r>
      <w:bookmarkEnd w:id="106"/>
      <w:bookmarkEnd w:id="107"/>
    </w:p>
    <w:p w14:paraId="5DDD0C3C" w14:textId="77777777" w:rsidR="00FA2C44" w:rsidRDefault="00FA2C44" w:rsidP="00FA2C44">
      <w:pPr>
        <w:rPr>
          <w:color w:val="000000" w:themeColor="text1"/>
        </w:rPr>
      </w:pPr>
      <w:bookmarkStart w:id="108" w:name="_Toc373303650"/>
      <w:bookmarkStart w:id="109" w:name="_Toc373304217"/>
      <w:bookmarkStart w:id="110" w:name="_Toc373303658"/>
      <w:bookmarkStart w:id="111" w:name="_Toc373304225"/>
      <w:r>
        <w:rPr>
          <w:color w:val="000000" w:themeColor="text1"/>
        </w:rPr>
        <w:t>The remaining five</w:t>
      </w:r>
      <w:r w:rsidRPr="00C71FEC">
        <w:rPr>
          <w:color w:val="000000" w:themeColor="text1"/>
        </w:rPr>
        <w:t xml:space="preserve"> </w:t>
      </w:r>
      <w:r>
        <w:rPr>
          <w:color w:val="000000" w:themeColor="text1"/>
        </w:rPr>
        <w:t>general evaluation quality criteria</w:t>
      </w:r>
      <w:r w:rsidRPr="00C71FEC">
        <w:rPr>
          <w:color w:val="000000" w:themeColor="text1"/>
        </w:rPr>
        <w:t xml:space="preserve"> relate to the quality of the</w:t>
      </w:r>
      <w:r>
        <w:rPr>
          <w:color w:val="000000" w:themeColor="text1"/>
        </w:rPr>
        <w:t xml:space="preserve"> final </w:t>
      </w:r>
      <w:r w:rsidRPr="00C71FEC">
        <w:rPr>
          <w:color w:val="000000" w:themeColor="text1"/>
        </w:rPr>
        <w:t xml:space="preserve">evaluation </w:t>
      </w:r>
      <w:r>
        <w:rPr>
          <w:color w:val="000000" w:themeColor="text1"/>
        </w:rPr>
        <w:t>reports themselves</w:t>
      </w:r>
      <w:r w:rsidRPr="00C71FEC">
        <w:rPr>
          <w:color w:val="000000" w:themeColor="text1"/>
        </w:rPr>
        <w:t>.</w:t>
      </w:r>
      <w:r w:rsidR="00A74814">
        <w:rPr>
          <w:color w:val="000000" w:themeColor="text1"/>
        </w:rPr>
        <w:t xml:space="preserve"> </w:t>
      </w:r>
    </w:p>
    <w:p w14:paraId="042B4938" w14:textId="77777777" w:rsidR="0072363F" w:rsidRPr="00275138" w:rsidRDefault="0072363F" w:rsidP="0072363F">
      <w:pPr>
        <w:pStyle w:val="Heading3"/>
      </w:pPr>
      <w:r w:rsidRPr="00275138">
        <w:t>Credibility of evidence and analysis</w:t>
      </w:r>
      <w:bookmarkEnd w:id="108"/>
      <w:bookmarkEnd w:id="109"/>
    </w:p>
    <w:p w14:paraId="0BA4A0A5" w14:textId="199546FA" w:rsidR="00086AC6" w:rsidRDefault="0072363F" w:rsidP="0072363F">
      <w:r>
        <w:t xml:space="preserve">A strength identified through the review is that </w:t>
      </w:r>
      <w:r w:rsidRPr="009E075F">
        <w:t xml:space="preserve">the </w:t>
      </w:r>
      <w:r w:rsidRPr="009E075F">
        <w:rPr>
          <w:bCs/>
        </w:rPr>
        <w:t xml:space="preserve">credibility of evidence and analysis </w:t>
      </w:r>
      <w:r w:rsidRPr="009E075F">
        <w:t xml:space="preserve">was </w:t>
      </w:r>
      <w:r>
        <w:t>adequate</w:t>
      </w:r>
      <w:r w:rsidRPr="009E075F">
        <w:t xml:space="preserve"> or </w:t>
      </w:r>
      <w:r>
        <w:t xml:space="preserve">better </w:t>
      </w:r>
      <w:r w:rsidRPr="009E075F">
        <w:t xml:space="preserve">in </w:t>
      </w:r>
      <w:r>
        <w:t>74</w:t>
      </w:r>
      <w:r w:rsidR="0045105B">
        <w:t> </w:t>
      </w:r>
      <w:r>
        <w:t xml:space="preserve">per cent </w:t>
      </w:r>
      <w:r w:rsidRPr="009E075F">
        <w:t>of evaluation reports.</w:t>
      </w:r>
      <w:r w:rsidR="00A74814">
        <w:t xml:space="preserve"> </w:t>
      </w:r>
      <w:r>
        <w:t xml:space="preserve">This is an important criterion as it tests the underlying quality of the evidence base and </w:t>
      </w:r>
      <w:r w:rsidR="0045105B">
        <w:t xml:space="preserve">the </w:t>
      </w:r>
      <w:r>
        <w:t>robustness of the analysis.</w:t>
      </w:r>
      <w:r w:rsidR="00A74814">
        <w:t xml:space="preserve"> </w:t>
      </w:r>
      <w:r>
        <w:t>It covers seven sub-criteria:</w:t>
      </w:r>
    </w:p>
    <w:p w14:paraId="45B38F5E" w14:textId="0ED0AEA1" w:rsidR="00086AC6" w:rsidRDefault="0072363F" w:rsidP="00F83027">
      <w:pPr>
        <w:pStyle w:val="Bullet"/>
      </w:pPr>
      <w:r>
        <w:t xml:space="preserve">findings flow logically from the data </w:t>
      </w:r>
    </w:p>
    <w:p w14:paraId="148FD02F" w14:textId="76C806BD" w:rsidR="00086AC6" w:rsidRDefault="0072363F" w:rsidP="00F83027">
      <w:pPr>
        <w:pStyle w:val="Bullet"/>
      </w:pPr>
      <w:r>
        <w:t xml:space="preserve">any gaps or limitations in the data are explained </w:t>
      </w:r>
    </w:p>
    <w:p w14:paraId="6C32560A" w14:textId="72B77FF6" w:rsidR="00086AC6" w:rsidRDefault="0072363F" w:rsidP="00F83027">
      <w:pPr>
        <w:pStyle w:val="Bullet"/>
      </w:pPr>
      <w:r>
        <w:t xml:space="preserve">assumptions are made explicit </w:t>
      </w:r>
    </w:p>
    <w:p w14:paraId="621BBBF6" w14:textId="04B4F196" w:rsidR="00086AC6" w:rsidRDefault="0072363F" w:rsidP="00F83027">
      <w:pPr>
        <w:pStyle w:val="Bullet"/>
      </w:pPr>
      <w:r>
        <w:t xml:space="preserve">conclusions, recommendations and lessons are substantiated </w:t>
      </w:r>
    </w:p>
    <w:p w14:paraId="5D06AFCC" w14:textId="2CA4CCA7" w:rsidR="00086AC6" w:rsidRDefault="0072363F" w:rsidP="00F83027">
      <w:pPr>
        <w:pStyle w:val="Bullet"/>
      </w:pPr>
      <w:r>
        <w:t>the position of the author is clear</w:t>
      </w:r>
    </w:p>
    <w:p w14:paraId="6493005F" w14:textId="494BEF3F" w:rsidR="00086AC6" w:rsidRDefault="0072363F" w:rsidP="00F83027">
      <w:pPr>
        <w:pStyle w:val="Bullet"/>
      </w:pPr>
      <w:r>
        <w:t xml:space="preserve">issues of attribution and contribution </w:t>
      </w:r>
      <w:r w:rsidR="006F1238">
        <w:t xml:space="preserve">to results </w:t>
      </w:r>
      <w:r>
        <w:t xml:space="preserve">are discussed </w:t>
      </w:r>
    </w:p>
    <w:p w14:paraId="76821F7D" w14:textId="2C38924C" w:rsidR="0072363F" w:rsidRDefault="0072363F">
      <w:pPr>
        <w:pStyle w:val="BulletLast"/>
      </w:pPr>
      <w:r>
        <w:t>alternative views/factors are explored to explain the observed results.</w:t>
      </w:r>
      <w:r>
        <w:rPr>
          <w:rStyle w:val="FootnoteReference"/>
        </w:rPr>
        <w:footnoteReference w:id="28"/>
      </w:r>
      <w:r w:rsidR="00A74814">
        <w:t xml:space="preserve"> </w:t>
      </w:r>
    </w:p>
    <w:p w14:paraId="78FEFC96" w14:textId="29B40BCA" w:rsidR="0072363F" w:rsidRDefault="0072363F" w:rsidP="0072363F">
      <w:r>
        <w:t>The importance of th</w:t>
      </w:r>
      <w:r w:rsidR="00B904E8">
        <w:t>is</w:t>
      </w:r>
      <w:r>
        <w:t xml:space="preserve"> criterion </w:t>
      </w:r>
      <w:r w:rsidR="00E412BC">
        <w:t>has been</w:t>
      </w:r>
      <w:r>
        <w:t xml:space="preserve"> confirmed by testing the statistical association between each of the 15 quality criteria.</w:t>
      </w:r>
      <w:r w:rsidR="00A74814">
        <w:t xml:space="preserve"> </w:t>
      </w:r>
      <w:r>
        <w:t>This indicate</w:t>
      </w:r>
      <w:r w:rsidR="00E412BC">
        <w:t>d</w:t>
      </w:r>
      <w:r>
        <w:t xml:space="preserve"> that </w:t>
      </w:r>
      <w:r w:rsidR="00744801">
        <w:t>‘</w:t>
      </w:r>
      <w:r>
        <w:t>credibility of evidence</w:t>
      </w:r>
      <w:r w:rsidR="006F1238">
        <w:t xml:space="preserve"> and analysis</w:t>
      </w:r>
      <w:r w:rsidR="00744801">
        <w:t>’</w:t>
      </w:r>
      <w:r>
        <w:t xml:space="preserve"> is the criterion most strongly associated with the other</w:t>
      </w:r>
      <w:r w:rsidR="006F1238">
        <w:t xml:space="preserve"> criteria</w:t>
      </w:r>
      <w:r>
        <w:t>.</w:t>
      </w:r>
      <w:r w:rsidR="00A74814">
        <w:t xml:space="preserve"> </w:t>
      </w:r>
      <w:r>
        <w:t>It is therefore the best predictor of quality</w:t>
      </w:r>
      <w:r w:rsidR="00773273">
        <w:rPr>
          <w:rFonts w:ascii="Arial" w:hAnsi="Arial"/>
        </w:rPr>
        <w:t>—</w:t>
      </w:r>
      <w:r w:rsidR="0045105B">
        <w:t xml:space="preserve">that is, </w:t>
      </w:r>
      <w:r w:rsidR="006F1238">
        <w:t>i</w:t>
      </w:r>
      <w:r>
        <w:t xml:space="preserve">f an evaluation </w:t>
      </w:r>
      <w:r w:rsidR="00E412BC">
        <w:t>received</w:t>
      </w:r>
      <w:r>
        <w:t xml:space="preserve"> a </w:t>
      </w:r>
      <w:r w:rsidR="00E412BC">
        <w:t>good rating</w:t>
      </w:r>
      <w:r>
        <w:t xml:space="preserve"> for this criterion then it </w:t>
      </w:r>
      <w:r w:rsidR="0045105B">
        <w:t>was</w:t>
      </w:r>
      <w:r>
        <w:t xml:space="preserve"> also likely to have </w:t>
      </w:r>
      <w:r w:rsidR="00E412BC">
        <w:t>good ratings</w:t>
      </w:r>
      <w:r>
        <w:t xml:space="preserve"> for many of the other criteria (see </w:t>
      </w:r>
      <w:r w:rsidRPr="00DB0840">
        <w:t>Annex</w:t>
      </w:r>
      <w:r w:rsidR="0045105B">
        <w:t> </w:t>
      </w:r>
      <w:r w:rsidR="005304BA">
        <w:t>4</w:t>
      </w:r>
      <w:r w:rsidR="0045105B">
        <w:t>,</w:t>
      </w:r>
      <w:r w:rsidRPr="00DB0840">
        <w:t xml:space="preserve"> </w:t>
      </w:r>
      <w:r w:rsidR="008C2AE3" w:rsidRPr="008C2AE3">
        <w:t>Figure 10</w:t>
      </w:r>
      <w:r w:rsidR="00773273">
        <w:t>,</w:t>
      </w:r>
      <w:r w:rsidR="008C2AE3">
        <w:t xml:space="preserve"> </w:t>
      </w:r>
      <w:r>
        <w:t>for more details</w:t>
      </w:r>
      <w:r w:rsidR="00E412BC">
        <w:t xml:space="preserve"> of this analysis</w:t>
      </w:r>
      <w:r>
        <w:t>).</w:t>
      </w:r>
      <w:r w:rsidR="00A74814">
        <w:t xml:space="preserve"> </w:t>
      </w:r>
      <w:r w:rsidR="006F1238">
        <w:t>We have therefore used th</w:t>
      </w:r>
      <w:r w:rsidR="00B904E8">
        <w:t xml:space="preserve">e </w:t>
      </w:r>
      <w:r w:rsidR="00744801">
        <w:t>‘</w:t>
      </w:r>
      <w:r w:rsidR="00B904E8">
        <w:t>credibility of evidence and analysis</w:t>
      </w:r>
      <w:r w:rsidR="00744801">
        <w:t>’</w:t>
      </w:r>
      <w:r w:rsidR="00B904E8">
        <w:t xml:space="preserve"> </w:t>
      </w:r>
      <w:r w:rsidR="006F1238">
        <w:t>criteri</w:t>
      </w:r>
      <w:r w:rsidR="00B904E8">
        <w:t>on</w:t>
      </w:r>
      <w:r w:rsidR="006F1238">
        <w:t xml:space="preserve"> </w:t>
      </w:r>
      <w:r w:rsidR="00B904E8">
        <w:t xml:space="preserve">throughout this report as a proxy </w:t>
      </w:r>
      <w:r w:rsidR="006F1238">
        <w:t xml:space="preserve">indictor of </w:t>
      </w:r>
      <w:r w:rsidR="00B904E8">
        <w:t xml:space="preserve">overall evaluation report </w:t>
      </w:r>
      <w:r w:rsidR="006F1238">
        <w:t>quality.</w:t>
      </w:r>
      <w:r w:rsidR="00A74814">
        <w:t xml:space="preserve"> </w:t>
      </w:r>
    </w:p>
    <w:p w14:paraId="692D0232" w14:textId="718C2968" w:rsidR="00B25051" w:rsidRDefault="0072363F" w:rsidP="0072363F">
      <w:r>
        <w:lastRenderedPageBreak/>
        <w:t>Our analysis of this criterion found that a particular strength was the logical and clear line of evidence running through the</w:t>
      </w:r>
      <w:r w:rsidR="00E412BC">
        <w:t xml:space="preserve"> evaluation</w:t>
      </w:r>
      <w:r>
        <w:t xml:space="preserve"> report, leading to well-substantiated conclusions and recommendations.</w:t>
      </w:r>
      <w:r w:rsidR="00A74814">
        <w:t xml:space="preserve"> </w:t>
      </w:r>
      <w:r>
        <w:t>This in turn often led to a clear</w:t>
      </w:r>
      <w:r w:rsidR="008035B4">
        <w:t>,</w:t>
      </w:r>
      <w:r>
        <w:t xml:space="preserve"> unambiguous judgment being made.</w:t>
      </w:r>
      <w:r w:rsidR="00A74814">
        <w:t xml:space="preserve"> </w:t>
      </w:r>
      <w:r>
        <w:t>The majority of evaluation</w:t>
      </w:r>
      <w:r w:rsidR="00E412BC">
        <w:t xml:space="preserve"> report</w:t>
      </w:r>
      <w:r>
        <w:t>s also clearly explain</w:t>
      </w:r>
      <w:r w:rsidR="008035B4">
        <w:t>ed</w:t>
      </w:r>
      <w:r>
        <w:t xml:space="preserve"> the gaps and limitations in the data. </w:t>
      </w:r>
    </w:p>
    <w:p w14:paraId="7EBA342B" w14:textId="185C8872" w:rsidR="0072363F" w:rsidRPr="00F83027" w:rsidRDefault="00B25051" w:rsidP="00F83027">
      <w:pPr>
        <w:pStyle w:val="BoxText"/>
        <w:pBdr>
          <w:top w:val="single" w:sz="4" w:space="4" w:color="124486"/>
          <w:left w:val="single" w:sz="4" w:space="4" w:color="124486"/>
          <w:bottom w:val="single" w:sz="4" w:space="4" w:color="124486"/>
          <w:right w:val="single" w:sz="4" w:space="4" w:color="124486"/>
        </w:pBdr>
        <w:rPr>
          <w:color w:val="124486"/>
        </w:rPr>
      </w:pPr>
      <w:r w:rsidRPr="00F83027">
        <w:rPr>
          <w:color w:val="124486"/>
        </w:rPr>
        <w:t>Two good examples of evaluation reports with these characteristics are</w:t>
      </w:r>
      <w:r w:rsidR="00B904E8" w:rsidRPr="00F83027">
        <w:rPr>
          <w:color w:val="124486"/>
        </w:rPr>
        <w:t xml:space="preserve"> </w:t>
      </w:r>
      <w:r w:rsidRPr="00F83027">
        <w:rPr>
          <w:color w:val="124486"/>
        </w:rPr>
        <w:t xml:space="preserve">discussed </w:t>
      </w:r>
      <w:r w:rsidR="00B904E8" w:rsidRPr="00F83027">
        <w:rPr>
          <w:color w:val="124486"/>
        </w:rPr>
        <w:t>in Annex</w:t>
      </w:r>
      <w:r w:rsidR="008035B4" w:rsidRPr="00F83027">
        <w:rPr>
          <w:color w:val="124486"/>
        </w:rPr>
        <w:t> </w:t>
      </w:r>
      <w:r w:rsidR="004A242D" w:rsidRPr="00F83027">
        <w:rPr>
          <w:color w:val="124486"/>
        </w:rPr>
        <w:t>6</w:t>
      </w:r>
      <w:r w:rsidR="00B904E8" w:rsidRPr="00F83027">
        <w:rPr>
          <w:color w:val="124486"/>
        </w:rPr>
        <w:t>:</w:t>
      </w:r>
      <w:r w:rsidR="00A74814" w:rsidRPr="00F83027">
        <w:rPr>
          <w:color w:val="124486"/>
        </w:rPr>
        <w:t xml:space="preserve"> </w:t>
      </w:r>
      <w:r w:rsidR="008035B4" w:rsidRPr="00F83027">
        <w:rPr>
          <w:color w:val="124486"/>
        </w:rPr>
        <w:t>t</w:t>
      </w:r>
      <w:r w:rsidRPr="00F83027">
        <w:rPr>
          <w:color w:val="124486"/>
        </w:rPr>
        <w:t>he r</w:t>
      </w:r>
      <w:r w:rsidR="0072363F" w:rsidRPr="00F83027">
        <w:rPr>
          <w:color w:val="124486"/>
        </w:rPr>
        <w:t xml:space="preserve">eview of </w:t>
      </w:r>
      <w:r w:rsidRPr="00F83027">
        <w:rPr>
          <w:color w:val="124486"/>
        </w:rPr>
        <w:t xml:space="preserve">two </w:t>
      </w:r>
      <w:r w:rsidR="0072363F" w:rsidRPr="00F83027">
        <w:rPr>
          <w:color w:val="124486"/>
        </w:rPr>
        <w:t>remote service delivery</w:t>
      </w:r>
      <w:r w:rsidRPr="00F83027">
        <w:rPr>
          <w:color w:val="124486"/>
        </w:rPr>
        <w:t xml:space="preserve"> and community development programs</w:t>
      </w:r>
      <w:r w:rsidR="0072363F" w:rsidRPr="00F83027">
        <w:rPr>
          <w:color w:val="124486"/>
        </w:rPr>
        <w:t xml:space="preserve"> in </w:t>
      </w:r>
      <w:r w:rsidR="00C30982" w:rsidRPr="00F83027">
        <w:rPr>
          <w:color w:val="124486"/>
        </w:rPr>
        <w:t>Papua New Guinea</w:t>
      </w:r>
      <w:r w:rsidR="00F83027">
        <w:rPr>
          <w:color w:val="124486"/>
        </w:rPr>
        <w:t xml:space="preserve"> </w:t>
      </w:r>
      <w:r w:rsidR="00F83027" w:rsidRPr="00F83027">
        <w:rPr>
          <w:color w:val="124486"/>
        </w:rPr>
        <w:t>(INH843 and INJ153)</w:t>
      </w:r>
      <w:r w:rsidR="0072363F" w:rsidRPr="00F83027">
        <w:rPr>
          <w:color w:val="124486"/>
        </w:rPr>
        <w:t xml:space="preserve"> and </w:t>
      </w:r>
      <w:r w:rsidRPr="00F83027">
        <w:rPr>
          <w:color w:val="124486"/>
        </w:rPr>
        <w:t>the</w:t>
      </w:r>
      <w:r w:rsidR="0072363F" w:rsidRPr="00F83027">
        <w:rPr>
          <w:color w:val="124486"/>
        </w:rPr>
        <w:t xml:space="preserve"> </w:t>
      </w:r>
      <w:r w:rsidR="00021D41">
        <w:rPr>
          <w:color w:val="124486"/>
        </w:rPr>
        <w:t>evaluation</w:t>
      </w:r>
      <w:r w:rsidR="00F83027" w:rsidRPr="00F83027">
        <w:rPr>
          <w:color w:val="124486"/>
        </w:rPr>
        <w:t xml:space="preserve"> of the Civil Society Water, Sanitation and Hygiene Fund (INI592)</w:t>
      </w:r>
      <w:r w:rsidR="0072363F" w:rsidRPr="00F83027">
        <w:rPr>
          <w:color w:val="124486"/>
        </w:rPr>
        <w:t>.</w:t>
      </w:r>
    </w:p>
    <w:p w14:paraId="48704710" w14:textId="7CA3568A" w:rsidR="00235A9B" w:rsidRDefault="000D2E3C" w:rsidP="0072363F">
      <w:r>
        <w:t>The evaluations tended to be weaker in providing analysis of</w:t>
      </w:r>
      <w:r w:rsidRPr="00275138">
        <w:t xml:space="preserve"> </w:t>
      </w:r>
      <w:r w:rsidRPr="002179CA">
        <w:t>the extent to which the</w:t>
      </w:r>
      <w:r>
        <w:t xml:space="preserve"> initiative</w:t>
      </w:r>
      <w:r w:rsidRPr="002179CA">
        <w:t xml:space="preserve"> </w:t>
      </w:r>
      <w:r>
        <w:t>contributed</w:t>
      </w:r>
      <w:r w:rsidRPr="002179CA">
        <w:t xml:space="preserve"> to the outcomes observed</w:t>
      </w:r>
      <w:r w:rsidRPr="004B4D5C">
        <w:t xml:space="preserve"> and</w:t>
      </w:r>
      <w:r>
        <w:t xml:space="preserve"> in</w:t>
      </w:r>
      <w:r w:rsidRPr="004B4D5C">
        <w:t xml:space="preserve"> </w:t>
      </w:r>
      <w:r>
        <w:t>consider</w:t>
      </w:r>
      <w:r w:rsidRPr="00275138">
        <w:t>ing</w:t>
      </w:r>
      <w:r w:rsidRPr="004B4D5C">
        <w:t xml:space="preserve"> alternative </w:t>
      </w:r>
      <w:r>
        <w:t>explanation</w:t>
      </w:r>
      <w:r w:rsidRPr="004B4D5C">
        <w:t>s for the outcomes</w:t>
      </w:r>
      <w:r>
        <w:t xml:space="preserve">. In </w:t>
      </w:r>
      <w:r w:rsidR="0072363F">
        <w:t>the majority of evaluations</w:t>
      </w:r>
      <w:r w:rsidR="00B64FC0">
        <w:t>,</w:t>
      </w:r>
      <w:r w:rsidR="0072363F">
        <w:t xml:space="preserve"> the contribution of the initiative to an observed change was assumed and </w:t>
      </w:r>
      <w:r w:rsidR="00E412BC">
        <w:t xml:space="preserve">was </w:t>
      </w:r>
      <w:r w:rsidR="0072363F">
        <w:t>not interrogated in depth.</w:t>
      </w:r>
      <w:r w:rsidR="00A74814">
        <w:t xml:space="preserve"> </w:t>
      </w:r>
      <w:r w:rsidR="0072363F">
        <w:t>This is a</w:t>
      </w:r>
      <w:r w:rsidR="0072363F" w:rsidRPr="00265411">
        <w:t xml:space="preserve"> notable gap in the evaluation</w:t>
      </w:r>
      <w:r w:rsidR="00B25051">
        <w:t xml:space="preserve"> report</w:t>
      </w:r>
      <w:r w:rsidR="0072363F" w:rsidRPr="00265411">
        <w:t>s and is reflected in the fact that</w:t>
      </w:r>
      <w:r w:rsidR="00EC4F58">
        <w:t>,</w:t>
      </w:r>
      <w:r w:rsidR="0072363F" w:rsidRPr="00265411">
        <w:t xml:space="preserve"> of those </w:t>
      </w:r>
      <w:r w:rsidR="0072363F">
        <w:t xml:space="preserve">we </w:t>
      </w:r>
      <w:r w:rsidR="0072363F" w:rsidRPr="00265411">
        <w:t>judged to be adequate</w:t>
      </w:r>
      <w:r w:rsidR="0072363F">
        <w:t xml:space="preserve"> quality or better</w:t>
      </w:r>
      <w:r w:rsidR="0072363F" w:rsidRPr="00265411">
        <w:t xml:space="preserve">, </w:t>
      </w:r>
      <w:r w:rsidR="0072363F">
        <w:t xml:space="preserve">more than </w:t>
      </w:r>
      <w:r w:rsidR="0072363F" w:rsidRPr="00265411">
        <w:t xml:space="preserve">half </w:t>
      </w:r>
      <w:r w:rsidR="0072363F">
        <w:t>(</w:t>
      </w:r>
      <w:r w:rsidR="0072363F" w:rsidRPr="00265411">
        <w:t>33 out of 64</w:t>
      </w:r>
      <w:r w:rsidR="0072363F">
        <w:t xml:space="preserve">) were rated merely </w:t>
      </w:r>
      <w:r w:rsidR="0072363F" w:rsidRPr="00265411">
        <w:t>adequate</w:t>
      </w:r>
      <w:r w:rsidR="0072363F">
        <w:t xml:space="preserve"> </w:t>
      </w:r>
      <w:r w:rsidR="0072363F" w:rsidRPr="00265411">
        <w:t>rather tha</w:t>
      </w:r>
      <w:r w:rsidR="0072363F">
        <w:t>n good or very high quality.</w:t>
      </w:r>
      <w:r w:rsidR="00A74814">
        <w:t xml:space="preserve"> </w:t>
      </w:r>
      <w:r w:rsidR="00245EE2">
        <w:t xml:space="preserve">This finding is also consistent with the finding of a recent meta-evaluation of 340 </w:t>
      </w:r>
      <w:r w:rsidR="00245EE2" w:rsidRPr="006C4F7A">
        <w:t>US</w:t>
      </w:r>
      <w:r w:rsidR="00D17FF1">
        <w:t xml:space="preserve"> </w:t>
      </w:r>
      <w:r w:rsidR="00245EE2" w:rsidRPr="006C4F7A">
        <w:t>A</w:t>
      </w:r>
      <w:r w:rsidR="00D17FF1">
        <w:t xml:space="preserve">gency for </w:t>
      </w:r>
      <w:r w:rsidR="00245EE2" w:rsidRPr="006C4F7A">
        <w:t>I</w:t>
      </w:r>
      <w:r w:rsidR="00D17FF1">
        <w:t xml:space="preserve">nternational </w:t>
      </w:r>
      <w:r w:rsidR="00245EE2" w:rsidRPr="006C4F7A">
        <w:t>D</w:t>
      </w:r>
      <w:r w:rsidR="00D17FF1">
        <w:t>evelopment</w:t>
      </w:r>
      <w:r w:rsidR="00245EE2">
        <w:t xml:space="preserve"> evaluation reports</w:t>
      </w:r>
      <w:r w:rsidR="00245EE2">
        <w:rPr>
          <w:rStyle w:val="FootnoteReference"/>
        </w:rPr>
        <w:footnoteReference w:id="29"/>
      </w:r>
      <w:r w:rsidR="00245EE2">
        <w:t xml:space="preserve"> that that only 10</w:t>
      </w:r>
      <w:r w:rsidR="00EC4F58">
        <w:t> </w:t>
      </w:r>
      <w:r w:rsidR="00245EE2">
        <w:t xml:space="preserve">per cent discussed </w:t>
      </w:r>
      <w:r w:rsidR="00B64FC0">
        <w:t xml:space="preserve">other possible </w:t>
      </w:r>
      <w:r w:rsidR="00245EE2">
        <w:t>causes in addition to USAID interventions that might be contributing to results.</w:t>
      </w:r>
      <w:r w:rsidR="00A74814">
        <w:t xml:space="preserve"> </w:t>
      </w:r>
      <w:r w:rsidR="0072363F">
        <w:t xml:space="preserve">One of the explanations for </w:t>
      </w:r>
      <w:r w:rsidR="0050279E">
        <w:t>the inattention in Australian aid evaluations to</w:t>
      </w:r>
      <w:r w:rsidR="00245EE2">
        <w:t xml:space="preserve"> issues of attribution and contribution to results</w:t>
      </w:r>
      <w:r w:rsidR="0050279E">
        <w:t xml:space="preserve"> </w:t>
      </w:r>
      <w:r w:rsidR="0072363F">
        <w:t xml:space="preserve">could be </w:t>
      </w:r>
      <w:r w:rsidR="0072363F" w:rsidRPr="00C242F1">
        <w:t>that 59</w:t>
      </w:r>
      <w:r w:rsidR="00EC4F58">
        <w:t> </w:t>
      </w:r>
      <w:r w:rsidR="0072363F" w:rsidRPr="00C242F1">
        <w:t xml:space="preserve">per cent of the reviewed evaluations were </w:t>
      </w:r>
      <w:r w:rsidR="00E412BC">
        <w:t>independent progress reports</w:t>
      </w:r>
      <w:r w:rsidR="0072363F" w:rsidRPr="00C242F1">
        <w:t xml:space="preserve"> that took place</w:t>
      </w:r>
      <w:r w:rsidR="0072363F">
        <w:t xml:space="preserve"> </w:t>
      </w:r>
      <w:r w:rsidR="00E412BC" w:rsidRPr="006C4F7A">
        <w:t>mid</w:t>
      </w:r>
      <w:r w:rsidR="00D315F8" w:rsidRPr="00D17FF1">
        <w:t>way</w:t>
      </w:r>
      <w:r w:rsidR="00D315F8">
        <w:t xml:space="preserve"> through</w:t>
      </w:r>
      <w:r w:rsidR="00E412BC">
        <w:t xml:space="preserve"> initiative</w:t>
      </w:r>
      <w:r w:rsidR="0072363F">
        <w:t xml:space="preserve"> implementation.</w:t>
      </w:r>
      <w:r w:rsidR="00A74814">
        <w:t xml:space="preserve"> </w:t>
      </w:r>
      <w:r w:rsidR="0072363F">
        <w:t xml:space="preserve">A detailed analysis of contribution is less likely in </w:t>
      </w:r>
      <w:r w:rsidR="00E412BC">
        <w:t xml:space="preserve">such </w:t>
      </w:r>
      <w:r w:rsidR="0072363F">
        <w:t xml:space="preserve">reports </w:t>
      </w:r>
      <w:r w:rsidR="00EC4F58">
        <w:t xml:space="preserve">as they </w:t>
      </w:r>
      <w:r w:rsidR="00E412BC">
        <w:t xml:space="preserve">tend to be </w:t>
      </w:r>
      <w:r w:rsidR="00B64FC0">
        <w:t xml:space="preserve">more </w:t>
      </w:r>
      <w:r w:rsidR="00E412BC">
        <w:t>focused on</w:t>
      </w:r>
      <w:r w:rsidR="0072363F">
        <w:t xml:space="preserve"> process and on documenting activities and outputs achieved</w:t>
      </w:r>
      <w:r w:rsidR="00E412BC">
        <w:t xml:space="preserve"> than </w:t>
      </w:r>
      <w:r w:rsidR="00EC4F58">
        <w:t xml:space="preserve">on </w:t>
      </w:r>
      <w:r w:rsidR="00E412BC">
        <w:t>outcomes and impacts</w:t>
      </w:r>
      <w:r w:rsidR="0072363F">
        <w:t>.</w:t>
      </w:r>
      <w:r w:rsidR="00A74814">
        <w:t xml:space="preserve"> </w:t>
      </w:r>
    </w:p>
    <w:p w14:paraId="16630AF4" w14:textId="336BD792" w:rsidR="0072363F" w:rsidRPr="00644B6F" w:rsidRDefault="0072363F" w:rsidP="00E412BC">
      <w:pPr>
        <w:pStyle w:val="Heading3"/>
      </w:pPr>
      <w:bookmarkStart w:id="112" w:name="_Toc373303654"/>
      <w:bookmarkStart w:id="113" w:name="_Toc373304221"/>
      <w:r w:rsidRPr="00644B6F">
        <w:t xml:space="preserve">Adequacy </w:t>
      </w:r>
      <w:r>
        <w:t xml:space="preserve">and use </w:t>
      </w:r>
      <w:r w:rsidRPr="00644B6F">
        <w:t xml:space="preserve">of </w:t>
      </w:r>
      <w:r w:rsidR="00EC4F58">
        <w:t>monitoring and evaluation</w:t>
      </w:r>
      <w:r w:rsidRPr="00644B6F">
        <w:t xml:space="preserve"> systems</w:t>
      </w:r>
      <w:bookmarkEnd w:id="112"/>
      <w:bookmarkEnd w:id="113"/>
    </w:p>
    <w:p w14:paraId="70A7F9D2" w14:textId="213BF614" w:rsidR="008B07F4" w:rsidRDefault="0072363F" w:rsidP="00827FAC">
      <w:r>
        <w:t xml:space="preserve">Our review found that the </w:t>
      </w:r>
      <w:r w:rsidRPr="00692D06">
        <w:t>majority of evalu</w:t>
      </w:r>
      <w:r>
        <w:t xml:space="preserve">ations (79 per cent) had adequate </w:t>
      </w:r>
      <w:r w:rsidRPr="00692D06">
        <w:t xml:space="preserve">analysis of the </w:t>
      </w:r>
      <w:r>
        <w:rPr>
          <w:bCs/>
        </w:rPr>
        <w:t>quality</w:t>
      </w:r>
      <w:r w:rsidRPr="00644B6F">
        <w:rPr>
          <w:bCs/>
        </w:rPr>
        <w:t xml:space="preserve"> of M&amp;E systems </w:t>
      </w:r>
      <w:r w:rsidRPr="00644B6F">
        <w:t>and use of M&amp;E data</w:t>
      </w:r>
      <w:r w:rsidRPr="00692D06">
        <w:t>.</w:t>
      </w:r>
      <w:r w:rsidR="00A74814">
        <w:t xml:space="preserve"> </w:t>
      </w:r>
      <w:r w:rsidR="008B07F4">
        <w:t>It should be emphasised</w:t>
      </w:r>
      <w:r w:rsidR="00B1593E">
        <w:t xml:space="preserve"> </w:t>
      </w:r>
      <w:r w:rsidR="008B07F4">
        <w:t xml:space="preserve">that this high score is not a comment on the quality of these systems but rather refers to the </w:t>
      </w:r>
      <w:r w:rsidR="00827FAC">
        <w:t xml:space="preserve">quality of the </w:t>
      </w:r>
      <w:r w:rsidR="008B07F4">
        <w:t>evaluations</w:t>
      </w:r>
      <w:r w:rsidR="00744801">
        <w:t>’</w:t>
      </w:r>
      <w:r w:rsidR="008B07F4">
        <w:t xml:space="preserve"> often extensive, and usually critical, coverage of this issue.</w:t>
      </w:r>
      <w:r w:rsidR="00A74814">
        <w:t xml:space="preserve"> </w:t>
      </w:r>
      <w:r w:rsidR="001E267E">
        <w:t>Issues around</w:t>
      </w:r>
      <w:r w:rsidR="00827FAC">
        <w:t xml:space="preserve"> </w:t>
      </w:r>
      <w:r w:rsidR="004C414F">
        <w:t xml:space="preserve">the quality of initiative </w:t>
      </w:r>
      <w:r w:rsidR="00827FAC">
        <w:t>M&amp;E</w:t>
      </w:r>
      <w:r w:rsidR="004C414F">
        <w:t xml:space="preserve"> systems</w:t>
      </w:r>
      <w:r w:rsidR="00827FAC">
        <w:t xml:space="preserve"> </w:t>
      </w:r>
      <w:r w:rsidR="00B1593E">
        <w:t>are</w:t>
      </w:r>
      <w:r w:rsidR="00827FAC">
        <w:t xml:space="preserve"> </w:t>
      </w:r>
      <w:r w:rsidR="001E267E">
        <w:t xml:space="preserve">discussed briefly </w:t>
      </w:r>
      <w:r w:rsidR="00827FAC">
        <w:t>in</w:t>
      </w:r>
      <w:r w:rsidR="008B07F4">
        <w:t xml:space="preserve"> </w:t>
      </w:r>
      <w:r w:rsidR="00F674F0">
        <w:t>section</w:t>
      </w:r>
      <w:r w:rsidR="001E267E">
        <w:t xml:space="preserve"> </w:t>
      </w:r>
      <w:r w:rsidR="001E267E">
        <w:fldChar w:fldCharType="begin"/>
      </w:r>
      <w:r w:rsidR="001E267E">
        <w:instrText xml:space="preserve"> REF _Ref383522337 \r \h </w:instrText>
      </w:r>
      <w:r w:rsidR="001E267E">
        <w:fldChar w:fldCharType="separate"/>
      </w:r>
      <w:r w:rsidR="00147362">
        <w:t>5.1</w:t>
      </w:r>
      <w:r w:rsidR="001E267E">
        <w:fldChar w:fldCharType="end"/>
      </w:r>
      <w:r w:rsidR="00827FAC">
        <w:t>.</w:t>
      </w:r>
    </w:p>
    <w:p w14:paraId="7727DC8E" w14:textId="33256437" w:rsidR="00B25051" w:rsidRPr="00F83027" w:rsidRDefault="0072363F" w:rsidP="00F83027">
      <w:pPr>
        <w:pStyle w:val="BoxText"/>
        <w:pBdr>
          <w:top w:val="single" w:sz="4" w:space="4" w:color="124486"/>
          <w:left w:val="single" w:sz="4" w:space="4" w:color="124486"/>
          <w:bottom w:val="single" w:sz="4" w:space="4" w:color="124486"/>
          <w:right w:val="single" w:sz="4" w:space="4" w:color="124486"/>
        </w:pBdr>
        <w:rPr>
          <w:color w:val="124486"/>
        </w:rPr>
      </w:pPr>
      <w:r w:rsidRPr="00F83027">
        <w:rPr>
          <w:color w:val="124486"/>
        </w:rPr>
        <w:t>A</w:t>
      </w:r>
      <w:r w:rsidR="008B07F4" w:rsidRPr="00F83027">
        <w:rPr>
          <w:color w:val="124486"/>
        </w:rPr>
        <w:t>n</w:t>
      </w:r>
      <w:r w:rsidRPr="00F83027">
        <w:rPr>
          <w:color w:val="124486"/>
        </w:rPr>
        <w:t xml:space="preserve"> example of</w:t>
      </w:r>
      <w:r w:rsidR="008B07F4" w:rsidRPr="00F83027">
        <w:rPr>
          <w:color w:val="124486"/>
        </w:rPr>
        <w:t xml:space="preserve"> a good assessment of the quality of the initiative M&amp;E system </w:t>
      </w:r>
      <w:r w:rsidRPr="00F83027">
        <w:rPr>
          <w:color w:val="124486"/>
        </w:rPr>
        <w:t xml:space="preserve">is in the </w:t>
      </w:r>
      <w:r w:rsidR="00205EF8">
        <w:rPr>
          <w:color w:val="124486"/>
        </w:rPr>
        <w:t>evaluation</w:t>
      </w:r>
      <w:r w:rsidR="00F83027" w:rsidRPr="00F83027">
        <w:rPr>
          <w:color w:val="124486"/>
        </w:rPr>
        <w:t xml:space="preserve"> of Partnership for Knowledge-Based Poverty Reduction (INJ244)</w:t>
      </w:r>
      <w:r w:rsidRPr="00F83027">
        <w:rPr>
          <w:color w:val="124486"/>
        </w:rPr>
        <w:t xml:space="preserve"> </w:t>
      </w:r>
      <w:r w:rsidR="008B07F4" w:rsidRPr="00F83027">
        <w:rPr>
          <w:color w:val="124486"/>
        </w:rPr>
        <w:t>discussed in Annex</w:t>
      </w:r>
      <w:r w:rsidR="00B1593E" w:rsidRPr="00F83027">
        <w:rPr>
          <w:color w:val="124486"/>
        </w:rPr>
        <w:t> </w:t>
      </w:r>
      <w:r w:rsidR="004A242D" w:rsidRPr="00F83027">
        <w:rPr>
          <w:color w:val="124486"/>
        </w:rPr>
        <w:t xml:space="preserve">6 </w:t>
      </w:r>
      <w:r w:rsidRPr="00F83027">
        <w:rPr>
          <w:color w:val="124486"/>
        </w:rPr>
        <w:t>(see pp</w:t>
      </w:r>
      <w:r w:rsidR="00B1593E" w:rsidRPr="00F83027">
        <w:rPr>
          <w:color w:val="124486"/>
        </w:rPr>
        <w:t>.</w:t>
      </w:r>
      <w:r w:rsidRPr="00F83027">
        <w:rPr>
          <w:color w:val="124486"/>
        </w:rPr>
        <w:t xml:space="preserve"> 9</w:t>
      </w:r>
      <w:r w:rsidR="00B1593E" w:rsidRPr="00F83027">
        <w:rPr>
          <w:color w:val="124486"/>
        </w:rPr>
        <w:t>–</w:t>
      </w:r>
      <w:r w:rsidRPr="00F83027">
        <w:rPr>
          <w:color w:val="124486"/>
        </w:rPr>
        <w:t>10, 19</w:t>
      </w:r>
      <w:r w:rsidR="00B1593E" w:rsidRPr="00F83027">
        <w:rPr>
          <w:color w:val="124486"/>
        </w:rPr>
        <w:t xml:space="preserve"> and</w:t>
      </w:r>
      <w:r w:rsidRPr="00F83027">
        <w:rPr>
          <w:color w:val="124486"/>
        </w:rPr>
        <w:t xml:space="preserve"> 40</w:t>
      </w:r>
      <w:r w:rsidR="008B07F4" w:rsidRPr="00F83027">
        <w:rPr>
          <w:color w:val="124486"/>
        </w:rPr>
        <w:t xml:space="preserve"> of the evaluation report</w:t>
      </w:r>
      <w:r w:rsidRPr="00F83027">
        <w:rPr>
          <w:color w:val="124486"/>
        </w:rPr>
        <w:t xml:space="preserve">). </w:t>
      </w:r>
    </w:p>
    <w:p w14:paraId="4F4529BF" w14:textId="77777777" w:rsidR="000D2E3C" w:rsidRPr="00644B6F" w:rsidRDefault="000D2E3C" w:rsidP="000D2E3C">
      <w:pPr>
        <w:pStyle w:val="Heading3"/>
      </w:pPr>
      <w:r w:rsidRPr="00644B6F">
        <w:t>Evaluation questions and criteria</w:t>
      </w:r>
    </w:p>
    <w:p w14:paraId="2B5F6F76" w14:textId="77777777" w:rsidR="00B25051" w:rsidRDefault="0072363F" w:rsidP="0072363F">
      <w:r>
        <w:t>Our</w:t>
      </w:r>
      <w:r>
        <w:rPr>
          <w:b/>
        </w:rPr>
        <w:t xml:space="preserve"> </w:t>
      </w:r>
      <w:r>
        <w:t>review found that 75 per cent of the evaluation</w:t>
      </w:r>
      <w:r w:rsidR="00827FAC">
        <w:t xml:space="preserve"> report</w:t>
      </w:r>
      <w:r>
        <w:t xml:space="preserve">s adequately </w:t>
      </w:r>
      <w:r w:rsidRPr="00270D30">
        <w:t>a</w:t>
      </w:r>
      <w:r>
        <w:t>ddressed</w:t>
      </w:r>
      <w:r w:rsidRPr="00270D30">
        <w:t xml:space="preserve"> </w:t>
      </w:r>
      <w:r>
        <w:t xml:space="preserve">the standard quality criteria or </w:t>
      </w:r>
      <w:r w:rsidRPr="00270D30">
        <w:t>the evaluation questions</w:t>
      </w:r>
      <w:r w:rsidR="00B1593E">
        <w:t xml:space="preserve"> </w:t>
      </w:r>
      <w:r w:rsidR="001A6E70">
        <w:t>/</w:t>
      </w:r>
      <w:r w:rsidR="00B1593E">
        <w:t xml:space="preserve"> </w:t>
      </w:r>
      <w:r w:rsidR="001A6E70">
        <w:t>major issues</w:t>
      </w:r>
      <w:r>
        <w:t xml:space="preserve"> detailed in the </w:t>
      </w:r>
      <w:r w:rsidR="00827FAC">
        <w:t>terms of reference</w:t>
      </w:r>
      <w:r w:rsidRPr="00270D30">
        <w:t>.</w:t>
      </w:r>
      <w:r>
        <w:t xml:space="preserve"> </w:t>
      </w:r>
    </w:p>
    <w:p w14:paraId="0743CB00" w14:textId="229F9137" w:rsidR="0072363F" w:rsidRPr="00F83027" w:rsidRDefault="0072363F" w:rsidP="00F83027">
      <w:pPr>
        <w:pStyle w:val="BoxText"/>
        <w:pBdr>
          <w:top w:val="single" w:sz="4" w:space="4" w:color="124486"/>
          <w:left w:val="single" w:sz="4" w:space="4" w:color="124486"/>
          <w:bottom w:val="single" w:sz="4" w:space="4" w:color="124486"/>
          <w:right w:val="single" w:sz="4" w:space="4" w:color="124486"/>
        </w:pBdr>
        <w:rPr>
          <w:color w:val="124486"/>
        </w:rPr>
      </w:pPr>
      <w:r w:rsidRPr="00F83027">
        <w:rPr>
          <w:color w:val="124486"/>
        </w:rPr>
        <w:t>A good example</w:t>
      </w:r>
      <w:r w:rsidR="004C20F5">
        <w:rPr>
          <w:color w:val="124486"/>
        </w:rPr>
        <w:t xml:space="preserve"> </w:t>
      </w:r>
      <w:r w:rsidR="004C20F5" w:rsidRPr="00F83027">
        <w:rPr>
          <w:color w:val="124486"/>
        </w:rPr>
        <w:t>where each evaluation question and sub-question is answered systematically</w:t>
      </w:r>
      <w:r w:rsidRPr="00F83027">
        <w:rPr>
          <w:color w:val="124486"/>
        </w:rPr>
        <w:t xml:space="preserve"> is the </w:t>
      </w:r>
      <w:r w:rsidR="004C20F5">
        <w:rPr>
          <w:color w:val="124486"/>
        </w:rPr>
        <w:t>r</w:t>
      </w:r>
      <w:r w:rsidR="004C20F5" w:rsidRPr="004C20F5">
        <w:rPr>
          <w:color w:val="124486"/>
        </w:rPr>
        <w:t xml:space="preserve">eview of the Livelihoods and Food Security Trust Fund </w:t>
      </w:r>
      <w:r w:rsidRPr="00F83027">
        <w:rPr>
          <w:color w:val="124486"/>
        </w:rPr>
        <w:t>in Myanmar</w:t>
      </w:r>
      <w:r w:rsidR="004C20F5">
        <w:rPr>
          <w:color w:val="124486"/>
        </w:rPr>
        <w:t xml:space="preserve"> (INJ135)</w:t>
      </w:r>
      <w:r w:rsidRPr="00F83027">
        <w:rPr>
          <w:color w:val="124486"/>
        </w:rPr>
        <w:t>.</w:t>
      </w:r>
    </w:p>
    <w:p w14:paraId="4ECF7D44" w14:textId="77777777" w:rsidR="0072363F" w:rsidRPr="00ED034B" w:rsidRDefault="0072363F" w:rsidP="0072363F">
      <w:pPr>
        <w:pStyle w:val="Heading3"/>
      </w:pPr>
      <w:bookmarkStart w:id="114" w:name="_Toc373303653"/>
      <w:bookmarkStart w:id="115" w:name="_Toc373304220"/>
      <w:r w:rsidRPr="00ED034B">
        <w:lastRenderedPageBreak/>
        <w:t>Recommendations</w:t>
      </w:r>
      <w:bookmarkEnd w:id="114"/>
      <w:bookmarkEnd w:id="115"/>
    </w:p>
    <w:p w14:paraId="0905715F" w14:textId="76E0629A" w:rsidR="001C7788" w:rsidRDefault="0072363F" w:rsidP="0072363F">
      <w:r>
        <w:t>The recommendations</w:t>
      </w:r>
      <w:r w:rsidRPr="00692D06">
        <w:t xml:space="preserve"> were </w:t>
      </w:r>
      <w:r>
        <w:t xml:space="preserve">found to be adequate or better in </w:t>
      </w:r>
      <w:r w:rsidRPr="00692D06">
        <w:t>84</w:t>
      </w:r>
      <w:r>
        <w:t xml:space="preserve"> per cent</w:t>
      </w:r>
      <w:r w:rsidRPr="00692D06">
        <w:t xml:space="preserve"> of evaluation</w:t>
      </w:r>
      <w:r w:rsidR="00827FAC">
        <w:t xml:space="preserve"> report</w:t>
      </w:r>
      <w:r w:rsidRPr="00692D06">
        <w:t>s</w:t>
      </w:r>
      <w:r>
        <w:t>.</w:t>
      </w:r>
      <w:r w:rsidR="00A74814">
        <w:t xml:space="preserve"> </w:t>
      </w:r>
      <w:r>
        <w:t xml:space="preserve">The </w:t>
      </w:r>
      <w:r w:rsidR="001C7788">
        <w:t xml:space="preserve">recommendations </w:t>
      </w:r>
      <w:r w:rsidR="00B1593E">
        <w:t xml:space="preserve">in those reports </w:t>
      </w:r>
      <w:r w:rsidR="001C7788">
        <w:t>were clear and relevant.</w:t>
      </w:r>
    </w:p>
    <w:p w14:paraId="30DB10EB" w14:textId="18E149AC" w:rsidR="0072363F" w:rsidRPr="004C20F5" w:rsidRDefault="0072363F" w:rsidP="004C20F5">
      <w:pPr>
        <w:pStyle w:val="BoxText"/>
        <w:pBdr>
          <w:top w:val="single" w:sz="4" w:space="4" w:color="124486"/>
          <w:left w:val="single" w:sz="4" w:space="4" w:color="124486"/>
          <w:bottom w:val="single" w:sz="4" w:space="4" w:color="124486"/>
          <w:right w:val="single" w:sz="4" w:space="4" w:color="124486"/>
        </w:pBdr>
        <w:rPr>
          <w:color w:val="124486"/>
        </w:rPr>
      </w:pPr>
      <w:r w:rsidRPr="004C20F5">
        <w:rPr>
          <w:color w:val="124486"/>
        </w:rPr>
        <w:t xml:space="preserve">A particularly good example of clear recommendations is in the </w:t>
      </w:r>
      <w:r w:rsidR="004C20F5">
        <w:rPr>
          <w:color w:val="124486"/>
        </w:rPr>
        <w:t>evaluation report for the</w:t>
      </w:r>
      <w:r w:rsidR="004C20F5" w:rsidRPr="004C20F5">
        <w:rPr>
          <w:color w:val="124486"/>
        </w:rPr>
        <w:t xml:space="preserve"> Timor–Leste Asian Development Bank Infrastructure Project Management/Infrastructure Technical Assistance</w:t>
      </w:r>
      <w:r w:rsidR="004C20F5">
        <w:rPr>
          <w:color w:val="124486"/>
        </w:rPr>
        <w:t xml:space="preserve"> initiative (INH497) </w:t>
      </w:r>
      <w:r w:rsidRPr="004C20F5">
        <w:rPr>
          <w:color w:val="124486"/>
        </w:rPr>
        <w:t>(pp</w:t>
      </w:r>
      <w:r w:rsidR="00B1593E" w:rsidRPr="004C20F5">
        <w:rPr>
          <w:color w:val="124486"/>
        </w:rPr>
        <w:t>.</w:t>
      </w:r>
      <w:r w:rsidRPr="004C20F5">
        <w:rPr>
          <w:color w:val="124486"/>
        </w:rPr>
        <w:t xml:space="preserve"> 34</w:t>
      </w:r>
      <w:r w:rsidR="00B1593E" w:rsidRPr="004C20F5">
        <w:rPr>
          <w:color w:val="124486"/>
        </w:rPr>
        <w:t>–</w:t>
      </w:r>
      <w:r w:rsidRPr="004C20F5">
        <w:rPr>
          <w:color w:val="124486"/>
        </w:rPr>
        <w:t>35).</w:t>
      </w:r>
    </w:p>
    <w:p w14:paraId="5F24E52E" w14:textId="0D743025" w:rsidR="0072363F" w:rsidRDefault="0072363F" w:rsidP="0072363F">
      <w:r>
        <w:t>However, our review indicated room for improvement in how actionable the recommendations were and the extent to which they considered resource implications.</w:t>
      </w:r>
      <w:r w:rsidR="00A74814">
        <w:t xml:space="preserve"> </w:t>
      </w:r>
      <w:r>
        <w:t>While it may not always be possible</w:t>
      </w:r>
      <w:r w:rsidR="00EB7C67">
        <w:t xml:space="preserve"> or appropriate</w:t>
      </w:r>
      <w:r>
        <w:t xml:space="preserve"> for an evaluation to consider </w:t>
      </w:r>
      <w:r w:rsidR="00EB7C67">
        <w:t xml:space="preserve">the </w:t>
      </w:r>
      <w:r>
        <w:t>resource implications</w:t>
      </w:r>
      <w:r w:rsidR="00EB7C67">
        <w:t xml:space="preserve"> of its recommendations</w:t>
      </w:r>
      <w:r>
        <w:t xml:space="preserve">, ensuring </w:t>
      </w:r>
      <w:r w:rsidR="00EB7C67">
        <w:t xml:space="preserve">that </w:t>
      </w:r>
      <w:r>
        <w:t xml:space="preserve">recommendations are actionable and targeted is </w:t>
      </w:r>
      <w:r w:rsidR="00B1593E">
        <w:t xml:space="preserve">a </w:t>
      </w:r>
      <w:r>
        <w:t>key</w:t>
      </w:r>
      <w:r w:rsidR="00B1593E">
        <w:t xml:space="preserve"> factor in</w:t>
      </w:r>
      <w:r>
        <w:t xml:space="preserve"> ensuring </w:t>
      </w:r>
      <w:r w:rsidR="00B1593E">
        <w:t xml:space="preserve">that the </w:t>
      </w:r>
      <w:r>
        <w:t xml:space="preserve">evaluation </w:t>
      </w:r>
      <w:r w:rsidR="00B1593E">
        <w:t xml:space="preserve">will be </w:t>
      </w:r>
      <w:r>
        <w:t>use</w:t>
      </w:r>
      <w:r w:rsidR="00B1593E">
        <w:t>ful</w:t>
      </w:r>
      <w:r>
        <w:t>.</w:t>
      </w:r>
      <w:r w:rsidR="00A74814">
        <w:t xml:space="preserve"> </w:t>
      </w:r>
    </w:p>
    <w:p w14:paraId="2578FF70" w14:textId="77777777" w:rsidR="008A614A" w:rsidRDefault="008A614A" w:rsidP="008A614A">
      <w:pPr>
        <w:pStyle w:val="Heading3"/>
      </w:pPr>
      <w:r>
        <w:t xml:space="preserve">Context of the </w:t>
      </w:r>
      <w:r w:rsidR="00FA2C44">
        <w:t>initiative</w:t>
      </w:r>
    </w:p>
    <w:p w14:paraId="2DEC2A7B" w14:textId="7B1B6023" w:rsidR="001C7788" w:rsidRPr="001C7788" w:rsidRDefault="001C7788" w:rsidP="00483CC3">
      <w:r>
        <w:t xml:space="preserve">One area of weakness </w:t>
      </w:r>
      <w:r w:rsidR="00483CC3">
        <w:t>in</w:t>
      </w:r>
      <w:r>
        <w:t xml:space="preserve"> the evaluation reports was the quality of the context</w:t>
      </w:r>
      <w:r w:rsidR="000F7FDE">
        <w:t>ual</w:t>
      </w:r>
      <w:r>
        <w:t xml:space="preserve"> analysis</w:t>
      </w:r>
      <w:r w:rsidR="00B1593E">
        <w:t>. Only</w:t>
      </w:r>
      <w:r>
        <w:t xml:space="preserve"> 62</w:t>
      </w:r>
      <w:r w:rsidR="00B1593E">
        <w:t> </w:t>
      </w:r>
      <w:r>
        <w:t xml:space="preserve">per cent of evaluation reports </w:t>
      </w:r>
      <w:r w:rsidR="00B1593E">
        <w:t xml:space="preserve">were </w:t>
      </w:r>
      <w:r>
        <w:t>found</w:t>
      </w:r>
      <w:r w:rsidR="00B1593E">
        <w:t xml:space="preserve"> to be</w:t>
      </w:r>
      <w:r>
        <w:t xml:space="preserve"> adequate</w:t>
      </w:r>
      <w:r w:rsidR="00B1593E">
        <w:t xml:space="preserve"> in this area</w:t>
      </w:r>
      <w:r>
        <w:t>.</w:t>
      </w:r>
      <w:r w:rsidR="00A74814">
        <w:t xml:space="preserve"> </w:t>
      </w:r>
      <w:r w:rsidR="006D1DA4">
        <w:t xml:space="preserve">Those </w:t>
      </w:r>
      <w:r w:rsidR="00B1593E">
        <w:t>that were</w:t>
      </w:r>
      <w:r w:rsidR="006D1DA4">
        <w:t xml:space="preserve"> inadequate </w:t>
      </w:r>
      <w:r>
        <w:t>tended to describe the context of the initiative but not analyse its influence on performance.</w:t>
      </w:r>
      <w:r w:rsidR="00A74814">
        <w:t xml:space="preserve"> </w:t>
      </w:r>
    </w:p>
    <w:p w14:paraId="58266C66" w14:textId="77777777" w:rsidR="0072363F" w:rsidRPr="00CC0CBD" w:rsidRDefault="007E7349" w:rsidP="00E87F45">
      <w:pPr>
        <w:pStyle w:val="Heading2"/>
        <w:numPr>
          <w:ilvl w:val="0"/>
          <w:numId w:val="51"/>
        </w:numPr>
        <w:ind w:left="720" w:hanging="720"/>
      </w:pPr>
      <w:bookmarkStart w:id="116" w:name="_Ref379184164"/>
      <w:bookmarkStart w:id="117" w:name="_Ref379185363"/>
      <w:bookmarkStart w:id="118" w:name="_Ref379292060"/>
      <w:bookmarkStart w:id="119" w:name="_Toc387675111"/>
      <w:bookmarkStart w:id="120" w:name="_Toc373303661"/>
      <w:bookmarkStart w:id="121" w:name="_Toc373304228"/>
      <w:bookmarkEnd w:id="110"/>
      <w:bookmarkEnd w:id="111"/>
      <w:r w:rsidRPr="00CC0CBD">
        <w:t xml:space="preserve">Quality of </w:t>
      </w:r>
      <w:r w:rsidR="00841C2D" w:rsidRPr="00CC0CBD">
        <w:t>the evaluations</w:t>
      </w:r>
      <w:r w:rsidR="00744801" w:rsidRPr="00CC0CBD">
        <w:t>’</w:t>
      </w:r>
      <w:r w:rsidR="00841C2D" w:rsidRPr="00CC0CBD">
        <w:t xml:space="preserve"> </w:t>
      </w:r>
      <w:r w:rsidRPr="00CC0CBD">
        <w:t>assessment</w:t>
      </w:r>
      <w:r w:rsidR="00841C2D" w:rsidRPr="00CC0CBD">
        <w:t>s</w:t>
      </w:r>
      <w:r w:rsidRPr="00CC0CBD">
        <w:t xml:space="preserve"> against the s</w:t>
      </w:r>
      <w:r w:rsidR="0072363F" w:rsidRPr="00CC0CBD">
        <w:t>tandard Australian aid quality criteria</w:t>
      </w:r>
      <w:bookmarkEnd w:id="116"/>
      <w:bookmarkEnd w:id="117"/>
      <w:bookmarkEnd w:id="118"/>
      <w:bookmarkEnd w:id="119"/>
    </w:p>
    <w:p w14:paraId="55197C57" w14:textId="6765A3D0" w:rsidR="00483CC3" w:rsidRDefault="00FA2C44" w:rsidP="00483CC3">
      <w:r>
        <w:t xml:space="preserve">This section considers the quality of the </w:t>
      </w:r>
      <w:r w:rsidR="00483CC3">
        <w:t>evaluation</w:t>
      </w:r>
      <w:r w:rsidR="0078528E">
        <w:t>s</w:t>
      </w:r>
      <w:r w:rsidR="009A2513">
        <w:t>’</w:t>
      </w:r>
      <w:r>
        <w:t xml:space="preserve"> assessments against </w:t>
      </w:r>
      <w:r w:rsidR="00483CC3">
        <w:t xml:space="preserve">six of </w:t>
      </w:r>
      <w:r w:rsidR="00B854A3">
        <w:t>the</w:t>
      </w:r>
      <w:r>
        <w:t xml:space="preserve"> standard Australian aid quality criteria</w:t>
      </w:r>
      <w:r w:rsidR="00483CC3">
        <w:t>, where th</w:t>
      </w:r>
      <w:r w:rsidR="00CC0CBD">
        <w:t>ose criteria</w:t>
      </w:r>
      <w:r w:rsidR="00483CC3">
        <w:t xml:space="preserve"> were addressed. The section then also considers the robustness of the numerical ratings against these criteria in the</w:t>
      </w:r>
      <w:r w:rsidR="00CC0CBD">
        <w:t xml:space="preserve"> evaluations</w:t>
      </w:r>
      <w:r w:rsidR="00483CC3">
        <w:t xml:space="preserve"> </w:t>
      </w:r>
      <w:r w:rsidR="00CC0CBD">
        <w:t>(</w:t>
      </w:r>
      <w:r w:rsidR="008C1678">
        <w:t xml:space="preserve">fewer </w:t>
      </w:r>
      <w:r w:rsidR="00483CC3">
        <w:t xml:space="preserve">than half of </w:t>
      </w:r>
      <w:r w:rsidR="00CC0CBD">
        <w:t xml:space="preserve">the total) </w:t>
      </w:r>
      <w:r w:rsidR="00483CC3">
        <w:t>where they were provided</w:t>
      </w:r>
      <w:r>
        <w:t>.</w:t>
      </w:r>
      <w:r w:rsidR="009121BE">
        <w:t xml:space="preserve"> As discussed</w:t>
      </w:r>
      <w:r w:rsidR="00DF0A75">
        <w:t xml:space="preserve"> in </w:t>
      </w:r>
      <w:r w:rsidR="00DF0A75" w:rsidRPr="006C4F7A">
        <w:t>Chapter</w:t>
      </w:r>
      <w:r w:rsidR="00CC0CBD">
        <w:t> </w:t>
      </w:r>
      <w:r w:rsidR="00DF0A75">
        <w:t>2, at the time</w:t>
      </w:r>
      <w:r w:rsidR="00CC0CBD">
        <w:t xml:space="preserve"> when</w:t>
      </w:r>
      <w:r w:rsidR="00DF0A75">
        <w:t xml:space="preserve"> the </w:t>
      </w:r>
      <w:r w:rsidR="009121BE">
        <w:t>evaluations covered in this review were com</w:t>
      </w:r>
      <w:r w:rsidR="00DF0A75">
        <w:t>pleted, evaluations were expected to consider and provide a rating against the six standard Australian aid quality criteria outlined below.</w:t>
      </w:r>
      <w:r w:rsidR="00A74814">
        <w:t xml:space="preserve"> </w:t>
      </w:r>
    </w:p>
    <w:p w14:paraId="4DC3F60A" w14:textId="77777777" w:rsidR="0072363F" w:rsidRPr="00ED034B" w:rsidRDefault="0072363F" w:rsidP="0072363F">
      <w:pPr>
        <w:pStyle w:val="Heading3"/>
      </w:pPr>
      <w:r w:rsidRPr="00ED034B">
        <w:t>Relevance</w:t>
      </w:r>
    </w:p>
    <w:p w14:paraId="71C2AEB4" w14:textId="1B8C0181" w:rsidR="00B82397" w:rsidRDefault="00CC0CBD" w:rsidP="0072363F">
      <w:r>
        <w:rPr>
          <w:rFonts w:eastAsiaTheme="minorEastAsia"/>
        </w:rPr>
        <w:t>T</w:t>
      </w:r>
      <w:r w:rsidR="0072363F">
        <w:rPr>
          <w:rFonts w:eastAsiaTheme="minorEastAsia"/>
        </w:rPr>
        <w:t>he assessments of initiative relevance were adequate or better in 77</w:t>
      </w:r>
      <w:r>
        <w:rPr>
          <w:rFonts w:eastAsiaTheme="minorEastAsia"/>
        </w:rPr>
        <w:t> </w:t>
      </w:r>
      <w:r w:rsidR="0072363F">
        <w:rPr>
          <w:rFonts w:eastAsiaTheme="minorEastAsia"/>
        </w:rPr>
        <w:t>per cent</w:t>
      </w:r>
      <w:r w:rsidR="0072363F" w:rsidRPr="00EB0EAC">
        <w:t xml:space="preserve"> of </w:t>
      </w:r>
      <w:r w:rsidR="0072363F">
        <w:t xml:space="preserve">the 71 </w:t>
      </w:r>
      <w:r w:rsidR="0072363F" w:rsidRPr="00EB0EAC">
        <w:t>evaluations</w:t>
      </w:r>
      <w:r w:rsidR="0072363F">
        <w:t xml:space="preserve"> that addressed this criterion.</w:t>
      </w:r>
      <w:r w:rsidR="00A74814">
        <w:t xml:space="preserve"> </w:t>
      </w:r>
      <w:r w:rsidR="0072363F">
        <w:t xml:space="preserve">In these </w:t>
      </w:r>
      <w:r w:rsidR="00205EF8">
        <w:t xml:space="preserve">cases, </w:t>
      </w:r>
      <w:r w:rsidR="0072363F">
        <w:t>the evaluations analysed and provided a solid judgment on the extent to which the initiative aligned with the goals that Australia shares with its development partners in a given context.</w:t>
      </w:r>
      <w:r w:rsidR="00A74814">
        <w:t xml:space="preserve"> </w:t>
      </w:r>
      <w:r w:rsidR="00B82397">
        <w:t>In line with the standards widely applied when assessing the relevance of Australian aid initiatives, t</w:t>
      </w:r>
      <w:r w:rsidR="0072363F">
        <w:t xml:space="preserve">his was </w:t>
      </w:r>
      <w:r>
        <w:t xml:space="preserve">our </w:t>
      </w:r>
      <w:r w:rsidR="0072363F">
        <w:t>minimum</w:t>
      </w:r>
      <w:r w:rsidR="0098662E">
        <w:t xml:space="preserve"> threshold for </w:t>
      </w:r>
      <w:r w:rsidR="0072363F">
        <w:t>an assessment of adequate.</w:t>
      </w:r>
      <w:r w:rsidR="00A74814">
        <w:t xml:space="preserve"> </w:t>
      </w:r>
    </w:p>
    <w:p w14:paraId="54B51DC2" w14:textId="19AAD4D6" w:rsidR="00B25051" w:rsidRDefault="00B82397" w:rsidP="00806639">
      <w:r>
        <w:t>However, it could be argued that this reflects too narrow a view of relevance.</w:t>
      </w:r>
      <w:r w:rsidR="00A74814">
        <w:t xml:space="preserve"> </w:t>
      </w:r>
      <w:r w:rsidR="00CC0CBD">
        <w:t>S</w:t>
      </w:r>
      <w:r>
        <w:t>ome evaluations did</w:t>
      </w:r>
      <w:r w:rsidR="00806639">
        <w:t xml:space="preserve"> </w:t>
      </w:r>
      <w:r w:rsidR="0072363F">
        <w:t>consider other elements of relevance</w:t>
      </w:r>
      <w:r w:rsidR="0078528E">
        <w:rPr>
          <w:rFonts w:ascii="Arial" w:hAnsi="Arial"/>
        </w:rPr>
        <w:t>—</w:t>
      </w:r>
      <w:r w:rsidR="00806639">
        <w:t xml:space="preserve">as suggested in </w:t>
      </w:r>
      <w:r w:rsidR="00B854A3">
        <w:t>d</w:t>
      </w:r>
      <w:r w:rsidR="00806639">
        <w:t>epartmental guidance</w:t>
      </w:r>
      <w:r w:rsidR="0078528E">
        <w:rPr>
          <w:rFonts w:ascii="Arial" w:hAnsi="Arial"/>
        </w:rPr>
        <w:t>—</w:t>
      </w:r>
      <w:r w:rsidR="0072363F">
        <w:t>including partner government perspectives, alignment with Australian Government strategies, context, and the appropriateness of the aid delivery modality.</w:t>
      </w:r>
      <w:r w:rsidR="00A74814">
        <w:t xml:space="preserve"> </w:t>
      </w:r>
    </w:p>
    <w:p w14:paraId="43438ABF" w14:textId="2AE31B4E" w:rsidR="0072363F" w:rsidRPr="00E87F45" w:rsidRDefault="0072363F" w:rsidP="00E87F45">
      <w:pPr>
        <w:pStyle w:val="BoxText"/>
        <w:pBdr>
          <w:top w:val="single" w:sz="4" w:space="4" w:color="124486"/>
          <w:left w:val="single" w:sz="4" w:space="4" w:color="124486"/>
          <w:bottom w:val="single" w:sz="4" w:space="4" w:color="124486"/>
          <w:right w:val="single" w:sz="4" w:space="4" w:color="124486"/>
        </w:pBdr>
        <w:rPr>
          <w:color w:val="124486"/>
        </w:rPr>
      </w:pPr>
      <w:r w:rsidRPr="00E87F45">
        <w:rPr>
          <w:color w:val="124486"/>
        </w:rPr>
        <w:t>A</w:t>
      </w:r>
      <w:r w:rsidR="00205EF8">
        <w:rPr>
          <w:color w:val="124486"/>
        </w:rPr>
        <w:t>n</w:t>
      </w:r>
      <w:r w:rsidRPr="00E87F45">
        <w:rPr>
          <w:color w:val="124486"/>
        </w:rPr>
        <w:t xml:space="preserve"> example</w:t>
      </w:r>
      <w:r w:rsidR="0098662E" w:rsidRPr="00E87F45">
        <w:rPr>
          <w:color w:val="124486"/>
        </w:rPr>
        <w:t xml:space="preserve"> of a</w:t>
      </w:r>
      <w:r w:rsidR="00205EF8">
        <w:rPr>
          <w:color w:val="124486"/>
        </w:rPr>
        <w:t xml:space="preserve"> strong</w:t>
      </w:r>
      <w:r w:rsidR="0098662E" w:rsidRPr="00E87F45">
        <w:rPr>
          <w:color w:val="124486"/>
        </w:rPr>
        <w:t xml:space="preserve"> response to the relevance criterion </w:t>
      </w:r>
      <w:r w:rsidR="00CC0CBD" w:rsidRPr="00E87F45">
        <w:rPr>
          <w:color w:val="124486"/>
        </w:rPr>
        <w:t xml:space="preserve">is </w:t>
      </w:r>
      <w:r w:rsidR="0098662E" w:rsidRPr="00E87F45">
        <w:rPr>
          <w:color w:val="124486"/>
        </w:rPr>
        <w:t>in</w:t>
      </w:r>
      <w:r w:rsidRPr="00E87F45">
        <w:rPr>
          <w:color w:val="124486"/>
        </w:rPr>
        <w:t xml:space="preserve"> the</w:t>
      </w:r>
      <w:r w:rsidR="00205EF8">
        <w:rPr>
          <w:color w:val="124486"/>
        </w:rPr>
        <w:t xml:space="preserve"> evaluation</w:t>
      </w:r>
      <w:r w:rsidR="00205EF8" w:rsidRPr="00F83027">
        <w:rPr>
          <w:color w:val="124486"/>
        </w:rPr>
        <w:t xml:space="preserve"> of Partnership for Knowledge-Based Poverty Reduction (INJ244) discussed in Annex 6</w:t>
      </w:r>
      <w:r w:rsidR="004A242D" w:rsidRPr="00E87F45">
        <w:rPr>
          <w:color w:val="124486"/>
        </w:rPr>
        <w:t xml:space="preserve"> </w:t>
      </w:r>
      <w:r w:rsidRPr="00E87F45">
        <w:rPr>
          <w:color w:val="124486"/>
        </w:rPr>
        <w:t>(</w:t>
      </w:r>
      <w:r w:rsidR="0098662E" w:rsidRPr="00E87F45">
        <w:rPr>
          <w:color w:val="124486"/>
        </w:rPr>
        <w:t xml:space="preserve">see </w:t>
      </w:r>
      <w:r w:rsidRPr="00E87F45">
        <w:rPr>
          <w:color w:val="124486"/>
        </w:rPr>
        <w:t>pp</w:t>
      </w:r>
      <w:r w:rsidR="00CC0CBD" w:rsidRPr="00E87F45">
        <w:rPr>
          <w:color w:val="124486"/>
        </w:rPr>
        <w:t>.</w:t>
      </w:r>
      <w:r w:rsidRPr="00E87F45">
        <w:rPr>
          <w:color w:val="124486"/>
        </w:rPr>
        <w:t xml:space="preserve"> 21</w:t>
      </w:r>
      <w:r w:rsidR="00CC0CBD" w:rsidRPr="00E87F45">
        <w:rPr>
          <w:color w:val="124486"/>
        </w:rPr>
        <w:t>–</w:t>
      </w:r>
      <w:r w:rsidRPr="00E87F45">
        <w:rPr>
          <w:color w:val="124486"/>
        </w:rPr>
        <w:t>27 of the evaluation</w:t>
      </w:r>
      <w:r w:rsidR="0098662E" w:rsidRPr="00E87F45">
        <w:rPr>
          <w:color w:val="124486"/>
        </w:rPr>
        <w:t xml:space="preserve"> report</w:t>
      </w:r>
      <w:r w:rsidRPr="00E87F45">
        <w:rPr>
          <w:color w:val="124486"/>
        </w:rPr>
        <w:t>).</w:t>
      </w:r>
    </w:p>
    <w:p w14:paraId="112E911D" w14:textId="51050754" w:rsidR="0072363F" w:rsidRPr="00D801CF" w:rsidRDefault="0072363F" w:rsidP="0072363F">
      <w:pPr>
        <w:rPr>
          <w:rFonts w:eastAsiaTheme="minorEastAsia"/>
        </w:rPr>
      </w:pPr>
      <w:r>
        <w:rPr>
          <w:rFonts w:eastAsiaTheme="minorEastAsia"/>
        </w:rPr>
        <w:t>Interview</w:t>
      </w:r>
      <w:r w:rsidR="009D35B0">
        <w:rPr>
          <w:rFonts w:eastAsiaTheme="minorEastAsia"/>
        </w:rPr>
        <w:t xml:space="preserve"> responses</w:t>
      </w:r>
      <w:r>
        <w:rPr>
          <w:rFonts w:eastAsiaTheme="minorEastAsia"/>
        </w:rPr>
        <w:t xml:space="preserve"> suggested that the exact meaning of relevance is not consistently well</w:t>
      </w:r>
      <w:r w:rsidR="009D35B0">
        <w:rPr>
          <w:rFonts w:eastAsiaTheme="minorEastAsia"/>
        </w:rPr>
        <w:t xml:space="preserve"> </w:t>
      </w:r>
      <w:r>
        <w:rPr>
          <w:rFonts w:eastAsiaTheme="minorEastAsia"/>
        </w:rPr>
        <w:t xml:space="preserve">understood by </w:t>
      </w:r>
      <w:r>
        <w:t>evaluators</w:t>
      </w:r>
      <w:r w:rsidR="009D35B0">
        <w:rPr>
          <w:rFonts w:eastAsiaTheme="minorEastAsia"/>
        </w:rPr>
        <w:t>. Both Australian Government aid managers and consultants</w:t>
      </w:r>
      <w:r>
        <w:rPr>
          <w:rFonts w:eastAsiaTheme="minorEastAsia"/>
        </w:rPr>
        <w:t xml:space="preserve"> </w:t>
      </w:r>
      <w:r w:rsidR="000D2E3C">
        <w:rPr>
          <w:rFonts w:eastAsiaTheme="minorEastAsia"/>
        </w:rPr>
        <w:t>rais</w:t>
      </w:r>
      <w:r w:rsidR="009D35B0">
        <w:rPr>
          <w:rFonts w:eastAsiaTheme="minorEastAsia"/>
        </w:rPr>
        <w:t>ed</w:t>
      </w:r>
      <w:r w:rsidR="000D2E3C">
        <w:rPr>
          <w:rFonts w:eastAsiaTheme="minorEastAsia"/>
        </w:rPr>
        <w:t xml:space="preserve"> questions </w:t>
      </w:r>
      <w:r>
        <w:rPr>
          <w:rFonts w:eastAsiaTheme="minorEastAsia"/>
        </w:rPr>
        <w:t xml:space="preserve">about how issues of relevance were addressed in these reports. </w:t>
      </w:r>
    </w:p>
    <w:p w14:paraId="4281C334" w14:textId="77777777" w:rsidR="0072363F" w:rsidRDefault="0072363F" w:rsidP="0072363F">
      <w:pPr>
        <w:pStyle w:val="Heading3"/>
      </w:pPr>
      <w:bookmarkStart w:id="122" w:name="_Toc373303656"/>
      <w:bookmarkStart w:id="123" w:name="_Toc373304223"/>
      <w:r>
        <w:lastRenderedPageBreak/>
        <w:t>Effectiveness</w:t>
      </w:r>
      <w:bookmarkEnd w:id="122"/>
      <w:bookmarkEnd w:id="123"/>
    </w:p>
    <w:p w14:paraId="072A682D" w14:textId="657A8534" w:rsidR="0066769E" w:rsidRDefault="00205EF8" w:rsidP="0072363F">
      <w:r>
        <w:rPr>
          <w:rFonts w:eastAsiaTheme="minorEastAsia"/>
        </w:rPr>
        <w:t>T</w:t>
      </w:r>
      <w:r w:rsidR="0072363F">
        <w:rPr>
          <w:rFonts w:eastAsiaTheme="minorEastAsia"/>
        </w:rPr>
        <w:t xml:space="preserve">he assessments of aid initiative </w:t>
      </w:r>
      <w:r w:rsidR="0072363F">
        <w:t>e</w:t>
      </w:r>
      <w:r w:rsidR="0072363F" w:rsidRPr="00D801CF">
        <w:t>ffectiveness</w:t>
      </w:r>
      <w:r w:rsidR="0072363F" w:rsidRPr="00CD17D4">
        <w:rPr>
          <w:b/>
        </w:rPr>
        <w:t xml:space="preserve"> </w:t>
      </w:r>
      <w:r w:rsidR="0072363F">
        <w:t>were adequate or better in 71</w:t>
      </w:r>
      <w:r w:rsidR="009D35B0">
        <w:t> </w:t>
      </w:r>
      <w:r w:rsidR="0072363F">
        <w:t xml:space="preserve">per cent </w:t>
      </w:r>
      <w:r w:rsidR="0072363F" w:rsidRPr="003F0355">
        <w:t xml:space="preserve">of the </w:t>
      </w:r>
      <w:r w:rsidR="0072363F">
        <w:t xml:space="preserve">82 </w:t>
      </w:r>
      <w:r w:rsidR="0072363F" w:rsidRPr="003F0355">
        <w:t xml:space="preserve">evaluations that </w:t>
      </w:r>
      <w:r w:rsidR="0072363F">
        <w:t>addressed</w:t>
      </w:r>
      <w:r w:rsidR="0072363F" w:rsidRPr="003F0355">
        <w:t xml:space="preserve"> this </w:t>
      </w:r>
      <w:r w:rsidR="0072363F">
        <w:t>criterion</w:t>
      </w:r>
      <w:r w:rsidR="0072363F" w:rsidRPr="003F0355">
        <w:t>.</w:t>
      </w:r>
      <w:r w:rsidR="00A74814">
        <w:t xml:space="preserve"> </w:t>
      </w:r>
      <w:r w:rsidR="0072363F">
        <w:t>These evaluations provided an evidence-based assessment of progress towards expected outcomes. They offer</w:t>
      </w:r>
      <w:r w:rsidR="00B854A3">
        <w:t>ed</w:t>
      </w:r>
      <w:r w:rsidR="0072363F">
        <w:t xml:space="preserve"> a clear definition of what effectiveness should mean in the context of the initiative and what level of results can be expected given the stage of implementation when the evaluation occurs. The </w:t>
      </w:r>
      <w:r w:rsidR="00B854A3">
        <w:t>better assessments</w:t>
      </w:r>
      <w:r w:rsidR="0072363F">
        <w:t xml:space="preserve"> for this criterion presented a good balance of qualitative and quantitative evidence and analysed each component of the initiative in a systematic way. They provided a clear and often compelling link between the evidence presented and analysed and the conclusions drawn. Sources for the evidence were given and</w:t>
      </w:r>
      <w:r w:rsidR="009D35B0">
        <w:t>,</w:t>
      </w:r>
      <w:r w:rsidR="0072363F">
        <w:t xml:space="preserve"> where there were doubts over data quality or data gaps</w:t>
      </w:r>
      <w:r w:rsidR="009D35B0">
        <w:t>,</w:t>
      </w:r>
      <w:r w:rsidR="0072363F">
        <w:t xml:space="preserve"> these were discussed. </w:t>
      </w:r>
    </w:p>
    <w:p w14:paraId="00EB485D" w14:textId="26575F9E" w:rsidR="00912E85" w:rsidRPr="00B364BD" w:rsidRDefault="0072363F" w:rsidP="00021D41">
      <w:pPr>
        <w:pStyle w:val="BoxText"/>
        <w:pBdr>
          <w:top w:val="single" w:sz="4" w:space="4" w:color="124486"/>
          <w:left w:val="single" w:sz="4" w:space="4" w:color="124486"/>
          <w:bottom w:val="single" w:sz="4" w:space="4" w:color="124486"/>
          <w:right w:val="single" w:sz="4" w:space="4" w:color="124486"/>
        </w:pBdr>
        <w:rPr>
          <w:color w:val="124486"/>
        </w:rPr>
      </w:pPr>
      <w:r w:rsidRPr="00021D41">
        <w:rPr>
          <w:color w:val="124486"/>
        </w:rPr>
        <w:t>A</w:t>
      </w:r>
      <w:r w:rsidR="00B364BD">
        <w:rPr>
          <w:color w:val="124486"/>
        </w:rPr>
        <w:t>n</w:t>
      </w:r>
      <w:r w:rsidRPr="00021D41">
        <w:rPr>
          <w:color w:val="124486"/>
        </w:rPr>
        <w:t xml:space="preserve"> example</w:t>
      </w:r>
      <w:r w:rsidR="00B364BD">
        <w:rPr>
          <w:color w:val="124486"/>
        </w:rPr>
        <w:t xml:space="preserve"> of a strong assessment of effectiveness</w:t>
      </w:r>
      <w:r w:rsidRPr="00021D41">
        <w:rPr>
          <w:color w:val="124486"/>
        </w:rPr>
        <w:t xml:space="preserve"> is </w:t>
      </w:r>
      <w:r w:rsidR="00B364BD">
        <w:rPr>
          <w:color w:val="124486"/>
        </w:rPr>
        <w:t xml:space="preserve">in </w:t>
      </w:r>
      <w:r w:rsidRPr="00021D41">
        <w:rPr>
          <w:color w:val="124486"/>
        </w:rPr>
        <w:t xml:space="preserve">the </w:t>
      </w:r>
      <w:r w:rsidR="00021D41">
        <w:rPr>
          <w:color w:val="124486"/>
        </w:rPr>
        <w:t>evaluation</w:t>
      </w:r>
      <w:r w:rsidR="00021D41" w:rsidRPr="00F83027">
        <w:rPr>
          <w:color w:val="124486"/>
        </w:rPr>
        <w:t xml:space="preserve"> of the Civil Society Water, Sanitation and Hygiene Fund (INI592)</w:t>
      </w:r>
      <w:r w:rsidR="00021D41">
        <w:rPr>
          <w:color w:val="124486"/>
        </w:rPr>
        <w:t xml:space="preserve"> </w:t>
      </w:r>
      <w:r w:rsidR="0098662E" w:rsidRPr="00021D41">
        <w:rPr>
          <w:color w:val="124486"/>
        </w:rPr>
        <w:t>discussed in Annex</w:t>
      </w:r>
      <w:r w:rsidR="009D35B0" w:rsidRPr="00021D41">
        <w:rPr>
          <w:color w:val="124486"/>
        </w:rPr>
        <w:t> </w:t>
      </w:r>
      <w:r w:rsidR="004A242D" w:rsidRPr="00021D41">
        <w:rPr>
          <w:color w:val="124486"/>
        </w:rPr>
        <w:t xml:space="preserve">6 </w:t>
      </w:r>
      <w:r w:rsidR="0098662E" w:rsidRPr="00021D41">
        <w:rPr>
          <w:color w:val="124486"/>
        </w:rPr>
        <w:t>(</w:t>
      </w:r>
      <w:r w:rsidRPr="00021D41">
        <w:rPr>
          <w:color w:val="124486"/>
        </w:rPr>
        <w:t xml:space="preserve">see Chapter 3 in the </w:t>
      </w:r>
      <w:r w:rsidR="0098662E" w:rsidRPr="00021D41">
        <w:rPr>
          <w:color w:val="124486"/>
        </w:rPr>
        <w:t xml:space="preserve">evaluation </w:t>
      </w:r>
      <w:r w:rsidRPr="00021D41">
        <w:rPr>
          <w:color w:val="124486"/>
        </w:rPr>
        <w:t>report).</w:t>
      </w:r>
      <w:r w:rsidR="00A74814" w:rsidRPr="00021D41">
        <w:rPr>
          <w:color w:val="124486"/>
        </w:rPr>
        <w:t xml:space="preserve"> </w:t>
      </w:r>
      <w:r w:rsidR="00BB727B" w:rsidRPr="00B364BD">
        <w:rPr>
          <w:color w:val="124486"/>
        </w:rPr>
        <w:t>Another good practice example is</w:t>
      </w:r>
      <w:r w:rsidR="00912E85" w:rsidRPr="00B364BD">
        <w:rPr>
          <w:color w:val="124486"/>
        </w:rPr>
        <w:t xml:space="preserve"> </w:t>
      </w:r>
      <w:r w:rsidR="00BB727B" w:rsidRPr="00B364BD">
        <w:rPr>
          <w:color w:val="124486"/>
        </w:rPr>
        <w:t>the partner-led mid-term review</w:t>
      </w:r>
      <w:r w:rsidR="00912E85" w:rsidRPr="00B364BD">
        <w:rPr>
          <w:color w:val="124486"/>
        </w:rPr>
        <w:t xml:space="preserve"> of the </w:t>
      </w:r>
      <w:r w:rsidR="00B364BD" w:rsidRPr="00B364BD">
        <w:rPr>
          <w:color w:val="124486"/>
        </w:rPr>
        <w:t>State- and Peace-Building Fund</w:t>
      </w:r>
      <w:r w:rsidR="00B364BD">
        <w:rPr>
          <w:color w:val="124486"/>
        </w:rPr>
        <w:t xml:space="preserve"> (ING948)</w:t>
      </w:r>
      <w:r w:rsidR="00BB727B" w:rsidRPr="00B364BD">
        <w:rPr>
          <w:color w:val="124486"/>
        </w:rPr>
        <w:t>, which showed</w:t>
      </w:r>
      <w:r w:rsidR="00912E85" w:rsidRPr="00B364BD">
        <w:rPr>
          <w:color w:val="124486"/>
        </w:rPr>
        <w:t xml:space="preserve"> very clear links between project results and strategy (pp</w:t>
      </w:r>
      <w:r w:rsidR="009D35B0" w:rsidRPr="00B364BD">
        <w:rPr>
          <w:color w:val="124486"/>
        </w:rPr>
        <w:t>.</w:t>
      </w:r>
      <w:r w:rsidR="00912E85" w:rsidRPr="00B364BD">
        <w:rPr>
          <w:color w:val="124486"/>
        </w:rPr>
        <w:t xml:space="preserve"> 19</w:t>
      </w:r>
      <w:r w:rsidR="009D35B0" w:rsidRPr="00B364BD">
        <w:rPr>
          <w:color w:val="124486"/>
        </w:rPr>
        <w:t>–</w:t>
      </w:r>
      <w:r w:rsidR="00912E85" w:rsidRPr="00B364BD">
        <w:rPr>
          <w:color w:val="124486"/>
        </w:rPr>
        <w:t>26)</w:t>
      </w:r>
      <w:r w:rsidR="00BB727B" w:rsidRPr="00B364BD">
        <w:rPr>
          <w:color w:val="124486"/>
        </w:rPr>
        <w:t>.</w:t>
      </w:r>
      <w:r w:rsidR="00A74814" w:rsidRPr="00B364BD">
        <w:rPr>
          <w:color w:val="124486"/>
        </w:rPr>
        <w:t xml:space="preserve"> </w:t>
      </w:r>
      <w:r w:rsidR="00BB727B" w:rsidRPr="00B364BD">
        <w:rPr>
          <w:color w:val="124486"/>
        </w:rPr>
        <w:t>The evaluation of the Zi</w:t>
      </w:r>
      <w:r w:rsidR="00912E85" w:rsidRPr="00B364BD">
        <w:rPr>
          <w:color w:val="124486"/>
        </w:rPr>
        <w:t xml:space="preserve">mbabwe NGO Food and Water Initiative </w:t>
      </w:r>
      <w:r w:rsidR="00B364BD">
        <w:rPr>
          <w:color w:val="124486"/>
        </w:rPr>
        <w:t xml:space="preserve">(INJ189) </w:t>
      </w:r>
      <w:r w:rsidR="00BB727B" w:rsidRPr="00B364BD">
        <w:rPr>
          <w:color w:val="124486"/>
        </w:rPr>
        <w:t>provided</w:t>
      </w:r>
      <w:r w:rsidR="00912E85" w:rsidRPr="00B364BD">
        <w:rPr>
          <w:color w:val="124486"/>
        </w:rPr>
        <w:t xml:space="preserve"> detailed evidence in </w:t>
      </w:r>
      <w:r w:rsidR="009D35B0" w:rsidRPr="00B364BD">
        <w:rPr>
          <w:color w:val="124486"/>
        </w:rPr>
        <w:t>a</w:t>
      </w:r>
      <w:r w:rsidR="00912E85" w:rsidRPr="00B364BD">
        <w:rPr>
          <w:color w:val="124486"/>
        </w:rPr>
        <w:t>ppendices</w:t>
      </w:r>
      <w:r w:rsidR="009D35B0" w:rsidRPr="00B364BD">
        <w:rPr>
          <w:color w:val="124486"/>
        </w:rPr>
        <w:t> </w:t>
      </w:r>
      <w:r w:rsidR="00912E85" w:rsidRPr="00B364BD">
        <w:rPr>
          <w:color w:val="124486"/>
        </w:rPr>
        <w:t>5</w:t>
      </w:r>
      <w:r w:rsidR="009D35B0" w:rsidRPr="00B364BD">
        <w:rPr>
          <w:color w:val="124486"/>
        </w:rPr>
        <w:t xml:space="preserve"> to </w:t>
      </w:r>
      <w:r w:rsidR="00912E85" w:rsidRPr="00B364BD">
        <w:rPr>
          <w:color w:val="124486"/>
        </w:rPr>
        <w:t>8</w:t>
      </w:r>
      <w:r w:rsidR="00BB727B" w:rsidRPr="00B364BD">
        <w:rPr>
          <w:color w:val="124486"/>
        </w:rPr>
        <w:t xml:space="preserve">, and </w:t>
      </w:r>
      <w:r w:rsidR="009D35B0" w:rsidRPr="00B364BD">
        <w:rPr>
          <w:color w:val="124486"/>
        </w:rPr>
        <w:t xml:space="preserve">discussed </w:t>
      </w:r>
      <w:r w:rsidR="00912E85" w:rsidRPr="00B364BD">
        <w:rPr>
          <w:color w:val="124486"/>
        </w:rPr>
        <w:t>risk management</w:t>
      </w:r>
      <w:r w:rsidR="00BB727B" w:rsidRPr="00B364BD">
        <w:rPr>
          <w:color w:val="124486"/>
        </w:rPr>
        <w:t xml:space="preserve"> </w:t>
      </w:r>
      <w:r w:rsidR="00912E85" w:rsidRPr="00B364BD">
        <w:rPr>
          <w:color w:val="124486"/>
        </w:rPr>
        <w:t>in several places (e.g.</w:t>
      </w:r>
      <w:r w:rsidR="00BB727B" w:rsidRPr="00B364BD">
        <w:rPr>
          <w:color w:val="124486"/>
        </w:rPr>
        <w:t xml:space="preserve"> </w:t>
      </w:r>
      <w:r w:rsidR="009D35B0" w:rsidRPr="00B364BD">
        <w:rPr>
          <w:color w:val="124486"/>
        </w:rPr>
        <w:t>pp. </w:t>
      </w:r>
      <w:r w:rsidR="00912E85" w:rsidRPr="00B364BD">
        <w:rPr>
          <w:color w:val="124486"/>
        </w:rPr>
        <w:t>18,</w:t>
      </w:r>
      <w:r w:rsidR="009D35B0" w:rsidRPr="00B364BD">
        <w:rPr>
          <w:color w:val="124486"/>
        </w:rPr>
        <w:t xml:space="preserve"> </w:t>
      </w:r>
      <w:r w:rsidR="00912E85" w:rsidRPr="00B364BD">
        <w:rPr>
          <w:color w:val="124486"/>
        </w:rPr>
        <w:t>47 and 51).</w:t>
      </w:r>
    </w:p>
    <w:p w14:paraId="5D43CC3C" w14:textId="46E84AC6" w:rsidR="0072363F" w:rsidRDefault="00764328" w:rsidP="0072363F">
      <w:r>
        <w:t>T</w:t>
      </w:r>
      <w:r w:rsidR="0072363F">
        <w:t>he 29 per cent of</w:t>
      </w:r>
      <w:r w:rsidR="0072363F" w:rsidRPr="0007233B">
        <w:t xml:space="preserve"> evaluation</w:t>
      </w:r>
      <w:r w:rsidR="0072363F" w:rsidRPr="002179CA">
        <w:t xml:space="preserve"> reports </w:t>
      </w:r>
      <w:r w:rsidR="0072363F">
        <w:t>rated as inadequate</w:t>
      </w:r>
      <w:r w:rsidR="00D96852">
        <w:t xml:space="preserve"> </w:t>
      </w:r>
      <w:r w:rsidR="009D35B0">
        <w:t xml:space="preserve">in </w:t>
      </w:r>
      <w:r w:rsidR="00B82397">
        <w:t>the</w:t>
      </w:r>
      <w:r w:rsidR="009D35B0">
        <w:t>ir</w:t>
      </w:r>
      <w:r w:rsidR="00B82397">
        <w:t xml:space="preserve"> assessment of effectiveness</w:t>
      </w:r>
      <w:r w:rsidR="0072363F">
        <w:t xml:space="preserve"> tended to </w:t>
      </w:r>
      <w:r w:rsidR="009D35B0">
        <w:t xml:space="preserve">fall short </w:t>
      </w:r>
      <w:r w:rsidR="00912E85">
        <w:t>due to</w:t>
      </w:r>
      <w:r w:rsidR="0072363F">
        <w:t xml:space="preserve"> their failure to </w:t>
      </w:r>
      <w:r w:rsidR="0072363F" w:rsidRPr="002179CA">
        <w:t>address the extent to which the</w:t>
      </w:r>
      <w:r w:rsidR="0072363F">
        <w:t xml:space="preserve"> initiative</w:t>
      </w:r>
      <w:r w:rsidR="0072363F" w:rsidRPr="002179CA">
        <w:t xml:space="preserve"> </w:t>
      </w:r>
      <w:r w:rsidR="0072363F">
        <w:t>contributed</w:t>
      </w:r>
      <w:r w:rsidR="0072363F" w:rsidRPr="002179CA">
        <w:t xml:space="preserve"> to the outcomes observed, and </w:t>
      </w:r>
      <w:r w:rsidR="009D35B0">
        <w:t>to</w:t>
      </w:r>
      <w:r w:rsidR="0072363F">
        <w:t xml:space="preserve"> </w:t>
      </w:r>
      <w:r w:rsidR="0072363F" w:rsidRPr="002179CA">
        <w:t>consider alternative explanations for the outcomes</w:t>
      </w:r>
      <w:r w:rsidR="0072363F">
        <w:t>.</w:t>
      </w:r>
      <w:r w:rsidR="00A74814">
        <w:t xml:space="preserve"> </w:t>
      </w:r>
      <w:r w:rsidR="0072363F">
        <w:t>Being able to link decisions, actions and deliverables as contributing to an emerging outcome is an important aspect of assessing effectiveness</w:t>
      </w:r>
      <w:r w:rsidR="009D35B0">
        <w:t>;</w:t>
      </w:r>
      <w:r w:rsidR="0072363F">
        <w:t xml:space="preserve"> however</w:t>
      </w:r>
      <w:r w:rsidR="009D35B0">
        <w:t>,</w:t>
      </w:r>
      <w:r w:rsidR="0072363F">
        <w:t xml:space="preserve"> t</w:t>
      </w:r>
      <w:r w:rsidR="0072363F" w:rsidRPr="002179CA">
        <w:t>h</w:t>
      </w:r>
      <w:r w:rsidR="0072363F">
        <w:t>is</w:t>
      </w:r>
      <w:r w:rsidR="0072363F" w:rsidRPr="002179CA">
        <w:t xml:space="preserve"> w</w:t>
      </w:r>
      <w:r w:rsidR="0072363F">
        <w:t>as</w:t>
      </w:r>
      <w:r w:rsidR="0072363F" w:rsidRPr="002179CA">
        <w:t xml:space="preserve"> not usually mentioned</w:t>
      </w:r>
      <w:r w:rsidR="0072363F">
        <w:t>.</w:t>
      </w:r>
      <w:r w:rsidR="00A74814">
        <w:t xml:space="preserve"> </w:t>
      </w:r>
      <w:r w:rsidR="00B82397">
        <w:t>This reflects our findings on credibility of evidence and analysis (</w:t>
      </w:r>
      <w:r w:rsidR="00B82397" w:rsidRPr="002179CA">
        <w:t>discussed</w:t>
      </w:r>
      <w:r w:rsidR="00B82397">
        <w:t xml:space="preserve"> in section </w:t>
      </w:r>
      <w:r w:rsidR="00B82397">
        <w:fldChar w:fldCharType="begin"/>
      </w:r>
      <w:r w:rsidR="00B82397">
        <w:instrText xml:space="preserve"> REF _Ref379184079 \r \h </w:instrText>
      </w:r>
      <w:r w:rsidR="00B82397">
        <w:fldChar w:fldCharType="separate"/>
      </w:r>
      <w:r w:rsidR="00147362">
        <w:t>4.2</w:t>
      </w:r>
      <w:r w:rsidR="00B82397">
        <w:fldChar w:fldCharType="end"/>
      </w:r>
      <w:r w:rsidR="00B82397">
        <w:t>).</w:t>
      </w:r>
    </w:p>
    <w:p w14:paraId="0CFEF956" w14:textId="682BF1A1" w:rsidR="0072363F" w:rsidRPr="00692D06" w:rsidRDefault="0072363F" w:rsidP="0072363F">
      <w:r>
        <w:t>Within the assessments of initiative effectiveness, an area that was not addressed well was the treatment of risk as it affects the achievement of outcomes</w:t>
      </w:r>
      <w:r w:rsidR="009D35B0">
        <w:t xml:space="preserve">. </w:t>
      </w:r>
      <w:r w:rsidR="0089741D">
        <w:t>Risk was specifically discussed i</w:t>
      </w:r>
      <w:r>
        <w:t>n</w:t>
      </w:r>
      <w:r w:rsidRPr="00A14005">
        <w:t xml:space="preserve"> </w:t>
      </w:r>
      <w:r>
        <w:t xml:space="preserve">only </w:t>
      </w:r>
      <w:r w:rsidRPr="00A14005">
        <w:t>14 cases</w:t>
      </w:r>
      <w:r w:rsidRPr="00692D06">
        <w:t>.</w:t>
      </w:r>
      <w:r w:rsidR="00A74814">
        <w:t xml:space="preserve"> </w:t>
      </w:r>
      <w:r w:rsidR="009D35B0">
        <w:t>R</w:t>
      </w:r>
      <w:r w:rsidRPr="00692D06">
        <w:t xml:space="preserve">isk management issues are often not relevant for ex-post or </w:t>
      </w:r>
      <w:r>
        <w:t xml:space="preserve">completion reviews </w:t>
      </w:r>
      <w:r w:rsidRPr="00692D06">
        <w:t xml:space="preserve">but </w:t>
      </w:r>
      <w:r w:rsidR="0089741D">
        <w:t>we</w:t>
      </w:r>
      <w:r w:rsidR="0089741D" w:rsidRPr="00692D06">
        <w:t xml:space="preserve"> </w:t>
      </w:r>
      <w:r w:rsidRPr="00692D06">
        <w:t xml:space="preserve">would </w:t>
      </w:r>
      <w:r w:rsidR="0089741D">
        <w:t xml:space="preserve">have </w:t>
      </w:r>
      <w:r w:rsidRPr="00692D06">
        <w:t>expect</w:t>
      </w:r>
      <w:r w:rsidR="0089741D">
        <w:t>ed</w:t>
      </w:r>
      <w:r w:rsidRPr="00692D06">
        <w:t xml:space="preserve"> them to have a higher profile in </w:t>
      </w:r>
      <w:r w:rsidR="00AD7BDA">
        <w:t>independent progress report</w:t>
      </w:r>
      <w:r w:rsidRPr="00692D06">
        <w:t xml:space="preserve">s given the potential impact </w:t>
      </w:r>
      <w:r w:rsidR="009D35B0">
        <w:t>of</w:t>
      </w:r>
      <w:r w:rsidR="009D35B0" w:rsidRPr="00692D06">
        <w:t xml:space="preserve"> </w:t>
      </w:r>
      <w:r w:rsidRPr="00692D06">
        <w:t xml:space="preserve">different risks on the effectiveness of an initiative. </w:t>
      </w:r>
    </w:p>
    <w:bookmarkEnd w:id="120"/>
    <w:bookmarkEnd w:id="121"/>
    <w:p w14:paraId="2CB00786" w14:textId="77777777" w:rsidR="00F3602E" w:rsidRPr="00ED034B" w:rsidRDefault="007E7349" w:rsidP="004C6F11">
      <w:pPr>
        <w:pStyle w:val="Heading3"/>
      </w:pPr>
      <w:r>
        <w:t>E</w:t>
      </w:r>
      <w:r w:rsidRPr="00ED034B">
        <w:t>fficiency</w:t>
      </w:r>
    </w:p>
    <w:p w14:paraId="781D6AC1" w14:textId="6B74B44B" w:rsidR="00581BBF" w:rsidRDefault="004B2479" w:rsidP="00581BBF">
      <w:pPr>
        <w:rPr>
          <w:rFonts w:eastAsiaTheme="minorEastAsia"/>
          <w:kern w:val="24"/>
        </w:rPr>
      </w:pPr>
      <w:r>
        <w:rPr>
          <w:rFonts w:eastAsiaTheme="minorEastAsia"/>
        </w:rPr>
        <w:t>T</w:t>
      </w:r>
      <w:r w:rsidR="00581BBF">
        <w:rPr>
          <w:rFonts w:eastAsiaTheme="minorEastAsia"/>
        </w:rPr>
        <w:t>he assessments of initiative efficiency were adequate in only 54</w:t>
      </w:r>
      <w:r w:rsidR="00764328">
        <w:rPr>
          <w:rFonts w:eastAsiaTheme="minorEastAsia"/>
        </w:rPr>
        <w:t> </w:t>
      </w:r>
      <w:r w:rsidR="00581BBF">
        <w:rPr>
          <w:rFonts w:eastAsiaTheme="minorEastAsia"/>
        </w:rPr>
        <w:t xml:space="preserve">per cent of the 78 evaluations that addressed this criterion. </w:t>
      </w:r>
      <w:r w:rsidR="00581BBF">
        <w:rPr>
          <w:rFonts w:eastAsiaTheme="minorEastAsia"/>
          <w:kern w:val="24"/>
        </w:rPr>
        <w:t xml:space="preserve">This low score reflects the fact that </w:t>
      </w:r>
      <w:r w:rsidR="00581BBF" w:rsidRPr="00935B6A">
        <w:rPr>
          <w:rFonts w:eastAsiaTheme="minorEastAsia"/>
          <w:kern w:val="24"/>
        </w:rPr>
        <w:t>the majority of evaluations</w:t>
      </w:r>
      <w:r w:rsidR="00764328">
        <w:rPr>
          <w:rFonts w:eastAsiaTheme="minorEastAsia"/>
          <w:kern w:val="24"/>
        </w:rPr>
        <w:t xml:space="preserve"> took</w:t>
      </w:r>
      <w:r w:rsidR="00581BBF" w:rsidRPr="00935B6A">
        <w:rPr>
          <w:rFonts w:eastAsiaTheme="minorEastAsia"/>
          <w:kern w:val="24"/>
        </w:rPr>
        <w:t xml:space="preserve"> a very narrow view of efficiency</w:t>
      </w:r>
      <w:r w:rsidR="00581BBF">
        <w:rPr>
          <w:rFonts w:eastAsiaTheme="minorEastAsia"/>
          <w:kern w:val="24"/>
        </w:rPr>
        <w:t xml:space="preserve">, </w:t>
      </w:r>
      <w:r w:rsidR="00581BBF" w:rsidRPr="00935B6A">
        <w:rPr>
          <w:rFonts w:eastAsiaTheme="minorEastAsia"/>
          <w:kern w:val="24"/>
        </w:rPr>
        <w:t>limit</w:t>
      </w:r>
      <w:r w:rsidR="00764328">
        <w:rPr>
          <w:rFonts w:eastAsiaTheme="minorEastAsia"/>
          <w:kern w:val="24"/>
        </w:rPr>
        <w:t>ing their focus</w:t>
      </w:r>
      <w:r w:rsidR="00581BBF" w:rsidRPr="00935B6A">
        <w:rPr>
          <w:rFonts w:eastAsiaTheme="minorEastAsia"/>
          <w:kern w:val="24"/>
        </w:rPr>
        <w:t xml:space="preserve"> to issues such as management process</w:t>
      </w:r>
      <w:r w:rsidR="00581BBF">
        <w:rPr>
          <w:rFonts w:eastAsiaTheme="minorEastAsia"/>
          <w:kern w:val="24"/>
        </w:rPr>
        <w:t>es</w:t>
      </w:r>
      <w:r w:rsidR="00581BBF" w:rsidRPr="00935B6A">
        <w:rPr>
          <w:rFonts w:eastAsiaTheme="minorEastAsia"/>
          <w:kern w:val="24"/>
        </w:rPr>
        <w:t>, staf</w:t>
      </w:r>
      <w:r w:rsidR="00581BBF">
        <w:rPr>
          <w:rFonts w:eastAsiaTheme="minorEastAsia"/>
          <w:kern w:val="24"/>
        </w:rPr>
        <w:t>fing and disbursement delays</w:t>
      </w:r>
      <w:r w:rsidR="00581BBF" w:rsidRPr="00935B6A">
        <w:rPr>
          <w:rFonts w:eastAsiaTheme="minorEastAsia"/>
          <w:kern w:val="24"/>
        </w:rPr>
        <w:t>.</w:t>
      </w:r>
      <w:r w:rsidR="00A74814">
        <w:rPr>
          <w:rFonts w:eastAsiaTheme="minorEastAsia"/>
          <w:kern w:val="24"/>
        </w:rPr>
        <w:t xml:space="preserve"> </w:t>
      </w:r>
      <w:r w:rsidR="00581BBF" w:rsidRPr="00935B6A">
        <w:rPr>
          <w:rFonts w:eastAsiaTheme="minorEastAsia"/>
          <w:kern w:val="24"/>
        </w:rPr>
        <w:t xml:space="preserve">Very few reports </w:t>
      </w:r>
      <w:r w:rsidR="00581BBF">
        <w:rPr>
          <w:rFonts w:eastAsiaTheme="minorEastAsia"/>
          <w:kern w:val="24"/>
        </w:rPr>
        <w:t xml:space="preserve">substantively </w:t>
      </w:r>
      <w:r w:rsidR="00581BBF" w:rsidRPr="00935B6A">
        <w:rPr>
          <w:rFonts w:eastAsiaTheme="minorEastAsia"/>
          <w:kern w:val="24"/>
        </w:rPr>
        <w:t xml:space="preserve">engaged with </w:t>
      </w:r>
      <w:r w:rsidR="00581BBF">
        <w:rPr>
          <w:rFonts w:eastAsiaTheme="minorEastAsia"/>
          <w:kern w:val="24"/>
        </w:rPr>
        <w:t xml:space="preserve">broader </w:t>
      </w:r>
      <w:r w:rsidR="00581BBF" w:rsidRPr="00935B6A">
        <w:rPr>
          <w:rFonts w:eastAsiaTheme="minorEastAsia"/>
          <w:kern w:val="24"/>
        </w:rPr>
        <w:t>issue</w:t>
      </w:r>
      <w:r w:rsidR="00581BBF">
        <w:rPr>
          <w:rFonts w:eastAsiaTheme="minorEastAsia"/>
          <w:kern w:val="24"/>
        </w:rPr>
        <w:t>s of value for money such as cost-efficiency or cost-effectiveness.</w:t>
      </w:r>
      <w:r w:rsidR="00A74814">
        <w:rPr>
          <w:rFonts w:eastAsiaTheme="minorEastAsia"/>
          <w:kern w:val="24"/>
        </w:rPr>
        <w:t xml:space="preserve"> </w:t>
      </w:r>
      <w:r w:rsidR="00581BBF">
        <w:rPr>
          <w:rFonts w:eastAsiaTheme="minorEastAsia"/>
          <w:kern w:val="24"/>
        </w:rPr>
        <w:t>These findings reflect those of the 2011 Bazeley study.</w:t>
      </w:r>
      <w:r w:rsidR="00A74814">
        <w:rPr>
          <w:rFonts w:eastAsiaTheme="minorEastAsia"/>
          <w:kern w:val="24"/>
        </w:rPr>
        <w:t xml:space="preserve"> </w:t>
      </w:r>
    </w:p>
    <w:p w14:paraId="1B956E78" w14:textId="4D00089C" w:rsidR="00B16DBB" w:rsidRPr="00935B6A" w:rsidRDefault="00764328" w:rsidP="00B16DBB">
      <w:r>
        <w:rPr>
          <w:rFonts w:eastAsiaTheme="minorEastAsia"/>
          <w:kern w:val="24"/>
        </w:rPr>
        <w:t>E</w:t>
      </w:r>
      <w:r w:rsidR="00F3602E">
        <w:rPr>
          <w:rFonts w:eastAsiaTheme="minorEastAsia"/>
          <w:kern w:val="24"/>
        </w:rPr>
        <w:t>ven fewer</w:t>
      </w:r>
      <w:r w:rsidR="00B854A3">
        <w:rPr>
          <w:rFonts w:eastAsiaTheme="minorEastAsia"/>
          <w:kern w:val="24"/>
        </w:rPr>
        <w:t xml:space="preserve"> evaluations</w:t>
      </w:r>
      <w:r w:rsidR="00F3602E">
        <w:rPr>
          <w:rFonts w:eastAsiaTheme="minorEastAsia"/>
          <w:kern w:val="24"/>
        </w:rPr>
        <w:t xml:space="preserve"> </w:t>
      </w:r>
      <w:r w:rsidR="00D56FD4">
        <w:rPr>
          <w:rFonts w:eastAsiaTheme="minorEastAsia"/>
          <w:kern w:val="24"/>
        </w:rPr>
        <w:t>discussed</w:t>
      </w:r>
      <w:r>
        <w:rPr>
          <w:rFonts w:eastAsiaTheme="minorEastAsia"/>
          <w:kern w:val="24"/>
        </w:rPr>
        <w:t xml:space="preserve"> </w:t>
      </w:r>
      <w:r w:rsidR="00F3602E">
        <w:rPr>
          <w:rFonts w:eastAsiaTheme="minorEastAsia"/>
          <w:kern w:val="24"/>
        </w:rPr>
        <w:t xml:space="preserve">the costs of </w:t>
      </w:r>
      <w:r w:rsidR="00F3602E" w:rsidRPr="00935B6A">
        <w:rPr>
          <w:rFonts w:eastAsiaTheme="minorEastAsia"/>
          <w:kern w:val="24"/>
        </w:rPr>
        <w:t xml:space="preserve">achieving </w:t>
      </w:r>
      <w:r w:rsidR="00F3602E">
        <w:rPr>
          <w:rFonts w:eastAsiaTheme="minorEastAsia"/>
          <w:kern w:val="24"/>
        </w:rPr>
        <w:t xml:space="preserve">outputs/outcomes through alternative means. While a full </w:t>
      </w:r>
      <w:r w:rsidR="00DC4C2C">
        <w:rPr>
          <w:rFonts w:eastAsiaTheme="minorEastAsia"/>
          <w:kern w:val="24"/>
        </w:rPr>
        <w:t>value for money</w:t>
      </w:r>
      <w:r w:rsidR="00F3602E">
        <w:rPr>
          <w:rFonts w:eastAsiaTheme="minorEastAsia"/>
          <w:kern w:val="24"/>
        </w:rPr>
        <w:t xml:space="preserve"> analysis may be beyond the scope of most evaluations, a meaningful discussion around alternative strategies that could have been used to achieve an outcome and their relative cost should be possible.</w:t>
      </w:r>
      <w:r w:rsidR="00A74814">
        <w:rPr>
          <w:rFonts w:eastAsiaTheme="minorEastAsia"/>
          <w:kern w:val="24"/>
        </w:rPr>
        <w:t xml:space="preserve"> </w:t>
      </w:r>
    </w:p>
    <w:p w14:paraId="4EBBAAEA" w14:textId="77777777" w:rsidR="00DE3878" w:rsidRPr="009219CE" w:rsidRDefault="00DE3878" w:rsidP="00DE3878">
      <w:pPr>
        <w:pStyle w:val="Heading3"/>
      </w:pPr>
      <w:bookmarkStart w:id="124" w:name="_Toc373303663"/>
      <w:bookmarkStart w:id="125" w:name="_Toc373304230"/>
      <w:bookmarkStart w:id="126" w:name="_Toc373303660"/>
      <w:bookmarkStart w:id="127" w:name="_Toc373304227"/>
      <w:bookmarkStart w:id="128" w:name="_Toc373303662"/>
      <w:bookmarkStart w:id="129" w:name="_Toc373304229"/>
      <w:r>
        <w:t>S</w:t>
      </w:r>
      <w:r w:rsidRPr="009219CE">
        <w:t>ustainability</w:t>
      </w:r>
      <w:bookmarkEnd w:id="124"/>
      <w:bookmarkEnd w:id="125"/>
    </w:p>
    <w:p w14:paraId="1098AB20" w14:textId="74E997CD" w:rsidR="00581BBF" w:rsidRDefault="00764328" w:rsidP="00581BBF">
      <w:r>
        <w:rPr>
          <w:rFonts w:eastAsiaTheme="minorEastAsia"/>
        </w:rPr>
        <w:t>T</w:t>
      </w:r>
      <w:r w:rsidR="00DE3878">
        <w:rPr>
          <w:rFonts w:eastAsiaTheme="minorEastAsia"/>
        </w:rPr>
        <w:t>he assessment</w:t>
      </w:r>
      <w:r w:rsidR="00F45588">
        <w:rPr>
          <w:rFonts w:eastAsiaTheme="minorEastAsia"/>
        </w:rPr>
        <w:t>s</w:t>
      </w:r>
      <w:r w:rsidR="00DE3878">
        <w:rPr>
          <w:rFonts w:eastAsiaTheme="minorEastAsia"/>
        </w:rPr>
        <w:t xml:space="preserve"> of sustainability</w:t>
      </w:r>
      <w:r w:rsidR="00B854A3">
        <w:rPr>
          <w:rFonts w:eastAsiaTheme="minorEastAsia"/>
        </w:rPr>
        <w:t xml:space="preserve"> (i.e. </w:t>
      </w:r>
      <w:r w:rsidR="00DE3878">
        <w:rPr>
          <w:rFonts w:eastAsiaTheme="minorEastAsia"/>
        </w:rPr>
        <w:t xml:space="preserve">of </w:t>
      </w:r>
      <w:r w:rsidR="00B854A3">
        <w:rPr>
          <w:rFonts w:eastAsiaTheme="minorEastAsia"/>
        </w:rPr>
        <w:t xml:space="preserve">the </w:t>
      </w:r>
      <w:r w:rsidR="00DE3878">
        <w:rPr>
          <w:rFonts w:eastAsiaTheme="minorEastAsia"/>
        </w:rPr>
        <w:t xml:space="preserve">benefits </w:t>
      </w:r>
      <w:r w:rsidR="00B854A3">
        <w:rPr>
          <w:rFonts w:eastAsiaTheme="minorEastAsia"/>
        </w:rPr>
        <w:t xml:space="preserve">that will endure </w:t>
      </w:r>
      <w:r w:rsidR="00DE3878">
        <w:rPr>
          <w:rFonts w:eastAsiaTheme="minorEastAsia"/>
        </w:rPr>
        <w:t>after Australia</w:t>
      </w:r>
      <w:r w:rsidR="00744801">
        <w:rPr>
          <w:rFonts w:eastAsiaTheme="minorEastAsia"/>
        </w:rPr>
        <w:t>’</w:t>
      </w:r>
      <w:r w:rsidR="00DE3878">
        <w:rPr>
          <w:rFonts w:eastAsiaTheme="minorEastAsia"/>
        </w:rPr>
        <w:t>s contribution has ceased</w:t>
      </w:r>
      <w:r w:rsidR="00B854A3">
        <w:rPr>
          <w:rFonts w:eastAsiaTheme="minorEastAsia"/>
        </w:rPr>
        <w:t>)</w:t>
      </w:r>
      <w:r w:rsidR="00DE3878">
        <w:rPr>
          <w:rFonts w:eastAsiaTheme="minorEastAsia"/>
        </w:rPr>
        <w:t xml:space="preserve"> w</w:t>
      </w:r>
      <w:r w:rsidR="00F45588">
        <w:rPr>
          <w:rFonts w:eastAsiaTheme="minorEastAsia"/>
        </w:rPr>
        <w:t>ere</w:t>
      </w:r>
      <w:r w:rsidR="00DE3878">
        <w:rPr>
          <w:rFonts w:eastAsiaTheme="minorEastAsia"/>
        </w:rPr>
        <w:t xml:space="preserve"> adequate in only 55</w:t>
      </w:r>
      <w:r>
        <w:rPr>
          <w:rFonts w:eastAsiaTheme="minorEastAsia"/>
        </w:rPr>
        <w:t> </w:t>
      </w:r>
      <w:r w:rsidR="00DE3878">
        <w:rPr>
          <w:rFonts w:eastAsiaTheme="minorEastAsia"/>
        </w:rPr>
        <w:t>per cent</w:t>
      </w:r>
      <w:r w:rsidR="00DE3878" w:rsidRPr="00981464">
        <w:rPr>
          <w:rFonts w:eastAsiaTheme="minorEastAsia"/>
        </w:rPr>
        <w:t xml:space="preserve"> </w:t>
      </w:r>
      <w:r w:rsidR="00DE3878">
        <w:rPr>
          <w:rFonts w:eastAsiaTheme="minorEastAsia"/>
        </w:rPr>
        <w:t xml:space="preserve">of the 74 </w:t>
      </w:r>
      <w:r w:rsidR="00DE3878" w:rsidRPr="009219CE">
        <w:rPr>
          <w:rFonts w:eastAsiaTheme="minorEastAsia"/>
        </w:rPr>
        <w:t>evaluations</w:t>
      </w:r>
      <w:r w:rsidR="00DE3878">
        <w:rPr>
          <w:rFonts w:eastAsiaTheme="minorEastAsia"/>
        </w:rPr>
        <w:t xml:space="preserve"> that assessed this criterion</w:t>
      </w:r>
      <w:r w:rsidR="00DE3878" w:rsidRPr="009219CE">
        <w:t xml:space="preserve">. </w:t>
      </w:r>
      <w:r w:rsidR="00DE3878">
        <w:rPr>
          <w:rFonts w:eastAsiaTheme="minorEastAsia"/>
        </w:rPr>
        <w:t xml:space="preserve">The </w:t>
      </w:r>
      <w:r w:rsidR="00F45588">
        <w:rPr>
          <w:rFonts w:eastAsiaTheme="minorEastAsia"/>
        </w:rPr>
        <w:t xml:space="preserve">most </w:t>
      </w:r>
      <w:r w:rsidR="00DE3878">
        <w:rPr>
          <w:rFonts w:eastAsiaTheme="minorEastAsia"/>
        </w:rPr>
        <w:t xml:space="preserve">common weakness was that </w:t>
      </w:r>
      <w:r w:rsidR="00B854A3">
        <w:rPr>
          <w:rFonts w:eastAsiaTheme="minorEastAsia"/>
        </w:rPr>
        <w:t>evaluations</w:t>
      </w:r>
      <w:r w:rsidR="00DE3878">
        <w:rPr>
          <w:rFonts w:eastAsiaTheme="minorEastAsia"/>
        </w:rPr>
        <w:t xml:space="preserve"> often </w:t>
      </w:r>
      <w:r w:rsidR="00DE3878" w:rsidRPr="00981464">
        <w:rPr>
          <w:rFonts w:eastAsiaTheme="minorEastAsia"/>
        </w:rPr>
        <w:t>fail</w:t>
      </w:r>
      <w:r w:rsidR="00DE3878">
        <w:rPr>
          <w:rFonts w:eastAsiaTheme="minorEastAsia"/>
        </w:rPr>
        <w:t>ed</w:t>
      </w:r>
      <w:r w:rsidR="00DE3878" w:rsidRPr="00981464">
        <w:rPr>
          <w:rFonts w:eastAsiaTheme="minorEastAsia"/>
        </w:rPr>
        <w:t xml:space="preserve"> to explore what sustainability means i</w:t>
      </w:r>
      <w:r w:rsidR="00DE3878">
        <w:rPr>
          <w:rFonts w:eastAsiaTheme="minorEastAsia"/>
        </w:rPr>
        <w:t>n the context of the initiative and to unpack what the key dimensions of sustainability are for the likely long</w:t>
      </w:r>
      <w:r>
        <w:rPr>
          <w:rFonts w:eastAsiaTheme="minorEastAsia"/>
        </w:rPr>
        <w:t>-</w:t>
      </w:r>
      <w:r w:rsidR="00DE3878">
        <w:rPr>
          <w:rFonts w:eastAsiaTheme="minorEastAsia"/>
        </w:rPr>
        <w:t xml:space="preserve">term success of </w:t>
      </w:r>
      <w:r w:rsidR="0030063F">
        <w:rPr>
          <w:rFonts w:eastAsiaTheme="minorEastAsia"/>
        </w:rPr>
        <w:t xml:space="preserve">the </w:t>
      </w:r>
      <w:r w:rsidR="00DE3878">
        <w:rPr>
          <w:rFonts w:eastAsiaTheme="minorEastAsia"/>
        </w:rPr>
        <w:t>initiative.</w:t>
      </w:r>
      <w:r w:rsidR="00A74814">
        <w:rPr>
          <w:rFonts w:eastAsiaTheme="minorEastAsia"/>
        </w:rPr>
        <w:t xml:space="preserve"> </w:t>
      </w:r>
      <w:r>
        <w:rPr>
          <w:rFonts w:eastAsiaTheme="minorEastAsia"/>
        </w:rPr>
        <w:t>A</w:t>
      </w:r>
      <w:r w:rsidR="00DE3878">
        <w:rPr>
          <w:rFonts w:eastAsiaTheme="minorEastAsia"/>
        </w:rPr>
        <w:t xml:space="preserve"> number of evaluations approached sustainability </w:t>
      </w:r>
      <w:r w:rsidR="004B2479">
        <w:rPr>
          <w:rFonts w:eastAsiaTheme="minorEastAsia"/>
        </w:rPr>
        <w:t xml:space="preserve">only </w:t>
      </w:r>
      <w:r w:rsidR="00DE3878">
        <w:rPr>
          <w:rFonts w:eastAsiaTheme="minorEastAsia"/>
        </w:rPr>
        <w:t xml:space="preserve">from the angle </w:t>
      </w:r>
      <w:r w:rsidR="00DE3878">
        <w:rPr>
          <w:rFonts w:eastAsiaTheme="minorEastAsia"/>
        </w:rPr>
        <w:lastRenderedPageBreak/>
        <w:t xml:space="preserve">of resourcing and failed to explore other </w:t>
      </w:r>
      <w:bookmarkEnd w:id="126"/>
      <w:bookmarkEnd w:id="127"/>
      <w:r w:rsidR="0030063F">
        <w:rPr>
          <w:rFonts w:eastAsiaTheme="minorEastAsia"/>
        </w:rPr>
        <w:t xml:space="preserve">aspects </w:t>
      </w:r>
      <w:r w:rsidR="00581BBF">
        <w:rPr>
          <w:rFonts w:eastAsiaTheme="minorEastAsia"/>
        </w:rPr>
        <w:t xml:space="preserve">such as levels of local ownership, </w:t>
      </w:r>
      <w:r w:rsidR="0030063F">
        <w:rPr>
          <w:rFonts w:eastAsiaTheme="minorEastAsia"/>
        </w:rPr>
        <w:t xml:space="preserve">and </w:t>
      </w:r>
      <w:r w:rsidR="00581BBF">
        <w:rPr>
          <w:rFonts w:eastAsiaTheme="minorEastAsia"/>
        </w:rPr>
        <w:t>integration with existing institutions and systems.</w:t>
      </w:r>
      <w:r w:rsidR="00A74814">
        <w:rPr>
          <w:rFonts w:eastAsiaTheme="minorEastAsia"/>
        </w:rPr>
        <w:t xml:space="preserve"> </w:t>
      </w:r>
    </w:p>
    <w:p w14:paraId="4BE9B57A" w14:textId="77777777" w:rsidR="0072363F" w:rsidRPr="00ED034B" w:rsidRDefault="007E7349" w:rsidP="00581BBF">
      <w:pPr>
        <w:pStyle w:val="Heading3"/>
      </w:pPr>
      <w:r>
        <w:t>Impact</w:t>
      </w:r>
    </w:p>
    <w:p w14:paraId="5FE3F4C4" w14:textId="703B5B4E" w:rsidR="00AD6433" w:rsidRDefault="00913D44" w:rsidP="0072363F">
      <w:r>
        <w:rPr>
          <w:rFonts w:eastAsiaTheme="minorEastAsia"/>
          <w:bCs/>
        </w:rPr>
        <w:t>I</w:t>
      </w:r>
      <w:r w:rsidR="0072363F" w:rsidRPr="00ED034B">
        <w:rPr>
          <w:rFonts w:eastAsiaTheme="minorEastAsia"/>
          <w:bCs/>
        </w:rPr>
        <w:t>nitiative impact</w:t>
      </w:r>
      <w:r w:rsidR="0072363F" w:rsidRPr="00545074">
        <w:rPr>
          <w:rFonts w:eastAsiaTheme="minorEastAsia"/>
        </w:rPr>
        <w:t xml:space="preserve"> </w:t>
      </w:r>
      <w:r w:rsidR="0072363F">
        <w:rPr>
          <w:rFonts w:eastAsiaTheme="minorEastAsia"/>
        </w:rPr>
        <w:t>was not well covered in the evaluation reports reviewed</w:t>
      </w:r>
      <w:r w:rsidR="00764328">
        <w:rPr>
          <w:rFonts w:eastAsiaTheme="minorEastAsia"/>
        </w:rPr>
        <w:t xml:space="preserve">: </w:t>
      </w:r>
      <w:r w:rsidR="0072363F">
        <w:rPr>
          <w:rFonts w:eastAsiaTheme="minorEastAsia"/>
        </w:rPr>
        <w:t xml:space="preserve">it </w:t>
      </w:r>
      <w:r w:rsidR="0072363F" w:rsidRPr="00545074">
        <w:rPr>
          <w:rFonts w:eastAsiaTheme="minorEastAsia"/>
        </w:rPr>
        <w:t>w</w:t>
      </w:r>
      <w:r w:rsidR="0072363F">
        <w:rPr>
          <w:rFonts w:eastAsiaTheme="minorEastAsia"/>
        </w:rPr>
        <w:t>as assessed in only 45 of the 87 evaluations (52</w:t>
      </w:r>
      <w:r w:rsidR="00764328">
        <w:rPr>
          <w:rFonts w:eastAsiaTheme="minorEastAsia"/>
        </w:rPr>
        <w:t> </w:t>
      </w:r>
      <w:r w:rsidR="0072363F">
        <w:rPr>
          <w:rFonts w:eastAsiaTheme="minorEastAsia"/>
        </w:rPr>
        <w:t>per cent</w:t>
      </w:r>
      <w:r w:rsidR="0072363F" w:rsidRPr="00545074">
        <w:rPr>
          <w:rFonts w:eastAsiaTheme="minorEastAsia"/>
        </w:rPr>
        <w:t>)</w:t>
      </w:r>
      <w:r w:rsidR="009A2513">
        <w:rPr>
          <w:rFonts w:ascii="Arial" w:eastAsiaTheme="minorEastAsia" w:hAnsi="Arial"/>
        </w:rPr>
        <w:t>—</w:t>
      </w:r>
      <w:r w:rsidR="0072363F" w:rsidRPr="00545074">
        <w:rPr>
          <w:rFonts w:eastAsiaTheme="minorEastAsia"/>
        </w:rPr>
        <w:t xml:space="preserve">the lowest </w:t>
      </w:r>
      <w:r w:rsidR="0072363F">
        <w:rPr>
          <w:rFonts w:eastAsiaTheme="minorEastAsia"/>
        </w:rPr>
        <w:t xml:space="preserve">coverage </w:t>
      </w:r>
      <w:r w:rsidR="0072363F" w:rsidRPr="00545074">
        <w:rPr>
          <w:rFonts w:eastAsiaTheme="minorEastAsia"/>
        </w:rPr>
        <w:t>of any criteri</w:t>
      </w:r>
      <w:r w:rsidR="00764328">
        <w:rPr>
          <w:rFonts w:eastAsiaTheme="minorEastAsia"/>
        </w:rPr>
        <w:t>on</w:t>
      </w:r>
      <w:r w:rsidR="0072363F" w:rsidRPr="00545074">
        <w:rPr>
          <w:rFonts w:eastAsiaTheme="minorEastAsia"/>
        </w:rPr>
        <w:t>.</w:t>
      </w:r>
      <w:r w:rsidR="00A74814">
        <w:rPr>
          <w:rFonts w:eastAsiaTheme="minorEastAsia"/>
        </w:rPr>
        <w:t xml:space="preserve"> </w:t>
      </w:r>
      <w:r w:rsidR="00764328">
        <w:rPr>
          <w:rFonts w:eastAsiaTheme="minorEastAsia"/>
        </w:rPr>
        <w:t>W</w:t>
      </w:r>
      <w:r w:rsidR="008E3798">
        <w:rPr>
          <w:rFonts w:eastAsiaTheme="minorEastAsia"/>
        </w:rPr>
        <w:t>here impact was not covered,</w:t>
      </w:r>
      <w:r w:rsidR="0072363F">
        <w:rPr>
          <w:rFonts w:eastAsiaTheme="minorEastAsia"/>
        </w:rPr>
        <w:t xml:space="preserve"> </w:t>
      </w:r>
      <w:r w:rsidR="003C6FF5">
        <w:rPr>
          <w:rFonts w:eastAsiaTheme="minorEastAsia"/>
        </w:rPr>
        <w:t>this was</w:t>
      </w:r>
      <w:r w:rsidR="00764328">
        <w:rPr>
          <w:rFonts w:eastAsiaTheme="minorEastAsia"/>
        </w:rPr>
        <w:t xml:space="preserve"> almost always</w:t>
      </w:r>
      <w:r w:rsidR="003C6FF5">
        <w:rPr>
          <w:rFonts w:eastAsiaTheme="minorEastAsia"/>
        </w:rPr>
        <w:t xml:space="preserve"> because it was not included in </w:t>
      </w:r>
      <w:r w:rsidR="0072363F">
        <w:rPr>
          <w:rFonts w:eastAsiaTheme="minorEastAsia"/>
        </w:rPr>
        <w:t>the</w:t>
      </w:r>
      <w:r w:rsidR="0072363F" w:rsidRPr="006A05EC">
        <w:rPr>
          <w:rFonts w:eastAsiaTheme="minorEastAsia"/>
        </w:rPr>
        <w:t xml:space="preserve"> </w:t>
      </w:r>
      <w:r w:rsidR="008E3798">
        <w:rPr>
          <w:rFonts w:eastAsiaTheme="minorEastAsia"/>
        </w:rPr>
        <w:t>terms of reference</w:t>
      </w:r>
      <w:r w:rsidR="00764328">
        <w:rPr>
          <w:rFonts w:eastAsiaTheme="minorEastAsia"/>
        </w:rPr>
        <w:t>.</w:t>
      </w:r>
      <w:r w:rsidR="00B854A3">
        <w:rPr>
          <w:rStyle w:val="FootnoteReference"/>
          <w:rFonts w:eastAsiaTheme="minorEastAsia"/>
        </w:rPr>
        <w:footnoteReference w:id="30"/>
      </w:r>
      <w:r w:rsidR="00A74814">
        <w:rPr>
          <w:rFonts w:eastAsiaTheme="minorEastAsia"/>
        </w:rPr>
        <w:t xml:space="preserve"> </w:t>
      </w:r>
      <w:r w:rsidR="00764328">
        <w:t>Of the</w:t>
      </w:r>
      <w:r w:rsidR="0072363F">
        <w:rPr>
          <w:rFonts w:eastAsiaTheme="minorEastAsia"/>
        </w:rPr>
        <w:t xml:space="preserve"> 45</w:t>
      </w:r>
      <w:r w:rsidR="0072363F" w:rsidRPr="006A05EC">
        <w:rPr>
          <w:rFonts w:eastAsiaTheme="minorEastAsia"/>
        </w:rPr>
        <w:t xml:space="preserve"> evaluations that did </w:t>
      </w:r>
      <w:r>
        <w:rPr>
          <w:rFonts w:eastAsiaTheme="minorEastAsia"/>
        </w:rPr>
        <w:t>consider</w:t>
      </w:r>
      <w:r w:rsidR="0072363F" w:rsidRPr="006A05EC">
        <w:rPr>
          <w:rFonts w:eastAsiaTheme="minorEastAsia"/>
        </w:rPr>
        <w:t xml:space="preserve"> impact</w:t>
      </w:r>
      <w:r w:rsidR="0072363F">
        <w:rPr>
          <w:rFonts w:eastAsiaTheme="minorEastAsia"/>
        </w:rPr>
        <w:t>,</w:t>
      </w:r>
      <w:r w:rsidR="0072363F" w:rsidRPr="006A05EC">
        <w:rPr>
          <w:rFonts w:eastAsiaTheme="minorEastAsia"/>
        </w:rPr>
        <w:t xml:space="preserve"> </w:t>
      </w:r>
      <w:r w:rsidR="008C1678">
        <w:rPr>
          <w:rFonts w:eastAsiaTheme="minorEastAsia"/>
        </w:rPr>
        <w:t xml:space="preserve">fewer </w:t>
      </w:r>
      <w:r w:rsidR="00644EAD">
        <w:rPr>
          <w:rFonts w:eastAsiaTheme="minorEastAsia"/>
        </w:rPr>
        <w:t>than half (</w:t>
      </w:r>
      <w:r w:rsidR="0072363F">
        <w:rPr>
          <w:rFonts w:eastAsiaTheme="minorEastAsia"/>
        </w:rPr>
        <w:t>21</w:t>
      </w:r>
      <w:r w:rsidR="00644EAD">
        <w:rPr>
          <w:rFonts w:eastAsiaTheme="minorEastAsia"/>
        </w:rPr>
        <w:t>)</w:t>
      </w:r>
      <w:r w:rsidR="0072363F">
        <w:rPr>
          <w:rFonts w:eastAsiaTheme="minorEastAsia"/>
        </w:rPr>
        <w:t xml:space="preserve"> </w:t>
      </w:r>
      <w:r w:rsidR="004027DE">
        <w:rPr>
          <w:rFonts w:eastAsiaTheme="minorEastAsia"/>
        </w:rPr>
        <w:t>had</w:t>
      </w:r>
      <w:r w:rsidR="00B854A3">
        <w:rPr>
          <w:rFonts w:eastAsiaTheme="minorEastAsia"/>
        </w:rPr>
        <w:t xml:space="preserve"> </w:t>
      </w:r>
      <w:r w:rsidR="0072363F">
        <w:rPr>
          <w:rFonts w:eastAsiaTheme="minorEastAsia"/>
        </w:rPr>
        <w:t>adequate</w:t>
      </w:r>
      <w:r w:rsidR="004027DE">
        <w:rPr>
          <w:rFonts w:eastAsiaTheme="minorEastAsia"/>
        </w:rPr>
        <w:t xml:space="preserve"> or better</w:t>
      </w:r>
      <w:r w:rsidR="0072363F">
        <w:rPr>
          <w:rFonts w:eastAsiaTheme="minorEastAsia"/>
        </w:rPr>
        <w:t xml:space="preserve"> </w:t>
      </w:r>
      <w:r w:rsidR="00B854A3">
        <w:rPr>
          <w:rFonts w:eastAsiaTheme="minorEastAsia"/>
        </w:rPr>
        <w:t>impact assessments</w:t>
      </w:r>
      <w:r w:rsidR="004027DE">
        <w:rPr>
          <w:rFonts w:eastAsiaTheme="minorEastAsia"/>
        </w:rPr>
        <w:t xml:space="preserve"> and there were </w:t>
      </w:r>
      <w:r w:rsidR="0072363F">
        <w:t xml:space="preserve">only </w:t>
      </w:r>
      <w:r w:rsidR="0072363F" w:rsidRPr="00954D94">
        <w:t xml:space="preserve">12 examples of </w:t>
      </w:r>
      <w:r w:rsidR="0072363F">
        <w:t>good</w:t>
      </w:r>
      <w:r w:rsidR="008C1678">
        <w:t>-</w:t>
      </w:r>
      <w:r w:rsidR="0072363F">
        <w:t>quality impact assessment</w:t>
      </w:r>
      <w:r w:rsidR="0072363F" w:rsidRPr="00954D94">
        <w:t xml:space="preserve">. </w:t>
      </w:r>
    </w:p>
    <w:p w14:paraId="4731EF2D" w14:textId="7C7C4DF0" w:rsidR="0072363F" w:rsidRDefault="00AD6433" w:rsidP="0072363F">
      <w:r>
        <w:rPr>
          <w:rFonts w:eastAsiaTheme="minorEastAsia"/>
        </w:rPr>
        <w:t>Th</w:t>
      </w:r>
      <w:r w:rsidR="003C6FF5">
        <w:rPr>
          <w:rFonts w:eastAsiaTheme="minorEastAsia"/>
        </w:rPr>
        <w:t>e</w:t>
      </w:r>
      <w:r>
        <w:rPr>
          <w:rFonts w:eastAsiaTheme="minorEastAsia"/>
        </w:rPr>
        <w:t xml:space="preserve"> low coverage and quality of impact assessments is to some extent related to the fact that</w:t>
      </w:r>
      <w:r w:rsidRPr="006A05EC">
        <w:rPr>
          <w:rFonts w:eastAsiaTheme="minorEastAsia"/>
        </w:rPr>
        <w:t xml:space="preserve"> </w:t>
      </w:r>
      <w:r>
        <w:rPr>
          <w:rFonts w:eastAsiaTheme="minorEastAsia"/>
        </w:rPr>
        <w:t>59</w:t>
      </w:r>
      <w:r w:rsidR="004027DE">
        <w:rPr>
          <w:rFonts w:eastAsiaTheme="minorEastAsia"/>
        </w:rPr>
        <w:t> </w:t>
      </w:r>
      <w:r>
        <w:rPr>
          <w:rFonts w:eastAsiaTheme="minorEastAsia"/>
        </w:rPr>
        <w:t xml:space="preserve">per cent of the </w:t>
      </w:r>
      <w:r w:rsidRPr="006A05EC">
        <w:rPr>
          <w:rFonts w:eastAsiaTheme="minorEastAsia"/>
        </w:rPr>
        <w:t>evaluations were</w:t>
      </w:r>
      <w:r w:rsidR="00B854A3">
        <w:rPr>
          <w:rFonts w:eastAsiaTheme="minorEastAsia"/>
        </w:rPr>
        <w:t xml:space="preserve"> independent</w:t>
      </w:r>
      <w:r w:rsidRPr="006A05EC">
        <w:rPr>
          <w:rFonts w:eastAsiaTheme="minorEastAsia"/>
        </w:rPr>
        <w:t xml:space="preserve"> </w:t>
      </w:r>
      <w:r>
        <w:rPr>
          <w:rFonts w:eastAsiaTheme="minorEastAsia"/>
        </w:rPr>
        <w:t>progress reports, while long-term impact is typically not apparent until well after the completion of an aid initiative.</w:t>
      </w:r>
      <w:r w:rsidR="00A74814">
        <w:rPr>
          <w:rFonts w:eastAsiaTheme="minorEastAsia"/>
        </w:rPr>
        <w:t xml:space="preserve"> </w:t>
      </w:r>
      <w:r w:rsidR="000B4F40">
        <w:t>T</w:t>
      </w:r>
      <w:r w:rsidR="00930DEE">
        <w:t>he</w:t>
      </w:r>
      <w:r>
        <w:t xml:space="preserve"> quality of impact assessments</w:t>
      </w:r>
      <w:r w:rsidR="000B4F40">
        <w:rPr>
          <w:rFonts w:ascii="Arial" w:eastAsiaTheme="minorEastAsia" w:hAnsi="Arial"/>
        </w:rPr>
        <w:t>—where included—</w:t>
      </w:r>
      <w:r w:rsidR="0072363F">
        <w:t xml:space="preserve">was better </w:t>
      </w:r>
      <w:r w:rsidR="004027DE">
        <w:t xml:space="preserve">in </w:t>
      </w:r>
      <w:r w:rsidR="00AD7BDA">
        <w:t>independent completion report</w:t>
      </w:r>
      <w:r w:rsidR="0072363F">
        <w:t>s (</w:t>
      </w:r>
      <w:r w:rsidR="00930DEE">
        <w:t>57</w:t>
      </w:r>
      <w:r w:rsidR="004027DE">
        <w:t> </w:t>
      </w:r>
      <w:r w:rsidR="0072363F">
        <w:t xml:space="preserve">per cent </w:t>
      </w:r>
      <w:r w:rsidR="00AE0B56">
        <w:t xml:space="preserve">were </w:t>
      </w:r>
      <w:r w:rsidR="0072363F">
        <w:t xml:space="preserve">adequate) </w:t>
      </w:r>
      <w:r w:rsidR="004027DE">
        <w:t>than in</w:t>
      </w:r>
      <w:r w:rsidR="0072363F">
        <w:t xml:space="preserve"> </w:t>
      </w:r>
      <w:r w:rsidR="00AD7BDA">
        <w:t>independent progress report</w:t>
      </w:r>
      <w:r w:rsidR="0072363F">
        <w:t>s (</w:t>
      </w:r>
      <w:r w:rsidR="00930DEE">
        <w:t>39</w:t>
      </w:r>
      <w:r w:rsidR="004027DE">
        <w:t> </w:t>
      </w:r>
      <w:r w:rsidR="0072363F">
        <w:t>per cent</w:t>
      </w:r>
      <w:r w:rsidR="00930DEE">
        <w:t xml:space="preserve"> </w:t>
      </w:r>
      <w:r>
        <w:t>were adequate</w:t>
      </w:r>
      <w:r w:rsidR="0072363F">
        <w:t>)</w:t>
      </w:r>
      <w:r>
        <w:t>.</w:t>
      </w:r>
      <w:r w:rsidR="00A74814">
        <w:t xml:space="preserve"> </w:t>
      </w:r>
      <w:r>
        <w:t xml:space="preserve">This </w:t>
      </w:r>
      <w:r w:rsidR="0072363F">
        <w:t>is understandable given</w:t>
      </w:r>
      <w:r w:rsidR="005A3740">
        <w:t xml:space="preserve"> that</w:t>
      </w:r>
      <w:r w:rsidR="0072363F">
        <w:t xml:space="preserve"> the purpose of </w:t>
      </w:r>
      <w:r w:rsidR="00AD7BDA">
        <w:t>independent progress report</w:t>
      </w:r>
      <w:r w:rsidR="0072363F">
        <w:t>s is rarely to measure impact but</w:t>
      </w:r>
      <w:r w:rsidR="005A3740">
        <w:t xml:space="preserve"> is</w:t>
      </w:r>
      <w:r w:rsidR="0072363F">
        <w:t xml:space="preserve"> rather to assess implementation</w:t>
      </w:r>
      <w:r w:rsidR="003C6FF5">
        <w:t xml:space="preserve"> progress</w:t>
      </w:r>
      <w:r w:rsidR="0072363F">
        <w:t>.</w:t>
      </w:r>
    </w:p>
    <w:p w14:paraId="61B1615F" w14:textId="17F33BEE" w:rsidR="00581BBF" w:rsidRDefault="00581BBF" w:rsidP="00581BBF">
      <w:r>
        <w:t xml:space="preserve">Under </w:t>
      </w:r>
      <w:r w:rsidRPr="006C4F7A">
        <w:t>DFAT</w:t>
      </w:r>
      <w:r w:rsidR="00744801" w:rsidRPr="00EF7AFB">
        <w:t>’</w:t>
      </w:r>
      <w:r w:rsidRPr="00D17FF1">
        <w:t>s</w:t>
      </w:r>
      <w:r>
        <w:t xml:space="preserve"> current evaluation planning and resourcing models for independent evaluation of aid initiatives, an evaluation is required only once </w:t>
      </w:r>
      <w:r w:rsidRPr="008614BF">
        <w:t>during the life of an initiative</w:t>
      </w:r>
      <w:r>
        <w:t xml:space="preserve"> rather than after its completion and the resources required to properly evaluate the long-term impact of an initiative are typically not readily available.</w:t>
      </w:r>
      <w:r w:rsidR="00A74814">
        <w:t xml:space="preserve"> </w:t>
      </w:r>
      <w:r>
        <w:t>Furthermore, it can be difficult to assess impact in the absence of strong performance data, including baseline data.</w:t>
      </w:r>
      <w:r w:rsidR="00A74814">
        <w:t xml:space="preserve"> </w:t>
      </w:r>
      <w:r>
        <w:t xml:space="preserve">The uneven coverage and quality of impact assessments suggests the need </w:t>
      </w:r>
      <w:r w:rsidR="00385138">
        <w:t xml:space="preserve">to </w:t>
      </w:r>
      <w:r>
        <w:t xml:space="preserve">review </w:t>
      </w:r>
      <w:r w:rsidR="00385138">
        <w:t xml:space="preserve">the </w:t>
      </w:r>
      <w:r>
        <w:t>guidelines on when impact should be evaluated and what aspects should be considered.</w:t>
      </w:r>
    </w:p>
    <w:p w14:paraId="6CF1530C" w14:textId="77777777" w:rsidR="00F3602E" w:rsidRPr="009219CE" w:rsidRDefault="007E7349" w:rsidP="00CE46F2">
      <w:pPr>
        <w:pStyle w:val="Heading3"/>
      </w:pPr>
      <w:r>
        <w:t>G</w:t>
      </w:r>
      <w:r w:rsidR="00F3602E" w:rsidRPr="009219CE">
        <w:t>ender equality</w:t>
      </w:r>
      <w:bookmarkEnd w:id="128"/>
      <w:bookmarkEnd w:id="129"/>
    </w:p>
    <w:p w14:paraId="010BF5E3" w14:textId="048FFF45" w:rsidR="00F3602E" w:rsidRPr="00526918" w:rsidRDefault="00AD3722" w:rsidP="00CE46F2">
      <w:r>
        <w:rPr>
          <w:rFonts w:eastAsiaTheme="minorEastAsia"/>
          <w:bCs/>
        </w:rPr>
        <w:t xml:space="preserve">We found that assessment of </w:t>
      </w:r>
      <w:r w:rsidRPr="00046D86">
        <w:rPr>
          <w:rFonts w:eastAsiaTheme="minorEastAsia"/>
        </w:rPr>
        <w:t xml:space="preserve">the extent to which the initiative </w:t>
      </w:r>
      <w:r w:rsidR="00A26421">
        <w:rPr>
          <w:rFonts w:eastAsiaTheme="minorEastAsia"/>
        </w:rPr>
        <w:t>promotes gender equality (i</w:t>
      </w:r>
      <w:r w:rsidR="00385138">
        <w:rPr>
          <w:rFonts w:eastAsiaTheme="minorEastAsia"/>
        </w:rPr>
        <w:t>.</w:t>
      </w:r>
      <w:r w:rsidR="00A26421">
        <w:rPr>
          <w:rFonts w:eastAsiaTheme="minorEastAsia"/>
        </w:rPr>
        <w:t xml:space="preserve">e. </w:t>
      </w:r>
      <w:r>
        <w:rPr>
          <w:rFonts w:eastAsiaTheme="minorEastAsia"/>
        </w:rPr>
        <w:t>develops</w:t>
      </w:r>
      <w:r w:rsidRPr="00046D86">
        <w:rPr>
          <w:rFonts w:eastAsiaTheme="minorEastAsia"/>
        </w:rPr>
        <w:t xml:space="preserve"> </w:t>
      </w:r>
      <w:r>
        <w:rPr>
          <w:rFonts w:eastAsiaTheme="minorEastAsia"/>
        </w:rPr>
        <w:t xml:space="preserve">and implements </w:t>
      </w:r>
      <w:r w:rsidRPr="00046D86">
        <w:rPr>
          <w:rFonts w:eastAsiaTheme="minorEastAsia"/>
        </w:rPr>
        <w:t>appropriate and effective strategies to advance gender equality and promote the empowerment of women and</w:t>
      </w:r>
      <w:r>
        <w:rPr>
          <w:rFonts w:eastAsiaTheme="minorEastAsia"/>
        </w:rPr>
        <w:t xml:space="preserve"> girls</w:t>
      </w:r>
      <w:r w:rsidR="00A26421">
        <w:rPr>
          <w:rFonts w:eastAsiaTheme="minorEastAsia"/>
        </w:rPr>
        <w:t>)</w:t>
      </w:r>
      <w:r>
        <w:rPr>
          <w:rFonts w:eastAsiaTheme="minorEastAsia"/>
        </w:rPr>
        <w:t xml:space="preserve"> was adequate in only 57</w:t>
      </w:r>
      <w:r w:rsidR="00385138">
        <w:rPr>
          <w:rFonts w:eastAsiaTheme="minorEastAsia"/>
        </w:rPr>
        <w:t> </w:t>
      </w:r>
      <w:r>
        <w:rPr>
          <w:rFonts w:eastAsiaTheme="minorEastAsia"/>
        </w:rPr>
        <w:t>per cent of the 63 evaluations where this was assessed.</w:t>
      </w:r>
      <w:r w:rsidR="00A74814">
        <w:rPr>
          <w:rFonts w:eastAsiaTheme="minorEastAsia"/>
        </w:rPr>
        <w:t xml:space="preserve"> </w:t>
      </w:r>
      <w:r w:rsidR="00F3602E">
        <w:rPr>
          <w:rFonts w:eastAsiaTheme="minorEastAsia"/>
        </w:rPr>
        <w:t xml:space="preserve">In the subset of evaluations where the assessment </w:t>
      </w:r>
      <w:r w:rsidR="00385138">
        <w:rPr>
          <w:rFonts w:eastAsiaTheme="minorEastAsia"/>
        </w:rPr>
        <w:t>was</w:t>
      </w:r>
      <w:r w:rsidR="00F3602E">
        <w:rPr>
          <w:rFonts w:eastAsiaTheme="minorEastAsia"/>
        </w:rPr>
        <w:t xml:space="preserve"> good (24</w:t>
      </w:r>
      <w:r w:rsidR="004C6F11">
        <w:rPr>
          <w:rFonts w:eastAsiaTheme="minorEastAsia"/>
        </w:rPr>
        <w:t xml:space="preserve"> of </w:t>
      </w:r>
      <w:r w:rsidR="00F3602E">
        <w:rPr>
          <w:rFonts w:eastAsiaTheme="minorEastAsia"/>
        </w:rPr>
        <w:t>63</w:t>
      </w:r>
      <w:r w:rsidR="004C6F11">
        <w:rPr>
          <w:rFonts w:eastAsiaTheme="minorEastAsia"/>
        </w:rPr>
        <w:t xml:space="preserve"> evaluation reports</w:t>
      </w:r>
      <w:r w:rsidR="00F3602E">
        <w:rPr>
          <w:rFonts w:eastAsiaTheme="minorEastAsia"/>
        </w:rPr>
        <w:t xml:space="preserve">), </w:t>
      </w:r>
      <w:r w:rsidR="00F3602E" w:rsidRPr="00046D86">
        <w:rPr>
          <w:rFonts w:eastAsiaTheme="minorEastAsia"/>
        </w:rPr>
        <w:t xml:space="preserve">gender equality </w:t>
      </w:r>
      <w:r w:rsidR="00F3602E">
        <w:rPr>
          <w:rFonts w:eastAsiaTheme="minorEastAsia"/>
        </w:rPr>
        <w:t>wa</w:t>
      </w:r>
      <w:r w:rsidR="00F3602E" w:rsidRPr="00046D86">
        <w:rPr>
          <w:rFonts w:eastAsiaTheme="minorEastAsia"/>
        </w:rPr>
        <w:t xml:space="preserve">s usually seen as central to the evaluation and plenty of evidence </w:t>
      </w:r>
      <w:r w:rsidR="00F3602E">
        <w:rPr>
          <w:rFonts w:eastAsiaTheme="minorEastAsia"/>
        </w:rPr>
        <w:t>wa</w:t>
      </w:r>
      <w:r w:rsidR="00F3602E" w:rsidRPr="00046D86">
        <w:rPr>
          <w:rFonts w:eastAsiaTheme="minorEastAsia"/>
        </w:rPr>
        <w:t>s presented.</w:t>
      </w:r>
      <w:r w:rsidR="00A74814">
        <w:rPr>
          <w:rFonts w:eastAsiaTheme="minorEastAsia"/>
        </w:rPr>
        <w:t xml:space="preserve"> </w:t>
      </w:r>
      <w:r w:rsidR="00F3602E">
        <w:rPr>
          <w:rFonts w:eastAsiaTheme="minorEastAsia"/>
        </w:rPr>
        <w:t>For</w:t>
      </w:r>
      <w:r w:rsidR="00F3602E" w:rsidRPr="00046D86">
        <w:rPr>
          <w:rFonts w:eastAsiaTheme="minorEastAsia"/>
        </w:rPr>
        <w:t xml:space="preserve"> the 4</w:t>
      </w:r>
      <w:r w:rsidR="00F3602E">
        <w:rPr>
          <w:rFonts w:eastAsiaTheme="minorEastAsia"/>
        </w:rPr>
        <w:t>3</w:t>
      </w:r>
      <w:r w:rsidR="00385138">
        <w:rPr>
          <w:rFonts w:eastAsiaTheme="minorEastAsia"/>
        </w:rPr>
        <w:t> </w:t>
      </w:r>
      <w:r w:rsidR="004C6F11">
        <w:rPr>
          <w:rFonts w:eastAsiaTheme="minorEastAsia"/>
        </w:rPr>
        <w:t xml:space="preserve">per cent </w:t>
      </w:r>
      <w:r w:rsidR="00F3602E">
        <w:rPr>
          <w:rFonts w:eastAsiaTheme="minorEastAsia"/>
        </w:rPr>
        <w:t>of gender assessments found to be inadequate</w:t>
      </w:r>
      <w:r w:rsidR="00F3602E" w:rsidRPr="00046D86">
        <w:rPr>
          <w:rFonts w:eastAsiaTheme="minorEastAsia"/>
        </w:rPr>
        <w:t xml:space="preserve">, discussion of gender </w:t>
      </w:r>
      <w:r w:rsidR="00F3602E">
        <w:rPr>
          <w:rFonts w:eastAsiaTheme="minorEastAsia"/>
        </w:rPr>
        <w:t>wa</w:t>
      </w:r>
      <w:r w:rsidR="00F3602E" w:rsidRPr="00046D86">
        <w:rPr>
          <w:rFonts w:eastAsiaTheme="minorEastAsia"/>
        </w:rPr>
        <w:t>s often superficial</w:t>
      </w:r>
      <w:r w:rsidR="00385138">
        <w:rPr>
          <w:rFonts w:eastAsiaTheme="minorEastAsia"/>
        </w:rPr>
        <w:t>,</w:t>
      </w:r>
      <w:r w:rsidR="00F3602E" w:rsidRPr="00046D86">
        <w:rPr>
          <w:rFonts w:eastAsiaTheme="minorEastAsia"/>
        </w:rPr>
        <w:t xml:space="preserve"> with only a brief paragraph devoted to th</w:t>
      </w:r>
      <w:r w:rsidR="00F3602E">
        <w:rPr>
          <w:rFonts w:eastAsiaTheme="minorEastAsia"/>
        </w:rPr>
        <w:t>e</w:t>
      </w:r>
      <w:r w:rsidR="00F3602E" w:rsidRPr="00046D86">
        <w:rPr>
          <w:rFonts w:eastAsiaTheme="minorEastAsia"/>
        </w:rPr>
        <w:t xml:space="preserve"> topic.</w:t>
      </w:r>
      <w:r w:rsidR="00A74814">
        <w:rPr>
          <w:rFonts w:eastAsiaTheme="minorEastAsia"/>
        </w:rPr>
        <w:t xml:space="preserve"> </w:t>
      </w:r>
      <w:r w:rsidR="00F3602E">
        <w:rPr>
          <w:rFonts w:eastAsiaTheme="minorEastAsia"/>
        </w:rPr>
        <w:t>S</w:t>
      </w:r>
      <w:r w:rsidR="00F3602E" w:rsidRPr="00046D86">
        <w:rPr>
          <w:rFonts w:eastAsiaTheme="minorEastAsia"/>
        </w:rPr>
        <w:t>ome reports simply mention</w:t>
      </w:r>
      <w:r w:rsidR="00F3602E">
        <w:rPr>
          <w:rFonts w:eastAsiaTheme="minorEastAsia"/>
        </w:rPr>
        <w:t>ed</w:t>
      </w:r>
      <w:r w:rsidR="00F3602E" w:rsidRPr="00046D86">
        <w:rPr>
          <w:rFonts w:eastAsiaTheme="minorEastAsia"/>
        </w:rPr>
        <w:t xml:space="preserve"> the number of women reached by a particular initiative and</w:t>
      </w:r>
      <w:r w:rsidR="00385138">
        <w:rPr>
          <w:rFonts w:eastAsiaTheme="minorEastAsia"/>
        </w:rPr>
        <w:t xml:space="preserve"> did not discuss</w:t>
      </w:r>
      <w:r w:rsidR="00F3602E" w:rsidRPr="00046D86">
        <w:rPr>
          <w:rFonts w:eastAsiaTheme="minorEastAsia"/>
        </w:rPr>
        <w:t xml:space="preserve"> issues of gender equality and empowerment.</w:t>
      </w:r>
      <w:r w:rsidR="00A74814">
        <w:rPr>
          <w:rFonts w:eastAsiaTheme="minorEastAsia"/>
        </w:rPr>
        <w:t xml:space="preserve"> </w:t>
      </w:r>
    </w:p>
    <w:p w14:paraId="42E4C920" w14:textId="77777777" w:rsidR="00F3602E" w:rsidRPr="001E1CA2" w:rsidRDefault="00F3602E" w:rsidP="00744D9B">
      <w:pPr>
        <w:pStyle w:val="Heading3"/>
      </w:pPr>
      <w:bookmarkStart w:id="130" w:name="_Toc372723832"/>
      <w:bookmarkStart w:id="131" w:name="_Toc378059987"/>
      <w:r w:rsidRPr="001E1CA2">
        <w:t xml:space="preserve">Robustness of </w:t>
      </w:r>
      <w:r w:rsidR="00744D9B">
        <w:t>numerical</w:t>
      </w:r>
      <w:r w:rsidR="007E7349" w:rsidRPr="001E1CA2">
        <w:t xml:space="preserve"> </w:t>
      </w:r>
      <w:bookmarkEnd w:id="130"/>
      <w:bookmarkEnd w:id="131"/>
      <w:r w:rsidR="007E7349">
        <w:t>r</w:t>
      </w:r>
      <w:r w:rsidR="007E7349" w:rsidRPr="001E1CA2">
        <w:t>atings</w:t>
      </w:r>
      <w:r w:rsidR="007E7349">
        <w:t xml:space="preserve"> </w:t>
      </w:r>
    </w:p>
    <w:p w14:paraId="5E04AB4A" w14:textId="36602AA5" w:rsidR="00F3602E" w:rsidRDefault="00F3602E" w:rsidP="00AA3359">
      <w:r>
        <w:t>As well as looking at the evaluations</w:t>
      </w:r>
      <w:r w:rsidR="00744801">
        <w:t>’</w:t>
      </w:r>
      <w:r>
        <w:t xml:space="preserve"> written assessments against </w:t>
      </w:r>
      <w:r w:rsidR="00DC38C4">
        <w:t>DFAT</w:t>
      </w:r>
      <w:r w:rsidR="00744801">
        <w:t>’</w:t>
      </w:r>
      <w:r w:rsidR="00DC38C4">
        <w:t>s standard quality criteria for Australian aid</w:t>
      </w:r>
      <w:r>
        <w:t>, our review also checked the robustness of the numerical ratings</w:t>
      </w:r>
      <w:r w:rsidR="00C55EF9">
        <w:t xml:space="preserve"> against </w:t>
      </w:r>
      <w:r w:rsidR="00DC38C4">
        <w:t>the same criteria</w:t>
      </w:r>
      <w:r>
        <w:t xml:space="preserve">, where </w:t>
      </w:r>
      <w:r w:rsidR="002C429D">
        <w:t xml:space="preserve">such ratings </w:t>
      </w:r>
      <w:r>
        <w:t>were provided.</w:t>
      </w:r>
      <w:r w:rsidR="00A74814">
        <w:t xml:space="preserve"> </w:t>
      </w:r>
      <w:r w:rsidR="00DC38C4">
        <w:t>The i</w:t>
      </w:r>
      <w:r w:rsidR="00744D9B">
        <w:t>nclu</w:t>
      </w:r>
      <w:r w:rsidR="00DC38C4">
        <w:t>sion of</w:t>
      </w:r>
      <w:r w:rsidR="00744D9B">
        <w:t xml:space="preserve"> </w:t>
      </w:r>
      <w:r w:rsidR="00B540F8">
        <w:t xml:space="preserve">numerical ratings in evaluation reports was </w:t>
      </w:r>
      <w:r w:rsidR="00DF0A75">
        <w:t>expected</w:t>
      </w:r>
      <w:r w:rsidR="00B540F8">
        <w:t xml:space="preserve"> under guidelines in effect in 2012</w:t>
      </w:r>
      <w:r w:rsidR="00CA6D90">
        <w:t>;</w:t>
      </w:r>
      <w:r w:rsidR="00744D9B">
        <w:t xml:space="preserve"> </w:t>
      </w:r>
      <w:r w:rsidR="00DC38C4">
        <w:t>h</w:t>
      </w:r>
      <w:r w:rsidR="00744D9B">
        <w:t>owever</w:t>
      </w:r>
      <w:r w:rsidR="00CA6D90">
        <w:t>,</w:t>
      </w:r>
      <w:r w:rsidR="00DC38C4">
        <w:t xml:space="preserve"> </w:t>
      </w:r>
      <w:r w:rsidR="004906FB">
        <w:t>fewer than half</w:t>
      </w:r>
      <w:r>
        <w:t xml:space="preserve"> of the 87 evaluations </w:t>
      </w:r>
      <w:r w:rsidR="00DC38C4">
        <w:t xml:space="preserve">actually </w:t>
      </w:r>
      <w:r>
        <w:t>provided numerical ratings</w:t>
      </w:r>
      <w:r w:rsidR="00DC38C4">
        <w:t xml:space="preserve"> (as discussed in section</w:t>
      </w:r>
      <w:r w:rsidR="00C62448">
        <w:t xml:space="preserve"> </w:t>
      </w:r>
      <w:r w:rsidR="00C62448">
        <w:fldChar w:fldCharType="begin"/>
      </w:r>
      <w:r w:rsidR="00C62448">
        <w:instrText xml:space="preserve"> REF _Ref379293823 \r \h </w:instrText>
      </w:r>
      <w:r w:rsidR="00C62448">
        <w:fldChar w:fldCharType="separate"/>
      </w:r>
      <w:r w:rsidR="00147362">
        <w:t>3.2</w:t>
      </w:r>
      <w:r w:rsidR="00C62448">
        <w:fldChar w:fldCharType="end"/>
      </w:r>
      <w:r w:rsidR="00DC38C4">
        <w:t>)</w:t>
      </w:r>
      <w:r>
        <w:t>.</w:t>
      </w:r>
      <w:r w:rsidR="00A74814">
        <w:t xml:space="preserve"> </w:t>
      </w:r>
      <w:r>
        <w:t xml:space="preserve">For those evaluations that </w:t>
      </w:r>
      <w:r w:rsidR="00DC38C4">
        <w:t xml:space="preserve">did </w:t>
      </w:r>
      <w:r>
        <w:t xml:space="preserve">provide </w:t>
      </w:r>
      <w:r w:rsidR="00DC38C4">
        <w:t xml:space="preserve">numerical </w:t>
      </w:r>
      <w:r>
        <w:t xml:space="preserve">ratings, we checked the robustness of the rating by comparing the evidence </w:t>
      </w:r>
      <w:r>
        <w:lastRenderedPageBreak/>
        <w:t xml:space="preserve">presented in the report against the rating. If the evidence substantiated the rating awarded by the evaluation team then it was marked </w:t>
      </w:r>
      <w:r w:rsidR="00744801">
        <w:t>‘</w:t>
      </w:r>
      <w:r>
        <w:t>robust</w:t>
      </w:r>
      <w:r w:rsidR="00744801">
        <w:t>’</w:t>
      </w:r>
      <w:r>
        <w:t xml:space="preserve">. If the evidence was insufficient then it was marked </w:t>
      </w:r>
      <w:r w:rsidR="00744801">
        <w:t>‘</w:t>
      </w:r>
      <w:r>
        <w:t>not robust</w:t>
      </w:r>
      <w:r w:rsidR="00744801">
        <w:t>’</w:t>
      </w:r>
      <w:r>
        <w:t>. If the evidence appeared to merit a different rating, either higher or lower, it was marked accordingly.</w:t>
      </w:r>
      <w:r w:rsidR="00A74814">
        <w:t xml:space="preserve"> </w:t>
      </w:r>
      <w:r w:rsidR="00AA3359" w:rsidRPr="00E37A75">
        <w:t xml:space="preserve">The results are presented in </w:t>
      </w:r>
      <w:r w:rsidR="00AA3359">
        <w:fldChar w:fldCharType="begin"/>
      </w:r>
      <w:r w:rsidR="00AA3359">
        <w:instrText xml:space="preserve"> REF _Ref370902828 \h  \* MERGEFORMAT </w:instrText>
      </w:r>
      <w:r w:rsidR="00AA3359">
        <w:fldChar w:fldCharType="separate"/>
      </w:r>
      <w:r w:rsidR="00147362" w:rsidRPr="00571D0A">
        <w:t xml:space="preserve">Figure </w:t>
      </w:r>
      <w:r w:rsidR="00147362">
        <w:rPr>
          <w:noProof/>
        </w:rPr>
        <w:t>4</w:t>
      </w:r>
      <w:r w:rsidR="00AA3359">
        <w:fldChar w:fldCharType="end"/>
      </w:r>
      <w:r w:rsidR="00AA3359" w:rsidRPr="00E37A75">
        <w:t>.</w:t>
      </w:r>
      <w:r w:rsidR="00A74814">
        <w:t xml:space="preserve"> </w:t>
      </w:r>
    </w:p>
    <w:p w14:paraId="742C12F1" w14:textId="28BE0705" w:rsidR="00F3602E" w:rsidRPr="00E37A75" w:rsidRDefault="002C429D" w:rsidP="00AA3359">
      <w:r>
        <w:t>O</w:t>
      </w:r>
      <w:r w:rsidR="00F3602E" w:rsidRPr="00E37A75">
        <w:t xml:space="preserve">verall, 66 per cent of the ratings for relevance, effectiveness, efficiency, sustainability, and gender equality were robust. </w:t>
      </w:r>
      <w:r w:rsidR="00F3602E">
        <w:t>(The robustness of ratings for M&amp;E was not checked</w:t>
      </w:r>
      <w:r w:rsidR="00CA6D90">
        <w:t>.</w:t>
      </w:r>
      <w:r w:rsidR="00F3602E">
        <w:t xml:space="preserve"> </w:t>
      </w:r>
      <w:r w:rsidR="00CA6D90">
        <w:t>I</w:t>
      </w:r>
      <w:r w:rsidR="00F3602E">
        <w:t>mpact is discussed separately below.)</w:t>
      </w:r>
      <w:r w:rsidR="00F3602E" w:rsidRPr="00E37A75">
        <w:t xml:space="preserve"> The most robust </w:t>
      </w:r>
      <w:r w:rsidR="00F3602E">
        <w:t>ratings were for</w:t>
      </w:r>
      <w:r w:rsidR="00F3602E" w:rsidRPr="00E37A75">
        <w:t xml:space="preserve"> </w:t>
      </w:r>
      <w:r w:rsidR="00F3602E" w:rsidRPr="009219CE">
        <w:t>relevance</w:t>
      </w:r>
      <w:r w:rsidR="00F3602E">
        <w:t>, with 74</w:t>
      </w:r>
      <w:r w:rsidR="00CA6D90">
        <w:t> </w:t>
      </w:r>
      <w:r w:rsidR="00832D6D">
        <w:t xml:space="preserve">per cent </w:t>
      </w:r>
      <w:r w:rsidR="00F3602E">
        <w:t>of ratings found to be robust.</w:t>
      </w:r>
      <w:r w:rsidR="00A74814">
        <w:t xml:space="preserve"> </w:t>
      </w:r>
      <w:r w:rsidR="00F3602E">
        <w:t>Ratings against each of t</w:t>
      </w:r>
      <w:r w:rsidR="00F3602E" w:rsidRPr="00E37A75">
        <w:t>he</w:t>
      </w:r>
      <w:r w:rsidR="00F3602E">
        <w:t xml:space="preserve"> other</w:t>
      </w:r>
      <w:r w:rsidR="00F3602E" w:rsidRPr="00E37A75">
        <w:t xml:space="preserve"> </w:t>
      </w:r>
      <w:r w:rsidR="00F3602E">
        <w:t xml:space="preserve">four </w:t>
      </w:r>
      <w:r w:rsidR="00F3602E" w:rsidRPr="00E37A75">
        <w:t xml:space="preserve">criteria were robust </w:t>
      </w:r>
      <w:r w:rsidR="005B7811">
        <w:t>in</w:t>
      </w:r>
      <w:r w:rsidR="005B7811" w:rsidRPr="00E37A75">
        <w:t xml:space="preserve"> </w:t>
      </w:r>
      <w:r w:rsidR="005B7811">
        <w:t>at least</w:t>
      </w:r>
      <w:r w:rsidR="00F3602E" w:rsidRPr="00E37A75">
        <w:t xml:space="preserve"> 60</w:t>
      </w:r>
      <w:r w:rsidR="00CA6D90">
        <w:t> </w:t>
      </w:r>
      <w:r w:rsidR="00832D6D">
        <w:t>per cent</w:t>
      </w:r>
      <w:r w:rsidR="00832D6D" w:rsidRPr="00E37A75">
        <w:t xml:space="preserve"> </w:t>
      </w:r>
      <w:r w:rsidR="00F3602E" w:rsidRPr="00E37A75">
        <w:t>of cases. In most cases</w:t>
      </w:r>
      <w:r w:rsidR="00F3602E">
        <w:t xml:space="preserve"> where</w:t>
      </w:r>
      <w:r w:rsidR="00F3602E" w:rsidRPr="00E37A75">
        <w:t xml:space="preserve"> ratings were not robust it was usually because they were too high based on the evidence presented. This indicates the need for </w:t>
      </w:r>
      <w:r w:rsidR="00F3602E">
        <w:t>evaluators</w:t>
      </w:r>
      <w:r w:rsidR="00F3602E" w:rsidRPr="00E37A75">
        <w:t xml:space="preserve"> to </w:t>
      </w:r>
      <w:r w:rsidR="00AA3359">
        <w:t>en</w:t>
      </w:r>
      <w:r w:rsidR="00F3602E" w:rsidRPr="00E37A75">
        <w:t>sure that they are not overrating</w:t>
      </w:r>
      <w:r w:rsidR="005B7811">
        <w:t xml:space="preserve"> initiative performance</w:t>
      </w:r>
      <w:r w:rsidR="00F3602E" w:rsidRPr="00E37A75">
        <w:t xml:space="preserve"> in light of the actual evidence to hand. </w:t>
      </w:r>
    </w:p>
    <w:p w14:paraId="59DF9851" w14:textId="2E8D1589" w:rsidR="00F3602E" w:rsidRDefault="00F3602E" w:rsidP="00AA3359">
      <w:r>
        <w:t xml:space="preserve">Only nine of the 87 evaluations provided a </w:t>
      </w:r>
      <w:r w:rsidR="006027E4">
        <w:t xml:space="preserve">numerical </w:t>
      </w:r>
      <w:r>
        <w:t xml:space="preserve">rating for impact, and we assessed </w:t>
      </w:r>
      <w:r w:rsidRPr="00E37A75">
        <w:t>only</w:t>
      </w:r>
      <w:r>
        <w:t xml:space="preserve"> four of these as robust.</w:t>
      </w:r>
      <w:r w:rsidR="00A74814">
        <w:t xml:space="preserve"> </w:t>
      </w:r>
      <w:r>
        <w:t>While the sample size is too small to make any generalisations, this seem</w:t>
      </w:r>
      <w:r w:rsidR="006027E4">
        <w:t>s</w:t>
      </w:r>
      <w:r>
        <w:t xml:space="preserve"> </w:t>
      </w:r>
      <w:r w:rsidR="006027E4">
        <w:t xml:space="preserve">consistent with </w:t>
      </w:r>
      <w:r>
        <w:t>our findings on the poor coverage and quality of impact assessments.</w:t>
      </w:r>
    </w:p>
    <w:p w14:paraId="71E34380" w14:textId="15F234DB" w:rsidR="00F3602E" w:rsidRPr="00571D0A" w:rsidRDefault="00F3602E" w:rsidP="00E164A7">
      <w:pPr>
        <w:pStyle w:val="Figuretitle"/>
      </w:pPr>
      <w:bookmarkStart w:id="132" w:name="_Ref370902828"/>
      <w:bookmarkStart w:id="133" w:name="_Toc372125031"/>
      <w:bookmarkStart w:id="134" w:name="_Toc372738078"/>
      <w:r w:rsidRPr="00571D0A">
        <w:t xml:space="preserve">Figure </w:t>
      </w:r>
      <w:r w:rsidR="007C3830">
        <w:fldChar w:fldCharType="begin"/>
      </w:r>
      <w:r w:rsidR="007C3830">
        <w:instrText xml:space="preserve"> SEQ Figure \* ARABIC </w:instrText>
      </w:r>
      <w:r w:rsidR="007C3830">
        <w:fldChar w:fldCharType="separate"/>
      </w:r>
      <w:r w:rsidR="00147362">
        <w:rPr>
          <w:noProof/>
        </w:rPr>
        <w:t>4</w:t>
      </w:r>
      <w:r w:rsidR="007C3830">
        <w:rPr>
          <w:noProof/>
        </w:rPr>
        <w:fldChar w:fldCharType="end"/>
      </w:r>
      <w:bookmarkEnd w:id="132"/>
      <w:r w:rsidRPr="00571D0A">
        <w:tab/>
        <w:t xml:space="preserve">Robustness of </w:t>
      </w:r>
      <w:r w:rsidR="00DC38C4" w:rsidRPr="00571D0A">
        <w:t>evaluations</w:t>
      </w:r>
      <w:r w:rsidR="00744801" w:rsidRPr="00571D0A">
        <w:t>’</w:t>
      </w:r>
      <w:r w:rsidR="00DC38C4" w:rsidRPr="00571D0A">
        <w:t xml:space="preserve"> numerical </w:t>
      </w:r>
      <w:r w:rsidRPr="00571D0A">
        <w:t>ratings against</w:t>
      </w:r>
      <w:r w:rsidR="00832D6D" w:rsidRPr="00571D0A">
        <w:t xml:space="preserve"> standard</w:t>
      </w:r>
      <w:r w:rsidRPr="00571D0A">
        <w:t xml:space="preserve"> </w:t>
      </w:r>
      <w:r w:rsidR="00DC38C4" w:rsidRPr="00571D0A">
        <w:t xml:space="preserve">Australian aid </w:t>
      </w:r>
      <w:r w:rsidRPr="00571D0A">
        <w:t>quality criteria</w:t>
      </w:r>
      <w:bookmarkEnd w:id="133"/>
      <w:bookmarkEnd w:id="134"/>
      <w:r w:rsidRPr="00571D0A">
        <w:t xml:space="preserve"> </w:t>
      </w:r>
    </w:p>
    <w:tbl>
      <w:tblPr>
        <w:tblW w:w="5000" w:type="pct"/>
        <w:tblBorders>
          <w:top w:val="single" w:sz="6" w:space="0" w:color="FFFFFF" w:themeColor="background1"/>
          <w:bottom w:val="single" w:sz="4" w:space="0" w:color="31849B" w:themeColor="accent5" w:themeShade="BF"/>
          <w:insideH w:val="single" w:sz="4" w:space="0" w:color="31849B" w:themeColor="accent5" w:themeShade="BF"/>
        </w:tblBorders>
        <w:tblLook w:val="0000" w:firstRow="0" w:lastRow="0" w:firstColumn="0" w:lastColumn="0" w:noHBand="0" w:noVBand="0"/>
      </w:tblPr>
      <w:tblGrid>
        <w:gridCol w:w="2069"/>
        <w:gridCol w:w="1206"/>
        <w:gridCol w:w="1506"/>
        <w:gridCol w:w="1161"/>
        <w:gridCol w:w="861"/>
        <w:gridCol w:w="1517"/>
        <w:gridCol w:w="917"/>
      </w:tblGrid>
      <w:tr w:rsidR="00F3602E" w:rsidRPr="00F133CB" w14:paraId="187731C8" w14:textId="77777777" w:rsidTr="00B46ACA">
        <w:trPr>
          <w:cantSplit/>
          <w:trHeight w:val="290"/>
        </w:trPr>
        <w:tc>
          <w:tcPr>
            <w:tcW w:w="1374" w:type="pct"/>
            <w:tcBorders>
              <w:bottom w:val="single" w:sz="4" w:space="0" w:color="31849B" w:themeColor="accent5" w:themeShade="BF"/>
            </w:tcBorders>
            <w:shd w:val="clear" w:color="auto" w:fill="007FAD"/>
            <w:vAlign w:val="center"/>
          </w:tcPr>
          <w:p w14:paraId="36A16ACE" w14:textId="77777777" w:rsidR="00F3602E" w:rsidRPr="00E164A7" w:rsidRDefault="00F3602E" w:rsidP="00E164A7">
            <w:pPr>
              <w:pStyle w:val="TableHeading21"/>
              <w:rPr>
                <w:i w:val="0"/>
              </w:rPr>
            </w:pPr>
          </w:p>
        </w:tc>
        <w:tc>
          <w:tcPr>
            <w:tcW w:w="586" w:type="pct"/>
            <w:tcBorders>
              <w:bottom w:val="single" w:sz="4" w:space="0" w:color="31849B" w:themeColor="accent5" w:themeShade="BF"/>
            </w:tcBorders>
            <w:shd w:val="clear" w:color="auto" w:fill="007FAD"/>
            <w:vAlign w:val="center"/>
          </w:tcPr>
          <w:p w14:paraId="698B2A7D" w14:textId="77777777" w:rsidR="00F3602E" w:rsidRPr="00E164A7" w:rsidRDefault="00F3602E" w:rsidP="00E164A7">
            <w:pPr>
              <w:pStyle w:val="TableHeading21"/>
              <w:rPr>
                <w:i w:val="0"/>
              </w:rPr>
            </w:pPr>
            <w:r w:rsidRPr="00E164A7">
              <w:rPr>
                <w:i w:val="0"/>
              </w:rPr>
              <w:t>Relevance</w:t>
            </w:r>
          </w:p>
        </w:tc>
        <w:tc>
          <w:tcPr>
            <w:tcW w:w="678" w:type="pct"/>
            <w:tcBorders>
              <w:bottom w:val="single" w:sz="4" w:space="0" w:color="31849B" w:themeColor="accent5" w:themeShade="BF"/>
            </w:tcBorders>
            <w:shd w:val="clear" w:color="auto" w:fill="007FAD"/>
            <w:vAlign w:val="center"/>
          </w:tcPr>
          <w:p w14:paraId="1AE9EC75" w14:textId="77777777" w:rsidR="00F3602E" w:rsidRPr="00E164A7" w:rsidRDefault="00F3602E" w:rsidP="00E164A7">
            <w:pPr>
              <w:pStyle w:val="TableHeading21"/>
              <w:rPr>
                <w:i w:val="0"/>
              </w:rPr>
            </w:pPr>
            <w:r w:rsidRPr="00E164A7">
              <w:rPr>
                <w:i w:val="0"/>
              </w:rPr>
              <w:t>Effectiveness</w:t>
            </w:r>
          </w:p>
        </w:tc>
        <w:tc>
          <w:tcPr>
            <w:tcW w:w="562" w:type="pct"/>
            <w:tcBorders>
              <w:bottom w:val="single" w:sz="4" w:space="0" w:color="31849B" w:themeColor="accent5" w:themeShade="BF"/>
            </w:tcBorders>
            <w:shd w:val="clear" w:color="auto" w:fill="007FAD"/>
            <w:vAlign w:val="center"/>
          </w:tcPr>
          <w:p w14:paraId="1B20FF53" w14:textId="77777777" w:rsidR="00F3602E" w:rsidRPr="00E164A7" w:rsidRDefault="00F3602E" w:rsidP="00E164A7">
            <w:pPr>
              <w:pStyle w:val="TableHeading21"/>
              <w:rPr>
                <w:i w:val="0"/>
              </w:rPr>
            </w:pPr>
            <w:r w:rsidRPr="00E164A7">
              <w:rPr>
                <w:i w:val="0"/>
              </w:rPr>
              <w:t>Efficiency</w:t>
            </w:r>
          </w:p>
        </w:tc>
        <w:tc>
          <w:tcPr>
            <w:tcW w:w="481" w:type="pct"/>
            <w:tcBorders>
              <w:bottom w:val="single" w:sz="4" w:space="0" w:color="31849B" w:themeColor="accent5" w:themeShade="BF"/>
            </w:tcBorders>
            <w:shd w:val="clear" w:color="auto" w:fill="007FAD"/>
            <w:vAlign w:val="center"/>
          </w:tcPr>
          <w:p w14:paraId="5BEFDD2E" w14:textId="77777777" w:rsidR="00F3602E" w:rsidRPr="00E164A7" w:rsidRDefault="00F3602E" w:rsidP="00E164A7">
            <w:pPr>
              <w:pStyle w:val="TableHeading21"/>
              <w:rPr>
                <w:i w:val="0"/>
              </w:rPr>
            </w:pPr>
            <w:r w:rsidRPr="00E164A7">
              <w:rPr>
                <w:i w:val="0"/>
              </w:rPr>
              <w:t>Impact</w:t>
            </w:r>
          </w:p>
        </w:tc>
        <w:tc>
          <w:tcPr>
            <w:tcW w:w="750" w:type="pct"/>
            <w:tcBorders>
              <w:bottom w:val="single" w:sz="4" w:space="0" w:color="31849B" w:themeColor="accent5" w:themeShade="BF"/>
            </w:tcBorders>
            <w:shd w:val="clear" w:color="auto" w:fill="007FAD"/>
            <w:vAlign w:val="center"/>
          </w:tcPr>
          <w:p w14:paraId="1C05193C" w14:textId="77777777" w:rsidR="00F3602E" w:rsidRPr="00E164A7" w:rsidRDefault="00F3602E" w:rsidP="00E164A7">
            <w:pPr>
              <w:pStyle w:val="TableHeading21"/>
              <w:rPr>
                <w:i w:val="0"/>
              </w:rPr>
            </w:pPr>
            <w:r w:rsidRPr="00E164A7">
              <w:rPr>
                <w:i w:val="0"/>
              </w:rPr>
              <w:t>Sustainability</w:t>
            </w:r>
          </w:p>
        </w:tc>
        <w:tc>
          <w:tcPr>
            <w:tcW w:w="569" w:type="pct"/>
            <w:tcBorders>
              <w:bottom w:val="single" w:sz="4" w:space="0" w:color="31849B" w:themeColor="accent5" w:themeShade="BF"/>
            </w:tcBorders>
            <w:shd w:val="clear" w:color="auto" w:fill="007FAD"/>
            <w:vAlign w:val="center"/>
          </w:tcPr>
          <w:p w14:paraId="0AA5DF61" w14:textId="77777777" w:rsidR="00F3602E" w:rsidRPr="00E164A7" w:rsidRDefault="00F3602E" w:rsidP="00E164A7">
            <w:pPr>
              <w:pStyle w:val="TableHeading21"/>
              <w:rPr>
                <w:i w:val="0"/>
              </w:rPr>
            </w:pPr>
            <w:r w:rsidRPr="00E164A7">
              <w:rPr>
                <w:i w:val="0"/>
              </w:rPr>
              <w:t>Gender</w:t>
            </w:r>
          </w:p>
        </w:tc>
      </w:tr>
      <w:tr w:rsidR="00DC38C4" w:rsidRPr="00D17FF1" w14:paraId="0AEC4845" w14:textId="77777777" w:rsidTr="00B46ACA">
        <w:trPr>
          <w:cantSplit/>
          <w:trHeight w:val="290"/>
        </w:trPr>
        <w:tc>
          <w:tcPr>
            <w:tcW w:w="1374" w:type="pct"/>
            <w:tcBorders>
              <w:top w:val="single" w:sz="4" w:space="0" w:color="31849B" w:themeColor="accent5" w:themeShade="BF"/>
              <w:bottom w:val="double" w:sz="4" w:space="0" w:color="007FAD"/>
            </w:tcBorders>
            <w:shd w:val="clear" w:color="auto" w:fill="auto"/>
            <w:vAlign w:val="center"/>
          </w:tcPr>
          <w:p w14:paraId="2FBD7935" w14:textId="1BD712E2" w:rsidR="00DC38C4" w:rsidRPr="00E164A7" w:rsidRDefault="00DC38C4" w:rsidP="00571D0A">
            <w:pPr>
              <w:pStyle w:val="Tabletext0"/>
              <w:rPr>
                <w:b/>
                <w:caps/>
                <w:kern w:val="28"/>
                <w:lang w:val="en-GB"/>
              </w:rPr>
            </w:pPr>
            <w:r w:rsidRPr="00E164A7">
              <w:rPr>
                <w:b/>
                <w:lang w:val="en-GB"/>
              </w:rPr>
              <w:t>Number of the 87 evaluations with</w:t>
            </w:r>
            <w:r w:rsidR="005B7811" w:rsidRPr="00E164A7">
              <w:rPr>
                <w:b/>
                <w:lang w:val="en-GB"/>
              </w:rPr>
              <w:t xml:space="preserve"> a</w:t>
            </w:r>
            <w:r w:rsidRPr="00E164A7">
              <w:rPr>
                <w:b/>
                <w:lang w:val="en-GB"/>
              </w:rPr>
              <w:t xml:space="preserve"> rating </w:t>
            </w:r>
          </w:p>
        </w:tc>
        <w:tc>
          <w:tcPr>
            <w:tcW w:w="586" w:type="pct"/>
            <w:tcBorders>
              <w:top w:val="single" w:sz="4" w:space="0" w:color="31849B" w:themeColor="accent5" w:themeShade="BF"/>
              <w:bottom w:val="double" w:sz="4" w:space="0" w:color="007FAD"/>
            </w:tcBorders>
            <w:shd w:val="clear" w:color="auto" w:fill="auto"/>
            <w:vAlign w:val="center"/>
          </w:tcPr>
          <w:p w14:paraId="12DFBEE6" w14:textId="77777777" w:rsidR="00DC38C4" w:rsidRPr="00E164A7" w:rsidRDefault="00DC38C4" w:rsidP="00571D0A">
            <w:pPr>
              <w:pStyle w:val="Tabletext0"/>
              <w:rPr>
                <w:caps/>
                <w:kern w:val="28"/>
                <w:lang w:val="en-GB"/>
              </w:rPr>
            </w:pPr>
            <w:r w:rsidRPr="00D17FF1">
              <w:rPr>
                <w:lang w:val="en-GB"/>
              </w:rPr>
              <w:t>38 (44%)</w:t>
            </w:r>
          </w:p>
        </w:tc>
        <w:tc>
          <w:tcPr>
            <w:tcW w:w="678" w:type="pct"/>
            <w:tcBorders>
              <w:top w:val="single" w:sz="4" w:space="0" w:color="31849B" w:themeColor="accent5" w:themeShade="BF"/>
              <w:bottom w:val="double" w:sz="4" w:space="0" w:color="007FAD"/>
            </w:tcBorders>
            <w:shd w:val="clear" w:color="auto" w:fill="auto"/>
            <w:vAlign w:val="center"/>
          </w:tcPr>
          <w:p w14:paraId="2CAB2C76" w14:textId="77777777" w:rsidR="00DC38C4" w:rsidRPr="00E164A7" w:rsidRDefault="00DC38C4" w:rsidP="00571D0A">
            <w:pPr>
              <w:pStyle w:val="Tabletext0"/>
              <w:rPr>
                <w:caps/>
                <w:kern w:val="28"/>
                <w:lang w:val="en-GB"/>
              </w:rPr>
            </w:pPr>
            <w:r w:rsidRPr="00D17FF1">
              <w:rPr>
                <w:lang w:val="en-GB"/>
              </w:rPr>
              <w:t>38 (44%)</w:t>
            </w:r>
          </w:p>
        </w:tc>
        <w:tc>
          <w:tcPr>
            <w:tcW w:w="562" w:type="pct"/>
            <w:tcBorders>
              <w:top w:val="single" w:sz="4" w:space="0" w:color="31849B" w:themeColor="accent5" w:themeShade="BF"/>
              <w:bottom w:val="double" w:sz="4" w:space="0" w:color="007FAD"/>
            </w:tcBorders>
            <w:shd w:val="clear" w:color="auto" w:fill="auto"/>
            <w:vAlign w:val="center"/>
          </w:tcPr>
          <w:p w14:paraId="3DD57978" w14:textId="77777777" w:rsidR="00DC38C4" w:rsidRPr="00E164A7" w:rsidRDefault="00DC38C4" w:rsidP="00571D0A">
            <w:pPr>
              <w:pStyle w:val="Tabletext0"/>
              <w:rPr>
                <w:caps/>
                <w:kern w:val="28"/>
                <w:lang w:val="en-GB"/>
              </w:rPr>
            </w:pPr>
            <w:r w:rsidRPr="00D17FF1">
              <w:rPr>
                <w:lang w:val="en-GB"/>
              </w:rPr>
              <w:t>38 (44%)</w:t>
            </w:r>
          </w:p>
        </w:tc>
        <w:tc>
          <w:tcPr>
            <w:tcW w:w="481" w:type="pct"/>
            <w:tcBorders>
              <w:top w:val="single" w:sz="4" w:space="0" w:color="31849B" w:themeColor="accent5" w:themeShade="BF"/>
              <w:bottom w:val="double" w:sz="4" w:space="0" w:color="007FAD"/>
            </w:tcBorders>
            <w:shd w:val="clear" w:color="auto" w:fill="auto"/>
            <w:vAlign w:val="center"/>
          </w:tcPr>
          <w:p w14:paraId="41A1B8D3" w14:textId="77777777" w:rsidR="00DC38C4" w:rsidRPr="00E164A7" w:rsidRDefault="00DC38C4" w:rsidP="00571D0A">
            <w:pPr>
              <w:pStyle w:val="Tabletext0"/>
              <w:rPr>
                <w:caps/>
                <w:kern w:val="28"/>
                <w:lang w:val="en-GB"/>
              </w:rPr>
            </w:pPr>
            <w:r w:rsidRPr="00D17FF1">
              <w:rPr>
                <w:lang w:val="en-GB"/>
              </w:rPr>
              <w:t>9 (10%)</w:t>
            </w:r>
          </w:p>
        </w:tc>
        <w:tc>
          <w:tcPr>
            <w:tcW w:w="750" w:type="pct"/>
            <w:tcBorders>
              <w:top w:val="single" w:sz="4" w:space="0" w:color="31849B" w:themeColor="accent5" w:themeShade="BF"/>
              <w:bottom w:val="double" w:sz="4" w:space="0" w:color="007FAD"/>
            </w:tcBorders>
            <w:shd w:val="clear" w:color="auto" w:fill="auto"/>
            <w:vAlign w:val="center"/>
          </w:tcPr>
          <w:p w14:paraId="743C5463" w14:textId="77777777" w:rsidR="00DC38C4" w:rsidRPr="00E164A7" w:rsidRDefault="00DC38C4" w:rsidP="00571D0A">
            <w:pPr>
              <w:pStyle w:val="Tabletext0"/>
              <w:rPr>
                <w:caps/>
                <w:kern w:val="28"/>
                <w:lang w:val="en-GB"/>
              </w:rPr>
            </w:pPr>
            <w:r w:rsidRPr="00D17FF1">
              <w:rPr>
                <w:lang w:val="en-GB"/>
              </w:rPr>
              <w:t>38 (44%)</w:t>
            </w:r>
          </w:p>
        </w:tc>
        <w:tc>
          <w:tcPr>
            <w:tcW w:w="569" w:type="pct"/>
            <w:tcBorders>
              <w:top w:val="single" w:sz="4" w:space="0" w:color="31849B" w:themeColor="accent5" w:themeShade="BF"/>
              <w:bottom w:val="double" w:sz="4" w:space="0" w:color="007FAD"/>
            </w:tcBorders>
            <w:shd w:val="clear" w:color="auto" w:fill="auto"/>
            <w:vAlign w:val="center"/>
          </w:tcPr>
          <w:p w14:paraId="497E3CB8" w14:textId="77777777" w:rsidR="00DC38C4" w:rsidRPr="00E164A7" w:rsidRDefault="00DC38C4" w:rsidP="00571D0A">
            <w:pPr>
              <w:pStyle w:val="Tabletext0"/>
              <w:rPr>
                <w:caps/>
                <w:kern w:val="28"/>
                <w:lang w:val="en-GB"/>
              </w:rPr>
            </w:pPr>
            <w:r w:rsidRPr="00D17FF1">
              <w:rPr>
                <w:lang w:val="en-GB"/>
              </w:rPr>
              <w:t>32 (37%)</w:t>
            </w:r>
          </w:p>
        </w:tc>
      </w:tr>
      <w:tr w:rsidR="00F3602E" w:rsidRPr="00D17FF1" w14:paraId="4DBFC86E" w14:textId="77777777" w:rsidTr="00B46ACA">
        <w:trPr>
          <w:cantSplit/>
          <w:trHeight w:val="290"/>
        </w:trPr>
        <w:tc>
          <w:tcPr>
            <w:tcW w:w="1374" w:type="pct"/>
            <w:tcBorders>
              <w:top w:val="double" w:sz="4" w:space="0" w:color="007FAD"/>
            </w:tcBorders>
            <w:shd w:val="clear" w:color="auto" w:fill="auto"/>
            <w:vAlign w:val="center"/>
          </w:tcPr>
          <w:p w14:paraId="259D4859" w14:textId="24FC1C67" w:rsidR="00F3602E" w:rsidRPr="00E164A7" w:rsidRDefault="005B7811" w:rsidP="00571D0A">
            <w:pPr>
              <w:pStyle w:val="Tabletext0"/>
              <w:rPr>
                <w:b/>
                <w:lang w:val="en-GB"/>
              </w:rPr>
            </w:pPr>
            <w:r w:rsidRPr="00E164A7">
              <w:rPr>
                <w:b/>
                <w:lang w:val="en-GB"/>
              </w:rPr>
              <w:t>Number of r</w:t>
            </w:r>
            <w:r w:rsidR="00F3602E" w:rsidRPr="00E164A7">
              <w:rPr>
                <w:b/>
                <w:lang w:val="en-GB"/>
              </w:rPr>
              <w:t>obust ratings</w:t>
            </w:r>
          </w:p>
        </w:tc>
        <w:tc>
          <w:tcPr>
            <w:tcW w:w="586" w:type="pct"/>
            <w:tcBorders>
              <w:top w:val="double" w:sz="4" w:space="0" w:color="007FAD"/>
            </w:tcBorders>
            <w:shd w:val="clear" w:color="auto" w:fill="auto"/>
            <w:vAlign w:val="center"/>
          </w:tcPr>
          <w:p w14:paraId="1DED4A89" w14:textId="77777777" w:rsidR="00F3602E" w:rsidRPr="00E164A7" w:rsidRDefault="00F3602E" w:rsidP="00571D0A">
            <w:pPr>
              <w:pStyle w:val="Tabletext0"/>
              <w:rPr>
                <w:caps/>
                <w:kern w:val="28"/>
                <w:lang w:val="en-GB"/>
              </w:rPr>
            </w:pPr>
            <w:r w:rsidRPr="00D17FF1">
              <w:rPr>
                <w:lang w:val="en-GB"/>
              </w:rPr>
              <w:t>28 (74%)</w:t>
            </w:r>
          </w:p>
        </w:tc>
        <w:tc>
          <w:tcPr>
            <w:tcW w:w="678" w:type="pct"/>
            <w:tcBorders>
              <w:top w:val="double" w:sz="4" w:space="0" w:color="007FAD"/>
            </w:tcBorders>
            <w:shd w:val="clear" w:color="auto" w:fill="auto"/>
            <w:vAlign w:val="center"/>
          </w:tcPr>
          <w:p w14:paraId="33513932" w14:textId="77777777" w:rsidR="00F3602E" w:rsidRPr="00E164A7" w:rsidRDefault="00F3602E" w:rsidP="00571D0A">
            <w:pPr>
              <w:pStyle w:val="Tabletext0"/>
              <w:rPr>
                <w:caps/>
                <w:kern w:val="28"/>
                <w:lang w:val="en-GB"/>
              </w:rPr>
            </w:pPr>
            <w:r w:rsidRPr="00D17FF1">
              <w:rPr>
                <w:lang w:val="en-GB"/>
              </w:rPr>
              <w:t>24 (63%)</w:t>
            </w:r>
          </w:p>
        </w:tc>
        <w:tc>
          <w:tcPr>
            <w:tcW w:w="562" w:type="pct"/>
            <w:tcBorders>
              <w:top w:val="double" w:sz="4" w:space="0" w:color="007FAD"/>
            </w:tcBorders>
            <w:shd w:val="clear" w:color="auto" w:fill="auto"/>
            <w:vAlign w:val="center"/>
          </w:tcPr>
          <w:p w14:paraId="4E0BFB52" w14:textId="77777777" w:rsidR="00F3602E" w:rsidRPr="00E164A7" w:rsidRDefault="00F3602E" w:rsidP="00571D0A">
            <w:pPr>
              <w:pStyle w:val="Tabletext0"/>
              <w:rPr>
                <w:caps/>
                <w:kern w:val="28"/>
                <w:lang w:val="en-GB"/>
              </w:rPr>
            </w:pPr>
            <w:r w:rsidRPr="00D17FF1">
              <w:rPr>
                <w:lang w:val="en-GB"/>
              </w:rPr>
              <w:t>23 (60%)</w:t>
            </w:r>
          </w:p>
        </w:tc>
        <w:tc>
          <w:tcPr>
            <w:tcW w:w="481" w:type="pct"/>
            <w:tcBorders>
              <w:top w:val="double" w:sz="4" w:space="0" w:color="007FAD"/>
            </w:tcBorders>
            <w:shd w:val="clear" w:color="auto" w:fill="auto"/>
            <w:vAlign w:val="center"/>
          </w:tcPr>
          <w:p w14:paraId="3CB54F8E" w14:textId="77777777" w:rsidR="00F3602E" w:rsidRPr="00E164A7" w:rsidRDefault="00F3602E" w:rsidP="00571D0A">
            <w:pPr>
              <w:pStyle w:val="Tabletext0"/>
              <w:rPr>
                <w:caps/>
                <w:kern w:val="28"/>
                <w:lang w:val="en-GB"/>
              </w:rPr>
            </w:pPr>
            <w:r w:rsidRPr="00D17FF1">
              <w:rPr>
                <w:lang w:val="en-GB"/>
              </w:rPr>
              <w:t>4 (44%)</w:t>
            </w:r>
          </w:p>
        </w:tc>
        <w:tc>
          <w:tcPr>
            <w:tcW w:w="750" w:type="pct"/>
            <w:tcBorders>
              <w:top w:val="double" w:sz="4" w:space="0" w:color="007FAD"/>
            </w:tcBorders>
            <w:shd w:val="clear" w:color="auto" w:fill="auto"/>
            <w:vAlign w:val="center"/>
          </w:tcPr>
          <w:p w14:paraId="12B9E177" w14:textId="77777777" w:rsidR="00F3602E" w:rsidRPr="00E164A7" w:rsidRDefault="00F3602E" w:rsidP="00571D0A">
            <w:pPr>
              <w:pStyle w:val="Tabletext0"/>
              <w:rPr>
                <w:caps/>
                <w:kern w:val="28"/>
                <w:lang w:val="en-GB"/>
              </w:rPr>
            </w:pPr>
            <w:r w:rsidRPr="00D17FF1">
              <w:rPr>
                <w:lang w:val="en-GB"/>
              </w:rPr>
              <w:t>25</w:t>
            </w:r>
            <w:r w:rsidR="00A74814" w:rsidRPr="00D17FF1">
              <w:rPr>
                <w:lang w:val="en-GB"/>
              </w:rPr>
              <w:t xml:space="preserve"> </w:t>
            </w:r>
            <w:r w:rsidRPr="00D17FF1">
              <w:rPr>
                <w:lang w:val="en-GB"/>
              </w:rPr>
              <w:t>(66%)</w:t>
            </w:r>
          </w:p>
        </w:tc>
        <w:tc>
          <w:tcPr>
            <w:tcW w:w="569" w:type="pct"/>
            <w:tcBorders>
              <w:top w:val="double" w:sz="4" w:space="0" w:color="007FAD"/>
            </w:tcBorders>
            <w:shd w:val="clear" w:color="auto" w:fill="auto"/>
            <w:vAlign w:val="center"/>
          </w:tcPr>
          <w:p w14:paraId="000B54C5" w14:textId="77777777" w:rsidR="00F3602E" w:rsidRPr="00E164A7" w:rsidRDefault="00F3602E" w:rsidP="00571D0A">
            <w:pPr>
              <w:pStyle w:val="Tabletext0"/>
              <w:rPr>
                <w:caps/>
                <w:kern w:val="28"/>
                <w:lang w:val="en-GB"/>
              </w:rPr>
            </w:pPr>
            <w:r w:rsidRPr="00D17FF1">
              <w:rPr>
                <w:lang w:val="en-GB"/>
              </w:rPr>
              <w:t>21 (66%)</w:t>
            </w:r>
          </w:p>
        </w:tc>
      </w:tr>
      <w:tr w:rsidR="00F3602E" w:rsidRPr="00D17FF1" w14:paraId="242A4DEE" w14:textId="77777777" w:rsidTr="00E164A7">
        <w:trPr>
          <w:cantSplit/>
          <w:trHeight w:val="290"/>
        </w:trPr>
        <w:tc>
          <w:tcPr>
            <w:tcW w:w="1374" w:type="pct"/>
            <w:shd w:val="clear" w:color="auto" w:fill="auto"/>
            <w:vAlign w:val="center"/>
          </w:tcPr>
          <w:p w14:paraId="51790D03" w14:textId="76DA6D03" w:rsidR="00F3602E" w:rsidRPr="00E164A7" w:rsidRDefault="00F3602E" w:rsidP="00571D0A">
            <w:pPr>
              <w:pStyle w:val="Tabletext0"/>
              <w:rPr>
                <w:b/>
                <w:lang w:val="en-GB"/>
              </w:rPr>
            </w:pPr>
            <w:r w:rsidRPr="00E164A7">
              <w:rPr>
                <w:b/>
                <w:lang w:val="en-GB"/>
              </w:rPr>
              <w:t xml:space="preserve">Total </w:t>
            </w:r>
            <w:r w:rsidR="005B7811" w:rsidRPr="00E164A7">
              <w:rPr>
                <w:b/>
                <w:lang w:val="en-GB"/>
              </w:rPr>
              <w:t xml:space="preserve">number of not robust </w:t>
            </w:r>
            <w:r w:rsidRPr="00E164A7">
              <w:rPr>
                <w:b/>
                <w:lang w:val="en-GB"/>
              </w:rPr>
              <w:t xml:space="preserve">ratings </w:t>
            </w:r>
          </w:p>
        </w:tc>
        <w:tc>
          <w:tcPr>
            <w:tcW w:w="586" w:type="pct"/>
            <w:shd w:val="clear" w:color="auto" w:fill="auto"/>
            <w:vAlign w:val="center"/>
          </w:tcPr>
          <w:p w14:paraId="2BF50688" w14:textId="77777777" w:rsidR="00F3602E" w:rsidRPr="00D17FF1" w:rsidRDefault="00F3602E" w:rsidP="00571D0A">
            <w:pPr>
              <w:pStyle w:val="Tabletext0"/>
              <w:rPr>
                <w:lang w:val="en-GB"/>
              </w:rPr>
            </w:pPr>
            <w:r w:rsidRPr="00D17FF1">
              <w:rPr>
                <w:lang w:val="en-GB"/>
              </w:rPr>
              <w:t>10</w:t>
            </w:r>
          </w:p>
        </w:tc>
        <w:tc>
          <w:tcPr>
            <w:tcW w:w="678" w:type="pct"/>
            <w:shd w:val="clear" w:color="auto" w:fill="auto"/>
            <w:vAlign w:val="center"/>
          </w:tcPr>
          <w:p w14:paraId="72084C18" w14:textId="77777777" w:rsidR="00F3602E" w:rsidRPr="00D17FF1" w:rsidRDefault="00F3602E" w:rsidP="00571D0A">
            <w:pPr>
              <w:pStyle w:val="Tabletext0"/>
              <w:rPr>
                <w:lang w:val="en-GB"/>
              </w:rPr>
            </w:pPr>
            <w:r w:rsidRPr="00D17FF1">
              <w:rPr>
                <w:lang w:val="en-GB"/>
              </w:rPr>
              <w:t>14</w:t>
            </w:r>
          </w:p>
        </w:tc>
        <w:tc>
          <w:tcPr>
            <w:tcW w:w="562" w:type="pct"/>
            <w:shd w:val="clear" w:color="auto" w:fill="auto"/>
            <w:vAlign w:val="center"/>
          </w:tcPr>
          <w:p w14:paraId="435C39DE" w14:textId="77777777" w:rsidR="00F3602E" w:rsidRPr="00D17FF1" w:rsidRDefault="00F3602E" w:rsidP="00571D0A">
            <w:pPr>
              <w:pStyle w:val="Tabletext0"/>
              <w:rPr>
                <w:lang w:val="en-GB"/>
              </w:rPr>
            </w:pPr>
            <w:r w:rsidRPr="00D17FF1">
              <w:rPr>
                <w:lang w:val="en-GB"/>
              </w:rPr>
              <w:t>15</w:t>
            </w:r>
          </w:p>
        </w:tc>
        <w:tc>
          <w:tcPr>
            <w:tcW w:w="481" w:type="pct"/>
            <w:shd w:val="clear" w:color="auto" w:fill="auto"/>
            <w:vAlign w:val="center"/>
          </w:tcPr>
          <w:p w14:paraId="4424CAF2" w14:textId="77777777" w:rsidR="00F3602E" w:rsidRPr="00D17FF1" w:rsidRDefault="00F3602E" w:rsidP="00571D0A">
            <w:pPr>
              <w:pStyle w:val="Tabletext0"/>
              <w:rPr>
                <w:lang w:val="en-GB"/>
              </w:rPr>
            </w:pPr>
            <w:r w:rsidRPr="00D17FF1">
              <w:rPr>
                <w:lang w:val="en-GB"/>
              </w:rPr>
              <w:t>5</w:t>
            </w:r>
          </w:p>
        </w:tc>
        <w:tc>
          <w:tcPr>
            <w:tcW w:w="750" w:type="pct"/>
            <w:shd w:val="clear" w:color="auto" w:fill="auto"/>
            <w:vAlign w:val="center"/>
          </w:tcPr>
          <w:p w14:paraId="528A82D3" w14:textId="77777777" w:rsidR="00F3602E" w:rsidRPr="00D17FF1" w:rsidRDefault="00F3602E" w:rsidP="00571D0A">
            <w:pPr>
              <w:pStyle w:val="Tabletext0"/>
              <w:rPr>
                <w:lang w:val="en-GB"/>
              </w:rPr>
            </w:pPr>
            <w:r w:rsidRPr="00D17FF1">
              <w:rPr>
                <w:lang w:val="en-GB"/>
              </w:rPr>
              <w:t>13</w:t>
            </w:r>
          </w:p>
        </w:tc>
        <w:tc>
          <w:tcPr>
            <w:tcW w:w="569" w:type="pct"/>
            <w:shd w:val="clear" w:color="auto" w:fill="auto"/>
            <w:vAlign w:val="center"/>
          </w:tcPr>
          <w:p w14:paraId="26C9BB7C" w14:textId="77777777" w:rsidR="00F3602E" w:rsidRPr="00D17FF1" w:rsidRDefault="00F3602E" w:rsidP="00571D0A">
            <w:pPr>
              <w:pStyle w:val="Tabletext0"/>
              <w:rPr>
                <w:lang w:val="en-GB"/>
              </w:rPr>
            </w:pPr>
            <w:r w:rsidRPr="00D17FF1">
              <w:rPr>
                <w:lang w:val="en-GB"/>
              </w:rPr>
              <w:t>11</w:t>
            </w:r>
          </w:p>
        </w:tc>
      </w:tr>
      <w:tr w:rsidR="00F3602E" w:rsidRPr="00D17FF1" w14:paraId="4E1FC5A7" w14:textId="77777777" w:rsidTr="00E164A7">
        <w:trPr>
          <w:cantSplit/>
          <w:trHeight w:val="290"/>
        </w:trPr>
        <w:tc>
          <w:tcPr>
            <w:tcW w:w="1374" w:type="pct"/>
            <w:shd w:val="clear" w:color="auto" w:fill="auto"/>
            <w:vAlign w:val="center"/>
          </w:tcPr>
          <w:p w14:paraId="05FC5AB0" w14:textId="53E8D7B8" w:rsidR="00F3602E" w:rsidRPr="00E164A7" w:rsidRDefault="005B7811" w:rsidP="00571D0A">
            <w:pPr>
              <w:pStyle w:val="Tabletext0"/>
              <w:ind w:left="720"/>
              <w:contextualSpacing/>
              <w:rPr>
                <w:b/>
                <w:caps/>
                <w:kern w:val="28"/>
                <w:lang w:val="en-GB"/>
              </w:rPr>
            </w:pPr>
            <w:r w:rsidRPr="00E164A7">
              <w:rPr>
                <w:b/>
                <w:lang w:val="en-GB"/>
              </w:rPr>
              <w:t xml:space="preserve">a. </w:t>
            </w:r>
            <w:r w:rsidR="00F3602E" w:rsidRPr="00E164A7">
              <w:rPr>
                <w:b/>
                <w:lang w:val="en-GB"/>
              </w:rPr>
              <w:t>Too low</w:t>
            </w:r>
          </w:p>
        </w:tc>
        <w:tc>
          <w:tcPr>
            <w:tcW w:w="586" w:type="pct"/>
            <w:shd w:val="clear" w:color="auto" w:fill="auto"/>
            <w:vAlign w:val="center"/>
          </w:tcPr>
          <w:p w14:paraId="3D2FC065" w14:textId="77777777" w:rsidR="00F3602E" w:rsidRPr="00E164A7" w:rsidRDefault="00F3602E" w:rsidP="00571D0A">
            <w:pPr>
              <w:pStyle w:val="Tabletext0"/>
              <w:rPr>
                <w:caps/>
                <w:kern w:val="28"/>
                <w:lang w:val="en-GB"/>
              </w:rPr>
            </w:pPr>
            <w:r w:rsidRPr="00D17FF1">
              <w:rPr>
                <w:lang w:val="en-GB"/>
              </w:rPr>
              <w:t>0</w:t>
            </w:r>
          </w:p>
        </w:tc>
        <w:tc>
          <w:tcPr>
            <w:tcW w:w="678" w:type="pct"/>
            <w:shd w:val="clear" w:color="auto" w:fill="auto"/>
            <w:vAlign w:val="center"/>
          </w:tcPr>
          <w:p w14:paraId="6BF4ADD8" w14:textId="77777777" w:rsidR="00F3602E" w:rsidRPr="00E164A7" w:rsidRDefault="00F3602E" w:rsidP="00571D0A">
            <w:pPr>
              <w:pStyle w:val="Tabletext0"/>
              <w:rPr>
                <w:caps/>
                <w:kern w:val="28"/>
                <w:lang w:val="en-GB"/>
              </w:rPr>
            </w:pPr>
            <w:r w:rsidRPr="00D17FF1">
              <w:rPr>
                <w:lang w:val="en-GB"/>
              </w:rPr>
              <w:t>2</w:t>
            </w:r>
          </w:p>
        </w:tc>
        <w:tc>
          <w:tcPr>
            <w:tcW w:w="562" w:type="pct"/>
            <w:shd w:val="clear" w:color="auto" w:fill="auto"/>
            <w:vAlign w:val="center"/>
          </w:tcPr>
          <w:p w14:paraId="24BE186E" w14:textId="77777777" w:rsidR="00F3602E" w:rsidRPr="00E164A7" w:rsidRDefault="00F3602E" w:rsidP="00571D0A">
            <w:pPr>
              <w:pStyle w:val="Tabletext0"/>
              <w:rPr>
                <w:caps/>
                <w:kern w:val="28"/>
                <w:lang w:val="en-GB"/>
              </w:rPr>
            </w:pPr>
            <w:r w:rsidRPr="00D17FF1">
              <w:rPr>
                <w:lang w:val="en-GB"/>
              </w:rPr>
              <w:t>2</w:t>
            </w:r>
          </w:p>
        </w:tc>
        <w:tc>
          <w:tcPr>
            <w:tcW w:w="481" w:type="pct"/>
            <w:shd w:val="clear" w:color="auto" w:fill="auto"/>
            <w:vAlign w:val="center"/>
          </w:tcPr>
          <w:p w14:paraId="2BBBE93D" w14:textId="77777777" w:rsidR="00F3602E" w:rsidRPr="00E164A7" w:rsidRDefault="00F3602E" w:rsidP="00571D0A">
            <w:pPr>
              <w:pStyle w:val="Tabletext0"/>
              <w:rPr>
                <w:caps/>
                <w:kern w:val="28"/>
                <w:lang w:val="en-GB"/>
              </w:rPr>
            </w:pPr>
            <w:r w:rsidRPr="00D17FF1">
              <w:rPr>
                <w:lang w:val="en-GB"/>
              </w:rPr>
              <w:t>0</w:t>
            </w:r>
          </w:p>
        </w:tc>
        <w:tc>
          <w:tcPr>
            <w:tcW w:w="750" w:type="pct"/>
            <w:shd w:val="clear" w:color="auto" w:fill="auto"/>
            <w:vAlign w:val="center"/>
          </w:tcPr>
          <w:p w14:paraId="62EF8241" w14:textId="77777777" w:rsidR="00F3602E" w:rsidRPr="00E164A7" w:rsidRDefault="00F3602E" w:rsidP="00571D0A">
            <w:pPr>
              <w:pStyle w:val="Tabletext0"/>
              <w:rPr>
                <w:caps/>
                <w:kern w:val="28"/>
                <w:lang w:val="en-GB"/>
              </w:rPr>
            </w:pPr>
            <w:r w:rsidRPr="00D17FF1">
              <w:rPr>
                <w:lang w:val="en-GB"/>
              </w:rPr>
              <w:t>0</w:t>
            </w:r>
          </w:p>
        </w:tc>
        <w:tc>
          <w:tcPr>
            <w:tcW w:w="569" w:type="pct"/>
            <w:shd w:val="clear" w:color="auto" w:fill="auto"/>
            <w:vAlign w:val="center"/>
          </w:tcPr>
          <w:p w14:paraId="1964E131" w14:textId="77777777" w:rsidR="00F3602E" w:rsidRPr="00E164A7" w:rsidRDefault="00F3602E" w:rsidP="00571D0A">
            <w:pPr>
              <w:pStyle w:val="Tabletext0"/>
              <w:rPr>
                <w:caps/>
                <w:kern w:val="28"/>
                <w:lang w:val="en-GB"/>
              </w:rPr>
            </w:pPr>
            <w:r w:rsidRPr="00D17FF1">
              <w:rPr>
                <w:lang w:val="en-GB"/>
              </w:rPr>
              <w:t>1</w:t>
            </w:r>
          </w:p>
        </w:tc>
      </w:tr>
      <w:tr w:rsidR="00F3602E" w:rsidRPr="00D17FF1" w14:paraId="45FF363A" w14:textId="77777777" w:rsidTr="00E164A7">
        <w:trPr>
          <w:cantSplit/>
          <w:trHeight w:val="290"/>
        </w:trPr>
        <w:tc>
          <w:tcPr>
            <w:tcW w:w="1374" w:type="pct"/>
            <w:shd w:val="clear" w:color="auto" w:fill="auto"/>
            <w:vAlign w:val="center"/>
          </w:tcPr>
          <w:p w14:paraId="33EE81FE" w14:textId="2FD5E578" w:rsidR="00F3602E" w:rsidRPr="00E164A7" w:rsidRDefault="00F3602E" w:rsidP="00571D0A">
            <w:pPr>
              <w:pStyle w:val="Tabletext0"/>
              <w:rPr>
                <w:b/>
                <w:caps/>
                <w:kern w:val="28"/>
                <w:lang w:val="en-GB"/>
              </w:rPr>
            </w:pPr>
            <w:r w:rsidRPr="00E164A7">
              <w:rPr>
                <w:b/>
                <w:lang w:val="en-GB"/>
              </w:rPr>
              <w:tab/>
            </w:r>
            <w:r w:rsidR="005B7811" w:rsidRPr="00E164A7">
              <w:rPr>
                <w:b/>
                <w:lang w:val="en-GB"/>
              </w:rPr>
              <w:t xml:space="preserve">b. </w:t>
            </w:r>
            <w:r w:rsidRPr="00E164A7">
              <w:rPr>
                <w:b/>
                <w:lang w:val="en-GB"/>
              </w:rPr>
              <w:t>Too high</w:t>
            </w:r>
          </w:p>
        </w:tc>
        <w:tc>
          <w:tcPr>
            <w:tcW w:w="586" w:type="pct"/>
            <w:shd w:val="clear" w:color="auto" w:fill="auto"/>
            <w:vAlign w:val="center"/>
          </w:tcPr>
          <w:p w14:paraId="5FFDBD72" w14:textId="77777777" w:rsidR="00F3602E" w:rsidRPr="00E164A7" w:rsidRDefault="00F3602E" w:rsidP="00571D0A">
            <w:pPr>
              <w:pStyle w:val="Tabletext0"/>
              <w:rPr>
                <w:caps/>
                <w:kern w:val="28"/>
                <w:lang w:val="en-GB"/>
              </w:rPr>
            </w:pPr>
            <w:r w:rsidRPr="00D17FF1">
              <w:rPr>
                <w:lang w:val="en-GB"/>
              </w:rPr>
              <w:t>9</w:t>
            </w:r>
          </w:p>
        </w:tc>
        <w:tc>
          <w:tcPr>
            <w:tcW w:w="678" w:type="pct"/>
            <w:shd w:val="clear" w:color="auto" w:fill="auto"/>
            <w:vAlign w:val="center"/>
          </w:tcPr>
          <w:p w14:paraId="2459A5E4" w14:textId="77777777" w:rsidR="00F3602E" w:rsidRPr="00E164A7" w:rsidRDefault="00F3602E" w:rsidP="00571D0A">
            <w:pPr>
              <w:pStyle w:val="Tabletext0"/>
              <w:rPr>
                <w:caps/>
                <w:kern w:val="28"/>
                <w:lang w:val="en-GB"/>
              </w:rPr>
            </w:pPr>
            <w:r w:rsidRPr="00D17FF1">
              <w:rPr>
                <w:lang w:val="en-GB"/>
              </w:rPr>
              <w:t>11</w:t>
            </w:r>
          </w:p>
        </w:tc>
        <w:tc>
          <w:tcPr>
            <w:tcW w:w="562" w:type="pct"/>
            <w:shd w:val="clear" w:color="auto" w:fill="auto"/>
            <w:vAlign w:val="center"/>
          </w:tcPr>
          <w:p w14:paraId="1E3DEFC0" w14:textId="77777777" w:rsidR="00F3602E" w:rsidRPr="00E164A7" w:rsidRDefault="00F3602E" w:rsidP="00571D0A">
            <w:pPr>
              <w:pStyle w:val="Tabletext0"/>
              <w:rPr>
                <w:caps/>
                <w:kern w:val="28"/>
                <w:lang w:val="en-GB"/>
              </w:rPr>
            </w:pPr>
            <w:r w:rsidRPr="00D17FF1">
              <w:rPr>
                <w:lang w:val="en-GB"/>
              </w:rPr>
              <w:t>10</w:t>
            </w:r>
          </w:p>
        </w:tc>
        <w:tc>
          <w:tcPr>
            <w:tcW w:w="481" w:type="pct"/>
            <w:shd w:val="clear" w:color="auto" w:fill="auto"/>
            <w:vAlign w:val="center"/>
          </w:tcPr>
          <w:p w14:paraId="49235D02" w14:textId="77777777" w:rsidR="00F3602E" w:rsidRPr="00E164A7" w:rsidRDefault="00F3602E" w:rsidP="00571D0A">
            <w:pPr>
              <w:pStyle w:val="Tabletext0"/>
              <w:rPr>
                <w:caps/>
                <w:kern w:val="28"/>
                <w:lang w:val="en-GB"/>
              </w:rPr>
            </w:pPr>
            <w:r w:rsidRPr="00D17FF1">
              <w:rPr>
                <w:lang w:val="en-GB"/>
              </w:rPr>
              <w:t>4</w:t>
            </w:r>
          </w:p>
        </w:tc>
        <w:tc>
          <w:tcPr>
            <w:tcW w:w="750" w:type="pct"/>
            <w:shd w:val="clear" w:color="auto" w:fill="auto"/>
            <w:vAlign w:val="center"/>
          </w:tcPr>
          <w:p w14:paraId="6CB401C5" w14:textId="77777777" w:rsidR="00F3602E" w:rsidRPr="00E164A7" w:rsidRDefault="00F3602E" w:rsidP="00571D0A">
            <w:pPr>
              <w:pStyle w:val="Tabletext0"/>
              <w:rPr>
                <w:caps/>
                <w:kern w:val="28"/>
                <w:lang w:val="en-GB"/>
              </w:rPr>
            </w:pPr>
            <w:r w:rsidRPr="00D17FF1">
              <w:rPr>
                <w:lang w:val="en-GB"/>
              </w:rPr>
              <w:t>11</w:t>
            </w:r>
          </w:p>
        </w:tc>
        <w:tc>
          <w:tcPr>
            <w:tcW w:w="569" w:type="pct"/>
            <w:shd w:val="clear" w:color="auto" w:fill="auto"/>
            <w:vAlign w:val="center"/>
          </w:tcPr>
          <w:p w14:paraId="50B4DFEC" w14:textId="77777777" w:rsidR="00F3602E" w:rsidRPr="00E164A7" w:rsidRDefault="00F3602E" w:rsidP="00571D0A">
            <w:pPr>
              <w:pStyle w:val="Tabletext0"/>
              <w:rPr>
                <w:caps/>
                <w:kern w:val="28"/>
                <w:lang w:val="en-GB"/>
              </w:rPr>
            </w:pPr>
            <w:r w:rsidRPr="00D17FF1">
              <w:rPr>
                <w:lang w:val="en-GB"/>
              </w:rPr>
              <w:t>8</w:t>
            </w:r>
          </w:p>
        </w:tc>
      </w:tr>
      <w:tr w:rsidR="00F3602E" w:rsidRPr="00D17FF1" w14:paraId="3A6FD582" w14:textId="77777777" w:rsidTr="00E164A7">
        <w:trPr>
          <w:cantSplit/>
          <w:trHeight w:val="290"/>
        </w:trPr>
        <w:tc>
          <w:tcPr>
            <w:tcW w:w="1374" w:type="pct"/>
            <w:shd w:val="clear" w:color="auto" w:fill="auto"/>
            <w:vAlign w:val="center"/>
          </w:tcPr>
          <w:p w14:paraId="6AD03293" w14:textId="26A89F96" w:rsidR="00F3602E" w:rsidRPr="00E164A7" w:rsidRDefault="0081602A" w:rsidP="00571D0A">
            <w:pPr>
              <w:pStyle w:val="Tabletext0"/>
              <w:rPr>
                <w:b/>
                <w:caps/>
                <w:kern w:val="28"/>
                <w:lang w:val="en-GB"/>
              </w:rPr>
            </w:pPr>
            <w:r w:rsidRPr="00E164A7">
              <w:rPr>
                <w:b/>
                <w:lang w:val="en-GB"/>
              </w:rPr>
              <w:tab/>
            </w:r>
            <w:r w:rsidR="005B7811" w:rsidRPr="00E164A7">
              <w:rPr>
                <w:b/>
                <w:lang w:val="en-GB"/>
              </w:rPr>
              <w:t xml:space="preserve">c. </w:t>
            </w:r>
            <w:r w:rsidR="00F3602E" w:rsidRPr="00E164A7">
              <w:rPr>
                <w:b/>
                <w:lang w:val="en-GB"/>
              </w:rPr>
              <w:t xml:space="preserve">Otherwise </w:t>
            </w:r>
            <w:r w:rsidRPr="00571D0A">
              <w:rPr>
                <w:b/>
                <w:lang w:val="en-GB"/>
              </w:rPr>
              <w:t xml:space="preserve">  </w:t>
            </w:r>
            <w:r w:rsidRPr="00E164A7">
              <w:rPr>
                <w:b/>
                <w:lang w:val="en-GB"/>
              </w:rPr>
              <w:tab/>
            </w:r>
            <w:r w:rsidR="00F3602E" w:rsidRPr="00E164A7">
              <w:rPr>
                <w:b/>
                <w:lang w:val="en-GB"/>
              </w:rPr>
              <w:t>not robust</w:t>
            </w:r>
            <w:r w:rsidR="00832D6D" w:rsidRPr="00E164A7">
              <w:rPr>
                <w:rStyle w:val="FootnoteReference"/>
                <w:rFonts w:asciiTheme="majorHAnsi" w:hAnsiTheme="majorHAnsi"/>
                <w:caps/>
                <w:kern w:val="28"/>
                <w:sz w:val="18"/>
                <w:szCs w:val="18"/>
                <w:lang w:val="en-GB"/>
              </w:rPr>
              <w:footnoteReference w:id="31"/>
            </w:r>
          </w:p>
        </w:tc>
        <w:tc>
          <w:tcPr>
            <w:tcW w:w="586" w:type="pct"/>
            <w:shd w:val="clear" w:color="auto" w:fill="auto"/>
            <w:vAlign w:val="center"/>
          </w:tcPr>
          <w:p w14:paraId="503113A2" w14:textId="77777777" w:rsidR="00F3602E" w:rsidRPr="00E164A7" w:rsidRDefault="00F3602E" w:rsidP="00571D0A">
            <w:pPr>
              <w:pStyle w:val="Tabletext0"/>
              <w:rPr>
                <w:caps/>
                <w:kern w:val="28"/>
                <w:lang w:val="en-GB"/>
              </w:rPr>
            </w:pPr>
            <w:r w:rsidRPr="00D17FF1">
              <w:rPr>
                <w:lang w:val="en-GB"/>
              </w:rPr>
              <w:t>1</w:t>
            </w:r>
          </w:p>
        </w:tc>
        <w:tc>
          <w:tcPr>
            <w:tcW w:w="678" w:type="pct"/>
            <w:shd w:val="clear" w:color="auto" w:fill="auto"/>
            <w:vAlign w:val="center"/>
          </w:tcPr>
          <w:p w14:paraId="05CB0CCA" w14:textId="77777777" w:rsidR="00F3602E" w:rsidRPr="00E164A7" w:rsidRDefault="00F3602E" w:rsidP="00571D0A">
            <w:pPr>
              <w:pStyle w:val="Tabletext0"/>
              <w:rPr>
                <w:caps/>
                <w:kern w:val="28"/>
                <w:lang w:val="en-GB"/>
              </w:rPr>
            </w:pPr>
            <w:r w:rsidRPr="00D17FF1">
              <w:rPr>
                <w:lang w:val="en-GB"/>
              </w:rPr>
              <w:t>1</w:t>
            </w:r>
          </w:p>
        </w:tc>
        <w:tc>
          <w:tcPr>
            <w:tcW w:w="562" w:type="pct"/>
            <w:shd w:val="clear" w:color="auto" w:fill="auto"/>
            <w:vAlign w:val="center"/>
          </w:tcPr>
          <w:p w14:paraId="59B65A2D" w14:textId="77777777" w:rsidR="00F3602E" w:rsidRPr="00E164A7" w:rsidRDefault="00F3602E" w:rsidP="00571D0A">
            <w:pPr>
              <w:pStyle w:val="Tabletext0"/>
              <w:rPr>
                <w:caps/>
                <w:kern w:val="28"/>
                <w:lang w:val="en-GB"/>
              </w:rPr>
            </w:pPr>
            <w:r w:rsidRPr="00D17FF1">
              <w:rPr>
                <w:lang w:val="en-GB"/>
              </w:rPr>
              <w:t>3</w:t>
            </w:r>
          </w:p>
        </w:tc>
        <w:tc>
          <w:tcPr>
            <w:tcW w:w="481" w:type="pct"/>
            <w:shd w:val="clear" w:color="auto" w:fill="auto"/>
            <w:vAlign w:val="center"/>
          </w:tcPr>
          <w:p w14:paraId="43AE6469" w14:textId="77777777" w:rsidR="00F3602E" w:rsidRPr="00E164A7" w:rsidRDefault="00F3602E" w:rsidP="00571D0A">
            <w:pPr>
              <w:pStyle w:val="Tabletext0"/>
              <w:rPr>
                <w:caps/>
                <w:kern w:val="28"/>
                <w:lang w:val="en-GB"/>
              </w:rPr>
            </w:pPr>
            <w:r w:rsidRPr="00D17FF1">
              <w:rPr>
                <w:lang w:val="en-GB"/>
              </w:rPr>
              <w:t>1</w:t>
            </w:r>
          </w:p>
        </w:tc>
        <w:tc>
          <w:tcPr>
            <w:tcW w:w="750" w:type="pct"/>
            <w:shd w:val="clear" w:color="auto" w:fill="auto"/>
            <w:vAlign w:val="center"/>
          </w:tcPr>
          <w:p w14:paraId="144EF7D9" w14:textId="77777777" w:rsidR="00F3602E" w:rsidRPr="00E164A7" w:rsidRDefault="00F3602E" w:rsidP="00571D0A">
            <w:pPr>
              <w:pStyle w:val="Tabletext0"/>
              <w:rPr>
                <w:caps/>
                <w:kern w:val="28"/>
                <w:lang w:val="en-GB"/>
              </w:rPr>
            </w:pPr>
            <w:r w:rsidRPr="00D17FF1">
              <w:rPr>
                <w:lang w:val="en-GB"/>
              </w:rPr>
              <w:t>2</w:t>
            </w:r>
          </w:p>
        </w:tc>
        <w:tc>
          <w:tcPr>
            <w:tcW w:w="569" w:type="pct"/>
            <w:shd w:val="clear" w:color="auto" w:fill="auto"/>
            <w:vAlign w:val="center"/>
          </w:tcPr>
          <w:p w14:paraId="3487024B" w14:textId="77777777" w:rsidR="00F3602E" w:rsidRPr="00E164A7" w:rsidRDefault="00F3602E" w:rsidP="00571D0A">
            <w:pPr>
              <w:pStyle w:val="Tabletext0"/>
              <w:rPr>
                <w:caps/>
                <w:kern w:val="28"/>
                <w:lang w:val="en-GB"/>
              </w:rPr>
            </w:pPr>
            <w:r w:rsidRPr="00D17FF1">
              <w:rPr>
                <w:lang w:val="en-GB"/>
              </w:rPr>
              <w:t>2</w:t>
            </w:r>
          </w:p>
        </w:tc>
      </w:tr>
    </w:tbl>
    <w:p w14:paraId="6F5EA308" w14:textId="77777777" w:rsidR="00F3602E" w:rsidRPr="009219CE" w:rsidRDefault="00F3602E" w:rsidP="001F76AF"/>
    <w:bookmarkStart w:id="135" w:name="_Toc366500431"/>
    <w:bookmarkStart w:id="136" w:name="_Toc366506446"/>
    <w:bookmarkStart w:id="137" w:name="_Toc372125016"/>
    <w:bookmarkStart w:id="138" w:name="_Toc372723833"/>
    <w:bookmarkStart w:id="139" w:name="_Toc378059988"/>
    <w:bookmarkStart w:id="140" w:name="_Toc387675112"/>
    <w:p w14:paraId="1CA15CB3" w14:textId="36F397EC" w:rsidR="00F3602E" w:rsidRPr="00CD2614" w:rsidRDefault="00CD2614" w:rsidP="00B46ACA">
      <w:pPr>
        <w:pStyle w:val="Heading1"/>
        <w:spacing w:after="1200"/>
      </w:pPr>
      <w:r w:rsidRPr="00CD2614">
        <w:rPr>
          <w:noProof/>
        </w:rPr>
        <w:lastRenderedPageBreak/>
        <mc:AlternateContent>
          <mc:Choice Requires="wps">
            <w:drawing>
              <wp:anchor distT="0" distB="0" distL="114300" distR="114300" simplePos="0" relativeHeight="251672576" behindDoc="1" locked="0" layoutInCell="1" allowOverlap="1" wp14:anchorId="1B6F3D7A" wp14:editId="0FDD46D8">
                <wp:simplePos x="0" y="0"/>
                <wp:positionH relativeFrom="page">
                  <wp:align>left</wp:align>
                </wp:positionH>
                <wp:positionV relativeFrom="paragraph">
                  <wp:posOffset>-144145</wp:posOffset>
                </wp:positionV>
                <wp:extent cx="7610400" cy="1468800"/>
                <wp:effectExtent l="0" t="0" r="0" b="0"/>
                <wp:wrapNone/>
                <wp:docPr id="23" name="Rectangle 23"/>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B26DB64" id="Rectangle 23" o:spid="_x0000_s1026" style="position:absolute;margin-left:0;margin-top:-11.35pt;width:599.25pt;height:115.65pt;z-index:-2516439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EglwIAAIgFAAAOAAAAZHJzL2Uyb0RvYy54bWysVMFu2zAMvQ/YPwi6r7YzN82COkXQosOA&#10;oi3aDj0rshQbkEVNUuJkXz9Kst2uK3YYloMiiuQj+Uzy/OLQKbIX1rWgK1qc5JQIzaFu9bai35+u&#10;Py0ocZ7pminQoqJH4ejF6uOH894sxQwaULWwBEG0W/amoo33ZplljjeiY+4EjNColGA75lG026y2&#10;rEf0TmWzPJ9nPdjaWODCOXy9Skq6ivhSCu7vpHTCE1VRzM3H08ZzE85sdc6WW8tM0/IhDfYPWXSs&#10;1Rh0grpinpGdbf+A6lpuwYH0Jxy6DKRsuYg1YDVF/qaax4YZEWtBcpyZaHL/D5bf7u8taeuKzj5T&#10;olmH3+gBWWN6qwTBNySoN26Jdo/m3g6Sw2uo9iBtF/6xDnKIpB4nUsXBE46PZ/MiL3PknqOuKOeL&#10;BQqIk724G+v8VwEdCZeKWowfyWT7G+eT6WgSojlQbX3dKhUFu91cKkv2DL9wMSvLxXxA/81M6WCs&#10;IbglxPCShdJSMfHmj0oEO6UfhERWMP1ZzCT2o5jiMM6F9kVSNawWKfxpjr8xeujg4BErjYABWWL8&#10;CXsAGC0TyIidshzsg6uI7Tw5539LLDlPHjEyaD85d60G+x6AwqqGyMl+JClRE1jaQH3EnrGQhskZ&#10;ft3id7thzt8zi9OD3xo3gr/DQyroKwrDjZIG7M/33oM9NjVqKelxGivqfuyYFZSobxrb/UtRlmF8&#10;o1Cens1QsK81m9cavesuIbQD7h7D4zXYezVepYXuGRfHOkRFFdMcY1eUezsKlz5tCVw9XKzX0QxH&#10;1jB/ox8ND+CB1dCXT4dnZs3QvB77/hbGyWXLNz2cbIOnhvXOg2xjg7/wOvCN4x4bZ1hNYZ+8lqPV&#10;ywJd/QIAAP//AwBQSwMEFAAGAAgAAAAhAJkgKSbdAAAACQEAAA8AAABkcnMvZG93bnJldi54bWxM&#10;j8FOwzAQRO9I/IO1SNxaJ0aUELKpUCU4ROJAS+9uvMQR8TrEbhv+HvcEx9GMZt5U69kN4kRT6D0j&#10;5MsMBHHrTc8dwsfuZVGACFGz0YNnQvihAOv6+qrSpfFnfqfTNnYilXAoNYKNcSylDK0lp8PSj8TJ&#10;+/ST0zHJqZNm0udU7gapsmwlne45LVg90sZS+7U9OoSmILvv3pph/m52udzcvfo9KcTbm/n5CUSk&#10;Of6F4YKf0KFOTAd/ZBPEgJCORISFUg8gLnb+WNyDOCCorFiBrCv5/0H9CwAA//8DAFBLAQItABQA&#10;BgAIAAAAIQC2gziS/gAAAOEBAAATAAAAAAAAAAAAAAAAAAAAAABbQ29udGVudF9UeXBlc10ueG1s&#10;UEsBAi0AFAAGAAgAAAAhADj9If/WAAAAlAEAAAsAAAAAAAAAAAAAAAAALwEAAF9yZWxzLy5yZWxz&#10;UEsBAi0AFAAGAAgAAAAhAEN54SCXAgAAiAUAAA4AAAAAAAAAAAAAAAAALgIAAGRycy9lMm9Eb2Mu&#10;eG1sUEsBAi0AFAAGAAgAAAAhAJkgKSbdAAAACQEAAA8AAAAAAAAAAAAAAAAA8QQAAGRycy9kb3du&#10;cmV2LnhtbFBLBQYAAAAABAAEAPMAAAD7BQAAAAA=&#10;" fillcolor="#124486" stroked="f" strokeweight="2pt">
                <w10:wrap anchorx="page"/>
              </v:rect>
            </w:pict>
          </mc:Fallback>
        </mc:AlternateContent>
      </w:r>
      <w:r>
        <w:t>5</w:t>
      </w:r>
      <w:r>
        <w:tab/>
      </w:r>
      <w:r w:rsidR="00F3602E" w:rsidRPr="00CD2614">
        <w:t xml:space="preserve">Factors </w:t>
      </w:r>
      <w:r w:rsidR="008B45A6" w:rsidRPr="00CD2614">
        <w:t>influencing</w:t>
      </w:r>
      <w:r w:rsidR="00F3602E" w:rsidRPr="00CD2614">
        <w:t xml:space="preserve"> evaluation quality</w:t>
      </w:r>
      <w:bookmarkEnd w:id="135"/>
      <w:bookmarkEnd w:id="136"/>
      <w:bookmarkEnd w:id="137"/>
      <w:bookmarkEnd w:id="138"/>
      <w:bookmarkEnd w:id="139"/>
      <w:r w:rsidR="003D5DBD" w:rsidRPr="00CD2614">
        <w:t xml:space="preserve"> and utility</w:t>
      </w:r>
      <w:bookmarkEnd w:id="140"/>
    </w:p>
    <w:p w14:paraId="756DFCFD" w14:textId="1A0F71BB" w:rsidR="00A81190" w:rsidRDefault="00CE6804" w:rsidP="00262527">
      <w:r>
        <w:t>T</w:t>
      </w:r>
      <w:r w:rsidR="00286882">
        <w:t xml:space="preserve">his chapter </w:t>
      </w:r>
      <w:r w:rsidR="00D63B27">
        <w:t>identif</w:t>
      </w:r>
      <w:r w:rsidR="00791522">
        <w:t>ies</w:t>
      </w:r>
      <w:r w:rsidR="00F3602E">
        <w:t xml:space="preserve"> </w:t>
      </w:r>
      <w:r w:rsidR="009474A2">
        <w:t xml:space="preserve">underlying </w:t>
      </w:r>
      <w:r w:rsidR="00F3602E">
        <w:t>factors contributing to</w:t>
      </w:r>
      <w:r w:rsidR="00D63B27">
        <w:t xml:space="preserve"> </w:t>
      </w:r>
      <w:r w:rsidR="005271A4">
        <w:t>or</w:t>
      </w:r>
      <w:r w:rsidR="00D63B27">
        <w:t xml:space="preserve"> inhibiting</w:t>
      </w:r>
      <w:r w:rsidR="00F3602E">
        <w:t xml:space="preserve"> </w:t>
      </w:r>
      <w:r w:rsidR="00262527">
        <w:t>evaluation</w:t>
      </w:r>
      <w:r>
        <w:t xml:space="preserve"> quality and utility</w:t>
      </w:r>
      <w:r w:rsidR="00286882">
        <w:t>.</w:t>
      </w:r>
      <w:r w:rsidR="00A74814">
        <w:t xml:space="preserve"> </w:t>
      </w:r>
      <w:r w:rsidR="00E629ED">
        <w:t>The findings are presented thematically and, w</w:t>
      </w:r>
      <w:r w:rsidR="00286882">
        <w:t xml:space="preserve">here possible, we have triangulated between </w:t>
      </w:r>
      <w:r w:rsidR="00F3602E">
        <w:t xml:space="preserve">quantitative and qualitative </w:t>
      </w:r>
      <w:r w:rsidR="00286882">
        <w:t xml:space="preserve">evidence and </w:t>
      </w:r>
      <w:r w:rsidR="00F3602E">
        <w:t>analysis</w:t>
      </w:r>
      <w:r w:rsidR="00E629ED">
        <w:t>.</w:t>
      </w:r>
      <w:r w:rsidR="00286882">
        <w:t xml:space="preserve"> </w:t>
      </w:r>
      <w:r w:rsidR="00A81190">
        <w:t>We present only th</w:t>
      </w:r>
      <w:r w:rsidR="00E629ED">
        <w:t>e</w:t>
      </w:r>
      <w:r w:rsidR="00A81190">
        <w:t xml:space="preserve"> findings that emerged most clearly.</w:t>
      </w:r>
      <w:r w:rsidR="00A74814">
        <w:t xml:space="preserve"> </w:t>
      </w:r>
    </w:p>
    <w:p w14:paraId="178F7E6F" w14:textId="6FDF6FF9" w:rsidR="00F3602E" w:rsidRDefault="00E629ED" w:rsidP="00832D6D">
      <w:r>
        <w:t>The q</w:t>
      </w:r>
      <w:r w:rsidR="00F3602E">
        <w:t>uantitative analysis examined the relationship between our quality assessments against the 15 quality criteria and a range of variables or possible explanatory factors.</w:t>
      </w:r>
      <w:r w:rsidR="00A74814">
        <w:t xml:space="preserve"> </w:t>
      </w:r>
      <w:r w:rsidR="00F3602E">
        <w:t xml:space="preserve">We focused in particular on the </w:t>
      </w:r>
      <w:r w:rsidR="00744801">
        <w:t>‘</w:t>
      </w:r>
      <w:r w:rsidR="00F3602E">
        <w:t>credibility of evidence and analysis</w:t>
      </w:r>
      <w:r w:rsidR="00744801">
        <w:t>’</w:t>
      </w:r>
      <w:r w:rsidR="00F3602E">
        <w:t xml:space="preserve"> criterion as the one </w:t>
      </w:r>
      <w:r w:rsidR="00055999">
        <w:t xml:space="preserve">summary </w:t>
      </w:r>
      <w:r w:rsidR="00F3602E">
        <w:t xml:space="preserve">measure of evaluation quality. This was based on the principle that this criterion </w:t>
      </w:r>
      <w:r w:rsidR="00055999">
        <w:t>is</w:t>
      </w:r>
      <w:r>
        <w:t xml:space="preserve"> not only</w:t>
      </w:r>
      <w:r w:rsidR="00055999">
        <w:t xml:space="preserve"> </w:t>
      </w:r>
      <w:r w:rsidR="00F3602E">
        <w:t xml:space="preserve">the most important of the quality criteria but also </w:t>
      </w:r>
      <w:r>
        <w:t>has</w:t>
      </w:r>
      <w:r w:rsidR="00F3602E">
        <w:t xml:space="preserve"> the highest level of correlation with the other criteria</w:t>
      </w:r>
      <w:r w:rsidR="00A94536">
        <w:t xml:space="preserve"> (as discussed in section </w:t>
      </w:r>
      <w:r w:rsidR="00A94536">
        <w:fldChar w:fldCharType="begin"/>
      </w:r>
      <w:r w:rsidR="00A94536">
        <w:instrText xml:space="preserve"> REF _Ref379184079 \r \h </w:instrText>
      </w:r>
      <w:r w:rsidR="00A94536">
        <w:fldChar w:fldCharType="separate"/>
      </w:r>
      <w:r w:rsidR="00147362">
        <w:t>4.2</w:t>
      </w:r>
      <w:r w:rsidR="00A94536">
        <w:fldChar w:fldCharType="end"/>
      </w:r>
      <w:r w:rsidR="00A94536">
        <w:t>)</w:t>
      </w:r>
      <w:r w:rsidR="00F3602E" w:rsidRPr="00791522">
        <w:t>.</w:t>
      </w:r>
      <w:r w:rsidR="00A74814">
        <w:t xml:space="preserve"> </w:t>
      </w:r>
      <w:r>
        <w:t>O</w:t>
      </w:r>
      <w:r w:rsidR="00791522" w:rsidRPr="00791522">
        <w:t>ur analysis</w:t>
      </w:r>
      <w:r w:rsidR="00055999" w:rsidRPr="00791522">
        <w:t xml:space="preserve"> </w:t>
      </w:r>
      <w:r>
        <w:t>was</w:t>
      </w:r>
      <w:r w:rsidR="00055999" w:rsidRPr="00791522">
        <w:t xml:space="preserve"> limited </w:t>
      </w:r>
      <w:r w:rsidR="00791522" w:rsidRPr="00791522">
        <w:t xml:space="preserve">in many cases </w:t>
      </w:r>
      <w:r w:rsidR="00055999" w:rsidRPr="00791522">
        <w:t>by</w:t>
      </w:r>
      <w:r w:rsidR="00791522" w:rsidRPr="00791522">
        <w:t xml:space="preserve"> small or</w:t>
      </w:r>
      <w:r w:rsidR="00055999" w:rsidRPr="00791522">
        <w:t xml:space="preserve"> </w:t>
      </w:r>
      <w:r w:rsidR="00286882" w:rsidRPr="00791522">
        <w:t>incomplete data sets</w:t>
      </w:r>
      <w:r w:rsidR="00791522" w:rsidRPr="00791522">
        <w:t>.</w:t>
      </w:r>
      <w:r w:rsidR="00055999">
        <w:t xml:space="preserve"> </w:t>
      </w:r>
    </w:p>
    <w:p w14:paraId="76F21A00" w14:textId="77777777" w:rsidR="00F312D4" w:rsidRDefault="00F3602E" w:rsidP="00832D6D">
      <w:r>
        <w:t xml:space="preserve">Qualitative evidence was collected during interviews with </w:t>
      </w:r>
      <w:r w:rsidR="00A81190">
        <w:t xml:space="preserve">14 consultants who had responsibility for writing the evaluation reports, </w:t>
      </w:r>
      <w:r>
        <w:t xml:space="preserve">10 </w:t>
      </w:r>
      <w:r w:rsidR="00791522">
        <w:t xml:space="preserve">Australian Government </w:t>
      </w:r>
      <w:r>
        <w:t>aid initiative managers</w:t>
      </w:r>
      <w:r w:rsidR="00791522">
        <w:t xml:space="preserve"> and </w:t>
      </w:r>
      <w:r>
        <w:t xml:space="preserve">three </w:t>
      </w:r>
      <w:r w:rsidR="00A81190">
        <w:t xml:space="preserve">Australian Government senior </w:t>
      </w:r>
      <w:r>
        <w:t>executives.</w:t>
      </w:r>
      <w:r w:rsidR="00791522">
        <w:rPr>
          <w:rStyle w:val="FootnoteReference"/>
        </w:rPr>
        <w:footnoteReference w:id="32"/>
      </w:r>
      <w:r w:rsidR="00A74814">
        <w:t xml:space="preserve"> </w:t>
      </w:r>
      <w:r w:rsidR="00581BBF">
        <w:t xml:space="preserve">The two former groups of interviewees were selected on the basis of their association with evaluations assessed </w:t>
      </w:r>
      <w:r w:rsidR="0030063F">
        <w:t xml:space="preserve">across several criteria </w:t>
      </w:r>
      <w:r w:rsidR="00581BBF">
        <w:t>as either adequate quality or inadequate quality</w:t>
      </w:r>
      <w:r w:rsidR="00581BBF" w:rsidRPr="005271A4">
        <w:rPr>
          <w:rFonts w:ascii="Cambria" w:hAnsi="Cambria"/>
          <w:szCs w:val="24"/>
        </w:rPr>
        <w:t>.</w:t>
      </w:r>
      <w:r w:rsidR="00A74814">
        <w:rPr>
          <w:rFonts w:ascii="Cambria" w:hAnsi="Cambria"/>
          <w:szCs w:val="24"/>
        </w:rPr>
        <w:t xml:space="preserve"> </w:t>
      </w:r>
      <w:r>
        <w:t xml:space="preserve">The </w:t>
      </w:r>
      <w:r w:rsidR="00F312D4">
        <w:t xml:space="preserve">key </w:t>
      </w:r>
      <w:r>
        <w:t xml:space="preserve">purpose of the interviews was to gain a deeper understanding of the factors that enable or inhibit </w:t>
      </w:r>
      <w:r w:rsidR="005271A4">
        <w:t>evaluation</w:t>
      </w:r>
      <w:r>
        <w:t xml:space="preserve"> quality.</w:t>
      </w:r>
      <w:r w:rsidR="00A74814">
        <w:t xml:space="preserve"> </w:t>
      </w:r>
    </w:p>
    <w:p w14:paraId="40DC5C40" w14:textId="616425BB" w:rsidR="00F3602E" w:rsidRDefault="005E75C1" w:rsidP="00F312D4">
      <w:r>
        <w:t xml:space="preserve">While </w:t>
      </w:r>
      <w:r w:rsidR="00F312D4">
        <w:t xml:space="preserve">we did not set out to make evaluation utility a focus of this review, the evidence from interviews </w:t>
      </w:r>
      <w:r w:rsidR="00A94536">
        <w:t>raised</w:t>
      </w:r>
      <w:r w:rsidR="00F312D4">
        <w:t xml:space="preserve"> significant issues around evaluation utility and </w:t>
      </w:r>
      <w:r w:rsidR="00A94536">
        <w:t xml:space="preserve">suggested </w:t>
      </w:r>
      <w:r w:rsidR="00F312D4">
        <w:t>that evaluation quality and utility are closely linked.</w:t>
      </w:r>
    </w:p>
    <w:p w14:paraId="60CBCC9A" w14:textId="77777777" w:rsidR="009814FE" w:rsidRDefault="009814FE" w:rsidP="00262527">
      <w:pPr>
        <w:pStyle w:val="Heading2"/>
        <w:numPr>
          <w:ilvl w:val="0"/>
          <w:numId w:val="52"/>
        </w:numPr>
        <w:ind w:left="357" w:hanging="357"/>
        <w:rPr>
          <w:rFonts w:eastAsiaTheme="majorEastAsia"/>
        </w:rPr>
      </w:pPr>
      <w:bookmarkStart w:id="141" w:name="_Toc378059989"/>
      <w:bookmarkStart w:id="142" w:name="_Ref380604640"/>
      <w:bookmarkStart w:id="143" w:name="_Ref383522337"/>
      <w:bookmarkStart w:id="144" w:name="_Toc387675113"/>
      <w:bookmarkStart w:id="145" w:name="_Toc372723834"/>
      <w:r>
        <w:rPr>
          <w:rFonts w:eastAsiaTheme="majorEastAsia"/>
        </w:rPr>
        <w:t>Characteristics of the aid initiative</w:t>
      </w:r>
      <w:bookmarkEnd w:id="141"/>
      <w:bookmarkEnd w:id="142"/>
      <w:bookmarkEnd w:id="143"/>
      <w:bookmarkEnd w:id="144"/>
    </w:p>
    <w:p w14:paraId="0575297C" w14:textId="4A4DDCFA" w:rsidR="00A94536" w:rsidRPr="00D47626" w:rsidRDefault="00E238BC" w:rsidP="00A94536">
      <w:bookmarkStart w:id="146" w:name="_Toc373304238"/>
      <w:bookmarkEnd w:id="145"/>
      <w:r w:rsidRPr="00A94536">
        <w:rPr>
          <w:rFonts w:eastAsiaTheme="minorEastAsia"/>
        </w:rPr>
        <w:t>We</w:t>
      </w:r>
      <w:r w:rsidR="00F9170C" w:rsidRPr="00A94536">
        <w:rPr>
          <w:rFonts w:eastAsiaTheme="minorEastAsia"/>
        </w:rPr>
        <w:t xml:space="preserve"> found </w:t>
      </w:r>
      <w:r w:rsidR="00AC60F9" w:rsidRPr="00A94536">
        <w:rPr>
          <w:rFonts w:eastAsiaTheme="minorEastAsia"/>
        </w:rPr>
        <w:t>some</w:t>
      </w:r>
      <w:r w:rsidR="00A94536" w:rsidRPr="00A94536">
        <w:rPr>
          <w:rFonts w:eastAsiaTheme="minorEastAsia"/>
        </w:rPr>
        <w:t xml:space="preserve"> </w:t>
      </w:r>
      <w:r w:rsidR="00AC60F9" w:rsidRPr="00A94536">
        <w:rPr>
          <w:rFonts w:eastAsiaTheme="minorEastAsia"/>
        </w:rPr>
        <w:t>variation in evaluation quality</w:t>
      </w:r>
      <w:r w:rsidR="004C3BB3" w:rsidRPr="00A94536">
        <w:rPr>
          <w:rFonts w:eastAsiaTheme="minorEastAsia"/>
        </w:rPr>
        <w:t xml:space="preserve"> </w:t>
      </w:r>
      <w:r w:rsidR="00AC60F9" w:rsidRPr="00A94536">
        <w:rPr>
          <w:rFonts w:eastAsiaTheme="minorEastAsia"/>
        </w:rPr>
        <w:t xml:space="preserve">depending on the </w:t>
      </w:r>
      <w:r w:rsidR="004C3BB3" w:rsidRPr="00A94536">
        <w:rPr>
          <w:rFonts w:eastAsiaTheme="minorEastAsia"/>
        </w:rPr>
        <w:t>value of the aid initiative</w:t>
      </w:r>
      <w:r w:rsidR="00E629ED">
        <w:rPr>
          <w:rFonts w:eastAsiaTheme="minorEastAsia"/>
        </w:rPr>
        <w:t>. M</w:t>
      </w:r>
      <w:r w:rsidR="005857B1">
        <w:rPr>
          <w:rFonts w:eastAsiaTheme="minorEastAsia"/>
        </w:rPr>
        <w:t>ost</w:t>
      </w:r>
      <w:r w:rsidR="00A94536" w:rsidRPr="00A94536">
        <w:rPr>
          <w:rFonts w:eastAsiaTheme="minorEastAsia"/>
        </w:rPr>
        <w:t xml:space="preserve"> notabl</w:t>
      </w:r>
      <w:r w:rsidR="005857B1">
        <w:rPr>
          <w:rFonts w:eastAsiaTheme="minorEastAsia"/>
        </w:rPr>
        <w:t>y</w:t>
      </w:r>
      <w:r w:rsidR="00AC60F9" w:rsidRPr="00A94536">
        <w:rPr>
          <w:rFonts w:eastAsiaTheme="minorEastAsia"/>
        </w:rPr>
        <w:t xml:space="preserve"> a lower proportion of evaluations for very large initiatives </w:t>
      </w:r>
      <w:r w:rsidR="00E629ED">
        <w:rPr>
          <w:rFonts w:eastAsiaTheme="minorEastAsia"/>
        </w:rPr>
        <w:t xml:space="preserve">were </w:t>
      </w:r>
      <w:r w:rsidR="00AC60F9" w:rsidRPr="00A94536">
        <w:rPr>
          <w:rFonts w:eastAsiaTheme="minorEastAsia"/>
        </w:rPr>
        <w:t xml:space="preserve">found to be </w:t>
      </w:r>
      <w:r w:rsidR="00E629ED">
        <w:rPr>
          <w:rFonts w:eastAsiaTheme="minorEastAsia"/>
        </w:rPr>
        <w:t xml:space="preserve">of </w:t>
      </w:r>
      <w:r w:rsidR="00AC60F9" w:rsidRPr="00A94536">
        <w:rPr>
          <w:rFonts w:eastAsiaTheme="minorEastAsia"/>
        </w:rPr>
        <w:t>adequate quality.</w:t>
      </w:r>
      <w:r w:rsidR="004C3BB3" w:rsidRPr="00A94536">
        <w:rPr>
          <w:rFonts w:eastAsiaTheme="minorEastAsia"/>
        </w:rPr>
        <w:t xml:space="preserve"> </w:t>
      </w:r>
      <w:r w:rsidR="00A94536" w:rsidRPr="00A94536">
        <w:rPr>
          <w:rFonts w:eastAsiaTheme="minorEastAsia"/>
        </w:rPr>
        <w:t>There</w:t>
      </w:r>
      <w:r w:rsidR="00A94536" w:rsidRPr="00AC60F9">
        <w:rPr>
          <w:rFonts w:eastAsiaTheme="minorEastAsia"/>
        </w:rPr>
        <w:t xml:space="preserve"> was also some variation in evaluation quality across sectors.</w:t>
      </w:r>
    </w:p>
    <w:p w14:paraId="7AC51EFC" w14:textId="77777777" w:rsidR="005271A4" w:rsidRDefault="005271A4" w:rsidP="005271A4">
      <w:pPr>
        <w:pStyle w:val="Heading3"/>
        <w:rPr>
          <w:rFonts w:eastAsiaTheme="minorEastAsia"/>
        </w:rPr>
      </w:pPr>
      <w:r w:rsidRPr="003B0028">
        <w:rPr>
          <w:rFonts w:eastAsiaTheme="minorEastAsia"/>
        </w:rPr>
        <w:t xml:space="preserve">Initiative </w:t>
      </w:r>
      <w:r>
        <w:rPr>
          <w:rFonts w:eastAsiaTheme="minorEastAsia"/>
        </w:rPr>
        <w:t>value</w:t>
      </w:r>
    </w:p>
    <w:p w14:paraId="77429870" w14:textId="1A7B1B57" w:rsidR="00A94536" w:rsidRPr="00A94536" w:rsidRDefault="00E629ED" w:rsidP="00A94536">
      <w:pPr>
        <w:rPr>
          <w:color w:val="000000" w:themeColor="text1"/>
        </w:rPr>
      </w:pPr>
      <w:r>
        <w:rPr>
          <w:color w:val="000000" w:themeColor="text1"/>
        </w:rPr>
        <w:t>O</w:t>
      </w:r>
      <w:r w:rsidR="00A94536" w:rsidRPr="00A94536">
        <w:rPr>
          <w:color w:val="000000" w:themeColor="text1"/>
        </w:rPr>
        <w:t>n average, more resources tended to be applied to evaluating larger initiatives</w:t>
      </w:r>
      <w:r w:rsidR="00AA60F8">
        <w:rPr>
          <w:color w:val="000000" w:themeColor="text1"/>
        </w:rPr>
        <w:t>.</w:t>
      </w:r>
      <w:r w:rsidR="00A74814">
        <w:rPr>
          <w:color w:val="000000" w:themeColor="text1"/>
        </w:rPr>
        <w:t xml:space="preserve"> </w:t>
      </w:r>
      <w:r>
        <w:rPr>
          <w:color w:val="000000" w:themeColor="text1"/>
        </w:rPr>
        <w:t>U</w:t>
      </w:r>
      <w:r w:rsidR="00AA60F8">
        <w:rPr>
          <w:color w:val="000000" w:themeColor="text1"/>
        </w:rPr>
        <w:t xml:space="preserve">p to a point, higher initiative value </w:t>
      </w:r>
      <w:r w:rsidR="00A94536" w:rsidRPr="00A94536">
        <w:rPr>
          <w:color w:val="000000" w:themeColor="text1"/>
        </w:rPr>
        <w:t>corresponded with higher evaluation quality.</w:t>
      </w:r>
      <w:r w:rsidR="00A74814">
        <w:rPr>
          <w:color w:val="000000" w:themeColor="text1"/>
        </w:rPr>
        <w:t xml:space="preserve"> </w:t>
      </w:r>
      <w:r w:rsidR="00A94536" w:rsidRPr="00A94536">
        <w:rPr>
          <w:color w:val="000000" w:themeColor="text1"/>
        </w:rPr>
        <w:t>Of the 63 evaluations of initiatives valued at less than $35</w:t>
      </w:r>
      <w:r>
        <w:rPr>
          <w:color w:val="000000" w:themeColor="text1"/>
        </w:rPr>
        <w:t> </w:t>
      </w:r>
      <w:r w:rsidR="00A94536" w:rsidRPr="00A94536">
        <w:rPr>
          <w:color w:val="000000" w:themeColor="text1"/>
        </w:rPr>
        <w:t>million (the average value of the evaluated initiatives), 71</w:t>
      </w:r>
      <w:r>
        <w:rPr>
          <w:color w:val="000000" w:themeColor="text1"/>
        </w:rPr>
        <w:t> </w:t>
      </w:r>
      <w:r w:rsidR="00A94536" w:rsidRPr="00A94536">
        <w:rPr>
          <w:color w:val="000000" w:themeColor="text1"/>
        </w:rPr>
        <w:t>per cent were found to have credible evidence and analysis.</w:t>
      </w:r>
      <w:r w:rsidR="00A74814">
        <w:rPr>
          <w:color w:val="000000" w:themeColor="text1"/>
        </w:rPr>
        <w:t xml:space="preserve"> </w:t>
      </w:r>
      <w:r w:rsidR="00A94536" w:rsidRPr="00A94536">
        <w:rPr>
          <w:color w:val="000000" w:themeColor="text1"/>
        </w:rPr>
        <w:t>Of the 15 evaluations for larger initiatives valued between $35</w:t>
      </w:r>
      <w:r>
        <w:rPr>
          <w:color w:val="000000" w:themeColor="text1"/>
        </w:rPr>
        <w:t> </w:t>
      </w:r>
      <w:r w:rsidR="00A94536" w:rsidRPr="00A94536">
        <w:rPr>
          <w:color w:val="000000" w:themeColor="text1"/>
        </w:rPr>
        <w:t>m</w:t>
      </w:r>
      <w:r>
        <w:rPr>
          <w:color w:val="000000" w:themeColor="text1"/>
        </w:rPr>
        <w:t>illion</w:t>
      </w:r>
      <w:r w:rsidR="00A94536" w:rsidRPr="00A94536">
        <w:rPr>
          <w:color w:val="000000" w:themeColor="text1"/>
        </w:rPr>
        <w:t xml:space="preserve"> and $99.9</w:t>
      </w:r>
      <w:r>
        <w:rPr>
          <w:color w:val="000000" w:themeColor="text1"/>
        </w:rPr>
        <w:t> </w:t>
      </w:r>
      <w:r w:rsidR="00A94536" w:rsidRPr="00A94536">
        <w:rPr>
          <w:color w:val="000000" w:themeColor="text1"/>
        </w:rPr>
        <w:t>million, 87</w:t>
      </w:r>
      <w:r>
        <w:rPr>
          <w:color w:val="000000" w:themeColor="text1"/>
        </w:rPr>
        <w:t> </w:t>
      </w:r>
      <w:r w:rsidR="00A94536" w:rsidRPr="00A94536">
        <w:rPr>
          <w:color w:val="000000" w:themeColor="text1"/>
        </w:rPr>
        <w:t>per cent were found to be credible.</w:t>
      </w:r>
      <w:r w:rsidR="00A74814">
        <w:rPr>
          <w:color w:val="000000" w:themeColor="text1"/>
        </w:rPr>
        <w:t xml:space="preserve"> </w:t>
      </w:r>
      <w:r w:rsidR="00A94536" w:rsidRPr="00A94536">
        <w:rPr>
          <w:color w:val="000000" w:themeColor="text1"/>
        </w:rPr>
        <w:t xml:space="preserve">However, of the </w:t>
      </w:r>
      <w:r>
        <w:rPr>
          <w:color w:val="000000" w:themeColor="text1"/>
        </w:rPr>
        <w:t>nine</w:t>
      </w:r>
      <w:r w:rsidR="00A94536" w:rsidRPr="00A94536">
        <w:rPr>
          <w:color w:val="000000" w:themeColor="text1"/>
        </w:rPr>
        <w:t xml:space="preserve"> evaluations for very large initiatives valued at $100</w:t>
      </w:r>
      <w:r>
        <w:rPr>
          <w:color w:val="000000" w:themeColor="text1"/>
        </w:rPr>
        <w:t> </w:t>
      </w:r>
      <w:r w:rsidR="00A94536" w:rsidRPr="00A94536">
        <w:rPr>
          <w:color w:val="000000" w:themeColor="text1"/>
        </w:rPr>
        <w:t xml:space="preserve">million or more, only </w:t>
      </w:r>
      <w:r>
        <w:rPr>
          <w:color w:val="000000" w:themeColor="text1"/>
        </w:rPr>
        <w:t>six</w:t>
      </w:r>
      <w:r w:rsidR="00A94536" w:rsidRPr="00A94536">
        <w:rPr>
          <w:color w:val="000000" w:themeColor="text1"/>
        </w:rPr>
        <w:t>, or 67</w:t>
      </w:r>
      <w:r>
        <w:rPr>
          <w:color w:val="000000" w:themeColor="text1"/>
        </w:rPr>
        <w:t> </w:t>
      </w:r>
      <w:r w:rsidR="00A94536" w:rsidRPr="00A94536">
        <w:rPr>
          <w:color w:val="000000" w:themeColor="text1"/>
        </w:rPr>
        <w:t xml:space="preserve">per cent, were found to be </w:t>
      </w:r>
      <w:r w:rsidR="005857B1">
        <w:rPr>
          <w:color w:val="000000" w:themeColor="text1"/>
        </w:rPr>
        <w:t>credible</w:t>
      </w:r>
      <w:r w:rsidR="00A94536" w:rsidRPr="00A94536">
        <w:rPr>
          <w:color w:val="000000" w:themeColor="text1"/>
        </w:rPr>
        <w:t>.</w:t>
      </w:r>
      <w:r w:rsidR="00A74814">
        <w:rPr>
          <w:color w:val="000000" w:themeColor="text1"/>
        </w:rPr>
        <w:t xml:space="preserve"> </w:t>
      </w:r>
      <w:r w:rsidR="00A94536" w:rsidRPr="00A94536">
        <w:rPr>
          <w:color w:val="000000" w:themeColor="text1"/>
        </w:rPr>
        <w:t>While the small number makes generalisation problematic, this</w:t>
      </w:r>
      <w:r w:rsidR="00DE5683">
        <w:rPr>
          <w:color w:val="000000" w:themeColor="text1"/>
        </w:rPr>
        <w:t xml:space="preserve"> does</w:t>
      </w:r>
      <w:r w:rsidR="00A94536" w:rsidRPr="00A94536">
        <w:rPr>
          <w:color w:val="000000" w:themeColor="text1"/>
        </w:rPr>
        <w:t xml:space="preserve"> suggest </w:t>
      </w:r>
      <w:r w:rsidR="00A94536" w:rsidRPr="00A94536">
        <w:rPr>
          <w:color w:val="000000" w:themeColor="text1"/>
        </w:rPr>
        <w:lastRenderedPageBreak/>
        <w:t>that greater attention to assuring the quality of evaluations for very large value initiatives may be needed</w:t>
      </w:r>
      <w:r w:rsidR="005857B1">
        <w:rPr>
          <w:color w:val="000000" w:themeColor="text1"/>
        </w:rPr>
        <w:t>.</w:t>
      </w:r>
      <w:r w:rsidR="00A74814">
        <w:rPr>
          <w:color w:val="000000" w:themeColor="text1"/>
        </w:rPr>
        <w:t xml:space="preserve"> </w:t>
      </w:r>
    </w:p>
    <w:p w14:paraId="50DEFA4C" w14:textId="77777777" w:rsidR="00F3602E" w:rsidRPr="00BD67FA" w:rsidRDefault="001709BE" w:rsidP="00072058">
      <w:pPr>
        <w:pStyle w:val="Heading3"/>
      </w:pPr>
      <w:r>
        <w:t>S</w:t>
      </w:r>
      <w:r w:rsidR="00F3602E" w:rsidRPr="00BD67FA">
        <w:t>ector</w:t>
      </w:r>
      <w:bookmarkEnd w:id="146"/>
    </w:p>
    <w:p w14:paraId="153507F5" w14:textId="53B4C224" w:rsidR="003777A4" w:rsidRDefault="00F3602E" w:rsidP="00072058">
      <w:r>
        <w:t xml:space="preserve">We analysed the </w:t>
      </w:r>
      <w:r w:rsidR="00E444D7">
        <w:t>quality</w:t>
      </w:r>
      <w:r>
        <w:t xml:space="preserve"> of the evaluations by sector</w:t>
      </w:r>
      <w:r w:rsidR="00E444D7">
        <w:t xml:space="preserve">, using the </w:t>
      </w:r>
      <w:r w:rsidR="00647877">
        <w:t>‘</w:t>
      </w:r>
      <w:r w:rsidR="00E444D7">
        <w:t>credibility of evidence and analysis</w:t>
      </w:r>
      <w:r w:rsidR="00647877">
        <w:t>’</w:t>
      </w:r>
      <w:r w:rsidR="00E444D7">
        <w:t xml:space="preserve"> criteri</w:t>
      </w:r>
      <w:r w:rsidR="00F9170C">
        <w:t>on</w:t>
      </w:r>
      <w:r w:rsidR="00E444D7">
        <w:t xml:space="preserve"> as a proxy for overall evaluation quality</w:t>
      </w:r>
      <w:r>
        <w:t>.</w:t>
      </w:r>
      <w:r w:rsidR="00F9170C" w:rsidRPr="00B41283">
        <w:rPr>
          <w:rStyle w:val="FootnoteReference"/>
        </w:rPr>
        <w:footnoteReference w:id="33"/>
      </w:r>
      <w:r w:rsidR="00A74814">
        <w:t xml:space="preserve"> </w:t>
      </w:r>
    </w:p>
    <w:p w14:paraId="2E7F0D62" w14:textId="00429D24" w:rsidR="002660D0" w:rsidRDefault="00647877" w:rsidP="00072058">
      <w:r>
        <w:t>T</w:t>
      </w:r>
      <w:r w:rsidR="002660D0">
        <w:t>he</w:t>
      </w:r>
      <w:r w:rsidR="00D62DFE">
        <w:t xml:space="preserve"> infrastructure</w:t>
      </w:r>
      <w:r w:rsidR="008E12D4">
        <w:t>, humanitarian response</w:t>
      </w:r>
      <w:r>
        <w:t>,</w:t>
      </w:r>
      <w:r w:rsidR="008E12D4">
        <w:t xml:space="preserve"> </w:t>
      </w:r>
      <w:r w:rsidR="009A65FA">
        <w:t>education</w:t>
      </w:r>
      <w:r>
        <w:t>,</w:t>
      </w:r>
      <w:r w:rsidR="005D72FC">
        <w:t xml:space="preserve"> </w:t>
      </w:r>
      <w:r>
        <w:t xml:space="preserve">and </w:t>
      </w:r>
      <w:r w:rsidR="005D72FC">
        <w:t>general development support</w:t>
      </w:r>
      <w:r>
        <w:t xml:space="preserve"> sectors</w:t>
      </w:r>
      <w:r w:rsidR="00E4199D">
        <w:t xml:space="preserve"> </w:t>
      </w:r>
      <w:r w:rsidR="002660D0">
        <w:t>had</w:t>
      </w:r>
      <w:r w:rsidR="00E4199D">
        <w:t xml:space="preserve"> a higher than average proportion of</w:t>
      </w:r>
      <w:r>
        <w:t xml:space="preserve"> credible</w:t>
      </w:r>
      <w:r w:rsidR="00E4199D">
        <w:t xml:space="preserve"> evaluations</w:t>
      </w:r>
      <w:r w:rsidR="00BD67FA">
        <w:t>.</w:t>
      </w:r>
      <w:r w:rsidR="00A74814">
        <w:t xml:space="preserve"> </w:t>
      </w:r>
    </w:p>
    <w:p w14:paraId="5B313819" w14:textId="086E205B" w:rsidR="002660D0" w:rsidRDefault="00C23D5B" w:rsidP="002660D0">
      <w:r>
        <w:t>The food security and rural development</w:t>
      </w:r>
      <w:r w:rsidR="00647877">
        <w:t xml:space="preserve"> sector</w:t>
      </w:r>
      <w:r>
        <w:t xml:space="preserve"> and </w:t>
      </w:r>
      <w:r w:rsidR="00647877">
        <w:t xml:space="preserve">the </w:t>
      </w:r>
      <w:r>
        <w:t>human rights sector had a lower than average proportion of evaluations assessed as credible.</w:t>
      </w:r>
      <w:r w:rsidR="00A74814">
        <w:t xml:space="preserve"> </w:t>
      </w:r>
      <w:r>
        <w:t xml:space="preserve">In particular, the human rights sector had only </w:t>
      </w:r>
      <w:r w:rsidR="00647877">
        <w:t>five</w:t>
      </w:r>
      <w:r>
        <w:t xml:space="preserve"> out of 10 evaluations assessed as credible.</w:t>
      </w:r>
      <w:r w:rsidR="00A74814">
        <w:t xml:space="preserve"> </w:t>
      </w:r>
      <w:r w:rsidR="002660D0">
        <w:t>We were not able</w:t>
      </w:r>
      <w:r w:rsidR="00D45D1E">
        <w:t xml:space="preserve"> </w:t>
      </w:r>
      <w:r w:rsidR="002660D0">
        <w:t xml:space="preserve">to identify clear reasons for weaker evaluation quality in these two sectors, </w:t>
      </w:r>
      <w:r w:rsidR="00196B2D">
        <w:t xml:space="preserve">although </w:t>
      </w:r>
      <w:r w:rsidR="009F79CD">
        <w:t>both had</w:t>
      </w:r>
      <w:r w:rsidR="00196B2D">
        <w:t xml:space="preserve"> lower</w:t>
      </w:r>
      <w:r w:rsidR="00A94536">
        <w:t xml:space="preserve"> than average</w:t>
      </w:r>
      <w:r w:rsidR="00196B2D">
        <w:t xml:space="preserve"> </w:t>
      </w:r>
      <w:r w:rsidR="009F79CD">
        <w:t>value initiatives</w:t>
      </w:r>
      <w:r w:rsidR="00196B2D">
        <w:t>.</w:t>
      </w:r>
      <w:r w:rsidR="00A74814">
        <w:t xml:space="preserve"> </w:t>
      </w:r>
      <w:r w:rsidR="00196B2D">
        <w:t>I</w:t>
      </w:r>
      <w:r w:rsidR="002660D0">
        <w:t>t may be worth focusing more support and quality assurance in these sectors.</w:t>
      </w:r>
    </w:p>
    <w:p w14:paraId="0A420C93" w14:textId="4DE4D9C5" w:rsidR="003777A4" w:rsidRDefault="003777A4" w:rsidP="00072058">
      <w:r>
        <w:t>Other sectors were either comparable to the overall average or did not have enough evaluations to make a comparison.</w:t>
      </w:r>
      <w:r w:rsidR="00A74814">
        <w:t xml:space="preserve"> </w:t>
      </w:r>
      <w:r w:rsidR="007F03E6">
        <w:t>See Annex</w:t>
      </w:r>
      <w:r w:rsidR="008466D8">
        <w:t> </w:t>
      </w:r>
      <w:r w:rsidR="005304BA">
        <w:t>4</w:t>
      </w:r>
      <w:r w:rsidR="008466D8">
        <w:t>,</w:t>
      </w:r>
      <w:r w:rsidR="007F03E6">
        <w:t xml:space="preserve"> </w:t>
      </w:r>
      <w:r w:rsidR="007F03E6">
        <w:fldChar w:fldCharType="begin"/>
      </w:r>
      <w:r w:rsidR="007F03E6">
        <w:instrText xml:space="preserve"> REF _Ref372717848 \h  \* MERGEFORMAT </w:instrText>
      </w:r>
      <w:r w:rsidR="007F03E6">
        <w:fldChar w:fldCharType="separate"/>
      </w:r>
      <w:r w:rsidR="00147362" w:rsidRPr="00E57F60">
        <w:t xml:space="preserve">Figure </w:t>
      </w:r>
      <w:r w:rsidR="00147362">
        <w:t>11</w:t>
      </w:r>
      <w:r w:rsidR="007F03E6">
        <w:fldChar w:fldCharType="end"/>
      </w:r>
      <w:r w:rsidR="007F03E6">
        <w:t xml:space="preserve"> for more detailed findings of our analysis.</w:t>
      </w:r>
    </w:p>
    <w:p w14:paraId="22E90FB0" w14:textId="5F83293D" w:rsidR="00320879" w:rsidRDefault="00320879" w:rsidP="00320879">
      <w:pPr>
        <w:pStyle w:val="Heading3"/>
        <w:rPr>
          <w:rFonts w:eastAsiaTheme="minorEastAsia"/>
        </w:rPr>
      </w:pPr>
      <w:bookmarkStart w:id="147" w:name="_Toc373304236"/>
      <w:bookmarkStart w:id="148" w:name="_Toc373304239"/>
      <w:r>
        <w:rPr>
          <w:rFonts w:eastAsiaTheme="minorEastAsia"/>
        </w:rPr>
        <w:t xml:space="preserve">Quality of initiative </w:t>
      </w:r>
      <w:r w:rsidR="008466D8">
        <w:rPr>
          <w:rFonts w:eastAsiaTheme="minorEastAsia"/>
        </w:rPr>
        <w:t>monitoring and evaluation</w:t>
      </w:r>
      <w:r>
        <w:rPr>
          <w:rFonts w:eastAsiaTheme="minorEastAsia"/>
        </w:rPr>
        <w:t xml:space="preserve"> system</w:t>
      </w:r>
    </w:p>
    <w:p w14:paraId="620B93D3" w14:textId="74BB4D9C" w:rsidR="000139D0" w:rsidRPr="004C414F" w:rsidRDefault="00320879" w:rsidP="000139D0">
      <w:pPr>
        <w:rPr>
          <w:rFonts w:eastAsiaTheme="minorEastAsia"/>
          <w:color w:val="000000" w:themeColor="text1"/>
        </w:rPr>
      </w:pPr>
      <w:r w:rsidRPr="000011B2">
        <w:rPr>
          <w:rFonts w:eastAsiaTheme="minorEastAsia"/>
        </w:rPr>
        <w:t>Another</w:t>
      </w:r>
      <w:r>
        <w:rPr>
          <w:rFonts w:eastAsiaTheme="minorEastAsia"/>
        </w:rPr>
        <w:t xml:space="preserve"> important</w:t>
      </w:r>
      <w:r w:rsidRPr="000011B2">
        <w:rPr>
          <w:rFonts w:eastAsiaTheme="minorEastAsia"/>
        </w:rPr>
        <w:t xml:space="preserve"> </w:t>
      </w:r>
      <w:r>
        <w:rPr>
          <w:rFonts w:eastAsiaTheme="minorEastAsia"/>
        </w:rPr>
        <w:t xml:space="preserve">initiative </w:t>
      </w:r>
      <w:r w:rsidRPr="000011B2">
        <w:rPr>
          <w:rFonts w:eastAsiaTheme="minorEastAsia"/>
        </w:rPr>
        <w:t xml:space="preserve">characteristic likely to have </w:t>
      </w:r>
      <w:r>
        <w:rPr>
          <w:rFonts w:eastAsiaTheme="minorEastAsia"/>
        </w:rPr>
        <w:t xml:space="preserve">an </w:t>
      </w:r>
      <w:r w:rsidRPr="000011B2">
        <w:rPr>
          <w:rFonts w:eastAsiaTheme="minorEastAsia"/>
        </w:rPr>
        <w:t>impact on evaluation quality is the quality of the initiative</w:t>
      </w:r>
      <w:r w:rsidR="00744801">
        <w:rPr>
          <w:rFonts w:eastAsiaTheme="minorEastAsia"/>
        </w:rPr>
        <w:t>’</w:t>
      </w:r>
      <w:r w:rsidRPr="000011B2">
        <w:rPr>
          <w:rFonts w:eastAsiaTheme="minorEastAsia"/>
        </w:rPr>
        <w:t xml:space="preserve">s </w:t>
      </w:r>
      <w:r w:rsidR="008466D8">
        <w:rPr>
          <w:rFonts w:eastAsiaTheme="minorEastAsia"/>
        </w:rPr>
        <w:t>monitoring and evaluation (</w:t>
      </w:r>
      <w:r w:rsidRPr="000011B2">
        <w:rPr>
          <w:rFonts w:eastAsiaTheme="minorEastAsia"/>
        </w:rPr>
        <w:t>M&amp;E</w:t>
      </w:r>
      <w:r w:rsidR="008466D8">
        <w:rPr>
          <w:rFonts w:eastAsiaTheme="minorEastAsia"/>
        </w:rPr>
        <w:t>)</w:t>
      </w:r>
      <w:r w:rsidRPr="000011B2">
        <w:rPr>
          <w:rFonts w:eastAsiaTheme="minorEastAsia"/>
        </w:rPr>
        <w:t xml:space="preserve"> system, as this </w:t>
      </w:r>
      <w:r>
        <w:rPr>
          <w:rFonts w:eastAsiaTheme="minorEastAsia"/>
        </w:rPr>
        <w:t>affects</w:t>
      </w:r>
      <w:r w:rsidRPr="000011B2">
        <w:rPr>
          <w:rFonts w:eastAsiaTheme="minorEastAsia"/>
        </w:rPr>
        <w:t xml:space="preserve"> the quality of the </w:t>
      </w:r>
      <w:r w:rsidR="00735359">
        <w:rPr>
          <w:rFonts w:eastAsiaTheme="minorEastAsia"/>
        </w:rPr>
        <w:t xml:space="preserve">performance </w:t>
      </w:r>
      <w:r w:rsidRPr="000011B2">
        <w:rPr>
          <w:rFonts w:eastAsiaTheme="minorEastAsia"/>
        </w:rPr>
        <w:t xml:space="preserve">data </w:t>
      </w:r>
      <w:r>
        <w:rPr>
          <w:rFonts w:eastAsiaTheme="minorEastAsia"/>
        </w:rPr>
        <w:t xml:space="preserve">to which </w:t>
      </w:r>
      <w:r w:rsidRPr="000011B2">
        <w:rPr>
          <w:rFonts w:eastAsiaTheme="minorEastAsia"/>
        </w:rPr>
        <w:t>evaluators have access.</w:t>
      </w:r>
      <w:r w:rsidR="00A74814">
        <w:rPr>
          <w:rFonts w:eastAsiaTheme="minorEastAsia"/>
        </w:rPr>
        <w:t xml:space="preserve"> </w:t>
      </w:r>
      <w:r>
        <w:rPr>
          <w:rFonts w:eastAsiaTheme="minorEastAsia"/>
        </w:rPr>
        <w:t xml:space="preserve">As discussed in section </w:t>
      </w:r>
      <w:r>
        <w:rPr>
          <w:rFonts w:eastAsiaTheme="minorEastAsia"/>
        </w:rPr>
        <w:fldChar w:fldCharType="begin"/>
      </w:r>
      <w:r>
        <w:rPr>
          <w:rFonts w:eastAsiaTheme="minorEastAsia"/>
        </w:rPr>
        <w:instrText xml:space="preserve"> REF _Ref380149088 \r \h </w:instrText>
      </w:r>
      <w:r>
        <w:rPr>
          <w:rFonts w:eastAsiaTheme="minorEastAsia"/>
        </w:rPr>
      </w:r>
      <w:r>
        <w:rPr>
          <w:rFonts w:eastAsiaTheme="minorEastAsia"/>
        </w:rPr>
        <w:fldChar w:fldCharType="separate"/>
      </w:r>
      <w:r w:rsidR="00147362">
        <w:rPr>
          <w:rFonts w:eastAsiaTheme="minorEastAsia"/>
        </w:rPr>
        <w:t>3.2</w:t>
      </w:r>
      <w:r>
        <w:rPr>
          <w:rFonts w:eastAsiaTheme="minorEastAsia"/>
        </w:rPr>
        <w:fldChar w:fldCharType="end"/>
      </w:r>
      <w:r>
        <w:rPr>
          <w:rFonts w:eastAsiaTheme="minorEastAsia"/>
        </w:rPr>
        <w:t xml:space="preserve">, of the 35 evaluations </w:t>
      </w:r>
      <w:r w:rsidRPr="004C414F">
        <w:rPr>
          <w:rFonts w:eastAsiaTheme="minorEastAsia"/>
        </w:rPr>
        <w:t>that provided a numerical rating for the quality of the initiative</w:t>
      </w:r>
      <w:r w:rsidR="00744801">
        <w:rPr>
          <w:rFonts w:eastAsiaTheme="minorEastAsia"/>
        </w:rPr>
        <w:t>’</w:t>
      </w:r>
      <w:r w:rsidRPr="004C414F">
        <w:rPr>
          <w:rFonts w:eastAsiaTheme="minorEastAsia"/>
        </w:rPr>
        <w:t>s M&amp;E system, only 18 (51</w:t>
      </w:r>
      <w:r w:rsidR="00303C18">
        <w:rPr>
          <w:rFonts w:eastAsiaTheme="minorEastAsia"/>
        </w:rPr>
        <w:t> </w:t>
      </w:r>
      <w:r w:rsidRPr="004C414F">
        <w:rPr>
          <w:rFonts w:eastAsiaTheme="minorEastAsia"/>
        </w:rPr>
        <w:t>per cent) rated that system as adequate or better.</w:t>
      </w:r>
      <w:r w:rsidR="00A74814">
        <w:rPr>
          <w:rFonts w:eastAsiaTheme="minorEastAsia"/>
        </w:rPr>
        <w:t xml:space="preserve"> </w:t>
      </w:r>
      <w:r w:rsidR="005857B1" w:rsidRPr="004C414F">
        <w:rPr>
          <w:rFonts w:eastAsiaTheme="minorEastAsia"/>
        </w:rPr>
        <w:t>While we would have liked to conduct further correlation analysis to determine the nature and strength of the relationship between M&amp;E system quality and evaluation quality, we did not have enough numerical data on the former.</w:t>
      </w:r>
      <w:r w:rsidR="00A74814">
        <w:rPr>
          <w:rFonts w:eastAsiaTheme="minorEastAsia"/>
        </w:rPr>
        <w:t xml:space="preserve"> </w:t>
      </w:r>
      <w:r w:rsidR="005857B1" w:rsidRPr="004C414F">
        <w:rPr>
          <w:rFonts w:eastAsiaTheme="minorEastAsia"/>
        </w:rPr>
        <w:t>However, e</w:t>
      </w:r>
      <w:r w:rsidR="00404F14" w:rsidRPr="004C414F">
        <w:rPr>
          <w:rFonts w:eastAsiaTheme="minorEastAsia"/>
        </w:rPr>
        <w:t xml:space="preserve">valuation findings regarding the </w:t>
      </w:r>
      <w:r w:rsidR="003D5B20">
        <w:rPr>
          <w:rFonts w:eastAsiaTheme="minorEastAsia"/>
        </w:rPr>
        <w:t>quality</w:t>
      </w:r>
      <w:r w:rsidR="003D5B20" w:rsidRPr="004C414F">
        <w:rPr>
          <w:rFonts w:eastAsiaTheme="minorEastAsia"/>
        </w:rPr>
        <w:t xml:space="preserve"> </w:t>
      </w:r>
      <w:r w:rsidR="00404F14" w:rsidRPr="004C414F">
        <w:rPr>
          <w:rFonts w:eastAsiaTheme="minorEastAsia"/>
        </w:rPr>
        <w:t xml:space="preserve">of initiative M&amp;E systems are </w:t>
      </w:r>
      <w:r w:rsidR="007F2C88">
        <w:rPr>
          <w:rFonts w:eastAsiaTheme="minorEastAsia"/>
        </w:rPr>
        <w:t>synthesised</w:t>
      </w:r>
      <w:r w:rsidR="007F2C88" w:rsidRPr="004C414F">
        <w:rPr>
          <w:rFonts w:eastAsiaTheme="minorEastAsia"/>
        </w:rPr>
        <w:t xml:space="preserve"> </w:t>
      </w:r>
      <w:r w:rsidR="00404F14" w:rsidRPr="004C414F">
        <w:rPr>
          <w:rFonts w:eastAsiaTheme="minorEastAsia"/>
        </w:rPr>
        <w:t xml:space="preserve">in </w:t>
      </w:r>
      <w:r w:rsidR="00735359">
        <w:rPr>
          <w:rFonts w:eastAsiaTheme="minorEastAsia"/>
        </w:rPr>
        <w:t xml:space="preserve">our </w:t>
      </w:r>
      <w:r w:rsidR="001B2D9F">
        <w:rPr>
          <w:rFonts w:eastAsiaTheme="minorEastAsia"/>
          <w:i/>
        </w:rPr>
        <w:t>Learning from</w:t>
      </w:r>
      <w:r w:rsidR="00735359" w:rsidRPr="00735359">
        <w:rPr>
          <w:rFonts w:eastAsiaTheme="minorEastAsia"/>
          <w:i/>
        </w:rPr>
        <w:t xml:space="preserve"> Australian </w:t>
      </w:r>
      <w:r w:rsidR="00303C18">
        <w:rPr>
          <w:rFonts w:eastAsiaTheme="minorEastAsia"/>
          <w:i/>
        </w:rPr>
        <w:t>a</w:t>
      </w:r>
      <w:r w:rsidR="00735359" w:rsidRPr="00735359">
        <w:rPr>
          <w:rFonts w:eastAsiaTheme="minorEastAsia"/>
          <w:i/>
        </w:rPr>
        <w:t xml:space="preserve">id </w:t>
      </w:r>
      <w:r w:rsidR="00303C18">
        <w:rPr>
          <w:rFonts w:eastAsiaTheme="minorEastAsia"/>
          <w:i/>
        </w:rPr>
        <w:t>o</w:t>
      </w:r>
      <w:r w:rsidR="00735359" w:rsidRPr="00735359">
        <w:rPr>
          <w:rFonts w:eastAsiaTheme="minorEastAsia"/>
          <w:i/>
        </w:rPr>
        <w:t xml:space="preserve">perational </w:t>
      </w:r>
      <w:r w:rsidR="00303C18">
        <w:rPr>
          <w:rFonts w:eastAsiaTheme="minorEastAsia"/>
          <w:i/>
        </w:rPr>
        <w:t>e</w:t>
      </w:r>
      <w:r w:rsidR="00735359" w:rsidRPr="00735359">
        <w:rPr>
          <w:rFonts w:eastAsiaTheme="minorEastAsia"/>
          <w:i/>
        </w:rPr>
        <w:t>valuations</w:t>
      </w:r>
      <w:r w:rsidR="00735359">
        <w:rPr>
          <w:rFonts w:eastAsiaTheme="minorEastAsia"/>
        </w:rPr>
        <w:t xml:space="preserve"> report</w:t>
      </w:r>
      <w:r w:rsidR="007F2C88">
        <w:rPr>
          <w:rFonts w:eastAsiaTheme="minorEastAsia"/>
        </w:rPr>
        <w:t xml:space="preserve">, and a </w:t>
      </w:r>
      <w:r w:rsidR="007F2C88" w:rsidRPr="00424513">
        <w:rPr>
          <w:color w:val="000000" w:themeColor="text1"/>
        </w:rPr>
        <w:t xml:space="preserve">separate ODE study is proposed </w:t>
      </w:r>
      <w:r w:rsidR="006358A4">
        <w:rPr>
          <w:color w:val="000000" w:themeColor="text1"/>
        </w:rPr>
        <w:t>for</w:t>
      </w:r>
      <w:r w:rsidR="007F2C88" w:rsidRPr="00424513">
        <w:rPr>
          <w:color w:val="000000" w:themeColor="text1"/>
        </w:rPr>
        <w:t xml:space="preserve"> 2014 on the quality of</w:t>
      </w:r>
      <w:r w:rsidR="007F2C88">
        <w:rPr>
          <w:color w:val="000000" w:themeColor="text1"/>
        </w:rPr>
        <w:t xml:space="preserve"> initiative</w:t>
      </w:r>
      <w:r w:rsidR="007F2C88" w:rsidRPr="00424513">
        <w:rPr>
          <w:color w:val="000000" w:themeColor="text1"/>
        </w:rPr>
        <w:t xml:space="preserve"> M&amp;E systems</w:t>
      </w:r>
      <w:r w:rsidR="00735359">
        <w:rPr>
          <w:rFonts w:eastAsiaTheme="minorEastAsia"/>
        </w:rPr>
        <w:t>.</w:t>
      </w:r>
      <w:r w:rsidR="00A74814">
        <w:rPr>
          <w:rFonts w:eastAsiaTheme="minorEastAsia"/>
        </w:rPr>
        <w:t xml:space="preserve"> </w:t>
      </w:r>
    </w:p>
    <w:p w14:paraId="7132EB07" w14:textId="77777777" w:rsidR="00DC0544" w:rsidRPr="004C414F" w:rsidRDefault="00DC0544" w:rsidP="00DE5683">
      <w:pPr>
        <w:pStyle w:val="Heading2"/>
        <w:numPr>
          <w:ilvl w:val="0"/>
          <w:numId w:val="52"/>
        </w:numPr>
        <w:ind w:left="357" w:hanging="357"/>
        <w:rPr>
          <w:rFonts w:eastAsiaTheme="majorEastAsia"/>
        </w:rPr>
      </w:pPr>
      <w:bookmarkStart w:id="149" w:name="_Toc387675114"/>
      <w:r w:rsidRPr="004C414F">
        <w:rPr>
          <w:rFonts w:eastAsiaTheme="majorEastAsia"/>
        </w:rPr>
        <w:t xml:space="preserve">Evaluation </w:t>
      </w:r>
      <w:r w:rsidR="003E167D">
        <w:rPr>
          <w:rFonts w:eastAsiaTheme="majorEastAsia"/>
        </w:rPr>
        <w:t xml:space="preserve">purpose and </w:t>
      </w:r>
      <w:r w:rsidRPr="004C414F">
        <w:rPr>
          <w:rFonts w:eastAsiaTheme="majorEastAsia"/>
        </w:rPr>
        <w:t>type</w:t>
      </w:r>
      <w:bookmarkEnd w:id="149"/>
    </w:p>
    <w:p w14:paraId="496F6287" w14:textId="29A7F39B" w:rsidR="002E655D" w:rsidRDefault="002E655D" w:rsidP="001E4293">
      <w:pPr>
        <w:rPr>
          <w:rFonts w:eastAsiaTheme="minorEastAsia"/>
        </w:rPr>
      </w:pPr>
      <w:r w:rsidRPr="002E655D">
        <w:t xml:space="preserve">We found </w:t>
      </w:r>
      <w:r w:rsidR="001E4293">
        <w:t>significant</w:t>
      </w:r>
      <w:r w:rsidRPr="002E655D">
        <w:t xml:space="preserve"> </w:t>
      </w:r>
      <w:r w:rsidR="001E4293">
        <w:t xml:space="preserve">variation in quality between </w:t>
      </w:r>
      <w:r>
        <w:t>independent progress reports and independent completion reports.</w:t>
      </w:r>
      <w:r w:rsidR="00A74814">
        <w:rPr>
          <w:rFonts w:eastAsiaTheme="minorEastAsia"/>
        </w:rPr>
        <w:t xml:space="preserve"> </w:t>
      </w:r>
      <w:r w:rsidR="006358A4">
        <w:rPr>
          <w:rFonts w:eastAsiaTheme="minorEastAsia"/>
        </w:rPr>
        <w:t>O</w:t>
      </w:r>
      <w:r w:rsidR="001E4293">
        <w:rPr>
          <w:rFonts w:eastAsiaTheme="minorEastAsia"/>
        </w:rPr>
        <w:t>verall</w:t>
      </w:r>
      <w:r w:rsidR="00DE5683">
        <w:rPr>
          <w:rFonts w:eastAsiaTheme="minorEastAsia"/>
        </w:rPr>
        <w:t>,</w:t>
      </w:r>
      <w:r w:rsidR="001E4293">
        <w:rPr>
          <w:rFonts w:eastAsiaTheme="minorEastAsia"/>
        </w:rPr>
        <w:t xml:space="preserve"> the quality of evaluations </w:t>
      </w:r>
      <w:r w:rsidR="00327BF4">
        <w:rPr>
          <w:rFonts w:eastAsiaTheme="minorEastAsia"/>
        </w:rPr>
        <w:t>managed</w:t>
      </w:r>
      <w:r w:rsidR="001E4293">
        <w:rPr>
          <w:rFonts w:eastAsiaTheme="minorEastAsia"/>
        </w:rPr>
        <w:t xml:space="preserve"> by the former AusAID was at least as good as that of partner-led joint evaluations, and this was achieved with fewer resources.</w:t>
      </w:r>
      <w:r w:rsidR="00A74814">
        <w:rPr>
          <w:rFonts w:eastAsiaTheme="minorEastAsia"/>
        </w:rPr>
        <w:t xml:space="preserve"> </w:t>
      </w:r>
      <w:r w:rsidR="00327BF4">
        <w:rPr>
          <w:rFonts w:eastAsiaTheme="minorEastAsia"/>
        </w:rPr>
        <w:t>So</w:t>
      </w:r>
      <w:r w:rsidR="001623BD">
        <w:rPr>
          <w:rFonts w:eastAsiaTheme="minorEastAsia"/>
        </w:rPr>
        <w:t xml:space="preserve">me interviewees </w:t>
      </w:r>
      <w:r w:rsidR="00981632">
        <w:rPr>
          <w:rFonts w:eastAsiaTheme="minorEastAsia"/>
        </w:rPr>
        <w:t>suggest</w:t>
      </w:r>
      <w:r w:rsidR="001623BD">
        <w:rPr>
          <w:rFonts w:eastAsiaTheme="minorEastAsia"/>
        </w:rPr>
        <w:t xml:space="preserve">ed that utility could be improved by </w:t>
      </w:r>
      <w:r w:rsidR="00981632">
        <w:rPr>
          <w:rFonts w:eastAsiaTheme="minorEastAsia"/>
        </w:rPr>
        <w:t>reviewing the balance between the number</w:t>
      </w:r>
      <w:r w:rsidR="006358A4">
        <w:rPr>
          <w:rFonts w:eastAsiaTheme="minorEastAsia"/>
        </w:rPr>
        <w:t>s</w:t>
      </w:r>
      <w:r w:rsidR="00981632">
        <w:rPr>
          <w:rFonts w:eastAsiaTheme="minorEastAsia"/>
        </w:rPr>
        <w:t xml:space="preserve"> of operational and </w:t>
      </w:r>
      <w:r w:rsidR="001623BD">
        <w:rPr>
          <w:rFonts w:eastAsiaTheme="minorEastAsia"/>
        </w:rPr>
        <w:t>strategic evaluations</w:t>
      </w:r>
      <w:r w:rsidR="00981632">
        <w:rPr>
          <w:rFonts w:eastAsiaTheme="minorEastAsia"/>
        </w:rPr>
        <w:t xml:space="preserve"> produced</w:t>
      </w:r>
      <w:r w:rsidR="001623BD">
        <w:rPr>
          <w:rFonts w:eastAsiaTheme="minorEastAsia"/>
        </w:rPr>
        <w:t>.</w:t>
      </w:r>
    </w:p>
    <w:p w14:paraId="5123BFF7" w14:textId="77777777" w:rsidR="00DC0544" w:rsidRDefault="002B7552" w:rsidP="00DC0544">
      <w:pPr>
        <w:pStyle w:val="Heading3"/>
        <w:rPr>
          <w:rFonts w:eastAsiaTheme="majorEastAsia"/>
        </w:rPr>
      </w:pPr>
      <w:r>
        <w:rPr>
          <w:rFonts w:eastAsiaTheme="majorEastAsia"/>
        </w:rPr>
        <w:lastRenderedPageBreak/>
        <w:t>I</w:t>
      </w:r>
      <w:r w:rsidR="00DC0544">
        <w:rPr>
          <w:rFonts w:eastAsiaTheme="majorEastAsia"/>
        </w:rPr>
        <w:t xml:space="preserve">ndependent progress reports </w:t>
      </w:r>
      <w:r>
        <w:rPr>
          <w:rFonts w:eastAsiaTheme="majorEastAsia"/>
        </w:rPr>
        <w:t>and</w:t>
      </w:r>
      <w:r w:rsidR="00DC0544">
        <w:rPr>
          <w:rFonts w:eastAsiaTheme="majorEastAsia"/>
        </w:rPr>
        <w:t xml:space="preserve"> independent completion reports</w:t>
      </w:r>
      <w:bookmarkEnd w:id="147"/>
    </w:p>
    <w:p w14:paraId="63884849" w14:textId="21E28CC6" w:rsidR="00327BF4" w:rsidRDefault="00667706" w:rsidP="00DE5683">
      <w:r>
        <w:t>A</w:t>
      </w:r>
      <w:r w:rsidR="002764C4">
        <w:t xml:space="preserve"> higher proportion of independent progress reports than independent completion reports</w:t>
      </w:r>
      <w:r w:rsidR="00E236E4" w:rsidRPr="00E236E4">
        <w:t xml:space="preserve"> </w:t>
      </w:r>
      <w:r>
        <w:t xml:space="preserve">were of </w:t>
      </w:r>
      <w:r w:rsidR="00E236E4">
        <w:t>adequate quality</w:t>
      </w:r>
      <w:r w:rsidR="002764C4">
        <w:t>.</w:t>
      </w:r>
      <w:r w:rsidR="00A74814">
        <w:t xml:space="preserve"> </w:t>
      </w:r>
      <w:r w:rsidR="002764C4">
        <w:t>Using</w:t>
      </w:r>
      <w:r w:rsidR="00A74814">
        <w:t xml:space="preserve"> </w:t>
      </w:r>
      <w:r w:rsidR="002764C4">
        <w:t>the credibility of evidence and analysis criterion as a proxy for overall evaluation report quality, we found that 76</w:t>
      </w:r>
      <w:r>
        <w:t> </w:t>
      </w:r>
      <w:r w:rsidR="002764C4">
        <w:t xml:space="preserve">per cent of </w:t>
      </w:r>
      <w:r w:rsidR="00711D7C">
        <w:t xml:space="preserve">the 51 </w:t>
      </w:r>
      <w:r w:rsidR="002764C4">
        <w:t>independent progress reports were adequate or better</w:t>
      </w:r>
      <w:r>
        <w:t>;</w:t>
      </w:r>
      <w:r w:rsidR="00E236E4">
        <w:t xml:space="preserve"> most of these </w:t>
      </w:r>
      <w:r>
        <w:t>were</w:t>
      </w:r>
      <w:r w:rsidR="009229A4">
        <w:t xml:space="preserve"> just</w:t>
      </w:r>
      <w:r w:rsidR="00E236E4">
        <w:t xml:space="preserve"> adequate</w:t>
      </w:r>
      <w:r w:rsidR="002764C4">
        <w:t>.</w:t>
      </w:r>
      <w:r w:rsidR="00A74814">
        <w:t xml:space="preserve"> </w:t>
      </w:r>
    </w:p>
    <w:p w14:paraId="7E4A0563" w14:textId="24CFADEC" w:rsidR="00DC0544" w:rsidRDefault="00E236E4" w:rsidP="00DE5683">
      <w:r>
        <w:t>Only 68</w:t>
      </w:r>
      <w:r w:rsidR="00711D7C">
        <w:t xml:space="preserve"> per cent of the 34 </w:t>
      </w:r>
      <w:r w:rsidR="002764C4">
        <w:t>independent completion reports</w:t>
      </w:r>
      <w:r w:rsidR="00711D7C">
        <w:t xml:space="preserve"> were adequate o</w:t>
      </w:r>
      <w:r>
        <w:t>r</w:t>
      </w:r>
      <w:r w:rsidR="00711D7C">
        <w:t xml:space="preserve"> better</w:t>
      </w:r>
      <w:r w:rsidR="00DB04C9">
        <w:t>.</w:t>
      </w:r>
      <w:r w:rsidR="00A74814">
        <w:t xml:space="preserve"> </w:t>
      </w:r>
      <w:r w:rsidR="00327BF4">
        <w:t xml:space="preserve">Moreover, </w:t>
      </w:r>
      <w:r w:rsidR="00DC0544">
        <w:t xml:space="preserve">the </w:t>
      </w:r>
      <w:r w:rsidR="00DC0544" w:rsidRPr="00493656">
        <w:t xml:space="preserve">quality </w:t>
      </w:r>
      <w:r w:rsidR="00DB04C9">
        <w:t xml:space="preserve">of independent completion reports </w:t>
      </w:r>
      <w:r w:rsidR="00711D7C">
        <w:t xml:space="preserve">was </w:t>
      </w:r>
      <w:r w:rsidR="00DB04C9">
        <w:t>more variable</w:t>
      </w:r>
      <w:r w:rsidR="002C4B45">
        <w:t xml:space="preserve">: </w:t>
      </w:r>
      <w:r w:rsidR="00DB04C9">
        <w:t>c</w:t>
      </w:r>
      <w:r w:rsidR="009229A4">
        <w:t xml:space="preserve">ompared to </w:t>
      </w:r>
      <w:r w:rsidR="00053DBE">
        <w:t>independent progress reports</w:t>
      </w:r>
      <w:r w:rsidR="009229A4">
        <w:t xml:space="preserve">, </w:t>
      </w:r>
      <w:r>
        <w:t xml:space="preserve">a larger proportion </w:t>
      </w:r>
      <w:r w:rsidR="00DB04C9">
        <w:t xml:space="preserve">of </w:t>
      </w:r>
      <w:r w:rsidR="00AD7BDA">
        <w:t>independent completion report</w:t>
      </w:r>
      <w:r w:rsidR="00DB04C9">
        <w:t xml:space="preserve">s </w:t>
      </w:r>
      <w:r w:rsidR="009229A4">
        <w:t xml:space="preserve">were </w:t>
      </w:r>
      <w:r w:rsidR="00DB04C9">
        <w:t>good or better</w:t>
      </w:r>
      <w:r w:rsidR="00A74814">
        <w:t xml:space="preserve"> </w:t>
      </w:r>
      <w:r w:rsidR="00DB04C9">
        <w:t>but also</w:t>
      </w:r>
      <w:r w:rsidR="002C4B45">
        <w:t xml:space="preserve"> a larger proportion were</w:t>
      </w:r>
      <w:r w:rsidR="00DB04C9">
        <w:t xml:space="preserve"> poor or worse, </w:t>
      </w:r>
      <w:r>
        <w:t xml:space="preserve">as shown in </w:t>
      </w:r>
      <w:r>
        <w:fldChar w:fldCharType="begin"/>
      </w:r>
      <w:r>
        <w:instrText xml:space="preserve"> REF _Ref373234278 \h </w:instrText>
      </w:r>
      <w:r w:rsidR="00DE5683">
        <w:instrText xml:space="preserve"> \* MERGEFORMAT </w:instrText>
      </w:r>
      <w:r>
        <w:fldChar w:fldCharType="separate"/>
      </w:r>
      <w:r w:rsidR="00147362" w:rsidRPr="00147362">
        <w:rPr>
          <w:rFonts w:eastAsiaTheme="minorEastAsia"/>
        </w:rPr>
        <w:t xml:space="preserve">Figure </w:t>
      </w:r>
      <w:r w:rsidR="00147362" w:rsidRPr="00147362">
        <w:rPr>
          <w:rFonts w:eastAsiaTheme="minorEastAsia"/>
          <w:noProof/>
        </w:rPr>
        <w:t>5</w:t>
      </w:r>
      <w:r>
        <w:fldChar w:fldCharType="end"/>
      </w:r>
      <w:r>
        <w:t>.</w:t>
      </w:r>
      <w:r w:rsidR="00A74814">
        <w:t xml:space="preserve"> </w:t>
      </w:r>
    </w:p>
    <w:p w14:paraId="78BDA43E" w14:textId="1866A27E" w:rsidR="00E236E4" w:rsidRPr="00F565AF" w:rsidRDefault="00DC0544" w:rsidP="00DC0544">
      <w:pPr>
        <w:pStyle w:val="FigureName"/>
      </w:pPr>
      <w:bookmarkStart w:id="150" w:name="_Ref373234278"/>
      <w:bookmarkStart w:id="151" w:name="_Toc372125032"/>
      <w:bookmarkStart w:id="152" w:name="_Toc372738079"/>
      <w:r w:rsidRPr="00F565AF">
        <w:t xml:space="preserve">Figure </w:t>
      </w:r>
      <w:r w:rsidR="007C3830">
        <w:fldChar w:fldCharType="begin"/>
      </w:r>
      <w:r w:rsidR="007C3830">
        <w:instrText xml:space="preserve"> SEQ Figure \* ARABIC </w:instrText>
      </w:r>
      <w:r w:rsidR="007C3830">
        <w:fldChar w:fldCharType="separate"/>
      </w:r>
      <w:r w:rsidR="00147362">
        <w:rPr>
          <w:noProof/>
        </w:rPr>
        <w:t>5</w:t>
      </w:r>
      <w:r w:rsidR="007C3830">
        <w:rPr>
          <w:noProof/>
        </w:rPr>
        <w:fldChar w:fldCharType="end"/>
      </w:r>
      <w:bookmarkEnd w:id="150"/>
      <w:r w:rsidRPr="00F565AF">
        <w:tab/>
        <w:t xml:space="preserve">Credibility of evidence and analysis </w:t>
      </w:r>
      <w:r w:rsidR="002C4B45" w:rsidRPr="00F565AF">
        <w:t xml:space="preserve">in </w:t>
      </w:r>
      <w:r w:rsidRPr="00F565AF">
        <w:t xml:space="preserve">independent </w:t>
      </w:r>
      <w:r w:rsidR="00C31188" w:rsidRPr="00F565AF">
        <w:t xml:space="preserve">progress reports </w:t>
      </w:r>
      <w:r w:rsidRPr="00F565AF">
        <w:t xml:space="preserve">and independent </w:t>
      </w:r>
      <w:r w:rsidR="00C31188" w:rsidRPr="00F565AF">
        <w:t xml:space="preserve">completion </w:t>
      </w:r>
      <w:r w:rsidRPr="00F565AF">
        <w:t>reports</w:t>
      </w:r>
      <w:bookmarkEnd w:id="151"/>
      <w:bookmarkEnd w:id="152"/>
    </w:p>
    <w:p w14:paraId="1E52D357" w14:textId="6D458861" w:rsidR="00DC0544" w:rsidRPr="00C72750" w:rsidRDefault="008D3973" w:rsidP="00B46ACA">
      <w:pPr>
        <w:pStyle w:val="FigureName"/>
        <w:jc w:val="center"/>
        <w:rPr>
          <w:rFonts w:eastAsiaTheme="minorEastAsia"/>
        </w:rPr>
      </w:pPr>
      <w:r>
        <w:rPr>
          <w:noProof/>
        </w:rPr>
        <w:drawing>
          <wp:inline distT="0" distB="0" distL="0" distR="0" wp14:anchorId="267A0ABE" wp14:editId="622C4732">
            <wp:extent cx="5613991" cy="263652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A826AF9" w14:textId="4E7C8A37" w:rsidR="00581BBF" w:rsidRPr="005E75C1" w:rsidRDefault="00C31188" w:rsidP="00581BBF">
      <w:r w:rsidRPr="005E75C1">
        <w:t xml:space="preserve">The reasons for this difference are not clear but could be connected to </w:t>
      </w:r>
      <w:r w:rsidR="00B83CD6">
        <w:t>evaluation resourcing.</w:t>
      </w:r>
      <w:r w:rsidR="00A74814">
        <w:t xml:space="preserve"> </w:t>
      </w:r>
      <w:r w:rsidR="00B83CD6">
        <w:t xml:space="preserve">As discussed in section </w:t>
      </w:r>
      <w:r w:rsidR="00B83CD6">
        <w:fldChar w:fldCharType="begin"/>
      </w:r>
      <w:r w:rsidR="00B83CD6">
        <w:instrText xml:space="preserve"> REF _Ref380416038 \r \h </w:instrText>
      </w:r>
      <w:r w:rsidR="00B83CD6">
        <w:fldChar w:fldCharType="separate"/>
      </w:r>
      <w:r w:rsidR="00147362">
        <w:t>3.2</w:t>
      </w:r>
      <w:r w:rsidR="00B83CD6">
        <w:fldChar w:fldCharType="end"/>
      </w:r>
      <w:r w:rsidR="00B83CD6">
        <w:t xml:space="preserve">, </w:t>
      </w:r>
      <w:r w:rsidR="00AD7BDA">
        <w:t>independent progress report</w:t>
      </w:r>
      <w:r w:rsidR="00B83CD6">
        <w:t>s had a higher average level of resourcing</w:t>
      </w:r>
      <w:r w:rsidR="00667706">
        <w:t>.</w:t>
      </w:r>
      <w:r w:rsidR="005407C1">
        <w:rPr>
          <w:rStyle w:val="FootnoteReference"/>
        </w:rPr>
        <w:footnoteReference w:id="34"/>
      </w:r>
      <w:r w:rsidR="00A74814">
        <w:t xml:space="preserve"> </w:t>
      </w:r>
      <w:bookmarkStart w:id="153" w:name="_Toc373304237"/>
      <w:r w:rsidR="00667706">
        <w:t xml:space="preserve">The difference </w:t>
      </w:r>
      <w:r w:rsidR="00581BBF">
        <w:t xml:space="preserve">could also be connected to the </w:t>
      </w:r>
      <w:r w:rsidR="00581BBF" w:rsidRPr="005E75C1">
        <w:t>purpose of the evaluation.</w:t>
      </w:r>
      <w:r w:rsidR="00A74814">
        <w:t xml:space="preserve"> </w:t>
      </w:r>
      <w:r w:rsidR="00581BBF" w:rsidRPr="005E75C1">
        <w:t>A larger proportion (90</w:t>
      </w:r>
      <w:r w:rsidR="002C4B45">
        <w:t> </w:t>
      </w:r>
      <w:r w:rsidR="00581BBF" w:rsidRPr="005E75C1">
        <w:t xml:space="preserve">per cent) of independent progress reports </w:t>
      </w:r>
      <w:r w:rsidR="00667706">
        <w:t xml:space="preserve">than </w:t>
      </w:r>
      <w:r w:rsidR="00581BBF" w:rsidRPr="005E75C1">
        <w:t>independent completion reports</w:t>
      </w:r>
      <w:r w:rsidR="00581BBF">
        <w:t xml:space="preserve"> (82</w:t>
      </w:r>
      <w:r w:rsidR="002C4B45">
        <w:t> </w:t>
      </w:r>
      <w:r w:rsidR="00581BBF">
        <w:t>per cent)</w:t>
      </w:r>
      <w:r w:rsidR="00667706">
        <w:t xml:space="preserve"> </w:t>
      </w:r>
      <w:r w:rsidR="00667706" w:rsidRPr="005E75C1">
        <w:t xml:space="preserve">were found to have </w:t>
      </w:r>
      <w:r w:rsidR="00667706">
        <w:t>a clear</w:t>
      </w:r>
      <w:r w:rsidR="00667706" w:rsidRPr="005E75C1">
        <w:t xml:space="preserve"> purpose</w:t>
      </w:r>
      <w:r w:rsidR="00581BBF" w:rsidRPr="005E75C1">
        <w:t>. The purpose of an evaluation completed at the close of an initiative may sometimes be less clear to aid managers and evaluators in terms of providing opportunities to inform critical programming decisions.</w:t>
      </w:r>
      <w:r w:rsidR="00A74814">
        <w:t xml:space="preserve"> </w:t>
      </w:r>
      <w:r w:rsidR="00581BBF">
        <w:t xml:space="preserve">This could, in turn, </w:t>
      </w:r>
      <w:r w:rsidR="00581BBF" w:rsidRPr="005E75C1">
        <w:t>have an impact on evaluation quality</w:t>
      </w:r>
      <w:r w:rsidR="00581BBF">
        <w:t>.</w:t>
      </w:r>
      <w:r w:rsidR="00A74814">
        <w:t xml:space="preserve"> </w:t>
      </w:r>
      <w:r w:rsidR="00581BBF">
        <w:t xml:space="preserve">The perceived value of evaluations is </w:t>
      </w:r>
      <w:r w:rsidR="00581BBF" w:rsidRPr="005E75C1">
        <w:t>discussed</w:t>
      </w:r>
      <w:r w:rsidR="00581BBF">
        <w:t xml:space="preserve"> further</w:t>
      </w:r>
      <w:r w:rsidR="00581BBF" w:rsidRPr="005E75C1">
        <w:t xml:space="preserve"> in section</w:t>
      </w:r>
      <w:r w:rsidR="003D7F35">
        <w:t xml:space="preserve"> </w:t>
      </w:r>
      <w:r w:rsidR="003D7F35">
        <w:fldChar w:fldCharType="begin"/>
      </w:r>
      <w:r w:rsidR="003D7F35">
        <w:instrText xml:space="preserve"> REF _Ref381859424 \r \h </w:instrText>
      </w:r>
      <w:r w:rsidR="003D7F35">
        <w:fldChar w:fldCharType="separate"/>
      </w:r>
      <w:r w:rsidR="00147362">
        <w:t>5.6</w:t>
      </w:r>
      <w:r w:rsidR="003D7F35">
        <w:fldChar w:fldCharType="end"/>
      </w:r>
      <w:r w:rsidR="00581BBF" w:rsidRPr="005E75C1">
        <w:t>.</w:t>
      </w:r>
    </w:p>
    <w:p w14:paraId="284EBF68" w14:textId="77777777" w:rsidR="00DC0544" w:rsidRDefault="00DC0544" w:rsidP="00581BBF">
      <w:pPr>
        <w:pStyle w:val="Heading3"/>
      </w:pPr>
      <w:r w:rsidRPr="005E75C1">
        <w:t xml:space="preserve">Partner-led </w:t>
      </w:r>
      <w:r w:rsidR="006A5B5E" w:rsidRPr="005E75C1">
        <w:t xml:space="preserve">joint </w:t>
      </w:r>
      <w:r w:rsidRPr="005E75C1">
        <w:t>evaluations</w:t>
      </w:r>
      <w:bookmarkEnd w:id="153"/>
      <w:r w:rsidR="00A74814">
        <w:t xml:space="preserve"> </w:t>
      </w:r>
    </w:p>
    <w:p w14:paraId="7011B04D" w14:textId="443390A2" w:rsidR="00DC0544" w:rsidRDefault="00DC0544" w:rsidP="00DC0544">
      <w:r>
        <w:t xml:space="preserve">Our review found </w:t>
      </w:r>
      <w:r w:rsidR="001D73A7">
        <w:t xml:space="preserve">that, overall, the quality of evaluations </w:t>
      </w:r>
      <w:r w:rsidR="00327BF4">
        <w:t xml:space="preserve">managed by the former AusAID </w:t>
      </w:r>
      <w:r w:rsidR="001D73A7">
        <w:t xml:space="preserve">was at least as good as that of partner-led </w:t>
      </w:r>
      <w:r w:rsidR="006A5B5E">
        <w:t xml:space="preserve">joint </w:t>
      </w:r>
      <w:r w:rsidR="001D73A7">
        <w:t>evaluations and that this was generally achieved with fewer resources</w:t>
      </w:r>
      <w:r w:rsidR="00667706">
        <w:t>.</w:t>
      </w:r>
      <w:r w:rsidR="006A5B5E">
        <w:rPr>
          <w:rStyle w:val="FootnoteReference"/>
        </w:rPr>
        <w:footnoteReference w:id="35"/>
      </w:r>
      <w:r w:rsidR="00A74814">
        <w:t xml:space="preserve"> </w:t>
      </w:r>
      <w:r w:rsidR="001D73A7">
        <w:t xml:space="preserve">Each had </w:t>
      </w:r>
      <w:r>
        <w:t>different areas of comparative strength and weakness</w:t>
      </w:r>
      <w:r w:rsidR="001D73A7">
        <w:t>.</w:t>
      </w:r>
      <w:r w:rsidR="00A74814">
        <w:t xml:space="preserve"> </w:t>
      </w:r>
      <w:r w:rsidR="002B7552">
        <w:t>A slightly higher proportion of the 72 AusAID-led evaluations (75</w:t>
      </w:r>
      <w:r w:rsidR="00667706">
        <w:t> </w:t>
      </w:r>
      <w:r w:rsidR="002B7552">
        <w:t xml:space="preserve">per cent) </w:t>
      </w:r>
      <w:r w:rsidR="00667706">
        <w:t>had</w:t>
      </w:r>
      <w:r w:rsidR="002B7552">
        <w:t xml:space="preserve"> credible evidence and analysis, </w:t>
      </w:r>
      <w:r w:rsidR="002B7552">
        <w:lastRenderedPageBreak/>
        <w:t>compared to 67</w:t>
      </w:r>
      <w:r w:rsidR="00667706">
        <w:t> </w:t>
      </w:r>
      <w:r w:rsidR="002B7552">
        <w:t xml:space="preserve">per cent </w:t>
      </w:r>
      <w:r w:rsidR="00327BF4">
        <w:t>of the 15</w:t>
      </w:r>
      <w:r w:rsidR="002B7552">
        <w:t xml:space="preserve"> partner-led evaluations.</w:t>
      </w:r>
      <w:r w:rsidR="00A74814">
        <w:t xml:space="preserve"> </w:t>
      </w:r>
      <w:r w:rsidR="00B62AF5">
        <w:t>A</w:t>
      </w:r>
      <w:r w:rsidR="001D73A7">
        <w:t xml:space="preserve"> </w:t>
      </w:r>
      <w:r w:rsidR="002B7552">
        <w:t xml:space="preserve">significantly </w:t>
      </w:r>
      <w:r w:rsidR="001D73A7">
        <w:t xml:space="preserve">higher proportion of </w:t>
      </w:r>
      <w:r w:rsidR="00B62AF5">
        <w:t xml:space="preserve">evaluations led by the former AusAID had </w:t>
      </w:r>
      <w:r w:rsidR="001D73A7">
        <w:t xml:space="preserve">adequate </w:t>
      </w:r>
      <w:r w:rsidR="006A5B5E">
        <w:t xml:space="preserve">recommendations, </w:t>
      </w:r>
      <w:r w:rsidR="001D73A7">
        <w:t xml:space="preserve">assessments of initiative M&amp;E systems and </w:t>
      </w:r>
      <w:r w:rsidR="001B38DB">
        <w:t xml:space="preserve">assessments </w:t>
      </w:r>
      <w:r w:rsidR="001D73A7">
        <w:t>of gender equality</w:t>
      </w:r>
      <w:r w:rsidR="001B38DB">
        <w:t>.</w:t>
      </w:r>
      <w:r w:rsidR="00A74814">
        <w:t xml:space="preserve"> </w:t>
      </w:r>
      <w:r w:rsidR="00FC27EC">
        <w:t>On the other hand, a</w:t>
      </w:r>
      <w:r w:rsidR="00B62AF5">
        <w:t xml:space="preserve"> </w:t>
      </w:r>
      <w:r w:rsidR="002B7552">
        <w:t xml:space="preserve">significantly </w:t>
      </w:r>
      <w:r w:rsidR="00B62AF5">
        <w:t>higher proportion of partner-led</w:t>
      </w:r>
      <w:r w:rsidR="002B7552">
        <w:t xml:space="preserve"> joint</w:t>
      </w:r>
      <w:r w:rsidR="00B62AF5">
        <w:t xml:space="preserve"> evaluations had adequate assessments of </w:t>
      </w:r>
      <w:r w:rsidR="006A5B5E">
        <w:t xml:space="preserve">the </w:t>
      </w:r>
      <w:r w:rsidR="00B62AF5">
        <w:t>context</w:t>
      </w:r>
      <w:r w:rsidR="006A5B5E">
        <w:t xml:space="preserve"> </w:t>
      </w:r>
      <w:r w:rsidR="00B62AF5">
        <w:t>and</w:t>
      </w:r>
      <w:r w:rsidR="006A5B5E">
        <w:t xml:space="preserve"> of the</w:t>
      </w:r>
      <w:r w:rsidR="00B62AF5">
        <w:t xml:space="preserve"> impact</w:t>
      </w:r>
      <w:r w:rsidR="006A5B5E">
        <w:t xml:space="preserve"> of the initiative</w:t>
      </w:r>
      <w:r w:rsidR="00B62AF5">
        <w:t>.</w:t>
      </w:r>
      <w:r w:rsidR="00A74814">
        <w:t xml:space="preserve"> </w:t>
      </w:r>
      <w:r w:rsidR="00592F85">
        <w:t xml:space="preserve">Quality was roughly comparable for all other </w:t>
      </w:r>
      <w:r w:rsidR="006A5B5E">
        <w:t>criteria</w:t>
      </w:r>
      <w:r w:rsidR="002B7552">
        <w:t xml:space="preserve"> </w:t>
      </w:r>
      <w:r w:rsidR="002B7552" w:rsidRPr="007F10F2">
        <w:t>(</w:t>
      </w:r>
      <w:r w:rsidR="00327BF4" w:rsidRPr="00DB0840">
        <w:t>s</w:t>
      </w:r>
      <w:r w:rsidRPr="00DB0840">
        <w:t xml:space="preserve">ee </w:t>
      </w:r>
      <w:r w:rsidR="008C2AE3" w:rsidRPr="00DB0840">
        <w:t>Figure 11</w:t>
      </w:r>
      <w:r w:rsidRPr="00DB0840">
        <w:t xml:space="preserve"> in Annex</w:t>
      </w:r>
      <w:r w:rsidR="002C4B45">
        <w:t> </w:t>
      </w:r>
      <w:r w:rsidR="005304BA">
        <w:t>4</w:t>
      </w:r>
      <w:r w:rsidR="002B7552" w:rsidRPr="008C2AE3">
        <w:t xml:space="preserve"> for detailed</w:t>
      </w:r>
      <w:r w:rsidR="002B7552">
        <w:t xml:space="preserve"> findings)</w:t>
      </w:r>
      <w:r>
        <w:t>.</w:t>
      </w:r>
      <w:r w:rsidR="00A74814">
        <w:t xml:space="preserve"> </w:t>
      </w:r>
      <w:r w:rsidR="002B7552">
        <w:t xml:space="preserve">While the small sample of only 15 partner-led joint evaluations </w:t>
      </w:r>
      <w:r w:rsidR="004E557A">
        <w:t>makes us wary of</w:t>
      </w:r>
      <w:r w:rsidR="002B7552">
        <w:t xml:space="preserve"> making too much of these differences, this is a positive finding</w:t>
      </w:r>
      <w:r w:rsidR="00327BF4">
        <w:t xml:space="preserve"> for the Australian aid program</w:t>
      </w:r>
      <w:r w:rsidR="002B7552">
        <w:t>, especially when difference</w:t>
      </w:r>
      <w:r w:rsidR="004E557A">
        <w:t>s</w:t>
      </w:r>
      <w:r w:rsidR="002B7552">
        <w:t xml:space="preserve"> in resourcing levels are taken into account</w:t>
      </w:r>
      <w:r w:rsidR="002B7552">
        <w:rPr>
          <w:rFonts w:eastAsiaTheme="minorEastAsia" w:cstheme="minorBidi"/>
        </w:rPr>
        <w:t>.</w:t>
      </w:r>
    </w:p>
    <w:p w14:paraId="71A56AA9" w14:textId="77777777" w:rsidR="001623BD" w:rsidRPr="00B16EA2" w:rsidRDefault="001623BD" w:rsidP="001623BD">
      <w:pPr>
        <w:pStyle w:val="Heading3"/>
        <w:rPr>
          <w:rFonts w:eastAsiaTheme="majorEastAsia"/>
        </w:rPr>
      </w:pPr>
      <w:r w:rsidRPr="00B16EA2">
        <w:rPr>
          <w:rFonts w:eastAsiaTheme="majorEastAsia"/>
        </w:rPr>
        <w:t>Balance between operational and strategic evaluations</w:t>
      </w:r>
    </w:p>
    <w:p w14:paraId="71F9DCCA" w14:textId="4F26D033" w:rsidR="001623BD" w:rsidRPr="00327BF4" w:rsidRDefault="00327BF4" w:rsidP="001623BD">
      <w:pPr>
        <w:rPr>
          <w:rFonts w:eastAsiaTheme="minorEastAsia"/>
        </w:rPr>
      </w:pPr>
      <w:r>
        <w:rPr>
          <w:rFonts w:eastAsiaTheme="minorEastAsia"/>
        </w:rPr>
        <w:t>Some interviewees suggested that utility could be improved by reviewing the balance between the number</w:t>
      </w:r>
      <w:r w:rsidR="005257ED">
        <w:rPr>
          <w:rFonts w:eastAsiaTheme="minorEastAsia"/>
        </w:rPr>
        <w:t>s</w:t>
      </w:r>
      <w:r>
        <w:rPr>
          <w:rFonts w:eastAsiaTheme="minorEastAsia"/>
        </w:rPr>
        <w:t xml:space="preserve"> of operational </w:t>
      </w:r>
      <w:r>
        <w:t xml:space="preserve">initiative-level evaluations </w:t>
      </w:r>
      <w:r>
        <w:rPr>
          <w:rFonts w:eastAsiaTheme="minorEastAsia"/>
        </w:rPr>
        <w:t>and strategic evaluations produced.</w:t>
      </w:r>
      <w:r w:rsidR="00A74814">
        <w:rPr>
          <w:rFonts w:eastAsiaTheme="minorEastAsia"/>
        </w:rPr>
        <w:t xml:space="preserve"> </w:t>
      </w:r>
      <w:r w:rsidR="00B143C8">
        <w:t xml:space="preserve">A few </w:t>
      </w:r>
      <w:r w:rsidR="00581BBF">
        <w:t>interviewees</w:t>
      </w:r>
      <w:r w:rsidR="001623BD">
        <w:t xml:space="preserve"> questioned the current balance between the two, and suggested that </w:t>
      </w:r>
      <w:r w:rsidR="001623BD">
        <w:rPr>
          <w:rFonts w:eastAsiaTheme="minorEastAsia"/>
        </w:rPr>
        <w:t xml:space="preserve">the </w:t>
      </w:r>
      <w:r w:rsidR="001623BD">
        <w:t xml:space="preserve">Australian aid program should </w:t>
      </w:r>
      <w:r w:rsidR="001623BD" w:rsidRPr="00847891">
        <w:t xml:space="preserve">aim for </w:t>
      </w:r>
      <w:r w:rsidR="001623BD" w:rsidRPr="00081671">
        <w:t>fewer</w:t>
      </w:r>
      <w:r w:rsidR="001623BD">
        <w:t>,</w:t>
      </w:r>
      <w:r w:rsidR="001623BD" w:rsidRPr="00081671">
        <w:t xml:space="preserve"> more strategic evaluations</w:t>
      </w:r>
      <w:r w:rsidR="001623BD" w:rsidRPr="00847891">
        <w:t xml:space="preserve">. One </w:t>
      </w:r>
      <w:r w:rsidR="001623BD">
        <w:t>consultant</w:t>
      </w:r>
      <w:r w:rsidR="001623BD" w:rsidRPr="00847891">
        <w:t xml:space="preserve"> suggested that </w:t>
      </w:r>
      <w:r w:rsidR="001623BD">
        <w:rPr>
          <w:rFonts w:eastAsiaTheme="minorEastAsia"/>
        </w:rPr>
        <w:t xml:space="preserve">the </w:t>
      </w:r>
      <w:r w:rsidR="001623BD">
        <w:t xml:space="preserve">Australian aid program </w:t>
      </w:r>
      <w:r w:rsidR="001623BD" w:rsidRPr="00847891">
        <w:t>should consider</w:t>
      </w:r>
      <w:r w:rsidR="00A74814">
        <w:t xml:space="preserve"> </w:t>
      </w:r>
      <w:r w:rsidR="002C4B45">
        <w:t>‘</w:t>
      </w:r>
      <w:r w:rsidR="001623BD" w:rsidRPr="00DB2DE5">
        <w:t xml:space="preserve">Commissioning more evaluations of the delivery strategy in one country: too many evaluations focus on the level of activities </w:t>
      </w:r>
      <w:r w:rsidR="00112E16" w:rsidRPr="00DB2DE5">
        <w:t>and</w:t>
      </w:r>
      <w:r w:rsidR="001623BD" w:rsidRPr="00DB2DE5">
        <w:t xml:space="preserve"> outputs, </w:t>
      </w:r>
      <w:r w:rsidR="00112E16" w:rsidRPr="00DB2DE5">
        <w:t>and</w:t>
      </w:r>
      <w:r w:rsidR="001623BD" w:rsidRPr="00DB2DE5">
        <w:t xml:space="preserve"> too few really confront the key strategic issues</w:t>
      </w:r>
      <w:r w:rsidR="002C4B45">
        <w:t>’</w:t>
      </w:r>
      <w:r w:rsidR="005257ED">
        <w:t>.</w:t>
      </w:r>
      <w:r w:rsidR="00A74814" w:rsidRPr="002C4B45">
        <w:t xml:space="preserve"> </w:t>
      </w:r>
      <w:r w:rsidR="001623BD" w:rsidRPr="002C4B45">
        <w:t>A senior aid executive noted that</w:t>
      </w:r>
      <w:r w:rsidR="00DB2DE5">
        <w:t xml:space="preserve"> the Australian aid program</w:t>
      </w:r>
      <w:r w:rsidR="001623BD" w:rsidRPr="002C4B45">
        <w:t xml:space="preserve"> </w:t>
      </w:r>
      <w:r w:rsidR="002C4B45">
        <w:t>‘</w:t>
      </w:r>
      <w:r w:rsidR="001623BD" w:rsidRPr="00DB2DE5">
        <w:t>does struggle to point to solid evaluations that show our broader contribution [other than single interventions]</w:t>
      </w:r>
      <w:r w:rsidR="002C4B45">
        <w:t>’</w:t>
      </w:r>
      <w:r w:rsidR="001623BD" w:rsidRPr="00DB2DE5">
        <w:t>.</w:t>
      </w:r>
      <w:r w:rsidR="00A74814" w:rsidRPr="002C4B45">
        <w:t xml:space="preserve"> </w:t>
      </w:r>
      <w:r w:rsidR="001623BD">
        <w:t>The</w:t>
      </w:r>
      <w:r w:rsidR="00112E16">
        <w:t>se views suggest that the</w:t>
      </w:r>
      <w:r w:rsidR="001623BD">
        <w:t xml:space="preserve"> current focus on evaluating initiative-level outcomes may be diverting attention and resources away from evaluating how well the Australian aid program is achieving its higher</w:t>
      </w:r>
      <w:r w:rsidR="00941241">
        <w:t>-</w:t>
      </w:r>
      <w:r w:rsidR="001623BD">
        <w:t>level outcomes.</w:t>
      </w:r>
    </w:p>
    <w:p w14:paraId="199813EB" w14:textId="77777777" w:rsidR="00DC0544" w:rsidRPr="00DC0544" w:rsidRDefault="00DC0544" w:rsidP="00DB2DE5">
      <w:pPr>
        <w:pStyle w:val="Heading2"/>
        <w:numPr>
          <w:ilvl w:val="0"/>
          <w:numId w:val="52"/>
        </w:numPr>
        <w:ind w:left="357" w:hanging="357"/>
        <w:rPr>
          <w:rFonts w:eastAsiaTheme="majorEastAsia"/>
        </w:rPr>
      </w:pPr>
      <w:bookmarkStart w:id="154" w:name="_Ref380416188"/>
      <w:bookmarkStart w:id="155" w:name="_Toc387675115"/>
      <w:r w:rsidRPr="00DC0544">
        <w:rPr>
          <w:rFonts w:eastAsiaTheme="majorEastAsia"/>
        </w:rPr>
        <w:t>Evaluation resourcing</w:t>
      </w:r>
      <w:bookmarkEnd w:id="154"/>
      <w:bookmarkEnd w:id="155"/>
    </w:p>
    <w:p w14:paraId="7A40CC73" w14:textId="67B0236B" w:rsidR="005271A4" w:rsidRDefault="003A3454" w:rsidP="005271A4">
      <w:r>
        <w:t>As expected, our findings suggest</w:t>
      </w:r>
      <w:r w:rsidR="00E8228B" w:rsidRPr="007F10F2">
        <w:t xml:space="preserve"> that evaluation quality </w:t>
      </w:r>
      <w:r>
        <w:t>is</w:t>
      </w:r>
      <w:r w:rsidR="00E8228B" w:rsidRPr="007F10F2">
        <w:t xml:space="preserve"> influenced by the level of resourcing </w:t>
      </w:r>
      <w:r w:rsidR="00CA49C6" w:rsidRPr="007F10F2">
        <w:t>provided.</w:t>
      </w:r>
      <w:r w:rsidR="00A74814">
        <w:t xml:space="preserve"> </w:t>
      </w:r>
      <w:r w:rsidR="00EB2EF0">
        <w:t>W</w:t>
      </w:r>
      <w:r w:rsidR="00E8228B" w:rsidRPr="007F10F2">
        <w:t xml:space="preserve">e did not have enough reliable evaluation </w:t>
      </w:r>
      <w:r w:rsidR="00471EA8">
        <w:t>cost</w:t>
      </w:r>
      <w:r w:rsidR="00E8228B" w:rsidRPr="007F10F2">
        <w:t xml:space="preserve"> data to look for correlations with evaluation quality</w:t>
      </w:r>
      <w:r w:rsidR="007905B8">
        <w:t>;</w:t>
      </w:r>
      <w:r w:rsidR="00EB2EF0">
        <w:t xml:space="preserve"> h</w:t>
      </w:r>
      <w:r w:rsidR="00E8228B" w:rsidRPr="007F10F2">
        <w:t>owever</w:t>
      </w:r>
      <w:r w:rsidR="007905B8">
        <w:t>,</w:t>
      </w:r>
      <w:r w:rsidR="00EB2EF0">
        <w:t xml:space="preserve"> we were able to use proxy indicators.</w:t>
      </w:r>
      <w:r w:rsidR="00A74814">
        <w:t xml:space="preserve"> </w:t>
      </w:r>
      <w:r w:rsidR="00EB2EF0">
        <w:t xml:space="preserve">As discussed in section </w:t>
      </w:r>
      <w:r w:rsidR="00EB2EF0">
        <w:fldChar w:fldCharType="begin"/>
      </w:r>
      <w:r w:rsidR="00EB2EF0">
        <w:instrText xml:space="preserve"> REF _Ref380604640 \r \h </w:instrText>
      </w:r>
      <w:r w:rsidR="00EB2EF0">
        <w:fldChar w:fldCharType="separate"/>
      </w:r>
      <w:r w:rsidR="00147362">
        <w:t>5.1</w:t>
      </w:r>
      <w:r w:rsidR="00EB2EF0">
        <w:fldChar w:fldCharType="end"/>
      </w:r>
      <w:r w:rsidR="00EB2EF0">
        <w:t xml:space="preserve">, </w:t>
      </w:r>
      <w:r w:rsidR="00E8228B" w:rsidRPr="007F10F2">
        <w:t xml:space="preserve">we </w:t>
      </w:r>
      <w:r w:rsidR="00EB2EF0">
        <w:t>were able to determine a correlation between initiative value and evaluation cost and between initiative value and evaluation quality (with the notable exception of very high value initiatives).</w:t>
      </w:r>
      <w:r w:rsidR="00A74814">
        <w:t xml:space="preserve"> </w:t>
      </w:r>
      <w:r w:rsidR="00EB2EF0">
        <w:t>We were also</w:t>
      </w:r>
      <w:r w:rsidR="00E8228B" w:rsidRPr="007F10F2">
        <w:t xml:space="preserve"> able to use the </w:t>
      </w:r>
      <w:r w:rsidR="00D315F8">
        <w:t>duration</w:t>
      </w:r>
      <w:r w:rsidR="00D315F8" w:rsidRPr="007F10F2">
        <w:t xml:space="preserve"> </w:t>
      </w:r>
      <w:r w:rsidR="00E8228B" w:rsidRPr="007F10F2">
        <w:t>of the evaluations as a proxy indicator for</w:t>
      </w:r>
      <w:r w:rsidR="007905B8">
        <w:t xml:space="preserve"> the</w:t>
      </w:r>
      <w:r w:rsidR="00E8228B" w:rsidRPr="007F10F2">
        <w:t xml:space="preserve"> level of evaluation resourcing</w:t>
      </w:r>
      <w:r w:rsidR="00CA49C6" w:rsidRPr="007F10F2">
        <w:t xml:space="preserve"> and </w:t>
      </w:r>
      <w:r w:rsidR="00581BBF">
        <w:t>then</w:t>
      </w:r>
      <w:r w:rsidR="00CA49C6" w:rsidRPr="007F10F2">
        <w:t xml:space="preserve"> look for correlations with evaluation quality.</w:t>
      </w:r>
    </w:p>
    <w:p w14:paraId="22F04CD1" w14:textId="77777777" w:rsidR="00F3602E" w:rsidRDefault="00D315F8" w:rsidP="004D5E8C">
      <w:pPr>
        <w:pStyle w:val="Heading3"/>
      </w:pPr>
      <w:r>
        <w:t xml:space="preserve">Duration </w:t>
      </w:r>
      <w:r w:rsidR="00F3602E">
        <w:t>of the evaluation</w:t>
      </w:r>
      <w:bookmarkEnd w:id="148"/>
    </w:p>
    <w:p w14:paraId="77BFBD46" w14:textId="3A2D59B1" w:rsidR="00B1180B" w:rsidRDefault="00F3602E" w:rsidP="004D5E8C">
      <w:pPr>
        <w:rPr>
          <w:rFonts w:eastAsiaTheme="minorEastAsia"/>
        </w:rPr>
      </w:pPr>
      <w:r w:rsidRPr="00202C1C">
        <w:t xml:space="preserve">We found a positive correlation </w:t>
      </w:r>
      <w:r w:rsidRPr="00202C1C">
        <w:rPr>
          <w:rFonts w:eastAsiaTheme="minorEastAsia"/>
        </w:rPr>
        <w:t>between evaluation</w:t>
      </w:r>
      <w:r w:rsidR="00E540AE">
        <w:rPr>
          <w:rFonts w:eastAsiaTheme="minorEastAsia"/>
        </w:rPr>
        <w:t xml:space="preserve"> </w:t>
      </w:r>
      <w:r w:rsidR="00D315F8">
        <w:rPr>
          <w:rFonts w:eastAsiaTheme="minorEastAsia"/>
        </w:rPr>
        <w:t>duration</w:t>
      </w:r>
      <w:r w:rsidR="00E540AE">
        <w:rPr>
          <w:rFonts w:eastAsiaTheme="minorEastAsia"/>
        </w:rPr>
        <w:t xml:space="preserve"> (as measured by the total evaluation length and by the number of fieldwork days</w:t>
      </w:r>
      <w:r w:rsidR="00B1180B">
        <w:rPr>
          <w:rStyle w:val="FootnoteReference"/>
          <w:rFonts w:eastAsiaTheme="minorEastAsia"/>
        </w:rPr>
        <w:footnoteReference w:id="36"/>
      </w:r>
      <w:r w:rsidR="00E540AE">
        <w:rPr>
          <w:rFonts w:eastAsiaTheme="minorEastAsia"/>
        </w:rPr>
        <w:t xml:space="preserve">) and overall evaluation quality (as measured by </w:t>
      </w:r>
      <w:r w:rsidRPr="00202C1C">
        <w:rPr>
          <w:rFonts w:eastAsiaTheme="minorEastAsia"/>
        </w:rPr>
        <w:t>the</w:t>
      </w:r>
      <w:r w:rsidR="003A3454">
        <w:rPr>
          <w:rFonts w:eastAsiaTheme="minorEastAsia"/>
        </w:rPr>
        <w:t xml:space="preserve"> findings for the</w:t>
      </w:r>
      <w:r w:rsidRPr="00202C1C">
        <w:rPr>
          <w:rFonts w:eastAsiaTheme="minorEastAsia"/>
        </w:rPr>
        <w:t xml:space="preserve"> </w:t>
      </w:r>
      <w:r w:rsidRPr="0035183C">
        <w:rPr>
          <w:rFonts w:eastAsiaTheme="minorEastAsia"/>
        </w:rPr>
        <w:t>credibility of</w:t>
      </w:r>
      <w:r w:rsidR="00E540AE">
        <w:rPr>
          <w:rFonts w:eastAsiaTheme="minorEastAsia"/>
        </w:rPr>
        <w:t xml:space="preserve"> </w:t>
      </w:r>
      <w:r>
        <w:rPr>
          <w:rFonts w:eastAsiaTheme="minorEastAsia"/>
        </w:rPr>
        <w:t xml:space="preserve">evidence and </w:t>
      </w:r>
      <w:r w:rsidRPr="0035183C">
        <w:rPr>
          <w:rFonts w:eastAsiaTheme="minorEastAsia"/>
        </w:rPr>
        <w:t>analysis</w:t>
      </w:r>
      <w:r w:rsidR="00E540AE">
        <w:rPr>
          <w:rFonts w:eastAsiaTheme="minorEastAsia"/>
        </w:rPr>
        <w:t xml:space="preserve"> criterion)</w:t>
      </w:r>
      <w:r w:rsidR="00941241">
        <w:rPr>
          <w:rFonts w:ascii="Arial" w:eastAsiaTheme="minorEastAsia" w:hAnsi="Arial"/>
        </w:rPr>
        <w:t>—</w:t>
      </w:r>
      <w:r w:rsidR="007905B8">
        <w:rPr>
          <w:rFonts w:eastAsiaTheme="minorEastAsia"/>
        </w:rPr>
        <w:t>s</w:t>
      </w:r>
      <w:r w:rsidR="00E540AE">
        <w:rPr>
          <w:rFonts w:eastAsiaTheme="minorEastAsia"/>
        </w:rPr>
        <w:t xml:space="preserve">ee </w:t>
      </w:r>
      <w:r w:rsidR="004F0982">
        <w:rPr>
          <w:rFonts w:eastAsiaTheme="minorEastAsia"/>
        </w:rPr>
        <w:fldChar w:fldCharType="begin"/>
      </w:r>
      <w:r w:rsidR="004F0982">
        <w:rPr>
          <w:rFonts w:eastAsiaTheme="minorEastAsia"/>
        </w:rPr>
        <w:instrText xml:space="preserve"> REF _Ref373234648 \h </w:instrText>
      </w:r>
      <w:r w:rsidR="004F0982">
        <w:rPr>
          <w:rFonts w:eastAsiaTheme="minorEastAsia"/>
        </w:rPr>
      </w:r>
      <w:r w:rsidR="004F0982">
        <w:rPr>
          <w:rFonts w:eastAsiaTheme="minorEastAsia"/>
        </w:rPr>
        <w:fldChar w:fldCharType="separate"/>
      </w:r>
      <w:r w:rsidR="00147362">
        <w:t xml:space="preserve">Figure </w:t>
      </w:r>
      <w:r w:rsidR="00147362">
        <w:rPr>
          <w:noProof/>
        </w:rPr>
        <w:t>6</w:t>
      </w:r>
      <w:r w:rsidR="004F0982">
        <w:rPr>
          <w:rFonts w:eastAsiaTheme="minorEastAsia"/>
        </w:rPr>
        <w:fldChar w:fldCharType="end"/>
      </w:r>
      <w:r w:rsidR="00E540AE">
        <w:rPr>
          <w:rFonts w:eastAsiaTheme="minorEastAsia"/>
        </w:rPr>
        <w:t>.</w:t>
      </w:r>
      <w:r w:rsidR="00A74814">
        <w:rPr>
          <w:rFonts w:eastAsiaTheme="minorEastAsia"/>
        </w:rPr>
        <w:t xml:space="preserve"> </w:t>
      </w:r>
      <w:r w:rsidR="00E540AE">
        <w:rPr>
          <w:rFonts w:eastAsiaTheme="minorEastAsia"/>
        </w:rPr>
        <w:t>Evaluations found to be good or very high quality averaged, respectively, 61 and 79</w:t>
      </w:r>
      <w:r w:rsidR="007905B8">
        <w:rPr>
          <w:rFonts w:eastAsiaTheme="minorEastAsia"/>
        </w:rPr>
        <w:t> </w:t>
      </w:r>
      <w:r w:rsidR="00E540AE">
        <w:rPr>
          <w:rFonts w:eastAsiaTheme="minorEastAsia"/>
        </w:rPr>
        <w:t xml:space="preserve">days </w:t>
      </w:r>
      <w:r w:rsidR="007905B8">
        <w:rPr>
          <w:rFonts w:eastAsiaTheme="minorEastAsia"/>
        </w:rPr>
        <w:t xml:space="preserve">in </w:t>
      </w:r>
      <w:r w:rsidR="00E540AE">
        <w:rPr>
          <w:rFonts w:eastAsiaTheme="minorEastAsia"/>
        </w:rPr>
        <w:t>overall length and 18 and 25</w:t>
      </w:r>
      <w:r w:rsidR="007905B8">
        <w:rPr>
          <w:rFonts w:eastAsiaTheme="minorEastAsia"/>
        </w:rPr>
        <w:t> </w:t>
      </w:r>
      <w:r w:rsidR="00E540AE">
        <w:rPr>
          <w:rFonts w:eastAsiaTheme="minorEastAsia"/>
        </w:rPr>
        <w:t>days</w:t>
      </w:r>
      <w:r w:rsidR="007905B8">
        <w:rPr>
          <w:rFonts w:eastAsiaTheme="minorEastAsia"/>
        </w:rPr>
        <w:t xml:space="preserve"> of</w:t>
      </w:r>
      <w:r w:rsidR="00E540AE">
        <w:rPr>
          <w:rFonts w:eastAsiaTheme="minorEastAsia"/>
        </w:rPr>
        <w:t xml:space="preserve"> fieldwork.</w:t>
      </w:r>
      <w:r w:rsidR="00A74814">
        <w:rPr>
          <w:rFonts w:eastAsiaTheme="minorEastAsia"/>
        </w:rPr>
        <w:t xml:space="preserve"> </w:t>
      </w:r>
      <w:r w:rsidR="00B1180B">
        <w:rPr>
          <w:rFonts w:eastAsiaTheme="minorEastAsia"/>
        </w:rPr>
        <w:t>Evaluations found to be poor or very poor quality were much shorter, averaging 27</w:t>
      </w:r>
      <w:r w:rsidR="007905B8">
        <w:rPr>
          <w:rFonts w:eastAsiaTheme="minorEastAsia"/>
        </w:rPr>
        <w:t> </w:t>
      </w:r>
      <w:r w:rsidR="00B1180B">
        <w:rPr>
          <w:rFonts w:eastAsiaTheme="minorEastAsia"/>
        </w:rPr>
        <w:t xml:space="preserve">days overall length and </w:t>
      </w:r>
      <w:r w:rsidR="007905B8">
        <w:rPr>
          <w:rFonts w:eastAsiaTheme="minorEastAsia"/>
        </w:rPr>
        <w:t>nine</w:t>
      </w:r>
      <w:r w:rsidR="00B1180B">
        <w:rPr>
          <w:rFonts w:eastAsiaTheme="minorEastAsia"/>
        </w:rPr>
        <w:t xml:space="preserve"> days</w:t>
      </w:r>
      <w:r w:rsidR="007905B8">
        <w:rPr>
          <w:rFonts w:eastAsiaTheme="minorEastAsia"/>
        </w:rPr>
        <w:t xml:space="preserve"> of</w:t>
      </w:r>
      <w:r w:rsidR="00B1180B">
        <w:rPr>
          <w:rFonts w:eastAsiaTheme="minorEastAsia"/>
        </w:rPr>
        <w:t xml:space="preserve"> fieldwork.</w:t>
      </w:r>
      <w:r w:rsidR="00A74814">
        <w:rPr>
          <w:rFonts w:eastAsiaTheme="minorEastAsia"/>
        </w:rPr>
        <w:t xml:space="preserve"> </w:t>
      </w:r>
    </w:p>
    <w:p w14:paraId="11CD0DFC" w14:textId="56116AE7" w:rsidR="00F3602E" w:rsidRPr="00C72750" w:rsidRDefault="00F3602E" w:rsidP="00AF1AE6">
      <w:pPr>
        <w:pStyle w:val="Figuretitle"/>
      </w:pPr>
      <w:bookmarkStart w:id="156" w:name="_Ref373234648"/>
      <w:bookmarkStart w:id="157" w:name="_Toc372125033"/>
      <w:bookmarkStart w:id="158" w:name="_Toc372738080"/>
      <w:r>
        <w:lastRenderedPageBreak/>
        <w:t xml:space="preserve">Figure </w:t>
      </w:r>
      <w:r w:rsidR="007C3830">
        <w:fldChar w:fldCharType="begin"/>
      </w:r>
      <w:r w:rsidR="007C3830">
        <w:instrText xml:space="preserve"> SEQ Figure \* ARABIC </w:instrText>
      </w:r>
      <w:r w:rsidR="007C3830">
        <w:fldChar w:fldCharType="separate"/>
      </w:r>
      <w:r w:rsidR="00147362">
        <w:rPr>
          <w:noProof/>
        </w:rPr>
        <w:t>6</w:t>
      </w:r>
      <w:r w:rsidR="007C3830">
        <w:rPr>
          <w:noProof/>
        </w:rPr>
        <w:fldChar w:fldCharType="end"/>
      </w:r>
      <w:bookmarkEnd w:id="156"/>
      <w:r>
        <w:tab/>
      </w:r>
      <w:r w:rsidRPr="00AF1AE6">
        <w:t xml:space="preserve">Assessed </w:t>
      </w:r>
      <w:r w:rsidR="00744801" w:rsidRPr="00AF1AE6">
        <w:t>‘</w:t>
      </w:r>
      <w:r w:rsidR="002C4B45" w:rsidRPr="00AF1AE6">
        <w:t>c</w:t>
      </w:r>
      <w:r w:rsidRPr="00AF1AE6">
        <w:t xml:space="preserve">redibility of </w:t>
      </w:r>
      <w:r w:rsidR="002C4B45" w:rsidRPr="00AF1AE6">
        <w:t>e</w:t>
      </w:r>
      <w:r w:rsidRPr="00AF1AE6">
        <w:t xml:space="preserve">vidence and </w:t>
      </w:r>
      <w:r w:rsidR="002C4B45" w:rsidRPr="00AF1AE6">
        <w:t>a</w:t>
      </w:r>
      <w:r w:rsidRPr="00AF1AE6">
        <w:t>nalysis</w:t>
      </w:r>
      <w:r w:rsidR="00744801" w:rsidRPr="00AF1AE6">
        <w:t>’</w:t>
      </w:r>
      <w:r w:rsidRPr="00AF1AE6">
        <w:t xml:space="preserve"> and </w:t>
      </w:r>
      <w:r w:rsidR="002C4B45" w:rsidRPr="00AF1AE6">
        <w:t>e</w:t>
      </w:r>
      <w:r w:rsidRPr="00AF1AE6">
        <w:t>valuation length</w:t>
      </w:r>
      <w:bookmarkEnd w:id="157"/>
      <w:bookmarkEnd w:id="158"/>
    </w:p>
    <w:tbl>
      <w:tblPr>
        <w:tblStyle w:val="LightShading-Accent2"/>
        <w:tblW w:w="5000" w:type="pct"/>
        <w:tblBorders>
          <w:top w:val="single" w:sz="4" w:space="0" w:color="007C92"/>
          <w:bottom w:val="single" w:sz="4" w:space="0" w:color="007C92"/>
          <w:insideH w:val="single" w:sz="4" w:space="0" w:color="007C92"/>
        </w:tblBorders>
        <w:tblLayout w:type="fixed"/>
        <w:tblLook w:val="0600" w:firstRow="0" w:lastRow="0" w:firstColumn="0" w:lastColumn="0" w:noHBand="1" w:noVBand="1"/>
      </w:tblPr>
      <w:tblGrid>
        <w:gridCol w:w="3195"/>
        <w:gridCol w:w="1208"/>
        <w:gridCol w:w="1208"/>
        <w:gridCol w:w="1208"/>
        <w:gridCol w:w="1208"/>
        <w:gridCol w:w="1210"/>
      </w:tblGrid>
      <w:tr w:rsidR="00F3602E" w:rsidRPr="00DB2DE5" w14:paraId="045D4DD7" w14:textId="77777777" w:rsidTr="009C0903">
        <w:trPr>
          <w:trHeight w:val="20"/>
        </w:trPr>
        <w:tc>
          <w:tcPr>
            <w:tcW w:w="1729" w:type="pct"/>
            <w:tcBorders>
              <w:bottom w:val="single" w:sz="4" w:space="0" w:color="007C92"/>
            </w:tcBorders>
            <w:shd w:val="clear" w:color="auto" w:fill="007FAD"/>
            <w:vAlign w:val="center"/>
            <w:hideMark/>
          </w:tcPr>
          <w:p w14:paraId="029E313A" w14:textId="5E372B1D" w:rsidR="00F3602E" w:rsidRPr="00DB2DE5" w:rsidRDefault="00301342" w:rsidP="00DB2DE5">
            <w:pPr>
              <w:pStyle w:val="TableHeading21"/>
              <w:rPr>
                <w:rFonts w:eastAsiaTheme="minorEastAsia"/>
                <w:i w:val="0"/>
                <w:lang w:val="en-GB"/>
              </w:rPr>
            </w:pPr>
            <w:r w:rsidRPr="00DB2DE5">
              <w:rPr>
                <w:rFonts w:eastAsiaTheme="minorEastAsia"/>
                <w:i w:val="0"/>
                <w:lang w:val="en-GB"/>
              </w:rPr>
              <w:t>Measure of evaluation length</w:t>
            </w:r>
            <w:r w:rsidRPr="00DB2DE5" w:rsidDel="00301342">
              <w:rPr>
                <w:rFonts w:eastAsiaTheme="minorEastAsia"/>
                <w:i w:val="0"/>
                <w:lang w:val="en-GB"/>
              </w:rPr>
              <w:t xml:space="preserve"> </w:t>
            </w:r>
          </w:p>
        </w:tc>
        <w:tc>
          <w:tcPr>
            <w:tcW w:w="3271" w:type="pct"/>
            <w:gridSpan w:val="5"/>
            <w:tcBorders>
              <w:bottom w:val="single" w:sz="4" w:space="0" w:color="007C92"/>
            </w:tcBorders>
            <w:shd w:val="clear" w:color="auto" w:fill="007FAD"/>
            <w:vAlign w:val="center"/>
            <w:hideMark/>
          </w:tcPr>
          <w:p w14:paraId="09D325C9" w14:textId="47C608D6" w:rsidR="00F3602E" w:rsidRPr="00DB2DE5" w:rsidRDefault="00F3602E" w:rsidP="00AF1AE6">
            <w:pPr>
              <w:pStyle w:val="TableHeading21"/>
              <w:rPr>
                <w:rFonts w:eastAsiaTheme="minorEastAsia"/>
                <w:i w:val="0"/>
                <w:lang w:val="en-GB"/>
              </w:rPr>
            </w:pPr>
            <w:r w:rsidRPr="00DB2DE5">
              <w:rPr>
                <w:rFonts w:eastAsiaTheme="minorEastAsia"/>
                <w:i w:val="0"/>
                <w:lang w:val="en-GB"/>
              </w:rPr>
              <w:t xml:space="preserve">Assessed </w:t>
            </w:r>
            <w:r w:rsidR="002C4B45" w:rsidRPr="00DB2DE5">
              <w:rPr>
                <w:rFonts w:eastAsiaTheme="minorEastAsia"/>
                <w:i w:val="0"/>
                <w:lang w:val="en-GB"/>
              </w:rPr>
              <w:t>c</w:t>
            </w:r>
            <w:r w:rsidRPr="00DB2DE5">
              <w:rPr>
                <w:rFonts w:eastAsiaTheme="minorEastAsia"/>
                <w:i w:val="0"/>
                <w:lang w:val="en-GB"/>
              </w:rPr>
              <w:t xml:space="preserve">redibility of </w:t>
            </w:r>
            <w:r w:rsidR="002C4B45" w:rsidRPr="00DB2DE5">
              <w:rPr>
                <w:rFonts w:eastAsiaTheme="minorEastAsia"/>
                <w:i w:val="0"/>
                <w:lang w:val="en-GB"/>
              </w:rPr>
              <w:t>e</w:t>
            </w:r>
            <w:r w:rsidRPr="00DB2DE5">
              <w:rPr>
                <w:rFonts w:eastAsiaTheme="minorEastAsia"/>
                <w:i w:val="0"/>
                <w:lang w:val="en-GB"/>
              </w:rPr>
              <w:t xml:space="preserve">vidence </w:t>
            </w:r>
            <w:r w:rsidR="002C4B45" w:rsidRPr="00DB2DE5">
              <w:rPr>
                <w:rFonts w:eastAsiaTheme="minorEastAsia"/>
                <w:i w:val="0"/>
                <w:lang w:val="en-GB"/>
              </w:rPr>
              <w:t>and</w:t>
            </w:r>
            <w:r w:rsidRPr="00DB2DE5">
              <w:rPr>
                <w:rFonts w:eastAsiaTheme="minorEastAsia"/>
                <w:i w:val="0"/>
                <w:lang w:val="en-GB"/>
              </w:rPr>
              <w:t xml:space="preserve"> </w:t>
            </w:r>
            <w:r w:rsidR="002C4B45" w:rsidRPr="00DB2DE5">
              <w:rPr>
                <w:rFonts w:eastAsiaTheme="minorEastAsia"/>
                <w:i w:val="0"/>
                <w:lang w:val="en-GB"/>
              </w:rPr>
              <w:t>a</w:t>
            </w:r>
            <w:r w:rsidRPr="00DB2DE5">
              <w:rPr>
                <w:rFonts w:eastAsiaTheme="minorEastAsia"/>
                <w:i w:val="0"/>
                <w:lang w:val="en-GB"/>
              </w:rPr>
              <w:t xml:space="preserve">nalysis </w:t>
            </w:r>
          </w:p>
        </w:tc>
      </w:tr>
      <w:tr w:rsidR="00B1180B" w:rsidRPr="00FF5E90" w14:paraId="63A15888" w14:textId="77777777" w:rsidTr="009C0903">
        <w:trPr>
          <w:trHeight w:val="20"/>
        </w:trPr>
        <w:tc>
          <w:tcPr>
            <w:tcW w:w="1729" w:type="pct"/>
            <w:shd w:val="clear" w:color="auto" w:fill="ECF1F7"/>
            <w:vAlign w:val="center"/>
            <w:hideMark/>
          </w:tcPr>
          <w:p w14:paraId="0A7FF5F5" w14:textId="5D927E12" w:rsidR="00B1180B" w:rsidRPr="00301342" w:rsidRDefault="00B1180B" w:rsidP="00AF1AE6">
            <w:pPr>
              <w:pStyle w:val="Tabletext0"/>
              <w:rPr>
                <w:rFonts w:eastAsiaTheme="minorEastAsia"/>
                <w:lang w:val="en-GB"/>
              </w:rPr>
            </w:pPr>
          </w:p>
        </w:tc>
        <w:tc>
          <w:tcPr>
            <w:tcW w:w="654" w:type="pct"/>
            <w:shd w:val="clear" w:color="auto" w:fill="ECF1F7"/>
            <w:vAlign w:val="center"/>
            <w:hideMark/>
          </w:tcPr>
          <w:p w14:paraId="6A0B7FD0" w14:textId="3591C1CC" w:rsidR="00B1180B" w:rsidRPr="00DB2DE5" w:rsidRDefault="00B1180B" w:rsidP="00AF1AE6">
            <w:pPr>
              <w:pStyle w:val="Tabletext0"/>
              <w:rPr>
                <w:rFonts w:eastAsiaTheme="minorEastAsia"/>
                <w:b/>
                <w:lang w:val="en-GB"/>
              </w:rPr>
            </w:pPr>
            <w:r w:rsidRPr="00DB2DE5">
              <w:rPr>
                <w:rFonts w:eastAsiaTheme="minorEastAsia"/>
                <w:b/>
                <w:lang w:val="en-GB"/>
              </w:rPr>
              <w:t xml:space="preserve">Poor or </w:t>
            </w:r>
            <w:r w:rsidR="002C4B45" w:rsidRPr="00DB2DE5">
              <w:rPr>
                <w:rFonts w:eastAsiaTheme="minorEastAsia"/>
                <w:b/>
                <w:lang w:val="en-GB"/>
              </w:rPr>
              <w:t>v</w:t>
            </w:r>
            <w:r w:rsidRPr="00DB2DE5">
              <w:rPr>
                <w:rFonts w:eastAsiaTheme="minorEastAsia"/>
                <w:b/>
                <w:lang w:val="en-GB"/>
              </w:rPr>
              <w:t xml:space="preserve">ery </w:t>
            </w:r>
            <w:r w:rsidR="002C4B45" w:rsidRPr="00DB2DE5">
              <w:rPr>
                <w:rFonts w:eastAsiaTheme="minorEastAsia"/>
                <w:b/>
                <w:lang w:val="en-GB"/>
              </w:rPr>
              <w:t>p</w:t>
            </w:r>
            <w:r w:rsidRPr="00DB2DE5">
              <w:rPr>
                <w:rFonts w:eastAsiaTheme="minorEastAsia"/>
                <w:b/>
                <w:lang w:val="en-GB"/>
              </w:rPr>
              <w:t xml:space="preserve">oor </w:t>
            </w:r>
            <w:r w:rsidR="002C4B45" w:rsidRPr="00DB2DE5">
              <w:rPr>
                <w:rFonts w:eastAsiaTheme="minorEastAsia"/>
                <w:b/>
                <w:lang w:val="en-GB"/>
              </w:rPr>
              <w:t>q</w:t>
            </w:r>
            <w:r w:rsidRPr="00DB2DE5">
              <w:rPr>
                <w:rFonts w:eastAsiaTheme="minorEastAsia"/>
                <w:b/>
                <w:lang w:val="en-GB"/>
              </w:rPr>
              <w:t xml:space="preserve">uality </w:t>
            </w:r>
          </w:p>
        </w:tc>
        <w:tc>
          <w:tcPr>
            <w:tcW w:w="654" w:type="pct"/>
            <w:shd w:val="clear" w:color="auto" w:fill="ECF1F7"/>
            <w:vAlign w:val="center"/>
            <w:hideMark/>
          </w:tcPr>
          <w:p w14:paraId="56333042" w14:textId="147C12D3" w:rsidR="00B1180B" w:rsidRPr="00DB2DE5" w:rsidRDefault="00B1180B" w:rsidP="00AF1AE6">
            <w:pPr>
              <w:pStyle w:val="Tabletext0"/>
              <w:rPr>
                <w:rFonts w:eastAsiaTheme="minorEastAsia"/>
                <w:b/>
                <w:lang w:val="en-GB"/>
              </w:rPr>
            </w:pPr>
            <w:r w:rsidRPr="00DB2DE5">
              <w:rPr>
                <w:rFonts w:eastAsiaTheme="minorEastAsia"/>
                <w:b/>
                <w:lang w:val="en-GB"/>
              </w:rPr>
              <w:t xml:space="preserve">Less than </w:t>
            </w:r>
            <w:r w:rsidR="002C4B45" w:rsidRPr="00DB2DE5">
              <w:rPr>
                <w:rFonts w:eastAsiaTheme="minorEastAsia"/>
                <w:b/>
                <w:lang w:val="en-GB"/>
              </w:rPr>
              <w:t>a</w:t>
            </w:r>
            <w:r w:rsidRPr="00DB2DE5">
              <w:rPr>
                <w:rFonts w:eastAsiaTheme="minorEastAsia"/>
                <w:b/>
                <w:lang w:val="en-GB"/>
              </w:rPr>
              <w:t xml:space="preserve">dequate </w:t>
            </w:r>
            <w:r w:rsidR="002C4B45" w:rsidRPr="00DB2DE5">
              <w:rPr>
                <w:rFonts w:eastAsiaTheme="minorEastAsia"/>
                <w:b/>
                <w:lang w:val="en-GB"/>
              </w:rPr>
              <w:t>q</w:t>
            </w:r>
            <w:r w:rsidRPr="00DB2DE5">
              <w:rPr>
                <w:rFonts w:eastAsiaTheme="minorEastAsia"/>
                <w:b/>
                <w:lang w:val="en-GB"/>
              </w:rPr>
              <w:t>uality</w:t>
            </w:r>
          </w:p>
        </w:tc>
        <w:tc>
          <w:tcPr>
            <w:tcW w:w="654" w:type="pct"/>
            <w:shd w:val="clear" w:color="auto" w:fill="ECF1F7"/>
            <w:vAlign w:val="center"/>
            <w:hideMark/>
          </w:tcPr>
          <w:p w14:paraId="04CF3F81" w14:textId="76EAE93D" w:rsidR="00B1180B" w:rsidRPr="00DB2DE5" w:rsidRDefault="00B1180B" w:rsidP="00AF1AE6">
            <w:pPr>
              <w:pStyle w:val="Tabletext0"/>
              <w:rPr>
                <w:rFonts w:eastAsiaTheme="minorEastAsia"/>
                <w:b/>
                <w:lang w:val="en-GB"/>
              </w:rPr>
            </w:pPr>
            <w:r w:rsidRPr="00DB2DE5">
              <w:rPr>
                <w:rFonts w:eastAsiaTheme="minorEastAsia"/>
                <w:b/>
                <w:lang w:val="en-GB"/>
              </w:rPr>
              <w:t xml:space="preserve">Adequate </w:t>
            </w:r>
            <w:r w:rsidR="002C4B45" w:rsidRPr="00DB2DE5">
              <w:rPr>
                <w:rFonts w:eastAsiaTheme="minorEastAsia"/>
                <w:b/>
                <w:lang w:val="en-GB"/>
              </w:rPr>
              <w:t>q</w:t>
            </w:r>
            <w:r w:rsidRPr="00DB2DE5">
              <w:rPr>
                <w:rFonts w:eastAsiaTheme="minorEastAsia"/>
                <w:b/>
                <w:lang w:val="en-GB"/>
              </w:rPr>
              <w:t>uality</w:t>
            </w:r>
          </w:p>
        </w:tc>
        <w:tc>
          <w:tcPr>
            <w:tcW w:w="654" w:type="pct"/>
            <w:shd w:val="clear" w:color="auto" w:fill="ECF1F7"/>
            <w:vAlign w:val="center"/>
            <w:hideMark/>
          </w:tcPr>
          <w:p w14:paraId="1DC3DE14" w14:textId="2D02B908" w:rsidR="00B1180B" w:rsidRPr="00DB2DE5" w:rsidRDefault="00B1180B" w:rsidP="00AF1AE6">
            <w:pPr>
              <w:pStyle w:val="Tabletext0"/>
              <w:rPr>
                <w:rFonts w:eastAsiaTheme="minorEastAsia"/>
                <w:b/>
                <w:lang w:val="en-GB"/>
              </w:rPr>
            </w:pPr>
            <w:r w:rsidRPr="00DB2DE5">
              <w:rPr>
                <w:rFonts w:eastAsiaTheme="minorEastAsia"/>
                <w:b/>
                <w:lang w:val="en-GB"/>
              </w:rPr>
              <w:t xml:space="preserve">Good </w:t>
            </w:r>
            <w:r w:rsidR="002C4B45" w:rsidRPr="00DB2DE5">
              <w:rPr>
                <w:rFonts w:eastAsiaTheme="minorEastAsia"/>
                <w:b/>
                <w:lang w:val="en-GB"/>
              </w:rPr>
              <w:t>q</w:t>
            </w:r>
            <w:r w:rsidRPr="00DB2DE5">
              <w:rPr>
                <w:rFonts w:eastAsiaTheme="minorEastAsia"/>
                <w:b/>
                <w:lang w:val="en-GB"/>
              </w:rPr>
              <w:t>uality</w:t>
            </w:r>
          </w:p>
        </w:tc>
        <w:tc>
          <w:tcPr>
            <w:tcW w:w="654" w:type="pct"/>
            <w:shd w:val="clear" w:color="auto" w:fill="ECF1F7"/>
            <w:vAlign w:val="center"/>
            <w:hideMark/>
          </w:tcPr>
          <w:p w14:paraId="7E2B712A" w14:textId="611E0399" w:rsidR="00B1180B" w:rsidRPr="00DB2DE5" w:rsidRDefault="00B1180B" w:rsidP="00AF1AE6">
            <w:pPr>
              <w:pStyle w:val="Tabletext0"/>
              <w:rPr>
                <w:rFonts w:eastAsiaTheme="minorEastAsia"/>
                <w:b/>
                <w:lang w:val="en-GB"/>
              </w:rPr>
            </w:pPr>
            <w:r w:rsidRPr="00DB2DE5">
              <w:rPr>
                <w:rFonts w:eastAsiaTheme="minorEastAsia"/>
                <w:b/>
                <w:lang w:val="en-GB"/>
              </w:rPr>
              <w:t xml:space="preserve">Very </w:t>
            </w:r>
            <w:r w:rsidR="002C4B45" w:rsidRPr="00DB2DE5">
              <w:rPr>
                <w:rFonts w:eastAsiaTheme="minorEastAsia"/>
                <w:b/>
                <w:lang w:val="en-GB"/>
              </w:rPr>
              <w:t>h</w:t>
            </w:r>
            <w:r w:rsidRPr="00DB2DE5">
              <w:rPr>
                <w:rFonts w:eastAsiaTheme="minorEastAsia"/>
                <w:b/>
                <w:lang w:val="en-GB"/>
              </w:rPr>
              <w:t xml:space="preserve">igh </w:t>
            </w:r>
            <w:r w:rsidR="002C4B45" w:rsidRPr="00DB2DE5">
              <w:rPr>
                <w:rFonts w:eastAsiaTheme="minorEastAsia"/>
                <w:b/>
                <w:lang w:val="en-GB"/>
              </w:rPr>
              <w:t>q</w:t>
            </w:r>
            <w:r w:rsidRPr="00DB2DE5">
              <w:rPr>
                <w:rFonts w:eastAsiaTheme="minorEastAsia"/>
                <w:b/>
                <w:lang w:val="en-GB"/>
              </w:rPr>
              <w:t>uality</w:t>
            </w:r>
          </w:p>
        </w:tc>
      </w:tr>
      <w:tr w:rsidR="00B1180B" w:rsidRPr="00D262FF" w14:paraId="3C888629" w14:textId="77777777" w:rsidTr="00DB2DE5">
        <w:trPr>
          <w:trHeight w:val="353"/>
        </w:trPr>
        <w:tc>
          <w:tcPr>
            <w:tcW w:w="1729" w:type="pct"/>
            <w:vAlign w:val="center"/>
            <w:hideMark/>
          </w:tcPr>
          <w:p w14:paraId="3FCE5869" w14:textId="77777777" w:rsidR="00B1180B" w:rsidRPr="00301342" w:rsidRDefault="00B1180B" w:rsidP="00AF1AE6">
            <w:pPr>
              <w:pStyle w:val="Tabletext0"/>
              <w:rPr>
                <w:rFonts w:eastAsiaTheme="minorEastAsia"/>
                <w:b/>
                <w:lang w:val="en-GB"/>
              </w:rPr>
            </w:pPr>
            <w:r w:rsidRPr="00301342">
              <w:rPr>
                <w:rFonts w:eastAsiaTheme="minorEastAsia"/>
                <w:b/>
                <w:lang w:val="en-GB"/>
              </w:rPr>
              <w:t>Average number of evaluation days</w:t>
            </w:r>
          </w:p>
        </w:tc>
        <w:tc>
          <w:tcPr>
            <w:tcW w:w="654" w:type="pct"/>
            <w:vAlign w:val="center"/>
            <w:hideMark/>
          </w:tcPr>
          <w:p w14:paraId="6A228969" w14:textId="77777777" w:rsidR="00B1180B" w:rsidRPr="00301342" w:rsidRDefault="00B1180B" w:rsidP="00AF1AE6">
            <w:pPr>
              <w:pStyle w:val="Tabletext0"/>
              <w:rPr>
                <w:rFonts w:eastAsiaTheme="minorEastAsia"/>
                <w:lang w:val="en-GB"/>
              </w:rPr>
            </w:pPr>
            <w:r w:rsidRPr="00301342">
              <w:rPr>
                <w:rFonts w:eastAsiaTheme="minorEastAsia"/>
                <w:lang w:val="en-GB"/>
              </w:rPr>
              <w:t>27</w:t>
            </w:r>
          </w:p>
        </w:tc>
        <w:tc>
          <w:tcPr>
            <w:tcW w:w="654" w:type="pct"/>
            <w:vAlign w:val="center"/>
            <w:hideMark/>
          </w:tcPr>
          <w:p w14:paraId="49FE761B" w14:textId="77777777" w:rsidR="00B1180B" w:rsidRPr="00301342" w:rsidRDefault="00B1180B" w:rsidP="00AF1AE6">
            <w:pPr>
              <w:pStyle w:val="Tabletext0"/>
              <w:rPr>
                <w:rFonts w:eastAsiaTheme="minorEastAsia"/>
                <w:lang w:val="en-GB"/>
              </w:rPr>
            </w:pPr>
            <w:r w:rsidRPr="00301342">
              <w:rPr>
                <w:rFonts w:eastAsiaTheme="minorEastAsia"/>
                <w:lang w:val="en-GB"/>
              </w:rPr>
              <w:t>37</w:t>
            </w:r>
          </w:p>
        </w:tc>
        <w:tc>
          <w:tcPr>
            <w:tcW w:w="654" w:type="pct"/>
            <w:vAlign w:val="center"/>
            <w:hideMark/>
          </w:tcPr>
          <w:p w14:paraId="4205D867" w14:textId="77777777" w:rsidR="00B1180B" w:rsidRPr="00301342" w:rsidRDefault="00B1180B" w:rsidP="00AF1AE6">
            <w:pPr>
              <w:pStyle w:val="Tabletext0"/>
              <w:rPr>
                <w:rFonts w:eastAsiaTheme="minorEastAsia"/>
                <w:lang w:val="en-GB"/>
              </w:rPr>
            </w:pPr>
            <w:r w:rsidRPr="00301342">
              <w:rPr>
                <w:rFonts w:eastAsiaTheme="minorEastAsia"/>
                <w:lang w:val="en-GB"/>
              </w:rPr>
              <w:t>34</w:t>
            </w:r>
          </w:p>
        </w:tc>
        <w:tc>
          <w:tcPr>
            <w:tcW w:w="654" w:type="pct"/>
            <w:vAlign w:val="center"/>
            <w:hideMark/>
          </w:tcPr>
          <w:p w14:paraId="754BC526" w14:textId="77777777" w:rsidR="00B1180B" w:rsidRPr="00301342" w:rsidRDefault="00B1180B" w:rsidP="00AF1AE6">
            <w:pPr>
              <w:pStyle w:val="Tabletext0"/>
              <w:rPr>
                <w:rFonts w:eastAsiaTheme="minorEastAsia"/>
                <w:lang w:val="en-GB"/>
              </w:rPr>
            </w:pPr>
            <w:r w:rsidRPr="00301342">
              <w:rPr>
                <w:rFonts w:eastAsiaTheme="minorEastAsia"/>
                <w:lang w:val="en-GB"/>
              </w:rPr>
              <w:t>61</w:t>
            </w:r>
          </w:p>
        </w:tc>
        <w:tc>
          <w:tcPr>
            <w:tcW w:w="654" w:type="pct"/>
            <w:vAlign w:val="center"/>
            <w:hideMark/>
          </w:tcPr>
          <w:p w14:paraId="76D74BEC" w14:textId="77777777" w:rsidR="00B1180B" w:rsidRPr="00301342" w:rsidRDefault="00B1180B" w:rsidP="00AF1AE6">
            <w:pPr>
              <w:pStyle w:val="Tabletext0"/>
              <w:rPr>
                <w:rFonts w:eastAsiaTheme="minorEastAsia"/>
                <w:lang w:val="en-GB"/>
              </w:rPr>
            </w:pPr>
            <w:r w:rsidRPr="00301342">
              <w:rPr>
                <w:rFonts w:eastAsiaTheme="minorEastAsia"/>
                <w:lang w:val="en-GB"/>
              </w:rPr>
              <w:t>79</w:t>
            </w:r>
          </w:p>
        </w:tc>
      </w:tr>
      <w:tr w:rsidR="00B1180B" w:rsidRPr="00D262FF" w14:paraId="3A0A84A0" w14:textId="77777777" w:rsidTr="00DB2DE5">
        <w:trPr>
          <w:trHeight w:val="20"/>
        </w:trPr>
        <w:tc>
          <w:tcPr>
            <w:tcW w:w="1729" w:type="pct"/>
            <w:vAlign w:val="center"/>
            <w:hideMark/>
          </w:tcPr>
          <w:p w14:paraId="5C8F9C3F" w14:textId="577CF01A" w:rsidR="00B1180B" w:rsidRPr="00301342" w:rsidRDefault="00B1180B" w:rsidP="00AF1AE6">
            <w:pPr>
              <w:pStyle w:val="Tabletext0"/>
              <w:rPr>
                <w:rFonts w:eastAsiaTheme="minorEastAsia"/>
                <w:b/>
                <w:lang w:val="en-GB"/>
              </w:rPr>
            </w:pPr>
            <w:r w:rsidRPr="00301342">
              <w:rPr>
                <w:rFonts w:eastAsiaTheme="minorEastAsia"/>
                <w:b/>
                <w:lang w:val="en-GB"/>
              </w:rPr>
              <w:t xml:space="preserve">Average number of </w:t>
            </w:r>
            <w:r w:rsidR="002C4B45" w:rsidRPr="00301342">
              <w:rPr>
                <w:rFonts w:eastAsiaTheme="minorEastAsia"/>
                <w:b/>
                <w:lang w:val="en-GB"/>
              </w:rPr>
              <w:t>f</w:t>
            </w:r>
            <w:r w:rsidRPr="00301342">
              <w:rPr>
                <w:rFonts w:eastAsiaTheme="minorEastAsia"/>
                <w:b/>
                <w:lang w:val="en-GB"/>
              </w:rPr>
              <w:t>ieldwork days</w:t>
            </w:r>
          </w:p>
        </w:tc>
        <w:tc>
          <w:tcPr>
            <w:tcW w:w="654" w:type="pct"/>
            <w:vAlign w:val="center"/>
            <w:hideMark/>
          </w:tcPr>
          <w:p w14:paraId="0C6A166D" w14:textId="77777777" w:rsidR="00B1180B" w:rsidRPr="00301342" w:rsidRDefault="00B1180B" w:rsidP="00AF1AE6">
            <w:pPr>
              <w:pStyle w:val="Tabletext0"/>
              <w:rPr>
                <w:rFonts w:eastAsiaTheme="minorEastAsia"/>
                <w:lang w:val="en-GB"/>
              </w:rPr>
            </w:pPr>
            <w:r w:rsidRPr="00301342">
              <w:rPr>
                <w:rFonts w:eastAsiaTheme="minorEastAsia"/>
                <w:lang w:val="en-GB"/>
              </w:rPr>
              <w:t>9</w:t>
            </w:r>
          </w:p>
        </w:tc>
        <w:tc>
          <w:tcPr>
            <w:tcW w:w="654" w:type="pct"/>
            <w:vAlign w:val="center"/>
            <w:hideMark/>
          </w:tcPr>
          <w:p w14:paraId="5CEAF889" w14:textId="77777777" w:rsidR="00B1180B" w:rsidRPr="00301342" w:rsidRDefault="00B1180B" w:rsidP="00AF1AE6">
            <w:pPr>
              <w:pStyle w:val="Tabletext0"/>
              <w:rPr>
                <w:rFonts w:eastAsiaTheme="minorEastAsia"/>
                <w:lang w:val="en-GB"/>
              </w:rPr>
            </w:pPr>
            <w:r w:rsidRPr="00301342">
              <w:rPr>
                <w:rFonts w:eastAsiaTheme="minorEastAsia"/>
                <w:lang w:val="en-GB"/>
              </w:rPr>
              <w:t>13</w:t>
            </w:r>
          </w:p>
        </w:tc>
        <w:tc>
          <w:tcPr>
            <w:tcW w:w="654" w:type="pct"/>
            <w:vAlign w:val="center"/>
            <w:hideMark/>
          </w:tcPr>
          <w:p w14:paraId="3D4D8EAA" w14:textId="77777777" w:rsidR="00B1180B" w:rsidRPr="00301342" w:rsidRDefault="00B1180B" w:rsidP="00AF1AE6">
            <w:pPr>
              <w:pStyle w:val="Tabletext0"/>
              <w:rPr>
                <w:rFonts w:eastAsiaTheme="minorEastAsia"/>
                <w:lang w:val="en-GB"/>
              </w:rPr>
            </w:pPr>
            <w:r w:rsidRPr="00301342">
              <w:rPr>
                <w:rFonts w:eastAsiaTheme="minorEastAsia"/>
                <w:lang w:val="en-GB"/>
              </w:rPr>
              <w:t>14</w:t>
            </w:r>
          </w:p>
        </w:tc>
        <w:tc>
          <w:tcPr>
            <w:tcW w:w="654" w:type="pct"/>
            <w:vAlign w:val="center"/>
            <w:hideMark/>
          </w:tcPr>
          <w:p w14:paraId="6366E300" w14:textId="77777777" w:rsidR="00B1180B" w:rsidRPr="00301342" w:rsidRDefault="00B1180B" w:rsidP="00AF1AE6">
            <w:pPr>
              <w:pStyle w:val="Tabletext0"/>
              <w:rPr>
                <w:rFonts w:eastAsiaTheme="minorEastAsia"/>
                <w:lang w:val="en-GB"/>
              </w:rPr>
            </w:pPr>
            <w:r w:rsidRPr="00301342">
              <w:rPr>
                <w:rFonts w:eastAsiaTheme="minorEastAsia"/>
                <w:lang w:val="en-GB"/>
              </w:rPr>
              <w:t>18</w:t>
            </w:r>
          </w:p>
        </w:tc>
        <w:tc>
          <w:tcPr>
            <w:tcW w:w="654" w:type="pct"/>
            <w:vAlign w:val="center"/>
            <w:hideMark/>
          </w:tcPr>
          <w:p w14:paraId="7D1F6FA2" w14:textId="77777777" w:rsidR="00B1180B" w:rsidRPr="00301342" w:rsidRDefault="00B1180B" w:rsidP="00AF1AE6">
            <w:pPr>
              <w:pStyle w:val="Tabletext0"/>
              <w:rPr>
                <w:rFonts w:eastAsiaTheme="minorEastAsia"/>
                <w:lang w:val="en-GB"/>
              </w:rPr>
            </w:pPr>
            <w:r w:rsidRPr="00301342">
              <w:rPr>
                <w:rFonts w:eastAsiaTheme="minorEastAsia"/>
                <w:lang w:val="en-GB"/>
              </w:rPr>
              <w:t>25</w:t>
            </w:r>
          </w:p>
        </w:tc>
      </w:tr>
    </w:tbl>
    <w:p w14:paraId="408EC1D2" w14:textId="77777777" w:rsidR="00F3602E" w:rsidRDefault="00F3602E" w:rsidP="00F3602E">
      <w:pPr>
        <w:pStyle w:val="Itadbodycopy"/>
        <w:rPr>
          <w:rFonts w:eastAsiaTheme="minorEastAsia"/>
        </w:rPr>
      </w:pPr>
    </w:p>
    <w:p w14:paraId="3FAE6B02" w14:textId="7E6294D0" w:rsidR="00A51127" w:rsidRDefault="00F3602E" w:rsidP="004D5E8C">
      <w:pPr>
        <w:rPr>
          <w:rFonts w:eastAsiaTheme="minorEastAsia"/>
        </w:rPr>
      </w:pPr>
      <w:r>
        <w:rPr>
          <w:rFonts w:eastAsiaTheme="minorEastAsia"/>
        </w:rPr>
        <w:t>The</w:t>
      </w:r>
      <w:r w:rsidRPr="00202C1C">
        <w:rPr>
          <w:rFonts w:eastAsiaTheme="minorEastAsia"/>
        </w:rPr>
        <w:t xml:space="preserve"> </w:t>
      </w:r>
      <w:r>
        <w:rPr>
          <w:rFonts w:eastAsiaTheme="minorEastAsia"/>
        </w:rPr>
        <w:t xml:space="preserve">positive correlation between evaluation quality and number of fieldwork days </w:t>
      </w:r>
      <w:r w:rsidRPr="00202C1C">
        <w:rPr>
          <w:rFonts w:eastAsiaTheme="minorEastAsia"/>
        </w:rPr>
        <w:t>was confirmed by our interviewees</w:t>
      </w:r>
      <w:r>
        <w:rPr>
          <w:rFonts w:eastAsiaTheme="minorEastAsia"/>
        </w:rPr>
        <w:t>,</w:t>
      </w:r>
      <w:r w:rsidRPr="00202C1C">
        <w:rPr>
          <w:rFonts w:eastAsiaTheme="minorEastAsia"/>
        </w:rPr>
        <w:t xml:space="preserve"> 11 of</w:t>
      </w:r>
      <w:r>
        <w:rPr>
          <w:rFonts w:eastAsiaTheme="minorEastAsia"/>
        </w:rPr>
        <w:t xml:space="preserve"> whom emphasised the need to have sufficient time in</w:t>
      </w:r>
      <w:r w:rsidR="00C95A0A">
        <w:rPr>
          <w:rFonts w:eastAsiaTheme="minorEastAsia"/>
        </w:rPr>
        <w:t xml:space="preserve"> </w:t>
      </w:r>
      <w:r>
        <w:rPr>
          <w:rFonts w:eastAsiaTheme="minorEastAsia"/>
        </w:rPr>
        <w:t xml:space="preserve">country </w:t>
      </w:r>
      <w:r w:rsidR="003D43B7">
        <w:rPr>
          <w:rFonts w:eastAsiaTheme="minorEastAsia"/>
        </w:rPr>
        <w:t>for</w:t>
      </w:r>
      <w:r>
        <w:rPr>
          <w:rFonts w:eastAsiaTheme="minorEastAsia"/>
        </w:rPr>
        <w:t xml:space="preserve"> evaluations.</w:t>
      </w:r>
      <w:r w:rsidR="00A74814">
        <w:rPr>
          <w:rFonts w:eastAsiaTheme="minorEastAsia"/>
        </w:rPr>
        <w:t xml:space="preserve"> </w:t>
      </w:r>
      <w:r w:rsidR="00B1180B">
        <w:rPr>
          <w:rFonts w:eastAsiaTheme="minorEastAsia"/>
        </w:rPr>
        <w:t>I</w:t>
      </w:r>
      <w:r>
        <w:rPr>
          <w:rFonts w:eastAsiaTheme="minorEastAsia"/>
        </w:rPr>
        <w:t>nterview</w:t>
      </w:r>
      <w:r w:rsidR="00B1180B">
        <w:rPr>
          <w:rFonts w:eastAsiaTheme="minorEastAsia"/>
        </w:rPr>
        <w:t>ed</w:t>
      </w:r>
      <w:r>
        <w:rPr>
          <w:rFonts w:eastAsiaTheme="minorEastAsia"/>
        </w:rPr>
        <w:t xml:space="preserve"> consultants stress</w:t>
      </w:r>
      <w:r w:rsidR="00B1180B">
        <w:rPr>
          <w:rFonts w:eastAsiaTheme="minorEastAsia"/>
        </w:rPr>
        <w:t>ed</w:t>
      </w:r>
      <w:r>
        <w:rPr>
          <w:rFonts w:eastAsiaTheme="minorEastAsia"/>
        </w:rPr>
        <w:t xml:space="preserve"> the importance of adequate lead-in and preparation time and the challenges posed by rushed mobilisation and inadequate time for report writing. Their views were supported by </w:t>
      </w:r>
      <w:r w:rsidR="003A3454">
        <w:rPr>
          <w:rFonts w:eastAsiaTheme="minorEastAsia"/>
        </w:rPr>
        <w:t xml:space="preserve">aid program </w:t>
      </w:r>
      <w:r>
        <w:rPr>
          <w:rFonts w:eastAsiaTheme="minorEastAsia"/>
        </w:rPr>
        <w:t>staff interviewees who noted that evaluations need to be planned well in advance (</w:t>
      </w:r>
      <w:r w:rsidR="003A3454">
        <w:rPr>
          <w:rFonts w:eastAsiaTheme="minorEastAsia"/>
        </w:rPr>
        <w:t>usually</w:t>
      </w:r>
      <w:r>
        <w:rPr>
          <w:rFonts w:eastAsiaTheme="minorEastAsia"/>
        </w:rPr>
        <w:t xml:space="preserve"> around six months) so that the best or most appropriate consultants can be contracted </w:t>
      </w:r>
      <w:r w:rsidR="003D43B7">
        <w:rPr>
          <w:rFonts w:eastAsiaTheme="minorEastAsia"/>
        </w:rPr>
        <w:t>and there is</w:t>
      </w:r>
      <w:r w:rsidR="004F0982">
        <w:rPr>
          <w:rFonts w:eastAsiaTheme="minorEastAsia"/>
        </w:rPr>
        <w:t xml:space="preserve"> sufficient time to</w:t>
      </w:r>
      <w:r w:rsidR="003D43B7">
        <w:rPr>
          <w:rFonts w:eastAsiaTheme="minorEastAsia"/>
        </w:rPr>
        <w:t xml:space="preserve"> prepare and</w:t>
      </w:r>
      <w:r w:rsidR="004F0982">
        <w:rPr>
          <w:rFonts w:eastAsiaTheme="minorEastAsia"/>
        </w:rPr>
        <w:t xml:space="preserve"> set up meetings with stakeholders in advance of fieldwork</w:t>
      </w:r>
      <w:r>
        <w:rPr>
          <w:rFonts w:eastAsiaTheme="minorEastAsia"/>
        </w:rPr>
        <w:t xml:space="preserve">. </w:t>
      </w:r>
    </w:p>
    <w:p w14:paraId="214BFDC6" w14:textId="77777777" w:rsidR="00DC0544" w:rsidRPr="00DC0544" w:rsidRDefault="00DC0544" w:rsidP="00C158B2">
      <w:pPr>
        <w:pStyle w:val="Heading2"/>
        <w:numPr>
          <w:ilvl w:val="0"/>
          <w:numId w:val="52"/>
        </w:numPr>
        <w:ind w:left="357" w:hanging="357"/>
        <w:rPr>
          <w:rFonts w:eastAsiaTheme="majorEastAsia"/>
        </w:rPr>
      </w:pPr>
      <w:bookmarkStart w:id="159" w:name="_Toc387675116"/>
      <w:bookmarkStart w:id="160" w:name="_Toc373304240"/>
      <w:r w:rsidRPr="00DC0544">
        <w:rPr>
          <w:rFonts w:eastAsiaTheme="majorEastAsia"/>
        </w:rPr>
        <w:t>Evaluation team</w:t>
      </w:r>
      <w:bookmarkEnd w:id="159"/>
      <w:r w:rsidRPr="00DC0544">
        <w:rPr>
          <w:rFonts w:eastAsiaTheme="majorEastAsia"/>
        </w:rPr>
        <w:t xml:space="preserve"> </w:t>
      </w:r>
    </w:p>
    <w:p w14:paraId="7B536ACB" w14:textId="77777777" w:rsidR="00110796" w:rsidRPr="00110796" w:rsidRDefault="003A3454" w:rsidP="001F76AF">
      <w:r>
        <w:t>We</w:t>
      </w:r>
      <w:r w:rsidR="00110796" w:rsidRPr="00110796">
        <w:t xml:space="preserve"> found some variation in evaluation quality depending on the size of the evaluation team.</w:t>
      </w:r>
      <w:r w:rsidR="00A74814">
        <w:t xml:space="preserve"> </w:t>
      </w:r>
      <w:r w:rsidR="00110796" w:rsidRPr="00110796">
        <w:t xml:space="preserve">Other related factors contributing to evaluation quality included the expertise in the evaluation team, the quality of the relationship between the evaluation team and Australian Government aid program staff, and the </w:t>
      </w:r>
      <w:r w:rsidR="00B80D87">
        <w:t>involvement</w:t>
      </w:r>
      <w:r w:rsidR="00110796" w:rsidRPr="00110796">
        <w:t xml:space="preserve"> of aid program staff in an evaluation.</w:t>
      </w:r>
    </w:p>
    <w:p w14:paraId="4A34F418" w14:textId="77777777" w:rsidR="001A1C49" w:rsidRPr="001A1C49" w:rsidRDefault="001A1C49" w:rsidP="001A1C49">
      <w:pPr>
        <w:pStyle w:val="Heading3"/>
        <w:rPr>
          <w:rFonts w:eastAsiaTheme="minorEastAsia"/>
        </w:rPr>
      </w:pPr>
      <w:bookmarkStart w:id="161" w:name="_Toc378059990"/>
      <w:bookmarkStart w:id="162" w:name="_Toc373304241"/>
      <w:bookmarkStart w:id="163" w:name="_Toc372723835"/>
      <w:bookmarkEnd w:id="160"/>
      <w:r w:rsidRPr="001A1C49">
        <w:rPr>
          <w:rFonts w:eastAsiaTheme="minorEastAsia"/>
        </w:rPr>
        <w:t>Evaluation team size</w:t>
      </w:r>
    </w:p>
    <w:p w14:paraId="6C850A6B" w14:textId="08344CE1" w:rsidR="009E0570" w:rsidRDefault="003A3454" w:rsidP="009E0570">
      <w:r>
        <w:rPr>
          <w:rFonts w:eastAsiaTheme="majorEastAsia"/>
        </w:rPr>
        <w:t>Our analysis shows</w:t>
      </w:r>
      <w:r w:rsidR="009E0570">
        <w:rPr>
          <w:rFonts w:eastAsiaTheme="majorEastAsia"/>
        </w:rPr>
        <w:t xml:space="preserve"> that teams of three or four produced a higher proportion of adequate evaluations than smaller teams of one or two, or larger teams of five or more.</w:t>
      </w:r>
      <w:r w:rsidR="00A74814">
        <w:rPr>
          <w:rFonts w:eastAsiaTheme="majorEastAsia"/>
        </w:rPr>
        <w:t xml:space="preserve"> </w:t>
      </w:r>
      <w:r w:rsidR="009E0570">
        <w:rPr>
          <w:rFonts w:eastAsiaTheme="majorEastAsia"/>
        </w:rPr>
        <w:t xml:space="preserve">We analysed evaluation quality </w:t>
      </w:r>
      <w:r>
        <w:rPr>
          <w:rFonts w:eastAsiaTheme="majorEastAsia"/>
        </w:rPr>
        <w:t>(</w:t>
      </w:r>
      <w:r w:rsidR="009E0570">
        <w:t>as</w:t>
      </w:r>
      <w:r w:rsidR="009E0570" w:rsidRPr="000913A2">
        <w:t xml:space="preserve"> measured </w:t>
      </w:r>
      <w:r w:rsidR="009E0570">
        <w:t>by findings against the</w:t>
      </w:r>
      <w:r w:rsidR="009E0570" w:rsidRPr="000913A2">
        <w:t xml:space="preserve"> </w:t>
      </w:r>
      <w:r w:rsidR="009E0570" w:rsidRPr="0035183C">
        <w:t xml:space="preserve">credibility of </w:t>
      </w:r>
      <w:r w:rsidR="009E0570">
        <w:t xml:space="preserve">evidence and </w:t>
      </w:r>
      <w:r w:rsidR="009E0570" w:rsidRPr="0035183C">
        <w:t>analysis</w:t>
      </w:r>
      <w:r>
        <w:t xml:space="preserve"> criterion)</w:t>
      </w:r>
      <w:r w:rsidR="009E0570">
        <w:t xml:space="preserve"> by </w:t>
      </w:r>
      <w:r w:rsidR="009E0570" w:rsidRPr="000913A2">
        <w:t>team size</w:t>
      </w:r>
      <w:r w:rsidR="009E0570">
        <w:t xml:space="preserve"> (not including any Australian government aid program staff who </w:t>
      </w:r>
      <w:r w:rsidR="001A1C49">
        <w:t>may</w:t>
      </w:r>
      <w:r w:rsidR="009E0570">
        <w:t xml:space="preserve"> have participated in the evaluation</w:t>
      </w:r>
      <w:r w:rsidR="009E0570">
        <w:rPr>
          <w:rStyle w:val="FootnoteReference"/>
        </w:rPr>
        <w:footnoteReference w:id="37"/>
      </w:r>
      <w:r w:rsidR="009E0570">
        <w:t>)</w:t>
      </w:r>
      <w:r w:rsidR="00941241">
        <w:rPr>
          <w:rFonts w:ascii="Arial" w:hAnsi="Arial"/>
        </w:rPr>
        <w:t>—</w:t>
      </w:r>
      <w:r>
        <w:t>s</w:t>
      </w:r>
      <w:r w:rsidR="001A1C49">
        <w:t xml:space="preserve">ee </w:t>
      </w:r>
      <w:r w:rsidR="001A1C49">
        <w:fldChar w:fldCharType="begin"/>
      </w:r>
      <w:r w:rsidR="001A1C49">
        <w:instrText xml:space="preserve"> REF _Ref379535911 \h </w:instrText>
      </w:r>
      <w:r w:rsidR="001A1C49">
        <w:fldChar w:fldCharType="separate"/>
      </w:r>
      <w:r w:rsidR="00147362">
        <w:t xml:space="preserve">Figure </w:t>
      </w:r>
      <w:r w:rsidR="00147362">
        <w:rPr>
          <w:noProof/>
        </w:rPr>
        <w:t>7</w:t>
      </w:r>
      <w:r w:rsidR="001A1C49">
        <w:fldChar w:fldCharType="end"/>
      </w:r>
      <w:r>
        <w:t>.</w:t>
      </w:r>
      <w:r w:rsidR="00A74814">
        <w:t xml:space="preserve"> </w:t>
      </w:r>
      <w:r w:rsidR="00EB0D2A">
        <w:t>For teams of three or four, 88</w:t>
      </w:r>
      <w:r w:rsidR="00C95A0A">
        <w:t> </w:t>
      </w:r>
      <w:r w:rsidR="00EB0D2A">
        <w:t xml:space="preserve">per cent of evaluations </w:t>
      </w:r>
      <w:r w:rsidR="00EB0D2A" w:rsidRPr="000913A2">
        <w:t xml:space="preserve">were </w:t>
      </w:r>
      <w:r w:rsidR="00EB0D2A">
        <w:t xml:space="preserve">assessed as </w:t>
      </w:r>
      <w:r w:rsidR="00EB0D2A" w:rsidRPr="000913A2">
        <w:t xml:space="preserve">adequate for credibility of </w:t>
      </w:r>
      <w:r w:rsidR="00EB0D2A">
        <w:t>evidence and analysis.</w:t>
      </w:r>
      <w:r w:rsidR="00A74814">
        <w:t xml:space="preserve"> </w:t>
      </w:r>
      <w:r w:rsidR="009E0570">
        <w:t>By comparison, 73</w:t>
      </w:r>
      <w:r w:rsidR="00C95A0A">
        <w:t> </w:t>
      </w:r>
      <w:r w:rsidR="009E0570">
        <w:t xml:space="preserve">per cent of the evaluations produced by single consultants or teams of two were assessed as adequate and only </w:t>
      </w:r>
      <w:r w:rsidR="00C95A0A">
        <w:t>six</w:t>
      </w:r>
      <w:r w:rsidR="009E0570">
        <w:t xml:space="preserve"> of the 10 evaluations produced by team</w:t>
      </w:r>
      <w:r w:rsidR="00C95A0A">
        <w:t>s</w:t>
      </w:r>
      <w:r w:rsidR="009E0570">
        <w:t xml:space="preserve"> of five or more (60</w:t>
      </w:r>
      <w:r w:rsidR="00C95A0A">
        <w:t> </w:t>
      </w:r>
      <w:r w:rsidR="009E0570">
        <w:t>per cent) were assessed as adequate.</w:t>
      </w:r>
      <w:r w:rsidR="009E0570">
        <w:rPr>
          <w:rStyle w:val="FootnoteReference"/>
        </w:rPr>
        <w:footnoteReference w:id="38"/>
      </w:r>
      <w:r w:rsidR="009E0570">
        <w:t xml:space="preserve"> </w:t>
      </w:r>
    </w:p>
    <w:p w14:paraId="46ED9292" w14:textId="77777777" w:rsidR="009E0570" w:rsidRDefault="009E0570" w:rsidP="009E0570">
      <w:pPr>
        <w:ind w:left="45"/>
      </w:pPr>
      <w:r>
        <w:t>It should be noted that t</w:t>
      </w:r>
      <w:r w:rsidRPr="000913A2">
        <w:t>eam size on its own is not likely to be a simple determinant of quality</w:t>
      </w:r>
      <w:r>
        <w:t>.</w:t>
      </w:r>
      <w:r w:rsidR="00A74814">
        <w:t xml:space="preserve"> </w:t>
      </w:r>
      <w:r>
        <w:t xml:space="preserve">We conducted additional analysis to see whether the optimal team size might vary according to the size of the initiative being evaluated, but we were not able to </w:t>
      </w:r>
      <w:r w:rsidR="003A3454">
        <w:t>determine</w:t>
      </w:r>
      <w:r>
        <w:t xml:space="preserve"> a clear pattern.</w:t>
      </w:r>
    </w:p>
    <w:p w14:paraId="231CD3DE" w14:textId="265B6EE7" w:rsidR="009E0570" w:rsidRPr="000913A2" w:rsidRDefault="009E0570" w:rsidP="002906D1">
      <w:pPr>
        <w:pStyle w:val="Figuretitle"/>
      </w:pPr>
      <w:bookmarkStart w:id="164" w:name="_Ref379535911"/>
      <w:r>
        <w:lastRenderedPageBreak/>
        <w:t xml:space="preserve">Figure </w:t>
      </w:r>
      <w:r w:rsidR="007C3830">
        <w:fldChar w:fldCharType="begin"/>
      </w:r>
      <w:r w:rsidR="007C3830">
        <w:instrText xml:space="preserve"> SEQ Figure \* ARABIC </w:instrText>
      </w:r>
      <w:r w:rsidR="007C3830">
        <w:fldChar w:fldCharType="separate"/>
      </w:r>
      <w:r w:rsidR="00147362">
        <w:rPr>
          <w:noProof/>
        </w:rPr>
        <w:t>7</w:t>
      </w:r>
      <w:r w:rsidR="007C3830">
        <w:rPr>
          <w:noProof/>
        </w:rPr>
        <w:fldChar w:fldCharType="end"/>
      </w:r>
      <w:bookmarkEnd w:id="164"/>
      <w:r w:rsidR="00984144">
        <w:tab/>
      </w:r>
      <w:r w:rsidR="00A74814">
        <w:t xml:space="preserve"> </w:t>
      </w:r>
      <w:r w:rsidR="001A1C49">
        <w:t xml:space="preserve">Assessed </w:t>
      </w:r>
      <w:r w:rsidR="00744801">
        <w:t>‘</w:t>
      </w:r>
      <w:r w:rsidR="001A1C49">
        <w:t>credibility of evidence and analysis</w:t>
      </w:r>
      <w:r w:rsidR="00744801">
        <w:t>’</w:t>
      </w:r>
      <w:r w:rsidR="001A1C49">
        <w:t xml:space="preserve"> and </w:t>
      </w:r>
      <w:r w:rsidR="002906D1">
        <w:t xml:space="preserve">evaluation </w:t>
      </w:r>
      <w:r w:rsidR="001A1C49">
        <w:t>team size</w:t>
      </w:r>
    </w:p>
    <w:p w14:paraId="23F8A38C" w14:textId="67991A6A" w:rsidR="009E0570" w:rsidRPr="00D47626" w:rsidRDefault="003C2087" w:rsidP="002906D1">
      <w:pPr>
        <w:jc w:val="center"/>
        <w:rPr>
          <w:color w:val="FF0000"/>
        </w:rPr>
      </w:pPr>
      <w:r>
        <w:rPr>
          <w:noProof/>
        </w:rPr>
        <w:drawing>
          <wp:inline distT="0" distB="0" distL="0" distR="0" wp14:anchorId="77974532" wp14:editId="3AF94947">
            <wp:extent cx="4275667" cy="25527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4A6F8AB" w14:textId="77777777" w:rsidR="00984427" w:rsidRPr="009616ED" w:rsidRDefault="00984427" w:rsidP="00984427">
      <w:pPr>
        <w:pStyle w:val="Heading3"/>
        <w:rPr>
          <w:rFonts w:eastAsiaTheme="minorEastAsia"/>
        </w:rPr>
      </w:pPr>
      <w:r>
        <w:rPr>
          <w:rFonts w:eastAsiaTheme="minorEastAsia"/>
        </w:rPr>
        <w:t>Evaluation team e</w:t>
      </w:r>
      <w:r w:rsidRPr="009616ED">
        <w:rPr>
          <w:rFonts w:eastAsiaTheme="minorEastAsia"/>
        </w:rPr>
        <w:t xml:space="preserve">xpertise </w:t>
      </w:r>
    </w:p>
    <w:p w14:paraId="649E848C" w14:textId="618CBAC6" w:rsidR="00984427" w:rsidRDefault="00984427" w:rsidP="00984427">
      <w:r w:rsidRPr="000913A2">
        <w:t xml:space="preserve">A key factor contributing to evaluation quality was the </w:t>
      </w:r>
      <w:r w:rsidRPr="0035183C">
        <w:t xml:space="preserve">expertise of the consultants, particularly the </w:t>
      </w:r>
      <w:r>
        <w:t>t</w:t>
      </w:r>
      <w:r w:rsidRPr="0035183C">
        <w:t xml:space="preserve">eam </w:t>
      </w:r>
      <w:r>
        <w:t>l</w:t>
      </w:r>
      <w:r w:rsidRPr="0035183C">
        <w:t>eader</w:t>
      </w:r>
      <w:r w:rsidR="00C95A0A">
        <w:t>. This</w:t>
      </w:r>
      <w:r w:rsidRPr="000913A2">
        <w:t xml:space="preserve"> factor </w:t>
      </w:r>
      <w:r w:rsidR="00C95A0A">
        <w:t xml:space="preserve">was </w:t>
      </w:r>
      <w:r w:rsidRPr="000913A2">
        <w:t>mentioned</w:t>
      </w:r>
      <w:r w:rsidRPr="0035183C">
        <w:t xml:space="preserve"> </w:t>
      </w:r>
      <w:r>
        <w:t xml:space="preserve">by </w:t>
      </w:r>
      <w:r w:rsidRPr="000913A2">
        <w:t>alm</w:t>
      </w:r>
      <w:r>
        <w:t xml:space="preserve">ost </w:t>
      </w:r>
      <w:r w:rsidR="00941241">
        <w:t>one-</w:t>
      </w:r>
      <w:r>
        <w:t>third (</w:t>
      </w:r>
      <w:r w:rsidR="00C95A0A">
        <w:t>eight</w:t>
      </w:r>
      <w:r>
        <w:t xml:space="preserve"> out of 27) of interviewees, including three Australian Government aid managers</w:t>
      </w:r>
      <w:r w:rsidRPr="000913A2">
        <w:t>.</w:t>
      </w:r>
      <w:r w:rsidR="00A74814">
        <w:t xml:space="preserve"> </w:t>
      </w:r>
      <w:r w:rsidR="00CA0E63">
        <w:t>Team expertise</w:t>
      </w:r>
      <w:r w:rsidR="00CA0E63" w:rsidRPr="000913A2">
        <w:t xml:space="preserve"> </w:t>
      </w:r>
      <w:r w:rsidRPr="000913A2">
        <w:t>combines a number of competencies</w:t>
      </w:r>
      <w:r w:rsidR="00941241">
        <w:rPr>
          <w:rFonts w:ascii="Arial" w:hAnsi="Arial"/>
        </w:rPr>
        <w:t>—</w:t>
      </w:r>
      <w:r w:rsidRPr="000913A2">
        <w:t xml:space="preserve">above all a strong </w:t>
      </w:r>
      <w:r>
        <w:t xml:space="preserve">technical </w:t>
      </w:r>
      <w:r w:rsidRPr="000913A2">
        <w:t xml:space="preserve">knowledge of </w:t>
      </w:r>
      <w:r>
        <w:t>different evaluation methodologies</w:t>
      </w:r>
      <w:r w:rsidR="00CA0E63">
        <w:t>;</w:t>
      </w:r>
      <w:r>
        <w:t xml:space="preserve"> knowledge of </w:t>
      </w:r>
      <w:r w:rsidRPr="000913A2">
        <w:t>how to lead an evaluation</w:t>
      </w:r>
      <w:r>
        <w:t xml:space="preserve"> and</w:t>
      </w:r>
      <w:r w:rsidRPr="000913A2">
        <w:t xml:space="preserve"> manage both international and local consultants</w:t>
      </w:r>
      <w:r w:rsidR="00CA0E63">
        <w:t>;</w:t>
      </w:r>
      <w:r w:rsidRPr="000913A2">
        <w:t xml:space="preserve"> strong diplomatic and interpersonal skills</w:t>
      </w:r>
      <w:r w:rsidR="00CA0E63">
        <w:t>;</w:t>
      </w:r>
      <w:r w:rsidRPr="000913A2">
        <w:t xml:space="preserve"> expertise in collecting, analysing, and presenting data</w:t>
      </w:r>
      <w:r w:rsidR="00CA0E63">
        <w:t>;</w:t>
      </w:r>
      <w:r w:rsidRPr="000913A2">
        <w:t xml:space="preserve"> and </w:t>
      </w:r>
      <w:r w:rsidR="00CA0E63">
        <w:t xml:space="preserve">ability to </w:t>
      </w:r>
      <w:r w:rsidRPr="000913A2">
        <w:t>writ</w:t>
      </w:r>
      <w:r w:rsidR="00CA0E63">
        <w:t>e</w:t>
      </w:r>
      <w:r w:rsidRPr="000913A2">
        <w:t xml:space="preserve"> credible reports in a tight </w:t>
      </w:r>
      <w:r w:rsidRPr="006C4F7A">
        <w:t>time</w:t>
      </w:r>
      <w:r w:rsidR="00215527">
        <w:t>frame</w:t>
      </w:r>
      <w:r w:rsidRPr="006C4F7A">
        <w:t>.</w:t>
      </w:r>
      <w:r w:rsidR="00A74814" w:rsidRPr="00EF7AFB">
        <w:t xml:space="preserve"> </w:t>
      </w:r>
      <w:r w:rsidRPr="00215527">
        <w:t>It also includes relevant expertise in the particular sector and</w:t>
      </w:r>
      <w:r w:rsidR="00CA0E63" w:rsidRPr="00215527">
        <w:t>,</w:t>
      </w:r>
      <w:r w:rsidRPr="00215527">
        <w:t xml:space="preserve"> to a lesser extent, some</w:t>
      </w:r>
      <w:r w:rsidRPr="000913A2">
        <w:t xml:space="preserve"> understanding of the country or regional context.</w:t>
      </w:r>
      <w:r w:rsidR="00A74814">
        <w:t xml:space="preserve"> </w:t>
      </w:r>
      <w:r>
        <w:t xml:space="preserve">Two Australian Government aid managers (including a senior manager) noted the crucial importance of identifying team leaders and team members with these qualities. </w:t>
      </w:r>
    </w:p>
    <w:p w14:paraId="304FD331" w14:textId="1BB3DE46" w:rsidR="00984427" w:rsidRPr="000913A2" w:rsidRDefault="00984427" w:rsidP="00984427">
      <w:r>
        <w:t xml:space="preserve">The fact that it can be difficult to find all these qualities in one or two people may partially explain the finding </w:t>
      </w:r>
      <w:r w:rsidR="00CA0E63">
        <w:t>(</w:t>
      </w:r>
      <w:r>
        <w:t>discussed above</w:t>
      </w:r>
      <w:r w:rsidR="00CA0E63">
        <w:t>)</w:t>
      </w:r>
      <w:r>
        <w:t xml:space="preserve"> that evaluation teams of </w:t>
      </w:r>
      <w:r w:rsidR="00120046">
        <w:t>three</w:t>
      </w:r>
      <w:r>
        <w:t xml:space="preserve"> or </w:t>
      </w:r>
      <w:r w:rsidR="00120046">
        <w:t>four</w:t>
      </w:r>
      <w:r>
        <w:t xml:space="preserve"> members produced a higher proportion of credible evaluations.</w:t>
      </w:r>
    </w:p>
    <w:p w14:paraId="0165BA99" w14:textId="77777777" w:rsidR="00DC0544" w:rsidRPr="00353679" w:rsidRDefault="00DC0544" w:rsidP="008B45A6">
      <w:pPr>
        <w:pStyle w:val="Heading3"/>
        <w:rPr>
          <w:rFonts w:eastAsiaTheme="majorEastAsia"/>
        </w:rPr>
      </w:pPr>
      <w:r>
        <w:rPr>
          <w:rFonts w:eastAsiaTheme="majorEastAsia"/>
        </w:rPr>
        <w:t>R</w:t>
      </w:r>
      <w:r w:rsidRPr="00353679">
        <w:rPr>
          <w:rFonts w:eastAsiaTheme="majorEastAsia"/>
        </w:rPr>
        <w:t xml:space="preserve">elationship between evaluation teams and </w:t>
      </w:r>
      <w:r>
        <w:rPr>
          <w:rFonts w:eastAsiaTheme="majorEastAsia"/>
        </w:rPr>
        <w:t xml:space="preserve">Australian </w:t>
      </w:r>
      <w:r w:rsidRPr="00353679">
        <w:rPr>
          <w:rFonts w:eastAsiaTheme="majorEastAsia"/>
        </w:rPr>
        <w:t>aid program staff</w:t>
      </w:r>
      <w:bookmarkEnd w:id="161"/>
      <w:r w:rsidRPr="00353679">
        <w:rPr>
          <w:rFonts w:eastAsiaTheme="majorEastAsia"/>
        </w:rPr>
        <w:t xml:space="preserve"> </w:t>
      </w:r>
    </w:p>
    <w:p w14:paraId="36B4311C" w14:textId="25249B22" w:rsidR="00B22B29" w:rsidRDefault="00B143C8" w:rsidP="00FA5696">
      <w:r>
        <w:t xml:space="preserve">A quarter of </w:t>
      </w:r>
      <w:r w:rsidR="00EB0D2A">
        <w:t>interviewed consultants and Australian Government aid managers</w:t>
      </w:r>
      <w:r w:rsidR="00EB0D2A" w:rsidRPr="000913A2">
        <w:t xml:space="preserve"> </w:t>
      </w:r>
      <w:r w:rsidR="00EB0D2A">
        <w:t xml:space="preserve">emphasised </w:t>
      </w:r>
      <w:r w:rsidR="00DC0544" w:rsidRPr="00022762">
        <w:t xml:space="preserve">the quality of the relationship between </w:t>
      </w:r>
      <w:r w:rsidR="00DC0544">
        <w:t>evaluation teams and commissioning aid managers</w:t>
      </w:r>
      <w:r w:rsidR="00FA5696">
        <w:t xml:space="preserve"> </w:t>
      </w:r>
      <w:r w:rsidR="00061382">
        <w:t xml:space="preserve">as </w:t>
      </w:r>
      <w:r w:rsidR="00FA5696">
        <w:t>another key factor contributing to both evaluation utility</w:t>
      </w:r>
      <w:r w:rsidR="00B22B29">
        <w:t xml:space="preserve"> and quality</w:t>
      </w:r>
      <w:r w:rsidR="00DC0544">
        <w:t>.</w:t>
      </w:r>
      <w:r w:rsidR="00A74814">
        <w:t xml:space="preserve"> </w:t>
      </w:r>
      <w:r w:rsidR="00DC0544" w:rsidRPr="000913A2">
        <w:t>In the best cases, evaluations have benefited from a high degree of mutual respect and mutual learning, and this positive relationship has increased the utility of evaluations</w:t>
      </w:r>
      <w:r w:rsidR="00CA0E63">
        <w:t>.</w:t>
      </w:r>
      <w:r w:rsidR="00DC0544" w:rsidRPr="000913A2">
        <w:t xml:space="preserve"> </w:t>
      </w:r>
      <w:r w:rsidR="00CA0E63">
        <w:t>A</w:t>
      </w:r>
      <w:r w:rsidR="00DC0544">
        <w:t>id initiative managers indicat</w:t>
      </w:r>
      <w:r w:rsidR="00CA0E63">
        <w:t>ed</w:t>
      </w:r>
      <w:r w:rsidR="00DC0544">
        <w:t xml:space="preserve"> that they </w:t>
      </w:r>
      <w:r w:rsidR="00B131FC">
        <w:t>are</w:t>
      </w:r>
      <w:r w:rsidR="00DC0544" w:rsidRPr="000913A2">
        <w:t xml:space="preserve"> more likely to implement the recommendations if they have full confidence in</w:t>
      </w:r>
      <w:r w:rsidR="00B131FC">
        <w:t xml:space="preserve"> both</w:t>
      </w:r>
      <w:r w:rsidR="00DC0544" w:rsidRPr="000913A2">
        <w:t xml:space="preserve"> the evaluation team and the overall process.</w:t>
      </w:r>
      <w:r w:rsidR="00DC0544">
        <w:t xml:space="preserve"> </w:t>
      </w:r>
    </w:p>
    <w:p w14:paraId="39CCDB7C" w14:textId="2D811123" w:rsidR="00123198" w:rsidRDefault="00B22B29" w:rsidP="00123198">
      <w:r>
        <w:t>S</w:t>
      </w:r>
      <w:r w:rsidR="00DC0544">
        <w:t>trong relationships can also benefit the technical quality of the evaluations</w:t>
      </w:r>
      <w:r>
        <w:t>.</w:t>
      </w:r>
      <w:r w:rsidR="00A74814">
        <w:t xml:space="preserve"> </w:t>
      </w:r>
      <w:r>
        <w:t>Fo</w:t>
      </w:r>
      <w:r w:rsidR="00DC0544">
        <w:t>r example</w:t>
      </w:r>
      <w:r>
        <w:t>,</w:t>
      </w:r>
      <w:r w:rsidR="00DC0544">
        <w:t xml:space="preserve"> when consultants are able </w:t>
      </w:r>
      <w:r w:rsidR="00DC0544" w:rsidRPr="006C4F7A">
        <w:t xml:space="preserve">to </w:t>
      </w:r>
      <w:r w:rsidR="002230BD" w:rsidRPr="006C4F7A">
        <w:t>fine</w:t>
      </w:r>
      <w:r w:rsidR="002230BD" w:rsidRPr="00EF7AFB">
        <w:t xml:space="preserve"> tune</w:t>
      </w:r>
      <w:r w:rsidR="00DC0544">
        <w:t xml:space="preserve"> the </w:t>
      </w:r>
      <w:r>
        <w:t xml:space="preserve">terms of reference </w:t>
      </w:r>
      <w:r w:rsidR="00DC0544">
        <w:t xml:space="preserve">in consultation with </w:t>
      </w:r>
      <w:r w:rsidR="00061382">
        <w:t>aid initiative managers</w:t>
      </w:r>
      <w:r w:rsidR="00DC0544">
        <w:t xml:space="preserve"> at the outset, they are likely to have a more nuanced understanding of the key objectives of an evaluation.</w:t>
      </w:r>
      <w:r w:rsidR="00A74814">
        <w:t xml:space="preserve"> </w:t>
      </w:r>
      <w:r w:rsidR="00061382">
        <w:t>There were positive examples where the consultants and aid managers were able to build their relationship to the extent that the consultants were invited to do follow-up work.</w:t>
      </w:r>
      <w:r w:rsidR="00A74814">
        <w:t xml:space="preserve"> </w:t>
      </w:r>
      <w:r w:rsidR="00123198" w:rsidRPr="00022762">
        <w:t>Several consultants also stressed that</w:t>
      </w:r>
      <w:r w:rsidR="00B131FC">
        <w:t>,</w:t>
      </w:r>
      <w:r w:rsidR="00123198" w:rsidRPr="00022762">
        <w:t xml:space="preserve"> where their contact with </w:t>
      </w:r>
      <w:r w:rsidR="00123198">
        <w:t>an</w:t>
      </w:r>
      <w:r w:rsidR="00123198" w:rsidRPr="00022762">
        <w:t xml:space="preserve"> evaluated initiative had continued</w:t>
      </w:r>
      <w:r w:rsidR="00123198">
        <w:t xml:space="preserve"> after </w:t>
      </w:r>
      <w:r w:rsidR="00123198">
        <w:lastRenderedPageBreak/>
        <w:t>completion of the evaluation report</w:t>
      </w:r>
      <w:r w:rsidR="00123198" w:rsidRPr="00022762">
        <w:t xml:space="preserve"> and they had</w:t>
      </w:r>
      <w:r w:rsidR="00B131FC">
        <w:t xml:space="preserve"> been able</w:t>
      </w:r>
      <w:r w:rsidR="00123198" w:rsidRPr="00022762">
        <w:t xml:space="preserve"> to see how their reports were utilised</w:t>
      </w:r>
      <w:r w:rsidR="00941241">
        <w:rPr>
          <w:rFonts w:ascii="Arial" w:hAnsi="Arial"/>
        </w:rPr>
        <w:t>—</w:t>
      </w:r>
      <w:r w:rsidR="00123198" w:rsidRPr="00022762">
        <w:t>and</w:t>
      </w:r>
      <w:r w:rsidR="00B131FC">
        <w:t>,</w:t>
      </w:r>
      <w:r w:rsidR="00123198" w:rsidRPr="00022762">
        <w:t xml:space="preserve"> in particular</w:t>
      </w:r>
      <w:r w:rsidR="00B131FC">
        <w:t>,</w:t>
      </w:r>
      <w:r w:rsidR="00123198" w:rsidRPr="00022762">
        <w:t xml:space="preserve"> which of their recommendations were implemented</w:t>
      </w:r>
      <w:r w:rsidR="00941241">
        <w:rPr>
          <w:rFonts w:ascii="Arial" w:hAnsi="Arial"/>
        </w:rPr>
        <w:t>—</w:t>
      </w:r>
      <w:r w:rsidR="00123198" w:rsidRPr="00022762">
        <w:t>they valued th</w:t>
      </w:r>
      <w:r w:rsidR="00B131FC">
        <w:t>e</w:t>
      </w:r>
      <w:r w:rsidR="00123198" w:rsidRPr="00022762">
        <w:t xml:space="preserve"> continuing relationship and felt that this knowledge could help them improve the quality of future evaluations.</w:t>
      </w:r>
      <w:r w:rsidR="00123198">
        <w:t xml:space="preserve"> </w:t>
      </w:r>
    </w:p>
    <w:p w14:paraId="030D00F6" w14:textId="12BFFE0B" w:rsidR="00DC0544" w:rsidRDefault="00DC0544" w:rsidP="00F42FF2">
      <w:r>
        <w:t xml:space="preserve">But </w:t>
      </w:r>
      <w:r w:rsidR="00B22B29">
        <w:t>interviews</w:t>
      </w:r>
      <w:r>
        <w:t xml:space="preserve"> also</w:t>
      </w:r>
      <w:r w:rsidR="00B22B29">
        <w:t xml:space="preserve"> highlighted</w:t>
      </w:r>
      <w:r>
        <w:t xml:space="preserve"> problematic cases in which trust had broken down due to personality clashes or </w:t>
      </w:r>
      <w:r w:rsidR="00B131FC">
        <w:t>the consultants’</w:t>
      </w:r>
      <w:r>
        <w:t xml:space="preserve"> perception that the</w:t>
      </w:r>
      <w:r w:rsidR="001C5F2B">
        <w:t xml:space="preserve"> Australian Government aid managers were not being open about decisions </w:t>
      </w:r>
      <w:r w:rsidR="00B131FC">
        <w:t>that had</w:t>
      </w:r>
      <w:r w:rsidR="001C5F2B">
        <w:t xml:space="preserve"> already been made about the future funding of an initiative being evaluated.</w:t>
      </w:r>
      <w:r>
        <w:t xml:space="preserve"> </w:t>
      </w:r>
      <w:r w:rsidR="001C5F2B">
        <w:t xml:space="preserve">(Presumably this would </w:t>
      </w:r>
      <w:r>
        <w:t xml:space="preserve">not </w:t>
      </w:r>
      <w:r w:rsidR="001C5F2B">
        <w:t>be a problem</w:t>
      </w:r>
      <w:r>
        <w:t xml:space="preserve"> if it </w:t>
      </w:r>
      <w:r w:rsidR="000F2374">
        <w:t xml:space="preserve">were </w:t>
      </w:r>
      <w:r>
        <w:t xml:space="preserve">made clear from the outset that the evaluation was being undertaken for </w:t>
      </w:r>
      <w:r w:rsidR="001C5F2B">
        <w:t>other reasons</w:t>
      </w:r>
      <w:r>
        <w:t>.</w:t>
      </w:r>
      <w:r w:rsidR="001C5F2B">
        <w:t>)</w:t>
      </w:r>
      <w:r w:rsidR="00A74814">
        <w:t xml:space="preserve"> </w:t>
      </w:r>
    </w:p>
    <w:p w14:paraId="24EA99D6" w14:textId="77777777" w:rsidR="00DC0544" w:rsidRPr="00353679" w:rsidRDefault="00DC0544" w:rsidP="00DC0544">
      <w:pPr>
        <w:pStyle w:val="Heading3"/>
        <w:rPr>
          <w:rFonts w:eastAsiaTheme="majorEastAsia"/>
        </w:rPr>
      </w:pPr>
      <w:bookmarkStart w:id="165" w:name="_Toc378059991"/>
      <w:r w:rsidRPr="00353679">
        <w:rPr>
          <w:rFonts w:eastAsiaTheme="majorEastAsia"/>
        </w:rPr>
        <w:t>Involvement of Australian aid program staff in evaluations</w:t>
      </w:r>
      <w:bookmarkEnd w:id="165"/>
    </w:p>
    <w:p w14:paraId="571C709F" w14:textId="196AA016" w:rsidR="00086497" w:rsidRPr="00637D34" w:rsidRDefault="00DC0544" w:rsidP="00086497">
      <w:pPr>
        <w:rPr>
          <w:color w:val="000000" w:themeColor="text1"/>
        </w:rPr>
      </w:pPr>
      <w:r w:rsidRPr="00D53CC4">
        <w:t xml:space="preserve">A key issue raised by the majority of </w:t>
      </w:r>
      <w:r w:rsidRPr="00026AA1">
        <w:rPr>
          <w:color w:val="000000" w:themeColor="text1"/>
        </w:rPr>
        <w:t xml:space="preserve">consultants as an enabling factor, and </w:t>
      </w:r>
      <w:r w:rsidR="00BE3A81" w:rsidRPr="00026AA1">
        <w:rPr>
          <w:color w:val="000000" w:themeColor="text1"/>
        </w:rPr>
        <w:t xml:space="preserve">in some cases as </w:t>
      </w:r>
      <w:r w:rsidRPr="00026AA1">
        <w:rPr>
          <w:color w:val="000000" w:themeColor="text1"/>
        </w:rPr>
        <w:t xml:space="preserve">a constraint, was the extent to which </w:t>
      </w:r>
      <w:r w:rsidR="00BE3A81" w:rsidRPr="00026AA1">
        <w:rPr>
          <w:color w:val="000000" w:themeColor="text1"/>
        </w:rPr>
        <w:t>Australian</w:t>
      </w:r>
      <w:r w:rsidR="001F061E">
        <w:rPr>
          <w:color w:val="000000" w:themeColor="text1"/>
        </w:rPr>
        <w:t xml:space="preserve"> Government</w:t>
      </w:r>
      <w:r w:rsidR="00BE3A81" w:rsidRPr="00026AA1">
        <w:rPr>
          <w:color w:val="000000" w:themeColor="text1"/>
        </w:rPr>
        <w:t xml:space="preserve"> aid program staff</w:t>
      </w:r>
      <w:r w:rsidRPr="00026AA1">
        <w:rPr>
          <w:color w:val="000000" w:themeColor="text1"/>
        </w:rPr>
        <w:t xml:space="preserve"> were involved in an evaluation. </w:t>
      </w:r>
      <w:r w:rsidR="00026AA1" w:rsidRPr="00026AA1">
        <w:rPr>
          <w:color w:val="000000" w:themeColor="text1"/>
        </w:rPr>
        <w:t xml:space="preserve">This includes initiative and program managers </w:t>
      </w:r>
      <w:r w:rsidR="001F061E">
        <w:rPr>
          <w:color w:val="000000" w:themeColor="text1"/>
        </w:rPr>
        <w:t>and</w:t>
      </w:r>
      <w:r w:rsidR="001F061E" w:rsidRPr="00026AA1">
        <w:rPr>
          <w:color w:val="000000" w:themeColor="text1"/>
        </w:rPr>
        <w:t xml:space="preserve"> </w:t>
      </w:r>
      <w:r w:rsidR="00026AA1" w:rsidRPr="00026AA1">
        <w:rPr>
          <w:color w:val="000000" w:themeColor="text1"/>
        </w:rPr>
        <w:t xml:space="preserve">also advisers such as gender specialists or sector specialists. </w:t>
      </w:r>
      <w:r w:rsidRPr="00026AA1">
        <w:rPr>
          <w:color w:val="000000" w:themeColor="text1"/>
        </w:rPr>
        <w:t xml:space="preserve">In the best cases </w:t>
      </w:r>
      <w:r w:rsidR="00BE3A81" w:rsidRPr="00026AA1">
        <w:rPr>
          <w:color w:val="000000" w:themeColor="text1"/>
        </w:rPr>
        <w:t>they</w:t>
      </w:r>
      <w:r w:rsidRPr="00026AA1">
        <w:rPr>
          <w:color w:val="000000" w:themeColor="text1"/>
        </w:rPr>
        <w:t xml:space="preserve"> were seen as having an essential role in facilitating the whole evaluation process</w:t>
      </w:r>
      <w:r w:rsidR="00026AA1" w:rsidRPr="00026AA1">
        <w:rPr>
          <w:color w:val="000000" w:themeColor="text1"/>
        </w:rPr>
        <w:t xml:space="preserve"> (particularly in terms of access to information </w:t>
      </w:r>
      <w:r w:rsidR="00026AA1">
        <w:rPr>
          <w:color w:val="000000" w:themeColor="text1"/>
        </w:rPr>
        <w:t>and key stakeholders)</w:t>
      </w:r>
      <w:r w:rsidR="001F061E">
        <w:rPr>
          <w:color w:val="000000" w:themeColor="text1"/>
        </w:rPr>
        <w:t>.</w:t>
      </w:r>
      <w:r w:rsidR="00BE3A81" w:rsidRPr="00637D34">
        <w:rPr>
          <w:color w:val="000000" w:themeColor="text1"/>
        </w:rPr>
        <w:t xml:space="preserve"> </w:t>
      </w:r>
      <w:r w:rsidR="001F061E">
        <w:rPr>
          <w:color w:val="000000" w:themeColor="text1"/>
        </w:rPr>
        <w:t>T</w:t>
      </w:r>
      <w:r w:rsidR="00BE3A81" w:rsidRPr="00637D34">
        <w:rPr>
          <w:color w:val="000000" w:themeColor="text1"/>
        </w:rPr>
        <w:t>heir involv</w:t>
      </w:r>
      <w:r w:rsidR="00026AA1">
        <w:rPr>
          <w:color w:val="000000" w:themeColor="text1"/>
        </w:rPr>
        <w:t>ement can</w:t>
      </w:r>
      <w:r w:rsidR="00634CCE">
        <w:rPr>
          <w:color w:val="000000" w:themeColor="text1"/>
        </w:rPr>
        <w:t xml:space="preserve"> also</w:t>
      </w:r>
      <w:r w:rsidR="00026AA1">
        <w:rPr>
          <w:color w:val="000000" w:themeColor="text1"/>
        </w:rPr>
        <w:t xml:space="preserve"> assist consultants to </w:t>
      </w:r>
      <w:r w:rsidR="00BE3A81" w:rsidRPr="00637D34">
        <w:rPr>
          <w:color w:val="000000" w:themeColor="text1"/>
        </w:rPr>
        <w:t>frame their recommendations and ensure that evaluation findings are taken seriously.</w:t>
      </w:r>
      <w:r w:rsidR="00A74814">
        <w:rPr>
          <w:color w:val="000000" w:themeColor="text1"/>
        </w:rPr>
        <w:t xml:space="preserve"> </w:t>
      </w:r>
      <w:r w:rsidR="00086497" w:rsidRPr="00637D34">
        <w:rPr>
          <w:color w:val="000000" w:themeColor="text1"/>
        </w:rPr>
        <w:t xml:space="preserve">One consultant interviewed said </w:t>
      </w:r>
      <w:r w:rsidR="00120046">
        <w:rPr>
          <w:color w:val="000000" w:themeColor="text1"/>
        </w:rPr>
        <w:t>‘</w:t>
      </w:r>
      <w:r w:rsidR="00086497" w:rsidRPr="00634CCE">
        <w:rPr>
          <w:color w:val="000000" w:themeColor="text1"/>
        </w:rPr>
        <w:t>the lower the level of staff involvement, the higher the risk that it won</w:t>
      </w:r>
      <w:r w:rsidR="00744801" w:rsidRPr="00634CCE">
        <w:rPr>
          <w:color w:val="000000" w:themeColor="text1"/>
        </w:rPr>
        <w:t>’</w:t>
      </w:r>
      <w:r w:rsidR="00086497" w:rsidRPr="00634CCE">
        <w:rPr>
          <w:color w:val="000000" w:themeColor="text1"/>
        </w:rPr>
        <w:t>t hit the target and be taken seriously</w:t>
      </w:r>
      <w:r w:rsidR="00120046">
        <w:rPr>
          <w:color w:val="000000" w:themeColor="text1"/>
        </w:rPr>
        <w:t>’</w:t>
      </w:r>
      <w:r w:rsidR="00086497" w:rsidRPr="00120046">
        <w:rPr>
          <w:color w:val="000000" w:themeColor="text1"/>
        </w:rPr>
        <w:t>.</w:t>
      </w:r>
      <w:r w:rsidR="00A74814">
        <w:rPr>
          <w:color w:val="000000" w:themeColor="text1"/>
        </w:rPr>
        <w:t xml:space="preserve"> </w:t>
      </w:r>
    </w:p>
    <w:p w14:paraId="79197859" w14:textId="14960C3F" w:rsidR="00086497" w:rsidRDefault="00DC0544" w:rsidP="00DC0544">
      <w:r>
        <w:t xml:space="preserve">However, of </w:t>
      </w:r>
      <w:r w:rsidR="00BE3A81">
        <w:t xml:space="preserve">the </w:t>
      </w:r>
      <w:r>
        <w:t xml:space="preserve">five consultants interviewed who had Australian </w:t>
      </w:r>
      <w:r w:rsidR="001F061E">
        <w:t xml:space="preserve">Government </w:t>
      </w:r>
      <w:r>
        <w:t>aid program staff in their</w:t>
      </w:r>
      <w:r w:rsidR="00BE3A81">
        <w:t xml:space="preserve"> evaluation</w:t>
      </w:r>
      <w:r>
        <w:t xml:space="preserve"> teams, four found the involvement</w:t>
      </w:r>
      <w:r w:rsidR="001F061E">
        <w:t xml:space="preserve"> of those staff</w:t>
      </w:r>
      <w:r>
        <w:t xml:space="preserve"> problematic.</w:t>
      </w:r>
      <w:r w:rsidR="00A74814">
        <w:t xml:space="preserve"> </w:t>
      </w:r>
      <w:r>
        <w:t>In particular they s</w:t>
      </w:r>
      <w:r w:rsidR="003A3454">
        <w:t>uggested</w:t>
      </w:r>
      <w:r>
        <w:t xml:space="preserve"> that the presence of </w:t>
      </w:r>
      <w:r w:rsidR="00BE3A81">
        <w:t xml:space="preserve">Australian Government aid program </w:t>
      </w:r>
      <w:r>
        <w:t>staff in meetings with key stakeholders threatened the independence of the evaluation</w:t>
      </w:r>
      <w:r w:rsidR="00BE3A81">
        <w:t>.</w:t>
      </w:r>
      <w:r w:rsidR="00A74814">
        <w:t xml:space="preserve"> </w:t>
      </w:r>
      <w:r w:rsidR="00BE3A81">
        <w:t>O</w:t>
      </w:r>
      <w:r>
        <w:t xml:space="preserve">ne consultant commented about </w:t>
      </w:r>
      <w:r w:rsidR="006D2592">
        <w:t xml:space="preserve">a </w:t>
      </w:r>
      <w:r>
        <w:t>staff member</w:t>
      </w:r>
      <w:r w:rsidR="00BE3A81">
        <w:t xml:space="preserve"> that</w:t>
      </w:r>
      <w:r>
        <w:t xml:space="preserve"> </w:t>
      </w:r>
      <w:r w:rsidR="00120046">
        <w:t>‘</w:t>
      </w:r>
      <w:r w:rsidRPr="00634CCE">
        <w:t>the inhibition that her presence created was incalculable</w:t>
      </w:r>
      <w:r w:rsidR="00120046">
        <w:t>’</w:t>
      </w:r>
      <w:r w:rsidRPr="00120046">
        <w:t>.</w:t>
      </w:r>
      <w:r w:rsidR="00A74814">
        <w:t xml:space="preserve"> </w:t>
      </w:r>
      <w:r w:rsidR="00BE3A81">
        <w:t xml:space="preserve">A </w:t>
      </w:r>
      <w:r>
        <w:t xml:space="preserve">particular difficulty mentioned was that interviewees receiving Australian </w:t>
      </w:r>
      <w:r w:rsidR="00BE3A81">
        <w:t xml:space="preserve">Government </w:t>
      </w:r>
      <w:r>
        <w:t xml:space="preserve">funding were unlikely to express criticism in the presence of </w:t>
      </w:r>
      <w:r w:rsidR="00BE3A81">
        <w:t>Australian Government</w:t>
      </w:r>
      <w:r>
        <w:t xml:space="preserve"> </w:t>
      </w:r>
      <w:r w:rsidR="00BE3A81">
        <w:t>staff,</w:t>
      </w:r>
      <w:r>
        <w:t xml:space="preserve"> and that this could potentially compromise the evaluation findings.</w:t>
      </w:r>
      <w:r w:rsidR="00A74814">
        <w:t xml:space="preserve"> </w:t>
      </w:r>
      <w:r>
        <w:t>The common theme that emerged from our interviews is the need for clarity about the staff member</w:t>
      </w:r>
      <w:r w:rsidR="00744801">
        <w:t>’</w:t>
      </w:r>
      <w:r>
        <w:t>s role in the evaluation.</w:t>
      </w:r>
      <w:r w:rsidR="00A74814">
        <w:t xml:space="preserve"> </w:t>
      </w:r>
      <w:r w:rsidR="001F061E">
        <w:t>For example,</w:t>
      </w:r>
      <w:r>
        <w:t xml:space="preserve"> one consultant said:</w:t>
      </w:r>
      <w:r w:rsidR="00A74814">
        <w:t xml:space="preserve"> </w:t>
      </w:r>
      <w:r w:rsidR="00120046">
        <w:t>‘</w:t>
      </w:r>
      <w:r w:rsidRPr="00AF4265">
        <w:t xml:space="preserve">There were two [Australian aid program] staff on the team, and their role as evaluators was not clear. There is a </w:t>
      </w:r>
      <w:r w:rsidR="00086497" w:rsidRPr="00AF4265">
        <w:t>one-</w:t>
      </w:r>
      <w:r w:rsidRPr="00AF4265">
        <w:t xml:space="preserve">page </w:t>
      </w:r>
      <w:r w:rsidR="00086497" w:rsidRPr="00AF4265">
        <w:t>note [</w:t>
      </w:r>
      <w:r w:rsidRPr="00AF4265">
        <w:t xml:space="preserve">from </w:t>
      </w:r>
      <w:r w:rsidRPr="00AF4265">
        <w:rPr>
          <w:rFonts w:eastAsiaTheme="minorEastAsia"/>
        </w:rPr>
        <w:t xml:space="preserve">the </w:t>
      </w:r>
      <w:r w:rsidRPr="00AF4265">
        <w:t>Australian aid program</w:t>
      </w:r>
      <w:r w:rsidR="00086497" w:rsidRPr="00AF4265">
        <w:t>]</w:t>
      </w:r>
      <w:r w:rsidRPr="00AF4265">
        <w:t xml:space="preserve"> on the role of staff on independent evaluations</w:t>
      </w:r>
      <w:r w:rsidR="00086497" w:rsidRPr="00AF4265">
        <w:rPr>
          <w:rStyle w:val="FootnoteReference"/>
        </w:rPr>
        <w:footnoteReference w:id="39"/>
      </w:r>
      <w:r w:rsidRPr="00AF4265">
        <w:t xml:space="preserve"> but they had not seen this</w:t>
      </w:r>
      <w:r w:rsidRPr="00120046">
        <w:t>.</w:t>
      </w:r>
      <w:r w:rsidR="00120046">
        <w:t>’</w:t>
      </w:r>
      <w:r w:rsidR="00A74814">
        <w:t xml:space="preserve"> </w:t>
      </w:r>
    </w:p>
    <w:p w14:paraId="612AE072" w14:textId="3D1D2464" w:rsidR="006D2592" w:rsidRDefault="00DC0544" w:rsidP="00DC0544">
      <w:r>
        <w:t>As one would expect,</w:t>
      </w:r>
      <w:r w:rsidR="001F061E">
        <w:t xml:space="preserve"> the views of</w:t>
      </w:r>
      <w:r>
        <w:t xml:space="preserve"> </w:t>
      </w:r>
      <w:r w:rsidR="006D2592">
        <w:t xml:space="preserve">Australian Government aid program </w:t>
      </w:r>
      <w:r>
        <w:t>staff on the involvement of staff in evaluations were more mixed</w:t>
      </w:r>
      <w:r w:rsidR="006D2592">
        <w:t>.</w:t>
      </w:r>
      <w:r w:rsidR="00A74814">
        <w:t xml:space="preserve"> </w:t>
      </w:r>
      <w:r w:rsidR="006D2592">
        <w:t>S</w:t>
      </w:r>
      <w:r>
        <w:t>ome saw it as a</w:t>
      </w:r>
      <w:r w:rsidR="006D2592">
        <w:t xml:space="preserve"> valuable</w:t>
      </w:r>
      <w:r>
        <w:t xml:space="preserve"> learning opportunity for staff. However</w:t>
      </w:r>
      <w:r w:rsidR="0014565A">
        <w:t>,</w:t>
      </w:r>
      <w:r>
        <w:t xml:space="preserve"> one who had been directly involved in an evaluation had experienced some uncertainty about whether he should be accountable to </w:t>
      </w:r>
      <w:r w:rsidRPr="004D5E8C">
        <w:t>AusAID</w:t>
      </w:r>
      <w:r w:rsidRPr="00604855">
        <w:t xml:space="preserve"> or</w:t>
      </w:r>
      <w:r>
        <w:t xml:space="preserve"> to the</w:t>
      </w:r>
      <w:r w:rsidR="006D2592">
        <w:t xml:space="preserve"> evaluation</w:t>
      </w:r>
      <w:r>
        <w:t xml:space="preserve"> </w:t>
      </w:r>
      <w:r w:rsidR="006D2592">
        <w:t>team leader</w:t>
      </w:r>
      <w:r>
        <w:t xml:space="preserve">. </w:t>
      </w:r>
    </w:p>
    <w:p w14:paraId="44F167D4" w14:textId="1A1EA739" w:rsidR="00DC0544" w:rsidRDefault="00026AA1" w:rsidP="00DC0544">
      <w:r>
        <w:t>The evidence</w:t>
      </w:r>
      <w:r w:rsidR="00DC0544">
        <w:t xml:space="preserve"> </w:t>
      </w:r>
      <w:r>
        <w:t>suggests</w:t>
      </w:r>
      <w:r w:rsidR="00DC0544">
        <w:t xml:space="preserve"> that some</w:t>
      </w:r>
      <w:r w:rsidR="006D2592">
        <w:t xml:space="preserve"> </w:t>
      </w:r>
      <w:r w:rsidR="00DC0544">
        <w:t xml:space="preserve">involvement </w:t>
      </w:r>
      <w:r w:rsidR="0014565A">
        <w:t>by Australian</w:t>
      </w:r>
      <w:r w:rsidR="001F061E">
        <w:t xml:space="preserve"> Government</w:t>
      </w:r>
      <w:r w:rsidR="0014565A">
        <w:t xml:space="preserve"> aid program staff </w:t>
      </w:r>
      <w:r w:rsidR="00DC0544">
        <w:t>can be helpful but th</w:t>
      </w:r>
      <w:r w:rsidR="0014565A">
        <w:t>at it is important</w:t>
      </w:r>
      <w:r w:rsidR="00DC0544">
        <w:t xml:space="preserve"> to </w:t>
      </w:r>
      <w:r w:rsidR="0014565A">
        <w:t>clearly define</w:t>
      </w:r>
      <w:r w:rsidR="00DC0544">
        <w:t xml:space="preserve"> </w:t>
      </w:r>
      <w:r>
        <w:t xml:space="preserve">and actively manage </w:t>
      </w:r>
      <w:r w:rsidR="00DC0544">
        <w:t>a staff member</w:t>
      </w:r>
      <w:r w:rsidR="00744801">
        <w:t>’</w:t>
      </w:r>
      <w:r w:rsidR="00DC0544">
        <w:t xml:space="preserve">s role in </w:t>
      </w:r>
      <w:r w:rsidR="0014565A">
        <w:t xml:space="preserve">an </w:t>
      </w:r>
      <w:r w:rsidR="00DC0544">
        <w:t xml:space="preserve">evaluation from the outset, </w:t>
      </w:r>
      <w:r>
        <w:t>including</w:t>
      </w:r>
      <w:r w:rsidR="00DC0544">
        <w:t xml:space="preserve"> ensur</w:t>
      </w:r>
      <w:r>
        <w:t>ing</w:t>
      </w:r>
      <w:r w:rsidR="00DC0544">
        <w:t xml:space="preserve"> that </w:t>
      </w:r>
      <w:r w:rsidR="0014565A">
        <w:t xml:space="preserve">team leaders </w:t>
      </w:r>
      <w:r w:rsidR="00DC0544">
        <w:t>feel empowered to decide which meetings</w:t>
      </w:r>
      <w:r w:rsidR="00F4045D">
        <w:t xml:space="preserve"> or interviews</w:t>
      </w:r>
      <w:r w:rsidR="00DC0544">
        <w:t xml:space="preserve"> staff attend. </w:t>
      </w:r>
    </w:p>
    <w:p w14:paraId="7C2917DD" w14:textId="77777777" w:rsidR="00AF6650" w:rsidRPr="006C4F7A" w:rsidRDefault="008E2905" w:rsidP="00634CCE">
      <w:pPr>
        <w:pStyle w:val="Heading2"/>
        <w:numPr>
          <w:ilvl w:val="0"/>
          <w:numId w:val="52"/>
        </w:numPr>
        <w:ind w:left="357" w:hanging="357"/>
        <w:rPr>
          <w:rFonts w:eastAsiaTheme="majorEastAsia"/>
        </w:rPr>
      </w:pPr>
      <w:bookmarkStart w:id="166" w:name="_Toc387675117"/>
      <w:bookmarkEnd w:id="162"/>
      <w:r w:rsidRPr="006C4F7A">
        <w:rPr>
          <w:rFonts w:eastAsiaTheme="majorEastAsia"/>
        </w:rPr>
        <w:lastRenderedPageBreak/>
        <w:t>Evaluation design</w:t>
      </w:r>
      <w:bookmarkEnd w:id="166"/>
    </w:p>
    <w:p w14:paraId="4F85700C" w14:textId="5892F82B" w:rsidR="004E1E03" w:rsidRDefault="00010644" w:rsidP="008D5E41">
      <w:r w:rsidRPr="00010644">
        <w:t xml:space="preserve">The evidence suggests that quality assurance </w:t>
      </w:r>
      <w:r w:rsidR="00EB0D2A">
        <w:t>of</w:t>
      </w:r>
      <w:r w:rsidRPr="00010644">
        <w:t xml:space="preserve"> evaluation design</w:t>
      </w:r>
      <w:r w:rsidR="00AF4265">
        <w:t>s</w:t>
      </w:r>
      <w:r w:rsidRPr="00010644">
        <w:t xml:space="preserve"> may help improve overall evaluation quality.</w:t>
      </w:r>
      <w:r w:rsidR="00A74814">
        <w:t xml:space="preserve"> </w:t>
      </w:r>
      <w:r w:rsidR="00AF6650" w:rsidRPr="004360B0">
        <w:t xml:space="preserve">Both our analysis of </w:t>
      </w:r>
      <w:r w:rsidR="00AF6650">
        <w:t xml:space="preserve">evaluation </w:t>
      </w:r>
      <w:r w:rsidR="00AF6650" w:rsidRPr="004360B0">
        <w:t xml:space="preserve">reports and </w:t>
      </w:r>
      <w:r w:rsidR="00215527">
        <w:t xml:space="preserve">our </w:t>
      </w:r>
      <w:r w:rsidR="00AF6650" w:rsidRPr="004360B0">
        <w:t xml:space="preserve">interviews </w:t>
      </w:r>
      <w:r w:rsidR="003A3454">
        <w:t>emphasis</w:t>
      </w:r>
      <w:r w:rsidR="00AF6650" w:rsidRPr="004360B0">
        <w:t xml:space="preserve">ed </w:t>
      </w:r>
      <w:r w:rsidR="00AF6650" w:rsidRPr="00022762">
        <w:t>the importance of well</w:t>
      </w:r>
      <w:r w:rsidR="00120046">
        <w:t>-</w:t>
      </w:r>
      <w:r w:rsidR="00AF6650" w:rsidRPr="00022762">
        <w:t xml:space="preserve">thought-out </w:t>
      </w:r>
      <w:r w:rsidR="001709BE">
        <w:t>terms of reference</w:t>
      </w:r>
      <w:r w:rsidR="00AF6650" w:rsidRPr="00022762">
        <w:t xml:space="preserve"> </w:t>
      </w:r>
      <w:r w:rsidR="00AF6650">
        <w:t xml:space="preserve">and evaluation </w:t>
      </w:r>
      <w:r w:rsidR="001709BE">
        <w:t>plans</w:t>
      </w:r>
      <w:r w:rsidR="00AF6650" w:rsidRPr="004360B0">
        <w:t xml:space="preserve">. </w:t>
      </w:r>
      <w:r w:rsidR="00AF6650">
        <w:t>While we did not directly assess the quality of these</w:t>
      </w:r>
      <w:r w:rsidR="001709BE">
        <w:t xml:space="preserve"> documents</w:t>
      </w:r>
      <w:r w:rsidR="00AF6650">
        <w:t xml:space="preserve"> (because they were not </w:t>
      </w:r>
      <w:r w:rsidR="001709BE">
        <w:t xml:space="preserve">consistently </w:t>
      </w:r>
      <w:r w:rsidR="00AF6650">
        <w:t xml:space="preserve">available), </w:t>
      </w:r>
      <w:r w:rsidR="004E1E03">
        <w:t xml:space="preserve">our assessment of the quality of the evaluation reports revealed </w:t>
      </w:r>
      <w:r w:rsidR="008E2905">
        <w:t xml:space="preserve">a need </w:t>
      </w:r>
      <w:r w:rsidR="00AF4265">
        <w:t xml:space="preserve">to </w:t>
      </w:r>
      <w:r w:rsidR="008E2905">
        <w:t>improve</w:t>
      </w:r>
      <w:r w:rsidR="00AF4265">
        <w:t xml:space="preserve"> the</w:t>
      </w:r>
      <w:r w:rsidR="008E2905">
        <w:t xml:space="preserve"> focus on quality at</w:t>
      </w:r>
      <w:r w:rsidR="004E1E03">
        <w:t xml:space="preserve"> the </w:t>
      </w:r>
      <w:r>
        <w:t>early stages</w:t>
      </w:r>
      <w:r w:rsidR="003A3454">
        <w:t xml:space="preserve"> of an evaluation</w:t>
      </w:r>
      <w:r w:rsidR="004E1E03">
        <w:t>.</w:t>
      </w:r>
    </w:p>
    <w:p w14:paraId="4D285274" w14:textId="77777777" w:rsidR="008E2905" w:rsidRDefault="008E2905" w:rsidP="00010644">
      <w:pPr>
        <w:pStyle w:val="Heading3"/>
      </w:pPr>
      <w:r>
        <w:t>Terms of reference</w:t>
      </w:r>
    </w:p>
    <w:p w14:paraId="1EEFFAAB" w14:textId="47E65D20" w:rsidR="008E2905" w:rsidRDefault="008E2905" w:rsidP="00AF6650">
      <w:r>
        <w:t xml:space="preserve">As discussed in section </w:t>
      </w:r>
      <w:r>
        <w:fldChar w:fldCharType="begin"/>
      </w:r>
      <w:r>
        <w:instrText xml:space="preserve"> REF _Ref379364132 \r \h </w:instrText>
      </w:r>
      <w:r>
        <w:fldChar w:fldCharType="separate"/>
      </w:r>
      <w:r w:rsidR="00147362">
        <w:t>4.1</w:t>
      </w:r>
      <w:r>
        <w:fldChar w:fldCharType="end"/>
      </w:r>
      <w:r>
        <w:t xml:space="preserve">, </w:t>
      </w:r>
      <w:r w:rsidR="008D5E41">
        <w:t xml:space="preserve">over half </w:t>
      </w:r>
      <w:r>
        <w:t xml:space="preserve">of </w:t>
      </w:r>
      <w:r w:rsidR="00120046">
        <w:t xml:space="preserve">the </w:t>
      </w:r>
      <w:r>
        <w:t xml:space="preserve">evaluation reports </w:t>
      </w:r>
      <w:r w:rsidR="008D5E41">
        <w:t xml:space="preserve">either did not </w:t>
      </w:r>
      <w:r w:rsidR="00010644">
        <w:t>test</w:t>
      </w:r>
      <w:r w:rsidR="008D5E41">
        <w:t xml:space="preserve"> the </w:t>
      </w:r>
      <w:r w:rsidR="00010644">
        <w:t xml:space="preserve">underlying </w:t>
      </w:r>
      <w:r w:rsidR="008D5E41">
        <w:t>logic of the interve</w:t>
      </w:r>
      <w:r>
        <w:t>ntion or had a weak assessment</w:t>
      </w:r>
      <w:r w:rsidR="00010644">
        <w:t>.</w:t>
      </w:r>
      <w:r w:rsidR="00A74814">
        <w:t xml:space="preserve"> </w:t>
      </w:r>
    </w:p>
    <w:p w14:paraId="77703361" w14:textId="61F54E38" w:rsidR="008E2905" w:rsidRDefault="00EB0D2A" w:rsidP="00AF6650">
      <w:r>
        <w:t>C</w:t>
      </w:r>
      <w:r w:rsidRPr="004360B0">
        <w:t xml:space="preserve">onsultants interviewed </w:t>
      </w:r>
      <w:r w:rsidR="00AF6650" w:rsidRPr="004360B0">
        <w:t xml:space="preserve">noted cases where their </w:t>
      </w:r>
      <w:r w:rsidR="001709BE">
        <w:t>terms of reference</w:t>
      </w:r>
      <w:r w:rsidR="00AF6650" w:rsidRPr="004360B0">
        <w:t xml:space="preserve"> had either been far too limiting or</w:t>
      </w:r>
      <w:r w:rsidR="00215527">
        <w:t>,</w:t>
      </w:r>
      <w:r w:rsidR="00AF6650" w:rsidRPr="004360B0">
        <w:t xml:space="preserve"> conversely, far too ambitious for the resources available. In two cases consultants </w:t>
      </w:r>
      <w:r w:rsidR="003A3454">
        <w:t xml:space="preserve">said they </w:t>
      </w:r>
      <w:r w:rsidR="00AF6650" w:rsidRPr="004360B0">
        <w:t xml:space="preserve">appreciated being able to refine </w:t>
      </w:r>
      <w:r w:rsidR="001709BE">
        <w:t>terms of reference</w:t>
      </w:r>
      <w:r w:rsidR="00AF6650" w:rsidRPr="004360B0">
        <w:t xml:space="preserve"> in consultation with </w:t>
      </w:r>
      <w:r w:rsidR="00AF6650">
        <w:t>Australian aid program staff</w:t>
      </w:r>
      <w:r w:rsidR="00215527">
        <w:t>.</w:t>
      </w:r>
      <w:r w:rsidR="00AF6650" w:rsidRPr="004360B0">
        <w:t xml:space="preserve"> </w:t>
      </w:r>
      <w:r w:rsidR="00215527">
        <w:t>O</w:t>
      </w:r>
      <w:r w:rsidR="00AF6650" w:rsidRPr="004360B0">
        <w:t>ne said that</w:t>
      </w:r>
      <w:r w:rsidR="00AF6650">
        <w:t xml:space="preserve"> before starting an evaluation </w:t>
      </w:r>
      <w:r w:rsidR="00120046" w:rsidRPr="00120046">
        <w:t>‘</w:t>
      </w:r>
      <w:r w:rsidR="00AF6650" w:rsidRPr="00120046">
        <w:t>[</w:t>
      </w:r>
      <w:r w:rsidR="00AF6650" w:rsidRPr="00AF4265">
        <w:t>Australian aid program</w:t>
      </w:r>
      <w:r w:rsidR="00AF6650" w:rsidRPr="00120046">
        <w:t xml:space="preserve">] </w:t>
      </w:r>
      <w:r w:rsidR="00AF6650" w:rsidRPr="00AF4265">
        <w:t>staff</w:t>
      </w:r>
      <w:r w:rsidR="00AF6650" w:rsidRPr="00120046">
        <w:t xml:space="preserve"> s</w:t>
      </w:r>
      <w:r w:rsidR="00AF6650" w:rsidRPr="00AF4265">
        <w:t xml:space="preserve">hould encourage consultants to question and if necessary change the </w:t>
      </w:r>
      <w:r w:rsidR="001709BE" w:rsidRPr="00AF4265">
        <w:t>terms of reference</w:t>
      </w:r>
      <w:r w:rsidR="00120046" w:rsidRPr="00AF4265">
        <w:t>’</w:t>
      </w:r>
      <w:r w:rsidR="00215527">
        <w:t>.</w:t>
      </w:r>
      <w:r w:rsidR="00A74814">
        <w:rPr>
          <w:i/>
        </w:rPr>
        <w:t xml:space="preserve"> </w:t>
      </w:r>
      <w:r w:rsidR="00530C72" w:rsidRPr="004E1E03">
        <w:t>(</w:t>
      </w:r>
      <w:r w:rsidR="003A3454">
        <w:t>A</w:t>
      </w:r>
      <w:r w:rsidR="00530C72" w:rsidRPr="004E1E03">
        <w:t xml:space="preserve">s discussed below, this </w:t>
      </w:r>
      <w:r w:rsidR="00D243F5">
        <w:t>negotiation can alternatively</w:t>
      </w:r>
      <w:r w:rsidR="00530C72" w:rsidRPr="004E1E03">
        <w:t xml:space="preserve"> take place </w:t>
      </w:r>
      <w:r w:rsidR="00D243F5">
        <w:t>as part of</w:t>
      </w:r>
      <w:r w:rsidR="00215527">
        <w:t xml:space="preserve"> the</w:t>
      </w:r>
      <w:r w:rsidR="00530C72" w:rsidRPr="004E1E03">
        <w:t xml:space="preserve"> development of </w:t>
      </w:r>
      <w:r w:rsidR="003A3454">
        <w:t>an</w:t>
      </w:r>
      <w:r w:rsidR="00530C72" w:rsidRPr="004E1E03">
        <w:t xml:space="preserve"> evaluation plan.</w:t>
      </w:r>
      <w:r w:rsidR="00530C72" w:rsidRPr="00530C72">
        <w:t>)</w:t>
      </w:r>
      <w:r w:rsidR="00A74814">
        <w:t xml:space="preserve"> </w:t>
      </w:r>
    </w:p>
    <w:p w14:paraId="26701876" w14:textId="4C0C9533" w:rsidR="00AF6650" w:rsidRDefault="00D243F5" w:rsidP="00AF6650">
      <w:pPr>
        <w:rPr>
          <w:rFonts w:cstheme="minorBidi"/>
          <w:szCs w:val="22"/>
        </w:rPr>
      </w:pPr>
      <w:r>
        <w:rPr>
          <w:rFonts w:cstheme="minorBidi"/>
          <w:szCs w:val="22"/>
        </w:rPr>
        <w:t>O</w:t>
      </w:r>
      <w:r w:rsidR="00AF6650" w:rsidRPr="00530C72">
        <w:rPr>
          <w:rFonts w:cstheme="minorBidi"/>
          <w:szCs w:val="22"/>
        </w:rPr>
        <w:t xml:space="preserve">ur interviews </w:t>
      </w:r>
      <w:r>
        <w:rPr>
          <w:rFonts w:cstheme="minorBidi"/>
          <w:szCs w:val="22"/>
        </w:rPr>
        <w:t xml:space="preserve">also </w:t>
      </w:r>
      <w:r w:rsidR="00AF6650" w:rsidRPr="00530C72">
        <w:rPr>
          <w:rFonts w:cstheme="minorBidi"/>
          <w:szCs w:val="22"/>
        </w:rPr>
        <w:t>suggest that</w:t>
      </w:r>
      <w:r w:rsidR="00AF6650">
        <w:rPr>
          <w:rFonts w:cstheme="minorBidi"/>
          <w:szCs w:val="22"/>
        </w:rPr>
        <w:t xml:space="preserve"> it is useful for the </w:t>
      </w:r>
      <w:r w:rsidR="001709BE">
        <w:rPr>
          <w:rFonts w:cstheme="minorBidi"/>
          <w:szCs w:val="22"/>
        </w:rPr>
        <w:t>terms of reference</w:t>
      </w:r>
      <w:r w:rsidR="00AF6650">
        <w:rPr>
          <w:rFonts w:cstheme="minorBidi"/>
          <w:szCs w:val="22"/>
        </w:rPr>
        <w:t xml:space="preserve"> to attempt to prioriti</w:t>
      </w:r>
      <w:r w:rsidR="00120046">
        <w:rPr>
          <w:rFonts w:cstheme="minorBidi"/>
          <w:szCs w:val="22"/>
        </w:rPr>
        <w:t>s</w:t>
      </w:r>
      <w:r w:rsidR="00AF6650">
        <w:rPr>
          <w:rFonts w:cstheme="minorBidi"/>
          <w:szCs w:val="22"/>
        </w:rPr>
        <w:t>e the key criteria at the outset, so that the evaluators can prioriti</w:t>
      </w:r>
      <w:r w:rsidR="00120046">
        <w:rPr>
          <w:rFonts w:cstheme="minorBidi"/>
          <w:szCs w:val="22"/>
        </w:rPr>
        <w:t>s</w:t>
      </w:r>
      <w:r w:rsidR="00AF6650">
        <w:rPr>
          <w:rFonts w:cstheme="minorBidi"/>
          <w:szCs w:val="22"/>
        </w:rPr>
        <w:t>e their time accordingly.</w:t>
      </w:r>
      <w:r w:rsidR="00A74814">
        <w:rPr>
          <w:rFonts w:cstheme="minorBidi"/>
          <w:szCs w:val="22"/>
        </w:rPr>
        <w:t xml:space="preserve"> </w:t>
      </w:r>
    </w:p>
    <w:p w14:paraId="35672309" w14:textId="77777777" w:rsidR="008E2905" w:rsidRDefault="008E2905" w:rsidP="00010644">
      <w:pPr>
        <w:pStyle w:val="Heading3"/>
      </w:pPr>
      <w:r>
        <w:t>Evaluation plans</w:t>
      </w:r>
    </w:p>
    <w:p w14:paraId="50B7E4A3" w14:textId="1FB1B54E" w:rsidR="008E2905" w:rsidRDefault="003A3454" w:rsidP="008E2905">
      <w:r>
        <w:t xml:space="preserve">As discussed in section </w:t>
      </w:r>
      <w:r>
        <w:fldChar w:fldCharType="begin"/>
      </w:r>
      <w:r>
        <w:instrText xml:space="preserve"> REF _Ref379364132 \r \h </w:instrText>
      </w:r>
      <w:r>
        <w:fldChar w:fldCharType="separate"/>
      </w:r>
      <w:r w:rsidR="00147362">
        <w:t>4.1</w:t>
      </w:r>
      <w:r>
        <w:fldChar w:fldCharType="end"/>
      </w:r>
      <w:r>
        <w:t>, o</w:t>
      </w:r>
      <w:r w:rsidR="008E2905">
        <w:t xml:space="preserve">ur quality review also found that over half of </w:t>
      </w:r>
      <w:r w:rsidR="00215527">
        <w:t xml:space="preserve">the </w:t>
      </w:r>
      <w:r w:rsidR="008E2905">
        <w:t>evaluation reports reflected weak or inappropriate evaluation methodology</w:t>
      </w:r>
      <w:r w:rsidR="001B1191">
        <w:t>, or did not adequately justify the evaluation methodology</w:t>
      </w:r>
      <w:r w:rsidR="00010644">
        <w:t>.</w:t>
      </w:r>
      <w:r w:rsidR="00A74814">
        <w:t xml:space="preserve"> </w:t>
      </w:r>
      <w:r w:rsidR="00010644">
        <w:t xml:space="preserve">This </w:t>
      </w:r>
      <w:r w:rsidR="008E2905">
        <w:t>suggest</w:t>
      </w:r>
      <w:r w:rsidR="00010644">
        <w:t>s</w:t>
      </w:r>
      <w:r w:rsidR="008E2905">
        <w:t xml:space="preserve"> a need for greater focus on improving the quality of evaluation plans.</w:t>
      </w:r>
      <w:r w:rsidR="00A74814">
        <w:t xml:space="preserve"> </w:t>
      </w:r>
    </w:p>
    <w:p w14:paraId="39CB2F49" w14:textId="724DCCF6" w:rsidR="00D243F5" w:rsidRDefault="00530C72" w:rsidP="00AF6650">
      <w:pPr>
        <w:rPr>
          <w:rFonts w:cstheme="minorBidi"/>
          <w:szCs w:val="22"/>
        </w:rPr>
      </w:pPr>
      <w:r>
        <w:t>E</w:t>
      </w:r>
      <w:r w:rsidR="00EB0D2A">
        <w:rPr>
          <w:rFonts w:cstheme="minorBidi"/>
          <w:szCs w:val="22"/>
        </w:rPr>
        <w:t xml:space="preserve">valuation plans are recommended under the current guidelines </w:t>
      </w:r>
      <w:r>
        <w:rPr>
          <w:rFonts w:cstheme="minorBidi"/>
          <w:szCs w:val="22"/>
        </w:rPr>
        <w:t>but</w:t>
      </w:r>
      <w:r w:rsidR="00EB0D2A">
        <w:rPr>
          <w:rFonts w:cstheme="minorBidi"/>
          <w:szCs w:val="22"/>
        </w:rPr>
        <w:t xml:space="preserve"> are</w:t>
      </w:r>
      <w:r>
        <w:rPr>
          <w:rFonts w:cstheme="minorBidi"/>
          <w:szCs w:val="22"/>
        </w:rPr>
        <w:t xml:space="preserve"> not mandatory.</w:t>
      </w:r>
      <w:r w:rsidR="00A74814">
        <w:rPr>
          <w:rFonts w:cstheme="minorBidi"/>
          <w:szCs w:val="22"/>
        </w:rPr>
        <w:t xml:space="preserve"> </w:t>
      </w:r>
      <w:r w:rsidR="008434D5">
        <w:rPr>
          <w:rFonts w:cstheme="minorBidi"/>
          <w:szCs w:val="22"/>
        </w:rPr>
        <w:t>Before</w:t>
      </w:r>
      <w:r>
        <w:rPr>
          <w:rFonts w:cstheme="minorBidi"/>
          <w:szCs w:val="22"/>
        </w:rPr>
        <w:t xml:space="preserve"> an evaluation</w:t>
      </w:r>
      <w:r w:rsidR="008434D5">
        <w:rPr>
          <w:rFonts w:cstheme="minorBidi"/>
          <w:szCs w:val="22"/>
        </w:rPr>
        <w:t xml:space="preserve"> commences</w:t>
      </w:r>
      <w:r>
        <w:rPr>
          <w:rFonts w:cstheme="minorBidi"/>
          <w:szCs w:val="22"/>
        </w:rPr>
        <w:t>, a detailed</w:t>
      </w:r>
      <w:r w:rsidR="008D5E41">
        <w:rPr>
          <w:rFonts w:cstheme="minorBidi"/>
          <w:szCs w:val="22"/>
        </w:rPr>
        <w:t xml:space="preserve"> evaluation plan is developed by the evaluator based on the terms of reference</w:t>
      </w:r>
      <w:r>
        <w:rPr>
          <w:rFonts w:cstheme="minorBidi"/>
          <w:szCs w:val="22"/>
        </w:rPr>
        <w:t xml:space="preserve"> and negotiations with the DFAT </w:t>
      </w:r>
      <w:r w:rsidR="00CC781F">
        <w:rPr>
          <w:rFonts w:cstheme="minorBidi"/>
          <w:szCs w:val="22"/>
        </w:rPr>
        <w:t>evaluation commissioning area</w:t>
      </w:r>
      <w:r w:rsidR="008D5E41">
        <w:rPr>
          <w:rFonts w:cstheme="minorBidi"/>
          <w:szCs w:val="22"/>
        </w:rPr>
        <w:t>.</w:t>
      </w:r>
      <w:r w:rsidR="00A74814">
        <w:rPr>
          <w:rFonts w:cstheme="minorBidi"/>
          <w:szCs w:val="22"/>
        </w:rPr>
        <w:t xml:space="preserve"> </w:t>
      </w:r>
      <w:r>
        <w:rPr>
          <w:rFonts w:cstheme="minorBidi"/>
          <w:szCs w:val="22"/>
        </w:rPr>
        <w:t>The</w:t>
      </w:r>
      <w:r w:rsidR="00CD291B">
        <w:rPr>
          <w:rFonts w:cstheme="minorBidi"/>
          <w:szCs w:val="22"/>
        </w:rPr>
        <w:t xml:space="preserve"> evaluation plan</w:t>
      </w:r>
      <w:r>
        <w:rPr>
          <w:rFonts w:cstheme="minorBidi"/>
          <w:szCs w:val="22"/>
        </w:rPr>
        <w:t xml:space="preserve"> should</w:t>
      </w:r>
      <w:r w:rsidR="00CD291B">
        <w:rPr>
          <w:rFonts w:cstheme="minorBidi"/>
          <w:szCs w:val="22"/>
        </w:rPr>
        <w:t xml:space="preserve"> elaborate on the terms of reference and</w:t>
      </w:r>
      <w:r>
        <w:rPr>
          <w:rFonts w:cstheme="minorBidi"/>
          <w:szCs w:val="22"/>
        </w:rPr>
        <w:t xml:space="preserve"> provide</w:t>
      </w:r>
      <w:r w:rsidR="00CD291B">
        <w:rPr>
          <w:rFonts w:cstheme="minorBidi"/>
          <w:szCs w:val="22"/>
        </w:rPr>
        <w:t xml:space="preserve"> detail o</w:t>
      </w:r>
      <w:r w:rsidR="003A3454">
        <w:rPr>
          <w:rFonts w:cstheme="minorBidi"/>
          <w:szCs w:val="22"/>
        </w:rPr>
        <w:t>n</w:t>
      </w:r>
      <w:r w:rsidR="00CD291B">
        <w:rPr>
          <w:rFonts w:cstheme="minorBidi"/>
          <w:szCs w:val="22"/>
        </w:rPr>
        <w:t xml:space="preserve"> the methodologies to be followed.</w:t>
      </w:r>
      <w:r w:rsidR="00A74814">
        <w:rPr>
          <w:rFonts w:cstheme="minorBidi"/>
          <w:szCs w:val="22"/>
        </w:rPr>
        <w:t xml:space="preserve"> </w:t>
      </w:r>
    </w:p>
    <w:p w14:paraId="42E1D6D7" w14:textId="350EFF72" w:rsidR="00AF6650" w:rsidRDefault="00CD291B" w:rsidP="00AF6650">
      <w:r>
        <w:rPr>
          <w:rFonts w:cstheme="minorBidi"/>
          <w:szCs w:val="22"/>
        </w:rPr>
        <w:t xml:space="preserve">However, </w:t>
      </w:r>
      <w:r w:rsidR="00AF6650">
        <w:t>two interviewe</w:t>
      </w:r>
      <w:r w:rsidR="0077229B">
        <w:t>d consultant</w:t>
      </w:r>
      <w:r w:rsidR="00AF6650">
        <w:t>s stressed that when both consultants and aid managers fe</w:t>
      </w:r>
      <w:r>
        <w:t>e</w:t>
      </w:r>
      <w:r w:rsidR="00AF6650">
        <w:t>l under time pressure the evaluation plan might be seen as another bureaucratic requirement rather than a real opportunity for dialogue about evaluation methodology.</w:t>
      </w:r>
      <w:r w:rsidR="00A74814">
        <w:t xml:space="preserve"> </w:t>
      </w:r>
      <w:r w:rsidR="00AF6650">
        <w:t>This view is supported by the</w:t>
      </w:r>
      <w:r w:rsidR="00731AA3">
        <w:t xml:space="preserve"> identified</w:t>
      </w:r>
      <w:r w:rsidR="00AF6650">
        <w:t xml:space="preserve"> weakness of </w:t>
      </w:r>
      <w:r w:rsidR="004E1E03">
        <w:t xml:space="preserve">evaluation </w:t>
      </w:r>
      <w:r w:rsidR="00AF6650">
        <w:t xml:space="preserve">methodology and specifically by a common failure to adapt </w:t>
      </w:r>
      <w:r w:rsidR="004E1E03">
        <w:t xml:space="preserve">evaluation </w:t>
      </w:r>
      <w:r w:rsidR="00AF6650">
        <w:t>methods to meet the requirements of a specific evaluation.</w:t>
      </w:r>
      <w:r w:rsidR="00A74814">
        <w:t xml:space="preserve"> </w:t>
      </w:r>
      <w:r w:rsidR="00AF6650">
        <w:t xml:space="preserve">As one </w:t>
      </w:r>
      <w:r w:rsidR="008434D5">
        <w:t>t</w:t>
      </w:r>
      <w:r w:rsidR="00AF6650">
        <w:t xml:space="preserve">eam </w:t>
      </w:r>
      <w:r w:rsidR="008434D5">
        <w:t>l</w:t>
      </w:r>
      <w:r w:rsidR="00AF6650">
        <w:t>eader said:</w:t>
      </w:r>
    </w:p>
    <w:p w14:paraId="6CFBCF58" w14:textId="0411C95D" w:rsidR="00AF6650" w:rsidRPr="00DB1E64" w:rsidRDefault="00AF4265" w:rsidP="00DB1E64">
      <w:pPr>
        <w:pStyle w:val="Quotetext"/>
      </w:pPr>
      <w:r>
        <w:t>T</w:t>
      </w:r>
      <w:r w:rsidR="00AF6650" w:rsidRPr="00DB1E64">
        <w:t>he process of preparing for an evaluation and doing a plan…</w:t>
      </w:r>
      <w:r w:rsidR="00120046" w:rsidRPr="00DB1E64">
        <w:t xml:space="preserve"> </w:t>
      </w:r>
      <w:r w:rsidR="00AF6650" w:rsidRPr="00DB1E64">
        <w:t>has become bureaucratised and worthless. It</w:t>
      </w:r>
      <w:r w:rsidR="00744801" w:rsidRPr="00DB1E64">
        <w:t>’</w:t>
      </w:r>
      <w:r w:rsidR="00AF6650" w:rsidRPr="00DB1E64">
        <w:t>s become a cut and paste activity.</w:t>
      </w:r>
      <w:r w:rsidR="00A74814" w:rsidRPr="00DB1E64">
        <w:t xml:space="preserve"> </w:t>
      </w:r>
      <w:r w:rsidR="00AF6650" w:rsidRPr="00DB1E64">
        <w:t>A smart evaluator will look at what previous evaluators have done and cut and paste either what they or others have done. If they are particularly good, they might customise the list for a specific evaluation, but it</w:t>
      </w:r>
      <w:r w:rsidR="00744801" w:rsidRPr="00DB1E64">
        <w:t>’</w:t>
      </w:r>
      <w:r w:rsidR="00AF6650" w:rsidRPr="00DB1E64">
        <w:t xml:space="preserve">s a </w:t>
      </w:r>
      <w:r w:rsidR="00744801" w:rsidRPr="00DB1E64">
        <w:t>‘</w:t>
      </w:r>
      <w:r w:rsidR="00AF6650" w:rsidRPr="00DB1E64">
        <w:t>tick the box</w:t>
      </w:r>
      <w:r w:rsidR="00744801" w:rsidRPr="00DB1E64">
        <w:t>’</w:t>
      </w:r>
      <w:r w:rsidR="00AF6650" w:rsidRPr="00DB1E64">
        <w:t xml:space="preserve"> activity.</w:t>
      </w:r>
    </w:p>
    <w:p w14:paraId="134E49A0" w14:textId="77777777" w:rsidR="00974B77" w:rsidRPr="00974B77" w:rsidRDefault="00974B77" w:rsidP="00974B77">
      <w:pPr>
        <w:rPr>
          <w:lang w:val="en-GB"/>
        </w:rPr>
      </w:pPr>
      <w:bookmarkStart w:id="167" w:name="_Ref379884164"/>
      <w:bookmarkStart w:id="168" w:name="_Ref379884171"/>
      <w:bookmarkStart w:id="169" w:name="_Ref379884199"/>
      <w:bookmarkStart w:id="170" w:name="_Ref380150416"/>
      <w:bookmarkStart w:id="171" w:name="_Ref380415472"/>
      <w:bookmarkStart w:id="172" w:name="_Toc378059993"/>
      <w:bookmarkEnd w:id="163"/>
      <w:r w:rsidRPr="00974B77">
        <w:rPr>
          <w:lang w:val="en-GB"/>
        </w:rPr>
        <w:t>The evidence suggests a need for greater emphasis on the importance of developing strong evaluation plans as the basis for high quality evaluation reports.</w:t>
      </w:r>
      <w:r w:rsidR="00A74814">
        <w:rPr>
          <w:lang w:val="en-GB"/>
        </w:rPr>
        <w:t xml:space="preserve"> </w:t>
      </w:r>
      <w:r w:rsidRPr="00974B77">
        <w:rPr>
          <w:lang w:val="en-GB"/>
        </w:rPr>
        <w:t xml:space="preserve">This includes allowing sufficient resourcing (consultancy days) for the evaluator to develop the plan, including negotiating with the </w:t>
      </w:r>
      <w:r w:rsidRPr="00974B77">
        <w:rPr>
          <w:rFonts w:cstheme="minorBidi"/>
          <w:szCs w:val="22"/>
        </w:rPr>
        <w:t>DFAT evaluation commissioning area</w:t>
      </w:r>
      <w:r w:rsidRPr="00974B77">
        <w:rPr>
          <w:lang w:val="en-GB"/>
        </w:rPr>
        <w:t>.</w:t>
      </w:r>
      <w:r w:rsidR="00A74814">
        <w:rPr>
          <w:lang w:val="en-GB"/>
        </w:rPr>
        <w:t xml:space="preserve"> </w:t>
      </w:r>
      <w:r w:rsidRPr="00974B77">
        <w:rPr>
          <w:lang w:val="en-GB"/>
        </w:rPr>
        <w:t>It may also indicate a need to improve support for, or quality assurance of, evaluation plans.</w:t>
      </w:r>
    </w:p>
    <w:p w14:paraId="3D6B2CE8" w14:textId="77777777" w:rsidR="00DC0544" w:rsidRDefault="00DC0544" w:rsidP="00AF4265">
      <w:pPr>
        <w:pStyle w:val="Heading2"/>
        <w:numPr>
          <w:ilvl w:val="0"/>
          <w:numId w:val="52"/>
        </w:numPr>
        <w:ind w:left="357" w:hanging="357"/>
        <w:rPr>
          <w:rFonts w:eastAsiaTheme="majorEastAsia"/>
        </w:rPr>
      </w:pPr>
      <w:bookmarkStart w:id="173" w:name="_Ref381859424"/>
      <w:bookmarkStart w:id="174" w:name="_Toc387675118"/>
      <w:r>
        <w:rPr>
          <w:rFonts w:eastAsiaTheme="majorEastAsia"/>
        </w:rPr>
        <w:lastRenderedPageBreak/>
        <w:t>Organisational factors</w:t>
      </w:r>
      <w:bookmarkEnd w:id="167"/>
      <w:bookmarkEnd w:id="168"/>
      <w:bookmarkEnd w:id="169"/>
      <w:bookmarkEnd w:id="170"/>
      <w:bookmarkEnd w:id="171"/>
      <w:bookmarkEnd w:id="173"/>
      <w:bookmarkEnd w:id="174"/>
    </w:p>
    <w:p w14:paraId="53A69972" w14:textId="2F648E37" w:rsidR="00354D86" w:rsidRDefault="00140CAA" w:rsidP="00140CAA">
      <w:r>
        <w:t>This section considers a number of aspects of the</w:t>
      </w:r>
      <w:r w:rsidR="00875E7B">
        <w:t xml:space="preserve"> </w:t>
      </w:r>
      <w:r>
        <w:t>organisational culture of the former AusAID that are likely to have had an impact on evaluation quality and utility</w:t>
      </w:r>
      <w:r w:rsidR="003D06E4">
        <w:t>.</w:t>
      </w:r>
      <w:r>
        <w:t xml:space="preserve"> </w:t>
      </w:r>
      <w:r w:rsidR="003D06E4">
        <w:t>It</w:t>
      </w:r>
      <w:r>
        <w:t xml:space="preserve"> is based on evidence gathered through interviews</w:t>
      </w:r>
      <w:r w:rsidR="00875E7B">
        <w:t xml:space="preserve"> and contextual analysis</w:t>
      </w:r>
      <w:r>
        <w:t>.</w:t>
      </w:r>
      <w:r w:rsidR="00A74814">
        <w:t xml:space="preserve"> </w:t>
      </w:r>
      <w:r w:rsidR="00354D86">
        <w:t xml:space="preserve">Some of the issues raised are already recognised within the </w:t>
      </w:r>
      <w:r w:rsidR="00E8704F">
        <w:t>d</w:t>
      </w:r>
      <w:r w:rsidR="00354D86">
        <w:t>epartment and may be at least partially addressed through planned changes to simplify the aid management system.</w:t>
      </w:r>
    </w:p>
    <w:p w14:paraId="39598A19" w14:textId="77777777" w:rsidR="00974B77" w:rsidRPr="00354D86" w:rsidRDefault="00974B77" w:rsidP="00974B77">
      <w:pPr>
        <w:pStyle w:val="Heading3"/>
        <w:rPr>
          <w:rFonts w:eastAsiaTheme="majorEastAsia"/>
        </w:rPr>
      </w:pPr>
      <w:bookmarkStart w:id="175" w:name="_Toc372723836"/>
      <w:bookmarkStart w:id="176" w:name="_Toc378059994"/>
      <w:r>
        <w:rPr>
          <w:rFonts w:eastAsiaTheme="majorEastAsia"/>
        </w:rPr>
        <w:t>Evaluation capacity</w:t>
      </w:r>
    </w:p>
    <w:p w14:paraId="3B13B933" w14:textId="1C14EBE4" w:rsidR="00EB0D2A" w:rsidRPr="006B3472" w:rsidRDefault="001B1191" w:rsidP="00EB0D2A">
      <w:pPr>
        <w:rPr>
          <w:color w:val="000000" w:themeColor="text1"/>
        </w:rPr>
      </w:pPr>
      <w:r>
        <w:t>I</w:t>
      </w:r>
      <w:r w:rsidR="00EB0D2A">
        <w:t xml:space="preserve">nterviews revealed </w:t>
      </w:r>
      <w:r w:rsidR="00EB0D2A">
        <w:rPr>
          <w:rFonts w:eastAsiaTheme="minorEastAsia"/>
        </w:rPr>
        <w:t xml:space="preserve">a perception by both staff and consultants </w:t>
      </w:r>
      <w:r w:rsidR="00EB0D2A" w:rsidRPr="000A2954">
        <w:rPr>
          <w:rFonts w:eastAsiaTheme="minorEastAsia"/>
        </w:rPr>
        <w:t xml:space="preserve">that </w:t>
      </w:r>
      <w:r w:rsidR="00EB0D2A">
        <w:rPr>
          <w:rFonts w:eastAsiaTheme="minorEastAsia"/>
        </w:rPr>
        <w:t xml:space="preserve">there is often a trade-off between the </w:t>
      </w:r>
      <w:r>
        <w:rPr>
          <w:rFonts w:eastAsiaTheme="minorEastAsia"/>
        </w:rPr>
        <w:t>quantity of evaluations produced and evaluation quality</w:t>
      </w:r>
      <w:r w:rsidR="00EB0D2A">
        <w:rPr>
          <w:rFonts w:eastAsiaTheme="minorEastAsia"/>
        </w:rPr>
        <w:t>.</w:t>
      </w:r>
      <w:r w:rsidR="00A74814">
        <w:rPr>
          <w:rFonts w:eastAsiaTheme="minorEastAsia"/>
        </w:rPr>
        <w:t xml:space="preserve"> </w:t>
      </w:r>
      <w:r w:rsidR="00EB0D2A">
        <w:rPr>
          <w:rFonts w:eastAsiaTheme="minorEastAsia"/>
        </w:rPr>
        <w:t>In particular, c</w:t>
      </w:r>
      <w:r w:rsidR="00EB0D2A">
        <w:t>oncerns were raised that pressure on Australian aid program staff to deliver more evaluations has meant that specialised evaluation skills are stretched.</w:t>
      </w:r>
      <w:r w:rsidR="00A74814">
        <w:t xml:space="preserve"> </w:t>
      </w:r>
      <w:r w:rsidR="00EB0D2A">
        <w:t>Less experienced staff and staff without specialist evaluation skills are being required to commission and manage evaluations.</w:t>
      </w:r>
      <w:r w:rsidR="00A74814">
        <w:t xml:space="preserve"> </w:t>
      </w:r>
      <w:r w:rsidR="00EB0D2A">
        <w:rPr>
          <w:rFonts w:eastAsiaTheme="minorEastAsia"/>
        </w:rPr>
        <w:t>Some interviewees (including senior managers) noted that sometimes</w:t>
      </w:r>
      <w:r w:rsidR="00A202BA">
        <w:rPr>
          <w:rFonts w:eastAsiaTheme="minorEastAsia"/>
        </w:rPr>
        <w:t>,</w:t>
      </w:r>
      <w:r w:rsidR="00EB0D2A">
        <w:rPr>
          <w:rFonts w:eastAsiaTheme="minorEastAsia"/>
        </w:rPr>
        <w:t xml:space="preserve"> due to other work pressures</w:t>
      </w:r>
      <w:r w:rsidR="00A202BA">
        <w:rPr>
          <w:rFonts w:eastAsiaTheme="minorEastAsia"/>
        </w:rPr>
        <w:t>,</w:t>
      </w:r>
      <w:r w:rsidR="00EB0D2A">
        <w:rPr>
          <w:rFonts w:eastAsiaTheme="minorEastAsia"/>
        </w:rPr>
        <w:t xml:space="preserve"> the management of evaluations was given to relatively junior staff who d</w:t>
      </w:r>
      <w:r w:rsidR="00A202BA">
        <w:rPr>
          <w:rFonts w:eastAsiaTheme="minorEastAsia"/>
        </w:rPr>
        <w:t>id</w:t>
      </w:r>
      <w:r w:rsidR="00EB0D2A">
        <w:rPr>
          <w:rFonts w:eastAsiaTheme="minorEastAsia"/>
        </w:rPr>
        <w:t xml:space="preserve"> not feel well</w:t>
      </w:r>
      <w:r w:rsidR="00120046">
        <w:rPr>
          <w:rFonts w:eastAsiaTheme="minorEastAsia"/>
        </w:rPr>
        <w:t xml:space="preserve"> </w:t>
      </w:r>
      <w:r w:rsidR="00EB0D2A">
        <w:rPr>
          <w:rFonts w:eastAsiaTheme="minorEastAsia"/>
        </w:rPr>
        <w:t>equipped for this task.</w:t>
      </w:r>
      <w:r w:rsidR="00A74814">
        <w:rPr>
          <w:rFonts w:eastAsiaTheme="minorEastAsia"/>
        </w:rPr>
        <w:t xml:space="preserve"> </w:t>
      </w:r>
      <w:r w:rsidR="00EB0D2A">
        <w:t xml:space="preserve">Without </w:t>
      </w:r>
      <w:r w:rsidR="00EB0D2A" w:rsidRPr="00CB691E">
        <w:rPr>
          <w:color w:val="000000" w:themeColor="text1"/>
        </w:rPr>
        <w:t xml:space="preserve">adequate technical support, evaluation quality </w:t>
      </w:r>
      <w:r w:rsidR="00EB0D2A">
        <w:rPr>
          <w:color w:val="000000" w:themeColor="text1"/>
        </w:rPr>
        <w:t>can</w:t>
      </w:r>
      <w:r w:rsidR="00EB0D2A" w:rsidRPr="006B3472">
        <w:rPr>
          <w:color w:val="000000" w:themeColor="text1"/>
        </w:rPr>
        <w:t xml:space="preserve"> be negatively affected.</w:t>
      </w:r>
    </w:p>
    <w:p w14:paraId="7EB4A461" w14:textId="77777777" w:rsidR="006B3472" w:rsidRPr="006B3472" w:rsidRDefault="006B3472" w:rsidP="006B3472">
      <w:pPr>
        <w:rPr>
          <w:color w:val="000000" w:themeColor="text1"/>
        </w:rPr>
      </w:pPr>
      <w:r w:rsidRPr="006B3472">
        <w:rPr>
          <w:color w:val="000000" w:themeColor="text1"/>
        </w:rPr>
        <w:t xml:space="preserve">One senior manager expressed these concerns about </w:t>
      </w:r>
      <w:r w:rsidRPr="006B3472">
        <w:rPr>
          <w:rFonts w:eastAsiaTheme="minorEastAsia"/>
          <w:color w:val="000000" w:themeColor="text1"/>
        </w:rPr>
        <w:t xml:space="preserve">the </w:t>
      </w:r>
      <w:r w:rsidRPr="006B3472">
        <w:rPr>
          <w:color w:val="000000" w:themeColor="text1"/>
        </w:rPr>
        <w:t>Australian aid program</w:t>
      </w:r>
      <w:r w:rsidR="00744801">
        <w:rPr>
          <w:color w:val="000000" w:themeColor="text1"/>
        </w:rPr>
        <w:t>’</w:t>
      </w:r>
      <w:r w:rsidRPr="006B3472">
        <w:rPr>
          <w:color w:val="000000" w:themeColor="text1"/>
        </w:rPr>
        <w:t>s overall evaluation capacity:</w:t>
      </w:r>
      <w:r w:rsidR="00A74814">
        <w:rPr>
          <w:color w:val="000000" w:themeColor="text1"/>
        </w:rPr>
        <w:t xml:space="preserve"> </w:t>
      </w:r>
    </w:p>
    <w:p w14:paraId="731308AF" w14:textId="2B3236D3" w:rsidR="006B3472" w:rsidRPr="006B3472" w:rsidRDefault="006B3472" w:rsidP="00DB1E64">
      <w:pPr>
        <w:pStyle w:val="Quotetext"/>
      </w:pPr>
      <w:r w:rsidRPr="006B3472">
        <w:t>The rapid growth in [the Australian aid program] is stretching us.</w:t>
      </w:r>
      <w:r w:rsidR="00A74814">
        <w:t xml:space="preserve"> </w:t>
      </w:r>
      <w:r w:rsidRPr="006B3472">
        <w:t>There is good ambition in the agenda, but we don</w:t>
      </w:r>
      <w:r w:rsidR="00744801">
        <w:t>’</w:t>
      </w:r>
      <w:r w:rsidRPr="006B3472">
        <w:t>t necessarily have the internal skills and systems to support this ambition…</w:t>
      </w:r>
      <w:r w:rsidR="00120046">
        <w:t xml:space="preserve"> </w:t>
      </w:r>
      <w:r w:rsidRPr="006B3472">
        <w:t>The key is how can we do better, by doing slightly less.</w:t>
      </w:r>
      <w:r w:rsidR="00A74814">
        <w:t xml:space="preserve"> </w:t>
      </w:r>
      <w:r w:rsidRPr="006B3472">
        <w:t>Everyone wants to do more, but there is a real risk that this will sap the ability of posts to get value out of this.</w:t>
      </w:r>
      <w:r w:rsidR="00A74814">
        <w:t xml:space="preserve"> </w:t>
      </w:r>
      <w:r w:rsidRPr="006B3472">
        <w:t>The more we mandate, the more we insist on templates, the less learning we</w:t>
      </w:r>
      <w:r w:rsidR="00744801">
        <w:t>’</w:t>
      </w:r>
      <w:r w:rsidRPr="006B3472">
        <w:t>ll see. An evaluator comes in with external eyes and provides lots of learning.</w:t>
      </w:r>
      <w:r w:rsidR="00A74814">
        <w:t xml:space="preserve"> </w:t>
      </w:r>
      <w:r w:rsidRPr="006B3472">
        <w:t>We need to make evaluations more focused, and make it easier for posts to do these.</w:t>
      </w:r>
    </w:p>
    <w:bookmarkEnd w:id="175"/>
    <w:bookmarkEnd w:id="176"/>
    <w:p w14:paraId="3C410DB2" w14:textId="77777777" w:rsidR="00EB0D2A" w:rsidRDefault="00EB0D2A" w:rsidP="00EB0D2A">
      <w:r w:rsidRPr="006B3472">
        <w:rPr>
          <w:color w:val="000000" w:themeColor="text1"/>
        </w:rPr>
        <w:t xml:space="preserve">While acknowledging that there is now greater technical support for evaluations commissioned by posts </w:t>
      </w:r>
      <w:r>
        <w:t>than in the past, some staff interviewed noted that the high turnover of staff in posts meant that there was a continuing need for technical support.</w:t>
      </w:r>
      <w:r w:rsidR="00A74814">
        <w:t xml:space="preserve"> </w:t>
      </w:r>
      <w:r>
        <w:t>Some junior staff interviewed requested more basic evaluation training as part of their induction, as well as more hands-on tailored support for specific evaluations.</w:t>
      </w:r>
      <w:r w:rsidR="00974B77">
        <w:t xml:space="preserve"> </w:t>
      </w:r>
    </w:p>
    <w:p w14:paraId="26B743B3" w14:textId="77777777" w:rsidR="00D74F08" w:rsidRDefault="00354D86" w:rsidP="00140CAA">
      <w:pPr>
        <w:pStyle w:val="Heading3"/>
        <w:rPr>
          <w:rFonts w:eastAsiaTheme="majorEastAsia"/>
        </w:rPr>
      </w:pPr>
      <w:r>
        <w:rPr>
          <w:rFonts w:eastAsiaTheme="majorEastAsia"/>
        </w:rPr>
        <w:t>E</w:t>
      </w:r>
      <w:r w:rsidR="008801E4">
        <w:rPr>
          <w:rFonts w:eastAsiaTheme="majorEastAsia"/>
        </w:rPr>
        <w:t>valuation culture</w:t>
      </w:r>
    </w:p>
    <w:p w14:paraId="5FAD024B" w14:textId="0FD302EB" w:rsidR="005562B7" w:rsidRPr="006D6D7B" w:rsidRDefault="001B1191" w:rsidP="005562B7">
      <w:pPr>
        <w:rPr>
          <w:rFonts w:eastAsiaTheme="minorEastAsia"/>
          <w:color w:val="000000" w:themeColor="text1"/>
        </w:rPr>
      </w:pPr>
      <w:r>
        <w:t>Comments from m</w:t>
      </w:r>
      <w:r w:rsidR="00EB0D2A">
        <w:t>any interviewed</w:t>
      </w:r>
      <w:r w:rsidR="00EB0D2A">
        <w:rPr>
          <w:rFonts w:eastAsiaTheme="minorEastAsia"/>
        </w:rPr>
        <w:t xml:space="preserve"> staff and consultants suggested</w:t>
      </w:r>
      <w:r w:rsidR="00A202BA">
        <w:rPr>
          <w:rFonts w:eastAsiaTheme="minorEastAsia"/>
        </w:rPr>
        <w:t xml:space="preserve"> that</w:t>
      </w:r>
      <w:r w:rsidR="00EB0D2A">
        <w:rPr>
          <w:rFonts w:eastAsiaTheme="minorEastAsia"/>
        </w:rPr>
        <w:t xml:space="preserve"> the value of evaluation as a </w:t>
      </w:r>
      <w:r w:rsidR="00EB0D2A">
        <w:rPr>
          <w:rFonts w:eastAsiaTheme="minorEastAsia"/>
          <w:color w:val="000000" w:themeColor="text1"/>
        </w:rPr>
        <w:t xml:space="preserve">tool for </w:t>
      </w:r>
      <w:r w:rsidR="00EB0D2A" w:rsidRPr="008976F9">
        <w:rPr>
          <w:rFonts w:eastAsiaTheme="minorEastAsia"/>
          <w:color w:val="000000" w:themeColor="text1"/>
        </w:rPr>
        <w:t xml:space="preserve">performance management </w:t>
      </w:r>
      <w:r w:rsidR="00EB0D2A">
        <w:rPr>
          <w:rFonts w:eastAsiaTheme="minorEastAsia"/>
          <w:color w:val="000000" w:themeColor="text1"/>
        </w:rPr>
        <w:t>and learning is</w:t>
      </w:r>
      <w:r w:rsidR="00EB0D2A" w:rsidRPr="008976F9">
        <w:rPr>
          <w:rFonts w:eastAsiaTheme="minorEastAsia"/>
          <w:color w:val="000000" w:themeColor="text1"/>
        </w:rPr>
        <w:t xml:space="preserve"> not being</w:t>
      </w:r>
      <w:r w:rsidR="00EB0D2A">
        <w:rPr>
          <w:rFonts w:eastAsiaTheme="minorEastAsia"/>
          <w:color w:val="000000" w:themeColor="text1"/>
        </w:rPr>
        <w:t xml:space="preserve"> fully</w:t>
      </w:r>
      <w:r w:rsidR="00EB0D2A" w:rsidRPr="008976F9">
        <w:rPr>
          <w:rFonts w:eastAsiaTheme="minorEastAsia"/>
          <w:color w:val="000000" w:themeColor="text1"/>
        </w:rPr>
        <w:t xml:space="preserve"> realised</w:t>
      </w:r>
      <w:r w:rsidR="00EB0D2A">
        <w:rPr>
          <w:rFonts w:eastAsiaTheme="minorEastAsia"/>
          <w:color w:val="000000" w:themeColor="text1"/>
        </w:rPr>
        <w:t>.</w:t>
      </w:r>
      <w:r w:rsidR="00A74814">
        <w:rPr>
          <w:rFonts w:eastAsiaTheme="minorEastAsia"/>
          <w:color w:val="000000" w:themeColor="text1"/>
        </w:rPr>
        <w:t xml:space="preserve"> </w:t>
      </w:r>
      <w:r w:rsidR="005562B7" w:rsidRPr="005562B7">
        <w:rPr>
          <w:color w:val="000000" w:themeColor="text1"/>
        </w:rPr>
        <w:t>Several interviewed aid managers expressed the view that evaluations are frequently undertaken only to comply with requirements, and that learning from evaluations could be improved both for individual aid managers and collectively across the aid program.</w:t>
      </w:r>
      <w:r w:rsidR="00A74814">
        <w:rPr>
          <w:color w:val="000000" w:themeColor="text1"/>
        </w:rPr>
        <w:t xml:space="preserve"> </w:t>
      </w:r>
      <w:r w:rsidR="005562B7">
        <w:rPr>
          <w:rFonts w:eastAsiaTheme="minorEastAsia"/>
          <w:color w:val="000000" w:themeColor="text1"/>
        </w:rPr>
        <w:t xml:space="preserve">There was a perception that, at present, the aid program </w:t>
      </w:r>
      <w:r w:rsidR="00A202BA">
        <w:rPr>
          <w:rFonts w:eastAsiaTheme="minorEastAsia"/>
          <w:color w:val="000000" w:themeColor="text1"/>
        </w:rPr>
        <w:t xml:space="preserve">may </w:t>
      </w:r>
      <w:r w:rsidR="005562B7">
        <w:rPr>
          <w:rFonts w:eastAsiaTheme="minorEastAsia"/>
          <w:color w:val="000000" w:themeColor="text1"/>
        </w:rPr>
        <w:t>be commissioning more evaluations than it can effectively learn from.</w:t>
      </w:r>
      <w:r w:rsidR="00A74814">
        <w:rPr>
          <w:rFonts w:eastAsiaTheme="minorEastAsia"/>
          <w:color w:val="000000" w:themeColor="text1"/>
        </w:rPr>
        <w:t xml:space="preserve"> </w:t>
      </w:r>
      <w:r w:rsidR="006B3472">
        <w:rPr>
          <w:rFonts w:eastAsiaTheme="minorEastAsia"/>
          <w:color w:val="000000" w:themeColor="text1"/>
        </w:rPr>
        <w:t xml:space="preserve">The following </w:t>
      </w:r>
      <w:r w:rsidR="006B3472" w:rsidRPr="006D6D7B">
        <w:rPr>
          <w:rFonts w:eastAsiaTheme="minorEastAsia"/>
          <w:color w:val="000000" w:themeColor="text1"/>
        </w:rPr>
        <w:t>quot</w:t>
      </w:r>
      <w:r w:rsidR="00A202BA">
        <w:rPr>
          <w:rFonts w:eastAsiaTheme="minorEastAsia"/>
          <w:color w:val="000000" w:themeColor="text1"/>
        </w:rPr>
        <w:t>ations</w:t>
      </w:r>
      <w:r w:rsidR="006B3472" w:rsidRPr="006D6D7B">
        <w:rPr>
          <w:rFonts w:eastAsiaTheme="minorEastAsia"/>
          <w:color w:val="000000" w:themeColor="text1"/>
        </w:rPr>
        <w:t xml:space="preserve"> from interviews show this tension:</w:t>
      </w:r>
    </w:p>
    <w:p w14:paraId="4DD6AD15" w14:textId="77777777" w:rsidR="002C1DF9" w:rsidRDefault="002C1DF9">
      <w:pPr>
        <w:spacing w:before="0" w:after="0" w:line="240" w:lineRule="auto"/>
        <w:rPr>
          <w:rStyle w:val="QuotetextChar"/>
        </w:rPr>
      </w:pPr>
      <w:r>
        <w:rPr>
          <w:rStyle w:val="QuotetextChar"/>
        </w:rPr>
        <w:br w:type="page"/>
      </w:r>
    </w:p>
    <w:p w14:paraId="5ADF410F" w14:textId="00B228DF" w:rsidR="000F2374" w:rsidRDefault="006B3472" w:rsidP="006D6D7B">
      <w:pPr>
        <w:spacing w:after="240"/>
        <w:ind w:left="567" w:right="816"/>
        <w:rPr>
          <w:i/>
          <w:color w:val="000000" w:themeColor="text1"/>
        </w:rPr>
      </w:pPr>
      <w:r w:rsidRPr="00DB1E64">
        <w:rPr>
          <w:rStyle w:val="QuotetextChar"/>
        </w:rPr>
        <w:lastRenderedPageBreak/>
        <w:t xml:space="preserve">AusAID is one of the most evaluation heavy agencies, and we commission independent evaluation and approaches as a </w:t>
      </w:r>
      <w:r w:rsidR="00744801" w:rsidRPr="00DB1E64">
        <w:rPr>
          <w:rStyle w:val="QuotetextChar"/>
        </w:rPr>
        <w:t>‘</w:t>
      </w:r>
      <w:r w:rsidRPr="00DB1E64">
        <w:rPr>
          <w:rStyle w:val="QuotetextChar"/>
        </w:rPr>
        <w:t>tick-box</w:t>
      </w:r>
      <w:r w:rsidR="00744801" w:rsidRPr="00DB1E64">
        <w:rPr>
          <w:rStyle w:val="QuotetextChar"/>
        </w:rPr>
        <w:t>’</w:t>
      </w:r>
      <w:r w:rsidRPr="00DB1E64">
        <w:rPr>
          <w:rStyle w:val="QuotetextChar"/>
        </w:rPr>
        <w:t xml:space="preserve"> exercise.</w:t>
      </w:r>
      <w:r w:rsidR="00A74814" w:rsidRPr="00DB1E64">
        <w:rPr>
          <w:rStyle w:val="QuotetextChar"/>
        </w:rPr>
        <w:t xml:space="preserve"> </w:t>
      </w:r>
      <w:r w:rsidRPr="00DB1E64">
        <w:rPr>
          <w:rStyle w:val="QuotetextChar"/>
        </w:rPr>
        <w:t>Reports are shelved.</w:t>
      </w:r>
      <w:r w:rsidR="00A74814" w:rsidRPr="00DB1E64">
        <w:rPr>
          <w:rStyle w:val="QuotetextChar"/>
        </w:rPr>
        <w:t xml:space="preserve"> </w:t>
      </w:r>
      <w:r w:rsidRPr="00DB1E64">
        <w:rPr>
          <w:rStyle w:val="QuotetextChar"/>
        </w:rPr>
        <w:t>No one reads them.</w:t>
      </w:r>
      <w:r w:rsidR="00A74814" w:rsidRPr="00DB1E64">
        <w:rPr>
          <w:rStyle w:val="QuotetextChar"/>
        </w:rPr>
        <w:t xml:space="preserve"> </w:t>
      </w:r>
      <w:r w:rsidRPr="00DB1E64">
        <w:rPr>
          <w:rStyle w:val="QuotetextChar"/>
        </w:rPr>
        <w:t>I think there is far too much emphasis on evaluation at the expense of monitoring.</w:t>
      </w:r>
      <w:r w:rsidR="00A74814" w:rsidRPr="00DB1E64">
        <w:rPr>
          <w:rStyle w:val="QuotetextChar"/>
        </w:rPr>
        <w:t xml:space="preserve"> </w:t>
      </w:r>
      <w:r w:rsidRPr="00DB1E64">
        <w:rPr>
          <w:rStyle w:val="QuotetextChar"/>
        </w:rPr>
        <w:t>If it weren</w:t>
      </w:r>
      <w:r w:rsidR="00744801" w:rsidRPr="00DB1E64">
        <w:rPr>
          <w:rStyle w:val="QuotetextChar"/>
        </w:rPr>
        <w:t>’</w:t>
      </w:r>
      <w:r w:rsidRPr="00DB1E64">
        <w:rPr>
          <w:rStyle w:val="QuotetextChar"/>
        </w:rPr>
        <w:t xml:space="preserve">t such an </w:t>
      </w:r>
      <w:r w:rsidR="00744801" w:rsidRPr="00DB1E64">
        <w:rPr>
          <w:rStyle w:val="QuotetextChar"/>
        </w:rPr>
        <w:t>‘</w:t>
      </w:r>
      <w:r w:rsidRPr="00DB1E64">
        <w:rPr>
          <w:rStyle w:val="QuotetextChar"/>
        </w:rPr>
        <w:t>evaluation heavy</w:t>
      </w:r>
      <w:r w:rsidR="00744801" w:rsidRPr="00DB1E64">
        <w:rPr>
          <w:rStyle w:val="QuotetextChar"/>
        </w:rPr>
        <w:t>’</w:t>
      </w:r>
      <w:r w:rsidRPr="00DB1E64">
        <w:rPr>
          <w:rStyle w:val="QuotetextChar"/>
        </w:rPr>
        <w:t xml:space="preserve"> culture, when it does come to evaluation there wouldn</w:t>
      </w:r>
      <w:r w:rsidR="00744801" w:rsidRPr="00DB1E64">
        <w:rPr>
          <w:rStyle w:val="QuotetextChar"/>
        </w:rPr>
        <w:t>’</w:t>
      </w:r>
      <w:r w:rsidRPr="00DB1E64">
        <w:rPr>
          <w:rStyle w:val="QuotetextChar"/>
        </w:rPr>
        <w:t>t be such a gap in information.</w:t>
      </w:r>
      <w:r w:rsidR="00A74814">
        <w:rPr>
          <w:i/>
          <w:color w:val="000000" w:themeColor="text1"/>
        </w:rPr>
        <w:t xml:space="preserve"> </w:t>
      </w:r>
    </w:p>
    <w:p w14:paraId="0B3DD00A" w14:textId="43B6B19F" w:rsidR="006B3472" w:rsidRPr="002005D6" w:rsidRDefault="006D6D7B" w:rsidP="002005D6">
      <w:pPr>
        <w:pStyle w:val="QuoteSource"/>
      </w:pPr>
      <w:r w:rsidRPr="002005D6">
        <w:t>(</w:t>
      </w:r>
      <w:r w:rsidR="000F2374" w:rsidRPr="002005D6">
        <w:t>I</w:t>
      </w:r>
      <w:r w:rsidRPr="002005D6">
        <w:t>nitiative manager)</w:t>
      </w:r>
    </w:p>
    <w:p w14:paraId="46B83D1C" w14:textId="0131CF6B" w:rsidR="000F2374" w:rsidRDefault="006B3472" w:rsidP="006B3472">
      <w:pPr>
        <w:spacing w:after="240"/>
        <w:ind w:left="567" w:right="816"/>
        <w:rPr>
          <w:i/>
          <w:color w:val="000000" w:themeColor="text1"/>
        </w:rPr>
      </w:pPr>
      <w:r w:rsidRPr="00DB1E64">
        <w:rPr>
          <w:rStyle w:val="QuotetextChar"/>
        </w:rPr>
        <w:t xml:space="preserve">AusAID culture is more a </w:t>
      </w:r>
      <w:r w:rsidR="00744801" w:rsidRPr="00DB1E64">
        <w:rPr>
          <w:rStyle w:val="QuotetextChar"/>
        </w:rPr>
        <w:t>‘</w:t>
      </w:r>
      <w:r w:rsidRPr="00DB1E64">
        <w:rPr>
          <w:rStyle w:val="QuotetextChar"/>
        </w:rPr>
        <w:t>tick box and put on shelf</w:t>
      </w:r>
      <w:r w:rsidR="00744801" w:rsidRPr="00DB1E64">
        <w:rPr>
          <w:rStyle w:val="QuotetextChar"/>
        </w:rPr>
        <w:t>’</w:t>
      </w:r>
      <w:r w:rsidRPr="00DB1E64">
        <w:rPr>
          <w:rStyle w:val="QuotetextChar"/>
        </w:rPr>
        <w:t xml:space="preserve"> attitude to evaluations. AusAID needs to be more organic, and feed lessons learned into the agency better.</w:t>
      </w:r>
      <w:r w:rsidR="00A74814" w:rsidRPr="00DB1E64">
        <w:rPr>
          <w:rStyle w:val="QuotetextChar"/>
        </w:rPr>
        <w:t xml:space="preserve"> </w:t>
      </w:r>
      <w:r w:rsidRPr="00DB1E64">
        <w:rPr>
          <w:rStyle w:val="QuotetextChar"/>
        </w:rPr>
        <w:t>We don</w:t>
      </w:r>
      <w:r w:rsidR="00744801" w:rsidRPr="00DB1E64">
        <w:rPr>
          <w:rStyle w:val="QuotetextChar"/>
        </w:rPr>
        <w:t>’</w:t>
      </w:r>
      <w:r w:rsidRPr="00DB1E64">
        <w:rPr>
          <w:rStyle w:val="QuotetextChar"/>
        </w:rPr>
        <w:t>t have systems to capture lessons or feed them into programming. So we should pull together evaluations and then target users.</w:t>
      </w:r>
      <w:r w:rsidR="00A74814">
        <w:rPr>
          <w:i/>
          <w:color w:val="000000" w:themeColor="text1"/>
        </w:rPr>
        <w:t xml:space="preserve"> </w:t>
      </w:r>
    </w:p>
    <w:p w14:paraId="5D62CC79" w14:textId="6EEEE5E7" w:rsidR="006B3472" w:rsidRPr="00D8081A" w:rsidRDefault="006D6D7B" w:rsidP="00D8081A">
      <w:pPr>
        <w:pStyle w:val="QuoteSource"/>
      </w:pPr>
      <w:r w:rsidRPr="00D8081A">
        <w:t>(</w:t>
      </w:r>
      <w:r w:rsidR="000F2374" w:rsidRPr="00D8081A">
        <w:t>I</w:t>
      </w:r>
      <w:r w:rsidRPr="00D8081A">
        <w:t>nitiative manager)</w:t>
      </w:r>
    </w:p>
    <w:p w14:paraId="662BA6FF" w14:textId="5DF6CB4C" w:rsidR="000F2374" w:rsidRDefault="006B3472" w:rsidP="006B3472">
      <w:pPr>
        <w:spacing w:after="240"/>
        <w:ind w:left="567" w:right="816"/>
        <w:rPr>
          <w:rStyle w:val="QuotetextChar"/>
        </w:rPr>
      </w:pPr>
      <w:r w:rsidRPr="00DB1E64">
        <w:rPr>
          <w:rStyle w:val="QuotetextChar"/>
        </w:rPr>
        <w:t>If the managers see the merit, they can get an awful lot out of an evaluation.</w:t>
      </w:r>
      <w:r w:rsidR="00A74814" w:rsidRPr="00DB1E64">
        <w:rPr>
          <w:rStyle w:val="QuotetextChar"/>
        </w:rPr>
        <w:t xml:space="preserve"> </w:t>
      </w:r>
      <w:r w:rsidRPr="00DB1E64">
        <w:rPr>
          <w:rStyle w:val="QuotetextChar"/>
        </w:rPr>
        <w:t xml:space="preserve">But if they delegate the management of evaluations to junior staff who do not understand the scope of what is being achieved then the result is more likely a </w:t>
      </w:r>
      <w:r w:rsidR="00744801" w:rsidRPr="00DB1E64">
        <w:rPr>
          <w:rStyle w:val="QuotetextChar"/>
        </w:rPr>
        <w:t>‘</w:t>
      </w:r>
      <w:r w:rsidRPr="00DB1E64">
        <w:rPr>
          <w:rStyle w:val="QuotetextChar"/>
        </w:rPr>
        <w:t>box ticking</w:t>
      </w:r>
      <w:r w:rsidR="00744801" w:rsidRPr="00DB1E64">
        <w:rPr>
          <w:rStyle w:val="QuotetextChar"/>
        </w:rPr>
        <w:t>’</w:t>
      </w:r>
      <w:r w:rsidRPr="00DB1E64">
        <w:rPr>
          <w:rStyle w:val="QuotetextChar"/>
        </w:rPr>
        <w:t xml:space="preserve"> exercise. We therefore have a product [evaluation reports] that is highly variable.</w:t>
      </w:r>
    </w:p>
    <w:p w14:paraId="324B2AAE" w14:textId="56843807" w:rsidR="006B3472" w:rsidRPr="00D8081A" w:rsidRDefault="006B3472" w:rsidP="00D8081A">
      <w:pPr>
        <w:pStyle w:val="QuoteSource"/>
      </w:pPr>
      <w:r w:rsidRPr="00D8081A">
        <w:t>(</w:t>
      </w:r>
      <w:r w:rsidR="000F2374" w:rsidRPr="00D8081A">
        <w:t>S</w:t>
      </w:r>
      <w:r w:rsidRPr="00D8081A">
        <w:t xml:space="preserve">enior </w:t>
      </w:r>
      <w:r w:rsidR="006D6D7B" w:rsidRPr="00D8081A">
        <w:t>m</w:t>
      </w:r>
      <w:r w:rsidRPr="00D8081A">
        <w:t>anager)</w:t>
      </w:r>
    </w:p>
    <w:p w14:paraId="08B11E32" w14:textId="4A188168" w:rsidR="00974B77" w:rsidRDefault="00974B77" w:rsidP="00974B77">
      <w:pPr>
        <w:rPr>
          <w:rFonts w:eastAsiaTheme="minorEastAsia"/>
          <w:color w:val="000000" w:themeColor="text1"/>
        </w:rPr>
      </w:pPr>
      <w:r>
        <w:rPr>
          <w:rFonts w:eastAsiaTheme="minorEastAsia"/>
          <w:color w:val="000000" w:themeColor="text1"/>
        </w:rPr>
        <w:t>Our evidence and analysis suggests</w:t>
      </w:r>
      <w:r w:rsidRPr="006D6D7B">
        <w:rPr>
          <w:rFonts w:eastAsiaTheme="minorEastAsia"/>
          <w:color w:val="000000" w:themeColor="text1"/>
        </w:rPr>
        <w:t xml:space="preserve"> that current organisational incentives </w:t>
      </w:r>
      <w:r>
        <w:rPr>
          <w:rFonts w:eastAsiaTheme="minorEastAsia"/>
          <w:color w:val="000000" w:themeColor="text1"/>
        </w:rPr>
        <w:t xml:space="preserve">risk </w:t>
      </w:r>
      <w:r w:rsidRPr="006D6D7B">
        <w:rPr>
          <w:rFonts w:eastAsiaTheme="minorEastAsia"/>
          <w:color w:val="000000" w:themeColor="text1"/>
        </w:rPr>
        <w:t>promot</w:t>
      </w:r>
      <w:r>
        <w:rPr>
          <w:rFonts w:eastAsiaTheme="minorEastAsia"/>
          <w:color w:val="000000" w:themeColor="text1"/>
        </w:rPr>
        <w:t>ing a compliance-driven approach to evaluation</w:t>
      </w:r>
      <w:r w:rsidRPr="006D6D7B">
        <w:rPr>
          <w:rFonts w:eastAsiaTheme="minorEastAsia"/>
          <w:color w:val="000000" w:themeColor="text1"/>
        </w:rPr>
        <w:t xml:space="preserve"> at the expense of </w:t>
      </w:r>
      <w:r>
        <w:rPr>
          <w:rFonts w:eastAsiaTheme="minorEastAsia"/>
          <w:color w:val="000000" w:themeColor="text1"/>
        </w:rPr>
        <w:t>developing a culture of learning from evaluations.</w:t>
      </w:r>
      <w:r w:rsidR="00A74814">
        <w:rPr>
          <w:rFonts w:eastAsiaTheme="minorEastAsia"/>
          <w:color w:val="000000" w:themeColor="text1"/>
        </w:rPr>
        <w:t xml:space="preserve"> </w:t>
      </w:r>
    </w:p>
    <w:p w14:paraId="0DE0147F" w14:textId="021EAB55" w:rsidR="006B3472" w:rsidRDefault="00466087" w:rsidP="00916320">
      <w:pPr>
        <w:rPr>
          <w:color w:val="000000" w:themeColor="text1"/>
        </w:rPr>
      </w:pPr>
      <w:r>
        <w:rPr>
          <w:color w:val="000000" w:themeColor="text1"/>
        </w:rPr>
        <w:t>The senior management attitude to evaluation can be critical to determining whether e</w:t>
      </w:r>
      <w:r w:rsidR="00357B7D">
        <w:rPr>
          <w:color w:val="000000" w:themeColor="text1"/>
        </w:rPr>
        <w:t>valuation</w:t>
      </w:r>
      <w:r w:rsidR="006B3472" w:rsidRPr="00917876">
        <w:rPr>
          <w:color w:val="000000" w:themeColor="text1"/>
        </w:rPr>
        <w:t xml:space="preserve"> </w:t>
      </w:r>
      <w:r>
        <w:rPr>
          <w:color w:val="000000" w:themeColor="text1"/>
        </w:rPr>
        <w:t>is</w:t>
      </w:r>
      <w:r w:rsidR="006B3472" w:rsidRPr="00917876">
        <w:rPr>
          <w:color w:val="000000" w:themeColor="text1"/>
        </w:rPr>
        <w:t xml:space="preserve"> seen as </w:t>
      </w:r>
      <w:r w:rsidR="00744801">
        <w:rPr>
          <w:color w:val="000000" w:themeColor="text1"/>
        </w:rPr>
        <w:t>‘</w:t>
      </w:r>
      <w:r w:rsidR="006B3472" w:rsidRPr="00917876">
        <w:rPr>
          <w:color w:val="000000" w:themeColor="text1"/>
        </w:rPr>
        <w:t xml:space="preserve">just </w:t>
      </w:r>
      <w:r w:rsidR="006B3472" w:rsidRPr="006D6D7B">
        <w:rPr>
          <w:color w:val="000000" w:themeColor="text1"/>
        </w:rPr>
        <w:t xml:space="preserve">another </w:t>
      </w:r>
      <w:r w:rsidR="00357B7D">
        <w:rPr>
          <w:color w:val="000000" w:themeColor="text1"/>
        </w:rPr>
        <w:t>bureaucratic requirement</w:t>
      </w:r>
      <w:r w:rsidR="00744801">
        <w:rPr>
          <w:color w:val="000000" w:themeColor="text1"/>
        </w:rPr>
        <w:t>’</w:t>
      </w:r>
      <w:r w:rsidR="006B3472" w:rsidRPr="006D6D7B">
        <w:rPr>
          <w:color w:val="000000" w:themeColor="text1"/>
        </w:rPr>
        <w:t xml:space="preserve"> for initiative managers or as a critical opportunity both to learn from experience and </w:t>
      </w:r>
      <w:r w:rsidR="00A202BA">
        <w:rPr>
          <w:color w:val="000000" w:themeColor="text1"/>
        </w:rPr>
        <w:t xml:space="preserve">to </w:t>
      </w:r>
      <w:r w:rsidR="006B3472" w:rsidRPr="006D6D7B">
        <w:rPr>
          <w:color w:val="000000" w:themeColor="text1"/>
        </w:rPr>
        <w:t>improve outcomes.</w:t>
      </w:r>
      <w:r w:rsidR="00A74814">
        <w:rPr>
          <w:color w:val="000000" w:themeColor="text1"/>
        </w:rPr>
        <w:t xml:space="preserve"> </w:t>
      </w:r>
      <w:r w:rsidR="00357B7D" w:rsidRPr="00916320">
        <w:rPr>
          <w:color w:val="000000" w:themeColor="text1"/>
        </w:rPr>
        <w:t xml:space="preserve">The senior managers we interviewed were </w:t>
      </w:r>
      <w:r w:rsidR="00916320" w:rsidRPr="00916320">
        <w:rPr>
          <w:color w:val="000000" w:themeColor="text1"/>
        </w:rPr>
        <w:t xml:space="preserve">clear about the centrality of independent evaluation and the need for learning from </w:t>
      </w:r>
      <w:r w:rsidR="00561912">
        <w:rPr>
          <w:color w:val="000000" w:themeColor="text1"/>
        </w:rPr>
        <w:t>evaluations</w:t>
      </w:r>
      <w:r w:rsidR="00916320" w:rsidRPr="00916320">
        <w:rPr>
          <w:color w:val="000000" w:themeColor="text1"/>
        </w:rPr>
        <w:t xml:space="preserve">, and were </w:t>
      </w:r>
      <w:r w:rsidR="00357B7D" w:rsidRPr="00916320">
        <w:rPr>
          <w:color w:val="000000" w:themeColor="text1"/>
        </w:rPr>
        <w:t xml:space="preserve">able to pinpoint particular programs </w:t>
      </w:r>
      <w:r w:rsidR="00A202BA">
        <w:rPr>
          <w:color w:val="000000" w:themeColor="text1"/>
        </w:rPr>
        <w:t>that</w:t>
      </w:r>
      <w:r w:rsidR="00A202BA" w:rsidRPr="00916320">
        <w:rPr>
          <w:color w:val="000000" w:themeColor="text1"/>
        </w:rPr>
        <w:t xml:space="preserve"> </w:t>
      </w:r>
      <w:r w:rsidR="00357B7D" w:rsidRPr="00916320">
        <w:rPr>
          <w:color w:val="000000" w:themeColor="text1"/>
        </w:rPr>
        <w:t>they felt had made particularly good use of evaluations in planning future strategies and initiatives</w:t>
      </w:r>
      <w:r w:rsidR="00916320" w:rsidRPr="00916320">
        <w:rPr>
          <w:color w:val="000000" w:themeColor="text1"/>
        </w:rPr>
        <w:t>.</w:t>
      </w:r>
      <w:r w:rsidR="00A74814">
        <w:rPr>
          <w:color w:val="000000" w:themeColor="text1"/>
        </w:rPr>
        <w:t xml:space="preserve"> </w:t>
      </w:r>
      <w:r w:rsidR="00EB0D2A">
        <w:rPr>
          <w:color w:val="000000" w:themeColor="text1"/>
        </w:rPr>
        <w:t>As can be seen by the quot</w:t>
      </w:r>
      <w:r w:rsidR="00A202BA">
        <w:rPr>
          <w:color w:val="000000" w:themeColor="text1"/>
        </w:rPr>
        <w:t>ations</w:t>
      </w:r>
      <w:r w:rsidR="00EB0D2A">
        <w:rPr>
          <w:color w:val="000000" w:themeColor="text1"/>
        </w:rPr>
        <w:t xml:space="preserve"> above, not all staff appear </w:t>
      </w:r>
      <w:r w:rsidR="000F2374">
        <w:rPr>
          <w:color w:val="000000" w:themeColor="text1"/>
        </w:rPr>
        <w:t xml:space="preserve">to be </w:t>
      </w:r>
      <w:r w:rsidR="00EB0D2A">
        <w:rPr>
          <w:color w:val="000000" w:themeColor="text1"/>
        </w:rPr>
        <w:t>aware of these views of senior management.</w:t>
      </w:r>
    </w:p>
    <w:p w14:paraId="687F05AE" w14:textId="77777777" w:rsidR="00CB2084" w:rsidRPr="008801E4" w:rsidRDefault="00CB2084" w:rsidP="008801E4">
      <w:pPr>
        <w:pStyle w:val="Heading3"/>
        <w:rPr>
          <w:rFonts w:eastAsiaTheme="majorEastAsia"/>
        </w:rPr>
      </w:pPr>
      <w:r w:rsidRPr="008801E4">
        <w:rPr>
          <w:rFonts w:eastAsiaTheme="majorEastAsia"/>
        </w:rPr>
        <w:t>P</w:t>
      </w:r>
      <w:r w:rsidR="00EF297A">
        <w:rPr>
          <w:rFonts w:eastAsiaTheme="majorEastAsia"/>
        </w:rPr>
        <w:t>erceived p</w:t>
      </w:r>
      <w:r w:rsidRPr="008801E4">
        <w:rPr>
          <w:rFonts w:eastAsiaTheme="majorEastAsia"/>
        </w:rPr>
        <w:t>ressure to show positive results</w:t>
      </w:r>
    </w:p>
    <w:p w14:paraId="6C09D13B" w14:textId="46858BB5" w:rsidR="00EC1325" w:rsidRDefault="00EC1325" w:rsidP="00EC1325">
      <w:pPr>
        <w:rPr>
          <w:rFonts w:eastAsiaTheme="minorEastAsia"/>
        </w:rPr>
      </w:pPr>
      <w:r>
        <w:rPr>
          <w:rFonts w:eastAsiaTheme="minorEastAsia"/>
        </w:rPr>
        <w:t>I</w:t>
      </w:r>
      <w:r w:rsidR="008801E4">
        <w:rPr>
          <w:rFonts w:eastAsiaTheme="minorEastAsia"/>
        </w:rPr>
        <w:t>nterviews also revealed another tension that could be having an impact on both evaluation quality and utility</w:t>
      </w:r>
      <w:r w:rsidR="00A202BA">
        <w:rPr>
          <w:rFonts w:eastAsiaTheme="minorEastAsia"/>
        </w:rPr>
        <w:t xml:space="preserve">: </w:t>
      </w:r>
      <w:r>
        <w:rPr>
          <w:rFonts w:eastAsiaTheme="minorEastAsia"/>
        </w:rPr>
        <w:t xml:space="preserve">on one hand </w:t>
      </w:r>
      <w:r w:rsidR="008801E4">
        <w:rPr>
          <w:rFonts w:eastAsiaTheme="minorEastAsia"/>
        </w:rPr>
        <w:t>the need for robust evaluations to inform</w:t>
      </w:r>
      <w:r w:rsidR="00CB2084">
        <w:rPr>
          <w:rFonts w:eastAsiaTheme="minorEastAsia"/>
        </w:rPr>
        <w:t xml:space="preserve"> performance management and learning,</w:t>
      </w:r>
      <w:r>
        <w:rPr>
          <w:rFonts w:eastAsiaTheme="minorEastAsia"/>
        </w:rPr>
        <w:t xml:space="preserve"> and on the other</w:t>
      </w:r>
      <w:r w:rsidR="00A202BA">
        <w:rPr>
          <w:rFonts w:eastAsiaTheme="minorEastAsia"/>
        </w:rPr>
        <w:t xml:space="preserve"> hand</w:t>
      </w:r>
      <w:r w:rsidR="008801E4">
        <w:rPr>
          <w:rFonts w:eastAsiaTheme="minorEastAsia"/>
        </w:rPr>
        <w:t xml:space="preserve"> </w:t>
      </w:r>
      <w:r>
        <w:rPr>
          <w:rFonts w:eastAsiaTheme="minorEastAsia"/>
        </w:rPr>
        <w:t xml:space="preserve">a perceived </w:t>
      </w:r>
      <w:r w:rsidR="008801E4">
        <w:rPr>
          <w:rFonts w:eastAsiaTheme="minorEastAsia"/>
        </w:rPr>
        <w:t>pressure to show positive results for t</w:t>
      </w:r>
      <w:r>
        <w:rPr>
          <w:rFonts w:eastAsiaTheme="minorEastAsia"/>
        </w:rPr>
        <w:t xml:space="preserve">he Australian aid program, coupled with </w:t>
      </w:r>
      <w:r w:rsidR="00EF297A">
        <w:rPr>
          <w:rFonts w:eastAsiaTheme="minorEastAsia"/>
        </w:rPr>
        <w:t>demand</w:t>
      </w:r>
      <w:r>
        <w:rPr>
          <w:rFonts w:eastAsiaTheme="minorEastAsia"/>
        </w:rPr>
        <w:t xml:space="preserve"> for greater transparency.</w:t>
      </w:r>
    </w:p>
    <w:p w14:paraId="4FACA949" w14:textId="77777777" w:rsidR="00BF697D" w:rsidRDefault="00BF697D" w:rsidP="00EC1325">
      <w:r>
        <w:t xml:space="preserve">There was a surprising level of agreement between consultants and staff about the pressures they felt from a drive within the aid program to show positive results for the Australian taxpayer. Two consultants reflected on </w:t>
      </w:r>
      <w:r w:rsidRPr="005F56F5">
        <w:t xml:space="preserve">how these pressures might impact on the </w:t>
      </w:r>
      <w:r>
        <w:t xml:space="preserve">quality and </w:t>
      </w:r>
      <w:r w:rsidRPr="005F56F5">
        <w:t>independence of evaluation reports</w:t>
      </w:r>
      <w:r>
        <w:t>:</w:t>
      </w:r>
      <w:r w:rsidR="00A74814">
        <w:t xml:space="preserve"> </w:t>
      </w:r>
    </w:p>
    <w:p w14:paraId="2DE7423E" w14:textId="13D2766E" w:rsidR="00BF697D" w:rsidRDefault="00BF697D" w:rsidP="00DB1E64">
      <w:pPr>
        <w:pStyle w:val="Quotetext"/>
      </w:pPr>
      <w:r w:rsidRPr="00554CBB">
        <w:t>It</w:t>
      </w:r>
      <w:r w:rsidR="00744801">
        <w:t>’</w:t>
      </w:r>
      <w:r w:rsidRPr="00554CBB">
        <w:t xml:space="preserve">s inevitable that consultants </w:t>
      </w:r>
      <w:r w:rsidR="00744801">
        <w:t>‘</w:t>
      </w:r>
      <w:r w:rsidRPr="00554CBB">
        <w:t>listen to the corporate view</w:t>
      </w:r>
      <w:r w:rsidR="00744801">
        <w:t>’</w:t>
      </w:r>
      <w:r w:rsidRPr="00554CBB">
        <w:t xml:space="preserve"> and adjust findings to it.</w:t>
      </w:r>
    </w:p>
    <w:p w14:paraId="1BE50D82" w14:textId="75717515" w:rsidR="00BF697D" w:rsidRPr="00081671" w:rsidRDefault="00BF697D" w:rsidP="00DB1E64">
      <w:pPr>
        <w:pStyle w:val="Quotetext"/>
      </w:pPr>
      <w:r w:rsidRPr="00081671">
        <w:t>On the one hand we want to do the best job possible, but we also know we have to deliver a service…</w:t>
      </w:r>
      <w:r w:rsidR="00CC22D8">
        <w:t xml:space="preserve"> </w:t>
      </w:r>
      <w:r w:rsidRPr="00081671">
        <w:t>we have to understand what AusAID needs from the evaluation…</w:t>
      </w:r>
      <w:r w:rsidR="00CC22D8">
        <w:t xml:space="preserve"> </w:t>
      </w:r>
      <w:r w:rsidRPr="00081671">
        <w:t xml:space="preserve">there is lots of tension between what donor wants/expects and also the need to </w:t>
      </w:r>
      <w:r>
        <w:t>educate the donor about program</w:t>
      </w:r>
      <w:r w:rsidRPr="00081671">
        <w:t xml:space="preserve"> realities.</w:t>
      </w:r>
    </w:p>
    <w:p w14:paraId="3D43E48E" w14:textId="77777777" w:rsidR="00BF697D" w:rsidRDefault="00BF697D" w:rsidP="00BF697D">
      <w:r>
        <w:lastRenderedPageBreak/>
        <w:t>Senior aid executives also referred to the tension felt in the Australian aid program (as in most other donors and large international NGOs) between the twin pressures of greater transparency and the need to show positive results.</w:t>
      </w:r>
      <w:r w:rsidR="00A74814">
        <w:t xml:space="preserve"> </w:t>
      </w:r>
      <w:r>
        <w:t>However our interviews with senior managers suggested that</w:t>
      </w:r>
      <w:r w:rsidR="003A2E6D">
        <w:t>,</w:t>
      </w:r>
      <w:r>
        <w:t xml:space="preserve"> as one would expect in any large and dynamic organisation, there is no single </w:t>
      </w:r>
      <w:r w:rsidR="00744801">
        <w:t>‘</w:t>
      </w:r>
      <w:r>
        <w:t>corporate view</w:t>
      </w:r>
      <w:r w:rsidR="00744801">
        <w:t>’</w:t>
      </w:r>
      <w:r>
        <w:t>; indeed one senior manager saw the major challenge as identifying evaluators who d</w:t>
      </w:r>
      <w:r w:rsidR="00C043AF">
        <w:t>o</w:t>
      </w:r>
      <w:r>
        <w:t xml:space="preserve"> have the expertise and authority to be truly independent and </w:t>
      </w:r>
      <w:r w:rsidR="00C043AF">
        <w:t xml:space="preserve">to </w:t>
      </w:r>
      <w:r>
        <w:t>challenge conventional wisdom.</w:t>
      </w:r>
      <w:r w:rsidR="00A74814">
        <w:t xml:space="preserve"> </w:t>
      </w:r>
    </w:p>
    <w:p w14:paraId="70A3FB7E" w14:textId="00DD46CE" w:rsidR="00EB0D2A" w:rsidRDefault="00EB0D2A" w:rsidP="00EB0D2A">
      <w:pPr>
        <w:rPr>
          <w:color w:val="000000" w:themeColor="text1"/>
        </w:rPr>
      </w:pPr>
      <w:r w:rsidRPr="00B16EA2">
        <w:rPr>
          <w:color w:val="000000" w:themeColor="text1"/>
        </w:rPr>
        <w:t xml:space="preserve">While it is difficult to find strong evidence </w:t>
      </w:r>
      <w:r>
        <w:rPr>
          <w:color w:val="000000" w:themeColor="text1"/>
        </w:rPr>
        <w:t>on the extent to which</w:t>
      </w:r>
      <w:r w:rsidRPr="00B16EA2">
        <w:rPr>
          <w:color w:val="000000" w:themeColor="text1"/>
        </w:rPr>
        <w:t xml:space="preserve"> the perceived pressure to show positive results for the Australian aid program has had an effect on evaluation quality </w:t>
      </w:r>
      <w:r>
        <w:rPr>
          <w:color w:val="000000" w:themeColor="text1"/>
        </w:rPr>
        <w:t>or</w:t>
      </w:r>
      <w:r w:rsidRPr="00B16EA2">
        <w:rPr>
          <w:color w:val="000000" w:themeColor="text1"/>
        </w:rPr>
        <w:t xml:space="preserve"> utility, it is clear that </w:t>
      </w:r>
      <w:r w:rsidR="00CC22D8">
        <w:rPr>
          <w:color w:val="000000" w:themeColor="text1"/>
        </w:rPr>
        <w:t xml:space="preserve">such </w:t>
      </w:r>
      <w:r w:rsidRPr="00B16EA2">
        <w:rPr>
          <w:color w:val="000000" w:themeColor="text1"/>
        </w:rPr>
        <w:t xml:space="preserve">organisational incentives should be taken into account in any efforts to </w:t>
      </w:r>
      <w:r>
        <w:rPr>
          <w:color w:val="000000" w:themeColor="text1"/>
        </w:rPr>
        <w:t>improve the aid management system</w:t>
      </w:r>
      <w:r w:rsidRPr="00B16EA2">
        <w:rPr>
          <w:color w:val="000000" w:themeColor="text1"/>
        </w:rPr>
        <w:t>.</w:t>
      </w:r>
    </w:p>
    <w:p w14:paraId="5DF3FDCB" w14:textId="77777777" w:rsidR="00974B77" w:rsidRPr="003D5DBD" w:rsidRDefault="00974B77" w:rsidP="00DB1E64">
      <w:pPr>
        <w:pStyle w:val="Heading2"/>
        <w:numPr>
          <w:ilvl w:val="0"/>
          <w:numId w:val="52"/>
        </w:numPr>
        <w:ind w:left="357" w:hanging="357"/>
        <w:rPr>
          <w:rFonts w:eastAsiaTheme="majorEastAsia"/>
        </w:rPr>
      </w:pPr>
      <w:bookmarkStart w:id="177" w:name="_Toc381198106"/>
      <w:bookmarkStart w:id="178" w:name="_Toc387675119"/>
      <w:r>
        <w:rPr>
          <w:rFonts w:eastAsiaTheme="majorEastAsia"/>
        </w:rPr>
        <w:t>Access to</w:t>
      </w:r>
      <w:r w:rsidRPr="003D5DBD">
        <w:rPr>
          <w:rFonts w:eastAsiaTheme="majorEastAsia"/>
        </w:rPr>
        <w:t xml:space="preserve"> </w:t>
      </w:r>
      <w:r w:rsidR="00860ED5">
        <w:rPr>
          <w:rFonts w:eastAsiaTheme="majorEastAsia"/>
        </w:rPr>
        <w:t xml:space="preserve">completed </w:t>
      </w:r>
      <w:r w:rsidRPr="003D5DBD">
        <w:rPr>
          <w:rFonts w:eastAsiaTheme="majorEastAsia"/>
        </w:rPr>
        <w:t>evaluation</w:t>
      </w:r>
      <w:r w:rsidR="00860ED5">
        <w:rPr>
          <w:rFonts w:eastAsiaTheme="majorEastAsia"/>
        </w:rPr>
        <w:t>s</w:t>
      </w:r>
      <w:bookmarkEnd w:id="177"/>
      <w:bookmarkEnd w:id="178"/>
    </w:p>
    <w:p w14:paraId="745C39AC" w14:textId="22168F11" w:rsidR="007310C3" w:rsidRDefault="002F38F5" w:rsidP="003D5DBD">
      <w:bookmarkStart w:id="179" w:name="_Toc359854668"/>
      <w:bookmarkStart w:id="180" w:name="_Toc370827877"/>
      <w:bookmarkStart w:id="181" w:name="_Toc370827928"/>
      <w:bookmarkStart w:id="182" w:name="_Toc372723838"/>
      <w:bookmarkEnd w:id="25"/>
      <w:bookmarkEnd w:id="172"/>
      <w:r>
        <w:t>As</w:t>
      </w:r>
      <w:r w:rsidR="00F97C38">
        <w:t xml:space="preserve"> well as</w:t>
      </w:r>
      <w:r>
        <w:t xml:space="preserve"> being used by evaluation commissioning areas for performance management and learning purposes relating to a single initiative</w:t>
      </w:r>
      <w:r w:rsidR="00502AE8">
        <w:t xml:space="preserve"> or program</w:t>
      </w:r>
      <w:r>
        <w:t xml:space="preserve">, evaluations can have utility </w:t>
      </w:r>
      <w:r w:rsidR="00502AE8">
        <w:t>for a wider audience</w:t>
      </w:r>
      <w:r>
        <w:t>.</w:t>
      </w:r>
      <w:r w:rsidR="00A74814">
        <w:t xml:space="preserve"> </w:t>
      </w:r>
      <w:r>
        <w:t xml:space="preserve">Evaluations can provide lessons for managers of similar </w:t>
      </w:r>
      <w:r w:rsidR="00145EBE">
        <w:t xml:space="preserve">aid </w:t>
      </w:r>
      <w:r>
        <w:t>initiatives in other programs</w:t>
      </w:r>
      <w:r w:rsidR="00F97C38">
        <w:t>;</w:t>
      </w:r>
      <w:r>
        <w:t xml:space="preserve"> the findings of multiple evaluations can be synthesised to </w:t>
      </w:r>
      <w:r w:rsidR="00145EBE">
        <w:t>identify</w:t>
      </w:r>
      <w:r>
        <w:t xml:space="preserve"> lessons</w:t>
      </w:r>
      <w:r w:rsidR="00145EBE">
        <w:t xml:space="preserve"> for improving aid management </w:t>
      </w:r>
      <w:r>
        <w:t xml:space="preserve">(as we have done in </w:t>
      </w:r>
      <w:r w:rsidR="001E267E">
        <w:t xml:space="preserve">the </w:t>
      </w:r>
      <w:r w:rsidR="001B2D9F">
        <w:rPr>
          <w:i/>
        </w:rPr>
        <w:t>Learning from</w:t>
      </w:r>
      <w:r w:rsidR="001E267E" w:rsidRPr="001E267E">
        <w:rPr>
          <w:i/>
        </w:rPr>
        <w:t xml:space="preserve"> Australian </w:t>
      </w:r>
      <w:r w:rsidR="00F97C38">
        <w:rPr>
          <w:i/>
        </w:rPr>
        <w:t>a</w:t>
      </w:r>
      <w:r w:rsidR="001E267E" w:rsidRPr="001E267E">
        <w:rPr>
          <w:i/>
        </w:rPr>
        <w:t xml:space="preserve">id </w:t>
      </w:r>
      <w:r w:rsidR="00F97C38">
        <w:rPr>
          <w:i/>
        </w:rPr>
        <w:t>o</w:t>
      </w:r>
      <w:r w:rsidR="001E267E" w:rsidRPr="001E267E">
        <w:rPr>
          <w:i/>
        </w:rPr>
        <w:t>perational</w:t>
      </w:r>
      <w:r w:rsidR="002230BD">
        <w:rPr>
          <w:i/>
        </w:rPr>
        <w:t xml:space="preserve"> e</w:t>
      </w:r>
      <w:r w:rsidR="001E267E" w:rsidRPr="001E267E">
        <w:rPr>
          <w:i/>
        </w:rPr>
        <w:t>valuatio</w:t>
      </w:r>
      <w:r w:rsidR="001E267E">
        <w:rPr>
          <w:i/>
        </w:rPr>
        <w:t>n</w:t>
      </w:r>
      <w:r w:rsidR="001E267E" w:rsidRPr="001E267E">
        <w:rPr>
          <w:i/>
        </w:rPr>
        <w:t>s</w:t>
      </w:r>
      <w:r w:rsidR="001E267E">
        <w:t xml:space="preserve"> report</w:t>
      </w:r>
      <w:r>
        <w:t>)</w:t>
      </w:r>
      <w:r w:rsidR="00F97C38">
        <w:t>;</w:t>
      </w:r>
      <w:r>
        <w:t xml:space="preserve"> and ratings against the standard </w:t>
      </w:r>
      <w:r w:rsidR="00177D17">
        <w:t xml:space="preserve">Australian </w:t>
      </w:r>
      <w:r>
        <w:t>aid quality criteria</w:t>
      </w:r>
      <w:r w:rsidR="00471B0D">
        <w:rPr>
          <w:rFonts w:ascii="Arial" w:eastAsiaTheme="minorEastAsia" w:hAnsi="Arial"/>
        </w:rPr>
        <w:t>—</w:t>
      </w:r>
      <w:r>
        <w:rPr>
          <w:rFonts w:eastAsiaTheme="minorEastAsia"/>
        </w:rPr>
        <w:t>where provided</w:t>
      </w:r>
      <w:r w:rsidR="00471B0D">
        <w:rPr>
          <w:rFonts w:ascii="Arial" w:eastAsiaTheme="minorEastAsia" w:hAnsi="Arial"/>
        </w:rPr>
        <w:t>—</w:t>
      </w:r>
      <w:r>
        <w:rPr>
          <w:rFonts w:eastAsiaTheme="minorEastAsia"/>
        </w:rPr>
        <w:t xml:space="preserve">can </w:t>
      </w:r>
      <w:r>
        <w:t>be analysed to identify patterns and trends</w:t>
      </w:r>
      <w:r w:rsidR="00145EBE">
        <w:t xml:space="preserve"> in performance</w:t>
      </w:r>
      <w:r>
        <w:t>.</w:t>
      </w:r>
      <w:r w:rsidR="00A74814">
        <w:t xml:space="preserve"> </w:t>
      </w:r>
      <w:r>
        <w:t xml:space="preserve">Ease of access </w:t>
      </w:r>
      <w:r w:rsidR="00177D17">
        <w:t>to</w:t>
      </w:r>
      <w:r w:rsidR="007C639A">
        <w:t xml:space="preserve"> completed</w:t>
      </w:r>
      <w:r w:rsidR="00177D17">
        <w:t xml:space="preserve"> evaluation</w:t>
      </w:r>
      <w:r w:rsidR="001B1191">
        <w:t>s and evaluation</w:t>
      </w:r>
      <w:r w:rsidR="00177D17">
        <w:t xml:space="preserve"> data </w:t>
      </w:r>
      <w:r>
        <w:t xml:space="preserve">is </w:t>
      </w:r>
      <w:r w:rsidR="00145EBE">
        <w:t>critical to</w:t>
      </w:r>
      <w:r>
        <w:t xml:space="preserve"> whether evaluations are used in these ways</w:t>
      </w:r>
      <w:r w:rsidR="007310C3">
        <w:t>, and to the development of a</w:t>
      </w:r>
      <w:r w:rsidR="00177D17">
        <w:t xml:space="preserve"> departmental </w:t>
      </w:r>
      <w:r w:rsidR="007310C3">
        <w:t>culture of learning from evaluations</w:t>
      </w:r>
      <w:r w:rsidR="001623BD">
        <w:t>.</w:t>
      </w:r>
      <w:r w:rsidR="00A74814">
        <w:t xml:space="preserve"> </w:t>
      </w:r>
    </w:p>
    <w:p w14:paraId="111D6F07" w14:textId="6383FC4D" w:rsidR="00DB44F2" w:rsidRPr="00506C2F" w:rsidRDefault="002F38F5" w:rsidP="00DB44F2">
      <w:pPr>
        <w:rPr>
          <w:color w:val="000000" w:themeColor="text1"/>
        </w:rPr>
      </w:pPr>
      <w:r>
        <w:t xml:space="preserve">Our experience </w:t>
      </w:r>
      <w:r w:rsidR="00EC58CD">
        <w:t>in</w:t>
      </w:r>
      <w:r>
        <w:t xml:space="preserve"> </w:t>
      </w:r>
      <w:r w:rsidR="00145EBE">
        <w:t>assembling</w:t>
      </w:r>
      <w:r>
        <w:t xml:space="preserve"> the evaluations for this review </w:t>
      </w:r>
      <w:r w:rsidR="001623BD">
        <w:t>reveal</w:t>
      </w:r>
      <w:r>
        <w:t xml:space="preserve">ed significant </w:t>
      </w:r>
      <w:r w:rsidR="00145EBE">
        <w:t>difficulties in accessing</w:t>
      </w:r>
      <w:r>
        <w:t xml:space="preserve"> evaluation data.</w:t>
      </w:r>
      <w:r w:rsidR="00A74814">
        <w:t xml:space="preserve"> </w:t>
      </w:r>
      <w:r w:rsidR="00502AE8">
        <w:t>Completed e</w:t>
      </w:r>
      <w:r w:rsidR="00EC58CD">
        <w:t>valuations</w:t>
      </w:r>
      <w:r w:rsidR="00145EBE">
        <w:t xml:space="preserve"> of aid initiatives</w:t>
      </w:r>
      <w:r w:rsidR="00EC58CD">
        <w:t xml:space="preserve"> are stored </w:t>
      </w:r>
      <w:r w:rsidR="001B1191">
        <w:t xml:space="preserve">internally </w:t>
      </w:r>
      <w:r w:rsidR="00EC58CD">
        <w:t>in Aid</w:t>
      </w:r>
      <w:r w:rsidR="00145EBE">
        <w:t>W</w:t>
      </w:r>
      <w:r w:rsidR="00EC58CD">
        <w:t xml:space="preserve">orks, the </w:t>
      </w:r>
      <w:r w:rsidR="00EC58CD" w:rsidRPr="003D5DBD">
        <w:t>department</w:t>
      </w:r>
      <w:r w:rsidR="00744801">
        <w:t>’</w:t>
      </w:r>
      <w:r w:rsidR="00EC58CD" w:rsidRPr="003D5DBD">
        <w:t>s aid management system</w:t>
      </w:r>
      <w:r w:rsidR="00EC58CD">
        <w:t>.</w:t>
      </w:r>
      <w:r w:rsidR="00A74814">
        <w:t xml:space="preserve"> </w:t>
      </w:r>
      <w:r w:rsidR="00EC58CD">
        <w:t xml:space="preserve">However, there is insufficient standardisation in the way </w:t>
      </w:r>
      <w:r w:rsidR="00502AE8">
        <w:t>they</w:t>
      </w:r>
      <w:r w:rsidR="00EC58CD">
        <w:t xml:space="preserve"> are stored</w:t>
      </w:r>
      <w:r w:rsidR="00145EBE">
        <w:t>:</w:t>
      </w:r>
      <w:r w:rsidR="00A74814">
        <w:t xml:space="preserve"> </w:t>
      </w:r>
      <w:r w:rsidR="00145EBE">
        <w:t>u</w:t>
      </w:r>
      <w:r w:rsidR="00EC58CD" w:rsidRPr="003D5DBD">
        <w:t xml:space="preserve">ploaded independent evaluations are not always recorded as such, and many documents labelled as </w:t>
      </w:r>
      <w:r w:rsidR="00120046">
        <w:t>‘</w:t>
      </w:r>
      <w:r w:rsidR="00EC58CD" w:rsidRPr="003D5DBD">
        <w:t>independent evaluations</w:t>
      </w:r>
      <w:r w:rsidR="00120046">
        <w:t>’</w:t>
      </w:r>
      <w:r w:rsidR="00EC58CD" w:rsidRPr="003D5DBD">
        <w:t xml:space="preserve"> are actually other types of documents.</w:t>
      </w:r>
      <w:r w:rsidR="00EC58CD" w:rsidRPr="00EC58CD">
        <w:t xml:space="preserve"> </w:t>
      </w:r>
      <w:r w:rsidR="00EC58CD" w:rsidRPr="003D5DBD">
        <w:t>Compiling the list of evaluations for this review required extensive manual checking.</w:t>
      </w:r>
      <w:r w:rsidR="00A74814">
        <w:t xml:space="preserve"> </w:t>
      </w:r>
      <w:r w:rsidR="00502AE8">
        <w:t xml:space="preserve">Furthermore, numerical ratings against the standard aid quality criteria </w:t>
      </w:r>
      <w:r w:rsidR="00FE6A7A">
        <w:t>cannot</w:t>
      </w:r>
      <w:r w:rsidR="00502AE8">
        <w:t xml:space="preserve"> be </w:t>
      </w:r>
      <w:r w:rsidR="00502AE8" w:rsidRPr="00506C2F">
        <w:rPr>
          <w:color w:val="000000" w:themeColor="text1"/>
        </w:rPr>
        <w:t xml:space="preserve">exported </w:t>
      </w:r>
      <w:r w:rsidR="00145EBE" w:rsidRPr="00506C2F">
        <w:rPr>
          <w:color w:val="000000" w:themeColor="text1"/>
        </w:rPr>
        <w:t xml:space="preserve">from </w:t>
      </w:r>
      <w:r w:rsidR="00145EBE" w:rsidRPr="006C4F7A">
        <w:rPr>
          <w:color w:val="000000" w:themeColor="text1"/>
        </w:rPr>
        <w:t>AidWorks</w:t>
      </w:r>
      <w:r w:rsidR="00145EBE" w:rsidRPr="00506C2F">
        <w:rPr>
          <w:color w:val="000000" w:themeColor="text1"/>
        </w:rPr>
        <w:t xml:space="preserve"> </w:t>
      </w:r>
      <w:r w:rsidR="00502AE8" w:rsidRPr="00506C2F">
        <w:rPr>
          <w:color w:val="000000" w:themeColor="text1"/>
        </w:rPr>
        <w:t>for analysis</w:t>
      </w:r>
      <w:r w:rsidR="00FE6A7A">
        <w:rPr>
          <w:color w:val="000000" w:themeColor="text1"/>
        </w:rPr>
        <w:t>;</w:t>
      </w:r>
      <w:r w:rsidR="00502AE8" w:rsidRPr="00506C2F">
        <w:rPr>
          <w:color w:val="000000" w:themeColor="text1"/>
        </w:rPr>
        <w:t xml:space="preserve"> </w:t>
      </w:r>
      <w:r w:rsidR="00FE6A7A">
        <w:rPr>
          <w:color w:val="000000" w:themeColor="text1"/>
        </w:rPr>
        <w:t>they</w:t>
      </w:r>
      <w:r w:rsidR="00FE6A7A" w:rsidRPr="00506C2F">
        <w:rPr>
          <w:color w:val="000000" w:themeColor="text1"/>
        </w:rPr>
        <w:t xml:space="preserve"> </w:t>
      </w:r>
      <w:r w:rsidR="00502AE8" w:rsidRPr="00506C2F">
        <w:rPr>
          <w:color w:val="000000" w:themeColor="text1"/>
        </w:rPr>
        <w:t>have to be manually transcribed from each evaluation report.</w:t>
      </w:r>
      <w:r w:rsidR="00A74814">
        <w:rPr>
          <w:color w:val="000000" w:themeColor="text1"/>
        </w:rPr>
        <w:t xml:space="preserve"> </w:t>
      </w:r>
      <w:r w:rsidR="00502AE8" w:rsidRPr="00506C2F">
        <w:rPr>
          <w:color w:val="000000" w:themeColor="text1"/>
        </w:rPr>
        <w:t xml:space="preserve">These factors limit the use of evaluations by </w:t>
      </w:r>
      <w:r w:rsidR="00DB44F2" w:rsidRPr="00506C2F">
        <w:rPr>
          <w:color w:val="000000" w:themeColor="text1"/>
        </w:rPr>
        <w:t xml:space="preserve">DFAT staff </w:t>
      </w:r>
      <w:r w:rsidR="00502AE8" w:rsidRPr="00506C2F">
        <w:rPr>
          <w:color w:val="000000" w:themeColor="text1"/>
        </w:rPr>
        <w:t>outside the area that commissioned an evaluation.</w:t>
      </w:r>
      <w:r w:rsidR="00A74814">
        <w:rPr>
          <w:color w:val="000000" w:themeColor="text1"/>
        </w:rPr>
        <w:t xml:space="preserve"> </w:t>
      </w:r>
      <w:r w:rsidR="007310C3" w:rsidRPr="00506C2F">
        <w:rPr>
          <w:color w:val="000000" w:themeColor="text1"/>
        </w:rPr>
        <w:t>These factors</w:t>
      </w:r>
      <w:r w:rsidR="00506C2F">
        <w:rPr>
          <w:color w:val="000000" w:themeColor="text1"/>
        </w:rPr>
        <w:t xml:space="preserve"> (</w:t>
      </w:r>
      <w:r w:rsidR="007310C3" w:rsidRPr="00506C2F">
        <w:rPr>
          <w:color w:val="000000" w:themeColor="text1"/>
        </w:rPr>
        <w:t>compounded by flexibility in the timing of evaluations during the life of an initiative</w:t>
      </w:r>
      <w:r w:rsidR="00506C2F">
        <w:rPr>
          <w:color w:val="000000" w:themeColor="text1"/>
        </w:rPr>
        <w:t>)</w:t>
      </w:r>
      <w:r w:rsidR="007310C3" w:rsidRPr="00506C2F">
        <w:rPr>
          <w:color w:val="000000" w:themeColor="text1"/>
        </w:rPr>
        <w:t xml:space="preserve"> </w:t>
      </w:r>
      <w:r w:rsidR="00DB44F2" w:rsidRPr="00506C2F">
        <w:rPr>
          <w:color w:val="000000" w:themeColor="text1"/>
        </w:rPr>
        <w:t xml:space="preserve">also make tracking compliance with evaluation requirements </w:t>
      </w:r>
      <w:r w:rsidR="00506C2F">
        <w:rPr>
          <w:color w:val="000000" w:themeColor="text1"/>
        </w:rPr>
        <w:t>difficult and</w:t>
      </w:r>
      <w:r w:rsidR="00DB44F2" w:rsidRPr="00506C2F">
        <w:rPr>
          <w:color w:val="000000" w:themeColor="text1"/>
        </w:rPr>
        <w:t xml:space="preserve"> resource</w:t>
      </w:r>
      <w:r w:rsidR="00FE6A7A">
        <w:rPr>
          <w:color w:val="000000" w:themeColor="text1"/>
        </w:rPr>
        <w:t xml:space="preserve"> </w:t>
      </w:r>
      <w:r w:rsidR="00DB44F2" w:rsidRPr="00506C2F">
        <w:rPr>
          <w:color w:val="000000" w:themeColor="text1"/>
        </w:rPr>
        <w:t>intensive.</w:t>
      </w:r>
      <w:r w:rsidR="00A74814">
        <w:rPr>
          <w:color w:val="000000" w:themeColor="text1"/>
        </w:rPr>
        <w:t xml:space="preserve"> </w:t>
      </w:r>
    </w:p>
    <w:p w14:paraId="3139169E" w14:textId="4C4C0CCD" w:rsidR="00EF38B8" w:rsidRPr="00506C2F" w:rsidRDefault="00DB44F2" w:rsidP="00DB44F2">
      <w:pPr>
        <w:rPr>
          <w:color w:val="000000" w:themeColor="text1"/>
        </w:rPr>
      </w:pPr>
      <w:r w:rsidRPr="00506C2F">
        <w:rPr>
          <w:color w:val="000000" w:themeColor="text1"/>
        </w:rPr>
        <w:t>There are similar issues with access to published evaluations of Australian aid initiatives by external stakeholders.</w:t>
      </w:r>
      <w:r w:rsidR="00A74814">
        <w:rPr>
          <w:color w:val="000000" w:themeColor="text1"/>
        </w:rPr>
        <w:t xml:space="preserve"> </w:t>
      </w:r>
      <w:r w:rsidRPr="00506C2F">
        <w:rPr>
          <w:color w:val="000000" w:themeColor="text1"/>
        </w:rPr>
        <w:t xml:space="preserve">As mentioned in section </w:t>
      </w:r>
      <w:r w:rsidRPr="00506C2F">
        <w:rPr>
          <w:color w:val="000000" w:themeColor="text1"/>
        </w:rPr>
        <w:fldChar w:fldCharType="begin"/>
      </w:r>
      <w:r w:rsidRPr="00506C2F">
        <w:rPr>
          <w:color w:val="000000" w:themeColor="text1"/>
        </w:rPr>
        <w:instrText xml:space="preserve"> REF _Ref380162647 \r \h </w:instrText>
      </w:r>
      <w:r w:rsidRPr="00506C2F">
        <w:rPr>
          <w:color w:val="000000" w:themeColor="text1"/>
        </w:rPr>
      </w:r>
      <w:r w:rsidRPr="00506C2F">
        <w:rPr>
          <w:color w:val="000000" w:themeColor="text1"/>
        </w:rPr>
        <w:fldChar w:fldCharType="separate"/>
      </w:r>
      <w:r w:rsidR="00147362">
        <w:rPr>
          <w:color w:val="000000" w:themeColor="text1"/>
        </w:rPr>
        <w:t>3.1</w:t>
      </w:r>
      <w:r w:rsidRPr="00506C2F">
        <w:rPr>
          <w:color w:val="000000" w:themeColor="text1"/>
        </w:rPr>
        <w:fldChar w:fldCharType="end"/>
      </w:r>
      <w:r w:rsidRPr="00506C2F">
        <w:rPr>
          <w:color w:val="000000" w:themeColor="text1"/>
        </w:rPr>
        <w:t>, about half of the operational evaluations completed in 2012 were published on the Australian aid website.</w:t>
      </w:r>
      <w:r w:rsidR="00A74814">
        <w:rPr>
          <w:color w:val="000000" w:themeColor="text1"/>
        </w:rPr>
        <w:t xml:space="preserve"> </w:t>
      </w:r>
      <w:r w:rsidRPr="00506C2F">
        <w:rPr>
          <w:color w:val="000000" w:themeColor="text1"/>
        </w:rPr>
        <w:t>However, access to these evaluations is not straightforward</w:t>
      </w:r>
      <w:r w:rsidR="00FE6A7A">
        <w:rPr>
          <w:color w:val="000000" w:themeColor="text1"/>
        </w:rPr>
        <w:t>;</w:t>
      </w:r>
      <w:r w:rsidRPr="00506C2F">
        <w:rPr>
          <w:color w:val="000000" w:themeColor="text1"/>
        </w:rPr>
        <w:t xml:space="preserve"> </w:t>
      </w:r>
      <w:r w:rsidR="00EF38B8" w:rsidRPr="00506C2F">
        <w:rPr>
          <w:color w:val="000000" w:themeColor="text1"/>
        </w:rPr>
        <w:t xml:space="preserve">they are not </w:t>
      </w:r>
      <w:r w:rsidR="00DB14D6">
        <w:rPr>
          <w:color w:val="000000" w:themeColor="text1"/>
        </w:rPr>
        <w:t xml:space="preserve">all </w:t>
      </w:r>
      <w:r w:rsidR="00EF38B8" w:rsidRPr="00506C2F">
        <w:rPr>
          <w:color w:val="000000" w:themeColor="text1"/>
        </w:rPr>
        <w:t>accessible from a central location in the website and are not always clearly marked as evaluations</w:t>
      </w:r>
      <w:r w:rsidR="00FE6A7A">
        <w:rPr>
          <w:color w:val="000000" w:themeColor="text1"/>
        </w:rPr>
        <w:t>,</w:t>
      </w:r>
      <w:r w:rsidR="001B1191">
        <w:rPr>
          <w:color w:val="000000" w:themeColor="text1"/>
        </w:rPr>
        <w:t xml:space="preserve"> so</w:t>
      </w:r>
      <w:r w:rsidR="00FE6A7A">
        <w:rPr>
          <w:color w:val="000000" w:themeColor="text1"/>
        </w:rPr>
        <w:t xml:space="preserve"> they</w:t>
      </w:r>
      <w:r w:rsidR="001B1191">
        <w:rPr>
          <w:color w:val="000000" w:themeColor="text1"/>
        </w:rPr>
        <w:t xml:space="preserve"> may not turn up in searches</w:t>
      </w:r>
      <w:r w:rsidR="00EF38B8" w:rsidRPr="00506C2F">
        <w:rPr>
          <w:color w:val="000000" w:themeColor="text1"/>
        </w:rPr>
        <w:t>.</w:t>
      </w:r>
    </w:p>
    <w:p w14:paraId="76257247" w14:textId="577EE415" w:rsidR="003D7BDA" w:rsidRPr="00506C2F" w:rsidRDefault="007310C3" w:rsidP="003D5DBD">
      <w:pPr>
        <w:rPr>
          <w:color w:val="000000" w:themeColor="text1"/>
        </w:rPr>
      </w:pPr>
      <w:r w:rsidRPr="00506C2F">
        <w:rPr>
          <w:color w:val="000000" w:themeColor="text1"/>
        </w:rPr>
        <w:t>R</w:t>
      </w:r>
      <w:r w:rsidR="00DB44F2" w:rsidRPr="00506C2F">
        <w:rPr>
          <w:color w:val="000000" w:themeColor="text1"/>
        </w:rPr>
        <w:t xml:space="preserve">ecent changes aimed at promoting </w:t>
      </w:r>
      <w:r w:rsidRPr="00506C2F">
        <w:rPr>
          <w:color w:val="000000" w:themeColor="text1"/>
        </w:rPr>
        <w:t xml:space="preserve">better </w:t>
      </w:r>
      <w:r w:rsidR="00DB44F2" w:rsidRPr="00506C2F">
        <w:rPr>
          <w:color w:val="000000" w:themeColor="text1"/>
        </w:rPr>
        <w:t>evaluation pipeline planning</w:t>
      </w:r>
      <w:r w:rsidR="007D0C36">
        <w:rPr>
          <w:color w:val="000000" w:themeColor="text1"/>
        </w:rPr>
        <w:t xml:space="preserve"> at the program level</w:t>
      </w:r>
      <w:r w:rsidR="00572BAC">
        <w:rPr>
          <w:color w:val="000000" w:themeColor="text1"/>
        </w:rPr>
        <w:t xml:space="preserve"> will</w:t>
      </w:r>
      <w:r w:rsidR="00506C2F">
        <w:rPr>
          <w:color w:val="000000" w:themeColor="text1"/>
        </w:rPr>
        <w:t xml:space="preserve"> </w:t>
      </w:r>
      <w:r w:rsidRPr="00506C2F">
        <w:rPr>
          <w:color w:val="000000" w:themeColor="text1"/>
        </w:rPr>
        <w:t>increase the visibility of evaluations and thus</w:t>
      </w:r>
      <w:r w:rsidR="00FE6A7A">
        <w:rPr>
          <w:color w:val="000000" w:themeColor="text1"/>
        </w:rPr>
        <w:t>,</w:t>
      </w:r>
      <w:r w:rsidRPr="00506C2F">
        <w:rPr>
          <w:color w:val="000000" w:themeColor="text1"/>
        </w:rPr>
        <w:t xml:space="preserve"> to some degree, the ability</w:t>
      </w:r>
      <w:r w:rsidR="00FE6A7A">
        <w:rPr>
          <w:color w:val="000000" w:themeColor="text1"/>
        </w:rPr>
        <w:t xml:space="preserve"> of</w:t>
      </w:r>
      <w:r w:rsidRPr="00506C2F">
        <w:rPr>
          <w:color w:val="000000" w:themeColor="text1"/>
        </w:rPr>
        <w:t xml:space="preserve"> interested parties to access and learn from them.</w:t>
      </w:r>
      <w:r w:rsidR="00A74814">
        <w:rPr>
          <w:color w:val="000000" w:themeColor="text1"/>
        </w:rPr>
        <w:t xml:space="preserve"> </w:t>
      </w:r>
      <w:r w:rsidRPr="00506C2F">
        <w:rPr>
          <w:color w:val="000000" w:themeColor="text1"/>
        </w:rPr>
        <w:t>In 2013 a requirement was introduced that all</w:t>
      </w:r>
      <w:r w:rsidR="00DB44F2" w:rsidRPr="00506C2F">
        <w:rPr>
          <w:color w:val="000000" w:themeColor="text1"/>
        </w:rPr>
        <w:t xml:space="preserve"> </w:t>
      </w:r>
      <w:r w:rsidR="00572BAC">
        <w:rPr>
          <w:color w:val="000000" w:themeColor="text1"/>
        </w:rPr>
        <w:t xml:space="preserve">annual </w:t>
      </w:r>
      <w:r w:rsidRPr="00506C2F">
        <w:rPr>
          <w:color w:val="000000" w:themeColor="text1"/>
        </w:rPr>
        <w:t xml:space="preserve">Aid Program Performance Reports </w:t>
      </w:r>
      <w:r w:rsidR="00DB44F2" w:rsidRPr="00506C2F">
        <w:rPr>
          <w:color w:val="000000" w:themeColor="text1"/>
        </w:rPr>
        <w:t xml:space="preserve">include an annex listing planned, current and recently completed </w:t>
      </w:r>
      <w:r w:rsidRPr="00506C2F">
        <w:rPr>
          <w:color w:val="000000" w:themeColor="text1"/>
        </w:rPr>
        <w:t>evaluations</w:t>
      </w:r>
      <w:r w:rsidR="00FE6A7A">
        <w:rPr>
          <w:color w:val="000000" w:themeColor="text1"/>
        </w:rPr>
        <w:t>.</w:t>
      </w:r>
      <w:r w:rsidR="001B1191">
        <w:rPr>
          <w:color w:val="000000" w:themeColor="text1"/>
        </w:rPr>
        <w:t xml:space="preserve"> </w:t>
      </w:r>
      <w:r w:rsidR="00FE6A7A">
        <w:rPr>
          <w:color w:val="000000" w:themeColor="text1"/>
        </w:rPr>
        <w:t>C</w:t>
      </w:r>
      <w:r w:rsidR="001B1191">
        <w:rPr>
          <w:color w:val="000000" w:themeColor="text1"/>
        </w:rPr>
        <w:t>ontinued strengthening of program</w:t>
      </w:r>
      <w:r w:rsidR="00FE6A7A">
        <w:rPr>
          <w:color w:val="000000" w:themeColor="text1"/>
        </w:rPr>
        <w:t>-</w:t>
      </w:r>
      <w:r w:rsidR="001B1191">
        <w:rPr>
          <w:color w:val="000000" w:themeColor="text1"/>
        </w:rPr>
        <w:t>level evaluation planning has been emphasised in the context of simplification of the aid management system</w:t>
      </w:r>
      <w:r w:rsidR="00DB44F2" w:rsidRPr="00506C2F">
        <w:rPr>
          <w:color w:val="000000" w:themeColor="text1"/>
        </w:rPr>
        <w:t>.</w:t>
      </w:r>
      <w:r w:rsidR="00A74814">
        <w:rPr>
          <w:color w:val="000000" w:themeColor="text1"/>
        </w:rPr>
        <w:t xml:space="preserve"> </w:t>
      </w:r>
      <w:r w:rsidR="009A5182">
        <w:rPr>
          <w:color w:val="000000" w:themeColor="text1"/>
        </w:rPr>
        <w:t>A</w:t>
      </w:r>
      <w:r w:rsidR="006E0550">
        <w:rPr>
          <w:color w:val="000000" w:themeColor="text1"/>
        </w:rPr>
        <w:t>s</w:t>
      </w:r>
      <w:r w:rsidRPr="00506C2F">
        <w:rPr>
          <w:color w:val="000000" w:themeColor="text1"/>
        </w:rPr>
        <w:t xml:space="preserve"> one interviewed initiative manager suggested:</w:t>
      </w:r>
    </w:p>
    <w:p w14:paraId="159E078E" w14:textId="7F3E58A2" w:rsidR="003A2E6D" w:rsidRPr="00506C2F" w:rsidRDefault="003A2E6D" w:rsidP="00846A45">
      <w:pPr>
        <w:pStyle w:val="Quotetext"/>
      </w:pPr>
      <w:r w:rsidRPr="00506C2F">
        <w:lastRenderedPageBreak/>
        <w:t xml:space="preserve">Each post needs to have an annual schedule of evaluations and link up programs more. AusAID has so many evaluations, it needs to plan them far better in advance, with annual schedules for each post, and it must plan out more how learning at post (country) level can be synthesised. </w:t>
      </w:r>
    </w:p>
    <w:p w14:paraId="6A948C81" w14:textId="77777777" w:rsidR="00C12C53" w:rsidRPr="009A5182" w:rsidRDefault="006E0550" w:rsidP="00C12C53">
      <w:pPr>
        <w:rPr>
          <w:color w:val="000000" w:themeColor="text1"/>
        </w:rPr>
      </w:pPr>
      <w:r w:rsidRPr="009A5182">
        <w:rPr>
          <w:color w:val="000000" w:themeColor="text1"/>
        </w:rPr>
        <w:t xml:space="preserve">While </w:t>
      </w:r>
      <w:r w:rsidR="00205C0E">
        <w:rPr>
          <w:color w:val="000000" w:themeColor="text1"/>
        </w:rPr>
        <w:t>program-level evaluation planning is</w:t>
      </w:r>
      <w:r w:rsidRPr="009A5182">
        <w:rPr>
          <w:color w:val="000000" w:themeColor="text1"/>
        </w:rPr>
        <w:t xml:space="preserve"> a positive step</w:t>
      </w:r>
      <w:r w:rsidR="00142524" w:rsidRPr="009A5182">
        <w:rPr>
          <w:color w:val="000000" w:themeColor="text1"/>
        </w:rPr>
        <w:t xml:space="preserve">, </w:t>
      </w:r>
      <w:r w:rsidRPr="009A5182">
        <w:rPr>
          <w:color w:val="000000" w:themeColor="text1"/>
        </w:rPr>
        <w:t>further improvements to facilitate easier access</w:t>
      </w:r>
      <w:r w:rsidR="001B1191">
        <w:rPr>
          <w:color w:val="000000" w:themeColor="text1"/>
        </w:rPr>
        <w:t xml:space="preserve"> both internally and externally</w:t>
      </w:r>
      <w:r w:rsidRPr="009A5182">
        <w:rPr>
          <w:color w:val="000000" w:themeColor="text1"/>
        </w:rPr>
        <w:t xml:space="preserve"> to evaluation</w:t>
      </w:r>
      <w:r w:rsidR="001B1191">
        <w:rPr>
          <w:color w:val="000000" w:themeColor="text1"/>
        </w:rPr>
        <w:t>s and evaluation</w:t>
      </w:r>
      <w:r w:rsidRPr="009A5182">
        <w:rPr>
          <w:color w:val="000000" w:themeColor="text1"/>
        </w:rPr>
        <w:t xml:space="preserve"> data would also support the development of a culture of learning from</w:t>
      </w:r>
      <w:r w:rsidR="001B1191">
        <w:rPr>
          <w:color w:val="000000" w:themeColor="text1"/>
        </w:rPr>
        <w:t xml:space="preserve"> Australian aid</w:t>
      </w:r>
      <w:r w:rsidRPr="009A5182">
        <w:rPr>
          <w:color w:val="000000" w:themeColor="text1"/>
        </w:rPr>
        <w:t xml:space="preserve"> evaluations.</w:t>
      </w:r>
    </w:p>
    <w:p w14:paraId="5FDF1A5C" w14:textId="77777777" w:rsidR="002A4358" w:rsidRPr="002A4358" w:rsidRDefault="00572BAC" w:rsidP="002A4358">
      <w:pPr>
        <w:spacing w:before="0" w:after="0" w:line="240" w:lineRule="auto"/>
      </w:pPr>
      <w:r>
        <w:br w:type="page"/>
      </w:r>
    </w:p>
    <w:bookmarkStart w:id="183" w:name="_Toc387675120"/>
    <w:p w14:paraId="0D033209" w14:textId="5A268B3A" w:rsidR="002A4358" w:rsidRDefault="00846A45" w:rsidP="00846A45">
      <w:pPr>
        <w:pStyle w:val="Heading1"/>
        <w:numPr>
          <w:ilvl w:val="0"/>
          <w:numId w:val="118"/>
        </w:numPr>
        <w:ind w:hanging="720"/>
      </w:pPr>
      <w:r>
        <w:rPr>
          <w:noProof/>
        </w:rPr>
        <w:lastRenderedPageBreak/>
        <mc:AlternateContent>
          <mc:Choice Requires="wps">
            <w:drawing>
              <wp:anchor distT="0" distB="0" distL="114300" distR="114300" simplePos="0" relativeHeight="251674624" behindDoc="1" locked="0" layoutInCell="1" allowOverlap="1" wp14:anchorId="0D54B2CE" wp14:editId="3C9C4AB7">
                <wp:simplePos x="0" y="0"/>
                <wp:positionH relativeFrom="page">
                  <wp:align>left</wp:align>
                </wp:positionH>
                <wp:positionV relativeFrom="paragraph">
                  <wp:posOffset>-144145</wp:posOffset>
                </wp:positionV>
                <wp:extent cx="7610400" cy="1468800"/>
                <wp:effectExtent l="0" t="0" r="0" b="0"/>
                <wp:wrapNone/>
                <wp:docPr id="288" name="Rectangle 288"/>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E243115" id="Rectangle 288" o:spid="_x0000_s1026" style="position:absolute;margin-left:0;margin-top:-11.35pt;width:599.25pt;height:115.65pt;z-index:-2516418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wbmAIAAIoFAAAOAAAAZHJzL2Uyb0RvYy54bWysVMFu2zAMvQ/YPwi6r7YDN02DOkXQosOA&#10;oi3aDj0rshQbkEVNUuJkXz9Kst2uK3YYloMjiuQj+UTy4vLQKbIX1rWgK1qc5JQIzaFu9bai359v&#10;viwocZ7pminQoqJH4ejl6vOni94sxQwaULWwBEG0W/amoo33ZplljjeiY+4EjNColGA75lG026y2&#10;rEf0TmWzPJ9nPdjaWODCOby9Tkq6ivhSCu7vpXTCE1VRzM3Hr43fTfhmqwu23FpmmpYPabB/yKJj&#10;rcagE9Q184zsbPsHVNdyCw6kP+HQZSBly0WsAasp8nfVPDXMiFgLkuPMRJP7f7D8bv9gSVtXdLbA&#10;p9Ksw0d6RNqY3ipBwiVS1Bu3RMsn82AHyeEx1HuQtgv/WAk5RFqPE63i4AnHy7N5kZc5ss9RV5Tz&#10;xQIFxMle3Y11/quAjoRDRS0mEOlk+1vnk+loEqI5UG190yoVBbvdXClL9gzfuJiV5WI+oP9mpnQw&#10;1hDcEmK4yUJpqZh48kclgp3Sj0IiL5j+LGYSO1JMcRjnQvsiqRpWixT+NMffGD30cPCIlUbAgCwx&#10;/oQ9AIyWCWTETlkO9sFVxIaenPO/JZacJ48YGbSfnLtWg/0IQGFVQ+RkP5KUqAksbaA+YtdYSOPk&#10;DL9p8d1umfMPzOL84FvjTvD3+JEK+orCcKKkAfvzo/tgj22NWkp6nMeKuh87ZgUl6pvGhj8vyjIM&#10;cBTK07MZCvatZvNWo3fdFYR2wO1jeDwGe6/Go7TQveDqWIeoqGKaY+yKcm9H4cqnPYHLh4v1Oprh&#10;0Brmb/WT4QE8sBr68vnwwqwZmtdj39/BOLts+a6Hk23w1LDeeZBtbPBXXge+ceBj4wzLKWyUt3K0&#10;el2hq18AAAD//wMAUEsDBBQABgAIAAAAIQCZICkm3QAAAAkBAAAPAAAAZHJzL2Rvd25yZXYueG1s&#10;TI/BTsMwEETvSPyDtUjcWidGlBCyqVAlOETiQEvvbrzEEfE6xG4b/h73BMfRjGbeVOvZDeJEU+g9&#10;I+TLDARx603PHcLH7mVRgAhRs9GDZ0L4oQDr+vqq0qXxZ36n0zZ2IpVwKDWCjXEspQytJafD0o/E&#10;yfv0k9MxyamTZtLnVO4GqbJsJZ3uOS1YPdLGUvu1PTqEpiC7796aYf5udrnc3L36PSnE25v5+QlE&#10;pDn+heGCn9ChTkwHf2QTxICQjkSEhVIPIC52/ljcgzggqKxYgawr+f9B/QsAAP//AwBQSwECLQAU&#10;AAYACAAAACEAtoM4kv4AAADhAQAAEwAAAAAAAAAAAAAAAAAAAAAAW0NvbnRlbnRfVHlwZXNdLnht&#10;bFBLAQItABQABgAIAAAAIQA4/SH/1gAAAJQBAAALAAAAAAAAAAAAAAAAAC8BAABfcmVscy8ucmVs&#10;c1BLAQItABQABgAIAAAAIQBPovwbmAIAAIoFAAAOAAAAAAAAAAAAAAAAAC4CAABkcnMvZTJvRG9j&#10;LnhtbFBLAQItABQABgAIAAAAIQCZICkm3QAAAAkBAAAPAAAAAAAAAAAAAAAAAPIEAABkcnMvZG93&#10;bnJldi54bWxQSwUGAAAAAAQABADzAAAA/AUAAAAA&#10;" fillcolor="#124486" stroked="f" strokeweight="2pt">
                <w10:wrap anchorx="page"/>
              </v:rect>
            </w:pict>
          </mc:Fallback>
        </mc:AlternateContent>
      </w:r>
      <w:r w:rsidR="002A4358">
        <w:t>Conclusions and recommendations</w:t>
      </w:r>
      <w:bookmarkEnd w:id="183"/>
    </w:p>
    <w:p w14:paraId="4EA34B5A" w14:textId="77777777" w:rsidR="002A4358" w:rsidRPr="001872A5" w:rsidRDefault="002A4358" w:rsidP="00DB14D6">
      <w:pPr>
        <w:pStyle w:val="Heading2"/>
        <w:numPr>
          <w:ilvl w:val="0"/>
          <w:numId w:val="56"/>
        </w:numPr>
        <w:ind w:left="357" w:hanging="357"/>
      </w:pPr>
      <w:bookmarkStart w:id="184" w:name="_Toc378060010"/>
      <w:bookmarkStart w:id="185" w:name="_Ref381355489"/>
      <w:bookmarkStart w:id="186" w:name="_Toc387675121"/>
      <w:r>
        <w:t>Assessed q</w:t>
      </w:r>
      <w:r w:rsidRPr="001872A5">
        <w:t>uality</w:t>
      </w:r>
      <w:r>
        <w:t xml:space="preserve"> of operational evaluations</w:t>
      </w:r>
      <w:bookmarkEnd w:id="184"/>
      <w:bookmarkEnd w:id="185"/>
      <w:bookmarkEnd w:id="186"/>
    </w:p>
    <w:p w14:paraId="698E8B7E" w14:textId="77777777" w:rsidR="0062333E" w:rsidRPr="00AA53A1" w:rsidRDefault="0062333E" w:rsidP="0062333E">
      <w:pPr>
        <w:pStyle w:val="Heading3"/>
      </w:pPr>
      <w:r w:rsidRPr="00AA53A1">
        <w:t xml:space="preserve">Coverage of the aid program </w:t>
      </w:r>
    </w:p>
    <w:p w14:paraId="1C8A4BC6" w14:textId="568B9771" w:rsidR="0062333E" w:rsidRPr="00AA53A1" w:rsidRDefault="0062333E" w:rsidP="0062333E">
      <w:r w:rsidRPr="00AA53A1">
        <w:t>Compliance with mandatory operational evaluation requirements was satisfactory</w:t>
      </w:r>
      <w:r w:rsidR="00A83802">
        <w:t>.</w:t>
      </w:r>
      <w:r w:rsidRPr="00AA53A1">
        <w:t xml:space="preserve"> </w:t>
      </w:r>
      <w:r w:rsidR="00A83802">
        <w:t>T</w:t>
      </w:r>
      <w:r w:rsidRPr="00AA53A1">
        <w:t>he initiatives evaluated were diverse in terms of value, sector and geographic region, and can be considered broadly representative of the overall Australian aid program.</w:t>
      </w:r>
      <w:r w:rsidR="00A74814">
        <w:t xml:space="preserve"> </w:t>
      </w:r>
    </w:p>
    <w:p w14:paraId="0089AD18" w14:textId="77777777" w:rsidR="002A4358" w:rsidRDefault="002A4358" w:rsidP="002A4358">
      <w:pPr>
        <w:pStyle w:val="Heading3"/>
      </w:pPr>
      <w:r>
        <w:t>Evaluation designs</w:t>
      </w:r>
    </w:p>
    <w:p w14:paraId="3CC2341B" w14:textId="0A644AEF" w:rsidR="002A4358" w:rsidRPr="009F7C6D" w:rsidRDefault="003F74FE" w:rsidP="002A4358">
      <w:pPr>
        <w:rPr>
          <w:color w:val="000000" w:themeColor="text1"/>
        </w:rPr>
      </w:pPr>
      <w:r>
        <w:rPr>
          <w:color w:val="000000" w:themeColor="text1"/>
        </w:rPr>
        <w:t xml:space="preserve">A greater focus </w:t>
      </w:r>
      <w:r w:rsidRPr="005375C2">
        <w:rPr>
          <w:color w:val="000000" w:themeColor="text1"/>
        </w:rPr>
        <w:t xml:space="preserve">on </w:t>
      </w:r>
      <w:r>
        <w:rPr>
          <w:color w:val="000000" w:themeColor="text1"/>
        </w:rPr>
        <w:t xml:space="preserve">improvement at </w:t>
      </w:r>
      <w:r w:rsidRPr="005375C2">
        <w:rPr>
          <w:color w:val="000000" w:themeColor="text1"/>
        </w:rPr>
        <w:t>the evaluation design phase (ev</w:t>
      </w:r>
      <w:r>
        <w:rPr>
          <w:color w:val="000000" w:themeColor="text1"/>
        </w:rPr>
        <w:t>aluation terms of reference and</w:t>
      </w:r>
      <w:r w:rsidRPr="005375C2">
        <w:rPr>
          <w:color w:val="000000" w:themeColor="text1"/>
        </w:rPr>
        <w:t xml:space="preserve"> evaluation plans) may help </w:t>
      </w:r>
      <w:r>
        <w:rPr>
          <w:color w:val="000000" w:themeColor="text1"/>
        </w:rPr>
        <w:t>strengthen</w:t>
      </w:r>
      <w:r w:rsidRPr="005375C2">
        <w:rPr>
          <w:color w:val="000000" w:themeColor="text1"/>
        </w:rPr>
        <w:t xml:space="preserve"> overall evaluation quality.</w:t>
      </w:r>
      <w:r w:rsidR="00A74814">
        <w:rPr>
          <w:color w:val="000000" w:themeColor="text1"/>
        </w:rPr>
        <w:t xml:space="preserve"> </w:t>
      </w:r>
      <w:r>
        <w:rPr>
          <w:color w:val="000000" w:themeColor="text1"/>
        </w:rPr>
        <w:t>W</w:t>
      </w:r>
      <w:r w:rsidRPr="00CA75F2">
        <w:rPr>
          <w:color w:val="000000" w:themeColor="text1"/>
        </w:rPr>
        <w:t>e found that most evaluations had a clear purpose</w:t>
      </w:r>
      <w:r w:rsidR="00ED0C66">
        <w:rPr>
          <w:color w:val="000000" w:themeColor="text1"/>
        </w:rPr>
        <w:t>.</w:t>
      </w:r>
      <w:r w:rsidR="00A74814">
        <w:rPr>
          <w:color w:val="000000" w:themeColor="text1"/>
        </w:rPr>
        <w:t xml:space="preserve"> </w:t>
      </w:r>
      <w:r w:rsidR="00ED0C66">
        <w:rPr>
          <w:color w:val="000000" w:themeColor="text1"/>
        </w:rPr>
        <w:t>However</w:t>
      </w:r>
      <w:r w:rsidR="00A83802">
        <w:rPr>
          <w:color w:val="000000" w:themeColor="text1"/>
        </w:rPr>
        <w:t>,</w:t>
      </w:r>
      <w:r w:rsidR="00ED0C66">
        <w:rPr>
          <w:color w:val="000000" w:themeColor="text1"/>
        </w:rPr>
        <w:t xml:space="preserve"> </w:t>
      </w:r>
      <w:r w:rsidRPr="00CA75F2">
        <w:rPr>
          <w:color w:val="000000" w:themeColor="text1"/>
        </w:rPr>
        <w:t xml:space="preserve">just over half </w:t>
      </w:r>
      <w:r w:rsidR="00ED0C66">
        <w:rPr>
          <w:color w:val="000000" w:themeColor="text1"/>
        </w:rPr>
        <w:t xml:space="preserve">had weak or no assessment of </w:t>
      </w:r>
      <w:r w:rsidRPr="00CA75F2">
        <w:rPr>
          <w:color w:val="000000" w:themeColor="text1"/>
        </w:rPr>
        <w:t>the</w:t>
      </w:r>
      <w:r>
        <w:rPr>
          <w:color w:val="000000" w:themeColor="text1"/>
        </w:rPr>
        <w:t xml:space="preserve"> underlying</w:t>
      </w:r>
      <w:r w:rsidRPr="00CA75F2">
        <w:rPr>
          <w:color w:val="000000" w:themeColor="text1"/>
        </w:rPr>
        <w:t xml:space="preserve"> logic of the intervention, </w:t>
      </w:r>
      <w:r>
        <w:rPr>
          <w:color w:val="000000" w:themeColor="text1"/>
        </w:rPr>
        <w:t xml:space="preserve">or </w:t>
      </w:r>
      <w:r w:rsidRPr="00CA75F2">
        <w:rPr>
          <w:color w:val="000000" w:themeColor="text1"/>
        </w:rPr>
        <w:t>did not adequately justify the evaluation methodology used.</w:t>
      </w:r>
      <w:r w:rsidR="00A74814">
        <w:rPr>
          <w:color w:val="000000" w:themeColor="text1"/>
        </w:rPr>
        <w:t xml:space="preserve"> </w:t>
      </w:r>
      <w:r>
        <w:rPr>
          <w:color w:val="000000" w:themeColor="text1"/>
        </w:rPr>
        <w:t xml:space="preserve">This </w:t>
      </w:r>
      <w:r w:rsidR="00ED0C66">
        <w:rPr>
          <w:color w:val="000000" w:themeColor="text1"/>
        </w:rPr>
        <w:t>may</w:t>
      </w:r>
      <w:r>
        <w:rPr>
          <w:color w:val="000000" w:themeColor="text1"/>
        </w:rPr>
        <w:t xml:space="preserve"> reflect the absence of any specific guidelines requiring either an assessment of the underlying logic or the justification of methodology.</w:t>
      </w:r>
      <w:r w:rsidR="00A74814">
        <w:rPr>
          <w:color w:val="000000" w:themeColor="text1"/>
        </w:rPr>
        <w:t xml:space="preserve"> </w:t>
      </w:r>
      <w:r>
        <w:rPr>
          <w:color w:val="000000" w:themeColor="text1"/>
        </w:rPr>
        <w:t xml:space="preserve">It may also relate to the capacity of </w:t>
      </w:r>
      <w:r w:rsidRPr="006C4F7A">
        <w:rPr>
          <w:color w:val="000000" w:themeColor="text1"/>
        </w:rPr>
        <w:t>non-speciali</w:t>
      </w:r>
      <w:r w:rsidRPr="00EF7AFB">
        <w:rPr>
          <w:color w:val="000000" w:themeColor="text1"/>
        </w:rPr>
        <w:t>st</w:t>
      </w:r>
      <w:r>
        <w:rPr>
          <w:color w:val="000000" w:themeColor="text1"/>
        </w:rPr>
        <w:t xml:space="preserve"> staff to commission high</w:t>
      </w:r>
      <w:r w:rsidR="0076232D">
        <w:rPr>
          <w:color w:val="000000" w:themeColor="text1"/>
        </w:rPr>
        <w:t>-</w:t>
      </w:r>
      <w:r>
        <w:rPr>
          <w:color w:val="000000" w:themeColor="text1"/>
        </w:rPr>
        <w:t>quality evaluations.</w:t>
      </w:r>
      <w:r w:rsidR="00A74814">
        <w:rPr>
          <w:color w:val="000000" w:themeColor="text1"/>
        </w:rPr>
        <w:t xml:space="preserve"> </w:t>
      </w:r>
      <w:r>
        <w:rPr>
          <w:color w:val="000000" w:themeColor="text1"/>
        </w:rPr>
        <w:t>This finding suggests a need to focus greater support and quality assurance efforts at this early stage.</w:t>
      </w:r>
      <w:r w:rsidR="00A74814">
        <w:rPr>
          <w:color w:val="000000" w:themeColor="text1"/>
        </w:rPr>
        <w:t xml:space="preserve"> </w:t>
      </w:r>
      <w:r>
        <w:rPr>
          <w:color w:val="000000" w:themeColor="text1"/>
        </w:rPr>
        <w:t>E</w:t>
      </w:r>
      <w:r w:rsidR="002A4358" w:rsidRPr="009F7C6D">
        <w:rPr>
          <w:color w:val="000000" w:themeColor="text1"/>
        </w:rPr>
        <w:t xml:space="preserve">nsuring sufficient </w:t>
      </w:r>
      <w:r w:rsidR="00CA1F7D">
        <w:rPr>
          <w:color w:val="000000" w:themeColor="text1"/>
        </w:rPr>
        <w:t xml:space="preserve">lead time and </w:t>
      </w:r>
      <w:r w:rsidR="002A4358" w:rsidRPr="009F7C6D">
        <w:rPr>
          <w:color w:val="000000" w:themeColor="text1"/>
        </w:rPr>
        <w:t>resourcing (consultancy days) for the evaluator to develop and negotiate a strong evaluation plan</w:t>
      </w:r>
      <w:r>
        <w:rPr>
          <w:color w:val="000000" w:themeColor="text1"/>
        </w:rPr>
        <w:t xml:space="preserve"> may also help</w:t>
      </w:r>
      <w:r w:rsidR="002A4358" w:rsidRPr="009F7C6D">
        <w:rPr>
          <w:color w:val="000000" w:themeColor="text1"/>
        </w:rPr>
        <w:t>.</w:t>
      </w:r>
    </w:p>
    <w:p w14:paraId="0155C71B" w14:textId="77777777" w:rsidR="002A4358" w:rsidRPr="0073736C" w:rsidRDefault="002A4358" w:rsidP="002A4358">
      <w:pPr>
        <w:pStyle w:val="Heading3"/>
      </w:pPr>
      <w:r w:rsidRPr="0073736C">
        <w:t>Evaluation reports</w:t>
      </w:r>
    </w:p>
    <w:p w14:paraId="52C406D6" w14:textId="1088DFDF" w:rsidR="0062333E" w:rsidRPr="0062333E" w:rsidRDefault="0062333E" w:rsidP="0062333E">
      <w:r w:rsidRPr="0062333E">
        <w:t>We found the overall credibility of the evidence and analysis in the evaluation reports to be satisfactory in 74</w:t>
      </w:r>
      <w:r w:rsidR="00A83802">
        <w:t> </w:t>
      </w:r>
      <w:r w:rsidRPr="0062333E">
        <w:t>per cent of cases.</w:t>
      </w:r>
      <w:r w:rsidR="00A74814">
        <w:t xml:space="preserve"> </w:t>
      </w:r>
      <w:r w:rsidRPr="0062333E">
        <w:t>Most other aspects of the quality of the evaluation reports were also satisfactory in the majority of cases.</w:t>
      </w:r>
      <w:r w:rsidR="00A74814">
        <w:t xml:space="preserve"> </w:t>
      </w:r>
      <w:r>
        <w:rPr>
          <w:color w:val="000000" w:themeColor="text1"/>
        </w:rPr>
        <w:t>T</w:t>
      </w:r>
      <w:r w:rsidRPr="0073736C">
        <w:rPr>
          <w:color w:val="000000" w:themeColor="text1"/>
        </w:rPr>
        <w:t>he quality of the evaluations</w:t>
      </w:r>
      <w:r w:rsidR="00744801">
        <w:rPr>
          <w:color w:val="000000" w:themeColor="text1"/>
        </w:rPr>
        <w:t>’</w:t>
      </w:r>
      <w:r w:rsidRPr="0073736C">
        <w:rPr>
          <w:color w:val="000000" w:themeColor="text1"/>
        </w:rPr>
        <w:t xml:space="preserve"> assessments of the initiative</w:t>
      </w:r>
      <w:r w:rsidR="00A83802">
        <w:rPr>
          <w:color w:val="000000" w:themeColor="text1"/>
        </w:rPr>
        <w:t>’s monitoring and evaluation</w:t>
      </w:r>
      <w:r w:rsidRPr="0073736C">
        <w:rPr>
          <w:color w:val="000000" w:themeColor="text1"/>
        </w:rPr>
        <w:t xml:space="preserve"> </w:t>
      </w:r>
      <w:r w:rsidR="00A83802">
        <w:rPr>
          <w:color w:val="000000" w:themeColor="text1"/>
        </w:rPr>
        <w:t>(</w:t>
      </w:r>
      <w:r w:rsidRPr="0073736C">
        <w:rPr>
          <w:color w:val="000000" w:themeColor="text1"/>
        </w:rPr>
        <w:t>M&amp;E</w:t>
      </w:r>
      <w:r w:rsidR="00A83802">
        <w:rPr>
          <w:color w:val="000000" w:themeColor="text1"/>
        </w:rPr>
        <w:t>)</w:t>
      </w:r>
      <w:r w:rsidRPr="0073736C">
        <w:rPr>
          <w:color w:val="000000" w:themeColor="text1"/>
        </w:rPr>
        <w:t xml:space="preserve"> systems and the quality of recommendations</w:t>
      </w:r>
      <w:r>
        <w:rPr>
          <w:color w:val="000000" w:themeColor="text1"/>
        </w:rPr>
        <w:t xml:space="preserve"> were</w:t>
      </w:r>
      <w:r w:rsidR="00A83802">
        <w:rPr>
          <w:color w:val="000000" w:themeColor="text1"/>
        </w:rPr>
        <w:t xml:space="preserve"> good</w:t>
      </w:r>
      <w:r>
        <w:rPr>
          <w:color w:val="000000" w:themeColor="text1"/>
        </w:rPr>
        <w:t xml:space="preserve"> overall</w:t>
      </w:r>
      <w:r w:rsidRPr="0073736C">
        <w:rPr>
          <w:color w:val="000000" w:themeColor="text1"/>
        </w:rPr>
        <w:t>.</w:t>
      </w:r>
      <w:r w:rsidR="00A74814">
        <w:rPr>
          <w:color w:val="000000" w:themeColor="text1"/>
        </w:rPr>
        <w:t xml:space="preserve"> </w:t>
      </w:r>
      <w:r w:rsidR="00471B0D">
        <w:rPr>
          <w:color w:val="000000" w:themeColor="text1"/>
        </w:rPr>
        <w:t xml:space="preserve">However, </w:t>
      </w:r>
      <w:r w:rsidR="00471B0D">
        <w:t>r</w:t>
      </w:r>
      <w:r w:rsidRPr="0062333E">
        <w:t>eport quality could</w:t>
      </w:r>
      <w:r w:rsidR="00471B0D">
        <w:t xml:space="preserve"> </w:t>
      </w:r>
      <w:r w:rsidRPr="0062333E">
        <w:t xml:space="preserve">be improved by </w:t>
      </w:r>
      <w:r w:rsidR="00ED0C66">
        <w:t xml:space="preserve">a </w:t>
      </w:r>
      <w:r w:rsidRPr="0062333E">
        <w:t>stronger focus on analysis of the extent to which initiatives contribute to the outcomes observed and on the influence of context on initiative performance.</w:t>
      </w:r>
      <w:r w:rsidR="00A74814">
        <w:t xml:space="preserve"> </w:t>
      </w:r>
    </w:p>
    <w:p w14:paraId="45472A24" w14:textId="18E8F1CA" w:rsidR="002A4358" w:rsidRPr="0073736C" w:rsidRDefault="00994031" w:rsidP="00DB14D6">
      <w:pPr>
        <w:pStyle w:val="Heading3"/>
        <w:ind w:left="0" w:firstLine="0"/>
      </w:pPr>
      <w:r>
        <w:t>E</w:t>
      </w:r>
      <w:r w:rsidR="002A4358" w:rsidRPr="0073736C">
        <w:t>valuations</w:t>
      </w:r>
      <w:r w:rsidR="00744801">
        <w:t>’</w:t>
      </w:r>
      <w:r w:rsidR="002A4358" w:rsidRPr="0073736C">
        <w:t xml:space="preserve"> assessments against the standard Australian aid quality criteria</w:t>
      </w:r>
    </w:p>
    <w:p w14:paraId="562889AF" w14:textId="214832B8" w:rsidR="007F2C88" w:rsidRDefault="00CC2F8B" w:rsidP="002A4358">
      <w:pPr>
        <w:rPr>
          <w:color w:val="000000" w:themeColor="text1"/>
        </w:rPr>
      </w:pPr>
      <w:r>
        <w:rPr>
          <w:color w:val="000000" w:themeColor="text1"/>
        </w:rPr>
        <w:t>W</w:t>
      </w:r>
      <w:r w:rsidR="002A4358" w:rsidRPr="00BB6AA3">
        <w:rPr>
          <w:color w:val="000000" w:themeColor="text1"/>
        </w:rPr>
        <w:t>e found that most</w:t>
      </w:r>
      <w:r w:rsidRPr="00CC2F8B">
        <w:rPr>
          <w:color w:val="000000" w:themeColor="text1"/>
        </w:rPr>
        <w:t xml:space="preserve"> </w:t>
      </w:r>
      <w:r w:rsidRPr="00BB6AA3">
        <w:rPr>
          <w:color w:val="000000" w:themeColor="text1"/>
        </w:rPr>
        <w:t>of the evaluations</w:t>
      </w:r>
      <w:r w:rsidR="00744801">
        <w:rPr>
          <w:color w:val="000000" w:themeColor="text1"/>
        </w:rPr>
        <w:t>’</w:t>
      </w:r>
      <w:r w:rsidRPr="00BB6AA3">
        <w:rPr>
          <w:color w:val="000000" w:themeColor="text1"/>
        </w:rPr>
        <w:t xml:space="preserve"> </w:t>
      </w:r>
      <w:r w:rsidR="002A4358" w:rsidRPr="00BB6AA3">
        <w:rPr>
          <w:color w:val="000000" w:themeColor="text1"/>
        </w:rPr>
        <w:t xml:space="preserve">assessments of </w:t>
      </w:r>
      <w:r w:rsidRPr="0062333E">
        <w:t>the relevance and effectiveness of the aid initiative</w:t>
      </w:r>
      <w:r w:rsidRPr="00BB6AA3">
        <w:rPr>
          <w:color w:val="000000" w:themeColor="text1"/>
        </w:rPr>
        <w:t xml:space="preserve"> </w:t>
      </w:r>
      <w:r w:rsidR="002A4358" w:rsidRPr="00BB6AA3">
        <w:rPr>
          <w:color w:val="000000" w:themeColor="text1"/>
        </w:rPr>
        <w:t>were of adequate quality</w:t>
      </w:r>
      <w:r w:rsidR="009B71BF">
        <w:rPr>
          <w:color w:val="000000" w:themeColor="text1"/>
        </w:rPr>
        <w:t xml:space="preserve"> or better</w:t>
      </w:r>
      <w:r>
        <w:rPr>
          <w:color w:val="000000" w:themeColor="text1"/>
        </w:rPr>
        <w:t>, which suggests that</w:t>
      </w:r>
      <w:r w:rsidRPr="0062333E">
        <w:t xml:space="preserve"> operational evaluations are generally a robust source of evidence about the effectiveness of the Australian aid program.</w:t>
      </w:r>
      <w:r w:rsidR="00A74814">
        <w:rPr>
          <w:color w:val="000000" w:themeColor="text1"/>
        </w:rPr>
        <w:t xml:space="preserve"> </w:t>
      </w:r>
    </w:p>
    <w:p w14:paraId="6C36D9E9" w14:textId="33BCDD2A" w:rsidR="007F2C88" w:rsidRPr="00BB6AA3" w:rsidRDefault="002A4358" w:rsidP="002A4358">
      <w:pPr>
        <w:rPr>
          <w:color w:val="000000" w:themeColor="text1"/>
        </w:rPr>
      </w:pPr>
      <w:r w:rsidRPr="00BB6AA3">
        <w:rPr>
          <w:color w:val="000000" w:themeColor="text1"/>
        </w:rPr>
        <w:t xml:space="preserve">However, only about half of </w:t>
      </w:r>
      <w:r w:rsidR="00B74674">
        <w:rPr>
          <w:color w:val="000000" w:themeColor="text1"/>
        </w:rPr>
        <w:t xml:space="preserve">the </w:t>
      </w:r>
      <w:r w:rsidRPr="00BB6AA3">
        <w:rPr>
          <w:color w:val="000000" w:themeColor="text1"/>
        </w:rPr>
        <w:t xml:space="preserve">assessments against other </w:t>
      </w:r>
      <w:r w:rsidR="00CC2F8B">
        <w:rPr>
          <w:color w:val="000000" w:themeColor="text1"/>
        </w:rPr>
        <w:t xml:space="preserve">standard Australian aid </w:t>
      </w:r>
      <w:r w:rsidRPr="00BB6AA3">
        <w:rPr>
          <w:color w:val="000000" w:themeColor="text1"/>
        </w:rPr>
        <w:t>criteria</w:t>
      </w:r>
      <w:r w:rsidR="00471B0D">
        <w:rPr>
          <w:rFonts w:ascii="Arial" w:hAnsi="Arial"/>
          <w:color w:val="000000" w:themeColor="text1"/>
        </w:rPr>
        <w:t>—</w:t>
      </w:r>
      <w:r w:rsidR="00CC2F8B">
        <w:rPr>
          <w:color w:val="000000" w:themeColor="text1"/>
        </w:rPr>
        <w:t>efficiency, sustainability and gender equality</w:t>
      </w:r>
      <w:r w:rsidR="00471B0D">
        <w:rPr>
          <w:rFonts w:ascii="Arial" w:hAnsi="Arial"/>
          <w:color w:val="000000" w:themeColor="text1"/>
        </w:rPr>
        <w:t>—</w:t>
      </w:r>
      <w:r w:rsidRPr="00BB6AA3">
        <w:rPr>
          <w:color w:val="000000" w:themeColor="text1"/>
        </w:rPr>
        <w:t>were adequate.</w:t>
      </w:r>
      <w:r w:rsidR="00A74814">
        <w:rPr>
          <w:color w:val="000000" w:themeColor="text1"/>
        </w:rPr>
        <w:t xml:space="preserve"> </w:t>
      </w:r>
    </w:p>
    <w:p w14:paraId="0F52A999" w14:textId="3D521C8D" w:rsidR="002A4358" w:rsidRDefault="002A4358" w:rsidP="002A4358">
      <w:pPr>
        <w:rPr>
          <w:color w:val="000000" w:themeColor="text1"/>
        </w:rPr>
      </w:pPr>
      <w:r>
        <w:rPr>
          <w:color w:val="000000" w:themeColor="text1"/>
        </w:rPr>
        <w:t>Most notably, we found that</w:t>
      </w:r>
      <w:r w:rsidR="00146AA1">
        <w:rPr>
          <w:color w:val="000000" w:themeColor="text1"/>
        </w:rPr>
        <w:t xml:space="preserve"> consideration of initiative</w:t>
      </w:r>
      <w:r>
        <w:rPr>
          <w:color w:val="000000" w:themeColor="text1"/>
        </w:rPr>
        <w:t xml:space="preserve"> impact was frequently omitted from evaluation terms of reference and was not assessed.</w:t>
      </w:r>
      <w:r w:rsidR="00A74814">
        <w:rPr>
          <w:color w:val="000000" w:themeColor="text1"/>
        </w:rPr>
        <w:t xml:space="preserve"> </w:t>
      </w:r>
      <w:r>
        <w:rPr>
          <w:color w:val="000000" w:themeColor="text1"/>
        </w:rPr>
        <w:t>In cases where it was assessed, the proportion of assessments found to be adequate was low.</w:t>
      </w:r>
      <w:r w:rsidR="00A74814">
        <w:rPr>
          <w:color w:val="000000" w:themeColor="text1"/>
        </w:rPr>
        <w:t xml:space="preserve"> </w:t>
      </w:r>
      <w:r>
        <w:rPr>
          <w:color w:val="000000" w:themeColor="text1"/>
        </w:rPr>
        <w:t xml:space="preserve">This </w:t>
      </w:r>
      <w:r w:rsidR="00ED0C66">
        <w:rPr>
          <w:color w:val="000000" w:themeColor="text1"/>
        </w:rPr>
        <w:t>is understandable given</w:t>
      </w:r>
      <w:r>
        <w:rPr>
          <w:color w:val="000000" w:themeColor="text1"/>
        </w:rPr>
        <w:t xml:space="preserve"> that </w:t>
      </w:r>
      <w:r w:rsidR="00ED0C66">
        <w:rPr>
          <w:color w:val="000000" w:themeColor="text1"/>
        </w:rPr>
        <w:t>im</w:t>
      </w:r>
      <w:r>
        <w:rPr>
          <w:color w:val="000000" w:themeColor="text1"/>
        </w:rPr>
        <w:t xml:space="preserve">pact is typically not </w:t>
      </w:r>
      <w:r>
        <w:rPr>
          <w:color w:val="000000" w:themeColor="text1"/>
        </w:rPr>
        <w:lastRenderedPageBreak/>
        <w:t>apparent until well after the completion of an initiative, whereas the evaluations</w:t>
      </w:r>
      <w:r w:rsidR="00096860">
        <w:rPr>
          <w:color w:val="000000" w:themeColor="text1"/>
        </w:rPr>
        <w:t xml:space="preserve"> we reviewed</w:t>
      </w:r>
      <w:r>
        <w:rPr>
          <w:color w:val="000000" w:themeColor="text1"/>
        </w:rPr>
        <w:t xml:space="preserve"> (except for the two ex-post evaluations) were conducted during the implementation of the initiative, often mid-implementation.</w:t>
      </w:r>
      <w:r w:rsidR="00A74814">
        <w:rPr>
          <w:color w:val="000000" w:themeColor="text1"/>
        </w:rPr>
        <w:t xml:space="preserve"> </w:t>
      </w:r>
      <w:r w:rsidR="00CA1F7D">
        <w:rPr>
          <w:color w:val="000000" w:themeColor="text1"/>
        </w:rPr>
        <w:t xml:space="preserve">The inability of most evaluations to examine impact suggests the need for further thinking within the department as to how best </w:t>
      </w:r>
      <w:r w:rsidR="00096860">
        <w:rPr>
          <w:color w:val="000000" w:themeColor="text1"/>
        </w:rPr>
        <w:t xml:space="preserve">to </w:t>
      </w:r>
      <w:r w:rsidR="00CA1F7D">
        <w:rPr>
          <w:color w:val="000000" w:themeColor="text1"/>
        </w:rPr>
        <w:t xml:space="preserve">capture and </w:t>
      </w:r>
      <w:r w:rsidR="00096860">
        <w:rPr>
          <w:color w:val="000000" w:themeColor="text1"/>
        </w:rPr>
        <w:t>consider</w:t>
      </w:r>
      <w:r w:rsidR="00D315F8">
        <w:rPr>
          <w:color w:val="000000" w:themeColor="text1"/>
        </w:rPr>
        <w:t xml:space="preserve"> aid</w:t>
      </w:r>
      <w:r w:rsidR="00CA1F7D">
        <w:rPr>
          <w:color w:val="000000" w:themeColor="text1"/>
        </w:rPr>
        <w:t xml:space="preserve"> impact.</w:t>
      </w:r>
    </w:p>
    <w:p w14:paraId="71410010" w14:textId="77777777" w:rsidR="002A4358" w:rsidRPr="00F56FF4" w:rsidRDefault="002A4358" w:rsidP="002A4358">
      <w:pPr>
        <w:pStyle w:val="Heading3"/>
      </w:pPr>
      <w:r w:rsidRPr="00F56FF4">
        <w:t xml:space="preserve">Numerical ratings </w:t>
      </w:r>
      <w:r w:rsidRPr="0073736C">
        <w:t>against the standard Australian aid quality c</w:t>
      </w:r>
      <w:r>
        <w:t>riteria</w:t>
      </w:r>
    </w:p>
    <w:p w14:paraId="65AC4977" w14:textId="7C823AD7" w:rsidR="002A4358" w:rsidRPr="00E90E76" w:rsidRDefault="00096860" w:rsidP="002A4358">
      <w:pPr>
        <w:rPr>
          <w:color w:val="000000" w:themeColor="text1"/>
        </w:rPr>
      </w:pPr>
      <w:r>
        <w:rPr>
          <w:color w:val="000000" w:themeColor="text1"/>
        </w:rPr>
        <w:t>N</w:t>
      </w:r>
      <w:r w:rsidR="002A4358">
        <w:rPr>
          <w:color w:val="000000" w:themeColor="text1"/>
        </w:rPr>
        <w:t xml:space="preserve">umerical ratings against the standard Australian aid quality criteria were provided in </w:t>
      </w:r>
      <w:r w:rsidR="008C1678">
        <w:rPr>
          <w:color w:val="000000" w:themeColor="text1"/>
        </w:rPr>
        <w:t xml:space="preserve">fewer </w:t>
      </w:r>
      <w:r w:rsidR="002A4358">
        <w:rPr>
          <w:color w:val="000000" w:themeColor="text1"/>
        </w:rPr>
        <w:t>than half of</w:t>
      </w:r>
      <w:r w:rsidR="008C1678">
        <w:rPr>
          <w:color w:val="000000" w:themeColor="text1"/>
        </w:rPr>
        <w:t xml:space="preserve"> the</w:t>
      </w:r>
      <w:r w:rsidR="002A4358">
        <w:rPr>
          <w:color w:val="000000" w:themeColor="text1"/>
        </w:rPr>
        <w:t xml:space="preserve"> evaluation reports.</w:t>
      </w:r>
      <w:r w:rsidR="00A74814">
        <w:rPr>
          <w:color w:val="000000" w:themeColor="text1"/>
        </w:rPr>
        <w:t xml:space="preserve"> </w:t>
      </w:r>
      <w:r w:rsidR="002A4358" w:rsidRPr="00BB6AA3">
        <w:rPr>
          <w:color w:val="000000" w:themeColor="text1"/>
        </w:rPr>
        <w:t xml:space="preserve">Where </w:t>
      </w:r>
      <w:r w:rsidR="002A4358">
        <w:rPr>
          <w:color w:val="000000" w:themeColor="text1"/>
        </w:rPr>
        <w:t>they</w:t>
      </w:r>
      <w:r w:rsidR="002A4358" w:rsidRPr="00BB6AA3">
        <w:rPr>
          <w:color w:val="000000" w:themeColor="text1"/>
        </w:rPr>
        <w:t xml:space="preserve"> were provided</w:t>
      </w:r>
      <w:r w:rsidR="002A4358">
        <w:rPr>
          <w:color w:val="000000" w:themeColor="text1"/>
        </w:rPr>
        <w:t>,</w:t>
      </w:r>
      <w:r w:rsidR="002A4358" w:rsidRPr="00BB6AA3">
        <w:rPr>
          <w:color w:val="000000" w:themeColor="text1"/>
        </w:rPr>
        <w:t xml:space="preserve"> </w:t>
      </w:r>
      <w:r w:rsidR="002A4358">
        <w:rPr>
          <w:color w:val="000000" w:themeColor="text1"/>
        </w:rPr>
        <w:t xml:space="preserve">the vast majority </w:t>
      </w:r>
      <w:r w:rsidR="00ED0C66">
        <w:rPr>
          <w:color w:val="000000" w:themeColor="text1"/>
        </w:rPr>
        <w:t xml:space="preserve">of </w:t>
      </w:r>
      <w:r w:rsidR="002A4358">
        <w:rPr>
          <w:color w:val="000000" w:themeColor="text1"/>
        </w:rPr>
        <w:t xml:space="preserve">initiatives were rated </w:t>
      </w:r>
      <w:r>
        <w:rPr>
          <w:color w:val="000000" w:themeColor="text1"/>
        </w:rPr>
        <w:t xml:space="preserve">as </w:t>
      </w:r>
      <w:r w:rsidR="002A4358">
        <w:rPr>
          <w:color w:val="000000" w:themeColor="text1"/>
        </w:rPr>
        <w:t xml:space="preserve">adequate </w:t>
      </w:r>
      <w:r w:rsidR="009B71BF">
        <w:rPr>
          <w:color w:val="000000" w:themeColor="text1"/>
        </w:rPr>
        <w:t xml:space="preserve">or better </w:t>
      </w:r>
      <w:r w:rsidR="002A4358">
        <w:rPr>
          <w:color w:val="000000" w:themeColor="text1"/>
        </w:rPr>
        <w:t>for relevance and effectiveness.</w:t>
      </w:r>
      <w:r w:rsidR="00A74814">
        <w:rPr>
          <w:color w:val="000000" w:themeColor="text1"/>
        </w:rPr>
        <w:t xml:space="preserve"> </w:t>
      </w:r>
      <w:r w:rsidR="002A4358">
        <w:rPr>
          <w:color w:val="000000" w:themeColor="text1"/>
        </w:rPr>
        <w:t>The proportion rated adequate for efficiency, gender equality and particularly M&amp;E was significantly lower.</w:t>
      </w:r>
      <w:r w:rsidR="00A74814">
        <w:rPr>
          <w:color w:val="000000" w:themeColor="text1"/>
        </w:rPr>
        <w:t xml:space="preserve"> </w:t>
      </w:r>
      <w:r w:rsidR="002A4358">
        <w:rPr>
          <w:color w:val="000000" w:themeColor="text1"/>
        </w:rPr>
        <w:t>We found that about two-thirds of numerical ratings (</w:t>
      </w:r>
      <w:r w:rsidR="002A4358" w:rsidRPr="00BB6AA3">
        <w:rPr>
          <w:color w:val="000000" w:themeColor="text1"/>
        </w:rPr>
        <w:t>excluding impact) were robust</w:t>
      </w:r>
      <w:r w:rsidR="002A4358">
        <w:rPr>
          <w:color w:val="000000" w:themeColor="text1"/>
        </w:rPr>
        <w:t>, suggesting a need to ensure that evaluators are not overrating initiative performance in light of the actual evidence at hand.</w:t>
      </w:r>
      <w:r w:rsidR="00A74814">
        <w:rPr>
          <w:color w:val="000000" w:themeColor="text1"/>
        </w:rPr>
        <w:t xml:space="preserve"> </w:t>
      </w:r>
      <w:r w:rsidR="002A4358">
        <w:rPr>
          <w:color w:val="000000" w:themeColor="text1"/>
        </w:rPr>
        <w:t xml:space="preserve">The </w:t>
      </w:r>
      <w:r w:rsidR="002A4358" w:rsidRPr="00E90E76">
        <w:rPr>
          <w:color w:val="000000" w:themeColor="text1"/>
        </w:rPr>
        <w:t>low coverage and questionable robustness of ratings raise</w:t>
      </w:r>
      <w:r>
        <w:rPr>
          <w:color w:val="000000" w:themeColor="text1"/>
        </w:rPr>
        <w:t>s</w:t>
      </w:r>
      <w:r w:rsidR="002A4358" w:rsidRPr="00E90E76">
        <w:rPr>
          <w:color w:val="000000" w:themeColor="text1"/>
        </w:rPr>
        <w:t xml:space="preserve"> questions about the</w:t>
      </w:r>
      <w:r>
        <w:rPr>
          <w:color w:val="000000" w:themeColor="text1"/>
        </w:rPr>
        <w:t>ir</w:t>
      </w:r>
      <w:r w:rsidR="002A4358" w:rsidRPr="00E90E76">
        <w:rPr>
          <w:color w:val="000000" w:themeColor="text1"/>
        </w:rPr>
        <w:t xml:space="preserve"> purpose and utility.</w:t>
      </w:r>
      <w:r w:rsidR="00A74814">
        <w:rPr>
          <w:color w:val="000000" w:themeColor="text1"/>
        </w:rPr>
        <w:t xml:space="preserve"> </w:t>
      </w:r>
    </w:p>
    <w:p w14:paraId="1D8B4A8D" w14:textId="77777777" w:rsidR="002A4358" w:rsidRPr="002B6552" w:rsidRDefault="002A4358" w:rsidP="002A4358">
      <w:pPr>
        <w:pStyle w:val="Heading3"/>
      </w:pPr>
      <w:r w:rsidRPr="002B6552">
        <w:t>Evaluation resourcing</w:t>
      </w:r>
    </w:p>
    <w:p w14:paraId="03B7C16B" w14:textId="4799E238" w:rsidR="002A4358" w:rsidRPr="00AA60F8" w:rsidRDefault="002A4358" w:rsidP="002A4358">
      <w:pPr>
        <w:rPr>
          <w:color w:val="000000" w:themeColor="text1"/>
        </w:rPr>
      </w:pPr>
      <w:r>
        <w:t xml:space="preserve">As </w:t>
      </w:r>
      <w:r w:rsidR="00096860">
        <w:t xml:space="preserve">is </w:t>
      </w:r>
      <w:r>
        <w:t>to be expected, our findings suggest</w:t>
      </w:r>
      <w:r w:rsidRPr="007F10F2">
        <w:t xml:space="preserve"> that evaluation quality </w:t>
      </w:r>
      <w:r>
        <w:t>is</w:t>
      </w:r>
      <w:r w:rsidRPr="007F10F2">
        <w:t xml:space="preserve"> influenced by the level of resourcing provided.</w:t>
      </w:r>
      <w:r w:rsidR="00A74814">
        <w:t xml:space="preserve"> </w:t>
      </w:r>
      <w:r>
        <w:t>W</w:t>
      </w:r>
      <w:r w:rsidRPr="007F10F2">
        <w:t xml:space="preserve">e did not have enough reliable evaluation </w:t>
      </w:r>
      <w:r>
        <w:t>cost</w:t>
      </w:r>
      <w:r w:rsidRPr="007F10F2">
        <w:t xml:space="preserve"> </w:t>
      </w:r>
      <w:r w:rsidRPr="00DC2D0C">
        <w:rPr>
          <w:color w:val="000000" w:themeColor="text1"/>
        </w:rPr>
        <w:t xml:space="preserve">data to look for </w:t>
      </w:r>
      <w:r>
        <w:rPr>
          <w:color w:val="000000" w:themeColor="text1"/>
        </w:rPr>
        <w:t xml:space="preserve">direct </w:t>
      </w:r>
      <w:r w:rsidRPr="00DC2D0C">
        <w:rPr>
          <w:color w:val="000000" w:themeColor="text1"/>
        </w:rPr>
        <w:t xml:space="preserve">correlations with </w:t>
      </w:r>
      <w:r w:rsidRPr="00AA60F8">
        <w:rPr>
          <w:color w:val="000000" w:themeColor="text1"/>
        </w:rPr>
        <w:t>evaluation quality but we were able to use proxy indicators.</w:t>
      </w:r>
      <w:r w:rsidR="00A74814">
        <w:rPr>
          <w:color w:val="000000" w:themeColor="text1"/>
        </w:rPr>
        <w:t xml:space="preserve"> </w:t>
      </w:r>
    </w:p>
    <w:p w14:paraId="3B83D035" w14:textId="42FCEC52" w:rsidR="002A4358" w:rsidRPr="00AA53A1" w:rsidRDefault="00096860" w:rsidP="002A4358">
      <w:r>
        <w:t>O</w:t>
      </w:r>
      <w:r w:rsidR="002A4358" w:rsidRPr="00AA53A1">
        <w:t>n average, more resources tended to be applied to evaluating larger initiatives.</w:t>
      </w:r>
      <w:r w:rsidR="00A74814">
        <w:t xml:space="preserve"> </w:t>
      </w:r>
      <w:r>
        <w:t>U</w:t>
      </w:r>
      <w:r w:rsidR="002A4358" w:rsidRPr="00AA53A1">
        <w:t>p to a point, higher initiative value corresponded with higher evaluation quality.</w:t>
      </w:r>
      <w:r w:rsidR="00A74814">
        <w:t xml:space="preserve"> </w:t>
      </w:r>
      <w:r w:rsidR="002A4358" w:rsidRPr="00AA53A1">
        <w:t xml:space="preserve">However, </w:t>
      </w:r>
      <w:r w:rsidR="00AA53A1" w:rsidRPr="00AA53A1">
        <w:t xml:space="preserve">it was concerning to find </w:t>
      </w:r>
      <w:r w:rsidR="002A4358" w:rsidRPr="00AA53A1">
        <w:t>a lower than average proportion (</w:t>
      </w:r>
      <w:r>
        <w:t>six</w:t>
      </w:r>
      <w:r w:rsidR="002A4358" w:rsidRPr="00AA53A1">
        <w:t xml:space="preserve"> out of </w:t>
      </w:r>
      <w:r>
        <w:t>nine</w:t>
      </w:r>
      <w:r w:rsidR="002A4358" w:rsidRPr="00AA53A1">
        <w:t>, or 67 per cent) of evaluations for very large initiatives ($100</w:t>
      </w:r>
      <w:r>
        <w:t> </w:t>
      </w:r>
      <w:r w:rsidR="002A4358" w:rsidRPr="00AA53A1">
        <w:t>million or greater value) to be adequate quality.</w:t>
      </w:r>
      <w:r w:rsidR="00A74814">
        <w:t xml:space="preserve"> </w:t>
      </w:r>
      <w:r w:rsidR="00AA53A1" w:rsidRPr="00AA53A1">
        <w:t>This may in part reflect the complexity</w:t>
      </w:r>
      <w:r w:rsidR="00DB19B5">
        <w:t xml:space="preserve"> of many</w:t>
      </w:r>
      <w:r w:rsidR="001E25BB">
        <w:t xml:space="preserve"> </w:t>
      </w:r>
      <w:r w:rsidR="00AA53A1" w:rsidRPr="00AA53A1">
        <w:t>very large initiatives</w:t>
      </w:r>
      <w:r w:rsidR="002A4358" w:rsidRPr="00AA53A1">
        <w:t>.</w:t>
      </w:r>
      <w:r w:rsidR="00A74814">
        <w:t xml:space="preserve"> </w:t>
      </w:r>
    </w:p>
    <w:p w14:paraId="4AD74CC8" w14:textId="2FECDCEF" w:rsidR="002A4358" w:rsidRDefault="002A4358" w:rsidP="002A4358">
      <w:pPr>
        <w:rPr>
          <w:color w:val="000000" w:themeColor="text1"/>
        </w:rPr>
      </w:pPr>
      <w:r w:rsidRPr="00AA53A1">
        <w:t xml:space="preserve">We also found a positive correlation between evaluation quality and evaluation </w:t>
      </w:r>
      <w:r w:rsidR="00D315F8">
        <w:t>duration</w:t>
      </w:r>
      <w:r w:rsidRPr="00AA53A1">
        <w:t>.</w:t>
      </w:r>
      <w:r w:rsidR="00A74814">
        <w:t xml:space="preserve"> </w:t>
      </w:r>
      <w:r w:rsidRPr="00AA53A1">
        <w:t xml:space="preserve">Evaluations </w:t>
      </w:r>
      <w:r w:rsidR="00096860">
        <w:t>of</w:t>
      </w:r>
      <w:r w:rsidRPr="00AA53A1">
        <w:t xml:space="preserve"> good or very high quality averaged, respectively, 61 and 79 (calendar) days</w:t>
      </w:r>
      <w:r w:rsidR="00096860">
        <w:t xml:space="preserve"> in</w:t>
      </w:r>
      <w:r w:rsidRPr="00AA53A1">
        <w:t xml:space="preserve"> overall length, and 18</w:t>
      </w:r>
      <w:r w:rsidRPr="00471EA8">
        <w:rPr>
          <w:color w:val="000000" w:themeColor="text1"/>
        </w:rPr>
        <w:t xml:space="preserve"> and 25 (calendar) days </w:t>
      </w:r>
      <w:r w:rsidR="00096860">
        <w:rPr>
          <w:color w:val="000000" w:themeColor="text1"/>
        </w:rPr>
        <w:t xml:space="preserve">of </w:t>
      </w:r>
      <w:r w:rsidRPr="00471EA8">
        <w:rPr>
          <w:color w:val="000000" w:themeColor="text1"/>
        </w:rPr>
        <w:t xml:space="preserve">fieldwork. This suggests that evaluation commissioning areas should </w:t>
      </w:r>
      <w:r w:rsidR="00096860">
        <w:rPr>
          <w:color w:val="000000" w:themeColor="text1"/>
        </w:rPr>
        <w:t xml:space="preserve">allow </w:t>
      </w:r>
      <w:r w:rsidRPr="00471EA8">
        <w:rPr>
          <w:color w:val="000000" w:themeColor="text1"/>
        </w:rPr>
        <w:t>sufficient time for completion of evaluations, including adequate fieldwork time.</w:t>
      </w:r>
      <w:r w:rsidR="00A74814">
        <w:rPr>
          <w:color w:val="000000" w:themeColor="text1"/>
        </w:rPr>
        <w:t xml:space="preserve"> </w:t>
      </w:r>
    </w:p>
    <w:p w14:paraId="40A97218" w14:textId="77777777" w:rsidR="002A4358" w:rsidRDefault="002A4358" w:rsidP="002A4358">
      <w:pPr>
        <w:pStyle w:val="Heading3"/>
      </w:pPr>
      <w:r>
        <w:t>Type of evaluation</w:t>
      </w:r>
    </w:p>
    <w:p w14:paraId="3F8AC99A" w14:textId="0F15B295" w:rsidR="00EB0D2A" w:rsidRDefault="00EB0D2A" w:rsidP="00EB0D2A">
      <w:r w:rsidRPr="002B6552">
        <w:t xml:space="preserve">We found a higher proportion of </w:t>
      </w:r>
      <w:r w:rsidR="00AD7BDA">
        <w:t>independent progress report</w:t>
      </w:r>
      <w:r w:rsidRPr="002B6552">
        <w:t xml:space="preserve">s than </w:t>
      </w:r>
      <w:r w:rsidR="00AD7BDA">
        <w:t>independent completion report</w:t>
      </w:r>
      <w:r w:rsidRPr="002B6552">
        <w:t>s to be of adequate quality.</w:t>
      </w:r>
      <w:r w:rsidR="00A74814">
        <w:t xml:space="preserve"> </w:t>
      </w:r>
      <w:r>
        <w:t>Moreover, t</w:t>
      </w:r>
      <w:r w:rsidRPr="002B6552">
        <w:t xml:space="preserve">he quality of </w:t>
      </w:r>
      <w:r w:rsidR="00AD7BDA">
        <w:t>independent completion report</w:t>
      </w:r>
      <w:r w:rsidRPr="002B6552">
        <w:t>s was more variable</w:t>
      </w:r>
      <w:r w:rsidR="00096860">
        <w:t>:</w:t>
      </w:r>
      <w:r w:rsidRPr="002B6552">
        <w:t xml:space="preserve"> a higher proportion </w:t>
      </w:r>
      <w:r w:rsidR="00471B0D">
        <w:t xml:space="preserve">was </w:t>
      </w:r>
      <w:r w:rsidRPr="002B6552">
        <w:t xml:space="preserve">inadequate but </w:t>
      </w:r>
      <w:r w:rsidR="00096860">
        <w:t xml:space="preserve">also </w:t>
      </w:r>
      <w:r w:rsidRPr="002B6552">
        <w:t xml:space="preserve">a higher proportion </w:t>
      </w:r>
      <w:r w:rsidR="00471B0D">
        <w:t xml:space="preserve">was </w:t>
      </w:r>
      <w:r w:rsidRPr="002B6552">
        <w:t>good quality.</w:t>
      </w:r>
      <w:r w:rsidR="00A74814">
        <w:t xml:space="preserve"> </w:t>
      </w:r>
      <w:r w:rsidRPr="005E75C1">
        <w:t xml:space="preserve">The reasons for this difference are not clear but could be connected to </w:t>
      </w:r>
      <w:r>
        <w:t xml:space="preserve">the higher average level of resourcing for </w:t>
      </w:r>
      <w:r w:rsidR="00AD7BDA">
        <w:t>independent progress report</w:t>
      </w:r>
      <w:r>
        <w:t>s.</w:t>
      </w:r>
      <w:r w:rsidR="00A74814">
        <w:t xml:space="preserve"> </w:t>
      </w:r>
      <w:r>
        <w:t>It could also be connected to the</w:t>
      </w:r>
      <w:r w:rsidR="00096860">
        <w:t xml:space="preserve"> level of clarity</w:t>
      </w:r>
      <w:r w:rsidR="00C060B5">
        <w:t xml:space="preserve"> about the</w:t>
      </w:r>
      <w:r>
        <w:t xml:space="preserve"> purpose of the evaluation</w:t>
      </w:r>
      <w:r w:rsidR="00C060B5">
        <w:t xml:space="preserve">: </w:t>
      </w:r>
      <w:r>
        <w:t xml:space="preserve">sometimes </w:t>
      </w:r>
      <w:r w:rsidR="00C060B5">
        <w:t xml:space="preserve">the purpose is </w:t>
      </w:r>
      <w:r>
        <w:t>less clear at the close of an initiative</w:t>
      </w:r>
      <w:r w:rsidR="00C060B5">
        <w:t xml:space="preserve"> </w:t>
      </w:r>
      <w:r w:rsidRPr="00A9197E">
        <w:t>in terms of providing opportunities to inform critical programming decisions</w:t>
      </w:r>
      <w:r>
        <w:t>.</w:t>
      </w:r>
    </w:p>
    <w:p w14:paraId="4A64EC57" w14:textId="18A18580" w:rsidR="002A4358" w:rsidRDefault="00831F11" w:rsidP="002A4358">
      <w:pPr>
        <w:rPr>
          <w:color w:val="000000" w:themeColor="text1"/>
        </w:rPr>
      </w:pPr>
      <w:r>
        <w:rPr>
          <w:color w:val="000000" w:themeColor="text1"/>
        </w:rPr>
        <w:t>O</w:t>
      </w:r>
      <w:r w:rsidR="002A4358" w:rsidRPr="002B6552">
        <w:rPr>
          <w:color w:val="000000" w:themeColor="text1"/>
        </w:rPr>
        <w:t xml:space="preserve">verall the quality of </w:t>
      </w:r>
      <w:r w:rsidR="002A4358">
        <w:rPr>
          <w:color w:val="000000" w:themeColor="text1"/>
        </w:rPr>
        <w:t xml:space="preserve">evaluations managed by the former </w:t>
      </w:r>
      <w:r w:rsidR="002A4358" w:rsidRPr="002B6552">
        <w:rPr>
          <w:color w:val="000000" w:themeColor="text1"/>
        </w:rPr>
        <w:t>AusAID was at least as good as that of partner-led joint evaluations and this was generally achieved with fewer resources.</w:t>
      </w:r>
    </w:p>
    <w:p w14:paraId="1CCBA5D1" w14:textId="77777777" w:rsidR="002A4358" w:rsidRPr="002B6552" w:rsidRDefault="002A4358" w:rsidP="002A4358">
      <w:pPr>
        <w:pStyle w:val="Heading3"/>
      </w:pPr>
      <w:r w:rsidRPr="002B6552">
        <w:t>Evaluation team</w:t>
      </w:r>
    </w:p>
    <w:p w14:paraId="4BA4FF18" w14:textId="2F589951" w:rsidR="002A4358" w:rsidRPr="00233698" w:rsidRDefault="002A4358" w:rsidP="002A4358">
      <w:pPr>
        <w:rPr>
          <w:color w:val="000000" w:themeColor="text1"/>
        </w:rPr>
      </w:pPr>
      <w:r w:rsidRPr="00E2752C">
        <w:rPr>
          <w:color w:val="000000" w:themeColor="text1"/>
        </w:rPr>
        <w:t xml:space="preserve">We found </w:t>
      </w:r>
      <w:r>
        <w:rPr>
          <w:color w:val="000000" w:themeColor="text1"/>
        </w:rPr>
        <w:t>that evaluation</w:t>
      </w:r>
      <w:r w:rsidRPr="00E2752C">
        <w:rPr>
          <w:color w:val="000000" w:themeColor="text1"/>
        </w:rPr>
        <w:t xml:space="preserve"> teams of </w:t>
      </w:r>
      <w:r>
        <w:rPr>
          <w:color w:val="000000" w:themeColor="text1"/>
        </w:rPr>
        <w:t>three or four</w:t>
      </w:r>
      <w:r w:rsidRPr="00E2752C">
        <w:rPr>
          <w:color w:val="000000" w:themeColor="text1"/>
        </w:rPr>
        <w:t xml:space="preserve"> members (</w:t>
      </w:r>
      <w:r>
        <w:rPr>
          <w:color w:val="000000" w:themeColor="text1"/>
        </w:rPr>
        <w:t>not including</w:t>
      </w:r>
      <w:r w:rsidRPr="00E2752C">
        <w:rPr>
          <w:color w:val="000000" w:themeColor="text1"/>
        </w:rPr>
        <w:t xml:space="preserve"> any </w:t>
      </w:r>
      <w:r>
        <w:rPr>
          <w:color w:val="000000" w:themeColor="text1"/>
        </w:rPr>
        <w:t>Australian aid program</w:t>
      </w:r>
      <w:r w:rsidRPr="00E2752C">
        <w:rPr>
          <w:color w:val="000000" w:themeColor="text1"/>
        </w:rPr>
        <w:t xml:space="preserve"> staff) produced a higher proportion of adequate quality evaluations</w:t>
      </w:r>
      <w:r w:rsidR="008C7488">
        <w:rPr>
          <w:color w:val="000000" w:themeColor="text1"/>
        </w:rPr>
        <w:t xml:space="preserve"> than</w:t>
      </w:r>
      <w:r w:rsidRPr="00E2752C">
        <w:rPr>
          <w:color w:val="000000" w:themeColor="text1"/>
        </w:rPr>
        <w:t xml:space="preserve"> teams of </w:t>
      </w:r>
      <w:r>
        <w:rPr>
          <w:color w:val="000000" w:themeColor="text1"/>
        </w:rPr>
        <w:t>one or two</w:t>
      </w:r>
      <w:r w:rsidRPr="00E2752C">
        <w:rPr>
          <w:color w:val="000000" w:themeColor="text1"/>
        </w:rPr>
        <w:t xml:space="preserve"> or </w:t>
      </w:r>
      <w:r>
        <w:rPr>
          <w:color w:val="000000" w:themeColor="text1"/>
        </w:rPr>
        <w:t xml:space="preserve">teams of five </w:t>
      </w:r>
      <w:r w:rsidRPr="00E2752C">
        <w:rPr>
          <w:color w:val="000000" w:themeColor="text1"/>
        </w:rPr>
        <w:t>or more.</w:t>
      </w:r>
      <w:r w:rsidR="00A74814">
        <w:rPr>
          <w:color w:val="000000" w:themeColor="text1"/>
        </w:rPr>
        <w:t xml:space="preserve"> </w:t>
      </w:r>
      <w:r w:rsidRPr="00193306">
        <w:rPr>
          <w:color w:val="000000" w:themeColor="text1"/>
        </w:rPr>
        <w:t xml:space="preserve">This suggests that areas commissioning evaluations should ensure that there are enough members in the evaluation team to cover the range of expertise required for the particular </w:t>
      </w:r>
      <w:r w:rsidRPr="00193306">
        <w:rPr>
          <w:color w:val="000000" w:themeColor="text1"/>
        </w:rPr>
        <w:lastRenderedPageBreak/>
        <w:t>evaluation.</w:t>
      </w:r>
      <w:r w:rsidR="00A74814">
        <w:rPr>
          <w:color w:val="000000" w:themeColor="text1"/>
        </w:rPr>
        <w:t xml:space="preserve"> </w:t>
      </w:r>
      <w:r w:rsidRPr="00193306">
        <w:rPr>
          <w:color w:val="000000" w:themeColor="text1"/>
        </w:rPr>
        <w:t xml:space="preserve">Several interviewees highlighted the quality of the relationship between evaluation teams and commissioning aid managers as a key factor contributing to both </w:t>
      </w:r>
      <w:r w:rsidR="008C7488">
        <w:rPr>
          <w:color w:val="000000" w:themeColor="text1"/>
        </w:rPr>
        <w:t>the</w:t>
      </w:r>
      <w:r w:rsidRPr="00193306">
        <w:rPr>
          <w:color w:val="000000" w:themeColor="text1"/>
        </w:rPr>
        <w:t xml:space="preserve"> quality and</w:t>
      </w:r>
      <w:r w:rsidR="008C7488">
        <w:rPr>
          <w:color w:val="000000" w:themeColor="text1"/>
        </w:rPr>
        <w:t xml:space="preserve"> the</w:t>
      </w:r>
      <w:r w:rsidRPr="00193306">
        <w:rPr>
          <w:color w:val="000000" w:themeColor="text1"/>
        </w:rPr>
        <w:t xml:space="preserve"> utility</w:t>
      </w:r>
      <w:r w:rsidR="008C7488">
        <w:rPr>
          <w:color w:val="000000" w:themeColor="text1"/>
        </w:rPr>
        <w:t xml:space="preserve"> of evaluations</w:t>
      </w:r>
      <w:r w:rsidRPr="00193306">
        <w:rPr>
          <w:color w:val="000000" w:themeColor="text1"/>
        </w:rPr>
        <w:t>.</w:t>
      </w:r>
    </w:p>
    <w:p w14:paraId="13DB1017" w14:textId="5E9D7FD8" w:rsidR="002A4358" w:rsidRPr="00233698" w:rsidRDefault="002A4358" w:rsidP="002A4358">
      <w:pPr>
        <w:rPr>
          <w:color w:val="000000" w:themeColor="text1"/>
        </w:rPr>
      </w:pPr>
      <w:r w:rsidRPr="00233698">
        <w:rPr>
          <w:color w:val="000000" w:themeColor="text1"/>
        </w:rPr>
        <w:t>The evidence suggested that involv</w:t>
      </w:r>
      <w:r w:rsidR="008C7488">
        <w:rPr>
          <w:color w:val="000000" w:themeColor="text1"/>
        </w:rPr>
        <w:t>ing</w:t>
      </w:r>
      <w:r w:rsidRPr="00233698">
        <w:rPr>
          <w:color w:val="000000" w:themeColor="text1"/>
        </w:rPr>
        <w:t xml:space="preserve"> </w:t>
      </w:r>
      <w:r>
        <w:rPr>
          <w:color w:val="000000" w:themeColor="text1"/>
        </w:rPr>
        <w:t>Australian aid program</w:t>
      </w:r>
      <w:r w:rsidRPr="00E2752C">
        <w:rPr>
          <w:color w:val="000000" w:themeColor="text1"/>
        </w:rPr>
        <w:t xml:space="preserve"> staff</w:t>
      </w:r>
      <w:r>
        <w:rPr>
          <w:color w:val="000000" w:themeColor="text1"/>
        </w:rPr>
        <w:t xml:space="preserve"> </w:t>
      </w:r>
      <w:r w:rsidRPr="00233698">
        <w:rPr>
          <w:color w:val="000000" w:themeColor="text1"/>
        </w:rPr>
        <w:t xml:space="preserve">in an evaluation can have numerous benefits, including </w:t>
      </w:r>
      <w:r w:rsidR="008C7488">
        <w:rPr>
          <w:color w:val="000000" w:themeColor="text1"/>
        </w:rPr>
        <w:t>better</w:t>
      </w:r>
      <w:r w:rsidR="008C7488" w:rsidRPr="00233698">
        <w:rPr>
          <w:color w:val="000000" w:themeColor="text1"/>
        </w:rPr>
        <w:t xml:space="preserve"> </w:t>
      </w:r>
      <w:r w:rsidRPr="00233698">
        <w:rPr>
          <w:color w:val="000000" w:themeColor="text1"/>
        </w:rPr>
        <w:t xml:space="preserve">understanding of the operational context, better uptake of recommendations, smoother facilitation of the evaluation process (including access to information and key stakeholders), and developing the evaluation capacity of </w:t>
      </w:r>
      <w:r>
        <w:rPr>
          <w:color w:val="000000" w:themeColor="text1"/>
        </w:rPr>
        <w:t>Australian aid program</w:t>
      </w:r>
      <w:r w:rsidRPr="00E2752C">
        <w:rPr>
          <w:color w:val="000000" w:themeColor="text1"/>
        </w:rPr>
        <w:t xml:space="preserve"> staff</w:t>
      </w:r>
      <w:r w:rsidRPr="00233698">
        <w:rPr>
          <w:color w:val="000000" w:themeColor="text1"/>
        </w:rPr>
        <w:t>.</w:t>
      </w:r>
      <w:r w:rsidR="00A74814">
        <w:rPr>
          <w:color w:val="000000" w:themeColor="text1"/>
        </w:rPr>
        <w:t xml:space="preserve"> </w:t>
      </w:r>
      <w:r w:rsidRPr="00233698">
        <w:rPr>
          <w:color w:val="000000" w:themeColor="text1"/>
        </w:rPr>
        <w:t xml:space="preserve">However, this involvement needs to be actively managed </w:t>
      </w:r>
      <w:r w:rsidR="008C7488">
        <w:rPr>
          <w:color w:val="000000" w:themeColor="text1"/>
        </w:rPr>
        <w:t>to avoid the</w:t>
      </w:r>
      <w:r w:rsidRPr="00233698">
        <w:rPr>
          <w:color w:val="000000" w:themeColor="text1"/>
        </w:rPr>
        <w:t xml:space="preserve"> risk</w:t>
      </w:r>
      <w:r w:rsidR="008C7488">
        <w:rPr>
          <w:color w:val="000000" w:themeColor="text1"/>
        </w:rPr>
        <w:t xml:space="preserve"> of</w:t>
      </w:r>
      <w:r w:rsidRPr="00233698">
        <w:rPr>
          <w:color w:val="000000" w:themeColor="text1"/>
        </w:rPr>
        <w:t xml:space="preserve"> compromising the independence of the evaluation.</w:t>
      </w:r>
      <w:r w:rsidR="00A74814">
        <w:rPr>
          <w:color w:val="000000" w:themeColor="text1"/>
        </w:rPr>
        <w:t xml:space="preserve"> </w:t>
      </w:r>
      <w:r>
        <w:rPr>
          <w:color w:val="000000" w:themeColor="text1"/>
        </w:rPr>
        <w:t>T</w:t>
      </w:r>
      <w:r w:rsidRPr="00233698">
        <w:rPr>
          <w:color w:val="000000" w:themeColor="text1"/>
        </w:rPr>
        <w:t>he role of any DFAT staff should be clearly defined from the outset, and evaluation team leaders should feel empowered to decide which meetings</w:t>
      </w:r>
      <w:r>
        <w:rPr>
          <w:color w:val="000000" w:themeColor="text1"/>
        </w:rPr>
        <w:t xml:space="preserve"> or interviews</w:t>
      </w:r>
      <w:r w:rsidRPr="00233698">
        <w:rPr>
          <w:color w:val="000000" w:themeColor="text1"/>
        </w:rPr>
        <w:t xml:space="preserve"> staff attend.</w:t>
      </w:r>
    </w:p>
    <w:p w14:paraId="56050A10" w14:textId="77777777" w:rsidR="002A4358" w:rsidRPr="00332FD7" w:rsidRDefault="002A4358" w:rsidP="002A4358">
      <w:pPr>
        <w:pStyle w:val="Heading3"/>
      </w:pPr>
      <w:bookmarkStart w:id="187" w:name="_Toc378060012"/>
      <w:r>
        <w:t>Quality of initiative m</w:t>
      </w:r>
      <w:r w:rsidRPr="00332FD7">
        <w:t>onitoring and evaluation systems</w:t>
      </w:r>
      <w:bookmarkEnd w:id="187"/>
      <w:r w:rsidRPr="00332FD7">
        <w:t xml:space="preserve"> </w:t>
      </w:r>
    </w:p>
    <w:p w14:paraId="1A5FDB23" w14:textId="7DD67A6F" w:rsidR="00831F11" w:rsidRDefault="002A4358" w:rsidP="00E01873">
      <w:pPr>
        <w:rPr>
          <w:rFonts w:eastAsiaTheme="minorEastAsia"/>
        </w:rPr>
      </w:pPr>
      <w:r w:rsidRPr="00B70D5F">
        <w:rPr>
          <w:rFonts w:eastAsiaTheme="minorEastAsia"/>
          <w:color w:val="000000" w:themeColor="text1"/>
        </w:rPr>
        <w:t>The quality of an initiative</w:t>
      </w:r>
      <w:r w:rsidR="00744801">
        <w:rPr>
          <w:rFonts w:eastAsiaTheme="minorEastAsia"/>
          <w:color w:val="000000" w:themeColor="text1"/>
        </w:rPr>
        <w:t>’</w:t>
      </w:r>
      <w:r w:rsidRPr="00B70D5F">
        <w:rPr>
          <w:rFonts w:eastAsiaTheme="minorEastAsia"/>
          <w:color w:val="000000" w:themeColor="text1"/>
        </w:rPr>
        <w:t xml:space="preserve">s M&amp;E system </w:t>
      </w:r>
      <w:r>
        <w:rPr>
          <w:rFonts w:eastAsiaTheme="minorEastAsia"/>
          <w:color w:val="000000" w:themeColor="text1"/>
        </w:rPr>
        <w:t xml:space="preserve">also </w:t>
      </w:r>
      <w:r w:rsidRPr="00B70D5F">
        <w:rPr>
          <w:rFonts w:eastAsiaTheme="minorEastAsia"/>
          <w:color w:val="000000" w:themeColor="text1"/>
        </w:rPr>
        <w:t xml:space="preserve">has a significant impact on evaluation quality, as </w:t>
      </w:r>
      <w:r w:rsidR="008C7488">
        <w:rPr>
          <w:rFonts w:eastAsiaTheme="minorEastAsia"/>
          <w:color w:val="000000" w:themeColor="text1"/>
        </w:rPr>
        <w:t>it</w:t>
      </w:r>
      <w:r w:rsidR="008C7488" w:rsidRPr="00B70D5F">
        <w:rPr>
          <w:rFonts w:eastAsiaTheme="minorEastAsia"/>
          <w:color w:val="000000" w:themeColor="text1"/>
        </w:rPr>
        <w:t xml:space="preserve"> </w:t>
      </w:r>
      <w:r w:rsidRPr="00B70D5F">
        <w:rPr>
          <w:rFonts w:eastAsiaTheme="minorEastAsia"/>
          <w:color w:val="000000" w:themeColor="text1"/>
        </w:rPr>
        <w:t>affects the quality of the</w:t>
      </w:r>
      <w:r>
        <w:rPr>
          <w:rFonts w:eastAsiaTheme="minorEastAsia"/>
          <w:color w:val="000000" w:themeColor="text1"/>
        </w:rPr>
        <w:t xml:space="preserve"> primary</w:t>
      </w:r>
      <w:r w:rsidRPr="00B70D5F">
        <w:rPr>
          <w:rFonts w:eastAsiaTheme="minorEastAsia"/>
          <w:color w:val="000000" w:themeColor="text1"/>
        </w:rPr>
        <w:t xml:space="preserve"> data to which evaluators have access</w:t>
      </w:r>
      <w:r>
        <w:rPr>
          <w:rFonts w:eastAsiaTheme="minorEastAsia"/>
          <w:color w:val="000000" w:themeColor="text1"/>
        </w:rPr>
        <w:t>.</w:t>
      </w:r>
      <w:r w:rsidR="00A74814">
        <w:rPr>
          <w:rFonts w:eastAsiaTheme="minorEastAsia"/>
          <w:color w:val="000000" w:themeColor="text1"/>
        </w:rPr>
        <w:t xml:space="preserve"> </w:t>
      </w:r>
      <w:r>
        <w:rPr>
          <w:rFonts w:eastAsiaTheme="minorEastAsia"/>
          <w:color w:val="000000" w:themeColor="text1"/>
        </w:rPr>
        <w:t>We found the quality of initiative M</w:t>
      </w:r>
      <w:r w:rsidRPr="00B0143E">
        <w:rPr>
          <w:rFonts w:eastAsiaTheme="minorEastAsia"/>
          <w:color w:val="000000" w:themeColor="text1"/>
        </w:rPr>
        <w:t xml:space="preserve">&amp;E systems to be weak in a </w:t>
      </w:r>
      <w:r>
        <w:rPr>
          <w:rFonts w:eastAsiaTheme="minorEastAsia"/>
          <w:color w:val="000000" w:themeColor="text1"/>
        </w:rPr>
        <w:t xml:space="preserve">large </w:t>
      </w:r>
      <w:r w:rsidRPr="00B0143E">
        <w:rPr>
          <w:rFonts w:eastAsiaTheme="minorEastAsia"/>
          <w:color w:val="000000" w:themeColor="text1"/>
        </w:rPr>
        <w:t>proportion of cases.</w:t>
      </w:r>
      <w:r w:rsidR="00A74814">
        <w:rPr>
          <w:rFonts w:eastAsiaTheme="minorEastAsia"/>
          <w:color w:val="000000" w:themeColor="text1"/>
        </w:rPr>
        <w:t xml:space="preserve"> </w:t>
      </w:r>
      <w:r w:rsidR="008C7488">
        <w:rPr>
          <w:rFonts w:eastAsiaTheme="minorEastAsia"/>
          <w:color w:val="000000" w:themeColor="text1"/>
        </w:rPr>
        <w:t>W</w:t>
      </w:r>
      <w:r w:rsidRPr="00B0143E">
        <w:rPr>
          <w:rFonts w:eastAsiaTheme="minorEastAsia"/>
          <w:color w:val="000000" w:themeColor="text1"/>
        </w:rPr>
        <w:t xml:space="preserve">e did not have enough data to determine the precise nature and strength of the relationship between the quality of initiative M&amp;E systems and </w:t>
      </w:r>
      <w:r w:rsidR="008C7488">
        <w:rPr>
          <w:rFonts w:eastAsiaTheme="minorEastAsia"/>
          <w:color w:val="000000" w:themeColor="text1"/>
        </w:rPr>
        <w:t xml:space="preserve">the quality of </w:t>
      </w:r>
      <w:r w:rsidRPr="00B0143E">
        <w:rPr>
          <w:rFonts w:eastAsiaTheme="minorEastAsia"/>
          <w:color w:val="000000" w:themeColor="text1"/>
        </w:rPr>
        <w:t>evaluation</w:t>
      </w:r>
      <w:r w:rsidR="008C7488">
        <w:rPr>
          <w:rFonts w:eastAsiaTheme="minorEastAsia"/>
          <w:color w:val="000000" w:themeColor="text1"/>
        </w:rPr>
        <w:t>s; however,</w:t>
      </w:r>
      <w:r w:rsidRPr="00B0143E">
        <w:rPr>
          <w:rFonts w:eastAsiaTheme="minorEastAsia"/>
          <w:color w:val="000000" w:themeColor="text1"/>
        </w:rPr>
        <w:t xml:space="preserve"> </w:t>
      </w:r>
      <w:r w:rsidR="007F2C88">
        <w:rPr>
          <w:color w:val="000000" w:themeColor="text1"/>
        </w:rPr>
        <w:t>a</w:t>
      </w:r>
      <w:r w:rsidRPr="00B0143E">
        <w:rPr>
          <w:color w:val="000000" w:themeColor="text1"/>
        </w:rPr>
        <w:t>round</w:t>
      </w:r>
      <w:r w:rsidRPr="00B0143E">
        <w:rPr>
          <w:rFonts w:eastAsiaTheme="minorEastAsia"/>
          <w:color w:val="000000" w:themeColor="text1"/>
        </w:rPr>
        <w:t xml:space="preserve"> half of the 35 evaluations that provided a numerical rating for </w:t>
      </w:r>
      <w:r>
        <w:rPr>
          <w:rFonts w:eastAsiaTheme="minorEastAsia"/>
          <w:color w:val="000000" w:themeColor="text1"/>
        </w:rPr>
        <w:t>the quality of the M&amp;E system rated it as inadequate.</w:t>
      </w:r>
      <w:r w:rsidR="00A74814">
        <w:rPr>
          <w:rFonts w:eastAsiaTheme="minorEastAsia"/>
          <w:color w:val="000000" w:themeColor="text1"/>
        </w:rPr>
        <w:t xml:space="preserve"> </w:t>
      </w:r>
      <w:r w:rsidR="003D5B20">
        <w:rPr>
          <w:rFonts w:eastAsiaTheme="minorEastAsia"/>
        </w:rPr>
        <w:t>Furthermore, o</w:t>
      </w:r>
      <w:r w:rsidR="007F2C88">
        <w:rPr>
          <w:rFonts w:eastAsiaTheme="minorEastAsia"/>
        </w:rPr>
        <w:t xml:space="preserve">ur </w:t>
      </w:r>
      <w:r w:rsidR="001B2D9F">
        <w:rPr>
          <w:rFonts w:eastAsiaTheme="minorEastAsia"/>
          <w:i/>
        </w:rPr>
        <w:t>Learning from</w:t>
      </w:r>
      <w:r w:rsidR="007F2C88" w:rsidRPr="007F2C88">
        <w:rPr>
          <w:rFonts w:eastAsiaTheme="minorEastAsia"/>
          <w:i/>
        </w:rPr>
        <w:t xml:space="preserve"> Australian </w:t>
      </w:r>
      <w:r w:rsidR="008C7488">
        <w:rPr>
          <w:rFonts w:eastAsiaTheme="minorEastAsia"/>
          <w:i/>
        </w:rPr>
        <w:t>a</w:t>
      </w:r>
      <w:r w:rsidR="007F2C88" w:rsidRPr="007F2C88">
        <w:rPr>
          <w:rFonts w:eastAsiaTheme="minorEastAsia"/>
          <w:i/>
        </w:rPr>
        <w:t xml:space="preserve">id </w:t>
      </w:r>
      <w:r w:rsidR="008C7488">
        <w:rPr>
          <w:rFonts w:eastAsiaTheme="minorEastAsia"/>
          <w:i/>
        </w:rPr>
        <w:t>o</w:t>
      </w:r>
      <w:r w:rsidR="007F2C88" w:rsidRPr="007F2C88">
        <w:rPr>
          <w:rFonts w:eastAsiaTheme="minorEastAsia"/>
          <w:i/>
        </w:rPr>
        <w:t xml:space="preserve">perational </w:t>
      </w:r>
      <w:r w:rsidR="008C7488">
        <w:rPr>
          <w:rFonts w:eastAsiaTheme="minorEastAsia"/>
          <w:i/>
        </w:rPr>
        <w:t>e</w:t>
      </w:r>
      <w:r w:rsidR="007F2C88" w:rsidRPr="007F2C88">
        <w:rPr>
          <w:rFonts w:eastAsiaTheme="minorEastAsia"/>
          <w:i/>
        </w:rPr>
        <w:t>valuations</w:t>
      </w:r>
      <w:r w:rsidR="007F2C88">
        <w:rPr>
          <w:rFonts w:eastAsiaTheme="minorEastAsia"/>
        </w:rPr>
        <w:t xml:space="preserve"> report found</w:t>
      </w:r>
      <w:r w:rsidR="00831F11">
        <w:rPr>
          <w:rFonts w:eastAsiaTheme="minorEastAsia"/>
        </w:rPr>
        <w:t xml:space="preserve"> that:</w:t>
      </w:r>
      <w:r w:rsidR="007F2C88">
        <w:rPr>
          <w:rFonts w:eastAsiaTheme="minorEastAsia"/>
        </w:rPr>
        <w:t xml:space="preserve"> </w:t>
      </w:r>
    </w:p>
    <w:p w14:paraId="6A668097" w14:textId="74D56D07" w:rsidR="00831F11" w:rsidRDefault="002A4358" w:rsidP="007B3483">
      <w:pPr>
        <w:pStyle w:val="Bullet"/>
        <w:rPr>
          <w:rFonts w:eastAsiaTheme="minorEastAsia"/>
        </w:rPr>
      </w:pPr>
      <w:r>
        <w:rPr>
          <w:rFonts w:eastAsiaTheme="minorEastAsia"/>
        </w:rPr>
        <w:t xml:space="preserve">there needs to be </w:t>
      </w:r>
      <w:r w:rsidR="00831F11">
        <w:rPr>
          <w:rFonts w:eastAsiaTheme="minorEastAsia"/>
        </w:rPr>
        <w:t xml:space="preserve">more </w:t>
      </w:r>
      <w:r>
        <w:rPr>
          <w:rFonts w:eastAsiaTheme="minorEastAsia"/>
        </w:rPr>
        <w:t xml:space="preserve">investment in developing clearer intervention logic and robust monitoring arrangements at the initiative design phase </w:t>
      </w:r>
    </w:p>
    <w:p w14:paraId="79600781" w14:textId="3AC48F6B" w:rsidR="00831F11" w:rsidRDefault="002A4358" w:rsidP="007B3483">
      <w:pPr>
        <w:pStyle w:val="Bullet"/>
        <w:rPr>
          <w:rFonts w:eastAsiaTheme="minorEastAsia"/>
        </w:rPr>
      </w:pPr>
      <w:r>
        <w:rPr>
          <w:rFonts w:eastAsiaTheme="minorEastAsia"/>
        </w:rPr>
        <w:t xml:space="preserve">M&amp;E systems need to maintain a stronger focus on outcomes rather than outputs </w:t>
      </w:r>
    </w:p>
    <w:p w14:paraId="740CDA38" w14:textId="21BEC8AD" w:rsidR="00831F11" w:rsidRDefault="002A4358" w:rsidP="007B3483">
      <w:pPr>
        <w:pStyle w:val="BulletLast"/>
        <w:rPr>
          <w:rFonts w:eastAsiaTheme="minorEastAsia"/>
        </w:rPr>
      </w:pPr>
      <w:r>
        <w:rPr>
          <w:rFonts w:eastAsiaTheme="minorEastAsia"/>
        </w:rPr>
        <w:t xml:space="preserve">M&amp;E data needs to be kept simple and accessible </w:t>
      </w:r>
      <w:r>
        <w:t>so that it can be used as the basis for decision</w:t>
      </w:r>
      <w:r w:rsidR="00831F11">
        <w:t>-</w:t>
      </w:r>
      <w:r>
        <w:t>making</w:t>
      </w:r>
      <w:r>
        <w:rPr>
          <w:rFonts w:eastAsiaTheme="minorEastAsia"/>
        </w:rPr>
        <w:t>.</w:t>
      </w:r>
      <w:r w:rsidR="00A74814">
        <w:rPr>
          <w:rFonts w:eastAsiaTheme="minorEastAsia"/>
        </w:rPr>
        <w:t xml:space="preserve"> </w:t>
      </w:r>
    </w:p>
    <w:p w14:paraId="2C1C8803" w14:textId="344A752B" w:rsidR="00E01873" w:rsidRDefault="007F2C88" w:rsidP="00E01873">
      <w:pPr>
        <w:rPr>
          <w:color w:val="000000" w:themeColor="text1"/>
        </w:rPr>
      </w:pPr>
      <w:r>
        <w:rPr>
          <w:rFonts w:eastAsiaTheme="minorEastAsia"/>
        </w:rPr>
        <w:t>A</w:t>
      </w:r>
      <w:r w:rsidRPr="00424513">
        <w:rPr>
          <w:color w:val="000000" w:themeColor="text1"/>
        </w:rPr>
        <w:t xml:space="preserve"> separate ODE study is proposed </w:t>
      </w:r>
      <w:r w:rsidR="00831F11">
        <w:rPr>
          <w:color w:val="000000" w:themeColor="text1"/>
        </w:rPr>
        <w:t>for</w:t>
      </w:r>
      <w:r w:rsidRPr="00424513">
        <w:rPr>
          <w:color w:val="000000" w:themeColor="text1"/>
        </w:rPr>
        <w:t xml:space="preserve"> 2014 on the quality of</w:t>
      </w:r>
      <w:r>
        <w:rPr>
          <w:color w:val="000000" w:themeColor="text1"/>
        </w:rPr>
        <w:t xml:space="preserve"> initiative</w:t>
      </w:r>
      <w:r w:rsidRPr="00424513">
        <w:rPr>
          <w:color w:val="000000" w:themeColor="text1"/>
        </w:rPr>
        <w:t xml:space="preserve"> M&amp;E systems.</w:t>
      </w:r>
      <w:bookmarkStart w:id="188" w:name="_Ref381264406"/>
    </w:p>
    <w:p w14:paraId="0EDDEC0A" w14:textId="267ED232" w:rsidR="00C321EC" w:rsidRPr="00994031" w:rsidRDefault="001F383F" w:rsidP="001F383F">
      <w:pPr>
        <w:pStyle w:val="Heading2"/>
        <w:numPr>
          <w:ilvl w:val="0"/>
          <w:numId w:val="56"/>
        </w:numPr>
        <w:ind w:left="709" w:hanging="709"/>
      </w:pPr>
      <w:bookmarkStart w:id="189" w:name="_Toc381872797"/>
      <w:bookmarkStart w:id="190" w:name="_Toc387675122"/>
      <w:bookmarkEnd w:id="188"/>
      <w:bookmarkEnd w:id="189"/>
      <w:r>
        <w:t>D</w:t>
      </w:r>
      <w:r w:rsidR="00994031" w:rsidRPr="00994031">
        <w:t xml:space="preserve">epartmental capacity to manage </w:t>
      </w:r>
      <w:r>
        <w:t xml:space="preserve">the volume of </w:t>
      </w:r>
      <w:r w:rsidR="00994031" w:rsidRPr="00994031">
        <w:t>evaluations</w:t>
      </w:r>
      <w:bookmarkEnd w:id="190"/>
    </w:p>
    <w:p w14:paraId="72B5025D" w14:textId="6A527FE9" w:rsidR="00C321EC" w:rsidRPr="008A4620" w:rsidRDefault="00C321EC" w:rsidP="00C321EC">
      <w:r>
        <w:t>A central feature of the department</w:t>
      </w:r>
      <w:r w:rsidR="00744801">
        <w:t>’</w:t>
      </w:r>
      <w:r>
        <w:t>s evaluation policy is mandatory initiative-level evaluation.</w:t>
      </w:r>
      <w:r w:rsidR="00A74814">
        <w:t xml:space="preserve"> </w:t>
      </w:r>
      <w:r>
        <w:t xml:space="preserve">As a consequence, a large cohort of program staff are required to commission and manage evaluations as part of their normal program management duties. In recent years there have been significant efforts across the department to boost the </w:t>
      </w:r>
      <w:r w:rsidRPr="008A4620">
        <w:t xml:space="preserve">capacity of non-specialist staff to </w:t>
      </w:r>
      <w:r>
        <w:t>help deliver</w:t>
      </w:r>
      <w:r w:rsidRPr="008A4620">
        <w:t xml:space="preserve"> high</w:t>
      </w:r>
      <w:r w:rsidR="0076232D">
        <w:t>-</w:t>
      </w:r>
      <w:r w:rsidRPr="008A4620">
        <w:t xml:space="preserve">quality evaluations. </w:t>
      </w:r>
      <w:r>
        <w:t>Nevertheless realistic expectations need to be maintained as to the degree of evaluation expertise and knowledge these staff can or should obtain. Several interviewees indicated that, given the volume of evaluations undertaken, the evaluation capacity within the department is particularly stretched.</w:t>
      </w:r>
      <w:r w:rsidRPr="008A4620">
        <w:t xml:space="preserve"> </w:t>
      </w:r>
      <w:r>
        <w:t xml:space="preserve">Some interviewees also suggested that evaluation numbers are beyond </w:t>
      </w:r>
      <w:r w:rsidR="001F383F">
        <w:t>the</w:t>
      </w:r>
      <w:r>
        <w:t xml:space="preserve"> optimum for performance management and learning and do little to assist the </w:t>
      </w:r>
      <w:r w:rsidRPr="008A4620">
        <w:t>cross-program use of evaluations and the development of a department-wide culture of learning from evaluations</w:t>
      </w:r>
      <w:r>
        <w:t>.</w:t>
      </w:r>
    </w:p>
    <w:p w14:paraId="2528959C" w14:textId="59ED2DC2" w:rsidR="00C321EC" w:rsidRDefault="00C321EC" w:rsidP="00C321EC">
      <w:pPr>
        <w:rPr>
          <w:color w:val="000000" w:themeColor="text1"/>
        </w:rPr>
      </w:pPr>
      <w:r>
        <w:t>In early 2012 the department</w:t>
      </w:r>
      <w:r w:rsidR="00744801">
        <w:t>’</w:t>
      </w:r>
      <w:r>
        <w:t xml:space="preserve">s evaluation policy was revised, reducing the number of mandatory operational evaluations by approximately half, to only one during the lifetime of each aid </w:t>
      </w:r>
      <w:r w:rsidRPr="008520B1">
        <w:rPr>
          <w:color w:val="000000" w:themeColor="text1"/>
        </w:rPr>
        <w:t>initiative</w:t>
      </w:r>
      <w:r>
        <w:rPr>
          <w:color w:val="000000" w:themeColor="text1"/>
        </w:rPr>
        <w:t xml:space="preserve">. Further changes planned </w:t>
      </w:r>
      <w:r w:rsidRPr="001E03C5">
        <w:rPr>
          <w:color w:val="000000" w:themeColor="text1"/>
        </w:rPr>
        <w:t>for mid-2014</w:t>
      </w:r>
      <w:r>
        <w:rPr>
          <w:color w:val="000000" w:themeColor="text1"/>
        </w:rPr>
        <w:t xml:space="preserve"> </w:t>
      </w:r>
      <w:r w:rsidRPr="001E03C5">
        <w:rPr>
          <w:color w:val="000000" w:themeColor="text1"/>
        </w:rPr>
        <w:t xml:space="preserve">will </w:t>
      </w:r>
      <w:r>
        <w:rPr>
          <w:color w:val="000000" w:themeColor="text1"/>
        </w:rPr>
        <w:t xml:space="preserve">raise the financial threshold for aid initiatives </w:t>
      </w:r>
      <w:r w:rsidR="001F383F">
        <w:rPr>
          <w:color w:val="000000" w:themeColor="text1"/>
        </w:rPr>
        <w:t>requiring</w:t>
      </w:r>
      <w:r>
        <w:rPr>
          <w:color w:val="000000" w:themeColor="text1"/>
        </w:rPr>
        <w:t xml:space="preserve"> mandatory evaluation and will reduce evaluation numbers by a further 42</w:t>
      </w:r>
      <w:r w:rsidR="003403B6">
        <w:rPr>
          <w:color w:val="000000" w:themeColor="text1"/>
        </w:rPr>
        <w:t> </w:t>
      </w:r>
      <w:r>
        <w:rPr>
          <w:color w:val="000000" w:themeColor="text1"/>
        </w:rPr>
        <w:t xml:space="preserve">per cent. The overall reduction in evaluation numbers is accompanied by the introduction of country and regional program evaluation plans to help improve </w:t>
      </w:r>
      <w:r w:rsidRPr="001E03C5">
        <w:rPr>
          <w:color w:val="000000" w:themeColor="text1"/>
        </w:rPr>
        <w:t>the allocation of resources and skilled staff.</w:t>
      </w:r>
      <w:r>
        <w:rPr>
          <w:color w:val="000000" w:themeColor="text1"/>
        </w:rPr>
        <w:t xml:space="preserve"> Structural changes have </w:t>
      </w:r>
      <w:r>
        <w:rPr>
          <w:color w:val="000000" w:themeColor="text1"/>
        </w:rPr>
        <w:lastRenderedPageBreak/>
        <w:t>also been made with the responsibility for monitoring and reporting on operational evaluations shifting to ODE and marking a move towards consolidation of aid evaluation expertise within the department.</w:t>
      </w:r>
    </w:p>
    <w:p w14:paraId="210043D6" w14:textId="77777777" w:rsidR="002A4358" w:rsidRDefault="002A4358" w:rsidP="002005D6">
      <w:pPr>
        <w:pStyle w:val="Heading2"/>
        <w:numPr>
          <w:ilvl w:val="0"/>
          <w:numId w:val="56"/>
        </w:numPr>
        <w:ind w:left="357" w:hanging="357"/>
      </w:pPr>
      <w:bookmarkStart w:id="191" w:name="_Toc381872800"/>
      <w:bookmarkStart w:id="192" w:name="_Toc381857271"/>
      <w:bookmarkStart w:id="193" w:name="_Toc381857700"/>
      <w:bookmarkStart w:id="194" w:name="_Toc381857773"/>
      <w:bookmarkStart w:id="195" w:name="_Toc387675123"/>
      <w:bookmarkEnd w:id="191"/>
      <w:bookmarkEnd w:id="192"/>
      <w:bookmarkEnd w:id="193"/>
      <w:bookmarkEnd w:id="194"/>
      <w:r>
        <w:t>Support arrangements for operational evaluations</w:t>
      </w:r>
      <w:bookmarkEnd w:id="195"/>
    </w:p>
    <w:p w14:paraId="22372B21" w14:textId="6FF6DDF4" w:rsidR="002A4358" w:rsidRPr="00AA409B" w:rsidRDefault="002A4358" w:rsidP="002A4358">
      <w:r w:rsidRPr="00AA409B">
        <w:t xml:space="preserve">With the shift of the operational evaluation </w:t>
      </w:r>
      <w:r w:rsidR="00C321EC">
        <w:t>oversight</w:t>
      </w:r>
      <w:r w:rsidR="00C321EC" w:rsidRPr="00AA409B">
        <w:t xml:space="preserve"> </w:t>
      </w:r>
      <w:r w:rsidRPr="00AA409B">
        <w:t>function from</w:t>
      </w:r>
      <w:r w:rsidR="000D4363">
        <w:t xml:space="preserve"> the </w:t>
      </w:r>
      <w:r w:rsidR="000D4363" w:rsidRPr="00E57F60">
        <w:rPr>
          <w:rFonts w:eastAsia="Calibri"/>
          <w:noProof/>
        </w:rPr>
        <w:t>Program Effectiveness and Performance Division</w:t>
      </w:r>
      <w:r w:rsidRPr="00AA409B">
        <w:t xml:space="preserve"> </w:t>
      </w:r>
      <w:r w:rsidR="000D4363" w:rsidRPr="006C4F7A">
        <w:t>(</w:t>
      </w:r>
      <w:r w:rsidRPr="00EF7AFB">
        <w:t>PEPD</w:t>
      </w:r>
      <w:r w:rsidR="000D4363" w:rsidRPr="00CC22D8">
        <w:t>)</w:t>
      </w:r>
      <w:r w:rsidRPr="00AA409B">
        <w:t xml:space="preserve"> to ODE in February 2014, it is timely to consider the type</w:t>
      </w:r>
      <w:r w:rsidR="000D4363">
        <w:t>s</w:t>
      </w:r>
      <w:r w:rsidRPr="00AA409B">
        <w:t xml:space="preserve"> of support</w:t>
      </w:r>
      <w:r>
        <w:t xml:space="preserve"> arrangements likely to best promote</w:t>
      </w:r>
      <w:r w:rsidRPr="00AA409B">
        <w:t xml:space="preserve"> improvement in the quality of operational evaluations across the department.</w:t>
      </w:r>
      <w:r w:rsidR="00A74814">
        <w:t xml:space="preserve"> </w:t>
      </w:r>
      <w:r w:rsidRPr="00AA409B">
        <w:t xml:space="preserve">There is demand from program areas for </w:t>
      </w:r>
      <w:r w:rsidR="00E746B6">
        <w:t xml:space="preserve">more </w:t>
      </w:r>
      <w:r w:rsidRPr="00AA409B">
        <w:t xml:space="preserve">hands-on tailored support for particular evaluations (e.g. </w:t>
      </w:r>
      <w:r w:rsidRPr="00AA409B">
        <w:rPr>
          <w:rFonts w:eastAsiaTheme="minorEastAsia"/>
        </w:rPr>
        <w:t>assistance</w:t>
      </w:r>
      <w:r w:rsidR="000D4363">
        <w:rPr>
          <w:rFonts w:eastAsiaTheme="minorEastAsia"/>
        </w:rPr>
        <w:t xml:space="preserve"> with</w:t>
      </w:r>
      <w:r w:rsidRPr="00AA409B">
        <w:rPr>
          <w:rFonts w:eastAsiaTheme="minorEastAsia"/>
        </w:rPr>
        <w:t xml:space="preserve"> defining terms of reference, identifying consultants suitable for a particular evaluation, negotiating evaluation plans, and reviewing evaluation reports)</w:t>
      </w:r>
      <w:r w:rsidRPr="00AA409B">
        <w:t xml:space="preserve"> in addition to the support provided by program</w:t>
      </w:r>
      <w:r>
        <w:t>-</w:t>
      </w:r>
      <w:r w:rsidRPr="00AA409B">
        <w:t xml:space="preserve">based </w:t>
      </w:r>
      <w:r w:rsidR="00331E72">
        <w:t>performance and quality</w:t>
      </w:r>
      <w:r w:rsidRPr="00AA409B">
        <w:t xml:space="preserve"> managers.</w:t>
      </w:r>
    </w:p>
    <w:p w14:paraId="397E6848" w14:textId="18E625CE" w:rsidR="002A4358" w:rsidRDefault="002A4358" w:rsidP="002A4358">
      <w:r w:rsidRPr="00AA409B">
        <w:t>There is a potential role for ODE in quality assurance of evaluation documents.</w:t>
      </w:r>
      <w:r w:rsidR="00A74814">
        <w:t xml:space="preserve"> </w:t>
      </w:r>
      <w:r>
        <w:t>In recent years there has been little quality assurance of evaluation documents beyond peer reviews of draft evaluation reports, when it is too late to make changes to the scope of the evaluation or the methodology used.</w:t>
      </w:r>
      <w:r w:rsidR="00A74814">
        <w:t xml:space="preserve"> </w:t>
      </w:r>
      <w:r w:rsidR="001B1191" w:rsidRPr="00AA409B">
        <w:t>Our review suggests that</w:t>
      </w:r>
      <w:r w:rsidR="001B1191">
        <w:t xml:space="preserve"> it would be</w:t>
      </w:r>
      <w:r w:rsidR="001B1191" w:rsidRPr="00AA409B">
        <w:t xml:space="preserve"> </w:t>
      </w:r>
      <w:r w:rsidR="001B1191">
        <w:t>appropriate to focus</w:t>
      </w:r>
      <w:r w:rsidR="00C321EC">
        <w:t xml:space="preserve"> support and quality assurance efforts</w:t>
      </w:r>
      <w:r w:rsidR="001B1191">
        <w:t xml:space="preserve"> on</w:t>
      </w:r>
      <w:r w:rsidR="001B1191" w:rsidRPr="00AA409B">
        <w:t xml:space="preserve"> the evaluation design phase (evaluation terms of ref</w:t>
      </w:r>
      <w:r w:rsidR="001B1191">
        <w:t>erence and/or evaluation plans) and on the evaluation of high-value investments</w:t>
      </w:r>
      <w:r w:rsidR="001B1191" w:rsidRPr="00AA409B">
        <w:t>.</w:t>
      </w:r>
      <w:r w:rsidR="00A74814">
        <w:t xml:space="preserve"> </w:t>
      </w:r>
    </w:p>
    <w:p w14:paraId="41735D16" w14:textId="77777777" w:rsidR="002A4358" w:rsidRDefault="002A4358" w:rsidP="001F383F">
      <w:pPr>
        <w:pStyle w:val="Heading2"/>
        <w:numPr>
          <w:ilvl w:val="0"/>
          <w:numId w:val="56"/>
        </w:numPr>
        <w:ind w:left="357" w:hanging="357"/>
      </w:pPr>
      <w:bookmarkStart w:id="196" w:name="_Toc387675124"/>
      <w:r>
        <w:t xml:space="preserve">Access to </w:t>
      </w:r>
      <w:r w:rsidR="004E66DF">
        <w:t xml:space="preserve">completed </w:t>
      </w:r>
      <w:r>
        <w:t>evaluation</w:t>
      </w:r>
      <w:r w:rsidR="004E66DF">
        <w:t>s</w:t>
      </w:r>
      <w:bookmarkEnd w:id="196"/>
    </w:p>
    <w:p w14:paraId="01C6E10C" w14:textId="2F3E7632" w:rsidR="004E559B" w:rsidRDefault="004E559B" w:rsidP="004E559B">
      <w:pPr>
        <w:rPr>
          <w:color w:val="000000" w:themeColor="text1"/>
        </w:rPr>
      </w:pPr>
      <w:r>
        <w:rPr>
          <w:color w:val="000000" w:themeColor="text1"/>
        </w:rPr>
        <w:t>Our team experienced</w:t>
      </w:r>
      <w:r w:rsidRPr="007D0C36">
        <w:rPr>
          <w:color w:val="000000" w:themeColor="text1"/>
        </w:rPr>
        <w:t xml:space="preserve"> significant difficulties in accessing evaluation </w:t>
      </w:r>
      <w:r>
        <w:rPr>
          <w:color w:val="000000" w:themeColor="text1"/>
        </w:rPr>
        <w:t>reports in Aid</w:t>
      </w:r>
      <w:r w:rsidR="00CC22D8">
        <w:rPr>
          <w:color w:val="000000" w:themeColor="text1"/>
        </w:rPr>
        <w:t>W</w:t>
      </w:r>
      <w:r>
        <w:rPr>
          <w:color w:val="000000" w:themeColor="text1"/>
        </w:rPr>
        <w:t>orks, the department</w:t>
      </w:r>
      <w:r w:rsidR="00744801">
        <w:rPr>
          <w:color w:val="000000" w:themeColor="text1"/>
        </w:rPr>
        <w:t>’</w:t>
      </w:r>
      <w:r>
        <w:rPr>
          <w:color w:val="000000" w:themeColor="text1"/>
        </w:rPr>
        <w:t>s aid management system</w:t>
      </w:r>
      <w:r w:rsidR="001B1191">
        <w:rPr>
          <w:color w:val="000000" w:themeColor="text1"/>
        </w:rPr>
        <w:t>, and in accessing the evaluations published externally.</w:t>
      </w:r>
      <w:r w:rsidR="00A74814">
        <w:rPr>
          <w:color w:val="000000" w:themeColor="text1"/>
        </w:rPr>
        <w:t xml:space="preserve"> </w:t>
      </w:r>
      <w:r w:rsidR="000D4363">
        <w:rPr>
          <w:color w:val="000000" w:themeColor="text1"/>
        </w:rPr>
        <w:t>Such difficulties</w:t>
      </w:r>
      <w:r w:rsidR="001B1191">
        <w:rPr>
          <w:color w:val="000000" w:themeColor="text1"/>
        </w:rPr>
        <w:t xml:space="preserve"> </w:t>
      </w:r>
      <w:r w:rsidRPr="007D0C36">
        <w:rPr>
          <w:color w:val="000000" w:themeColor="text1"/>
        </w:rPr>
        <w:t>limit the use of evaluations outside commission</w:t>
      </w:r>
      <w:r>
        <w:rPr>
          <w:color w:val="000000" w:themeColor="text1"/>
        </w:rPr>
        <w:t>ing areas</w:t>
      </w:r>
      <w:r w:rsidRPr="007D0C36">
        <w:rPr>
          <w:color w:val="000000" w:themeColor="text1"/>
        </w:rPr>
        <w:t xml:space="preserve">. Ease of access </w:t>
      </w:r>
      <w:r>
        <w:rPr>
          <w:color w:val="000000" w:themeColor="text1"/>
        </w:rPr>
        <w:t xml:space="preserve">to evaluation </w:t>
      </w:r>
      <w:r w:rsidR="005D2831">
        <w:rPr>
          <w:color w:val="000000" w:themeColor="text1"/>
        </w:rPr>
        <w:t>reports</w:t>
      </w:r>
      <w:r>
        <w:rPr>
          <w:color w:val="000000" w:themeColor="text1"/>
        </w:rPr>
        <w:t xml:space="preserve"> </w:t>
      </w:r>
      <w:r w:rsidRPr="007D0C36">
        <w:rPr>
          <w:color w:val="000000" w:themeColor="text1"/>
        </w:rPr>
        <w:t>is critical to the development of a culture of learning from evaluations.</w:t>
      </w:r>
      <w:r w:rsidR="00A74814">
        <w:rPr>
          <w:color w:val="000000" w:themeColor="text1"/>
        </w:rPr>
        <w:t xml:space="preserve"> </w:t>
      </w:r>
      <w:r>
        <w:rPr>
          <w:color w:val="000000" w:themeColor="text1"/>
        </w:rPr>
        <w:t xml:space="preserve">Storage issues </w:t>
      </w:r>
      <w:r w:rsidRPr="00C37C0C">
        <w:rPr>
          <w:color w:val="000000" w:themeColor="text1"/>
        </w:rPr>
        <w:t>also make tracking compliance with evaluation requirements difficult and resource</w:t>
      </w:r>
      <w:r w:rsidR="000D4363">
        <w:rPr>
          <w:color w:val="000000" w:themeColor="text1"/>
        </w:rPr>
        <w:t xml:space="preserve"> </w:t>
      </w:r>
      <w:r w:rsidRPr="00C37C0C">
        <w:rPr>
          <w:color w:val="000000" w:themeColor="text1"/>
        </w:rPr>
        <w:t>intensive.</w:t>
      </w:r>
      <w:r w:rsidR="00A74814">
        <w:rPr>
          <w:color w:val="000000" w:themeColor="text1"/>
        </w:rPr>
        <w:t xml:space="preserve"> </w:t>
      </w:r>
    </w:p>
    <w:p w14:paraId="45B44AD9" w14:textId="0C500EDC" w:rsidR="002E429C" w:rsidRDefault="001B1191" w:rsidP="004E559B">
      <w:pPr>
        <w:rPr>
          <w:color w:val="000000" w:themeColor="text1"/>
        </w:rPr>
      </w:pPr>
      <w:r w:rsidRPr="009A5182">
        <w:rPr>
          <w:color w:val="000000" w:themeColor="text1"/>
        </w:rPr>
        <w:t xml:space="preserve">While </w:t>
      </w:r>
      <w:r>
        <w:rPr>
          <w:color w:val="000000" w:themeColor="text1"/>
        </w:rPr>
        <w:t>recent changes aimed at promoting better program-level evaluation planning are</w:t>
      </w:r>
      <w:r w:rsidRPr="009A5182">
        <w:rPr>
          <w:color w:val="000000" w:themeColor="text1"/>
        </w:rPr>
        <w:t xml:space="preserve"> a positive step, further improvements to facilitate easier access</w:t>
      </w:r>
      <w:r w:rsidR="000D4363">
        <w:rPr>
          <w:color w:val="000000" w:themeColor="text1"/>
        </w:rPr>
        <w:t xml:space="preserve"> to evaluations</w:t>
      </w:r>
      <w:r>
        <w:rPr>
          <w:color w:val="000000" w:themeColor="text1"/>
        </w:rPr>
        <w:t xml:space="preserve"> both internally and externally</w:t>
      </w:r>
      <w:r w:rsidRPr="009A5182">
        <w:rPr>
          <w:color w:val="000000" w:themeColor="text1"/>
        </w:rPr>
        <w:t xml:space="preserve"> </w:t>
      </w:r>
      <w:r>
        <w:rPr>
          <w:color w:val="000000" w:themeColor="text1"/>
        </w:rPr>
        <w:t>are also needed</w:t>
      </w:r>
      <w:r w:rsidRPr="009A5182">
        <w:rPr>
          <w:color w:val="000000" w:themeColor="text1"/>
        </w:rPr>
        <w:t>.</w:t>
      </w:r>
      <w:r w:rsidR="00A74814">
        <w:rPr>
          <w:color w:val="000000" w:themeColor="text1"/>
        </w:rPr>
        <w:t xml:space="preserve"> </w:t>
      </w:r>
      <w:r w:rsidR="004E559B">
        <w:rPr>
          <w:color w:val="000000" w:themeColor="text1"/>
        </w:rPr>
        <w:t xml:space="preserve">While improving knowledge management is a large-scale and long-term undertaking, </w:t>
      </w:r>
      <w:r w:rsidR="004E559B" w:rsidRPr="00C37C0C">
        <w:rPr>
          <w:color w:val="000000" w:themeColor="text1"/>
        </w:rPr>
        <w:t xml:space="preserve">it is worth considering </w:t>
      </w:r>
      <w:r w:rsidR="004E559B">
        <w:rPr>
          <w:color w:val="000000" w:themeColor="text1"/>
        </w:rPr>
        <w:t xml:space="preserve">whether there are immediate </w:t>
      </w:r>
      <w:r w:rsidR="004E559B" w:rsidRPr="00C37C0C">
        <w:rPr>
          <w:color w:val="000000" w:themeColor="text1"/>
        </w:rPr>
        <w:t>options for improving</w:t>
      </w:r>
      <w:r w:rsidR="004E559B">
        <w:rPr>
          <w:color w:val="000000" w:themeColor="text1"/>
        </w:rPr>
        <w:t xml:space="preserve"> the</w:t>
      </w:r>
      <w:r w:rsidR="004E559B" w:rsidRPr="00C37C0C">
        <w:rPr>
          <w:color w:val="000000" w:themeColor="text1"/>
        </w:rPr>
        <w:t xml:space="preserve"> accessibility of evaluation data.</w:t>
      </w:r>
      <w:r w:rsidR="00A74814">
        <w:rPr>
          <w:color w:val="000000" w:themeColor="text1"/>
        </w:rPr>
        <w:t xml:space="preserve"> </w:t>
      </w:r>
    </w:p>
    <w:p w14:paraId="30A8373C" w14:textId="77777777" w:rsidR="002A4358" w:rsidRPr="00AA19BC" w:rsidRDefault="001E65D7" w:rsidP="001F383F">
      <w:pPr>
        <w:pStyle w:val="Heading2"/>
        <w:numPr>
          <w:ilvl w:val="0"/>
          <w:numId w:val="56"/>
        </w:numPr>
        <w:ind w:left="357" w:hanging="357"/>
      </w:pPr>
      <w:bookmarkStart w:id="197" w:name="_Toc387675125"/>
      <w:r>
        <w:t>Evaluation purpose</w:t>
      </w:r>
      <w:bookmarkEnd w:id="197"/>
    </w:p>
    <w:p w14:paraId="405BBF74" w14:textId="533C55D9" w:rsidR="001E65D7" w:rsidRPr="007A6A7F" w:rsidRDefault="001E65D7" w:rsidP="001E65D7">
      <w:bookmarkStart w:id="198" w:name="_Ref380604142"/>
      <w:bookmarkStart w:id="199" w:name="_Toc378060013"/>
      <w:r w:rsidRPr="007A6A7F">
        <w:t xml:space="preserve">Evaluations are commissioned for various purposes, including to drive improvement, to inform future programming decisions and </w:t>
      </w:r>
      <w:r w:rsidR="000D4363">
        <w:t>to provide</w:t>
      </w:r>
      <w:r w:rsidR="000D4363" w:rsidRPr="007A6A7F">
        <w:t xml:space="preserve"> </w:t>
      </w:r>
      <w:r w:rsidRPr="007A6A7F">
        <w:t>accountability.</w:t>
      </w:r>
      <w:r w:rsidR="00A74814">
        <w:t xml:space="preserve"> </w:t>
      </w:r>
      <w:r w:rsidRPr="007A6A7F">
        <w:t>This is reflected in guidelines for operational evaluations</w:t>
      </w:r>
      <w:r w:rsidR="000D4363">
        <w:t>,</w:t>
      </w:r>
      <w:r w:rsidRPr="007A6A7F">
        <w:t xml:space="preserve"> which allow a high degree of flexibility in evaluation timing</w:t>
      </w:r>
      <w:r w:rsidR="00C92696">
        <w:t xml:space="preserve"> and</w:t>
      </w:r>
      <w:r w:rsidRPr="007A6A7F">
        <w:t xml:space="preserve"> resourcing.</w:t>
      </w:r>
      <w:r w:rsidR="00A74814">
        <w:t xml:space="preserve"> </w:t>
      </w:r>
    </w:p>
    <w:p w14:paraId="1ACCA9FF" w14:textId="73031F7C" w:rsidR="001E65D7" w:rsidRPr="007A6A7F" w:rsidRDefault="007B1BF2" w:rsidP="001E65D7">
      <w:pPr>
        <w:rPr>
          <w:color w:val="000000" w:themeColor="text1"/>
        </w:rPr>
      </w:pPr>
      <w:r>
        <w:rPr>
          <w:color w:val="000000" w:themeColor="text1"/>
        </w:rPr>
        <w:t>Our review found that e</w:t>
      </w:r>
      <w:r w:rsidR="001E65D7" w:rsidRPr="007A6A7F">
        <w:rPr>
          <w:color w:val="000000" w:themeColor="text1"/>
        </w:rPr>
        <w:t xml:space="preserve">valuation commissioning areas </w:t>
      </w:r>
      <w:r>
        <w:rPr>
          <w:color w:val="000000" w:themeColor="text1"/>
        </w:rPr>
        <w:t xml:space="preserve">do </w:t>
      </w:r>
      <w:r w:rsidR="001E65D7" w:rsidRPr="007A6A7F">
        <w:rPr>
          <w:color w:val="000000" w:themeColor="text1"/>
        </w:rPr>
        <w:t>exercise a high degree of flexibility in the timing of operational evaluations.</w:t>
      </w:r>
      <w:r w:rsidR="00A74814">
        <w:rPr>
          <w:color w:val="000000" w:themeColor="text1"/>
        </w:rPr>
        <w:t xml:space="preserve"> </w:t>
      </w:r>
      <w:r w:rsidR="001E65D7" w:rsidRPr="007A6A7F">
        <w:rPr>
          <w:color w:val="000000" w:themeColor="text1"/>
        </w:rPr>
        <w:t>Evaluations can be undertaken during initiative implementation (independent progress report) or at the close of an initiative (independent completion report).</w:t>
      </w:r>
      <w:r w:rsidR="00A74814">
        <w:rPr>
          <w:color w:val="000000" w:themeColor="text1"/>
        </w:rPr>
        <w:t xml:space="preserve"> </w:t>
      </w:r>
      <w:r w:rsidR="001E65D7" w:rsidRPr="007A6A7F">
        <w:rPr>
          <w:color w:val="000000" w:themeColor="text1"/>
        </w:rPr>
        <w:t xml:space="preserve">We found that </w:t>
      </w:r>
      <w:r w:rsidR="001B1191">
        <w:rPr>
          <w:color w:val="000000" w:themeColor="text1"/>
        </w:rPr>
        <w:t xml:space="preserve">more </w:t>
      </w:r>
      <w:r w:rsidR="00AD7BDA">
        <w:rPr>
          <w:color w:val="000000" w:themeColor="text1"/>
        </w:rPr>
        <w:t>independent progress report</w:t>
      </w:r>
      <w:r w:rsidR="001B1191">
        <w:rPr>
          <w:color w:val="000000" w:themeColor="text1"/>
        </w:rPr>
        <w:t xml:space="preserve">s are undertaken than </w:t>
      </w:r>
      <w:r w:rsidR="00AD7BDA">
        <w:rPr>
          <w:color w:val="000000" w:themeColor="text1"/>
        </w:rPr>
        <w:t>independent completion report</w:t>
      </w:r>
      <w:r w:rsidR="001B1191">
        <w:rPr>
          <w:color w:val="000000" w:themeColor="text1"/>
        </w:rPr>
        <w:t>s</w:t>
      </w:r>
      <w:r>
        <w:rPr>
          <w:color w:val="000000" w:themeColor="text1"/>
        </w:rPr>
        <w:t>; that</w:t>
      </w:r>
      <w:r w:rsidR="001B1191">
        <w:rPr>
          <w:color w:val="000000" w:themeColor="text1"/>
        </w:rPr>
        <w:t xml:space="preserve"> </w:t>
      </w:r>
      <w:r w:rsidR="00AD7BDA">
        <w:rPr>
          <w:color w:val="000000" w:themeColor="text1"/>
        </w:rPr>
        <w:t>independent progress report</w:t>
      </w:r>
      <w:r w:rsidR="001E65D7" w:rsidRPr="007A6A7F">
        <w:rPr>
          <w:color w:val="000000" w:themeColor="text1"/>
        </w:rPr>
        <w:t xml:space="preserve">s had a higher average level of resourcing than </w:t>
      </w:r>
      <w:r w:rsidR="00AD7BDA">
        <w:rPr>
          <w:color w:val="000000" w:themeColor="text1"/>
        </w:rPr>
        <w:t>independent completion report</w:t>
      </w:r>
      <w:r w:rsidR="001B1191" w:rsidRPr="007A6A7F">
        <w:rPr>
          <w:color w:val="000000" w:themeColor="text1"/>
        </w:rPr>
        <w:t>s</w:t>
      </w:r>
      <w:r>
        <w:rPr>
          <w:color w:val="000000" w:themeColor="text1"/>
        </w:rPr>
        <w:t>;</w:t>
      </w:r>
      <w:r w:rsidR="001E65D7" w:rsidRPr="007A6A7F">
        <w:rPr>
          <w:color w:val="000000" w:themeColor="text1"/>
        </w:rPr>
        <w:t xml:space="preserve"> and</w:t>
      </w:r>
      <w:r>
        <w:rPr>
          <w:color w:val="000000" w:themeColor="text1"/>
        </w:rPr>
        <w:t xml:space="preserve"> that</w:t>
      </w:r>
      <w:r w:rsidR="001E65D7" w:rsidRPr="007A6A7F">
        <w:rPr>
          <w:color w:val="000000" w:themeColor="text1"/>
        </w:rPr>
        <w:t xml:space="preserve"> a higher proportion of </w:t>
      </w:r>
      <w:r w:rsidR="00AD7BDA">
        <w:rPr>
          <w:color w:val="000000" w:themeColor="text1"/>
        </w:rPr>
        <w:t>independent progress report</w:t>
      </w:r>
      <w:r w:rsidR="001E65D7" w:rsidRPr="007A6A7F">
        <w:rPr>
          <w:color w:val="000000" w:themeColor="text1"/>
        </w:rPr>
        <w:t xml:space="preserve">s </w:t>
      </w:r>
      <w:r w:rsidR="001B1191">
        <w:rPr>
          <w:color w:val="000000" w:themeColor="text1"/>
        </w:rPr>
        <w:t xml:space="preserve">had a clear purpose and </w:t>
      </w:r>
      <w:r w:rsidR="001E65D7" w:rsidRPr="007A6A7F">
        <w:rPr>
          <w:color w:val="000000" w:themeColor="text1"/>
        </w:rPr>
        <w:t>were of satisfactory overall quality.</w:t>
      </w:r>
      <w:r w:rsidR="00A74814">
        <w:rPr>
          <w:color w:val="000000" w:themeColor="text1"/>
        </w:rPr>
        <w:t xml:space="preserve"> </w:t>
      </w:r>
      <w:r w:rsidR="001E65D7" w:rsidRPr="007A6A7F">
        <w:rPr>
          <w:color w:val="000000" w:themeColor="text1"/>
        </w:rPr>
        <w:t xml:space="preserve">This may indicate that </w:t>
      </w:r>
      <w:r w:rsidR="00AD7BDA">
        <w:rPr>
          <w:color w:val="000000" w:themeColor="text1"/>
        </w:rPr>
        <w:t>independent progress report</w:t>
      </w:r>
      <w:r w:rsidR="001E65D7" w:rsidRPr="007A6A7F">
        <w:rPr>
          <w:color w:val="000000" w:themeColor="text1"/>
        </w:rPr>
        <w:t xml:space="preserve">s </w:t>
      </w:r>
      <w:r>
        <w:rPr>
          <w:color w:val="000000" w:themeColor="text1"/>
        </w:rPr>
        <w:t xml:space="preserve">are more </w:t>
      </w:r>
      <w:r>
        <w:rPr>
          <w:color w:val="000000" w:themeColor="text1"/>
        </w:rPr>
        <w:lastRenderedPageBreak/>
        <w:t>useful</w:t>
      </w:r>
      <w:r w:rsidR="001B1191" w:rsidRPr="007A6A7F">
        <w:rPr>
          <w:color w:val="000000" w:themeColor="text1"/>
        </w:rPr>
        <w:t xml:space="preserve"> </w:t>
      </w:r>
      <w:r w:rsidR="001E65D7" w:rsidRPr="007A6A7F">
        <w:rPr>
          <w:color w:val="000000" w:themeColor="text1"/>
        </w:rPr>
        <w:t>to aid managers and evaluators in terms of providing information and evidence to inform critical programming decisions such as whether to extend an investment.</w:t>
      </w:r>
    </w:p>
    <w:p w14:paraId="38A261D8" w14:textId="77777777" w:rsidR="001E65D7" w:rsidRDefault="001E65D7" w:rsidP="001E65D7">
      <w:pPr>
        <w:pStyle w:val="Heading3"/>
      </w:pPr>
      <w:r>
        <w:t>Flexibility in scoping</w:t>
      </w:r>
    </w:p>
    <w:p w14:paraId="48907CE0" w14:textId="77777777" w:rsidR="001E65D7" w:rsidRPr="007A6A7F" w:rsidRDefault="001E65D7" w:rsidP="001E65D7">
      <w:r w:rsidRPr="007A6A7F">
        <w:t xml:space="preserve">However, </w:t>
      </w:r>
      <w:r w:rsidR="001B1191">
        <w:t>departmental</w:t>
      </w:r>
      <w:r w:rsidR="001B1191" w:rsidRPr="007A6A7F">
        <w:t xml:space="preserve"> </w:t>
      </w:r>
      <w:r w:rsidRPr="007A6A7F">
        <w:t>guidelines, while not mandatory, do not encourage flexibility in scoping</w:t>
      </w:r>
      <w:r w:rsidR="001B1191">
        <w:t>.</w:t>
      </w:r>
      <w:r w:rsidR="00A74814">
        <w:t xml:space="preserve"> </w:t>
      </w:r>
      <w:r w:rsidR="001B1191">
        <w:t>They</w:t>
      </w:r>
      <w:r w:rsidRPr="007A6A7F">
        <w:rPr>
          <w:color w:val="000000" w:themeColor="text1"/>
        </w:rPr>
        <w:t xml:space="preserve"> set out expectations that </w:t>
      </w:r>
      <w:r w:rsidRPr="007A6A7F">
        <w:t xml:space="preserve">operational evaluations </w:t>
      </w:r>
      <w:r w:rsidR="007B1BF2">
        <w:t xml:space="preserve">will </w:t>
      </w:r>
      <w:r w:rsidRPr="007A6A7F">
        <w:t xml:space="preserve">assess initiative performance against </w:t>
      </w:r>
      <w:r w:rsidR="001B1191">
        <w:t xml:space="preserve">a set of </w:t>
      </w:r>
      <w:r w:rsidRPr="007A6A7F">
        <w:t>standard Australian aid quality criteria (relevance, effectiveness, efficiency, sustainability, impact, and gender equality).</w:t>
      </w:r>
    </w:p>
    <w:p w14:paraId="6A137C4F" w14:textId="4B76D3D8" w:rsidR="001E65D7" w:rsidRPr="007A6A7F" w:rsidRDefault="001E65D7" w:rsidP="001E65D7">
      <w:pPr>
        <w:rPr>
          <w:color w:val="000000" w:themeColor="text1"/>
        </w:rPr>
      </w:pPr>
      <w:r w:rsidRPr="007A6A7F">
        <w:rPr>
          <w:color w:val="000000" w:themeColor="text1"/>
        </w:rPr>
        <w:t>Our review found evidence to suggest that</w:t>
      </w:r>
      <w:r w:rsidR="001B1191">
        <w:rPr>
          <w:color w:val="000000" w:themeColor="text1"/>
        </w:rPr>
        <w:t xml:space="preserve"> this can lead to an evaluation scope that is too ambitious to be realistic or appropriate, and that on occasion this may negatively affect </w:t>
      </w:r>
      <w:r w:rsidRPr="007A6A7F">
        <w:rPr>
          <w:color w:val="000000" w:themeColor="text1"/>
        </w:rPr>
        <w:t>evaluation quality and utility.</w:t>
      </w:r>
      <w:r w:rsidR="00A74814">
        <w:rPr>
          <w:color w:val="000000" w:themeColor="text1"/>
        </w:rPr>
        <w:t xml:space="preserve"> </w:t>
      </w:r>
      <w:r w:rsidRPr="007A6A7F">
        <w:rPr>
          <w:color w:val="000000" w:themeColor="text1"/>
        </w:rPr>
        <w:t>While the assessments against the key aid quality criteria of relevance and effectiveness were generally strong, about half of the assessments against the other criteria were weak and were sometimes completed in a perfunctory manner (especially gender equality).</w:t>
      </w:r>
      <w:r w:rsidR="00A74814">
        <w:rPr>
          <w:color w:val="000000" w:themeColor="text1"/>
        </w:rPr>
        <w:t xml:space="preserve"> </w:t>
      </w:r>
      <w:r w:rsidRPr="007A6A7F">
        <w:rPr>
          <w:color w:val="000000" w:themeColor="text1"/>
        </w:rPr>
        <w:t xml:space="preserve">Furthermore, several interviewees suggested that they or their colleagues view operational evaluations as </w:t>
      </w:r>
      <w:r w:rsidR="00744801">
        <w:rPr>
          <w:color w:val="000000" w:themeColor="text1"/>
        </w:rPr>
        <w:t>‘</w:t>
      </w:r>
      <w:r w:rsidRPr="007A6A7F">
        <w:rPr>
          <w:color w:val="000000" w:themeColor="text1"/>
        </w:rPr>
        <w:t>box</w:t>
      </w:r>
      <w:r w:rsidR="007B1BF2">
        <w:rPr>
          <w:color w:val="000000" w:themeColor="text1"/>
        </w:rPr>
        <w:t>-</w:t>
      </w:r>
      <w:r w:rsidRPr="007A6A7F">
        <w:rPr>
          <w:color w:val="000000" w:themeColor="text1"/>
        </w:rPr>
        <w:t>ticking</w:t>
      </w:r>
      <w:r w:rsidR="00744801">
        <w:rPr>
          <w:color w:val="000000" w:themeColor="text1"/>
        </w:rPr>
        <w:t>’</w:t>
      </w:r>
      <w:r w:rsidRPr="007A6A7F">
        <w:rPr>
          <w:color w:val="000000" w:themeColor="text1"/>
        </w:rPr>
        <w:t xml:space="preserve"> exercises </w:t>
      </w:r>
      <w:r w:rsidR="007B1BF2">
        <w:rPr>
          <w:color w:val="000000" w:themeColor="text1"/>
        </w:rPr>
        <w:t>without</w:t>
      </w:r>
      <w:r w:rsidRPr="007A6A7F">
        <w:rPr>
          <w:color w:val="000000" w:themeColor="text1"/>
        </w:rPr>
        <w:t xml:space="preserve"> clear utility.</w:t>
      </w:r>
      <w:r w:rsidR="00A74814">
        <w:rPr>
          <w:color w:val="000000" w:themeColor="text1"/>
        </w:rPr>
        <w:t xml:space="preserve"> </w:t>
      </w:r>
      <w:r w:rsidRPr="007A6A7F">
        <w:rPr>
          <w:color w:val="000000" w:themeColor="text1"/>
        </w:rPr>
        <w:t xml:space="preserve">This suggests a need for clearer </w:t>
      </w:r>
      <w:r w:rsidR="001B1191">
        <w:rPr>
          <w:color w:val="000000" w:themeColor="text1"/>
        </w:rPr>
        <w:t>messaging</w:t>
      </w:r>
      <w:r w:rsidRPr="007A6A7F">
        <w:rPr>
          <w:color w:val="000000" w:themeColor="text1"/>
        </w:rPr>
        <w:t xml:space="preserve"> that operational evaluations should be scoped to meet the particular information needs of program areas.</w:t>
      </w:r>
    </w:p>
    <w:p w14:paraId="0894C1DD" w14:textId="77777777" w:rsidR="001E65D7" w:rsidRPr="001E65D7" w:rsidRDefault="00E923A1" w:rsidP="001E65D7">
      <w:pPr>
        <w:pStyle w:val="Heading3"/>
      </w:pPr>
      <w:r>
        <w:t>Evaluating the i</w:t>
      </w:r>
      <w:r w:rsidR="001E65D7" w:rsidRPr="001E65D7">
        <w:t>mpact of the aid initiative</w:t>
      </w:r>
    </w:p>
    <w:p w14:paraId="4DDDE29F" w14:textId="4445F57B" w:rsidR="001E65D7" w:rsidRDefault="001E65D7" w:rsidP="001E65D7">
      <w:pPr>
        <w:rPr>
          <w:color w:val="000000" w:themeColor="text1"/>
        </w:rPr>
      </w:pPr>
      <w:r>
        <w:rPr>
          <w:color w:val="000000" w:themeColor="text1"/>
        </w:rPr>
        <w:t>Half of</w:t>
      </w:r>
      <w:r w:rsidRPr="007A6A7F">
        <w:rPr>
          <w:color w:val="000000" w:themeColor="text1"/>
        </w:rPr>
        <w:t xml:space="preserve"> </w:t>
      </w:r>
      <w:r w:rsidR="007B1BF2">
        <w:rPr>
          <w:color w:val="000000" w:themeColor="text1"/>
        </w:rPr>
        <w:t xml:space="preserve">the </w:t>
      </w:r>
      <w:r w:rsidRPr="007A6A7F">
        <w:rPr>
          <w:color w:val="000000" w:themeColor="text1"/>
        </w:rPr>
        <w:t xml:space="preserve">evaluations did not attempt to assess the </w:t>
      </w:r>
      <w:r w:rsidR="001B1191">
        <w:rPr>
          <w:color w:val="000000" w:themeColor="text1"/>
        </w:rPr>
        <w:t xml:space="preserve">long-term </w:t>
      </w:r>
      <w:r w:rsidRPr="007A6A7F">
        <w:rPr>
          <w:color w:val="000000" w:themeColor="text1"/>
        </w:rPr>
        <w:t>impact of the aid initiative.</w:t>
      </w:r>
      <w:r w:rsidR="00A74814">
        <w:rPr>
          <w:color w:val="000000" w:themeColor="text1"/>
        </w:rPr>
        <w:t xml:space="preserve"> </w:t>
      </w:r>
      <w:r w:rsidRPr="007A6A7F">
        <w:rPr>
          <w:color w:val="000000" w:themeColor="text1"/>
        </w:rPr>
        <w:t xml:space="preserve">Where </w:t>
      </w:r>
      <w:r w:rsidR="007B1BF2">
        <w:rPr>
          <w:color w:val="000000" w:themeColor="text1"/>
        </w:rPr>
        <w:t>impact was</w:t>
      </w:r>
      <w:r w:rsidR="007B1BF2" w:rsidRPr="007A6A7F">
        <w:rPr>
          <w:color w:val="000000" w:themeColor="text1"/>
        </w:rPr>
        <w:t xml:space="preserve"> </w:t>
      </w:r>
      <w:r w:rsidRPr="007A6A7F">
        <w:rPr>
          <w:color w:val="000000" w:themeColor="text1"/>
        </w:rPr>
        <w:t>assess</w:t>
      </w:r>
      <w:r w:rsidR="007B1BF2">
        <w:rPr>
          <w:color w:val="000000" w:themeColor="text1"/>
        </w:rPr>
        <w:t>ed</w:t>
      </w:r>
      <w:r w:rsidRPr="007A6A7F">
        <w:rPr>
          <w:color w:val="000000" w:themeColor="text1"/>
        </w:rPr>
        <w:t xml:space="preserve">, the quality of </w:t>
      </w:r>
      <w:r w:rsidR="001B1191">
        <w:rPr>
          <w:color w:val="000000" w:themeColor="text1"/>
        </w:rPr>
        <w:t>the majority</w:t>
      </w:r>
      <w:r>
        <w:rPr>
          <w:color w:val="000000" w:themeColor="text1"/>
        </w:rPr>
        <w:t xml:space="preserve"> of </w:t>
      </w:r>
      <w:r w:rsidRPr="007A6A7F">
        <w:rPr>
          <w:color w:val="000000" w:themeColor="text1"/>
        </w:rPr>
        <w:t xml:space="preserve">those assessments </w:t>
      </w:r>
      <w:r w:rsidR="007B1BF2">
        <w:rPr>
          <w:color w:val="000000" w:themeColor="text1"/>
        </w:rPr>
        <w:t>was</w:t>
      </w:r>
      <w:r w:rsidRPr="007A6A7F">
        <w:rPr>
          <w:color w:val="000000" w:themeColor="text1"/>
        </w:rPr>
        <w:t xml:space="preserve"> weak.</w:t>
      </w:r>
      <w:r w:rsidR="00A74814">
        <w:rPr>
          <w:color w:val="000000" w:themeColor="text1"/>
        </w:rPr>
        <w:t xml:space="preserve"> </w:t>
      </w:r>
      <w:r w:rsidRPr="007A6A7F">
        <w:rPr>
          <w:color w:val="000000" w:themeColor="text1"/>
        </w:rPr>
        <w:t xml:space="preserve">This raises questions about the appropriateness of including the assessment of impact as standard in operational evaluations, given </w:t>
      </w:r>
      <w:r w:rsidR="007B1BF2">
        <w:rPr>
          <w:color w:val="000000" w:themeColor="text1"/>
        </w:rPr>
        <w:t xml:space="preserve">that </w:t>
      </w:r>
      <w:r w:rsidRPr="007A6A7F">
        <w:rPr>
          <w:color w:val="000000" w:themeColor="text1"/>
        </w:rPr>
        <w:t xml:space="preserve">the impact of an aid initiative is difficult to assess until well after its completion and typically relies on a robust monitoring and evaluation system during </w:t>
      </w:r>
      <w:r w:rsidR="007B1BF2">
        <w:rPr>
          <w:color w:val="000000" w:themeColor="text1"/>
        </w:rPr>
        <w:t>its</w:t>
      </w:r>
      <w:r w:rsidRPr="007A6A7F">
        <w:rPr>
          <w:color w:val="000000" w:themeColor="text1"/>
        </w:rPr>
        <w:t xml:space="preserve"> lifetime.</w:t>
      </w:r>
      <w:r w:rsidR="00A74814">
        <w:rPr>
          <w:color w:val="000000" w:themeColor="text1"/>
        </w:rPr>
        <w:t xml:space="preserve"> </w:t>
      </w:r>
      <w:r w:rsidRPr="007A6A7F">
        <w:rPr>
          <w:color w:val="000000" w:themeColor="text1"/>
        </w:rPr>
        <w:t>Consideration may be needed as to whether impact should remain a standard</w:t>
      </w:r>
      <w:r w:rsidR="00A74814">
        <w:rPr>
          <w:color w:val="000000" w:themeColor="text1"/>
        </w:rPr>
        <w:t xml:space="preserve"> </w:t>
      </w:r>
      <w:r w:rsidR="001B1191">
        <w:rPr>
          <w:color w:val="000000" w:themeColor="text1"/>
        </w:rPr>
        <w:t xml:space="preserve">quality </w:t>
      </w:r>
      <w:r w:rsidRPr="007A6A7F">
        <w:rPr>
          <w:color w:val="000000" w:themeColor="text1"/>
        </w:rPr>
        <w:t>criteri</w:t>
      </w:r>
      <w:r>
        <w:rPr>
          <w:color w:val="000000" w:themeColor="text1"/>
        </w:rPr>
        <w:t>on</w:t>
      </w:r>
      <w:r w:rsidRPr="007A6A7F">
        <w:rPr>
          <w:color w:val="000000" w:themeColor="text1"/>
        </w:rPr>
        <w:t xml:space="preserve"> for operational evaluations.</w:t>
      </w:r>
    </w:p>
    <w:p w14:paraId="544BD576" w14:textId="6A455588" w:rsidR="001B1191" w:rsidRDefault="00C92696" w:rsidP="00CF282B">
      <w:pPr>
        <w:rPr>
          <w:color w:val="000000" w:themeColor="text1"/>
        </w:rPr>
      </w:pPr>
      <w:r>
        <w:rPr>
          <w:color w:val="000000" w:themeColor="text1"/>
        </w:rPr>
        <w:t>Rigorous assessments of end</w:t>
      </w:r>
      <w:r w:rsidR="007B1BF2">
        <w:rPr>
          <w:color w:val="000000" w:themeColor="text1"/>
        </w:rPr>
        <w:t>-</w:t>
      </w:r>
      <w:r>
        <w:rPr>
          <w:color w:val="000000" w:themeColor="text1"/>
        </w:rPr>
        <w:t>of</w:t>
      </w:r>
      <w:r w:rsidR="007B1BF2">
        <w:rPr>
          <w:color w:val="000000" w:themeColor="text1"/>
        </w:rPr>
        <w:t>-</w:t>
      </w:r>
      <w:r>
        <w:rPr>
          <w:color w:val="000000" w:themeColor="text1"/>
        </w:rPr>
        <w:t xml:space="preserve">program outcomes and </w:t>
      </w:r>
      <w:r w:rsidR="007B1BF2">
        <w:rPr>
          <w:color w:val="000000" w:themeColor="text1"/>
        </w:rPr>
        <w:t xml:space="preserve">of </w:t>
      </w:r>
      <w:r>
        <w:rPr>
          <w:color w:val="000000" w:themeColor="text1"/>
        </w:rPr>
        <w:t>impact remain a high priority to inform learning and account for the results of public spending on aid.</w:t>
      </w:r>
      <w:r w:rsidR="00A74814">
        <w:rPr>
          <w:color w:val="000000" w:themeColor="text1"/>
        </w:rPr>
        <w:t xml:space="preserve"> </w:t>
      </w:r>
      <w:r>
        <w:rPr>
          <w:color w:val="000000" w:themeColor="text1"/>
        </w:rPr>
        <w:t xml:space="preserve">Special arrangements for commissioning and resourcing evaluations specifically designed to look at the long-term impact of aid initiatives should be considered, particularly for high-value investments and/or those </w:t>
      </w:r>
      <w:r w:rsidR="007B1BF2">
        <w:rPr>
          <w:color w:val="000000" w:themeColor="text1"/>
        </w:rPr>
        <w:t xml:space="preserve">that </w:t>
      </w:r>
      <w:r>
        <w:rPr>
          <w:color w:val="000000" w:themeColor="text1"/>
        </w:rPr>
        <w:t>offer broader learning opportunities.</w:t>
      </w:r>
      <w:r w:rsidR="00A74814">
        <w:rPr>
          <w:color w:val="000000" w:themeColor="text1"/>
        </w:rPr>
        <w:t xml:space="preserve"> </w:t>
      </w:r>
      <w:r w:rsidR="007B1BF2">
        <w:rPr>
          <w:color w:val="000000" w:themeColor="text1"/>
        </w:rPr>
        <w:t xml:space="preserve">Such </w:t>
      </w:r>
      <w:r w:rsidR="001B1191">
        <w:rPr>
          <w:color w:val="000000" w:themeColor="text1"/>
        </w:rPr>
        <w:t>evaluations serve a distinct and important purpose.</w:t>
      </w:r>
      <w:r w:rsidR="00A74814">
        <w:rPr>
          <w:color w:val="000000" w:themeColor="text1"/>
        </w:rPr>
        <w:t xml:space="preserve"> </w:t>
      </w:r>
      <w:r w:rsidR="001B1191">
        <w:rPr>
          <w:color w:val="000000" w:themeColor="text1"/>
        </w:rPr>
        <w:t>They do, however, need to be properly resourced.</w:t>
      </w:r>
      <w:r w:rsidR="00A74814">
        <w:rPr>
          <w:color w:val="000000" w:themeColor="text1"/>
        </w:rPr>
        <w:t xml:space="preserve"> </w:t>
      </w:r>
      <w:r w:rsidR="001B1191" w:rsidRPr="004E66DF">
        <w:rPr>
          <w:color w:val="000000" w:themeColor="text1"/>
        </w:rPr>
        <w:t xml:space="preserve">To </w:t>
      </w:r>
      <w:r w:rsidR="001B1191" w:rsidRPr="007A6A7F">
        <w:rPr>
          <w:color w:val="000000" w:themeColor="text1"/>
        </w:rPr>
        <w:t>ensure that such complex evaluations are completed to a high standard, they would need to be managed or supported by staff with high-level specialised evaluation skills.</w:t>
      </w:r>
      <w:r w:rsidR="001B1191">
        <w:rPr>
          <w:color w:val="000000" w:themeColor="text1"/>
        </w:rPr>
        <w:t xml:space="preserve"> There may be a role for ODE to jointly manage some impact evaluations with program areas.</w:t>
      </w:r>
    </w:p>
    <w:p w14:paraId="7C1C540E" w14:textId="3073C4D5" w:rsidR="002005D6" w:rsidRDefault="002005D6" w:rsidP="002005D6">
      <w:pPr>
        <w:pStyle w:val="Heading2"/>
        <w:numPr>
          <w:ilvl w:val="0"/>
          <w:numId w:val="56"/>
        </w:numPr>
        <w:ind w:left="357" w:hanging="357"/>
      </w:pPr>
      <w:bookmarkStart w:id="200" w:name="_Toc387675126"/>
      <w:r w:rsidRPr="002005D6">
        <w:t>Lessons for DFAT evaluation commissioning areas to maximise evaluation quality and utility</w:t>
      </w:r>
      <w:bookmarkEnd w:id="200"/>
    </w:p>
    <w:p w14:paraId="2BEBF020" w14:textId="77777777" w:rsidR="002005D6" w:rsidRDefault="002005D6" w:rsidP="002005D6">
      <w:r>
        <w:rPr>
          <w:color w:val="000000" w:themeColor="text1"/>
          <w:szCs w:val="21"/>
        </w:rPr>
        <w:t xml:space="preserve">The evidence from our quality review of operational evaluations </w:t>
      </w:r>
      <w:r>
        <w:t xml:space="preserve">highlights the following lessons for DFAT evaluation commissioning areas. They are valuable lessons not only for the operational-level officers who commission evaluations, but also for the senior executives responsible for resource planning and for making programming decisions based on the performance information generated by the evaluations. </w:t>
      </w:r>
    </w:p>
    <w:p w14:paraId="256AFF12" w14:textId="77777777" w:rsidR="002005D6" w:rsidRPr="009215AE" w:rsidRDefault="002005D6" w:rsidP="002005D6">
      <w:pPr>
        <w:spacing w:before="240"/>
      </w:pPr>
      <w:r w:rsidRPr="009215AE">
        <w:t xml:space="preserve">These lessons should be read in conjunction with departmental evaluation guidelines, particularly the DFAT </w:t>
      </w:r>
      <w:r>
        <w:t>A</w:t>
      </w:r>
      <w:r w:rsidRPr="009215AE">
        <w:t>id Monitoring and Evaluation Standards</w:t>
      </w:r>
      <w:r>
        <w:t>,</w:t>
      </w:r>
      <w:r w:rsidRPr="0015399E">
        <w:rPr>
          <w:rFonts w:asciiTheme="majorHAnsi" w:hAnsiTheme="majorHAnsi"/>
          <w:color w:val="000000" w:themeColor="text1"/>
          <w:szCs w:val="21"/>
        </w:rPr>
        <w:t xml:space="preserve"> </w:t>
      </w:r>
      <w:r w:rsidRPr="0015399E">
        <w:t xml:space="preserve">which articulate expectations of the quality expected </w:t>
      </w:r>
      <w:r w:rsidRPr="0015399E">
        <w:lastRenderedPageBreak/>
        <w:t>from a range of M&amp;E products.</w:t>
      </w:r>
      <w:r>
        <w:t xml:space="preserve"> </w:t>
      </w:r>
      <w:r w:rsidRPr="009215AE">
        <w:t xml:space="preserve">The relevant standards </w:t>
      </w:r>
      <w:r>
        <w:t>relating to independent evaluations</w:t>
      </w:r>
      <w:r w:rsidRPr="009215AE">
        <w:t xml:space="preserve"> are included at Annex 5.</w:t>
      </w:r>
      <w:r>
        <w:t xml:space="preserve"> </w:t>
      </w:r>
      <w:r w:rsidRPr="009215AE">
        <w:t xml:space="preserve">The standards had not been formally adopted at the time the evaluations in this review were undertaken, but </w:t>
      </w:r>
      <w:r>
        <w:t>they were</w:t>
      </w:r>
      <w:r w:rsidRPr="009215AE">
        <w:t xml:space="preserve"> integrated into </w:t>
      </w:r>
      <w:r>
        <w:t>evaluation</w:t>
      </w:r>
      <w:r w:rsidRPr="009215AE">
        <w:t xml:space="preserve"> guidance </w:t>
      </w:r>
      <w:r>
        <w:t>in</w:t>
      </w:r>
      <w:r w:rsidRPr="009215AE">
        <w:t xml:space="preserve"> 2012. </w:t>
      </w:r>
      <w:r w:rsidRPr="0015399E">
        <w:t>The Standards provide a useful resource for evaluation commissioning areas.</w:t>
      </w:r>
    </w:p>
    <w:p w14:paraId="14C8250A" w14:textId="005786D5" w:rsidR="001722AE" w:rsidRDefault="002005D6" w:rsidP="002005D6">
      <w:r>
        <w:t>O</w:t>
      </w:r>
      <w:r w:rsidRPr="00C01122">
        <w:t xml:space="preserve">ur review </w:t>
      </w:r>
      <w:r>
        <w:t xml:space="preserve">also </w:t>
      </w:r>
      <w:r w:rsidRPr="00C01122">
        <w:t>identified several examples of good practice evaluation documents</w:t>
      </w:r>
      <w:r>
        <w:t>, which are discussed in Annex 6.</w:t>
      </w:r>
    </w:p>
    <w:p w14:paraId="173C9013" w14:textId="77777777" w:rsidR="001722AE" w:rsidRPr="008774FC" w:rsidRDefault="001722AE" w:rsidP="001722AE">
      <w:pPr>
        <w:pStyle w:val="Boxheading0"/>
        <w:rPr>
          <w:sz w:val="23"/>
          <w:szCs w:val="23"/>
        </w:rPr>
      </w:pPr>
      <w:r w:rsidRPr="003F3FCC">
        <w:t xml:space="preserve">Box </w:t>
      </w:r>
      <w:r w:rsidR="007C3830">
        <w:fldChar w:fldCharType="begin"/>
      </w:r>
      <w:r w:rsidR="007C3830">
        <w:instrText xml:space="preserve"> SEQ Box \* ARABIC </w:instrText>
      </w:r>
      <w:r w:rsidR="007C3830">
        <w:fldChar w:fldCharType="separate"/>
      </w:r>
      <w:r w:rsidR="00147362">
        <w:rPr>
          <w:noProof/>
        </w:rPr>
        <w:t>5</w:t>
      </w:r>
      <w:r w:rsidR="007C3830">
        <w:rPr>
          <w:noProof/>
        </w:rPr>
        <w:fldChar w:fldCharType="end"/>
      </w:r>
      <w:r w:rsidRPr="003F3FCC">
        <w:t>:</w:t>
      </w:r>
      <w:r w:rsidRPr="00973470">
        <w:t xml:space="preserve"> </w:t>
      </w:r>
      <w:r w:rsidRPr="008774FC">
        <w:rPr>
          <w:sz w:val="23"/>
          <w:szCs w:val="23"/>
        </w:rPr>
        <w:t xml:space="preserve">Lessons for DFAT evaluation commissioning areas </w:t>
      </w:r>
    </w:p>
    <w:p w14:paraId="096FDEC8" w14:textId="77777777" w:rsidR="001722AE" w:rsidRPr="00822A79" w:rsidRDefault="001722AE" w:rsidP="001722AE">
      <w:pPr>
        <w:pStyle w:val="BoxHeading21"/>
        <w:spacing w:before="240"/>
        <w:rPr>
          <w:i w:val="0"/>
          <w:sz w:val="2"/>
          <w:szCs w:val="2"/>
        </w:rPr>
      </w:pPr>
    </w:p>
    <w:p w14:paraId="23C242C6" w14:textId="77777777" w:rsidR="001722AE" w:rsidRPr="00822A79" w:rsidRDefault="001722AE" w:rsidP="001722AE">
      <w:pPr>
        <w:pStyle w:val="BoxHeading21"/>
        <w:rPr>
          <w:i w:val="0"/>
        </w:rPr>
      </w:pPr>
      <w:r w:rsidRPr="00822A79">
        <w:rPr>
          <w:i w:val="0"/>
        </w:rPr>
        <w:t xml:space="preserve">Start evaluation planning well in advance </w:t>
      </w:r>
    </w:p>
    <w:p w14:paraId="6E886E88" w14:textId="77777777" w:rsidR="001722AE" w:rsidRPr="00822A79" w:rsidRDefault="001722AE" w:rsidP="001722AE">
      <w:pPr>
        <w:pStyle w:val="Boxbullet"/>
        <w:numPr>
          <w:ilvl w:val="0"/>
          <w:numId w:val="136"/>
        </w:numPr>
      </w:pPr>
      <w:r w:rsidRPr="00822A79">
        <w:t>Consider the timing of an evaluation when you are developing initiative monitoring and evaluation arrangements. Plan the timing of the evaluation so that it will be most useful for program management purposes. Use program-level evaluation planning to help with the allocation of resources and skilled staff.</w:t>
      </w:r>
    </w:p>
    <w:p w14:paraId="030557FD" w14:textId="490687DC" w:rsidR="001722AE" w:rsidRPr="00822A79" w:rsidRDefault="001722AE" w:rsidP="001722AE">
      <w:pPr>
        <w:pStyle w:val="Boxbullet"/>
        <w:numPr>
          <w:ilvl w:val="0"/>
          <w:numId w:val="136"/>
        </w:numPr>
      </w:pPr>
      <w:r w:rsidRPr="00822A79">
        <w:t xml:space="preserve">Start planning the evaluation six months ahead of planned commencement. Adequate time is needed to develop good-quality terms of reference (seeking support from performance and quality managers if needed), contract the most suitable consultants, engage with the consultants in their evaluation planning and schedule fieldwork to allow access to key stakeholders. </w:t>
      </w:r>
      <w:r w:rsidR="0076510A">
        <w:t>O</w:t>
      </w:r>
      <w:r w:rsidRPr="00822A79">
        <w:t>ptions may be limited if there is insufficient lead time.</w:t>
      </w:r>
    </w:p>
    <w:p w14:paraId="7F0D2CB2" w14:textId="77777777" w:rsidR="001722AE" w:rsidRPr="00822A79" w:rsidRDefault="001722AE" w:rsidP="001722AE">
      <w:pPr>
        <w:pStyle w:val="BoxHeading21"/>
        <w:rPr>
          <w:i w:val="0"/>
        </w:rPr>
      </w:pPr>
      <w:r w:rsidRPr="00822A79">
        <w:rPr>
          <w:i w:val="0"/>
        </w:rPr>
        <w:t>Focus on developing strong terms of reference as the basis for a good-quality evaluation</w:t>
      </w:r>
    </w:p>
    <w:p w14:paraId="377893D1" w14:textId="0B834E66" w:rsidR="001722AE" w:rsidRPr="00822A79" w:rsidRDefault="001722AE" w:rsidP="001722AE">
      <w:pPr>
        <w:pStyle w:val="Boxbullet"/>
        <w:numPr>
          <w:ilvl w:val="0"/>
          <w:numId w:val="136"/>
        </w:numPr>
      </w:pPr>
      <w:r w:rsidRPr="00822A79">
        <w:t>Using the aid quality criteria as a starting point, develop key evaluation questions that address the most critical issues and management decisions related to the initiative. Prioritise these questions to ensure a focus on the things that really matter. Consider including assessment of the intervention logic or theory of change. (If the intervention logic is not clearly articulated in the initiative design or implementation documents then one of the first evaluation tasks should be to reconstruct the intervention logic.)</w:t>
      </w:r>
    </w:p>
    <w:p w14:paraId="27CB79BE" w14:textId="77777777" w:rsidR="001722AE" w:rsidRPr="00822A79" w:rsidRDefault="001722AE" w:rsidP="001722AE">
      <w:pPr>
        <w:pStyle w:val="Boxbullet"/>
        <w:numPr>
          <w:ilvl w:val="0"/>
          <w:numId w:val="136"/>
        </w:numPr>
      </w:pPr>
      <w:r w:rsidRPr="00822A79">
        <w:t xml:space="preserve">Allocate sufficient time for the evaluation. This should match the scope of the evaluation but for a good quality evaluation would typically be two to three months from when the consultants commence to when the evaluation report is finalised. In particular, allow enough days for the consultants to develop a strong evaluation plan with a methodology that is appropriate to the evaluation questions, and for fieldwork. </w:t>
      </w:r>
    </w:p>
    <w:p w14:paraId="440A2612" w14:textId="77777777" w:rsidR="001722AE" w:rsidRPr="00822A79" w:rsidRDefault="001722AE" w:rsidP="001722AE">
      <w:pPr>
        <w:pStyle w:val="Boxbullet"/>
        <w:numPr>
          <w:ilvl w:val="0"/>
          <w:numId w:val="136"/>
        </w:numPr>
      </w:pPr>
      <w:r w:rsidRPr="00822A79">
        <w:t>Consider the skills required within the evaluation team, and the number of evaluation team members needed to cover this range of skills. Evaluation teams should consist of people with technical evaluation expertise and strong interpersonal skills, in addition to sectoral expertise and, to a lesser extent, knowledge of the country or regional context.</w:t>
      </w:r>
    </w:p>
    <w:p w14:paraId="54635548" w14:textId="77777777" w:rsidR="001722AE" w:rsidRPr="00822A79" w:rsidRDefault="001722AE" w:rsidP="001722AE">
      <w:pPr>
        <w:pStyle w:val="Boxbullet"/>
        <w:numPr>
          <w:ilvl w:val="0"/>
          <w:numId w:val="136"/>
        </w:numPr>
      </w:pPr>
      <w:r w:rsidRPr="00822A79">
        <w:t>Be clear about the roles of any DFAT staff involved in the evaluation.</w:t>
      </w:r>
    </w:p>
    <w:p w14:paraId="01CB95B5" w14:textId="77777777" w:rsidR="001722AE" w:rsidRPr="00822A79" w:rsidRDefault="001722AE" w:rsidP="001722AE">
      <w:pPr>
        <w:pStyle w:val="BoxHeading21"/>
        <w:rPr>
          <w:i w:val="0"/>
        </w:rPr>
      </w:pPr>
      <w:r w:rsidRPr="00822A79">
        <w:rPr>
          <w:i w:val="0"/>
        </w:rPr>
        <w:t>Continue to actively engage with the evaluation team during the evaluation</w:t>
      </w:r>
    </w:p>
    <w:p w14:paraId="7A3AFF77" w14:textId="77777777" w:rsidR="001722AE" w:rsidRPr="00822A79" w:rsidRDefault="001722AE" w:rsidP="001722AE">
      <w:pPr>
        <w:pStyle w:val="Boxbullet"/>
        <w:numPr>
          <w:ilvl w:val="0"/>
          <w:numId w:val="136"/>
        </w:numPr>
      </w:pPr>
      <w:r w:rsidRPr="00822A79">
        <w:t xml:space="preserve">Invest time and effort in building strong relationships with the evaluation team. </w:t>
      </w:r>
    </w:p>
    <w:p w14:paraId="446779B5" w14:textId="6D09D6F7" w:rsidR="001722AE" w:rsidRDefault="001722AE" w:rsidP="001722AE">
      <w:pPr>
        <w:pStyle w:val="Boxbullet"/>
        <w:numPr>
          <w:ilvl w:val="0"/>
          <w:numId w:val="136"/>
        </w:numPr>
      </w:pPr>
      <w:r w:rsidRPr="00822A79">
        <w:t>Debate contentious issues, but respect the independence of the evaluation. Allow the team leader to exercise judgment on participation of staff in meetings or interviews.</w:t>
      </w:r>
    </w:p>
    <w:p w14:paraId="7C48F8B0" w14:textId="77777777" w:rsidR="002A4358" w:rsidRDefault="002A4358" w:rsidP="004511CB">
      <w:pPr>
        <w:pStyle w:val="Heading2"/>
        <w:numPr>
          <w:ilvl w:val="0"/>
          <w:numId w:val="56"/>
        </w:numPr>
        <w:ind w:left="357" w:hanging="357"/>
      </w:pPr>
      <w:bookmarkStart w:id="201" w:name="_Toc381857276"/>
      <w:bookmarkStart w:id="202" w:name="_Toc381857705"/>
      <w:bookmarkStart w:id="203" w:name="_Toc381857778"/>
      <w:bookmarkStart w:id="204" w:name="_Toc387675127"/>
      <w:bookmarkEnd w:id="198"/>
      <w:bookmarkEnd w:id="199"/>
      <w:bookmarkEnd w:id="201"/>
      <w:bookmarkEnd w:id="202"/>
      <w:bookmarkEnd w:id="203"/>
      <w:r>
        <w:t xml:space="preserve">Recommendations </w:t>
      </w:r>
      <w:bookmarkEnd w:id="204"/>
    </w:p>
    <w:p w14:paraId="398D915F" w14:textId="7C60A70A" w:rsidR="00EA0C0D" w:rsidRDefault="002A4358" w:rsidP="004511CB">
      <w:pPr>
        <w:keepNext/>
        <w:spacing w:after="240"/>
        <w:rPr>
          <w:szCs w:val="21"/>
        </w:rPr>
      </w:pPr>
      <w:r w:rsidRPr="00DB0840">
        <w:rPr>
          <w:szCs w:val="21"/>
        </w:rPr>
        <w:t>Acknowledging the need to improve the evidence base for effective aid progra</w:t>
      </w:r>
      <w:r w:rsidR="00390637">
        <w:rPr>
          <w:szCs w:val="21"/>
        </w:rPr>
        <w:t>m</w:t>
      </w:r>
      <w:r w:rsidRPr="00DB0840">
        <w:rPr>
          <w:szCs w:val="21"/>
        </w:rPr>
        <w:t xml:space="preserve">ming and the principles of simplicity, proportionality and value for money, </w:t>
      </w:r>
      <w:r w:rsidR="000D3402">
        <w:rPr>
          <w:szCs w:val="21"/>
        </w:rPr>
        <w:t>this review</w:t>
      </w:r>
      <w:r w:rsidRPr="00DB0840">
        <w:rPr>
          <w:szCs w:val="21"/>
        </w:rPr>
        <w:t xml:space="preserve"> recommends that:</w:t>
      </w:r>
    </w:p>
    <w:p w14:paraId="22F514F5" w14:textId="77777777" w:rsidR="00EA0C0D" w:rsidRDefault="00EA0C0D">
      <w:pPr>
        <w:spacing w:before="0" w:after="0" w:line="240" w:lineRule="auto"/>
        <w:rPr>
          <w:szCs w:val="21"/>
        </w:rPr>
      </w:pPr>
      <w:r>
        <w:rPr>
          <w:szCs w:val="21"/>
        </w:rPr>
        <w:br w:type="page"/>
      </w:r>
    </w:p>
    <w:tbl>
      <w:tblPr>
        <w:tblStyle w:val="TableGrid"/>
        <w:tblpPr w:leftFromText="180" w:rightFromText="180" w:vertAnchor="text" w:tblpY="1"/>
        <w:tblOverlap w:val="never"/>
        <w:tblW w:w="0" w:type="auto"/>
        <w:tblBorders>
          <w:top w:val="single" w:sz="4" w:space="0" w:color="007FAD"/>
          <w:left w:val="single" w:sz="4" w:space="0" w:color="007FAD"/>
          <w:bottom w:val="single" w:sz="4" w:space="0" w:color="007FAD"/>
          <w:right w:val="single" w:sz="4" w:space="0" w:color="007FAD"/>
          <w:insideH w:val="none" w:sz="0" w:space="0" w:color="auto"/>
        </w:tblBorders>
        <w:tblLook w:val="04A0" w:firstRow="1" w:lastRow="0" w:firstColumn="1" w:lastColumn="0" w:noHBand="0" w:noVBand="1"/>
      </w:tblPr>
      <w:tblGrid>
        <w:gridCol w:w="9020"/>
      </w:tblGrid>
      <w:tr w:rsidR="004511CB" w14:paraId="4E6CA984" w14:textId="77777777" w:rsidTr="00E944DC">
        <w:trPr>
          <w:cnfStyle w:val="100000000000" w:firstRow="1" w:lastRow="0" w:firstColumn="0" w:lastColumn="0" w:oddVBand="0" w:evenVBand="0" w:oddHBand="0" w:evenHBand="0" w:firstRowFirstColumn="0" w:firstRowLastColumn="0" w:lastRowFirstColumn="0" w:lastRowLastColumn="0"/>
          <w:cantSplit/>
        </w:trPr>
        <w:tc>
          <w:tcPr>
            <w:tcW w:w="9020" w:type="dxa"/>
            <w:tcBorders>
              <w:top w:val="none" w:sz="0" w:space="0" w:color="auto"/>
              <w:left w:val="none" w:sz="0" w:space="0" w:color="auto"/>
              <w:bottom w:val="none" w:sz="0" w:space="0" w:color="auto"/>
              <w:right w:val="none" w:sz="0" w:space="0" w:color="auto"/>
            </w:tcBorders>
            <w:shd w:val="clear" w:color="auto" w:fill="007FAD"/>
            <w:hideMark/>
          </w:tcPr>
          <w:p w14:paraId="16FBA16E" w14:textId="7929DB8B" w:rsidR="004511CB" w:rsidRPr="008774FC" w:rsidRDefault="004511CB" w:rsidP="00612E0D">
            <w:pPr>
              <w:pStyle w:val="TableHeading21"/>
              <w:rPr>
                <w:i w:val="0"/>
                <w:sz w:val="24"/>
                <w:szCs w:val="24"/>
              </w:rPr>
            </w:pPr>
            <w:r w:rsidRPr="008774FC">
              <w:rPr>
                <w:i w:val="0"/>
                <w:sz w:val="24"/>
                <w:szCs w:val="24"/>
              </w:rPr>
              <w:lastRenderedPageBreak/>
              <w:t xml:space="preserve">Recommendations </w:t>
            </w:r>
          </w:p>
        </w:tc>
      </w:tr>
      <w:tr w:rsidR="004511CB" w14:paraId="2891C589" w14:textId="77777777" w:rsidTr="00E944DC">
        <w:trPr>
          <w:cantSplit/>
          <w:trHeight w:val="1683"/>
        </w:trPr>
        <w:tc>
          <w:tcPr>
            <w:tcW w:w="9020" w:type="dxa"/>
            <w:shd w:val="clear" w:color="auto" w:fill="ECF1F7"/>
            <w:hideMark/>
          </w:tcPr>
          <w:p w14:paraId="39AFFB67" w14:textId="77777777" w:rsidR="004511CB" w:rsidRPr="008774FC" w:rsidRDefault="004511CB" w:rsidP="00612E0D">
            <w:pPr>
              <w:pStyle w:val="Tabletext0"/>
              <w:rPr>
                <w:b/>
                <w:sz w:val="21"/>
              </w:rPr>
            </w:pPr>
            <w:r w:rsidRPr="008774FC">
              <w:rPr>
                <w:b/>
                <w:sz w:val="21"/>
              </w:rPr>
              <w:t>Recommendation 1</w:t>
            </w:r>
          </w:p>
          <w:p w14:paraId="10808797" w14:textId="77777777" w:rsidR="00AF41BD" w:rsidRPr="008774FC" w:rsidRDefault="00AF41BD" w:rsidP="00AF41BD">
            <w:pPr>
              <w:pStyle w:val="Tabletext0"/>
              <w:rPr>
                <w:rFonts w:eastAsia="Calibri"/>
                <w:noProof/>
                <w:color w:val="auto"/>
                <w:sz w:val="21"/>
                <w:lang w:eastAsia="en-US"/>
              </w:rPr>
            </w:pPr>
            <w:r w:rsidRPr="008774FC">
              <w:rPr>
                <w:rFonts w:eastAsia="Calibri"/>
                <w:noProof/>
                <w:color w:val="auto"/>
                <w:sz w:val="21"/>
                <w:lang w:eastAsia="en-US"/>
              </w:rPr>
              <w:t>DFAT should review arrangements (including responsibility and resourcing) for the following evaluation functions:</w:t>
            </w:r>
          </w:p>
          <w:p w14:paraId="2DDE5691" w14:textId="77777777" w:rsidR="00AF41BD" w:rsidRPr="008774FC" w:rsidRDefault="00AF41BD" w:rsidP="00AF41BD">
            <w:pPr>
              <w:pStyle w:val="Tablebullet"/>
              <w:rPr>
                <w:sz w:val="21"/>
                <w:szCs w:val="21"/>
              </w:rPr>
            </w:pPr>
            <w:r w:rsidRPr="008774FC">
              <w:rPr>
                <w:sz w:val="21"/>
                <w:szCs w:val="21"/>
              </w:rPr>
              <w:t>evaluation planning at program level, including prioritisation and resourcing of evaluations</w:t>
            </w:r>
          </w:p>
          <w:p w14:paraId="23ED56BF" w14:textId="2C4CB7BF" w:rsidR="004511CB" w:rsidRPr="00AF41BD" w:rsidRDefault="00AF41BD" w:rsidP="00AF41BD">
            <w:pPr>
              <w:pStyle w:val="Tablebullet"/>
              <w:rPr>
                <w:sz w:val="21"/>
                <w:szCs w:val="21"/>
              </w:rPr>
            </w:pPr>
            <w:r w:rsidRPr="00AF41BD">
              <w:rPr>
                <w:sz w:val="21"/>
                <w:szCs w:val="21"/>
              </w:rPr>
              <w:t>support by dedicated evaluation staff for non-specialist evaluation managers, particularly for developing evaluation terms of reference and/or evaluation plans and for evaluation of high-value investments.</w:t>
            </w:r>
          </w:p>
        </w:tc>
      </w:tr>
      <w:tr w:rsidR="004511CB" w14:paraId="3D68A717" w14:textId="77777777" w:rsidTr="00E944DC">
        <w:trPr>
          <w:cantSplit/>
        </w:trPr>
        <w:tc>
          <w:tcPr>
            <w:tcW w:w="9020" w:type="dxa"/>
            <w:shd w:val="clear" w:color="auto" w:fill="ECF1F7"/>
            <w:hideMark/>
          </w:tcPr>
          <w:p w14:paraId="7B53EC29" w14:textId="77777777" w:rsidR="004511CB" w:rsidRPr="008774FC" w:rsidRDefault="004511CB" w:rsidP="00612E0D">
            <w:pPr>
              <w:pStyle w:val="Tabletext0"/>
              <w:rPr>
                <w:rFonts w:eastAsiaTheme="majorEastAsia" w:cstheme="majorBidi"/>
                <w:iCs/>
                <w:caps/>
                <w:sz w:val="21"/>
              </w:rPr>
            </w:pPr>
            <w:r w:rsidRPr="008774FC">
              <w:rPr>
                <w:b/>
                <w:sz w:val="21"/>
              </w:rPr>
              <w:t>Recommendation 2</w:t>
            </w:r>
          </w:p>
          <w:p w14:paraId="3786D6B8" w14:textId="77777777" w:rsidR="00AF41BD" w:rsidRPr="008774FC" w:rsidRDefault="00AF41BD" w:rsidP="00AF41BD">
            <w:pPr>
              <w:pStyle w:val="Tabletext0"/>
              <w:rPr>
                <w:rFonts w:eastAsia="Calibri"/>
                <w:noProof/>
                <w:color w:val="auto"/>
                <w:sz w:val="21"/>
                <w:lang w:eastAsia="en-US"/>
              </w:rPr>
            </w:pPr>
            <w:r w:rsidRPr="008774FC">
              <w:rPr>
                <w:rFonts w:eastAsia="Calibri"/>
                <w:noProof/>
                <w:color w:val="auto"/>
                <w:sz w:val="21"/>
                <w:lang w:eastAsia="en-US"/>
              </w:rPr>
              <w:t xml:space="preserve">DFAT should make it explicit that the purpose of the evaluation guides the approach to that evaluation. Specifically: </w:t>
            </w:r>
          </w:p>
          <w:p w14:paraId="4AE82A9C" w14:textId="77777777" w:rsidR="00AF41BD" w:rsidRPr="008774FC" w:rsidRDefault="00AF41BD" w:rsidP="00AF41BD">
            <w:pPr>
              <w:pStyle w:val="Tablebullet"/>
              <w:rPr>
                <w:color w:val="auto"/>
                <w:sz w:val="21"/>
                <w:szCs w:val="21"/>
              </w:rPr>
            </w:pPr>
            <w:r w:rsidRPr="008774FC">
              <w:rPr>
                <w:sz w:val="21"/>
                <w:szCs w:val="21"/>
              </w:rPr>
              <w:t>operational evaluations should remain flexible in timing, with their scope and methodology purposefully designed to meet the specific information needs of program areas</w:t>
            </w:r>
          </w:p>
          <w:p w14:paraId="7F4BE735" w14:textId="4D065886" w:rsidR="004511CB" w:rsidRPr="008774FC" w:rsidRDefault="00AF41BD" w:rsidP="00612E0D">
            <w:pPr>
              <w:pStyle w:val="Tablebullet"/>
              <w:rPr>
                <w:sz w:val="21"/>
                <w:szCs w:val="21"/>
              </w:rPr>
            </w:pPr>
            <w:r w:rsidRPr="008774FC">
              <w:rPr>
                <w:sz w:val="21"/>
                <w:szCs w:val="21"/>
              </w:rPr>
              <w:t>consideration should be given to commissioning impact evaluations, especially of high-value investments and/or those that offer broader learning opportunities.</w:t>
            </w:r>
          </w:p>
        </w:tc>
      </w:tr>
      <w:tr w:rsidR="004511CB" w14:paraId="41AB77AB" w14:textId="77777777" w:rsidTr="00E944DC">
        <w:trPr>
          <w:cantSplit/>
        </w:trPr>
        <w:tc>
          <w:tcPr>
            <w:tcW w:w="9020" w:type="dxa"/>
            <w:shd w:val="clear" w:color="auto" w:fill="ECF1F7"/>
          </w:tcPr>
          <w:p w14:paraId="72DEF6F8" w14:textId="77777777" w:rsidR="004511CB" w:rsidRPr="008774FC" w:rsidRDefault="004511CB" w:rsidP="00612E0D">
            <w:pPr>
              <w:pStyle w:val="Tabletext0"/>
              <w:rPr>
                <w:rFonts w:eastAsiaTheme="majorEastAsia" w:cstheme="majorBidi"/>
                <w:iCs/>
                <w:caps/>
                <w:sz w:val="21"/>
              </w:rPr>
            </w:pPr>
            <w:r w:rsidRPr="008774FC">
              <w:rPr>
                <w:b/>
                <w:sz w:val="21"/>
              </w:rPr>
              <w:t>Recommendation 3</w:t>
            </w:r>
          </w:p>
          <w:p w14:paraId="6EB56B39" w14:textId="077EF369" w:rsidR="004511CB" w:rsidRPr="008774FC" w:rsidRDefault="00AF41BD" w:rsidP="00612E0D">
            <w:pPr>
              <w:pStyle w:val="Tabletext0"/>
              <w:rPr>
                <w:sz w:val="21"/>
              </w:rPr>
            </w:pPr>
            <w:r w:rsidRPr="008774FC">
              <w:rPr>
                <w:rFonts w:eastAsia="Calibri"/>
                <w:noProof/>
                <w:color w:val="auto"/>
                <w:sz w:val="21"/>
              </w:rPr>
              <w:t>DFAT should monitor implementation of the policy requirement to publish all independent operational evaluations and should improve their public accessibility.</w:t>
            </w:r>
          </w:p>
        </w:tc>
      </w:tr>
    </w:tbl>
    <w:p w14:paraId="5D439B89" w14:textId="77777777" w:rsidR="008E71F4" w:rsidRDefault="008E71F4" w:rsidP="008E71F4">
      <w:pPr>
        <w:keepNext/>
        <w:spacing w:after="0" w:line="360" w:lineRule="exact"/>
        <w:rPr>
          <w:szCs w:val="21"/>
        </w:rPr>
      </w:pPr>
    </w:p>
    <w:p w14:paraId="05B2D03B" w14:textId="77777777" w:rsidR="00A4522C" w:rsidRDefault="00A4522C">
      <w:pPr>
        <w:spacing w:before="0" w:after="0" w:line="240" w:lineRule="auto"/>
        <w:rPr>
          <w:rFonts w:ascii="Calibri" w:hAnsi="Calibri"/>
          <w:b/>
          <w:bCs/>
          <w:noProof/>
          <w:color w:val="31849B"/>
          <w:sz w:val="44"/>
          <w:szCs w:val="44"/>
          <w:lang w:val="en-GB" w:eastAsia="en-GB"/>
        </w:rPr>
      </w:pPr>
      <w:bookmarkStart w:id="205" w:name="_Toc378060015"/>
      <w:bookmarkEnd w:id="179"/>
      <w:bookmarkEnd w:id="180"/>
      <w:bookmarkEnd w:id="181"/>
      <w:bookmarkEnd w:id="182"/>
      <w:r>
        <w:rPr>
          <w:noProof/>
        </w:rPr>
        <w:br w:type="page"/>
      </w:r>
    </w:p>
    <w:bookmarkStart w:id="206" w:name="_Toc372723872"/>
    <w:bookmarkStart w:id="207" w:name="_Toc378060016"/>
    <w:bookmarkStart w:id="208" w:name="_Toc387675128"/>
    <w:bookmarkEnd w:id="205"/>
    <w:p w14:paraId="37EB2BC5" w14:textId="2AF739DF" w:rsidR="00E57F60" w:rsidRPr="008C7811" w:rsidRDefault="00121892" w:rsidP="00121892">
      <w:pPr>
        <w:pStyle w:val="Heading1"/>
      </w:pPr>
      <w:r>
        <w:rPr>
          <w:noProof/>
        </w:rPr>
        <w:lastRenderedPageBreak/>
        <mc:AlternateContent>
          <mc:Choice Requires="wps">
            <w:drawing>
              <wp:anchor distT="0" distB="0" distL="114300" distR="114300" simplePos="0" relativeHeight="251676672" behindDoc="1" locked="0" layoutInCell="1" allowOverlap="1" wp14:anchorId="0D6435A9" wp14:editId="61031547">
                <wp:simplePos x="0" y="0"/>
                <wp:positionH relativeFrom="page">
                  <wp:align>left</wp:align>
                </wp:positionH>
                <wp:positionV relativeFrom="paragraph">
                  <wp:posOffset>-144145</wp:posOffset>
                </wp:positionV>
                <wp:extent cx="7610400" cy="1468800"/>
                <wp:effectExtent l="0" t="0" r="0" b="0"/>
                <wp:wrapNone/>
                <wp:docPr id="289" name="Rectangle 289"/>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D32BAD9" id="Rectangle 289" o:spid="_x0000_s1026" style="position:absolute;margin-left:0;margin-top:-11.35pt;width:599.25pt;height:115.65pt;z-index:-2516398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YymAIAAIoFAAAOAAAAZHJzL2Uyb0RvYy54bWysVMFu2zAMvQ/YPwi6r7YDN02DOkXQosOA&#10;oi3aDj0rshQbkEVNUuJkXz9Kst2uK3YYloMiiuQj+Uzy4vLQKbIX1rWgK1qc5JQIzaFu9bai359v&#10;viwocZ7pminQoqJH4ejl6vOni94sxQwaULWwBEG0W/amoo33ZplljjeiY+4EjNColGA75lG026y2&#10;rEf0TmWzPJ9nPdjaWODCOXy9Tkq6ivhSCu7vpXTCE1VRzM3H08ZzE85sdcGWW8tM0/IhDfYPWXSs&#10;1Rh0grpmnpGdbf+A6lpuwYH0Jxy6DKRsuYg1YDVF/q6ap4YZEWtBcpyZaHL/D5bf7R8saeuKzhbn&#10;lGjW4Ud6RNqY3ipBwiNS1Bu3RMsn82AHyeE11HuQtgv/WAk5RFqPE63i4AnHx7N5kZc5ss9RV5Tz&#10;xQIFxMle3Y11/quAjoRLRS0mEOlk+1vnk+loEqI5UG190yoVBbvdXClL9gy/cTEry8V8QP/NTOlg&#10;rCG4JcTwkoXSUjHx5o9KBDulH4VEXjD9WcwkdqSY4jDOhfZFUjWsFin8aY6/MXro4eARK42AAVli&#10;/Al7ABgtE8iInbIc7IOriA09Oed/Syw5Tx4xMmg/OXetBvsRgMKqhsjJfiQpURNY2kB9xK6xkMbJ&#10;GX7T4ne7Zc4/MIvzg98ad4K/x0Mq6CsKw42SBuzPj96DPbY1ainpcR4r6n7smBWUqG8aG/68KMsw&#10;wFEoT89mKNi3ms1bjd51VxDaAbeP4fEa7L0ar9JC94KrYx2iooppjrEryr0dhSuf9gQuHy7W62iG&#10;Q2uYv9VPhgfwwGroy+fDC7NmaF6PfX8H4+yy5bseTrbBU8N650G2scFfeR34xoGPjTMsp7BR3srR&#10;6nWFrn4BAAD//wMAUEsDBBQABgAIAAAAIQCZICkm3QAAAAkBAAAPAAAAZHJzL2Rvd25yZXYueG1s&#10;TI/BTsMwEETvSPyDtUjcWidGlBCyqVAlOETiQEvvbrzEEfE6xG4b/h73BMfRjGbeVOvZDeJEU+g9&#10;I+TLDARx603PHcLH7mVRgAhRs9GDZ0L4oQDr+vqq0qXxZ36n0zZ2IpVwKDWCjXEspQytJafD0o/E&#10;yfv0k9MxyamTZtLnVO4GqbJsJZ3uOS1YPdLGUvu1PTqEpiC7796aYf5udrnc3L36PSnE25v5+QlE&#10;pDn+heGCn9ChTkwHf2QTxICQjkSEhVIPIC52/ljcgzggqKxYgawr+f9B/QsAAP//AwBQSwECLQAU&#10;AAYACAAAACEAtoM4kv4AAADhAQAAEwAAAAAAAAAAAAAAAAAAAAAAW0NvbnRlbnRfVHlwZXNdLnht&#10;bFBLAQItABQABgAIAAAAIQA4/SH/1gAAAJQBAAALAAAAAAAAAAAAAAAAAC8BAABfcmVscy8ucmVs&#10;c1BLAQItABQABgAIAAAAIQDqioYymAIAAIoFAAAOAAAAAAAAAAAAAAAAAC4CAABkcnMvZTJvRG9j&#10;LnhtbFBLAQItABQABgAIAAAAIQCZICkm3QAAAAkBAAAPAAAAAAAAAAAAAAAAAPIEAABkcnMvZG93&#10;bnJldi54bWxQSwUGAAAAAAQABADzAAAA/AUAAAAA&#10;" fillcolor="#124486" stroked="f" strokeweight="2pt">
                <w10:wrap anchorx="page"/>
              </v:rect>
            </w:pict>
          </mc:Fallback>
        </mc:AlternateContent>
      </w:r>
      <w:r w:rsidR="00E57F60" w:rsidRPr="008C7811">
        <w:t xml:space="preserve">Annex 1: Terms of </w:t>
      </w:r>
      <w:r w:rsidR="00E57F60" w:rsidRPr="00D83C72">
        <w:t>Reference</w:t>
      </w:r>
      <w:bookmarkEnd w:id="206"/>
      <w:bookmarkEnd w:id="207"/>
      <w:bookmarkEnd w:id="208"/>
    </w:p>
    <w:p w14:paraId="34F40229" w14:textId="77777777" w:rsidR="004511CB" w:rsidRDefault="004511CB" w:rsidP="004511CB">
      <w:pPr>
        <w:rPr>
          <w:rFonts w:eastAsia="Calibri"/>
          <w:noProof/>
        </w:rPr>
      </w:pPr>
      <w:bookmarkStart w:id="209" w:name="_Toc378060025"/>
      <w:bookmarkStart w:id="210" w:name="_Toc366500449"/>
      <w:bookmarkStart w:id="211" w:name="_Toc366506456"/>
      <w:bookmarkStart w:id="212" w:name="_Toc366515892"/>
      <w:bookmarkStart w:id="213" w:name="_Toc372723873"/>
      <w:r>
        <w:rPr>
          <w:rFonts w:eastAsia="Calibri"/>
          <w:noProof/>
        </w:rPr>
        <w:t>[</w:t>
      </w:r>
      <w:r w:rsidRPr="00B81C2E">
        <w:rPr>
          <w:rFonts w:eastAsia="Calibri"/>
          <w:b/>
          <w:noProof/>
        </w:rPr>
        <w:t>These Terms of Reference were finalised in March 2013, before the absorption of the former AusAID into the Department of Foreign Affairs and Trade.</w:t>
      </w:r>
    </w:p>
    <w:p w14:paraId="1003A94D" w14:textId="77777777" w:rsidR="004511CB" w:rsidRDefault="004511CB" w:rsidP="004511CB">
      <w:pPr>
        <w:rPr>
          <w:rFonts w:eastAsia="Calibri"/>
          <w:noProof/>
        </w:rPr>
      </w:pPr>
      <w:r>
        <w:rPr>
          <w:rFonts w:eastAsia="Calibri"/>
          <w:b/>
          <w:noProof/>
        </w:rPr>
        <w:t>S</w:t>
      </w:r>
      <w:r w:rsidRPr="004A242D">
        <w:rPr>
          <w:rFonts w:eastAsia="Calibri"/>
          <w:b/>
          <w:noProof/>
        </w:rPr>
        <w:t>ubsequent to the finalisation of these Terms of Reference, the proposed rev</w:t>
      </w:r>
      <w:r>
        <w:rPr>
          <w:rFonts w:eastAsia="Calibri"/>
          <w:b/>
          <w:noProof/>
        </w:rPr>
        <w:t>iew</w:t>
      </w:r>
      <w:r w:rsidRPr="004A242D">
        <w:rPr>
          <w:rFonts w:eastAsia="Calibri"/>
          <w:b/>
          <w:noProof/>
        </w:rPr>
        <w:t xml:space="preserve"> was split into two separate reports:</w:t>
      </w:r>
      <w:r>
        <w:rPr>
          <w:rFonts w:eastAsia="Calibri"/>
          <w:b/>
          <w:noProof/>
        </w:rPr>
        <w:t xml:space="preserve"> </w:t>
      </w:r>
      <w:r w:rsidRPr="004A242D">
        <w:rPr>
          <w:rFonts w:eastAsia="Calibri"/>
          <w:b/>
          <w:i/>
          <w:noProof/>
        </w:rPr>
        <w:t xml:space="preserve">Quality of Australian </w:t>
      </w:r>
      <w:r>
        <w:rPr>
          <w:rFonts w:eastAsia="Calibri"/>
          <w:b/>
          <w:i/>
          <w:noProof/>
        </w:rPr>
        <w:t>a</w:t>
      </w:r>
      <w:r w:rsidRPr="004A242D">
        <w:rPr>
          <w:rFonts w:eastAsia="Calibri"/>
          <w:b/>
          <w:i/>
          <w:noProof/>
        </w:rPr>
        <w:t xml:space="preserve">id </w:t>
      </w:r>
      <w:r>
        <w:rPr>
          <w:rFonts w:eastAsia="Calibri"/>
          <w:b/>
          <w:i/>
          <w:noProof/>
        </w:rPr>
        <w:t>o</w:t>
      </w:r>
      <w:r w:rsidRPr="004A242D">
        <w:rPr>
          <w:rFonts w:eastAsia="Calibri"/>
          <w:b/>
          <w:i/>
          <w:noProof/>
        </w:rPr>
        <w:t xml:space="preserve">perational </w:t>
      </w:r>
      <w:r>
        <w:rPr>
          <w:rFonts w:eastAsia="Calibri"/>
          <w:b/>
          <w:i/>
          <w:noProof/>
        </w:rPr>
        <w:t>e</w:t>
      </w:r>
      <w:r w:rsidRPr="004A242D">
        <w:rPr>
          <w:rFonts w:eastAsia="Calibri"/>
          <w:b/>
          <w:i/>
          <w:noProof/>
        </w:rPr>
        <w:t>valuations</w:t>
      </w:r>
      <w:r w:rsidRPr="004A242D">
        <w:rPr>
          <w:rFonts w:eastAsia="Calibri"/>
          <w:b/>
          <w:noProof/>
        </w:rPr>
        <w:t xml:space="preserve"> and </w:t>
      </w:r>
      <w:r>
        <w:rPr>
          <w:rFonts w:eastAsia="Calibri"/>
          <w:b/>
          <w:i/>
          <w:noProof/>
        </w:rPr>
        <w:t>Learning from</w:t>
      </w:r>
      <w:r w:rsidRPr="004A242D">
        <w:rPr>
          <w:rFonts w:eastAsia="Calibri"/>
          <w:b/>
          <w:i/>
          <w:noProof/>
        </w:rPr>
        <w:t xml:space="preserve"> Australian </w:t>
      </w:r>
      <w:r>
        <w:rPr>
          <w:rFonts w:eastAsia="Calibri"/>
          <w:b/>
          <w:i/>
          <w:noProof/>
        </w:rPr>
        <w:t>a</w:t>
      </w:r>
      <w:r w:rsidRPr="004A242D">
        <w:rPr>
          <w:rFonts w:eastAsia="Calibri"/>
          <w:b/>
          <w:i/>
          <w:noProof/>
        </w:rPr>
        <w:t xml:space="preserve">id </w:t>
      </w:r>
      <w:r>
        <w:rPr>
          <w:rFonts w:eastAsia="Calibri"/>
          <w:b/>
          <w:i/>
          <w:noProof/>
        </w:rPr>
        <w:t>o</w:t>
      </w:r>
      <w:r w:rsidRPr="004A242D">
        <w:rPr>
          <w:rFonts w:eastAsia="Calibri"/>
          <w:b/>
          <w:i/>
          <w:noProof/>
        </w:rPr>
        <w:t xml:space="preserve">perational </w:t>
      </w:r>
      <w:r>
        <w:rPr>
          <w:rFonts w:eastAsia="Calibri"/>
          <w:b/>
          <w:i/>
          <w:noProof/>
        </w:rPr>
        <w:t>e</w:t>
      </w:r>
      <w:r w:rsidRPr="004A242D">
        <w:rPr>
          <w:rFonts w:eastAsia="Calibri"/>
          <w:b/>
          <w:i/>
          <w:noProof/>
        </w:rPr>
        <w:t>valuations</w:t>
      </w:r>
      <w:r w:rsidRPr="004A242D">
        <w:rPr>
          <w:rFonts w:eastAsia="Calibri"/>
          <w:b/>
          <w:noProof/>
        </w:rPr>
        <w:t>.</w:t>
      </w:r>
      <w:r>
        <w:rPr>
          <w:rFonts w:eastAsia="Calibri"/>
          <w:noProof/>
        </w:rPr>
        <w:t>]</w:t>
      </w:r>
    </w:p>
    <w:p w14:paraId="7782B09B" w14:textId="77777777" w:rsidR="004511CB" w:rsidRPr="00E57F60" w:rsidRDefault="004511CB" w:rsidP="004511CB">
      <w:pPr>
        <w:rPr>
          <w:noProof/>
        </w:rPr>
      </w:pPr>
      <w:r w:rsidRPr="00E57F60">
        <w:rPr>
          <w:rFonts w:eastAsia="Calibri"/>
          <w:noProof/>
        </w:rPr>
        <w:t>The Office of Development Effectiveness (ODE) and the Program Effectiveness and Performance Division (PEPD) of AusAID will jointly manage a review of the quality and synthesise the findings of independent evaluations commissioned by AusAID of aid initiatives. This topic (</w:t>
      </w:r>
      <w:r>
        <w:rPr>
          <w:rFonts w:eastAsia="Calibri"/>
          <w:noProof/>
        </w:rPr>
        <w:t>s</w:t>
      </w:r>
      <w:r w:rsidRPr="00E57F60">
        <w:rPr>
          <w:rFonts w:eastAsia="Calibri"/>
          <w:noProof/>
        </w:rPr>
        <w:t>ynthesis of AusAID evaluations) is included in ODE’s forward work plan which was endorsed by the Independent Evaluation Committee (IEC) and approved by the Development Effectiveness Steering Committee</w:t>
      </w:r>
      <w:r w:rsidRPr="00E57F60">
        <w:rPr>
          <w:noProof/>
        </w:rPr>
        <w:t>.</w:t>
      </w:r>
    </w:p>
    <w:p w14:paraId="6BBE2F01" w14:textId="078C70F8" w:rsidR="004511CB" w:rsidRPr="00BD0294" w:rsidRDefault="004511CB" w:rsidP="004511CB">
      <w:pPr>
        <w:spacing w:before="480" w:after="120" w:line="240" w:lineRule="auto"/>
        <w:ind w:left="720" w:hanging="720"/>
      </w:pPr>
      <w:bookmarkStart w:id="214" w:name="_Toc366500435"/>
      <w:bookmarkStart w:id="215" w:name="_Toc373303728"/>
      <w:bookmarkStart w:id="216" w:name="_Toc373304295"/>
      <w:bookmarkStart w:id="217" w:name="_Toc378059922"/>
      <w:bookmarkStart w:id="218" w:name="_Toc378060017"/>
      <w:r w:rsidRPr="00AD6A55">
        <w:rPr>
          <w:rFonts w:ascii="Arial" w:hAnsi="Arial" w:cs="Arial"/>
          <w:b/>
          <w:color w:val="124486"/>
          <w:sz w:val="28"/>
          <w:szCs w:val="28"/>
        </w:rPr>
        <w:t>1</w:t>
      </w:r>
      <w:r w:rsidRPr="00AD6A55">
        <w:rPr>
          <w:rFonts w:ascii="Arial" w:hAnsi="Arial" w:cs="Arial"/>
          <w:b/>
          <w:color w:val="124486"/>
          <w:sz w:val="28"/>
          <w:szCs w:val="28"/>
        </w:rPr>
        <w:tab/>
        <w:t>Background</w:t>
      </w:r>
      <w:bookmarkEnd w:id="214"/>
      <w:bookmarkEnd w:id="215"/>
      <w:bookmarkEnd w:id="216"/>
      <w:bookmarkEnd w:id="217"/>
      <w:bookmarkEnd w:id="218"/>
    </w:p>
    <w:p w14:paraId="7A1E2D93" w14:textId="77777777" w:rsidR="004511CB" w:rsidRPr="00E57F60" w:rsidRDefault="004511CB" w:rsidP="004511CB">
      <w:r w:rsidRPr="00E57F60">
        <w:t>Independent Evaluation at AusAID is undertaken at several levels and managed by different areas. ODE undertakes evaluations of broad strategic relevance in line with its evaluation policy and three year rolling work program. Thematic areas commission sector evaluations (such as the Mid-Term Review of the Development for All Strategy, 2012) and geographic areas also commission evaluations (such as the Review of the PNG</w:t>
      </w:r>
      <w:r>
        <w:rPr>
          <w:rFonts w:ascii="Cambria" w:hAnsi="Cambria"/>
        </w:rPr>
        <w:t>–</w:t>
      </w:r>
      <w:r w:rsidRPr="00E57F60">
        <w:t>Australia Development Cooperation Treaty, 2010).</w:t>
      </w:r>
      <w:r>
        <w:t xml:space="preserve"> </w:t>
      </w:r>
      <w:r w:rsidRPr="00E57F60">
        <w:t>However, the bulk of independent evaluations are undertaken at initiative level. In accordance with AusAID’s Performance Management and Evaluation Policy (PMEP), every monitored initiative</w:t>
      </w:r>
      <w:r w:rsidRPr="00E57F60">
        <w:rPr>
          <w:szCs w:val="14"/>
          <w:vertAlign w:val="superscript"/>
        </w:rPr>
        <w:footnoteReference w:id="40"/>
      </w:r>
      <w:r w:rsidRPr="00E57F60">
        <w:t xml:space="preserve"> is required to undertake an independent evaluation at least once over its life, at the time and for the purpose most useful for program management. (This replaces an earlier policy that distinguished between Independent Progress Reports (IPRs) and Independent Completion Reports (ICRs)).</w:t>
      </w:r>
      <w:r>
        <w:t xml:space="preserve"> </w:t>
      </w:r>
      <w:r w:rsidRPr="00E57F60">
        <w:t xml:space="preserve">The purposes of these independent evaluations are: </w:t>
      </w:r>
    </w:p>
    <w:p w14:paraId="72C7561D" w14:textId="77777777" w:rsidR="004511CB" w:rsidRPr="00E57F60" w:rsidRDefault="004511CB" w:rsidP="004511CB">
      <w:pPr>
        <w:pStyle w:val="Bullet"/>
        <w:numPr>
          <w:ilvl w:val="0"/>
          <w:numId w:val="103"/>
        </w:numPr>
      </w:pPr>
      <w:r w:rsidRPr="00730969">
        <w:rPr>
          <w:b/>
        </w:rPr>
        <w:t xml:space="preserve">Management: </w:t>
      </w:r>
      <w:r w:rsidRPr="00E57F60">
        <w:t xml:space="preserve">Independent evaluations help managers to understand what is working, what is not and why, and feed directly into improved management by informing initiative </w:t>
      </w:r>
      <w:r>
        <w:t>q</w:t>
      </w:r>
      <w:r w:rsidRPr="00E57F60">
        <w:t xml:space="preserve">uality at </w:t>
      </w:r>
      <w:r>
        <w:t>i</w:t>
      </w:r>
      <w:r w:rsidRPr="00E57F60">
        <w:t xml:space="preserve">mplementation assessments and </w:t>
      </w:r>
      <w:r>
        <w:t>a</w:t>
      </w:r>
      <w:r w:rsidRPr="00E57F60">
        <w:t xml:space="preserve">nnual </w:t>
      </w:r>
      <w:r>
        <w:t>p</w:t>
      </w:r>
      <w:r w:rsidRPr="00E57F60">
        <w:t xml:space="preserve">rogram </w:t>
      </w:r>
      <w:r>
        <w:t>p</w:t>
      </w:r>
      <w:r w:rsidRPr="00E57F60">
        <w:t xml:space="preserve">erformance </w:t>
      </w:r>
      <w:r>
        <w:t>r</w:t>
      </w:r>
      <w:r w:rsidRPr="00E57F60">
        <w:t xml:space="preserve">eports, the ODE </w:t>
      </w:r>
      <w:r>
        <w:t>s</w:t>
      </w:r>
      <w:r w:rsidRPr="00E57F60">
        <w:t xml:space="preserve">ynthesis of </w:t>
      </w:r>
      <w:r>
        <w:t>e</w:t>
      </w:r>
      <w:r w:rsidRPr="00E57F60">
        <w:t xml:space="preserve">valuations and </w:t>
      </w:r>
      <w:r>
        <w:t>q</w:t>
      </w:r>
      <w:r w:rsidRPr="00E57F60">
        <w:t xml:space="preserve">uality </w:t>
      </w:r>
      <w:r>
        <w:t>a</w:t>
      </w:r>
      <w:r w:rsidRPr="00E57F60">
        <w:t xml:space="preserve">ssurance </w:t>
      </w:r>
      <w:r>
        <w:t>r</w:t>
      </w:r>
      <w:r w:rsidRPr="00E57F60">
        <w:t xml:space="preserve">eport and the </w:t>
      </w:r>
      <w:r w:rsidRPr="00AD6A55">
        <w:rPr>
          <w:i/>
        </w:rPr>
        <w:t>Annual Review of Aid Effectiveness</w:t>
      </w:r>
      <w:r>
        <w:t>.</w:t>
      </w:r>
    </w:p>
    <w:p w14:paraId="643F7E29" w14:textId="77777777" w:rsidR="004511CB" w:rsidRPr="00E57F60" w:rsidRDefault="004511CB" w:rsidP="004511CB">
      <w:pPr>
        <w:pStyle w:val="Bullet"/>
        <w:numPr>
          <w:ilvl w:val="0"/>
          <w:numId w:val="103"/>
        </w:numPr>
      </w:pPr>
      <w:r w:rsidRPr="00730969">
        <w:rPr>
          <w:b/>
        </w:rPr>
        <w:t xml:space="preserve">Accountability: </w:t>
      </w:r>
      <w:r w:rsidRPr="00E57F60">
        <w:t>Independent evaluations are a key source of information on the effectiveness of the aid program to key stakeholders, such as the Australian public, partner governments, implementing partners and the communities that AusAID works with</w:t>
      </w:r>
      <w:r>
        <w:t>.</w:t>
      </w:r>
    </w:p>
    <w:p w14:paraId="72D7CCD3" w14:textId="77777777" w:rsidR="004511CB" w:rsidRPr="00364B53" w:rsidRDefault="004511CB" w:rsidP="004511CB">
      <w:pPr>
        <w:pStyle w:val="BulletLast"/>
        <w:numPr>
          <w:ilvl w:val="0"/>
          <w:numId w:val="103"/>
        </w:numPr>
      </w:pPr>
      <w:r w:rsidRPr="00730969">
        <w:rPr>
          <w:b/>
        </w:rPr>
        <w:lastRenderedPageBreak/>
        <w:t>Learning</w:t>
      </w:r>
      <w:r w:rsidRPr="00C40B57">
        <w:t xml:space="preserve">: </w:t>
      </w:r>
      <w:r w:rsidRPr="00364B53">
        <w:t xml:space="preserve">Independent evaluations provide important information about what does or does not work in a particular context and why. This information may inform country and thematic strategies, design of new activities, management of existing ones, and provide learning to the global community. </w:t>
      </w:r>
    </w:p>
    <w:p w14:paraId="5BD9A400" w14:textId="77777777" w:rsidR="004511CB" w:rsidRPr="00E57F60" w:rsidRDefault="004511CB" w:rsidP="004511CB">
      <w:pPr>
        <w:rPr>
          <w:noProof/>
        </w:rPr>
      </w:pPr>
      <w:r w:rsidRPr="00E57F60">
        <w:rPr>
          <w:noProof/>
        </w:rPr>
        <w:t>For initiatives that are co-financed with other donors or implemented through partners, AusAID encourages joint or partner-led evaluations to be undertaken to share learning across all partners, and to avoid over-burdening implementing partners and beneficiaries with multiple evaluation processes. These evaluations are regarded as meeting AusAID’s requirement to undertake an independent evaluation, and are expected to be published on the AusAID website.</w:t>
      </w:r>
    </w:p>
    <w:p w14:paraId="47757CAD" w14:textId="77777777" w:rsidR="004511CB" w:rsidRPr="00E57F60" w:rsidRDefault="004511CB" w:rsidP="004511CB">
      <w:pPr>
        <w:rPr>
          <w:noProof/>
        </w:rPr>
      </w:pPr>
      <w:r w:rsidRPr="00E57F60">
        <w:rPr>
          <w:noProof/>
        </w:rPr>
        <w:t xml:space="preserve">With the exception of </w:t>
      </w:r>
      <w:r>
        <w:rPr>
          <w:noProof/>
        </w:rPr>
        <w:t>the Australian Centre for International Agricultural Research (</w:t>
      </w:r>
      <w:r w:rsidRPr="00E57F60">
        <w:rPr>
          <w:noProof/>
        </w:rPr>
        <w:t>ACIAR</w:t>
      </w:r>
      <w:r>
        <w:rPr>
          <w:noProof/>
        </w:rPr>
        <w:t>)</w:t>
      </w:r>
      <w:r w:rsidRPr="00E57F60">
        <w:rPr>
          <w:noProof/>
        </w:rPr>
        <w:t>, for most other Australian Government departments delivering the aid program, little data is available on evaluations conducted. In cases where those departments are funded through AusAID’s budget, they are required to comply with AusAID’s PMEP. Departments who directly appropriate aid funding follow their own performance management processes. In 2013 the Development Effectiveness Steering Committee (DESC) endorsed Whole of Government Uniform Standards for the aid program, including a standard on performance management under which all Australian Government departments must conduct an independent evaluation at least once over the life of every aid project.</w:t>
      </w:r>
      <w:r w:rsidRPr="00E57F60">
        <w:rPr>
          <w:rFonts w:cs="Calibri"/>
          <w:noProof/>
          <w:szCs w:val="14"/>
          <w:vertAlign w:val="superscript"/>
        </w:rPr>
        <w:footnoteReference w:id="41"/>
      </w:r>
      <w:r>
        <w:rPr>
          <w:noProof/>
        </w:rPr>
        <w:t xml:space="preserve"> </w:t>
      </w:r>
    </w:p>
    <w:p w14:paraId="013CC92D" w14:textId="77777777" w:rsidR="004511CB" w:rsidRPr="00E57F60" w:rsidRDefault="004511CB" w:rsidP="004511CB">
      <w:pPr>
        <w:rPr>
          <w:rFonts w:eastAsia="Calibri"/>
          <w:szCs w:val="21"/>
          <w:lang w:val="en-US" w:eastAsia="en-US"/>
        </w:rPr>
      </w:pPr>
      <w:r w:rsidRPr="00E57F60">
        <w:rPr>
          <w:rFonts w:eastAsia="Calibri"/>
          <w:szCs w:val="21"/>
          <w:lang w:val="en-US" w:eastAsia="en-US"/>
        </w:rPr>
        <w:t xml:space="preserve">There are three drivers for this review of independent, initiative-level evaluations: </w:t>
      </w:r>
    </w:p>
    <w:p w14:paraId="13FE6C09" w14:textId="77777777" w:rsidR="004511CB" w:rsidRPr="000F2448" w:rsidRDefault="004511CB" w:rsidP="004511CB">
      <w:pPr>
        <w:pStyle w:val="Heading3"/>
      </w:pPr>
      <w:bookmarkStart w:id="219" w:name="_Toc366500436"/>
      <w:bookmarkStart w:id="220" w:name="_Toc366506450"/>
      <w:r>
        <w:t>1.1</w:t>
      </w:r>
      <w:r>
        <w:tab/>
      </w:r>
      <w:r w:rsidRPr="000F2448">
        <w:t>The need for effectiveness reporting on the Australian aid program to draw on a body of credible evidence</w:t>
      </w:r>
      <w:bookmarkEnd w:id="219"/>
      <w:bookmarkEnd w:id="220"/>
    </w:p>
    <w:p w14:paraId="228360F3" w14:textId="77777777" w:rsidR="004511CB" w:rsidRPr="00E57F60" w:rsidRDefault="004511CB" w:rsidP="004511CB">
      <w:pPr>
        <w:rPr>
          <w:noProof/>
        </w:rPr>
      </w:pPr>
      <w:r w:rsidRPr="00E57F60">
        <w:rPr>
          <w:noProof/>
        </w:rPr>
        <w:t>An Effective Aid Program for Australia states that Australia’s approach will be based on ‘concrete evidence of what works best on the ground to produce results’</w:t>
      </w:r>
      <w:r>
        <w:rPr>
          <w:noProof/>
        </w:rPr>
        <w:t>.</w:t>
      </w:r>
      <w:r w:rsidRPr="00E57F60">
        <w:rPr>
          <w:noProof/>
        </w:rPr>
        <w:t xml:space="preserve"> Evaluations are central to this aid effectiveness and results agenda, in driving ongoing learning which informs the direction, design and management of the aid program. Independent evaluations also play an important accountability role in AusAID’s performance management systems. They complement annual performance management processes which are based on self-assessment, and provide an independent perspective of the quality and results achieved through the Australian aid program.</w:t>
      </w:r>
      <w:r>
        <w:rPr>
          <w:noProof/>
        </w:rPr>
        <w:t xml:space="preserve"> </w:t>
      </w:r>
    </w:p>
    <w:p w14:paraId="252B1ACA" w14:textId="77777777" w:rsidR="004511CB" w:rsidRPr="00E57F60" w:rsidRDefault="004511CB" w:rsidP="004511CB">
      <w:pPr>
        <w:rPr>
          <w:noProof/>
        </w:rPr>
      </w:pPr>
      <w:r w:rsidRPr="00E57F60">
        <w:rPr>
          <w:noProof/>
        </w:rPr>
        <w:t xml:space="preserve">In line with recommendations in the </w:t>
      </w:r>
      <w:r w:rsidRPr="00AD6A55">
        <w:rPr>
          <w:i/>
          <w:noProof/>
        </w:rPr>
        <w:t xml:space="preserve">Independent </w:t>
      </w:r>
      <w:r>
        <w:rPr>
          <w:i/>
          <w:noProof/>
        </w:rPr>
        <w:t>r</w:t>
      </w:r>
      <w:r w:rsidRPr="00AD6A55">
        <w:rPr>
          <w:i/>
          <w:noProof/>
        </w:rPr>
        <w:t xml:space="preserve">eview of </w:t>
      </w:r>
      <w:r>
        <w:rPr>
          <w:i/>
          <w:noProof/>
        </w:rPr>
        <w:t>a</w:t>
      </w:r>
      <w:r w:rsidRPr="00AD6A55">
        <w:rPr>
          <w:i/>
          <w:noProof/>
        </w:rPr>
        <w:t xml:space="preserve">id </w:t>
      </w:r>
      <w:r>
        <w:rPr>
          <w:i/>
          <w:noProof/>
        </w:rPr>
        <w:t>e</w:t>
      </w:r>
      <w:r w:rsidRPr="00AD6A55">
        <w:rPr>
          <w:i/>
          <w:noProof/>
        </w:rPr>
        <w:t>ffectiveness</w:t>
      </w:r>
      <w:r w:rsidRPr="00E57F60">
        <w:rPr>
          <w:noProof/>
        </w:rPr>
        <w:t xml:space="preserve"> to strengthen initiative and program evaluation in AusAID, the government committed in Effective Aid to producing a smaller number of high</w:t>
      </w:r>
      <w:r>
        <w:rPr>
          <w:noProof/>
        </w:rPr>
        <w:t>-</w:t>
      </w:r>
      <w:r w:rsidRPr="00E57F60">
        <w:rPr>
          <w:noProof/>
        </w:rPr>
        <w:t>quality evaluations. Under the Transparency Charter, it is expected that evaluations will be published.</w:t>
      </w:r>
    </w:p>
    <w:p w14:paraId="01AF84AD" w14:textId="77777777" w:rsidR="004511CB" w:rsidRPr="00E57F60" w:rsidRDefault="004511CB" w:rsidP="004511CB">
      <w:pPr>
        <w:pStyle w:val="Heading3"/>
      </w:pPr>
      <w:bookmarkStart w:id="221" w:name="_Toc366500437"/>
      <w:bookmarkStart w:id="222" w:name="_Toc366506451"/>
      <w:r>
        <w:t>1.2</w:t>
      </w:r>
      <w:r>
        <w:tab/>
      </w:r>
      <w:r w:rsidRPr="00E57F60">
        <w:t>The need to improve the quality of the aid program’s independent evaluations</w:t>
      </w:r>
      <w:bookmarkEnd w:id="221"/>
      <w:bookmarkEnd w:id="222"/>
      <w:r w:rsidRPr="00E57F60">
        <w:t xml:space="preserve"> </w:t>
      </w:r>
    </w:p>
    <w:p w14:paraId="45818F0A" w14:textId="77777777" w:rsidR="004511CB" w:rsidRPr="00E57F60" w:rsidRDefault="004511CB" w:rsidP="004511CB">
      <w:pPr>
        <w:rPr>
          <w:rFonts w:eastAsia="Calibri"/>
          <w:lang w:val="en-US" w:eastAsia="en-US"/>
        </w:rPr>
      </w:pPr>
      <w:r w:rsidRPr="00E57F60">
        <w:rPr>
          <w:rFonts w:eastAsia="Calibri"/>
          <w:lang w:val="en-US" w:eastAsia="en-US"/>
        </w:rPr>
        <w:t xml:space="preserve">Previous meta-evaluations of AusAID’s independent evaluations have found issues with compliance with agency evaluation requirements, and the quality of initiative-level evaluations. </w:t>
      </w:r>
    </w:p>
    <w:p w14:paraId="16595EF2" w14:textId="77777777" w:rsidR="004511CB" w:rsidRPr="00E57F60" w:rsidRDefault="004511CB" w:rsidP="004511CB">
      <w:pPr>
        <w:rPr>
          <w:rFonts w:eastAsia="Calibri"/>
          <w:lang w:val="en-US" w:eastAsia="en-US"/>
        </w:rPr>
      </w:pPr>
      <w:r w:rsidRPr="00E57F60">
        <w:rPr>
          <w:rFonts w:eastAsia="Calibri"/>
          <w:lang w:val="en-US" w:eastAsia="en-US"/>
        </w:rPr>
        <w:t>In response to issues identified in ODE’s 2007</w:t>
      </w:r>
      <w:r w:rsidRPr="00E57F60">
        <w:rPr>
          <w:rFonts w:eastAsia="Calibri"/>
          <w:i/>
          <w:lang w:val="en-US" w:eastAsia="en-US"/>
        </w:rPr>
        <w:t xml:space="preserve"> Review of AusAID’s </w:t>
      </w:r>
      <w:r>
        <w:rPr>
          <w:rFonts w:eastAsia="Calibri"/>
          <w:i/>
          <w:lang w:val="en-US" w:eastAsia="en-US"/>
        </w:rPr>
        <w:t>a</w:t>
      </w:r>
      <w:r w:rsidRPr="00E57F60">
        <w:rPr>
          <w:rFonts w:eastAsia="Calibri"/>
          <w:i/>
          <w:lang w:val="en-US" w:eastAsia="en-US"/>
        </w:rPr>
        <w:t xml:space="preserve">pproach to </w:t>
      </w:r>
      <w:r>
        <w:rPr>
          <w:rFonts w:eastAsia="Calibri"/>
          <w:i/>
          <w:lang w:val="en-US" w:eastAsia="en-US"/>
        </w:rPr>
        <w:t>e</w:t>
      </w:r>
      <w:r w:rsidRPr="00E57F60">
        <w:rPr>
          <w:rFonts w:eastAsia="Calibri"/>
          <w:i/>
          <w:lang w:val="en-US" w:eastAsia="en-US"/>
        </w:rPr>
        <w:t>valuation</w:t>
      </w:r>
      <w:r w:rsidRPr="00E57F60">
        <w:rPr>
          <w:rFonts w:eastAsia="Calibri"/>
          <w:lang w:val="en-US" w:eastAsia="en-US"/>
        </w:rPr>
        <w:t xml:space="preserve">, an Evaluation Review Panel was established by ODE in September 2008 to improve the quality of evaluations in AusAID, and also to build the capacity of AusAID officers to recognise the quality or otherwise of independent evaluations. A blind technical review process was used where consultants were asked to review and provide a technical rating for draft evaluation reports. Over 70 evaluations </w:t>
      </w:r>
      <w:r w:rsidRPr="00E57F60">
        <w:rPr>
          <w:rFonts w:eastAsia="Calibri"/>
          <w:lang w:val="en-US" w:eastAsia="en-US"/>
        </w:rPr>
        <w:lastRenderedPageBreak/>
        <w:t>underwent technical review via this process between 2008 and 2010.</w:t>
      </w:r>
      <w:r>
        <w:rPr>
          <w:rFonts w:eastAsia="Calibri"/>
          <w:lang w:val="en-US" w:eastAsia="en-US"/>
        </w:rPr>
        <w:t xml:space="preserve"> </w:t>
      </w:r>
      <w:r w:rsidRPr="00E57F60">
        <w:rPr>
          <w:rFonts w:eastAsia="Calibri"/>
          <w:lang w:val="en-US" w:eastAsia="en-US"/>
        </w:rPr>
        <w:t>An evaluation of the process</w:t>
      </w:r>
      <w:r w:rsidRPr="00E57F60">
        <w:rPr>
          <w:rFonts w:eastAsia="Calibri"/>
          <w:szCs w:val="14"/>
          <w:vertAlign w:val="superscript"/>
          <w:lang w:val="en-US" w:eastAsia="en-US"/>
        </w:rPr>
        <w:footnoteReference w:id="42"/>
      </w:r>
      <w:r w:rsidRPr="00E57F60">
        <w:rPr>
          <w:rFonts w:eastAsia="Calibri"/>
          <w:lang w:val="en-US" w:eastAsia="en-US"/>
        </w:rPr>
        <w:t xml:space="preserve"> found that the technical review could be improved, but should be continued.</w:t>
      </w:r>
      <w:r>
        <w:rPr>
          <w:rFonts w:eastAsia="Calibri"/>
          <w:lang w:val="en-US" w:eastAsia="en-US"/>
        </w:rPr>
        <w:t xml:space="preserve"> </w:t>
      </w:r>
      <w:r w:rsidRPr="00E57F60">
        <w:rPr>
          <w:rFonts w:eastAsia="Calibri"/>
          <w:lang w:val="en-US" w:eastAsia="en-US"/>
        </w:rPr>
        <w:t xml:space="preserve">Nonetheless, the Technical Review Panel was discontinued in 2011. Since then, quality assurance of evaluation findings/reports has been through peer review, rather than the previous two-step technical review plus peer review system. </w:t>
      </w:r>
    </w:p>
    <w:p w14:paraId="7D9C36B6" w14:textId="77777777" w:rsidR="004511CB" w:rsidRPr="00E57F60" w:rsidRDefault="004511CB" w:rsidP="004511CB">
      <w:pPr>
        <w:rPr>
          <w:rFonts w:eastAsia="Calibri"/>
          <w:lang w:val="en-US" w:eastAsia="en-US"/>
        </w:rPr>
      </w:pPr>
      <w:r w:rsidRPr="00E57F60">
        <w:rPr>
          <w:rFonts w:eastAsia="Calibri"/>
          <w:lang w:val="en-US" w:eastAsia="en-US"/>
        </w:rPr>
        <w:t xml:space="preserve">The March 2011 </w:t>
      </w:r>
      <w:r w:rsidRPr="00E57F60">
        <w:rPr>
          <w:rFonts w:eastAsia="Calibri"/>
          <w:i/>
          <w:lang w:val="en-US" w:eastAsia="en-US"/>
        </w:rPr>
        <w:t xml:space="preserve">Study of </w:t>
      </w:r>
      <w:r>
        <w:rPr>
          <w:rFonts w:eastAsia="Calibri"/>
          <w:i/>
          <w:lang w:val="en-US" w:eastAsia="en-US"/>
        </w:rPr>
        <w:t>i</w:t>
      </w:r>
      <w:r w:rsidRPr="00E57F60">
        <w:rPr>
          <w:rFonts w:eastAsia="Calibri"/>
          <w:i/>
          <w:lang w:val="en-US" w:eastAsia="en-US"/>
        </w:rPr>
        <w:t xml:space="preserve">ndependent </w:t>
      </w:r>
      <w:r>
        <w:rPr>
          <w:rFonts w:eastAsia="Calibri"/>
          <w:i/>
          <w:lang w:val="en-US" w:eastAsia="en-US"/>
        </w:rPr>
        <w:t>c</w:t>
      </w:r>
      <w:r w:rsidRPr="00E57F60">
        <w:rPr>
          <w:rFonts w:eastAsia="Calibri"/>
          <w:i/>
          <w:lang w:val="en-US" w:eastAsia="en-US"/>
        </w:rPr>
        <w:t xml:space="preserve">ompletion </w:t>
      </w:r>
      <w:r>
        <w:rPr>
          <w:rFonts w:eastAsia="Calibri"/>
          <w:i/>
          <w:lang w:val="en-US" w:eastAsia="en-US"/>
        </w:rPr>
        <w:t>r</w:t>
      </w:r>
      <w:r w:rsidRPr="00E57F60">
        <w:rPr>
          <w:rFonts w:eastAsia="Calibri"/>
          <w:i/>
          <w:lang w:val="en-US" w:eastAsia="en-US"/>
        </w:rPr>
        <w:t>eports and other evaluation documents</w:t>
      </w:r>
      <w:r w:rsidRPr="00E57F60">
        <w:rPr>
          <w:rFonts w:eastAsia="Calibri"/>
          <w:lang w:val="en-US" w:eastAsia="en-US"/>
        </w:rPr>
        <w:t xml:space="preserve"> (the Bazeley study)</w:t>
      </w:r>
      <w:r w:rsidRPr="00465E68">
        <w:rPr>
          <w:rStyle w:val="FootnoteReference"/>
          <w:rFonts w:eastAsia="Calibri"/>
        </w:rPr>
        <w:footnoteReference w:id="43"/>
      </w:r>
      <w:r w:rsidRPr="00465E68">
        <w:rPr>
          <w:rStyle w:val="FootnoteReference"/>
          <w:rFonts w:eastAsia="Calibri"/>
        </w:rPr>
        <w:t xml:space="preserve"> </w:t>
      </w:r>
      <w:r w:rsidRPr="00E57F60">
        <w:rPr>
          <w:rFonts w:eastAsia="Calibri"/>
          <w:lang w:val="en-US" w:eastAsia="en-US"/>
        </w:rPr>
        <w:t>raised concerns regarding compliance with agency evaluation requirements, and with the quality of evaluations.</w:t>
      </w:r>
      <w:r>
        <w:rPr>
          <w:rFonts w:eastAsia="Calibri"/>
          <w:lang w:val="en-US" w:eastAsia="en-US"/>
        </w:rPr>
        <w:t xml:space="preserve"> </w:t>
      </w:r>
      <w:r w:rsidRPr="00E57F60">
        <w:rPr>
          <w:rFonts w:eastAsia="Calibri"/>
          <w:lang w:val="en-US" w:eastAsia="en-US"/>
        </w:rPr>
        <w:t>For example, Bazeley found that evaluations were undertaken primarily for accountability</w:t>
      </w:r>
      <w:r>
        <w:rPr>
          <w:rFonts w:eastAsia="Calibri"/>
          <w:lang w:val="en-US" w:eastAsia="en-US"/>
        </w:rPr>
        <w:t xml:space="preserve"> </w:t>
      </w:r>
      <w:r w:rsidRPr="00E57F60">
        <w:rPr>
          <w:rFonts w:eastAsia="Calibri"/>
          <w:lang w:val="en-US" w:eastAsia="en-US"/>
        </w:rPr>
        <w:t xml:space="preserve">purposes and not for learning or management, </w:t>
      </w:r>
      <w:r w:rsidRPr="00E57F60">
        <w:rPr>
          <w:rFonts w:eastAsia="Calibri"/>
          <w:bCs/>
          <w:lang w:val="en-US" w:eastAsia="en-US"/>
        </w:rPr>
        <w:t>poor underlying data</w:t>
      </w:r>
      <w:r w:rsidRPr="00E57F60">
        <w:rPr>
          <w:rFonts w:eastAsia="Calibri"/>
          <w:lang w:val="en-US" w:eastAsia="en-US"/>
        </w:rPr>
        <w:t xml:space="preserve"> from M&amp;E systems, and the average time allowed (23 days) was minimal given evaluation expectations.</w:t>
      </w:r>
    </w:p>
    <w:p w14:paraId="6CEBEB49" w14:textId="77777777" w:rsidR="004511CB" w:rsidRPr="00E57F60" w:rsidRDefault="004511CB" w:rsidP="004511CB">
      <w:pPr>
        <w:rPr>
          <w:rFonts w:eastAsia="Calibri"/>
          <w:lang w:val="en-US" w:eastAsia="en-US"/>
        </w:rPr>
      </w:pPr>
      <w:r w:rsidRPr="00E57F60">
        <w:rPr>
          <w:rFonts w:eastAsia="Calibri"/>
          <w:lang w:val="en-US" w:eastAsia="en-US"/>
        </w:rPr>
        <w:t xml:space="preserve">Since April 2011 there have been no further meta-evaluations of the quality of AusAID evaluations or the evaluation process. </w:t>
      </w:r>
    </w:p>
    <w:p w14:paraId="31AE436F" w14:textId="77777777" w:rsidR="004511CB" w:rsidRPr="00E57F60" w:rsidRDefault="004511CB" w:rsidP="004511CB">
      <w:pPr>
        <w:pStyle w:val="Heading3"/>
      </w:pPr>
      <w:bookmarkStart w:id="223" w:name="_Toc366500438"/>
      <w:bookmarkStart w:id="224" w:name="_Toc366506452"/>
      <w:r>
        <w:t>1.3</w:t>
      </w:r>
      <w:r>
        <w:tab/>
      </w:r>
      <w:r w:rsidRPr="00E57F60">
        <w:t xml:space="preserve">The increasing importance of evaluation across the Australian </w:t>
      </w:r>
      <w:r>
        <w:t>P</w:t>
      </w:r>
      <w:r w:rsidRPr="00E57F60">
        <w:t xml:space="preserve">ublic </w:t>
      </w:r>
      <w:r>
        <w:t>S</w:t>
      </w:r>
      <w:r w:rsidRPr="00E57F60">
        <w:t>ervice</w:t>
      </w:r>
      <w:bookmarkEnd w:id="223"/>
      <w:bookmarkEnd w:id="224"/>
    </w:p>
    <w:p w14:paraId="055DD32B" w14:textId="77777777" w:rsidR="004511CB" w:rsidRPr="00E57F60" w:rsidRDefault="004511CB" w:rsidP="004511CB">
      <w:pPr>
        <w:rPr>
          <w:rFonts w:eastAsia="Calibri"/>
          <w:lang w:val="en-US" w:eastAsia="en-US"/>
        </w:rPr>
      </w:pPr>
      <w:r w:rsidRPr="00E57F60">
        <w:rPr>
          <w:rFonts w:eastAsia="Calibri"/>
          <w:lang w:val="en-US" w:eastAsia="en-US"/>
        </w:rPr>
        <w:t>The Department of Finance and Deregulation is overseeing a process of renewing evaluation processes across the Australian Public Service as part of the Commonwealth Financial Accountability Review (CFAR).</w:t>
      </w:r>
      <w:r>
        <w:rPr>
          <w:rFonts w:eastAsia="Calibri"/>
          <w:lang w:val="en-US" w:eastAsia="en-US"/>
        </w:rPr>
        <w:t xml:space="preserve"> </w:t>
      </w:r>
      <w:r w:rsidRPr="00E57F60">
        <w:rPr>
          <w:rFonts w:eastAsia="Calibri"/>
          <w:lang w:val="en-US" w:eastAsia="en-US"/>
        </w:rPr>
        <w:t>ODE is a member of the inter-departmental committee advising on this issue.</w:t>
      </w:r>
      <w:r>
        <w:rPr>
          <w:rFonts w:eastAsia="Calibri"/>
          <w:lang w:val="en-US" w:eastAsia="en-US"/>
        </w:rPr>
        <w:t xml:space="preserve"> </w:t>
      </w:r>
      <w:r w:rsidRPr="00E57F60">
        <w:rPr>
          <w:rFonts w:eastAsia="Calibri"/>
          <w:lang w:val="en-US" w:eastAsia="en-US"/>
        </w:rPr>
        <w:t xml:space="preserve">As the new financial accountability framework comes into place across the Australian </w:t>
      </w:r>
      <w:r>
        <w:rPr>
          <w:rFonts w:eastAsia="Calibri"/>
          <w:lang w:val="en-US" w:eastAsia="en-US"/>
        </w:rPr>
        <w:t>P</w:t>
      </w:r>
      <w:r w:rsidRPr="00E57F60">
        <w:rPr>
          <w:rFonts w:eastAsia="Calibri"/>
          <w:lang w:val="en-US" w:eastAsia="en-US"/>
        </w:rPr>
        <w:t xml:space="preserve">ublic </w:t>
      </w:r>
      <w:r>
        <w:rPr>
          <w:rFonts w:eastAsia="Calibri"/>
          <w:lang w:val="en-US" w:eastAsia="en-US"/>
        </w:rPr>
        <w:t>S</w:t>
      </w:r>
      <w:r w:rsidRPr="00E57F60">
        <w:rPr>
          <w:rFonts w:eastAsia="Calibri"/>
          <w:lang w:val="en-US" w:eastAsia="en-US"/>
        </w:rPr>
        <w:t>ervice, it will be important for the aid program and AusAID, including ODE, to maintain a high</w:t>
      </w:r>
      <w:r>
        <w:rPr>
          <w:rFonts w:eastAsia="Calibri"/>
          <w:lang w:val="en-US" w:eastAsia="en-US"/>
        </w:rPr>
        <w:t>-</w:t>
      </w:r>
      <w:r w:rsidRPr="00E57F60">
        <w:rPr>
          <w:rFonts w:eastAsia="Calibri"/>
          <w:lang w:val="en-US" w:eastAsia="en-US"/>
        </w:rPr>
        <w:t xml:space="preserve">quality and systematic program of evaluations. This </w:t>
      </w:r>
      <w:r>
        <w:rPr>
          <w:rFonts w:eastAsia="Calibri"/>
          <w:lang w:val="en-US" w:eastAsia="en-US"/>
        </w:rPr>
        <w:t>r</w:t>
      </w:r>
      <w:r w:rsidRPr="00E57F60">
        <w:rPr>
          <w:rFonts w:eastAsia="Calibri"/>
          <w:lang w:val="en-US" w:eastAsia="en-US"/>
        </w:rPr>
        <w:t xml:space="preserve">eview of </w:t>
      </w:r>
      <w:r>
        <w:rPr>
          <w:rFonts w:eastAsia="Calibri"/>
          <w:lang w:val="en-US" w:eastAsia="en-US"/>
        </w:rPr>
        <w:t>o</w:t>
      </w:r>
      <w:r w:rsidRPr="00E57F60">
        <w:rPr>
          <w:rFonts w:eastAsia="Calibri"/>
          <w:lang w:val="en-US" w:eastAsia="en-US"/>
        </w:rPr>
        <w:t xml:space="preserve">perational </w:t>
      </w:r>
      <w:r>
        <w:rPr>
          <w:rFonts w:eastAsia="Calibri"/>
          <w:lang w:val="en-US" w:eastAsia="en-US"/>
        </w:rPr>
        <w:t>e</w:t>
      </w:r>
      <w:r w:rsidRPr="00E57F60">
        <w:rPr>
          <w:rFonts w:eastAsia="Calibri"/>
          <w:lang w:val="en-US" w:eastAsia="en-US"/>
        </w:rPr>
        <w:t>valuations will help to position the role of evaluations across the aid program.</w:t>
      </w:r>
    </w:p>
    <w:p w14:paraId="7B7AC3ED" w14:textId="55AE28F7" w:rsidR="004511CB" w:rsidRPr="00BD0294" w:rsidRDefault="004511CB" w:rsidP="004511CB">
      <w:pPr>
        <w:spacing w:before="480" w:after="120" w:line="240" w:lineRule="auto"/>
        <w:ind w:left="720" w:hanging="720"/>
      </w:pPr>
      <w:bookmarkStart w:id="225" w:name="_Toc366500439"/>
      <w:bookmarkStart w:id="226" w:name="_Toc373303729"/>
      <w:bookmarkStart w:id="227" w:name="_Toc373304296"/>
      <w:bookmarkStart w:id="228" w:name="_Toc378059923"/>
      <w:bookmarkStart w:id="229" w:name="_Toc378060018"/>
      <w:r w:rsidRPr="00AD6A55">
        <w:rPr>
          <w:rFonts w:ascii="Arial" w:hAnsi="Arial" w:cs="Arial"/>
          <w:b/>
          <w:color w:val="124486"/>
          <w:sz w:val="28"/>
          <w:szCs w:val="28"/>
        </w:rPr>
        <w:t>2</w:t>
      </w:r>
      <w:r w:rsidRPr="00AD6A55">
        <w:rPr>
          <w:rFonts w:ascii="Arial" w:hAnsi="Arial" w:cs="Arial"/>
          <w:b/>
          <w:color w:val="124486"/>
          <w:sz w:val="28"/>
          <w:szCs w:val="28"/>
        </w:rPr>
        <w:tab/>
        <w:t>Scope</w:t>
      </w:r>
      <w:bookmarkEnd w:id="225"/>
      <w:bookmarkEnd w:id="226"/>
      <w:bookmarkEnd w:id="227"/>
      <w:bookmarkEnd w:id="228"/>
      <w:bookmarkEnd w:id="229"/>
    </w:p>
    <w:p w14:paraId="2FBB5ADA" w14:textId="77777777" w:rsidR="004511CB" w:rsidRPr="00E57F60" w:rsidRDefault="004511CB" w:rsidP="004511CB">
      <w:pPr>
        <w:rPr>
          <w:rFonts w:eastAsia="Calibri"/>
          <w:lang w:val="en-US" w:eastAsia="en-US"/>
        </w:rPr>
      </w:pPr>
      <w:r w:rsidRPr="00E57F60">
        <w:rPr>
          <w:rFonts w:eastAsia="Calibri"/>
          <w:lang w:val="en-US" w:eastAsia="en-US"/>
        </w:rPr>
        <w:t xml:space="preserve">The 2013 </w:t>
      </w:r>
      <w:r>
        <w:rPr>
          <w:rFonts w:eastAsia="Calibri"/>
          <w:lang w:val="en-US" w:eastAsia="en-US"/>
        </w:rPr>
        <w:t>r</w:t>
      </w:r>
      <w:r w:rsidRPr="00E57F60">
        <w:rPr>
          <w:rFonts w:eastAsia="Calibri"/>
          <w:lang w:val="en-US" w:eastAsia="en-US"/>
        </w:rPr>
        <w:t xml:space="preserve">eview of </w:t>
      </w:r>
      <w:r>
        <w:rPr>
          <w:rFonts w:eastAsia="Calibri"/>
          <w:lang w:val="en-US" w:eastAsia="en-US"/>
        </w:rPr>
        <w:t>o</w:t>
      </w:r>
      <w:r w:rsidRPr="00E57F60">
        <w:rPr>
          <w:rFonts w:eastAsia="Calibri"/>
          <w:lang w:val="en-US" w:eastAsia="en-US"/>
        </w:rPr>
        <w:t xml:space="preserve">perational </w:t>
      </w:r>
      <w:r>
        <w:rPr>
          <w:rFonts w:eastAsia="Calibri"/>
          <w:lang w:val="en-US" w:eastAsia="en-US"/>
        </w:rPr>
        <w:t>e</w:t>
      </w:r>
      <w:r w:rsidRPr="00E57F60">
        <w:rPr>
          <w:rFonts w:eastAsia="Calibri"/>
          <w:lang w:val="en-US" w:eastAsia="en-US"/>
        </w:rPr>
        <w:t>valuations will consider all independent evaluations of initiatives completed by AusAID and/or partners (where that evaluation is used for AusAID internal purposes) in the 2012 calendar year.</w:t>
      </w:r>
      <w:r>
        <w:rPr>
          <w:rFonts w:eastAsia="Calibri"/>
          <w:lang w:val="en-US" w:eastAsia="en-US"/>
        </w:rPr>
        <w:t xml:space="preserve"> </w:t>
      </w:r>
    </w:p>
    <w:p w14:paraId="41992B7F" w14:textId="77777777" w:rsidR="004511CB" w:rsidRPr="00E57F60" w:rsidRDefault="004511CB" w:rsidP="004511CB">
      <w:pPr>
        <w:rPr>
          <w:rFonts w:eastAsia="Calibri"/>
          <w:lang w:val="en-US" w:eastAsia="en-US"/>
        </w:rPr>
      </w:pPr>
      <w:r w:rsidRPr="00E57F60">
        <w:rPr>
          <w:rFonts w:eastAsia="Calibri"/>
          <w:lang w:val="en-US" w:eastAsia="en-US"/>
        </w:rPr>
        <w:t>Under the current Performance Management and Evaluation Policy, AusAID expects approximately 111 initiative evaluations to be undertaken each year.</w:t>
      </w:r>
      <w:r w:rsidRPr="00E57F60">
        <w:rPr>
          <w:rFonts w:eastAsia="Calibri" w:cs="Arial"/>
          <w:szCs w:val="14"/>
          <w:vertAlign w:val="superscript"/>
          <w:lang w:val="en-US" w:eastAsia="en-US"/>
        </w:rPr>
        <w:footnoteReference w:id="44"/>
      </w:r>
      <w:r>
        <w:rPr>
          <w:rFonts w:eastAsia="Calibri"/>
          <w:lang w:val="en-US" w:eastAsia="en-US"/>
        </w:rPr>
        <w:t xml:space="preserve"> </w:t>
      </w:r>
      <w:r w:rsidRPr="00E57F60">
        <w:rPr>
          <w:rFonts w:eastAsia="Calibri"/>
          <w:lang w:val="en-US" w:eastAsia="en-US"/>
        </w:rPr>
        <w:t>A recent stocktake of evaluations conducted for the 12 months ending October 2012</w:t>
      </w:r>
      <w:r w:rsidRPr="00E57F60">
        <w:rPr>
          <w:rFonts w:eastAsia="Calibri"/>
          <w:szCs w:val="14"/>
          <w:vertAlign w:val="superscript"/>
          <w:lang w:val="en-US" w:eastAsia="en-US"/>
        </w:rPr>
        <w:footnoteReference w:id="45"/>
      </w:r>
      <w:r w:rsidRPr="00E57F60">
        <w:rPr>
          <w:rFonts w:eastAsia="Calibri"/>
          <w:lang w:val="en-US" w:eastAsia="en-US"/>
        </w:rPr>
        <w:t xml:space="preserve"> identified 103 independent evaluations having been undertaken during that period, excluding ODE, thematic and geographic</w:t>
      </w:r>
      <w:r>
        <w:rPr>
          <w:rFonts w:eastAsia="Calibri"/>
          <w:lang w:val="en-US" w:eastAsia="en-US"/>
        </w:rPr>
        <w:t>-</w:t>
      </w:r>
      <w:r w:rsidRPr="00E57F60">
        <w:rPr>
          <w:rFonts w:eastAsia="Calibri"/>
          <w:lang w:val="en-US" w:eastAsia="en-US"/>
        </w:rPr>
        <w:t>based evaluations.</w:t>
      </w:r>
      <w:r>
        <w:rPr>
          <w:rFonts w:eastAsia="Calibri"/>
          <w:lang w:val="en-US" w:eastAsia="en-US"/>
        </w:rPr>
        <w:t xml:space="preserve"> </w:t>
      </w:r>
      <w:r w:rsidRPr="00E57F60">
        <w:rPr>
          <w:rFonts w:eastAsia="Calibri"/>
          <w:lang w:val="en-US" w:eastAsia="en-US"/>
        </w:rPr>
        <w:t>A relatively small number have been published.</w:t>
      </w:r>
    </w:p>
    <w:p w14:paraId="2C2679DC" w14:textId="77777777" w:rsidR="004511CB" w:rsidRPr="00E57F60" w:rsidRDefault="004511CB" w:rsidP="004511CB">
      <w:pPr>
        <w:rPr>
          <w:rFonts w:eastAsia="Calibri"/>
          <w:lang w:val="en-US" w:eastAsia="en-US"/>
        </w:rPr>
      </w:pPr>
      <w:r w:rsidRPr="00E57F60">
        <w:rPr>
          <w:rFonts w:eastAsia="Calibri"/>
          <w:lang w:val="en-US" w:eastAsia="en-US"/>
        </w:rPr>
        <w:t xml:space="preserve">Future </w:t>
      </w:r>
      <w:r>
        <w:rPr>
          <w:rFonts w:eastAsia="Calibri"/>
          <w:lang w:val="en-US" w:eastAsia="en-US"/>
        </w:rPr>
        <w:t>r</w:t>
      </w:r>
      <w:r w:rsidRPr="00E57F60">
        <w:rPr>
          <w:rFonts w:eastAsia="Calibri"/>
          <w:lang w:val="en-US" w:eastAsia="en-US"/>
        </w:rPr>
        <w:t xml:space="preserve">eviews of </w:t>
      </w:r>
      <w:r>
        <w:rPr>
          <w:rFonts w:eastAsia="Calibri"/>
          <w:lang w:val="en-US" w:eastAsia="en-US"/>
        </w:rPr>
        <w:t>o</w:t>
      </w:r>
      <w:r w:rsidRPr="00E57F60">
        <w:rPr>
          <w:rFonts w:eastAsia="Calibri"/>
          <w:lang w:val="en-US" w:eastAsia="en-US"/>
        </w:rPr>
        <w:t xml:space="preserve">perational </w:t>
      </w:r>
      <w:r>
        <w:rPr>
          <w:rFonts w:eastAsia="Calibri"/>
          <w:lang w:val="en-US" w:eastAsia="en-US"/>
        </w:rPr>
        <w:t>e</w:t>
      </w:r>
      <w:r w:rsidRPr="00E57F60">
        <w:rPr>
          <w:rFonts w:eastAsia="Calibri"/>
          <w:lang w:val="en-US" w:eastAsia="en-US"/>
        </w:rPr>
        <w:t>valuations may move to a financial year reporting period to align with other corporate reporting processes.</w:t>
      </w:r>
      <w:r>
        <w:rPr>
          <w:rFonts w:eastAsia="Calibri"/>
          <w:lang w:val="en-US" w:eastAsia="en-US"/>
        </w:rPr>
        <w:t xml:space="preserve"> </w:t>
      </w:r>
      <w:r w:rsidRPr="00E57F60">
        <w:rPr>
          <w:rFonts w:eastAsia="Calibri"/>
          <w:lang w:val="en-US" w:eastAsia="en-US"/>
        </w:rPr>
        <w:t xml:space="preserve">Future </w:t>
      </w:r>
      <w:r>
        <w:rPr>
          <w:rFonts w:eastAsia="Calibri"/>
          <w:lang w:val="en-US" w:eastAsia="en-US"/>
        </w:rPr>
        <w:t>r</w:t>
      </w:r>
      <w:r w:rsidRPr="00E57F60">
        <w:rPr>
          <w:rFonts w:eastAsia="Calibri"/>
          <w:lang w:val="en-US" w:eastAsia="en-US"/>
        </w:rPr>
        <w:t xml:space="preserve">eviews may also look at other types of evaluations (e.g. thematic evaluations, ODE evaluations, evaluations by other government departments). For the </w:t>
      </w:r>
      <w:r w:rsidRPr="00E57F60">
        <w:rPr>
          <w:rFonts w:eastAsia="Calibri"/>
          <w:lang w:val="en-US" w:eastAsia="en-US"/>
        </w:rPr>
        <w:lastRenderedPageBreak/>
        <w:t>purposes of this review, the basic characteristics of these other evaluations will be briefly considered by way of context.</w:t>
      </w:r>
    </w:p>
    <w:p w14:paraId="5B1DB4C7" w14:textId="77777777" w:rsidR="004511CB" w:rsidRPr="00E57F60" w:rsidRDefault="004511CB" w:rsidP="004511CB">
      <w:pPr>
        <w:rPr>
          <w:rFonts w:eastAsia="Calibri"/>
          <w:lang w:val="en-US" w:eastAsia="en-US"/>
        </w:rPr>
      </w:pPr>
      <w:r w:rsidRPr="00E57F60">
        <w:rPr>
          <w:rFonts w:eastAsia="Calibri"/>
          <w:lang w:val="en-US" w:eastAsia="en-US"/>
        </w:rPr>
        <w:t xml:space="preserve">All evaluations will be included in the </w:t>
      </w:r>
      <w:r>
        <w:rPr>
          <w:rFonts w:eastAsia="Calibri"/>
          <w:lang w:val="en-US" w:eastAsia="en-US"/>
        </w:rPr>
        <w:t>q</w:t>
      </w:r>
      <w:r w:rsidRPr="00E57F60">
        <w:rPr>
          <w:rFonts w:eastAsia="Calibri"/>
          <w:lang w:val="en-US" w:eastAsia="en-US"/>
        </w:rPr>
        <w:t xml:space="preserve">uality </w:t>
      </w:r>
      <w:r>
        <w:rPr>
          <w:rFonts w:eastAsia="Calibri"/>
          <w:lang w:val="en-US" w:eastAsia="en-US"/>
        </w:rPr>
        <w:t>r</w:t>
      </w:r>
      <w:r w:rsidRPr="00E57F60">
        <w:rPr>
          <w:rFonts w:eastAsia="Calibri"/>
          <w:lang w:val="en-US" w:eastAsia="en-US"/>
        </w:rPr>
        <w:t xml:space="preserve">eview component of the </w:t>
      </w:r>
      <w:r>
        <w:rPr>
          <w:rFonts w:eastAsia="Calibri"/>
          <w:lang w:val="en-US" w:eastAsia="en-US"/>
        </w:rPr>
        <w:t>r</w:t>
      </w:r>
      <w:r w:rsidRPr="00E57F60">
        <w:rPr>
          <w:rFonts w:eastAsia="Calibri"/>
          <w:lang w:val="en-US" w:eastAsia="en-US"/>
        </w:rPr>
        <w:t xml:space="preserve">eview of </w:t>
      </w:r>
      <w:r>
        <w:rPr>
          <w:rFonts w:eastAsia="Calibri"/>
          <w:lang w:val="en-US" w:eastAsia="en-US"/>
        </w:rPr>
        <w:t>o</w:t>
      </w:r>
      <w:r w:rsidRPr="00E57F60">
        <w:rPr>
          <w:rFonts w:eastAsia="Calibri"/>
          <w:lang w:val="en-US" w:eastAsia="en-US"/>
        </w:rPr>
        <w:t xml:space="preserve">perational </w:t>
      </w:r>
      <w:r>
        <w:rPr>
          <w:rFonts w:eastAsia="Calibri"/>
          <w:lang w:val="en-US" w:eastAsia="en-US"/>
        </w:rPr>
        <w:t>e</w:t>
      </w:r>
      <w:r w:rsidRPr="00E57F60">
        <w:rPr>
          <w:rFonts w:eastAsia="Calibri"/>
          <w:lang w:val="en-US" w:eastAsia="en-US"/>
        </w:rPr>
        <w:t xml:space="preserve">valuations. A selection of these evaluations will be used in the </w:t>
      </w:r>
      <w:r>
        <w:rPr>
          <w:rFonts w:eastAsia="Calibri"/>
          <w:lang w:val="en-US" w:eastAsia="en-US"/>
        </w:rPr>
        <w:t>s</w:t>
      </w:r>
      <w:r w:rsidRPr="00E57F60">
        <w:rPr>
          <w:rFonts w:eastAsia="Calibri"/>
          <w:lang w:val="en-US" w:eastAsia="en-US"/>
        </w:rPr>
        <w:t xml:space="preserve">ynthesis component. </w:t>
      </w:r>
    </w:p>
    <w:p w14:paraId="1DAD178D" w14:textId="4120CCA0" w:rsidR="004511CB" w:rsidRPr="00BD0294" w:rsidRDefault="004511CB" w:rsidP="004511CB">
      <w:pPr>
        <w:spacing w:before="480" w:after="120" w:line="240" w:lineRule="auto"/>
        <w:ind w:left="720" w:hanging="720"/>
      </w:pPr>
      <w:bookmarkStart w:id="230" w:name="_Toc366500440"/>
      <w:bookmarkStart w:id="231" w:name="_Toc373303730"/>
      <w:bookmarkStart w:id="232" w:name="_Toc373304297"/>
      <w:bookmarkStart w:id="233" w:name="_Toc378059924"/>
      <w:bookmarkStart w:id="234" w:name="_Toc378060019"/>
      <w:r w:rsidRPr="00AD6A55">
        <w:rPr>
          <w:rFonts w:ascii="Arial" w:hAnsi="Arial" w:cs="Arial"/>
          <w:b/>
          <w:color w:val="124486"/>
          <w:sz w:val="28"/>
          <w:szCs w:val="28"/>
        </w:rPr>
        <w:t>3</w:t>
      </w:r>
      <w:r w:rsidRPr="00AD6A55">
        <w:rPr>
          <w:rFonts w:ascii="Arial" w:hAnsi="Arial" w:cs="Arial"/>
          <w:b/>
          <w:color w:val="124486"/>
          <w:sz w:val="28"/>
          <w:szCs w:val="28"/>
        </w:rPr>
        <w:tab/>
        <w:t>Objectives</w:t>
      </w:r>
      <w:bookmarkEnd w:id="230"/>
      <w:bookmarkEnd w:id="231"/>
      <w:bookmarkEnd w:id="232"/>
      <w:bookmarkEnd w:id="233"/>
      <w:bookmarkEnd w:id="234"/>
      <w:r w:rsidRPr="00AD6A55">
        <w:rPr>
          <w:rFonts w:ascii="Arial" w:hAnsi="Arial" w:cs="Arial"/>
          <w:b/>
          <w:color w:val="124486"/>
          <w:sz w:val="28"/>
          <w:szCs w:val="28"/>
        </w:rPr>
        <w:t xml:space="preserve"> </w:t>
      </w:r>
    </w:p>
    <w:p w14:paraId="146D4D39" w14:textId="77777777" w:rsidR="004511CB" w:rsidRPr="00E57F60" w:rsidRDefault="004511CB" w:rsidP="004511CB">
      <w:pPr>
        <w:rPr>
          <w:rFonts w:eastAsia="Calibri"/>
          <w:lang w:val="en-US" w:eastAsia="en-US"/>
        </w:rPr>
      </w:pPr>
      <w:r w:rsidRPr="00E57F60">
        <w:rPr>
          <w:rFonts w:eastAsia="Calibri"/>
          <w:lang w:val="en-US" w:eastAsia="en-US"/>
        </w:rPr>
        <w:t xml:space="preserve">In line with the purposes of evaluation in AusAID, and the quality issues highlighted in the meta-evaluations outlined above, this </w:t>
      </w:r>
      <w:r>
        <w:rPr>
          <w:rFonts w:eastAsia="Calibri"/>
          <w:lang w:val="en-US" w:eastAsia="en-US"/>
        </w:rPr>
        <w:t>r</w:t>
      </w:r>
      <w:r w:rsidRPr="00E57F60">
        <w:rPr>
          <w:rFonts w:eastAsia="Calibri"/>
          <w:lang w:val="en-US" w:eastAsia="en-US"/>
        </w:rPr>
        <w:t xml:space="preserve">eview of </w:t>
      </w:r>
      <w:r>
        <w:rPr>
          <w:rFonts w:eastAsia="Calibri"/>
          <w:lang w:val="en-US" w:eastAsia="en-US"/>
        </w:rPr>
        <w:t>o</w:t>
      </w:r>
      <w:r w:rsidRPr="00E57F60">
        <w:rPr>
          <w:rFonts w:eastAsia="Calibri"/>
          <w:lang w:val="en-US" w:eastAsia="en-US"/>
        </w:rPr>
        <w:t xml:space="preserve">perational </w:t>
      </w:r>
      <w:r>
        <w:rPr>
          <w:rFonts w:eastAsia="Calibri"/>
          <w:lang w:val="en-US" w:eastAsia="en-US"/>
        </w:rPr>
        <w:t>e</w:t>
      </w:r>
      <w:r w:rsidRPr="00E57F60">
        <w:rPr>
          <w:rFonts w:eastAsia="Calibri"/>
          <w:lang w:val="en-US" w:eastAsia="en-US"/>
        </w:rPr>
        <w:t>valuations has two objectives:</w:t>
      </w:r>
    </w:p>
    <w:p w14:paraId="403844BF" w14:textId="77777777" w:rsidR="004511CB" w:rsidRPr="007602B6" w:rsidRDefault="004511CB" w:rsidP="004511CB">
      <w:pPr>
        <w:pStyle w:val="Bullet"/>
        <w:numPr>
          <w:ilvl w:val="0"/>
          <w:numId w:val="103"/>
        </w:numPr>
      </w:pPr>
      <w:r w:rsidRPr="007602B6">
        <w:t>to promote good quality independent evaluations (including appropriate coverage)</w:t>
      </w:r>
    </w:p>
    <w:p w14:paraId="49B22056" w14:textId="77777777" w:rsidR="004511CB" w:rsidRPr="00465E68" w:rsidRDefault="004511CB" w:rsidP="004511CB">
      <w:pPr>
        <w:pStyle w:val="BulletLast"/>
        <w:numPr>
          <w:ilvl w:val="0"/>
          <w:numId w:val="103"/>
        </w:numPr>
      </w:pPr>
      <w:r>
        <w:t>t</w:t>
      </w:r>
      <w:r w:rsidRPr="00697CBC">
        <w:t xml:space="preserve">o inform the Minister, public, partners and aid program staff of overarching lessons emerging from </w:t>
      </w:r>
      <w:r>
        <w:t>T</w:t>
      </w:r>
      <w:r w:rsidRPr="00465E68">
        <w:t>he findings of independent evaluations.</w:t>
      </w:r>
    </w:p>
    <w:p w14:paraId="518F71FC" w14:textId="77777777" w:rsidR="004511CB" w:rsidRPr="00E57F60" w:rsidRDefault="004511CB" w:rsidP="004511CB">
      <w:pPr>
        <w:rPr>
          <w:rFonts w:eastAsia="Calibri"/>
          <w:lang w:val="en-US" w:eastAsia="en-US"/>
        </w:rPr>
      </w:pPr>
      <w:r w:rsidRPr="00E57F60">
        <w:rPr>
          <w:rFonts w:eastAsia="Calibri"/>
          <w:lang w:val="en-US" w:eastAsia="en-US"/>
        </w:rPr>
        <w:t xml:space="preserve">The findings from the </w:t>
      </w:r>
      <w:r>
        <w:rPr>
          <w:rFonts w:eastAsia="Calibri"/>
          <w:lang w:val="en-US" w:eastAsia="en-US"/>
        </w:rPr>
        <w:t>r</w:t>
      </w:r>
      <w:r w:rsidRPr="00E57F60">
        <w:rPr>
          <w:rFonts w:eastAsia="Calibri"/>
          <w:lang w:val="en-US" w:eastAsia="en-US"/>
        </w:rPr>
        <w:t xml:space="preserve">eview of </w:t>
      </w:r>
      <w:r>
        <w:rPr>
          <w:rFonts w:eastAsia="Calibri"/>
          <w:lang w:val="en-US" w:eastAsia="en-US"/>
        </w:rPr>
        <w:t>o</w:t>
      </w:r>
      <w:r w:rsidRPr="00E57F60">
        <w:rPr>
          <w:rFonts w:eastAsia="Calibri"/>
          <w:lang w:val="en-US" w:eastAsia="en-US"/>
        </w:rPr>
        <w:t xml:space="preserve">perational </w:t>
      </w:r>
      <w:r>
        <w:rPr>
          <w:rFonts w:eastAsia="Calibri"/>
          <w:lang w:val="en-US" w:eastAsia="en-US"/>
        </w:rPr>
        <w:t>e</w:t>
      </w:r>
      <w:r w:rsidRPr="00E57F60">
        <w:rPr>
          <w:rFonts w:eastAsia="Calibri"/>
          <w:lang w:val="en-US" w:eastAsia="en-US"/>
        </w:rPr>
        <w:t xml:space="preserve">valuations will also provide input for ODE’s 2014 </w:t>
      </w:r>
      <w:r>
        <w:rPr>
          <w:rFonts w:eastAsia="Calibri"/>
          <w:lang w:val="en-US" w:eastAsia="en-US"/>
        </w:rPr>
        <w:t>s</w:t>
      </w:r>
      <w:r w:rsidRPr="00E57F60">
        <w:rPr>
          <w:rFonts w:eastAsia="Calibri"/>
          <w:lang w:val="en-US" w:eastAsia="en-US"/>
        </w:rPr>
        <w:t xml:space="preserve">ynthesis of </w:t>
      </w:r>
      <w:r>
        <w:rPr>
          <w:rFonts w:eastAsia="Calibri"/>
          <w:lang w:val="en-US" w:eastAsia="en-US"/>
        </w:rPr>
        <w:t>e</w:t>
      </w:r>
      <w:r w:rsidRPr="00E57F60">
        <w:rPr>
          <w:rFonts w:eastAsia="Calibri"/>
          <w:lang w:val="en-US" w:eastAsia="en-US"/>
        </w:rPr>
        <w:t xml:space="preserve">valuations and </w:t>
      </w:r>
      <w:r>
        <w:rPr>
          <w:rFonts w:eastAsia="Calibri"/>
          <w:lang w:val="en-US" w:eastAsia="en-US"/>
        </w:rPr>
        <w:t>q</w:t>
      </w:r>
      <w:r w:rsidRPr="00E57F60">
        <w:rPr>
          <w:rFonts w:eastAsia="Calibri"/>
          <w:lang w:val="en-US" w:eastAsia="en-US"/>
        </w:rPr>
        <w:t xml:space="preserve">uality </w:t>
      </w:r>
      <w:r>
        <w:rPr>
          <w:rFonts w:eastAsia="Calibri"/>
          <w:lang w:val="en-US" w:eastAsia="en-US"/>
        </w:rPr>
        <w:t>a</w:t>
      </w:r>
      <w:r w:rsidRPr="00E57F60">
        <w:rPr>
          <w:rFonts w:eastAsia="Calibri"/>
          <w:lang w:val="en-US" w:eastAsia="en-US"/>
        </w:rPr>
        <w:t xml:space="preserve">ssurance </w:t>
      </w:r>
      <w:r>
        <w:rPr>
          <w:rFonts w:eastAsia="Calibri"/>
          <w:lang w:val="en-US" w:eastAsia="en-US"/>
        </w:rPr>
        <w:t>r</w:t>
      </w:r>
      <w:r w:rsidRPr="00E57F60">
        <w:rPr>
          <w:rFonts w:eastAsia="Calibri"/>
          <w:lang w:val="en-US" w:eastAsia="en-US"/>
        </w:rPr>
        <w:t xml:space="preserve">eview and the 2014 </w:t>
      </w:r>
      <w:r w:rsidRPr="00AD6A55">
        <w:rPr>
          <w:rFonts w:eastAsia="Calibri"/>
          <w:i/>
          <w:lang w:val="en-US" w:eastAsia="en-US"/>
        </w:rPr>
        <w:t>Annual Review of Aid Effectiveness</w:t>
      </w:r>
      <w:r w:rsidRPr="00E57F60">
        <w:rPr>
          <w:rFonts w:eastAsia="Calibri"/>
          <w:lang w:val="en-US" w:eastAsia="en-US"/>
        </w:rPr>
        <w:t>.</w:t>
      </w:r>
      <w:r>
        <w:rPr>
          <w:rFonts w:eastAsia="Calibri"/>
          <w:lang w:val="en-US" w:eastAsia="en-US"/>
        </w:rPr>
        <w:t xml:space="preserve"> </w:t>
      </w:r>
      <w:r w:rsidRPr="00E57F60">
        <w:rPr>
          <w:rFonts w:eastAsia="Calibri"/>
          <w:lang w:val="en-US" w:eastAsia="en-US"/>
        </w:rPr>
        <w:t xml:space="preserve">It is anticipated that the </w:t>
      </w:r>
      <w:r>
        <w:rPr>
          <w:rFonts w:eastAsia="Calibri"/>
          <w:lang w:val="en-US" w:eastAsia="en-US"/>
        </w:rPr>
        <w:t>r</w:t>
      </w:r>
      <w:r w:rsidRPr="00E57F60">
        <w:rPr>
          <w:rFonts w:eastAsia="Calibri"/>
          <w:lang w:val="en-US" w:eastAsia="en-US"/>
        </w:rPr>
        <w:t>eview will become a regular product and this will be reflected in the agency’s PMEP.</w:t>
      </w:r>
    </w:p>
    <w:p w14:paraId="0714BC39" w14:textId="7D57A877" w:rsidR="004511CB" w:rsidRPr="00BD0294" w:rsidRDefault="004511CB" w:rsidP="004511CB">
      <w:pPr>
        <w:spacing w:before="480" w:after="120" w:line="240" w:lineRule="auto"/>
        <w:ind w:left="720" w:hanging="720"/>
      </w:pPr>
      <w:bookmarkStart w:id="235" w:name="_Toc366500441"/>
      <w:bookmarkStart w:id="236" w:name="_Toc373303731"/>
      <w:bookmarkStart w:id="237" w:name="_Toc373304298"/>
      <w:bookmarkStart w:id="238" w:name="_Toc378059925"/>
      <w:bookmarkStart w:id="239" w:name="_Toc378060020"/>
      <w:r w:rsidRPr="00AD6A55">
        <w:rPr>
          <w:rFonts w:ascii="Arial" w:hAnsi="Arial" w:cs="Arial"/>
          <w:b/>
          <w:color w:val="124486"/>
          <w:sz w:val="28"/>
          <w:szCs w:val="28"/>
        </w:rPr>
        <w:t>4</w:t>
      </w:r>
      <w:r w:rsidRPr="00AD6A55">
        <w:rPr>
          <w:rFonts w:ascii="Arial" w:hAnsi="Arial" w:cs="Arial"/>
          <w:b/>
          <w:color w:val="124486"/>
          <w:sz w:val="28"/>
          <w:szCs w:val="28"/>
        </w:rPr>
        <w:tab/>
        <w:t>Focus questions</w:t>
      </w:r>
      <w:bookmarkEnd w:id="235"/>
      <w:bookmarkEnd w:id="236"/>
      <w:bookmarkEnd w:id="237"/>
      <w:bookmarkEnd w:id="238"/>
      <w:bookmarkEnd w:id="239"/>
    </w:p>
    <w:p w14:paraId="41858ADB" w14:textId="77777777" w:rsidR="004511CB" w:rsidRPr="00E57F60" w:rsidRDefault="004511CB" w:rsidP="004511CB">
      <w:pPr>
        <w:rPr>
          <w:rFonts w:eastAsia="Calibri"/>
          <w:lang w:val="en-US" w:eastAsia="en-US"/>
        </w:rPr>
      </w:pPr>
      <w:r w:rsidRPr="00E57F60">
        <w:rPr>
          <w:rFonts w:eastAsia="Calibri"/>
          <w:lang w:val="en-US" w:eastAsia="en-US"/>
        </w:rPr>
        <w:t xml:space="preserve">The </w:t>
      </w:r>
      <w:r>
        <w:rPr>
          <w:rFonts w:eastAsia="Calibri"/>
          <w:lang w:val="en-US" w:eastAsia="en-US"/>
        </w:rPr>
        <w:t>r</w:t>
      </w:r>
      <w:r w:rsidRPr="00E57F60">
        <w:rPr>
          <w:rFonts w:eastAsia="Calibri"/>
          <w:lang w:val="en-US" w:eastAsia="en-US"/>
        </w:rPr>
        <w:t xml:space="preserve">eview of </w:t>
      </w:r>
      <w:r>
        <w:rPr>
          <w:rFonts w:eastAsia="Calibri"/>
          <w:lang w:val="en-US" w:eastAsia="en-US"/>
        </w:rPr>
        <w:t>o</w:t>
      </w:r>
      <w:r w:rsidRPr="00E57F60">
        <w:rPr>
          <w:rFonts w:eastAsia="Calibri"/>
          <w:lang w:val="en-US" w:eastAsia="en-US"/>
        </w:rPr>
        <w:t xml:space="preserve">perational </w:t>
      </w:r>
      <w:r>
        <w:rPr>
          <w:rFonts w:eastAsia="Calibri"/>
          <w:lang w:val="en-US" w:eastAsia="en-US"/>
        </w:rPr>
        <w:t>e</w:t>
      </w:r>
      <w:r w:rsidRPr="00E57F60">
        <w:rPr>
          <w:rFonts w:eastAsia="Calibri"/>
          <w:lang w:val="en-US" w:eastAsia="en-US"/>
        </w:rPr>
        <w:t>valuations will seek to an</w:t>
      </w:r>
      <w:r>
        <w:rPr>
          <w:rFonts w:eastAsia="Calibri"/>
          <w:lang w:val="en-US" w:eastAsia="en-US"/>
        </w:rPr>
        <w:t>swer the following questions.</w:t>
      </w:r>
    </w:p>
    <w:p w14:paraId="3B2CDD95" w14:textId="77777777" w:rsidR="004511CB" w:rsidRPr="000F2448" w:rsidRDefault="004511CB" w:rsidP="004511CB">
      <w:pPr>
        <w:pStyle w:val="Heading3a"/>
        <w:rPr>
          <w:rFonts w:eastAsia="Calibri"/>
          <w:lang w:val="en-US" w:eastAsia="en-US"/>
        </w:rPr>
      </w:pPr>
      <w:r w:rsidRPr="000F2448">
        <w:rPr>
          <w:rFonts w:eastAsia="Calibri"/>
          <w:lang w:val="en-US" w:eastAsia="en-US"/>
        </w:rPr>
        <w:t xml:space="preserve">Quality </w:t>
      </w:r>
      <w:r>
        <w:rPr>
          <w:rFonts w:eastAsia="Calibri"/>
          <w:lang w:val="en-US" w:eastAsia="en-US"/>
        </w:rPr>
        <w:t>r</w:t>
      </w:r>
      <w:r w:rsidRPr="000F2448">
        <w:rPr>
          <w:rFonts w:eastAsia="Calibri"/>
          <w:lang w:val="en-US" w:eastAsia="en-US"/>
        </w:rPr>
        <w:t>eview</w:t>
      </w:r>
    </w:p>
    <w:p w14:paraId="433D77CB" w14:textId="77777777" w:rsidR="004511CB" w:rsidRPr="00E57F60" w:rsidRDefault="004511CB" w:rsidP="004511CB">
      <w:pPr>
        <w:pStyle w:val="Numberlist4"/>
      </w:pPr>
      <w:r w:rsidRPr="00E57F60">
        <w:t>1.</w:t>
      </w:r>
      <w:r w:rsidRPr="00E57F60">
        <w:tab/>
        <w:t>What are the basic characteristics of different levels of independent evaluation in the aid program and the history and nature of independent evaluation at the initiative level?</w:t>
      </w:r>
    </w:p>
    <w:p w14:paraId="28297858" w14:textId="77777777" w:rsidR="004511CB" w:rsidRPr="00E57F60" w:rsidRDefault="004511CB" w:rsidP="004511CB">
      <w:pPr>
        <w:pStyle w:val="Numberlist4"/>
      </w:pPr>
      <w:r w:rsidRPr="00E57F60">
        <w:t>2.</w:t>
      </w:r>
      <w:r w:rsidRPr="00E57F60">
        <w:tab/>
        <w:t>To what degree do independent evaluations</w:t>
      </w:r>
      <w:r w:rsidRPr="00E57F60">
        <w:rPr>
          <w:szCs w:val="21"/>
          <w:vertAlign w:val="superscript"/>
        </w:rPr>
        <w:footnoteReference w:id="46"/>
      </w:r>
      <w:r w:rsidRPr="00E57F60">
        <w:t xml:space="preserve"> provide a credible source of evidence for the effectiveness of the Australian aid program?</w:t>
      </w:r>
    </w:p>
    <w:p w14:paraId="59FA9A63" w14:textId="77777777" w:rsidR="004511CB" w:rsidRPr="00E57F60" w:rsidRDefault="004511CB" w:rsidP="004511CB">
      <w:pPr>
        <w:pStyle w:val="Numberlist4"/>
      </w:pPr>
      <w:r w:rsidRPr="00E57F60">
        <w:t>3.</w:t>
      </w:r>
      <w:r w:rsidRPr="00E57F60">
        <w:tab/>
        <w:t>What are the major strengths and weaknesses of independent evaluations conducted for AusAID?</w:t>
      </w:r>
    </w:p>
    <w:p w14:paraId="7E01C0AC" w14:textId="77777777" w:rsidR="004511CB" w:rsidRPr="00E57F60" w:rsidRDefault="004511CB" w:rsidP="004511CB">
      <w:pPr>
        <w:pStyle w:val="Numberlist4"/>
      </w:pPr>
      <w:r w:rsidRPr="00E57F60">
        <w:t>4.</w:t>
      </w:r>
      <w:r w:rsidRPr="00E57F60">
        <w:tab/>
        <w:t xml:space="preserve">What are the factors that contribute to their quality? </w:t>
      </w:r>
    </w:p>
    <w:p w14:paraId="2449783A" w14:textId="77777777" w:rsidR="004511CB" w:rsidRPr="00E57F60" w:rsidRDefault="004511CB" w:rsidP="004511CB">
      <w:pPr>
        <w:pStyle w:val="Numberlist4"/>
      </w:pPr>
      <w:r w:rsidRPr="00E57F60">
        <w:t>5.</w:t>
      </w:r>
      <w:r w:rsidRPr="00E57F60">
        <w:tab/>
        <w:t>What actions should be taken to improve the quality and/or coverage of independent evaluations?</w:t>
      </w:r>
    </w:p>
    <w:p w14:paraId="31961892" w14:textId="77777777" w:rsidR="004511CB" w:rsidRPr="000F2448" w:rsidRDefault="004511CB" w:rsidP="004511CB">
      <w:pPr>
        <w:pStyle w:val="Heading3a"/>
      </w:pPr>
      <w:r w:rsidRPr="000F2448">
        <w:t>Synthesis</w:t>
      </w:r>
    </w:p>
    <w:p w14:paraId="66396829" w14:textId="77777777" w:rsidR="004511CB" w:rsidRPr="00E57F60" w:rsidRDefault="004511CB" w:rsidP="004511CB">
      <w:pPr>
        <w:pStyle w:val="Numberlist4"/>
      </w:pPr>
      <w:r w:rsidRPr="00E57F60">
        <w:t>1.</w:t>
      </w:r>
      <w:r w:rsidRPr="00E57F60">
        <w:tab/>
        <w:t>What are the main lessons for the aid program emerging from the findings of independent evaluations?</w:t>
      </w:r>
    </w:p>
    <w:p w14:paraId="435DE5E7" w14:textId="77777777" w:rsidR="004511CB" w:rsidRPr="00E57F60" w:rsidRDefault="004511CB" w:rsidP="004511CB">
      <w:pPr>
        <w:pStyle w:val="Numberlist4"/>
      </w:pPr>
      <w:r w:rsidRPr="00E57F60">
        <w:t>2.</w:t>
      </w:r>
      <w:r w:rsidRPr="00E57F60">
        <w:tab/>
        <w:t>Are there any trends or patterns regarding the effectiveness, relevance, sustainability or other characteristics of evaluated initiatives?</w:t>
      </w:r>
      <w:r>
        <w:rPr>
          <w:rStyle w:val="FootnoteReference"/>
          <w:rFonts w:ascii="Cambria" w:hAnsi="Cambria"/>
        </w:rPr>
        <w:footnoteReference w:id="47"/>
      </w:r>
    </w:p>
    <w:p w14:paraId="0449B62C" w14:textId="754CB5C4" w:rsidR="004511CB" w:rsidRPr="00BD0294" w:rsidRDefault="004511CB" w:rsidP="004511CB">
      <w:pPr>
        <w:spacing w:before="480" w:after="120" w:line="240" w:lineRule="auto"/>
        <w:ind w:left="720" w:hanging="720"/>
      </w:pPr>
      <w:bookmarkStart w:id="240" w:name="_Toc366500442"/>
      <w:bookmarkStart w:id="241" w:name="_Toc373303732"/>
      <w:bookmarkStart w:id="242" w:name="_Toc373304299"/>
      <w:bookmarkStart w:id="243" w:name="_Toc378059926"/>
      <w:bookmarkStart w:id="244" w:name="_Toc378060021"/>
      <w:r w:rsidRPr="00AD6A55">
        <w:rPr>
          <w:rFonts w:ascii="Arial" w:hAnsi="Arial" w:cs="Arial"/>
          <w:b/>
          <w:color w:val="124486"/>
          <w:sz w:val="28"/>
          <w:szCs w:val="28"/>
        </w:rPr>
        <w:lastRenderedPageBreak/>
        <w:t>5</w:t>
      </w:r>
      <w:r w:rsidRPr="00AD6A55">
        <w:rPr>
          <w:rFonts w:ascii="Arial" w:hAnsi="Arial" w:cs="Arial"/>
          <w:b/>
          <w:color w:val="124486"/>
          <w:sz w:val="28"/>
          <w:szCs w:val="28"/>
        </w:rPr>
        <w:tab/>
        <w:t>Approach</w:t>
      </w:r>
      <w:bookmarkEnd w:id="240"/>
      <w:bookmarkEnd w:id="241"/>
      <w:bookmarkEnd w:id="242"/>
      <w:bookmarkEnd w:id="243"/>
      <w:bookmarkEnd w:id="244"/>
      <w:r w:rsidRPr="00AD6A55">
        <w:rPr>
          <w:rFonts w:ascii="Arial" w:hAnsi="Arial" w:cs="Arial"/>
          <w:b/>
          <w:color w:val="124486"/>
          <w:sz w:val="28"/>
          <w:szCs w:val="28"/>
        </w:rPr>
        <w:t xml:space="preserve"> </w:t>
      </w:r>
    </w:p>
    <w:p w14:paraId="1ADE7500" w14:textId="77777777" w:rsidR="004511CB" w:rsidRPr="00E57F60" w:rsidRDefault="004511CB" w:rsidP="004511CB">
      <w:pPr>
        <w:rPr>
          <w:rFonts w:eastAsia="Calibri"/>
          <w:lang w:val="en-US" w:eastAsia="en-US"/>
        </w:rPr>
      </w:pPr>
      <w:r w:rsidRPr="00E57F60">
        <w:rPr>
          <w:rFonts w:eastAsia="Calibri"/>
          <w:lang w:val="en-US" w:eastAsia="en-US"/>
        </w:rPr>
        <w:t xml:space="preserve">The </w:t>
      </w:r>
      <w:r>
        <w:rPr>
          <w:rFonts w:eastAsia="Calibri"/>
          <w:lang w:val="en-US" w:eastAsia="en-US"/>
        </w:rPr>
        <w:t>r</w:t>
      </w:r>
      <w:r w:rsidRPr="00E57F60">
        <w:rPr>
          <w:rFonts w:eastAsia="Calibri"/>
          <w:lang w:val="en-US" w:eastAsia="en-US"/>
        </w:rPr>
        <w:t xml:space="preserve">eview of </w:t>
      </w:r>
      <w:r>
        <w:rPr>
          <w:rFonts w:eastAsia="Calibri"/>
          <w:lang w:val="en-US" w:eastAsia="en-US"/>
        </w:rPr>
        <w:t>o</w:t>
      </w:r>
      <w:r w:rsidRPr="00E57F60">
        <w:rPr>
          <w:rFonts w:eastAsia="Calibri"/>
          <w:lang w:val="en-US" w:eastAsia="en-US"/>
        </w:rPr>
        <w:t xml:space="preserve">perational </w:t>
      </w:r>
      <w:r>
        <w:rPr>
          <w:rFonts w:eastAsia="Calibri"/>
          <w:lang w:val="en-US" w:eastAsia="en-US"/>
        </w:rPr>
        <w:t>e</w:t>
      </w:r>
      <w:r w:rsidRPr="00E57F60">
        <w:rPr>
          <w:rFonts w:eastAsia="Calibri"/>
          <w:lang w:val="en-US" w:eastAsia="en-US"/>
        </w:rPr>
        <w:t>valuations will be conducted by a small team of consultants, and jointly managed by ODE and PEPD (Quality Performance and Results Branch), with input from a reference group comprised of AusAID senior management/advisers.</w:t>
      </w:r>
      <w:r>
        <w:rPr>
          <w:rFonts w:eastAsia="Calibri"/>
          <w:lang w:val="en-US" w:eastAsia="en-US"/>
        </w:rPr>
        <w:t xml:space="preserve"> </w:t>
      </w:r>
      <w:r w:rsidRPr="00E57F60">
        <w:rPr>
          <w:rFonts w:eastAsia="Calibri"/>
          <w:lang w:val="en-US" w:eastAsia="en-US"/>
        </w:rPr>
        <w:t>The review will be overseen by the IEC.</w:t>
      </w:r>
    </w:p>
    <w:p w14:paraId="633B519F" w14:textId="77777777" w:rsidR="004511CB" w:rsidRPr="00E57F60" w:rsidRDefault="004511CB" w:rsidP="004511CB">
      <w:pPr>
        <w:pStyle w:val="Heading3a"/>
      </w:pPr>
      <w:bookmarkStart w:id="245" w:name="_Toc366500443"/>
      <w:bookmarkStart w:id="246" w:name="_Toc366506453"/>
      <w:r w:rsidRPr="00E57F60">
        <w:t xml:space="preserve">Preparatory </w:t>
      </w:r>
      <w:r>
        <w:t>p</w:t>
      </w:r>
      <w:r w:rsidRPr="00E57F60">
        <w:t>hase</w:t>
      </w:r>
      <w:bookmarkEnd w:id="245"/>
      <w:bookmarkEnd w:id="246"/>
    </w:p>
    <w:p w14:paraId="75B72BAE" w14:textId="77777777" w:rsidR="004511CB" w:rsidRPr="00E57F60" w:rsidRDefault="004511CB" w:rsidP="004511CB">
      <w:pPr>
        <w:rPr>
          <w:rFonts w:eastAsia="Calibri"/>
          <w:lang w:val="en-US" w:eastAsia="en-US"/>
        </w:rPr>
      </w:pPr>
      <w:r w:rsidRPr="00E57F60">
        <w:rPr>
          <w:rFonts w:eastAsia="Calibri"/>
          <w:lang w:val="en-US" w:eastAsia="en-US"/>
        </w:rPr>
        <w:t>PEPD will look at the population of monitorable initiatives and conduct a compliance check against the evaluation requirements set out in the PMEP.</w:t>
      </w:r>
      <w:r>
        <w:rPr>
          <w:rFonts w:eastAsia="Calibri"/>
          <w:lang w:val="en-US" w:eastAsia="en-US"/>
        </w:rPr>
        <w:t xml:space="preserve"> </w:t>
      </w:r>
      <w:r w:rsidRPr="00E57F60">
        <w:rPr>
          <w:rFonts w:eastAsia="Calibri"/>
          <w:lang w:val="en-US" w:eastAsia="en-US"/>
        </w:rPr>
        <w:t>PEPD will collate a list of all independent evaluations which have been completed (i.e. the date of the final evaluation report) in the 2012 calendar year.</w:t>
      </w:r>
      <w:r>
        <w:rPr>
          <w:rFonts w:eastAsia="Calibri"/>
          <w:lang w:val="en-US" w:eastAsia="en-US"/>
        </w:rPr>
        <w:t xml:space="preserve"> </w:t>
      </w:r>
    </w:p>
    <w:p w14:paraId="0F13BA22" w14:textId="77777777" w:rsidR="004511CB" w:rsidRPr="00E57F60" w:rsidRDefault="004511CB" w:rsidP="004511CB">
      <w:pPr>
        <w:rPr>
          <w:rFonts w:eastAsia="Calibri"/>
          <w:lang w:val="en-US" w:eastAsia="en-US"/>
        </w:rPr>
      </w:pPr>
      <w:r w:rsidRPr="00E57F60">
        <w:rPr>
          <w:rFonts w:eastAsia="Calibri"/>
          <w:lang w:val="en-US" w:eastAsia="en-US"/>
        </w:rPr>
        <w:t>To identify any patterns in coverage or compliance, PEPD/ODE will analyse AidWorks data to compare the characteristics of the initiatives for which independent evaluations have been completed (including</w:t>
      </w:r>
      <w:r>
        <w:rPr>
          <w:rFonts w:eastAsia="Calibri"/>
          <w:lang w:val="en-US" w:eastAsia="en-US"/>
        </w:rPr>
        <w:t>,</w:t>
      </w:r>
      <w:r w:rsidRPr="00E57F60">
        <w:rPr>
          <w:rFonts w:eastAsia="Calibri"/>
          <w:lang w:val="en-US" w:eastAsia="en-US"/>
        </w:rPr>
        <w:t xml:space="preserve"> for example, stage of implementation, value, location, sector, implementing partner, modality) with those for which they haven’t been completed (including those for which exemptions were granted).</w:t>
      </w:r>
      <w:r>
        <w:rPr>
          <w:rFonts w:eastAsia="Calibri"/>
          <w:lang w:val="en-US" w:eastAsia="en-US"/>
        </w:rPr>
        <w:t xml:space="preserve"> </w:t>
      </w:r>
      <w:r w:rsidRPr="00E57F60">
        <w:rPr>
          <w:rFonts w:eastAsia="Calibri"/>
          <w:lang w:val="en-US" w:eastAsia="en-US"/>
        </w:rPr>
        <w:t xml:space="preserve">This analysis will feed into the </w:t>
      </w:r>
      <w:r>
        <w:rPr>
          <w:rFonts w:eastAsia="Calibri"/>
          <w:lang w:val="en-US" w:eastAsia="en-US"/>
        </w:rPr>
        <w:t>q</w:t>
      </w:r>
      <w:r w:rsidRPr="00E57F60">
        <w:rPr>
          <w:rFonts w:eastAsia="Calibri"/>
          <w:lang w:val="en-US" w:eastAsia="en-US"/>
        </w:rPr>
        <w:t xml:space="preserve">uality </w:t>
      </w:r>
      <w:r>
        <w:rPr>
          <w:rFonts w:eastAsia="Calibri"/>
          <w:lang w:val="en-US" w:eastAsia="en-US"/>
        </w:rPr>
        <w:t>r</w:t>
      </w:r>
      <w:r w:rsidRPr="00E57F60">
        <w:rPr>
          <w:rFonts w:eastAsia="Calibri"/>
          <w:lang w:val="en-US" w:eastAsia="en-US"/>
        </w:rPr>
        <w:t>eview.</w:t>
      </w:r>
    </w:p>
    <w:p w14:paraId="02D870DD" w14:textId="77777777" w:rsidR="004511CB" w:rsidRPr="00E57F60" w:rsidRDefault="004511CB" w:rsidP="004511CB">
      <w:pPr>
        <w:rPr>
          <w:rFonts w:eastAsia="Calibri"/>
          <w:lang w:val="en-US" w:eastAsia="en-US"/>
        </w:rPr>
      </w:pPr>
      <w:r w:rsidRPr="00E57F60">
        <w:rPr>
          <w:rFonts w:eastAsia="Calibri"/>
          <w:lang w:val="en-US" w:eastAsia="en-US"/>
        </w:rPr>
        <w:t>In addition, the number and characteristics of thematically-based evaluations completed in the 2012 calendar year (i.e. the date of the final evaluation report) will be identified.</w:t>
      </w:r>
      <w:r>
        <w:rPr>
          <w:rFonts w:eastAsia="Calibri"/>
          <w:lang w:val="en-US" w:eastAsia="en-US"/>
        </w:rPr>
        <w:t xml:space="preserve"> </w:t>
      </w:r>
      <w:r w:rsidRPr="00E57F60">
        <w:rPr>
          <w:rFonts w:eastAsia="Calibri"/>
          <w:lang w:val="en-US" w:eastAsia="en-US"/>
        </w:rPr>
        <w:t xml:space="preserve">This data will inform the </w:t>
      </w:r>
      <w:r>
        <w:rPr>
          <w:rFonts w:eastAsia="Calibri"/>
          <w:lang w:val="en-US" w:eastAsia="en-US"/>
        </w:rPr>
        <w:t>q</w:t>
      </w:r>
      <w:r w:rsidRPr="00E57F60">
        <w:rPr>
          <w:rFonts w:eastAsia="Calibri"/>
          <w:lang w:val="en-US" w:eastAsia="en-US"/>
        </w:rPr>
        <w:t xml:space="preserve">uality </w:t>
      </w:r>
      <w:r>
        <w:rPr>
          <w:rFonts w:eastAsia="Calibri"/>
          <w:lang w:val="en-US" w:eastAsia="en-US"/>
        </w:rPr>
        <w:t>r</w:t>
      </w:r>
      <w:r w:rsidRPr="00E57F60">
        <w:rPr>
          <w:rFonts w:eastAsia="Calibri"/>
          <w:lang w:val="en-US" w:eastAsia="en-US"/>
        </w:rPr>
        <w:t>eview</w:t>
      </w:r>
      <w:r>
        <w:rPr>
          <w:rFonts w:eastAsia="Calibri"/>
          <w:lang w:val="en-US" w:eastAsia="en-US"/>
        </w:rPr>
        <w:t>;</w:t>
      </w:r>
      <w:r w:rsidRPr="00E57F60">
        <w:rPr>
          <w:rFonts w:eastAsia="Calibri"/>
          <w:lang w:val="en-US" w:eastAsia="en-US"/>
        </w:rPr>
        <w:t xml:space="preserve"> however, these evaluations will not themselves be quality reviewed.</w:t>
      </w:r>
    </w:p>
    <w:p w14:paraId="446E7ED7" w14:textId="77777777" w:rsidR="004511CB" w:rsidRPr="00E57F60" w:rsidRDefault="004511CB" w:rsidP="004511CB">
      <w:pPr>
        <w:rPr>
          <w:rFonts w:eastAsia="Calibri"/>
          <w:lang w:val="en-US" w:eastAsia="en-US"/>
        </w:rPr>
      </w:pPr>
      <w:r w:rsidRPr="00E57F60">
        <w:rPr>
          <w:rFonts w:eastAsia="Calibri"/>
          <w:lang w:val="en-US" w:eastAsia="en-US"/>
        </w:rPr>
        <w:t xml:space="preserve">A review plan </w:t>
      </w:r>
      <w:r w:rsidRPr="00E57F60">
        <w:rPr>
          <w:rFonts w:eastAsia="MS Mincho"/>
          <w:lang w:val="en-US" w:eastAsia="en-US"/>
        </w:rPr>
        <w:t xml:space="preserve">providing details on the agreed methodology and how the </w:t>
      </w:r>
      <w:r>
        <w:rPr>
          <w:rFonts w:eastAsia="MS Mincho"/>
          <w:lang w:val="en-US" w:eastAsia="en-US"/>
        </w:rPr>
        <w:t>r</w:t>
      </w:r>
      <w:r w:rsidRPr="00E57F60">
        <w:rPr>
          <w:rFonts w:eastAsia="MS Mincho"/>
          <w:lang w:val="en-US" w:eastAsia="en-US"/>
        </w:rPr>
        <w:t xml:space="preserve">eview will be implemented </w:t>
      </w:r>
      <w:r w:rsidRPr="00E57F60">
        <w:rPr>
          <w:rFonts w:eastAsia="Calibri"/>
          <w:lang w:val="en-US" w:eastAsia="en-US"/>
        </w:rPr>
        <w:t>will be prepared, and endorsement sought from the IEC.</w:t>
      </w:r>
      <w:r>
        <w:rPr>
          <w:rFonts w:eastAsia="Calibri"/>
          <w:lang w:val="en-US" w:eastAsia="en-US"/>
        </w:rPr>
        <w:t xml:space="preserve"> </w:t>
      </w:r>
      <w:r w:rsidRPr="00E57F60">
        <w:rPr>
          <w:rFonts w:eastAsia="Calibri"/>
          <w:lang w:val="en-US" w:eastAsia="en-US"/>
        </w:rPr>
        <w:t xml:space="preserve">This review plan will be revised before the commencement of </w:t>
      </w:r>
      <w:r>
        <w:rPr>
          <w:rFonts w:eastAsia="Calibri"/>
          <w:lang w:val="en-US" w:eastAsia="en-US"/>
        </w:rPr>
        <w:t>p</w:t>
      </w:r>
      <w:r w:rsidRPr="00E57F60">
        <w:rPr>
          <w:rFonts w:eastAsia="Calibri"/>
          <w:lang w:val="en-US" w:eastAsia="en-US"/>
        </w:rPr>
        <w:t>art 2</w:t>
      </w:r>
      <w:r>
        <w:rPr>
          <w:rFonts w:eastAsia="Calibri"/>
          <w:lang w:val="en-US" w:eastAsia="en-US"/>
        </w:rPr>
        <w:t>:</w:t>
      </w:r>
      <w:r w:rsidRPr="00E57F60">
        <w:rPr>
          <w:rFonts w:eastAsia="Calibri"/>
          <w:lang w:val="en-US" w:eastAsia="en-US"/>
        </w:rPr>
        <w:t xml:space="preserve"> </w:t>
      </w:r>
      <w:r>
        <w:rPr>
          <w:rFonts w:eastAsia="Calibri"/>
          <w:lang w:val="en-US" w:eastAsia="en-US"/>
        </w:rPr>
        <w:t>s</w:t>
      </w:r>
      <w:r w:rsidRPr="00E57F60">
        <w:rPr>
          <w:rFonts w:eastAsia="Calibri"/>
          <w:lang w:val="en-US" w:eastAsia="en-US"/>
        </w:rPr>
        <w:t>ynthesis.</w:t>
      </w:r>
    </w:p>
    <w:p w14:paraId="5E04CC8E" w14:textId="77777777" w:rsidR="004511CB" w:rsidRPr="00E57F60" w:rsidRDefault="004511CB" w:rsidP="004511CB">
      <w:pPr>
        <w:pStyle w:val="Heading3a"/>
      </w:pPr>
      <w:bookmarkStart w:id="247" w:name="_Toc366500444"/>
      <w:bookmarkStart w:id="248" w:name="_Toc366506454"/>
      <w:r w:rsidRPr="00E57F60">
        <w:t xml:space="preserve">Part 1: Quality </w:t>
      </w:r>
      <w:r>
        <w:t>r</w:t>
      </w:r>
      <w:r w:rsidRPr="00E57F60">
        <w:t>eview</w:t>
      </w:r>
      <w:bookmarkEnd w:id="247"/>
      <w:bookmarkEnd w:id="248"/>
    </w:p>
    <w:p w14:paraId="79285B3E" w14:textId="77777777" w:rsidR="004511CB" w:rsidRPr="00E57F60" w:rsidRDefault="004511CB" w:rsidP="004511CB">
      <w:r w:rsidRPr="00E57F60">
        <w:t xml:space="preserve">Part 1 of the </w:t>
      </w:r>
      <w:r>
        <w:t>r</w:t>
      </w:r>
      <w:r w:rsidRPr="00E57F60">
        <w:t xml:space="preserve">eview of </w:t>
      </w:r>
      <w:r>
        <w:t>o</w:t>
      </w:r>
      <w:r w:rsidRPr="00E57F60">
        <w:t xml:space="preserve">perational </w:t>
      </w:r>
      <w:r>
        <w:t>e</w:t>
      </w:r>
      <w:r w:rsidRPr="00E57F60">
        <w:t xml:space="preserve">valuations is a meta-evaluation to assess the credibility and quality of evaluation reports, including the major strengths and weaknesses of independent evaluations and contributing factors. It will also identify actions that should be taken to improve the quality and/or coverage of independent evaluations. </w:t>
      </w:r>
    </w:p>
    <w:p w14:paraId="1C415CCD" w14:textId="77777777" w:rsidR="004511CB" w:rsidRPr="00E57F60" w:rsidRDefault="004511CB" w:rsidP="004511CB">
      <w:pPr>
        <w:pStyle w:val="NormalBeforeBullet"/>
      </w:pPr>
      <w:r w:rsidRPr="00E57F60">
        <w:t>Key activities will include:</w:t>
      </w:r>
    </w:p>
    <w:p w14:paraId="1291E0F1" w14:textId="77777777" w:rsidR="004511CB" w:rsidRPr="00E57F60" w:rsidRDefault="004511CB" w:rsidP="004511CB">
      <w:pPr>
        <w:pStyle w:val="Bullet"/>
        <w:numPr>
          <w:ilvl w:val="0"/>
          <w:numId w:val="103"/>
        </w:numPr>
      </w:pPr>
      <w:r>
        <w:t>a</w:t>
      </w:r>
      <w:r w:rsidRPr="00E57F60">
        <w:t>ssessing each evaluation against the OECD</w:t>
      </w:r>
      <w:r>
        <w:rPr>
          <w:rFonts w:ascii="Cambria" w:hAnsi="Cambria"/>
        </w:rPr>
        <w:t>–</w:t>
      </w:r>
      <w:r w:rsidRPr="00E57F60">
        <w:t>DAC evaluation criteria and a selection of the 2013 AusAID M&amp;E Standards. A clear method and pro forma will be developed to assess the credibility and quality of each evaluation’s assessments against each of the criteria</w:t>
      </w:r>
      <w:r w:rsidRPr="009101E7">
        <w:rPr>
          <w:szCs w:val="21"/>
          <w:vertAlign w:val="superscript"/>
        </w:rPr>
        <w:footnoteReference w:id="48"/>
      </w:r>
    </w:p>
    <w:p w14:paraId="016F476F" w14:textId="77777777" w:rsidR="004511CB" w:rsidRPr="00E57F60" w:rsidRDefault="004511CB" w:rsidP="004511CB">
      <w:pPr>
        <w:pStyle w:val="Bullet"/>
        <w:numPr>
          <w:ilvl w:val="0"/>
          <w:numId w:val="103"/>
        </w:numPr>
      </w:pPr>
      <w:r>
        <w:t>c</w:t>
      </w:r>
      <w:r w:rsidRPr="00E57F60">
        <w:t>onducting analysis to determine whether there are any correlations between the quality of evaluations and the characteristics of the initiative (for example, value, location, sector, implementing partner, modality), or between the quality of evaluations and the characteristics of the evaluation (for example, stage of implementation, length of evaluation, time taken for evaluation fieldwork and reporting, focus on project or sector issues, degree of country-specific analysis</w:t>
      </w:r>
      <w:r w:rsidRPr="009101E7">
        <w:t>)</w:t>
      </w:r>
    </w:p>
    <w:p w14:paraId="2514248C" w14:textId="77777777" w:rsidR="004511CB" w:rsidRPr="00E57F60" w:rsidRDefault="004511CB" w:rsidP="004511CB">
      <w:pPr>
        <w:pStyle w:val="BulletLast"/>
        <w:numPr>
          <w:ilvl w:val="0"/>
          <w:numId w:val="103"/>
        </w:numPr>
      </w:pPr>
      <w:r>
        <w:t>c</w:t>
      </w:r>
      <w:r w:rsidRPr="00E57F60">
        <w:t>onducting interviews with evaluators and program managers from a sample of evaluations to help identify the factors contributing to stronger or weaker evaluations, primarily focusing on using an ‘appreciative inquiry’ approach.</w:t>
      </w:r>
    </w:p>
    <w:p w14:paraId="10CAE3AF" w14:textId="77777777" w:rsidR="004511CB" w:rsidRPr="00E57F60" w:rsidRDefault="004511CB" w:rsidP="004511CB">
      <w:pPr>
        <w:rPr>
          <w:rFonts w:eastAsia="Calibri"/>
          <w:lang w:val="en-US" w:eastAsia="en-US"/>
        </w:rPr>
      </w:pPr>
      <w:r w:rsidRPr="00E57F60">
        <w:rPr>
          <w:rFonts w:eastAsia="Calibri"/>
          <w:lang w:val="en-US" w:eastAsia="en-US"/>
        </w:rPr>
        <w:lastRenderedPageBreak/>
        <w:t>During the quality review, approximately six (6) examples of ‘good practice’ evaluation products (</w:t>
      </w:r>
      <w:r>
        <w:rPr>
          <w:rFonts w:eastAsia="Calibri"/>
          <w:lang w:val="en-US" w:eastAsia="en-US"/>
        </w:rPr>
        <w:t>t</w:t>
      </w:r>
      <w:r w:rsidRPr="00E57F60">
        <w:rPr>
          <w:rFonts w:eastAsia="Calibri"/>
          <w:lang w:val="en-US" w:eastAsia="en-US"/>
        </w:rPr>
        <w:t xml:space="preserve">erms of </w:t>
      </w:r>
      <w:r>
        <w:rPr>
          <w:rFonts w:eastAsia="Calibri"/>
          <w:lang w:val="en-US" w:eastAsia="en-US"/>
        </w:rPr>
        <w:t>r</w:t>
      </w:r>
      <w:r w:rsidRPr="00E57F60">
        <w:rPr>
          <w:rFonts w:eastAsia="Calibri"/>
          <w:lang w:val="en-US" w:eastAsia="en-US"/>
        </w:rPr>
        <w:t xml:space="preserve">eference, </w:t>
      </w:r>
      <w:r>
        <w:rPr>
          <w:rFonts w:eastAsia="Calibri"/>
          <w:lang w:val="en-US" w:eastAsia="en-US"/>
        </w:rPr>
        <w:t>e</w:t>
      </w:r>
      <w:r w:rsidRPr="00E57F60">
        <w:rPr>
          <w:rFonts w:eastAsia="Calibri"/>
          <w:lang w:val="en-US" w:eastAsia="en-US"/>
        </w:rPr>
        <w:t xml:space="preserve">valuation </w:t>
      </w:r>
      <w:r>
        <w:rPr>
          <w:rFonts w:eastAsia="Calibri"/>
          <w:lang w:val="en-US" w:eastAsia="en-US"/>
        </w:rPr>
        <w:t>p</w:t>
      </w:r>
      <w:r w:rsidRPr="00E57F60">
        <w:rPr>
          <w:rFonts w:eastAsia="Calibri"/>
          <w:lang w:val="en-US" w:eastAsia="en-US"/>
        </w:rPr>
        <w:t xml:space="preserve">lans, and </w:t>
      </w:r>
      <w:r>
        <w:rPr>
          <w:rFonts w:eastAsia="Calibri"/>
          <w:lang w:val="en-US" w:eastAsia="en-US"/>
        </w:rPr>
        <w:t>e</w:t>
      </w:r>
      <w:r w:rsidRPr="00E57F60">
        <w:rPr>
          <w:rFonts w:eastAsia="Calibri"/>
          <w:lang w:val="en-US" w:eastAsia="en-US"/>
        </w:rPr>
        <w:t xml:space="preserve">valuation </w:t>
      </w:r>
      <w:r>
        <w:rPr>
          <w:rFonts w:eastAsia="Calibri"/>
          <w:lang w:val="en-US" w:eastAsia="en-US"/>
        </w:rPr>
        <w:t>r</w:t>
      </w:r>
      <w:r w:rsidRPr="00E57F60">
        <w:rPr>
          <w:rFonts w:eastAsia="Calibri"/>
          <w:lang w:val="en-US" w:eastAsia="en-US"/>
        </w:rPr>
        <w:t>eports) will be identified.</w:t>
      </w:r>
      <w:r>
        <w:rPr>
          <w:rFonts w:eastAsia="Calibri"/>
          <w:lang w:val="en-US" w:eastAsia="en-US"/>
        </w:rPr>
        <w:t xml:space="preserve"> </w:t>
      </w:r>
      <w:r w:rsidRPr="00E57F60">
        <w:rPr>
          <w:rFonts w:eastAsia="Calibri"/>
          <w:lang w:val="en-US" w:eastAsia="en-US"/>
        </w:rPr>
        <w:t>These examples illustrating ‘good practices’ identified during the quality review of the evaluation population will be discussed in an annex to the final report, with a focus on providing learning to AusAID staff.</w:t>
      </w:r>
      <w:r>
        <w:rPr>
          <w:rFonts w:eastAsia="Calibri"/>
          <w:lang w:val="en-US" w:eastAsia="en-US"/>
        </w:rPr>
        <w:t xml:space="preserve"> </w:t>
      </w:r>
      <w:r w:rsidRPr="00E57F60">
        <w:rPr>
          <w:rFonts w:eastAsia="Calibri"/>
          <w:lang w:val="en-US" w:eastAsia="en-US"/>
        </w:rPr>
        <w:t>At least two good quality examples of each type of evaluation product will be sought.</w:t>
      </w:r>
    </w:p>
    <w:p w14:paraId="528D60DD" w14:textId="77777777" w:rsidR="004511CB" w:rsidRPr="00E57F60" w:rsidRDefault="004511CB" w:rsidP="004511CB">
      <w:pPr>
        <w:rPr>
          <w:rFonts w:eastAsia="Calibri"/>
          <w:lang w:val="en-US" w:eastAsia="en-US"/>
        </w:rPr>
      </w:pPr>
      <w:r w:rsidRPr="00E57F60">
        <w:rPr>
          <w:rFonts w:eastAsia="Calibri"/>
          <w:lang w:val="en-US" w:eastAsia="en-US"/>
        </w:rPr>
        <w:t>Following an approach yet to be decided, feedback on the assessment of individual evaluations will be provided to initiative/program managers.</w:t>
      </w:r>
      <w:r>
        <w:rPr>
          <w:rFonts w:eastAsia="Calibri"/>
          <w:lang w:val="en-US" w:eastAsia="en-US"/>
        </w:rPr>
        <w:t xml:space="preserve"> </w:t>
      </w:r>
    </w:p>
    <w:p w14:paraId="14C9EDE5" w14:textId="77777777" w:rsidR="004511CB" w:rsidRPr="00E57F60" w:rsidRDefault="004511CB" w:rsidP="004511CB">
      <w:pPr>
        <w:rPr>
          <w:rFonts w:eastAsia="Calibri"/>
          <w:lang w:val="en-US" w:eastAsia="en-US"/>
        </w:rPr>
      </w:pPr>
      <w:r w:rsidRPr="00E57F60">
        <w:rPr>
          <w:rFonts w:eastAsia="Calibri"/>
          <w:lang w:val="en-US" w:eastAsia="en-US"/>
        </w:rPr>
        <w:t>In the case that the consultants in the review team have been involved in undertaking an evaluation that is subject to quality review, or in designing or implementing that initiative, they will be recused from conducting the quality assessment for that evaluation to avoid a conflict of interest.</w:t>
      </w:r>
      <w:r>
        <w:rPr>
          <w:rFonts w:eastAsia="Calibri"/>
          <w:lang w:val="en-US" w:eastAsia="en-US"/>
        </w:rPr>
        <w:t xml:space="preserve"> </w:t>
      </w:r>
      <w:r w:rsidRPr="00E57F60">
        <w:rPr>
          <w:rFonts w:eastAsia="Calibri"/>
          <w:lang w:val="en-US" w:eastAsia="en-US"/>
        </w:rPr>
        <w:t>The AusAID management team will identify a suitable substitute quality reviewer for the evaluation in question, and this will be acknowledged in the report.</w:t>
      </w:r>
    </w:p>
    <w:p w14:paraId="21B81FC4" w14:textId="77777777" w:rsidR="004511CB" w:rsidRPr="00E57F60" w:rsidRDefault="004511CB" w:rsidP="004511CB">
      <w:pPr>
        <w:pStyle w:val="Heading3a"/>
      </w:pPr>
      <w:bookmarkStart w:id="249" w:name="_Toc366500445"/>
      <w:bookmarkStart w:id="250" w:name="_Toc366506455"/>
      <w:r w:rsidRPr="00E57F60">
        <w:t>Part 2: Synthesis</w:t>
      </w:r>
      <w:bookmarkEnd w:id="249"/>
      <w:bookmarkEnd w:id="250"/>
    </w:p>
    <w:p w14:paraId="2FA7772C" w14:textId="77777777" w:rsidR="004511CB" w:rsidRPr="00E57F60" w:rsidRDefault="004511CB" w:rsidP="004511CB">
      <w:r w:rsidRPr="00E57F60">
        <w:t xml:space="preserve">Part 2 of the </w:t>
      </w:r>
      <w:r>
        <w:t>r</w:t>
      </w:r>
      <w:r w:rsidRPr="00E57F60">
        <w:t xml:space="preserve">eview of </w:t>
      </w:r>
      <w:r>
        <w:t>o</w:t>
      </w:r>
      <w:r w:rsidRPr="00E57F60">
        <w:t xml:space="preserve">perational </w:t>
      </w:r>
      <w:r>
        <w:t>e</w:t>
      </w:r>
      <w:r w:rsidRPr="00E57F60">
        <w:t xml:space="preserve">valuations will be a synthesis of insightful and useful lessons from a selection of evaluations with particular characteristics (for example, sector, location, implementing partner, modality). </w:t>
      </w:r>
    </w:p>
    <w:p w14:paraId="4693AC13" w14:textId="77777777" w:rsidR="004511CB" w:rsidRPr="00E57F60" w:rsidRDefault="004511CB" w:rsidP="004511CB">
      <w:r w:rsidRPr="00E57F60">
        <w:t>The following approach will be taken:</w:t>
      </w:r>
    </w:p>
    <w:p w14:paraId="2A3D2D9E" w14:textId="77777777" w:rsidR="004511CB" w:rsidRPr="00050A3C" w:rsidRDefault="004511CB" w:rsidP="004511CB">
      <w:pPr>
        <w:pStyle w:val="Bullet"/>
        <w:numPr>
          <w:ilvl w:val="0"/>
          <w:numId w:val="103"/>
        </w:numPr>
      </w:pPr>
      <w:r w:rsidRPr="00050A3C">
        <w:t xml:space="preserve">Using a methodology to be developed in consultation with the consultants, the synthesis focus and sample will be determined, drawing on the analysis of the characteristics of evaluations during the </w:t>
      </w:r>
      <w:r>
        <w:t>q</w:t>
      </w:r>
      <w:r w:rsidRPr="00050A3C">
        <w:t xml:space="preserve">uality </w:t>
      </w:r>
      <w:r>
        <w:t>r</w:t>
      </w:r>
      <w:r w:rsidRPr="00050A3C">
        <w:t xml:space="preserve">eview and discussion regarding possible focus areas with the reference group and relevant program/thematic areas. Through this process, more specific evaluation questions will be developed for the </w:t>
      </w:r>
      <w:r>
        <w:t>s</w:t>
      </w:r>
      <w:r w:rsidRPr="00050A3C">
        <w:t xml:space="preserve">ynthesis and the final sample selected on the basis of these questions. </w:t>
      </w:r>
    </w:p>
    <w:p w14:paraId="080BE2A4" w14:textId="77777777" w:rsidR="004511CB" w:rsidRPr="00050A3C" w:rsidRDefault="004511CB" w:rsidP="004511CB">
      <w:pPr>
        <w:pStyle w:val="Bullet"/>
        <w:numPr>
          <w:ilvl w:val="0"/>
          <w:numId w:val="103"/>
        </w:numPr>
      </w:pPr>
      <w:r w:rsidRPr="00050A3C">
        <w:t>It is anticipated that a maximum of 60 evaluation reports will be included in the synthesis.</w:t>
      </w:r>
    </w:p>
    <w:p w14:paraId="4B0251B1" w14:textId="77777777" w:rsidR="004511CB" w:rsidRPr="00050A3C" w:rsidRDefault="004511CB" w:rsidP="004511CB">
      <w:pPr>
        <w:pStyle w:val="Bullet"/>
        <w:numPr>
          <w:ilvl w:val="0"/>
          <w:numId w:val="103"/>
        </w:numPr>
      </w:pPr>
      <w:r w:rsidRPr="00050A3C">
        <w:t>Findings from the individual evaluations which fall within the synthesis sample will be analysed and synthesised. This may include interviews with key specialist staff and/or seeking to compare the synthesised findings with findings from other international evidence sources (particularly if there is clear contradiction or correlation) in order to explore particular issues in more depth.</w:t>
      </w:r>
    </w:p>
    <w:p w14:paraId="3304E245" w14:textId="77777777" w:rsidR="004511CB" w:rsidRPr="00E57F60" w:rsidRDefault="004511CB" w:rsidP="004511CB">
      <w:pPr>
        <w:pStyle w:val="BulletLast"/>
        <w:numPr>
          <w:ilvl w:val="0"/>
          <w:numId w:val="103"/>
        </w:numPr>
      </w:pPr>
      <w:r w:rsidRPr="00E57F60">
        <w:t>The findings of the synthesis will be tested through peer review with the reference group and other subject matter specialists, country specialists or modality specialists (depending on the focus areas covered).</w:t>
      </w:r>
    </w:p>
    <w:p w14:paraId="5D694B47" w14:textId="69F245DC" w:rsidR="004511CB" w:rsidRPr="00BD0294" w:rsidRDefault="004511CB" w:rsidP="004511CB">
      <w:pPr>
        <w:spacing w:before="480" w:after="120" w:line="240" w:lineRule="auto"/>
        <w:ind w:left="720" w:hanging="720"/>
      </w:pPr>
      <w:bookmarkStart w:id="251" w:name="_Toc366500446"/>
      <w:bookmarkStart w:id="252" w:name="_Toc373303733"/>
      <w:bookmarkStart w:id="253" w:name="_Toc373304300"/>
      <w:bookmarkStart w:id="254" w:name="_Toc378059927"/>
      <w:bookmarkStart w:id="255" w:name="_Toc378060022"/>
      <w:r w:rsidRPr="00AD6A55">
        <w:rPr>
          <w:rFonts w:ascii="Arial" w:hAnsi="Arial" w:cs="Arial"/>
          <w:b/>
          <w:color w:val="124486"/>
          <w:sz w:val="28"/>
          <w:szCs w:val="28"/>
        </w:rPr>
        <w:t>6</w:t>
      </w:r>
      <w:r w:rsidRPr="00AD6A55">
        <w:rPr>
          <w:rFonts w:ascii="Arial" w:hAnsi="Arial" w:cs="Arial"/>
          <w:b/>
          <w:color w:val="124486"/>
          <w:sz w:val="28"/>
          <w:szCs w:val="28"/>
        </w:rPr>
        <w:tab/>
        <w:t>Outputs</w:t>
      </w:r>
      <w:bookmarkEnd w:id="251"/>
      <w:bookmarkEnd w:id="252"/>
      <w:bookmarkEnd w:id="253"/>
      <w:bookmarkEnd w:id="254"/>
      <w:bookmarkEnd w:id="255"/>
    </w:p>
    <w:p w14:paraId="2B79D74F" w14:textId="77777777" w:rsidR="004511CB" w:rsidRPr="00E57F60" w:rsidRDefault="004511CB" w:rsidP="004511CB">
      <w:r w:rsidRPr="00E57F60">
        <w:t xml:space="preserve">A </w:t>
      </w:r>
      <w:r w:rsidRPr="00E57F60">
        <w:rPr>
          <w:b/>
        </w:rPr>
        <w:t>review plan</w:t>
      </w:r>
      <w:r w:rsidRPr="00E57F60">
        <w:t xml:space="preserve"> will provide details on the methodology to be used and how the </w:t>
      </w:r>
      <w:r>
        <w:t>r</w:t>
      </w:r>
      <w:r w:rsidRPr="00E57F60">
        <w:t>eview will be implemented.</w:t>
      </w:r>
      <w:r>
        <w:t xml:space="preserve"> </w:t>
      </w:r>
      <w:r w:rsidRPr="00E57F60">
        <w:t xml:space="preserve">The review plan will be prepared by the review team (consultants), and will be endorsed by the IEC prior to the </w:t>
      </w:r>
      <w:r>
        <w:t>q</w:t>
      </w:r>
      <w:r w:rsidRPr="00E57F60">
        <w:t xml:space="preserve">uality </w:t>
      </w:r>
      <w:r>
        <w:t>r</w:t>
      </w:r>
      <w:r w:rsidRPr="00E57F60">
        <w:t>eview commencing.</w:t>
      </w:r>
      <w:r>
        <w:t xml:space="preserve"> </w:t>
      </w:r>
      <w:r w:rsidRPr="00E57F60">
        <w:t xml:space="preserve">This review plan will be reviewed after </w:t>
      </w:r>
      <w:r>
        <w:t>p</w:t>
      </w:r>
      <w:r w:rsidRPr="00E57F60">
        <w:t xml:space="preserve">art 1: </w:t>
      </w:r>
      <w:r>
        <w:t>q</w:t>
      </w:r>
      <w:r w:rsidRPr="00E57F60">
        <w:t xml:space="preserve">uality </w:t>
      </w:r>
      <w:r>
        <w:t>r</w:t>
      </w:r>
      <w:r w:rsidRPr="00E57F60">
        <w:t>eview has been completed.</w:t>
      </w:r>
    </w:p>
    <w:p w14:paraId="7C45B67B" w14:textId="77777777" w:rsidR="004511CB" w:rsidRPr="00E57F60" w:rsidRDefault="004511CB" w:rsidP="004511CB">
      <w:r w:rsidRPr="00E57F60">
        <w:t xml:space="preserve">The key output will be a </w:t>
      </w:r>
      <w:r w:rsidRPr="00E57F60">
        <w:rPr>
          <w:b/>
        </w:rPr>
        <w:t xml:space="preserve">final report </w:t>
      </w:r>
      <w:r w:rsidRPr="00E57F60">
        <w:t xml:space="preserve">presenting the findings of the </w:t>
      </w:r>
      <w:r>
        <w:t>q</w:t>
      </w:r>
      <w:r w:rsidRPr="00E57F60">
        <w:t xml:space="preserve">uality </w:t>
      </w:r>
      <w:r>
        <w:t>r</w:t>
      </w:r>
      <w:r w:rsidRPr="00E57F60">
        <w:t xml:space="preserve">eview and the </w:t>
      </w:r>
      <w:r>
        <w:t>s</w:t>
      </w:r>
      <w:r w:rsidRPr="00E57F60">
        <w:t>ynthesis.</w:t>
      </w:r>
      <w:r>
        <w:t xml:space="preserve"> </w:t>
      </w:r>
      <w:r w:rsidRPr="00E57F60">
        <w:t>This report will summarise the evidence collected, present analysis and findings, and make recommendations where appropriate.</w:t>
      </w:r>
      <w:r>
        <w:t xml:space="preserve"> </w:t>
      </w:r>
      <w:r w:rsidRPr="00E57F60">
        <w:t>The report will be approximately 30</w:t>
      </w:r>
      <w:r>
        <w:rPr>
          <w:rFonts w:ascii="Cambria" w:hAnsi="Cambria"/>
        </w:rPr>
        <w:t>–</w:t>
      </w:r>
      <w:r w:rsidRPr="00E57F60">
        <w:t xml:space="preserve">35 pages in length (plus 4-page executive summary), and will include a </w:t>
      </w:r>
      <w:r>
        <w:t>q</w:t>
      </w:r>
      <w:r w:rsidRPr="00E57F60">
        <w:t xml:space="preserve">uality </w:t>
      </w:r>
      <w:r>
        <w:t>r</w:t>
      </w:r>
      <w:r w:rsidRPr="00E57F60">
        <w:t xml:space="preserve">eview section of a maximum of 15 pages and a </w:t>
      </w:r>
      <w:r>
        <w:t>s</w:t>
      </w:r>
      <w:r w:rsidRPr="00E57F60">
        <w:t>ynthesis report of maximum 15 pages.</w:t>
      </w:r>
      <w:r>
        <w:t xml:space="preserve"> </w:t>
      </w:r>
      <w:r w:rsidRPr="00E57F60">
        <w:t xml:space="preserve">The report will include a context section that describes the characteristics of different types of independent evaluation conducted at different levels of the aid </w:t>
      </w:r>
      <w:r w:rsidRPr="00E57F60">
        <w:lastRenderedPageBreak/>
        <w:t>program (ODE, thematic, geographically based, other government department and initiative level) before focusing in more detail on the history and nature of initiative-level independent evaluations since about 2006.</w:t>
      </w:r>
      <w:r>
        <w:t xml:space="preserve"> </w:t>
      </w:r>
      <w:r w:rsidRPr="00E57F60">
        <w:t xml:space="preserve">The report will be prepared by the review team (consultants) in two separate parts, and will be reviewed by ODE, PEPD, the reference group, </w:t>
      </w:r>
      <w:r>
        <w:t>p</w:t>
      </w:r>
      <w:r w:rsidRPr="00E57F60">
        <w:t xml:space="preserve">eer </w:t>
      </w:r>
      <w:r>
        <w:t>r</w:t>
      </w:r>
      <w:r w:rsidRPr="00E57F60">
        <w:t>eviewers (</w:t>
      </w:r>
      <w:r>
        <w:t>p</w:t>
      </w:r>
      <w:r w:rsidRPr="00E57F60">
        <w:t>art 2</w:t>
      </w:r>
      <w:r>
        <w:t>:</w:t>
      </w:r>
      <w:r w:rsidRPr="00E57F60">
        <w:t xml:space="preserve"> </w:t>
      </w:r>
      <w:r>
        <w:t>s</w:t>
      </w:r>
      <w:r w:rsidRPr="00E57F60">
        <w:t>ynthesis only) and the IEC.</w:t>
      </w:r>
      <w:r>
        <w:t xml:space="preserve"> </w:t>
      </w:r>
    </w:p>
    <w:p w14:paraId="19768326" w14:textId="77777777" w:rsidR="004511CB" w:rsidRPr="00E57F60" w:rsidRDefault="004511CB" w:rsidP="004511CB">
      <w:r w:rsidRPr="00E57F60">
        <w:t xml:space="preserve">Approximately six (6) </w:t>
      </w:r>
      <w:r w:rsidRPr="00E57F60">
        <w:rPr>
          <w:b/>
        </w:rPr>
        <w:t>examples of ‘good practice’ evaluation products</w:t>
      </w:r>
      <w:r w:rsidRPr="00E57F60">
        <w:t xml:space="preserve"> will be identified and discussed in an annex to the final report.</w:t>
      </w:r>
      <w:r>
        <w:t xml:space="preserve"> </w:t>
      </w:r>
      <w:r w:rsidRPr="00E57F60">
        <w:t>If possible, the examples chosen will be from initiatives with diverse characteristics (e.g. sectors, geography, implementing partner).</w:t>
      </w:r>
      <w:r>
        <w:t xml:space="preserve"> </w:t>
      </w:r>
      <w:r w:rsidRPr="00E57F60">
        <w:t xml:space="preserve">The examples should include at least two (2) examples of each of a range of good practice products (e.g. </w:t>
      </w:r>
      <w:r>
        <w:t>t</w:t>
      </w:r>
      <w:r w:rsidRPr="00E57F60">
        <w:t xml:space="preserve">erms of </w:t>
      </w:r>
      <w:r>
        <w:t>r</w:t>
      </w:r>
      <w:r w:rsidRPr="00E57F60">
        <w:t xml:space="preserve">eference, </w:t>
      </w:r>
      <w:r>
        <w:t>e</w:t>
      </w:r>
      <w:r w:rsidRPr="00E57F60">
        <w:t xml:space="preserve">valuation </w:t>
      </w:r>
      <w:r>
        <w:t>p</w:t>
      </w:r>
      <w:r w:rsidRPr="00E57F60">
        <w:t xml:space="preserve">lans, </w:t>
      </w:r>
      <w:r>
        <w:t>e</w:t>
      </w:r>
      <w:r w:rsidRPr="00E57F60">
        <w:t xml:space="preserve">valuation </w:t>
      </w:r>
      <w:r>
        <w:t>r</w:t>
      </w:r>
      <w:r w:rsidRPr="00E57F60">
        <w:t>eports).</w:t>
      </w:r>
      <w:r>
        <w:t xml:space="preserve"> </w:t>
      </w:r>
    </w:p>
    <w:p w14:paraId="72920305" w14:textId="77777777" w:rsidR="004511CB" w:rsidRPr="00E57F60" w:rsidRDefault="004511CB" w:rsidP="004511CB">
      <w:r w:rsidRPr="00E57F60">
        <w:rPr>
          <w:b/>
        </w:rPr>
        <w:t>Detailed records of all evidence collected or analysis undertaken</w:t>
      </w:r>
      <w:r w:rsidRPr="00E57F60">
        <w:t xml:space="preserve"> (including records of the quality assessments, interview notes, spreadsheets containing raw data) will be retained by ODE and PEPD for possible future analysis, but will not be included in the report.</w:t>
      </w:r>
    </w:p>
    <w:p w14:paraId="668ADC30" w14:textId="60EA9B81" w:rsidR="004511CB" w:rsidRPr="00440EA0" w:rsidRDefault="004511CB" w:rsidP="004511CB">
      <w:pPr>
        <w:spacing w:before="480" w:after="120" w:line="240" w:lineRule="auto"/>
        <w:ind w:left="720" w:hanging="720"/>
        <w:rPr>
          <w:bCs/>
          <w:iCs/>
        </w:rPr>
      </w:pPr>
      <w:bookmarkStart w:id="256" w:name="_Toc366500447"/>
      <w:bookmarkStart w:id="257" w:name="_Toc373303734"/>
      <w:bookmarkStart w:id="258" w:name="_Toc373304301"/>
      <w:bookmarkStart w:id="259" w:name="_Toc378059928"/>
      <w:bookmarkStart w:id="260" w:name="_Toc378060023"/>
      <w:r w:rsidRPr="00AD6A55">
        <w:rPr>
          <w:rFonts w:ascii="Arial" w:hAnsi="Arial" w:cs="Arial"/>
          <w:b/>
          <w:color w:val="124486"/>
          <w:sz w:val="28"/>
          <w:szCs w:val="28"/>
        </w:rPr>
        <w:t>7</w:t>
      </w:r>
      <w:r w:rsidRPr="00440EA0">
        <w:rPr>
          <w:rFonts w:ascii="Arial" w:hAnsi="Arial" w:cs="Arial"/>
          <w:b/>
          <w:color w:val="124486"/>
          <w:sz w:val="28"/>
          <w:szCs w:val="28"/>
        </w:rPr>
        <w:tab/>
        <w:t>Roles and responsibilities</w:t>
      </w:r>
      <w:bookmarkEnd w:id="256"/>
      <w:bookmarkEnd w:id="257"/>
      <w:bookmarkEnd w:id="258"/>
      <w:bookmarkEnd w:id="259"/>
      <w:bookmarkEnd w:id="260"/>
    </w:p>
    <w:p w14:paraId="782E0390" w14:textId="77777777" w:rsidR="004511CB" w:rsidRPr="00E57F60" w:rsidRDefault="004511CB" w:rsidP="004511CB">
      <w:pPr>
        <w:rPr>
          <w:rFonts w:eastAsia="Calibri"/>
          <w:lang w:val="en-US" w:eastAsia="en-US"/>
        </w:rPr>
      </w:pPr>
      <w:r w:rsidRPr="00E57F60">
        <w:rPr>
          <w:rFonts w:eastAsia="Calibri"/>
          <w:lang w:val="en-US" w:eastAsia="en-US"/>
        </w:rPr>
        <w:t xml:space="preserve">An </w:t>
      </w:r>
      <w:r w:rsidRPr="00E57F60">
        <w:rPr>
          <w:rFonts w:eastAsia="Calibri"/>
          <w:b/>
          <w:lang w:val="en-US" w:eastAsia="en-US"/>
        </w:rPr>
        <w:t>AusAID management team</w:t>
      </w:r>
      <w:r w:rsidRPr="00E57F60">
        <w:rPr>
          <w:rFonts w:eastAsia="Calibri"/>
          <w:lang w:val="en-US" w:eastAsia="en-US"/>
        </w:rPr>
        <w:t xml:space="preserve"> comprising one Director and one manager from ODE and one Director and one manager from PEPD will collaboratively manage the </w:t>
      </w:r>
      <w:r>
        <w:rPr>
          <w:rFonts w:eastAsia="Calibri"/>
          <w:lang w:val="en-US" w:eastAsia="en-US"/>
        </w:rPr>
        <w:t>r</w:t>
      </w:r>
      <w:r w:rsidRPr="00E57F60">
        <w:rPr>
          <w:rFonts w:eastAsia="Calibri"/>
          <w:lang w:val="en-US" w:eastAsia="en-US"/>
        </w:rPr>
        <w:t xml:space="preserve">eview of </w:t>
      </w:r>
      <w:r>
        <w:rPr>
          <w:rFonts w:eastAsia="Calibri"/>
          <w:lang w:val="en-US" w:eastAsia="en-US"/>
        </w:rPr>
        <w:t>o</w:t>
      </w:r>
      <w:r w:rsidRPr="00E57F60">
        <w:rPr>
          <w:rFonts w:eastAsia="Calibri"/>
          <w:lang w:val="en-US" w:eastAsia="en-US"/>
        </w:rPr>
        <w:t xml:space="preserve">perational </w:t>
      </w:r>
      <w:r>
        <w:rPr>
          <w:rFonts w:eastAsia="Calibri"/>
          <w:lang w:val="en-US" w:eastAsia="en-US"/>
        </w:rPr>
        <w:t>e</w:t>
      </w:r>
      <w:r w:rsidRPr="00E57F60">
        <w:rPr>
          <w:rFonts w:eastAsia="Calibri"/>
          <w:lang w:val="en-US" w:eastAsia="en-US"/>
        </w:rPr>
        <w:t>valuations.</w:t>
      </w:r>
      <w:r>
        <w:rPr>
          <w:rFonts w:eastAsia="Calibri"/>
          <w:lang w:val="en-US" w:eastAsia="en-US"/>
        </w:rPr>
        <w:t xml:space="preserve"> </w:t>
      </w:r>
      <w:r w:rsidRPr="00E57F60">
        <w:rPr>
          <w:rFonts w:eastAsia="Calibri"/>
          <w:lang w:val="en-US" w:eastAsia="en-US"/>
        </w:rPr>
        <w:t>During the preparatory phase, this team will collate the independent evaluations for review, and undertake analysis of AidWorks data, subject to the availability of resources.</w:t>
      </w:r>
      <w:r>
        <w:rPr>
          <w:rFonts w:eastAsia="Calibri"/>
          <w:lang w:val="en-US" w:eastAsia="en-US"/>
        </w:rPr>
        <w:t xml:space="preserve"> </w:t>
      </w:r>
      <w:r w:rsidRPr="00E57F60">
        <w:rPr>
          <w:rFonts w:eastAsia="Calibri"/>
          <w:lang w:val="en-US" w:eastAsia="en-US"/>
        </w:rPr>
        <w:t>The team will agree on methodology and comment on reports from the consultants.</w:t>
      </w:r>
      <w:r>
        <w:rPr>
          <w:rFonts w:eastAsia="Calibri"/>
          <w:lang w:val="en-US" w:eastAsia="en-US"/>
        </w:rPr>
        <w:t xml:space="preserve"> </w:t>
      </w:r>
      <w:r w:rsidRPr="00E57F60">
        <w:rPr>
          <w:rFonts w:eastAsia="Calibri"/>
          <w:lang w:val="en-US" w:eastAsia="en-US"/>
        </w:rPr>
        <w:t>If the team cannot agree through a collaborative approach, issues may be taken to the reference group for resolution.</w:t>
      </w:r>
      <w:r>
        <w:rPr>
          <w:rFonts w:eastAsia="Calibri"/>
          <w:lang w:val="en-US" w:eastAsia="en-US"/>
        </w:rPr>
        <w:t xml:space="preserve"> </w:t>
      </w:r>
      <w:r w:rsidRPr="00E57F60">
        <w:rPr>
          <w:rFonts w:eastAsia="Calibri"/>
          <w:lang w:val="en-US" w:eastAsia="en-US"/>
        </w:rPr>
        <w:t>However, in the case of any issue arising that cannot be resolved collaboratively, the Assistant Direct</w:t>
      </w:r>
      <w:r>
        <w:rPr>
          <w:rFonts w:eastAsia="Calibri"/>
          <w:lang w:val="en-US" w:eastAsia="en-US"/>
        </w:rPr>
        <w:t>or</w:t>
      </w:r>
      <w:r w:rsidRPr="00E57F60">
        <w:rPr>
          <w:rFonts w:eastAsia="Calibri"/>
          <w:lang w:val="en-US" w:eastAsia="en-US"/>
        </w:rPr>
        <w:t xml:space="preserve"> General ODE will make a determination.</w:t>
      </w:r>
    </w:p>
    <w:p w14:paraId="184B9B42" w14:textId="77777777" w:rsidR="004511CB" w:rsidRPr="00E57F60" w:rsidRDefault="004511CB" w:rsidP="004511CB">
      <w:pPr>
        <w:rPr>
          <w:rFonts w:eastAsia="Calibri"/>
          <w:lang w:val="en-US" w:eastAsia="en-US"/>
        </w:rPr>
      </w:pPr>
      <w:r w:rsidRPr="00E57F60">
        <w:rPr>
          <w:rFonts w:eastAsia="Calibri"/>
          <w:lang w:val="en-US" w:eastAsia="en-US"/>
        </w:rPr>
        <w:t xml:space="preserve">A </w:t>
      </w:r>
      <w:r w:rsidRPr="00E57F60">
        <w:rPr>
          <w:rFonts w:eastAsia="Calibri"/>
          <w:b/>
          <w:lang w:val="en-US" w:eastAsia="en-US"/>
        </w:rPr>
        <w:t>review team</w:t>
      </w:r>
      <w:r w:rsidRPr="00E57F60">
        <w:rPr>
          <w:rFonts w:eastAsia="Calibri"/>
          <w:lang w:val="en-US" w:eastAsia="en-US"/>
        </w:rPr>
        <w:t xml:space="preserve"> of up to four consultants with skills in evaluation, analysis and report writing will prepare the review plan, undertake the </w:t>
      </w:r>
      <w:r>
        <w:rPr>
          <w:rFonts w:eastAsia="Calibri"/>
          <w:lang w:val="en-US" w:eastAsia="en-US"/>
        </w:rPr>
        <w:t>q</w:t>
      </w:r>
      <w:r w:rsidRPr="00E57F60">
        <w:rPr>
          <w:rFonts w:eastAsia="Calibri"/>
          <w:lang w:val="en-US" w:eastAsia="en-US"/>
        </w:rPr>
        <w:t xml:space="preserve">uality </w:t>
      </w:r>
      <w:r>
        <w:rPr>
          <w:rFonts w:eastAsia="Calibri"/>
          <w:lang w:val="en-US" w:eastAsia="en-US"/>
        </w:rPr>
        <w:t>a</w:t>
      </w:r>
      <w:r w:rsidRPr="00E57F60">
        <w:rPr>
          <w:rFonts w:eastAsia="Calibri"/>
          <w:lang w:val="en-US" w:eastAsia="en-US"/>
        </w:rPr>
        <w:t xml:space="preserve">nalysis and the </w:t>
      </w:r>
      <w:r>
        <w:rPr>
          <w:rFonts w:eastAsia="Calibri"/>
          <w:lang w:val="en-US" w:eastAsia="en-US"/>
        </w:rPr>
        <w:t>s</w:t>
      </w:r>
      <w:r w:rsidRPr="00E57F60">
        <w:rPr>
          <w:rFonts w:eastAsia="Calibri"/>
          <w:lang w:val="en-US" w:eastAsia="en-US"/>
        </w:rPr>
        <w:t>ynthesis using a methodology agreed with the AusAID management team, and prepare the draft report.</w:t>
      </w:r>
    </w:p>
    <w:p w14:paraId="278FF4B1" w14:textId="77777777" w:rsidR="004511CB" w:rsidRPr="00E57F60" w:rsidRDefault="004511CB" w:rsidP="004511CB">
      <w:pPr>
        <w:rPr>
          <w:rFonts w:eastAsia="Calibri"/>
          <w:lang w:val="en-US" w:eastAsia="en-US"/>
        </w:rPr>
      </w:pPr>
      <w:r w:rsidRPr="00E57F60">
        <w:rPr>
          <w:rFonts w:eastAsia="Calibri"/>
          <w:lang w:val="en-US" w:eastAsia="en-US"/>
        </w:rPr>
        <w:t xml:space="preserve">A small </w:t>
      </w:r>
      <w:r w:rsidRPr="00E57F60">
        <w:rPr>
          <w:rFonts w:eastAsia="Calibri"/>
          <w:b/>
          <w:lang w:val="en-US" w:eastAsia="en-US"/>
        </w:rPr>
        <w:t>reference group</w:t>
      </w:r>
      <w:r w:rsidRPr="00E57F60">
        <w:rPr>
          <w:rFonts w:eastAsia="Calibri"/>
          <w:lang w:val="en-US" w:eastAsia="en-US"/>
        </w:rPr>
        <w:t xml:space="preserve"> comprised of AusAID senior management/advisers will be consulted at key decision points.</w:t>
      </w:r>
    </w:p>
    <w:p w14:paraId="58AAE93D" w14:textId="77777777" w:rsidR="004511CB" w:rsidRPr="00E57F60" w:rsidRDefault="004511CB" w:rsidP="004511CB">
      <w:pPr>
        <w:rPr>
          <w:rFonts w:eastAsia="Calibri"/>
          <w:lang w:val="en-US" w:eastAsia="en-US"/>
        </w:rPr>
      </w:pPr>
      <w:r w:rsidRPr="00E57F60">
        <w:rPr>
          <w:rFonts w:eastAsia="Calibri"/>
          <w:lang w:val="en-US" w:eastAsia="en-US"/>
        </w:rPr>
        <w:t xml:space="preserve">The </w:t>
      </w:r>
      <w:r w:rsidRPr="00E57F60">
        <w:rPr>
          <w:rFonts w:eastAsia="Calibri"/>
          <w:b/>
          <w:lang w:val="en-US" w:eastAsia="en-US"/>
        </w:rPr>
        <w:t>Independent Evaluation Committee (IEC)</w:t>
      </w:r>
      <w:r w:rsidRPr="00E57F60">
        <w:rPr>
          <w:rFonts w:eastAsia="Calibri"/>
          <w:lang w:val="en-US" w:eastAsia="en-US"/>
        </w:rPr>
        <w:t xml:space="preserve"> will provide technical oversight of the </w:t>
      </w:r>
      <w:r>
        <w:rPr>
          <w:rFonts w:eastAsia="Calibri"/>
          <w:lang w:val="en-US" w:eastAsia="en-US"/>
        </w:rPr>
        <w:t>r</w:t>
      </w:r>
      <w:r w:rsidRPr="00E57F60">
        <w:rPr>
          <w:rFonts w:eastAsia="Calibri"/>
          <w:lang w:val="en-US" w:eastAsia="en-US"/>
        </w:rPr>
        <w:t xml:space="preserve">eview of </w:t>
      </w:r>
      <w:r>
        <w:rPr>
          <w:rFonts w:eastAsia="Calibri"/>
          <w:lang w:val="en-US" w:eastAsia="en-US"/>
        </w:rPr>
        <w:t>o</w:t>
      </w:r>
      <w:r w:rsidRPr="00E57F60">
        <w:rPr>
          <w:rFonts w:eastAsia="Calibri"/>
          <w:lang w:val="en-US" w:eastAsia="en-US"/>
        </w:rPr>
        <w:t xml:space="preserve">perational </w:t>
      </w:r>
      <w:r>
        <w:rPr>
          <w:rFonts w:eastAsia="Calibri"/>
          <w:lang w:val="en-US" w:eastAsia="en-US"/>
        </w:rPr>
        <w:t>e</w:t>
      </w:r>
      <w:r w:rsidRPr="00E57F60">
        <w:rPr>
          <w:rFonts w:eastAsia="Calibri"/>
          <w:lang w:val="en-US" w:eastAsia="en-US"/>
        </w:rPr>
        <w:t>valuations.</w:t>
      </w:r>
      <w:r>
        <w:rPr>
          <w:rFonts w:eastAsia="Calibri"/>
          <w:lang w:val="en-US" w:eastAsia="en-US"/>
        </w:rPr>
        <w:t xml:space="preserve"> </w:t>
      </w:r>
      <w:r w:rsidRPr="00E57F60">
        <w:rPr>
          <w:rFonts w:eastAsia="Calibri"/>
          <w:lang w:val="en-US" w:eastAsia="en-US"/>
        </w:rPr>
        <w:t>The final report will be made public as an ODE product.</w:t>
      </w:r>
    </w:p>
    <w:p w14:paraId="0EAF1D92" w14:textId="77777777" w:rsidR="004511CB" w:rsidRDefault="004511CB">
      <w:pPr>
        <w:spacing w:before="0" w:after="0" w:line="240" w:lineRule="auto"/>
        <w:rPr>
          <w:rFonts w:ascii="Arial" w:hAnsi="Arial" w:cs="Arial"/>
          <w:b/>
          <w:color w:val="124486"/>
          <w:sz w:val="28"/>
          <w:szCs w:val="28"/>
        </w:rPr>
      </w:pPr>
      <w:bookmarkStart w:id="261" w:name="_Toc366500448"/>
      <w:bookmarkStart w:id="262" w:name="_Toc373303735"/>
      <w:bookmarkStart w:id="263" w:name="_Toc373304302"/>
      <w:bookmarkStart w:id="264" w:name="_Toc378059929"/>
      <w:bookmarkStart w:id="265" w:name="_Toc378060024"/>
      <w:r>
        <w:rPr>
          <w:rFonts w:ascii="Arial" w:hAnsi="Arial" w:cs="Arial"/>
          <w:b/>
          <w:color w:val="124486"/>
          <w:sz w:val="28"/>
          <w:szCs w:val="28"/>
        </w:rPr>
        <w:br w:type="page"/>
      </w:r>
    </w:p>
    <w:p w14:paraId="2FC2B92E" w14:textId="4FCB549B" w:rsidR="004511CB" w:rsidRDefault="004511CB" w:rsidP="004511CB">
      <w:pPr>
        <w:spacing w:before="480" w:after="120" w:line="240" w:lineRule="auto"/>
        <w:ind w:left="720" w:hanging="720"/>
      </w:pPr>
      <w:r w:rsidRPr="00AD6A55">
        <w:rPr>
          <w:rFonts w:ascii="Arial" w:hAnsi="Arial" w:cs="Arial"/>
          <w:b/>
          <w:color w:val="124486"/>
          <w:sz w:val="28"/>
          <w:szCs w:val="28"/>
        </w:rPr>
        <w:lastRenderedPageBreak/>
        <w:t>8</w:t>
      </w:r>
      <w:r w:rsidRPr="00AD6A55">
        <w:rPr>
          <w:rFonts w:ascii="Arial" w:hAnsi="Arial" w:cs="Arial"/>
          <w:b/>
          <w:color w:val="124486"/>
          <w:sz w:val="28"/>
          <w:szCs w:val="28"/>
        </w:rPr>
        <w:tab/>
        <w:t>Timeframes</w:t>
      </w:r>
      <w:bookmarkEnd w:id="261"/>
      <w:bookmarkEnd w:id="262"/>
      <w:bookmarkEnd w:id="263"/>
      <w:bookmarkEnd w:id="264"/>
      <w:bookmarkEnd w:id="265"/>
    </w:p>
    <w:tbl>
      <w:tblPr>
        <w:tblW w:w="5000" w:type="pct"/>
        <w:tblBorders>
          <w:top w:val="single" w:sz="6" w:space="0" w:color="007C92"/>
          <w:bottom w:val="single" w:sz="6" w:space="0" w:color="007C92"/>
          <w:insideH w:val="single" w:sz="6" w:space="0" w:color="007C92"/>
        </w:tblBorders>
        <w:tblLayout w:type="fixed"/>
        <w:tblCellMar>
          <w:top w:w="85" w:type="dxa"/>
          <w:bottom w:w="85" w:type="dxa"/>
        </w:tblCellMar>
        <w:tblLook w:val="04A0" w:firstRow="1" w:lastRow="0" w:firstColumn="1" w:lastColumn="0" w:noHBand="0" w:noVBand="1"/>
      </w:tblPr>
      <w:tblGrid>
        <w:gridCol w:w="2040"/>
        <w:gridCol w:w="4872"/>
        <w:gridCol w:w="2325"/>
      </w:tblGrid>
      <w:tr w:rsidR="004511CB" w:rsidRPr="000D41A7" w14:paraId="77C966EB" w14:textId="77777777" w:rsidTr="002B1AEE">
        <w:trPr>
          <w:trHeight w:hRule="exact" w:val="673"/>
        </w:trPr>
        <w:tc>
          <w:tcPr>
            <w:tcW w:w="2040" w:type="dxa"/>
            <w:tcBorders>
              <w:top w:val="nil"/>
              <w:left w:val="nil"/>
              <w:bottom w:val="nil"/>
              <w:right w:val="nil"/>
            </w:tcBorders>
            <w:shd w:val="clear" w:color="auto" w:fill="007FAD"/>
          </w:tcPr>
          <w:p w14:paraId="5C46E264" w14:textId="77777777" w:rsidR="004511CB" w:rsidRPr="00AD6A55" w:rsidRDefault="004511CB" w:rsidP="002B1AEE">
            <w:pPr>
              <w:pStyle w:val="TableHeading21"/>
              <w:rPr>
                <w:i w:val="0"/>
              </w:rPr>
            </w:pPr>
            <w:r w:rsidRPr="00AD6A55">
              <w:rPr>
                <w:i w:val="0"/>
              </w:rPr>
              <w:t>Date</w:t>
            </w:r>
          </w:p>
        </w:tc>
        <w:tc>
          <w:tcPr>
            <w:tcW w:w="4871" w:type="dxa"/>
            <w:tcBorders>
              <w:top w:val="nil"/>
              <w:left w:val="nil"/>
              <w:bottom w:val="nil"/>
              <w:right w:val="nil"/>
            </w:tcBorders>
            <w:shd w:val="clear" w:color="auto" w:fill="007FAD"/>
          </w:tcPr>
          <w:p w14:paraId="2667F783" w14:textId="77777777" w:rsidR="004511CB" w:rsidRPr="00AD6A55" w:rsidRDefault="004511CB" w:rsidP="002B1AEE">
            <w:pPr>
              <w:pStyle w:val="TableHeading21"/>
              <w:rPr>
                <w:i w:val="0"/>
              </w:rPr>
            </w:pPr>
            <w:r w:rsidRPr="00AD6A55">
              <w:rPr>
                <w:i w:val="0"/>
              </w:rPr>
              <w:t>Activity</w:t>
            </w:r>
          </w:p>
        </w:tc>
        <w:tc>
          <w:tcPr>
            <w:tcW w:w="2325" w:type="dxa"/>
            <w:tcBorders>
              <w:top w:val="nil"/>
              <w:left w:val="nil"/>
              <w:bottom w:val="nil"/>
              <w:right w:val="nil"/>
            </w:tcBorders>
            <w:shd w:val="clear" w:color="auto" w:fill="007FAD"/>
          </w:tcPr>
          <w:p w14:paraId="7D8F269E" w14:textId="77777777" w:rsidR="004511CB" w:rsidRPr="00AD6A55" w:rsidRDefault="004511CB" w:rsidP="002B1AEE">
            <w:pPr>
              <w:pStyle w:val="TableHeading21"/>
              <w:rPr>
                <w:i w:val="0"/>
              </w:rPr>
            </w:pPr>
            <w:r w:rsidRPr="00AD6A55">
              <w:rPr>
                <w:i w:val="0"/>
              </w:rPr>
              <w:t>Primary responsibility</w:t>
            </w:r>
          </w:p>
        </w:tc>
      </w:tr>
      <w:tr w:rsidR="004511CB" w:rsidRPr="000D41A7" w14:paraId="794600E8" w14:textId="77777777" w:rsidTr="002B1AEE">
        <w:tc>
          <w:tcPr>
            <w:tcW w:w="9236" w:type="dxa"/>
            <w:gridSpan w:val="3"/>
            <w:shd w:val="clear" w:color="auto" w:fill="FFFFFF"/>
          </w:tcPr>
          <w:p w14:paraId="047E3864" w14:textId="77777777" w:rsidR="004511CB" w:rsidRPr="000D41A7" w:rsidRDefault="004511CB" w:rsidP="002B1AEE">
            <w:pPr>
              <w:pStyle w:val="TableText1"/>
              <w:rPr>
                <w:b/>
              </w:rPr>
            </w:pPr>
            <w:r w:rsidRPr="000D41A7">
              <w:rPr>
                <w:b/>
              </w:rPr>
              <w:t xml:space="preserve">Preparatory phase </w:t>
            </w:r>
          </w:p>
        </w:tc>
      </w:tr>
      <w:tr w:rsidR="004511CB" w:rsidRPr="000D41A7" w14:paraId="1E9729EF" w14:textId="77777777" w:rsidTr="002B1AEE">
        <w:tc>
          <w:tcPr>
            <w:tcW w:w="2040" w:type="dxa"/>
            <w:shd w:val="clear" w:color="auto" w:fill="FFFFFF"/>
          </w:tcPr>
          <w:p w14:paraId="0D9DC769" w14:textId="77777777" w:rsidR="004511CB" w:rsidRPr="000D41A7" w:rsidRDefault="004511CB" w:rsidP="002B1AEE">
            <w:pPr>
              <w:pStyle w:val="TableText1"/>
            </w:pPr>
            <w:r w:rsidRPr="000D41A7">
              <w:t>April - May 2013</w:t>
            </w:r>
          </w:p>
        </w:tc>
        <w:tc>
          <w:tcPr>
            <w:tcW w:w="4871" w:type="dxa"/>
            <w:shd w:val="clear" w:color="auto" w:fill="FFFFFF"/>
          </w:tcPr>
          <w:p w14:paraId="78F7B5AC" w14:textId="77777777" w:rsidR="004511CB" w:rsidRPr="000D41A7" w:rsidRDefault="004511CB" w:rsidP="002B1AEE">
            <w:pPr>
              <w:pStyle w:val="TableText1"/>
            </w:pPr>
            <w:r w:rsidRPr="000D41A7">
              <w:t>Collate independent evaluations and conduct preliminary analysis</w:t>
            </w:r>
          </w:p>
        </w:tc>
        <w:tc>
          <w:tcPr>
            <w:tcW w:w="2325" w:type="dxa"/>
            <w:shd w:val="clear" w:color="auto" w:fill="FFFFFF"/>
          </w:tcPr>
          <w:p w14:paraId="52017FF8" w14:textId="77777777" w:rsidR="004511CB" w:rsidRPr="000D41A7" w:rsidRDefault="004511CB" w:rsidP="002B1AEE">
            <w:pPr>
              <w:pStyle w:val="TableText1"/>
            </w:pPr>
            <w:r w:rsidRPr="000D41A7">
              <w:t>AusAID management team</w:t>
            </w:r>
          </w:p>
        </w:tc>
      </w:tr>
      <w:tr w:rsidR="004511CB" w:rsidRPr="000D41A7" w14:paraId="30E6E794" w14:textId="77777777" w:rsidTr="002B1AEE">
        <w:tc>
          <w:tcPr>
            <w:tcW w:w="2040" w:type="dxa"/>
            <w:shd w:val="clear" w:color="auto" w:fill="FFFFFF"/>
          </w:tcPr>
          <w:p w14:paraId="28306B53" w14:textId="77777777" w:rsidR="004511CB" w:rsidRPr="000D41A7" w:rsidRDefault="004511CB" w:rsidP="002B1AEE">
            <w:pPr>
              <w:pStyle w:val="TableText1"/>
            </w:pPr>
            <w:r w:rsidRPr="000D41A7">
              <w:t>May 2013</w:t>
            </w:r>
          </w:p>
        </w:tc>
        <w:tc>
          <w:tcPr>
            <w:tcW w:w="4871" w:type="dxa"/>
            <w:shd w:val="clear" w:color="auto" w:fill="FFFFFF"/>
          </w:tcPr>
          <w:p w14:paraId="64921D27" w14:textId="77777777" w:rsidR="004511CB" w:rsidRPr="000D41A7" w:rsidRDefault="004511CB" w:rsidP="002B1AEE">
            <w:pPr>
              <w:pStyle w:val="TableText1"/>
            </w:pPr>
            <w:r w:rsidRPr="000D41A7">
              <w:t>Prepare review plan (Parts 1 and 2)</w:t>
            </w:r>
          </w:p>
        </w:tc>
        <w:tc>
          <w:tcPr>
            <w:tcW w:w="2325" w:type="dxa"/>
            <w:shd w:val="clear" w:color="auto" w:fill="FFFFFF"/>
          </w:tcPr>
          <w:p w14:paraId="54753E61" w14:textId="77777777" w:rsidR="004511CB" w:rsidRPr="000D41A7" w:rsidRDefault="004511CB" w:rsidP="002B1AEE">
            <w:pPr>
              <w:pStyle w:val="TableText1"/>
            </w:pPr>
            <w:r w:rsidRPr="000D41A7">
              <w:t>Review team</w:t>
            </w:r>
          </w:p>
        </w:tc>
      </w:tr>
      <w:tr w:rsidR="004511CB" w:rsidRPr="000D41A7" w14:paraId="0DE73278" w14:textId="77777777" w:rsidTr="002B1AEE">
        <w:tc>
          <w:tcPr>
            <w:tcW w:w="2040" w:type="dxa"/>
            <w:shd w:val="clear" w:color="auto" w:fill="FFFFFF"/>
          </w:tcPr>
          <w:p w14:paraId="254EF887" w14:textId="77777777" w:rsidR="004511CB" w:rsidRPr="000D41A7" w:rsidRDefault="004511CB" w:rsidP="002B1AEE">
            <w:pPr>
              <w:pStyle w:val="TableText1"/>
            </w:pPr>
            <w:r w:rsidRPr="000D41A7">
              <w:t>May 2013</w:t>
            </w:r>
          </w:p>
        </w:tc>
        <w:tc>
          <w:tcPr>
            <w:tcW w:w="4871" w:type="dxa"/>
            <w:shd w:val="clear" w:color="auto" w:fill="FFFFFF"/>
          </w:tcPr>
          <w:p w14:paraId="61A10BC3" w14:textId="77777777" w:rsidR="004511CB" w:rsidRPr="000D41A7" w:rsidRDefault="004511CB" w:rsidP="002B1AEE">
            <w:pPr>
              <w:pStyle w:val="TableText1"/>
            </w:pPr>
            <w:r w:rsidRPr="000D41A7">
              <w:t>Finalise review plan (Parts 1 and 2) (including endorsement by IEC)</w:t>
            </w:r>
          </w:p>
        </w:tc>
        <w:tc>
          <w:tcPr>
            <w:tcW w:w="2325" w:type="dxa"/>
            <w:shd w:val="clear" w:color="auto" w:fill="FFFFFF"/>
          </w:tcPr>
          <w:p w14:paraId="7A4D24EF" w14:textId="77777777" w:rsidR="004511CB" w:rsidRPr="000D41A7" w:rsidRDefault="004511CB" w:rsidP="002B1AEE">
            <w:pPr>
              <w:pStyle w:val="TableText1"/>
            </w:pPr>
            <w:r w:rsidRPr="000D41A7">
              <w:t xml:space="preserve">AusAID management team </w:t>
            </w:r>
          </w:p>
          <w:p w14:paraId="7C8ED0A5" w14:textId="77777777" w:rsidR="004511CB" w:rsidRPr="000D41A7" w:rsidRDefault="004511CB" w:rsidP="002B1AEE">
            <w:pPr>
              <w:pStyle w:val="TableText1"/>
            </w:pPr>
            <w:r w:rsidRPr="000D41A7">
              <w:t>reference group</w:t>
            </w:r>
          </w:p>
        </w:tc>
      </w:tr>
      <w:tr w:rsidR="004511CB" w:rsidRPr="000D41A7" w14:paraId="6DDE3F58" w14:textId="77777777" w:rsidTr="002B1AEE">
        <w:tc>
          <w:tcPr>
            <w:tcW w:w="9236" w:type="dxa"/>
            <w:gridSpan w:val="3"/>
            <w:shd w:val="clear" w:color="auto" w:fill="FFFFFF"/>
          </w:tcPr>
          <w:p w14:paraId="7987E80D" w14:textId="77777777" w:rsidR="004511CB" w:rsidRPr="000D41A7" w:rsidRDefault="004511CB" w:rsidP="002B1AEE">
            <w:pPr>
              <w:pStyle w:val="TableText1"/>
              <w:rPr>
                <w:b/>
              </w:rPr>
            </w:pPr>
            <w:r w:rsidRPr="000D41A7">
              <w:rPr>
                <w:b/>
              </w:rPr>
              <w:t xml:space="preserve">Part 1: Quality review </w:t>
            </w:r>
          </w:p>
        </w:tc>
      </w:tr>
      <w:tr w:rsidR="004511CB" w:rsidRPr="000D41A7" w14:paraId="3DEFE8DA" w14:textId="77777777" w:rsidTr="002B1AEE">
        <w:tc>
          <w:tcPr>
            <w:tcW w:w="2040" w:type="dxa"/>
            <w:shd w:val="clear" w:color="auto" w:fill="FFFFFF"/>
          </w:tcPr>
          <w:p w14:paraId="02310025" w14:textId="77777777" w:rsidR="004511CB" w:rsidRPr="000D41A7" w:rsidRDefault="004511CB" w:rsidP="002B1AEE">
            <w:pPr>
              <w:pStyle w:val="TableText1"/>
            </w:pPr>
            <w:r w:rsidRPr="000D41A7">
              <w:t>May –July 2013</w:t>
            </w:r>
          </w:p>
        </w:tc>
        <w:tc>
          <w:tcPr>
            <w:tcW w:w="4871" w:type="dxa"/>
            <w:shd w:val="clear" w:color="auto" w:fill="FFFFFF"/>
          </w:tcPr>
          <w:p w14:paraId="2CDF3195" w14:textId="77777777" w:rsidR="004511CB" w:rsidRPr="000D41A7" w:rsidRDefault="004511CB" w:rsidP="002B1AEE">
            <w:pPr>
              <w:pStyle w:val="TableText1"/>
            </w:pPr>
            <w:r w:rsidRPr="000D41A7">
              <w:t xml:space="preserve">Conduct </w:t>
            </w:r>
            <w:r>
              <w:t>q</w:t>
            </w:r>
            <w:r w:rsidRPr="000D41A7">
              <w:t xml:space="preserve">uality </w:t>
            </w:r>
            <w:r>
              <w:t>a</w:t>
            </w:r>
            <w:r w:rsidRPr="000D41A7">
              <w:t>nalysis and prepare draft report (Part 1)</w:t>
            </w:r>
          </w:p>
        </w:tc>
        <w:tc>
          <w:tcPr>
            <w:tcW w:w="2325" w:type="dxa"/>
            <w:shd w:val="clear" w:color="auto" w:fill="FFFFFF"/>
          </w:tcPr>
          <w:p w14:paraId="097DE612" w14:textId="77777777" w:rsidR="004511CB" w:rsidRPr="000D41A7" w:rsidRDefault="004511CB" w:rsidP="002B1AEE">
            <w:pPr>
              <w:pStyle w:val="TableText1"/>
            </w:pPr>
            <w:r w:rsidRPr="000D41A7">
              <w:t>Review team</w:t>
            </w:r>
          </w:p>
        </w:tc>
      </w:tr>
      <w:tr w:rsidR="004511CB" w:rsidRPr="000D41A7" w14:paraId="26E6DBA6" w14:textId="77777777" w:rsidTr="002B1AEE">
        <w:tc>
          <w:tcPr>
            <w:tcW w:w="2040" w:type="dxa"/>
            <w:shd w:val="clear" w:color="auto" w:fill="FFFFFF"/>
          </w:tcPr>
          <w:p w14:paraId="37C4C265" w14:textId="77777777" w:rsidR="004511CB" w:rsidRPr="000D41A7" w:rsidRDefault="004511CB" w:rsidP="002B1AEE">
            <w:pPr>
              <w:pStyle w:val="TableText1"/>
            </w:pPr>
            <w:r w:rsidRPr="000D41A7">
              <w:t>July 2013</w:t>
            </w:r>
          </w:p>
        </w:tc>
        <w:tc>
          <w:tcPr>
            <w:tcW w:w="4871" w:type="dxa"/>
            <w:shd w:val="clear" w:color="auto" w:fill="FFFFFF"/>
          </w:tcPr>
          <w:p w14:paraId="1262764F" w14:textId="77777777" w:rsidR="004511CB" w:rsidRPr="000D41A7" w:rsidRDefault="004511CB" w:rsidP="002B1AEE">
            <w:pPr>
              <w:pStyle w:val="TableText1"/>
            </w:pPr>
            <w:r w:rsidRPr="000D41A7">
              <w:t>Review draft report (Part 1) (including review by IEC)</w:t>
            </w:r>
          </w:p>
        </w:tc>
        <w:tc>
          <w:tcPr>
            <w:tcW w:w="2325" w:type="dxa"/>
            <w:shd w:val="clear" w:color="auto" w:fill="FFFFFF"/>
          </w:tcPr>
          <w:p w14:paraId="66617177" w14:textId="77777777" w:rsidR="004511CB" w:rsidRPr="000D41A7" w:rsidRDefault="004511CB" w:rsidP="002B1AEE">
            <w:pPr>
              <w:pStyle w:val="TableText1"/>
            </w:pPr>
            <w:r w:rsidRPr="000D41A7">
              <w:t>AusAID management team</w:t>
            </w:r>
          </w:p>
          <w:p w14:paraId="434AC7FC" w14:textId="77777777" w:rsidR="004511CB" w:rsidRPr="000D41A7" w:rsidRDefault="004511CB" w:rsidP="002B1AEE">
            <w:pPr>
              <w:pStyle w:val="TableText1"/>
            </w:pPr>
            <w:r w:rsidRPr="000D41A7">
              <w:t>reference group</w:t>
            </w:r>
          </w:p>
        </w:tc>
      </w:tr>
      <w:tr w:rsidR="004511CB" w:rsidRPr="000D41A7" w14:paraId="70CCC830" w14:textId="77777777" w:rsidTr="002B1AEE">
        <w:tc>
          <w:tcPr>
            <w:tcW w:w="9236" w:type="dxa"/>
            <w:gridSpan w:val="3"/>
            <w:shd w:val="clear" w:color="auto" w:fill="FFFFFF"/>
          </w:tcPr>
          <w:p w14:paraId="018545A0" w14:textId="77777777" w:rsidR="004511CB" w:rsidRPr="000D41A7" w:rsidRDefault="004511CB" w:rsidP="002B1AEE">
            <w:pPr>
              <w:pStyle w:val="TableText1"/>
              <w:rPr>
                <w:b/>
              </w:rPr>
            </w:pPr>
            <w:r w:rsidRPr="000D41A7">
              <w:rPr>
                <w:b/>
              </w:rPr>
              <w:t xml:space="preserve">Part 2: Synthesis </w:t>
            </w:r>
          </w:p>
        </w:tc>
      </w:tr>
      <w:tr w:rsidR="004511CB" w:rsidRPr="000D41A7" w14:paraId="4F3622B0" w14:textId="77777777" w:rsidTr="002B1AEE">
        <w:tc>
          <w:tcPr>
            <w:tcW w:w="2040" w:type="dxa"/>
            <w:shd w:val="clear" w:color="auto" w:fill="FFFFFF"/>
          </w:tcPr>
          <w:p w14:paraId="7B28DB10" w14:textId="77777777" w:rsidR="004511CB" w:rsidRPr="000D41A7" w:rsidRDefault="004511CB" w:rsidP="002B1AEE">
            <w:pPr>
              <w:pStyle w:val="TableText1"/>
            </w:pPr>
            <w:r w:rsidRPr="000D41A7">
              <w:t>July 2013</w:t>
            </w:r>
          </w:p>
        </w:tc>
        <w:tc>
          <w:tcPr>
            <w:tcW w:w="4871" w:type="dxa"/>
            <w:shd w:val="clear" w:color="auto" w:fill="FFFFFF"/>
          </w:tcPr>
          <w:p w14:paraId="6968E354" w14:textId="77777777" w:rsidR="004511CB" w:rsidRPr="000D41A7" w:rsidRDefault="004511CB" w:rsidP="002B1AEE">
            <w:pPr>
              <w:pStyle w:val="TableText1"/>
            </w:pPr>
            <w:r w:rsidRPr="000D41A7">
              <w:t>Revise review plan (Part 2)</w:t>
            </w:r>
          </w:p>
        </w:tc>
        <w:tc>
          <w:tcPr>
            <w:tcW w:w="2325" w:type="dxa"/>
            <w:shd w:val="clear" w:color="auto" w:fill="FFFFFF"/>
          </w:tcPr>
          <w:p w14:paraId="77E60AB8" w14:textId="77777777" w:rsidR="004511CB" w:rsidRPr="000D41A7" w:rsidRDefault="004511CB" w:rsidP="002B1AEE">
            <w:pPr>
              <w:pStyle w:val="TableText1"/>
            </w:pPr>
            <w:r w:rsidRPr="000D41A7">
              <w:t>Review team</w:t>
            </w:r>
          </w:p>
        </w:tc>
      </w:tr>
      <w:tr w:rsidR="004511CB" w:rsidRPr="000D41A7" w14:paraId="51C9D909" w14:textId="77777777" w:rsidTr="002B1AEE">
        <w:tc>
          <w:tcPr>
            <w:tcW w:w="2040" w:type="dxa"/>
            <w:shd w:val="clear" w:color="auto" w:fill="FFFFFF"/>
          </w:tcPr>
          <w:p w14:paraId="6ADD9EB7" w14:textId="77777777" w:rsidR="004511CB" w:rsidRPr="000D41A7" w:rsidRDefault="004511CB" w:rsidP="002B1AEE">
            <w:pPr>
              <w:pStyle w:val="TableText1"/>
            </w:pPr>
            <w:r w:rsidRPr="000D41A7">
              <w:t>July 2013</w:t>
            </w:r>
          </w:p>
        </w:tc>
        <w:tc>
          <w:tcPr>
            <w:tcW w:w="4871" w:type="dxa"/>
            <w:shd w:val="clear" w:color="auto" w:fill="FFFFFF"/>
          </w:tcPr>
          <w:p w14:paraId="531EB815" w14:textId="77777777" w:rsidR="004511CB" w:rsidRPr="000D41A7" w:rsidRDefault="004511CB" w:rsidP="002B1AEE">
            <w:pPr>
              <w:pStyle w:val="TableText1"/>
            </w:pPr>
            <w:r w:rsidRPr="000D41A7">
              <w:t>Finalise revised review plan (Part 2) (including endorsement by IEC)</w:t>
            </w:r>
          </w:p>
        </w:tc>
        <w:tc>
          <w:tcPr>
            <w:tcW w:w="2325" w:type="dxa"/>
            <w:shd w:val="clear" w:color="auto" w:fill="FFFFFF"/>
          </w:tcPr>
          <w:p w14:paraId="5C88E328" w14:textId="77777777" w:rsidR="004511CB" w:rsidRPr="000D41A7" w:rsidRDefault="004511CB" w:rsidP="002B1AEE">
            <w:pPr>
              <w:pStyle w:val="TableText1"/>
            </w:pPr>
            <w:r w:rsidRPr="000D41A7">
              <w:t>AusAID management team</w:t>
            </w:r>
          </w:p>
          <w:p w14:paraId="0A7F5418" w14:textId="77777777" w:rsidR="004511CB" w:rsidRPr="000D41A7" w:rsidRDefault="004511CB" w:rsidP="002B1AEE">
            <w:pPr>
              <w:pStyle w:val="TableText1"/>
            </w:pPr>
            <w:r w:rsidRPr="000D41A7">
              <w:t>reference group</w:t>
            </w:r>
          </w:p>
        </w:tc>
      </w:tr>
      <w:tr w:rsidR="004511CB" w:rsidRPr="000D41A7" w14:paraId="763EAB0E" w14:textId="77777777" w:rsidTr="002B1AEE">
        <w:tc>
          <w:tcPr>
            <w:tcW w:w="2040" w:type="dxa"/>
            <w:shd w:val="clear" w:color="auto" w:fill="FFFFFF"/>
          </w:tcPr>
          <w:p w14:paraId="47981093" w14:textId="77777777" w:rsidR="004511CB" w:rsidRPr="000D41A7" w:rsidRDefault="004511CB" w:rsidP="002B1AEE">
            <w:pPr>
              <w:pStyle w:val="TableText1"/>
            </w:pPr>
            <w:r w:rsidRPr="000D41A7">
              <w:t>July – September 2013</w:t>
            </w:r>
          </w:p>
        </w:tc>
        <w:tc>
          <w:tcPr>
            <w:tcW w:w="4871" w:type="dxa"/>
            <w:shd w:val="clear" w:color="auto" w:fill="FFFFFF"/>
          </w:tcPr>
          <w:p w14:paraId="2FC0BD3B" w14:textId="77777777" w:rsidR="004511CB" w:rsidRPr="000D41A7" w:rsidRDefault="004511CB" w:rsidP="002B1AEE">
            <w:pPr>
              <w:pStyle w:val="TableText1"/>
            </w:pPr>
            <w:r w:rsidRPr="000D41A7">
              <w:t xml:space="preserve">Conduct </w:t>
            </w:r>
            <w:r>
              <w:t>s</w:t>
            </w:r>
            <w:r w:rsidRPr="000D41A7">
              <w:t>ynthesis and prepare draft report (Part 2)</w:t>
            </w:r>
          </w:p>
        </w:tc>
        <w:tc>
          <w:tcPr>
            <w:tcW w:w="2325" w:type="dxa"/>
            <w:shd w:val="clear" w:color="auto" w:fill="FFFFFF"/>
          </w:tcPr>
          <w:p w14:paraId="10285482" w14:textId="77777777" w:rsidR="004511CB" w:rsidRPr="000D41A7" w:rsidRDefault="004511CB" w:rsidP="002B1AEE">
            <w:pPr>
              <w:pStyle w:val="TableText1"/>
            </w:pPr>
            <w:r w:rsidRPr="000D41A7">
              <w:t>Review team</w:t>
            </w:r>
          </w:p>
        </w:tc>
      </w:tr>
      <w:tr w:rsidR="004511CB" w:rsidRPr="000D41A7" w14:paraId="4FD4D003" w14:textId="77777777" w:rsidTr="002B1AEE">
        <w:tc>
          <w:tcPr>
            <w:tcW w:w="2040" w:type="dxa"/>
            <w:shd w:val="clear" w:color="auto" w:fill="FFFFFF"/>
          </w:tcPr>
          <w:p w14:paraId="5D354241" w14:textId="77777777" w:rsidR="004511CB" w:rsidRPr="000D41A7" w:rsidRDefault="004511CB" w:rsidP="002B1AEE">
            <w:pPr>
              <w:pStyle w:val="TableText1"/>
            </w:pPr>
            <w:r w:rsidRPr="000D41A7">
              <w:t>September – October 2013</w:t>
            </w:r>
          </w:p>
        </w:tc>
        <w:tc>
          <w:tcPr>
            <w:tcW w:w="4871" w:type="dxa"/>
            <w:shd w:val="clear" w:color="auto" w:fill="FFFFFF"/>
          </w:tcPr>
          <w:p w14:paraId="5F3B8F5A" w14:textId="77777777" w:rsidR="004511CB" w:rsidRPr="000D41A7" w:rsidRDefault="004511CB" w:rsidP="002B1AEE">
            <w:pPr>
              <w:pStyle w:val="TableText1"/>
            </w:pPr>
            <w:r w:rsidRPr="000D41A7">
              <w:t>Peer review of draft report (Part 2)</w:t>
            </w:r>
          </w:p>
        </w:tc>
        <w:tc>
          <w:tcPr>
            <w:tcW w:w="2325" w:type="dxa"/>
            <w:shd w:val="clear" w:color="auto" w:fill="FFFFFF"/>
          </w:tcPr>
          <w:p w14:paraId="0AF76470" w14:textId="77777777" w:rsidR="004511CB" w:rsidRPr="000D41A7" w:rsidRDefault="004511CB" w:rsidP="002B1AEE">
            <w:pPr>
              <w:pStyle w:val="TableText1"/>
            </w:pPr>
            <w:r>
              <w:t>R</w:t>
            </w:r>
            <w:r w:rsidRPr="000D41A7">
              <w:t>eference group plus additional stakeholders/experts</w:t>
            </w:r>
          </w:p>
        </w:tc>
      </w:tr>
      <w:tr w:rsidR="004511CB" w:rsidRPr="000D41A7" w14:paraId="69D1783F" w14:textId="77777777" w:rsidTr="002B1AEE">
        <w:tc>
          <w:tcPr>
            <w:tcW w:w="2040" w:type="dxa"/>
            <w:shd w:val="clear" w:color="auto" w:fill="FFFFFF"/>
          </w:tcPr>
          <w:p w14:paraId="323CED31" w14:textId="77777777" w:rsidR="004511CB" w:rsidRPr="000D41A7" w:rsidRDefault="004511CB" w:rsidP="002B1AEE">
            <w:pPr>
              <w:pStyle w:val="TableText1"/>
            </w:pPr>
            <w:r w:rsidRPr="000D41A7">
              <w:t>October – November 2013</w:t>
            </w:r>
          </w:p>
        </w:tc>
        <w:tc>
          <w:tcPr>
            <w:tcW w:w="4871" w:type="dxa"/>
            <w:shd w:val="clear" w:color="auto" w:fill="FFFFFF"/>
          </w:tcPr>
          <w:p w14:paraId="66642C11" w14:textId="77777777" w:rsidR="004511CB" w:rsidRPr="000D41A7" w:rsidRDefault="004511CB" w:rsidP="002B1AEE">
            <w:pPr>
              <w:pStyle w:val="TableText1"/>
            </w:pPr>
            <w:r w:rsidRPr="000D41A7">
              <w:t>Prepare proposed final report (Parts 1 and 2)</w:t>
            </w:r>
          </w:p>
        </w:tc>
        <w:tc>
          <w:tcPr>
            <w:tcW w:w="2325" w:type="dxa"/>
            <w:shd w:val="clear" w:color="auto" w:fill="FFFFFF"/>
          </w:tcPr>
          <w:p w14:paraId="2BFB7C04" w14:textId="77777777" w:rsidR="004511CB" w:rsidRPr="000D41A7" w:rsidRDefault="004511CB" w:rsidP="002B1AEE">
            <w:pPr>
              <w:pStyle w:val="TableText1"/>
            </w:pPr>
            <w:r w:rsidRPr="000D41A7">
              <w:t>Review team</w:t>
            </w:r>
          </w:p>
        </w:tc>
      </w:tr>
      <w:tr w:rsidR="004511CB" w:rsidRPr="000D41A7" w14:paraId="472644C9" w14:textId="77777777" w:rsidTr="002B1AEE">
        <w:tc>
          <w:tcPr>
            <w:tcW w:w="9236" w:type="dxa"/>
            <w:gridSpan w:val="3"/>
            <w:shd w:val="clear" w:color="auto" w:fill="FFFFFF"/>
          </w:tcPr>
          <w:p w14:paraId="6D0DD80C" w14:textId="77777777" w:rsidR="004511CB" w:rsidRPr="000D41A7" w:rsidRDefault="004511CB" w:rsidP="002B1AEE">
            <w:pPr>
              <w:pStyle w:val="TableText1"/>
              <w:rPr>
                <w:b/>
              </w:rPr>
            </w:pPr>
            <w:r w:rsidRPr="000D41A7">
              <w:rPr>
                <w:b/>
              </w:rPr>
              <w:t>Finalisation</w:t>
            </w:r>
          </w:p>
        </w:tc>
      </w:tr>
      <w:tr w:rsidR="004511CB" w:rsidRPr="000D41A7" w14:paraId="0A0ABE5F" w14:textId="77777777" w:rsidTr="002B1AEE">
        <w:tc>
          <w:tcPr>
            <w:tcW w:w="2040" w:type="dxa"/>
            <w:shd w:val="clear" w:color="auto" w:fill="FFFFFF"/>
          </w:tcPr>
          <w:p w14:paraId="2229B999" w14:textId="77777777" w:rsidR="004511CB" w:rsidRPr="000D41A7" w:rsidRDefault="004511CB" w:rsidP="002B1AEE">
            <w:pPr>
              <w:pStyle w:val="TableText1"/>
            </w:pPr>
            <w:r w:rsidRPr="000D41A7">
              <w:t>November 2013</w:t>
            </w:r>
          </w:p>
        </w:tc>
        <w:tc>
          <w:tcPr>
            <w:tcW w:w="4871" w:type="dxa"/>
            <w:shd w:val="clear" w:color="auto" w:fill="FFFFFF"/>
          </w:tcPr>
          <w:p w14:paraId="35C1EF9C" w14:textId="77777777" w:rsidR="004511CB" w:rsidRPr="000D41A7" w:rsidRDefault="004511CB" w:rsidP="002B1AEE">
            <w:pPr>
              <w:pStyle w:val="TableText1"/>
            </w:pPr>
            <w:r w:rsidRPr="000D41A7">
              <w:t>Provide comments on proposed final report</w:t>
            </w:r>
          </w:p>
        </w:tc>
        <w:tc>
          <w:tcPr>
            <w:tcW w:w="2325" w:type="dxa"/>
            <w:shd w:val="clear" w:color="auto" w:fill="FFFFFF"/>
          </w:tcPr>
          <w:p w14:paraId="6C120305" w14:textId="77777777" w:rsidR="004511CB" w:rsidRPr="000D41A7" w:rsidRDefault="004511CB" w:rsidP="002B1AEE">
            <w:pPr>
              <w:pStyle w:val="TableText1"/>
            </w:pPr>
            <w:r w:rsidRPr="000D41A7">
              <w:t>IEC</w:t>
            </w:r>
          </w:p>
        </w:tc>
      </w:tr>
      <w:tr w:rsidR="004511CB" w:rsidRPr="000D41A7" w14:paraId="061C1462" w14:textId="77777777" w:rsidTr="002B1AEE">
        <w:tc>
          <w:tcPr>
            <w:tcW w:w="2040" w:type="dxa"/>
            <w:shd w:val="clear" w:color="auto" w:fill="FFFFFF"/>
          </w:tcPr>
          <w:p w14:paraId="5935F709" w14:textId="77777777" w:rsidR="004511CB" w:rsidRPr="000D41A7" w:rsidRDefault="004511CB" w:rsidP="002B1AEE">
            <w:pPr>
              <w:pStyle w:val="TableText1"/>
            </w:pPr>
            <w:r w:rsidRPr="000D41A7">
              <w:t xml:space="preserve">December 2013 </w:t>
            </w:r>
          </w:p>
        </w:tc>
        <w:tc>
          <w:tcPr>
            <w:tcW w:w="4871" w:type="dxa"/>
            <w:shd w:val="clear" w:color="auto" w:fill="FFFFFF"/>
          </w:tcPr>
          <w:p w14:paraId="0652FAC6" w14:textId="77777777" w:rsidR="004511CB" w:rsidRPr="000D41A7" w:rsidRDefault="004511CB" w:rsidP="002B1AEE">
            <w:pPr>
              <w:pStyle w:val="TableText1"/>
            </w:pPr>
            <w:r w:rsidRPr="000D41A7">
              <w:t>Prepare final version of final report</w:t>
            </w:r>
          </w:p>
        </w:tc>
        <w:tc>
          <w:tcPr>
            <w:tcW w:w="2325" w:type="dxa"/>
            <w:shd w:val="clear" w:color="auto" w:fill="FFFFFF"/>
          </w:tcPr>
          <w:p w14:paraId="386B43FD" w14:textId="77777777" w:rsidR="004511CB" w:rsidRPr="000D41A7" w:rsidRDefault="004511CB" w:rsidP="002B1AEE">
            <w:pPr>
              <w:pStyle w:val="TableText1"/>
            </w:pPr>
            <w:r w:rsidRPr="000D41A7">
              <w:t>AusAID management team</w:t>
            </w:r>
          </w:p>
        </w:tc>
      </w:tr>
      <w:tr w:rsidR="004511CB" w:rsidRPr="000D41A7" w14:paraId="70A1E328" w14:textId="77777777" w:rsidTr="002B1AEE">
        <w:tc>
          <w:tcPr>
            <w:tcW w:w="2040" w:type="dxa"/>
            <w:shd w:val="clear" w:color="auto" w:fill="FFFFFF"/>
          </w:tcPr>
          <w:p w14:paraId="7E46B469" w14:textId="77777777" w:rsidR="004511CB" w:rsidRPr="000D41A7" w:rsidRDefault="004511CB" w:rsidP="002B1AEE">
            <w:pPr>
              <w:pStyle w:val="TableText1"/>
            </w:pPr>
            <w:r w:rsidRPr="000D41A7">
              <w:t>December 2013</w:t>
            </w:r>
          </w:p>
        </w:tc>
        <w:tc>
          <w:tcPr>
            <w:tcW w:w="4871" w:type="dxa"/>
            <w:shd w:val="clear" w:color="auto" w:fill="FFFFFF"/>
          </w:tcPr>
          <w:p w14:paraId="798424EA" w14:textId="77777777" w:rsidR="004511CB" w:rsidRPr="000D41A7" w:rsidRDefault="004511CB" w:rsidP="002B1AEE">
            <w:pPr>
              <w:pStyle w:val="TableText1"/>
            </w:pPr>
            <w:r w:rsidRPr="000D41A7">
              <w:t>Publish report</w:t>
            </w:r>
          </w:p>
        </w:tc>
        <w:tc>
          <w:tcPr>
            <w:tcW w:w="2325" w:type="dxa"/>
            <w:shd w:val="clear" w:color="auto" w:fill="FFFFFF"/>
          </w:tcPr>
          <w:p w14:paraId="5D89201D" w14:textId="77777777" w:rsidR="004511CB" w:rsidRPr="000D41A7" w:rsidRDefault="004511CB" w:rsidP="002B1AEE">
            <w:pPr>
              <w:pStyle w:val="TableText1"/>
            </w:pPr>
            <w:r w:rsidRPr="000D41A7">
              <w:t>AusAID management team</w:t>
            </w:r>
          </w:p>
        </w:tc>
      </w:tr>
    </w:tbl>
    <w:p w14:paraId="0D946195" w14:textId="77777777" w:rsidR="004511CB" w:rsidRDefault="004511CB" w:rsidP="004511CB"/>
    <w:p w14:paraId="107041C3" w14:textId="77777777" w:rsidR="004511CB" w:rsidRPr="00350B92" w:rsidRDefault="004511CB" w:rsidP="004511CB"/>
    <w:bookmarkStart w:id="266" w:name="_Toc387675129"/>
    <w:p w14:paraId="2B8A1243" w14:textId="4B4552D5" w:rsidR="00964314" w:rsidRPr="008C7811" w:rsidRDefault="004326FC" w:rsidP="004326FC">
      <w:pPr>
        <w:pStyle w:val="Heading1"/>
      </w:pPr>
      <w:r>
        <w:rPr>
          <w:noProof/>
        </w:rPr>
        <w:lastRenderedPageBreak/>
        <mc:AlternateContent>
          <mc:Choice Requires="wps">
            <w:drawing>
              <wp:anchor distT="0" distB="0" distL="114300" distR="114300" simplePos="0" relativeHeight="251678720" behindDoc="1" locked="0" layoutInCell="1" allowOverlap="1" wp14:anchorId="5A3474D4" wp14:editId="65BB55CB">
                <wp:simplePos x="0" y="0"/>
                <wp:positionH relativeFrom="page">
                  <wp:align>left</wp:align>
                </wp:positionH>
                <wp:positionV relativeFrom="paragraph">
                  <wp:posOffset>-144145</wp:posOffset>
                </wp:positionV>
                <wp:extent cx="7610400" cy="1468800"/>
                <wp:effectExtent l="0" t="0" r="0" b="0"/>
                <wp:wrapNone/>
                <wp:docPr id="290" name="Rectangle 290"/>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A793CEF" id="Rectangle 290" o:spid="_x0000_s1026" style="position:absolute;margin-left:0;margin-top:-11.35pt;width:599.25pt;height:115.65pt;z-index:-2516377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ktlwIAAIoFAAAOAAAAZHJzL2Uyb0RvYy54bWysVMFu2zAMvQ/YPwi6r7YDN02DOkXQosOA&#10;oi3aDj0rshQbkEVNUuJkXz9Kst2uK3YYloMiiuQj+Uzy4vLQKbIX1rWgK1qc5JQIzaFu9bai359v&#10;viwocZ7pminQoqJH4ejl6vOni94sxQwaULWwBEG0W/amoo33ZplljjeiY+4EjNColGA75lG026y2&#10;rEf0TmWzPJ9nPdjaWODCOXy9Tkq6ivhSCu7vpXTCE1VRzM3H08ZzE85sdcGWW8tM0/IhDfYPWXSs&#10;1Rh0grpmnpGdbf+A6lpuwYH0Jxy6DKRsuYg1YDVF/q6ap4YZEWtBcpyZaHL/D5bf7R8saeuKzs6R&#10;H806/EiPSBvTWyVIeESKeuOWaPlkHuwgObyGeg/SduEfKyGHSOtxolUcPOH4eDYv8jJHdI66opwv&#10;FiggTvbqbqzzXwV0JFwqajGBSCfb3zqfTEeTEM2BauubVqko2O3mSlmyZ/iNi1lZLuYD+m9mSgdj&#10;DcEtIYaXLJSWiok3f1Qi2Cn9KCTygunPYiaxI8UUh3EutC+SqmG1SOFPc/yN0UMPB49YaQQMyBLj&#10;T9gDwGiZQEbslOVgH1xFbOjJOf9bYsl58oiRQfvJuWs12I8AFFY1RE72I0mJmsDSBuojdo2FNE7O&#10;8JsWv9stc/6BWZwf/Na4E/w9HlJBX1EYbpQ0YH9+9B7ssa1RS0mP81hR92PHrKBEfdPY8OdFWYYB&#10;jkJ5ejZDwb7VbN5q9K67gtAOuH0Mj9dg79V4lRa6F1wd6xAVVUxzjF1R7u0oXPm0J3D5cLFeRzMc&#10;WsP8rX4yPIAHVkNfPh9emDVD83rs+zsYZ5ct3/Vwsg2eGtY7D7KNDf7K68A3DnxsnGE5hY3yVo5W&#10;ryt09QsAAP//AwBQSwMEFAAGAAgAAAAhAJkgKSbdAAAACQEAAA8AAABkcnMvZG93bnJldi54bWxM&#10;j8FOwzAQRO9I/IO1SNxaJ0aUELKpUCU4ROJAS+9uvMQR8TrEbhv+HvcEx9GMZt5U69kN4kRT6D0j&#10;5MsMBHHrTc8dwsfuZVGACFGz0YNnQvihAOv6+qrSpfFnfqfTNnYilXAoNYKNcSylDK0lp8PSj8TJ&#10;+/ST0zHJqZNm0udU7gapsmwlne45LVg90sZS+7U9OoSmILvv3pph/m52udzcvfo9KcTbm/n5CUSk&#10;Of6F4YKf0KFOTAd/ZBPEgJCORISFUg8gLnb+WNyDOCCorFiBrCv5/0H9CwAA//8DAFBLAQItABQA&#10;BgAIAAAAIQC2gziS/gAAAOEBAAATAAAAAAAAAAAAAAAAAAAAAABbQ29udGVudF9UeXBlc10ueG1s&#10;UEsBAi0AFAAGAAgAAAAhADj9If/WAAAAlAEAAAsAAAAAAAAAAAAAAAAALwEAAF9yZWxzLy5yZWxz&#10;UEsBAi0AFAAGAAgAAAAhAGnMyS2XAgAAigUAAA4AAAAAAAAAAAAAAAAALgIAAGRycy9lMm9Eb2Mu&#10;eG1sUEsBAi0AFAAGAAgAAAAhAJkgKSbdAAAACQEAAA8AAAAAAAAAAAAAAAAA8QQAAGRycy9kb3du&#10;cmV2LnhtbFBLBQYAAAAABAAEAPMAAAD7BQAAAAA=&#10;" fillcolor="#124486" stroked="f" strokeweight="2pt">
                <w10:wrap anchorx="page"/>
              </v:rect>
            </w:pict>
          </mc:Fallback>
        </mc:AlternateContent>
      </w:r>
      <w:r w:rsidR="00964314" w:rsidRPr="008C7811">
        <w:t>Annex 2: Detailed methodology</w:t>
      </w:r>
      <w:bookmarkEnd w:id="209"/>
      <w:bookmarkEnd w:id="266"/>
      <w:r w:rsidR="00964314" w:rsidRPr="008C7811">
        <w:t xml:space="preserve"> </w:t>
      </w:r>
    </w:p>
    <w:p w14:paraId="6AEB6D0D" w14:textId="39B3A98E" w:rsidR="001B3678" w:rsidRPr="007D2F49" w:rsidRDefault="002B1AEE" w:rsidP="002B1AEE">
      <w:pPr>
        <w:pStyle w:val="Heading2"/>
        <w:ind w:left="0" w:firstLine="0"/>
      </w:pPr>
      <w:bookmarkStart w:id="267" w:name="_Toc387675130"/>
      <w:r>
        <w:t>1</w:t>
      </w:r>
      <w:r w:rsidR="004326FC">
        <w:tab/>
      </w:r>
      <w:r w:rsidR="0046553B">
        <w:t>Overview of approach</w:t>
      </w:r>
      <w:bookmarkEnd w:id="267"/>
    </w:p>
    <w:p w14:paraId="64C38E52" w14:textId="77777777" w:rsidR="00763CB3" w:rsidRDefault="00272392" w:rsidP="00D83C72">
      <w:r w:rsidRPr="00272392">
        <w:rPr>
          <w:i/>
        </w:rPr>
        <w:t>Quality of Australian Aid Operational Evaluations</w:t>
      </w:r>
      <w:r w:rsidRPr="00E57F60">
        <w:t xml:space="preserve"> </w:t>
      </w:r>
      <w:r w:rsidR="001B3678">
        <w:t>is</w:t>
      </w:r>
      <w:r w:rsidR="001B3678" w:rsidRPr="00E57F60">
        <w:t xml:space="preserve"> a meta-evaluation to assess the quality </w:t>
      </w:r>
      <w:r w:rsidR="0046553B">
        <w:t xml:space="preserve">and credibility </w:t>
      </w:r>
      <w:r w:rsidR="001B3678" w:rsidRPr="00E57F60">
        <w:t xml:space="preserve">of </w:t>
      </w:r>
      <w:r w:rsidR="00763CB3">
        <w:t>the</w:t>
      </w:r>
      <w:r w:rsidR="0046553B" w:rsidRPr="00E57F60">
        <w:t xml:space="preserve"> 87 independent evaluations</w:t>
      </w:r>
      <w:r w:rsidR="0046553B">
        <w:t xml:space="preserve"> </w:t>
      </w:r>
      <w:r w:rsidR="0046553B" w:rsidRPr="00E57F60">
        <w:t xml:space="preserve">completed in 2012 </w:t>
      </w:r>
      <w:r w:rsidR="0046553B">
        <w:t>of aid initiatives implemented by the former AusAID.</w:t>
      </w:r>
      <w:r w:rsidR="00A74814">
        <w:t xml:space="preserve"> </w:t>
      </w:r>
    </w:p>
    <w:p w14:paraId="3D37D0B5" w14:textId="77777777" w:rsidR="00E73359" w:rsidRPr="00706D28" w:rsidRDefault="00E73359" w:rsidP="00D83C72">
      <w:r w:rsidRPr="00706D28">
        <w:t>Th</w:t>
      </w:r>
      <w:r w:rsidR="00763CB3">
        <w:t>e r</w:t>
      </w:r>
      <w:r w:rsidRPr="00706D28">
        <w:t>eview sought to answer the following five questions:</w:t>
      </w:r>
    </w:p>
    <w:p w14:paraId="214E7F54" w14:textId="04DAFD02" w:rsidR="00E73359" w:rsidRPr="00D83C72" w:rsidRDefault="00BB2352" w:rsidP="002B1AEE">
      <w:pPr>
        <w:pStyle w:val="NumberList0"/>
      </w:pPr>
      <w:r>
        <w:t>1.</w:t>
      </w:r>
      <w:r>
        <w:tab/>
      </w:r>
      <w:r w:rsidR="00E73359" w:rsidRPr="00D83C72">
        <w:t>What are the basic characteristics of different levels of independent evaluation in the aid program and the history and nature of independent evaluation at the initiative level?</w:t>
      </w:r>
    </w:p>
    <w:p w14:paraId="5B778F9B" w14:textId="6028E754" w:rsidR="00E73359" w:rsidRPr="00D83C72" w:rsidRDefault="00BB2352" w:rsidP="002B1AEE">
      <w:pPr>
        <w:pStyle w:val="NumberList0"/>
      </w:pPr>
      <w:r>
        <w:t>2.</w:t>
      </w:r>
      <w:r>
        <w:tab/>
      </w:r>
      <w:r w:rsidR="00E73359" w:rsidRPr="00D83C72">
        <w:t>To what degree do independent evaluations provide a credible source of evidence for the effectiveness of the Australian aid program?</w:t>
      </w:r>
    </w:p>
    <w:p w14:paraId="14CD2233" w14:textId="1C3F64CC" w:rsidR="00E73359" w:rsidRPr="00D83C72" w:rsidRDefault="00BB2352" w:rsidP="002B1AEE">
      <w:pPr>
        <w:pStyle w:val="NumberList0"/>
      </w:pPr>
      <w:r>
        <w:t>3.</w:t>
      </w:r>
      <w:r>
        <w:tab/>
      </w:r>
      <w:r w:rsidR="00E73359" w:rsidRPr="00D83C72">
        <w:t xml:space="preserve">What are the major strengths and weaknesses of independent evaluations of Australian aid initiatives? </w:t>
      </w:r>
    </w:p>
    <w:p w14:paraId="1CA5BFCB" w14:textId="470AB36F" w:rsidR="00E73359" w:rsidRPr="00D83C72" w:rsidRDefault="00BB2352" w:rsidP="002B1AEE">
      <w:pPr>
        <w:pStyle w:val="NumberList0"/>
      </w:pPr>
      <w:r>
        <w:t>4.</w:t>
      </w:r>
      <w:r>
        <w:tab/>
      </w:r>
      <w:r w:rsidR="00E73359" w:rsidRPr="00D83C72">
        <w:t>What are the factors that contribute to their quality</w:t>
      </w:r>
      <w:r w:rsidR="004A242D" w:rsidRPr="00D83C72">
        <w:t xml:space="preserve"> and utility</w:t>
      </w:r>
      <w:r w:rsidR="00E73359" w:rsidRPr="00D83C72">
        <w:t xml:space="preserve">? </w:t>
      </w:r>
    </w:p>
    <w:p w14:paraId="1DBB8A3E" w14:textId="0092948D" w:rsidR="00E73359" w:rsidRPr="00D83C72" w:rsidRDefault="00BB2352" w:rsidP="002B1AEE">
      <w:pPr>
        <w:pStyle w:val="NumberList0"/>
      </w:pPr>
      <w:r>
        <w:t>5.</w:t>
      </w:r>
      <w:r>
        <w:tab/>
      </w:r>
      <w:r w:rsidR="00E73359" w:rsidRPr="00D83C72">
        <w:t>What actions should be taken to improve the quality and</w:t>
      </w:r>
      <w:r w:rsidR="004A242D" w:rsidRPr="00D83C72">
        <w:t xml:space="preserve"> utility</w:t>
      </w:r>
      <w:r w:rsidR="00E73359" w:rsidRPr="00D83C72">
        <w:t xml:space="preserve"> of independent evaluations?</w:t>
      </w:r>
    </w:p>
    <w:p w14:paraId="3EB3288B" w14:textId="77777777" w:rsidR="001B3678" w:rsidRPr="00E57F60" w:rsidRDefault="001B3678" w:rsidP="002B1AEE">
      <w:r w:rsidRPr="00E57F60">
        <w:t>Table 1 provides an overview of</w:t>
      </w:r>
      <w:r w:rsidR="00BC5E4B">
        <w:t xml:space="preserve"> the sources of evidence and the approach to analysis for </w:t>
      </w:r>
      <w:r w:rsidRPr="00E57F60">
        <w:t>each</w:t>
      </w:r>
      <w:r w:rsidR="00BC5E4B">
        <w:t xml:space="preserve"> of these</w:t>
      </w:r>
      <w:r w:rsidRPr="00E57F60">
        <w:t xml:space="preserve"> question</w:t>
      </w:r>
      <w:r w:rsidR="00BC5E4B">
        <w:t>s</w:t>
      </w:r>
      <w:r w:rsidRPr="00E57F60">
        <w:t xml:space="preserve">. </w:t>
      </w:r>
    </w:p>
    <w:p w14:paraId="7A2722ED" w14:textId="5AACE7B1" w:rsidR="001B3678" w:rsidRPr="00E57F60" w:rsidRDefault="001B3678" w:rsidP="002529C4">
      <w:pPr>
        <w:pStyle w:val="FigureName"/>
      </w:pPr>
      <w:r w:rsidRPr="00E57F60">
        <w:lastRenderedPageBreak/>
        <w:t>Table 1</w:t>
      </w:r>
      <w:r w:rsidRPr="00E57F60">
        <w:tab/>
      </w:r>
      <w:r w:rsidR="00BC5E4B">
        <w:t>Sources and a</w:t>
      </w:r>
      <w:r w:rsidRPr="00E57F60">
        <w:t xml:space="preserve">pproach to analysing </w:t>
      </w:r>
      <w:r w:rsidR="00BC5E4B">
        <w:t>evidence</w:t>
      </w:r>
      <w:r w:rsidRPr="00E57F60">
        <w:t xml:space="preserve"> for the key review questions</w:t>
      </w:r>
    </w:p>
    <w:tbl>
      <w:tblPr>
        <w:tblW w:w="9356" w:type="dxa"/>
        <w:tblInd w:w="-176" w:type="dxa"/>
        <w:tblBorders>
          <w:top w:val="single" w:sz="4" w:space="0" w:color="31849B"/>
          <w:bottom w:val="single" w:sz="4" w:space="0" w:color="31849B"/>
          <w:insideH w:val="single" w:sz="4" w:space="0" w:color="31849B"/>
        </w:tblBorders>
        <w:tblLayout w:type="fixed"/>
        <w:tblLook w:val="04A0" w:firstRow="1" w:lastRow="0" w:firstColumn="1" w:lastColumn="0" w:noHBand="0" w:noVBand="1"/>
      </w:tblPr>
      <w:tblGrid>
        <w:gridCol w:w="4679"/>
        <w:gridCol w:w="4677"/>
      </w:tblGrid>
      <w:tr w:rsidR="002529C4" w:rsidRPr="001C2D74" w14:paraId="14F62612" w14:textId="77777777" w:rsidTr="000034F3">
        <w:trPr>
          <w:cantSplit/>
          <w:trHeight w:val="795"/>
        </w:trPr>
        <w:tc>
          <w:tcPr>
            <w:tcW w:w="4679" w:type="dxa"/>
            <w:shd w:val="clear" w:color="auto" w:fill="007FAD"/>
            <w:vAlign w:val="center"/>
            <w:hideMark/>
          </w:tcPr>
          <w:p w14:paraId="73C58B3C" w14:textId="758E6BC5" w:rsidR="002529C4" w:rsidRPr="00315553" w:rsidRDefault="002529C4" w:rsidP="002529C4">
            <w:pPr>
              <w:pStyle w:val="TableHeading21"/>
              <w:rPr>
                <w:i w:val="0"/>
                <w:lang w:val="en-GB" w:eastAsia="en-GB"/>
              </w:rPr>
            </w:pPr>
            <w:r>
              <w:rPr>
                <w:i w:val="0"/>
                <w:lang w:val="en-GB" w:eastAsia="en-GB"/>
              </w:rPr>
              <w:t>Review question</w:t>
            </w:r>
          </w:p>
        </w:tc>
        <w:tc>
          <w:tcPr>
            <w:tcW w:w="4677" w:type="dxa"/>
            <w:shd w:val="clear" w:color="auto" w:fill="007FAD"/>
            <w:vAlign w:val="center"/>
            <w:hideMark/>
          </w:tcPr>
          <w:p w14:paraId="7C7B68FD" w14:textId="6A922B26" w:rsidR="002529C4" w:rsidRPr="00315553" w:rsidRDefault="002529C4" w:rsidP="002529C4">
            <w:pPr>
              <w:pStyle w:val="TableHeading21"/>
              <w:rPr>
                <w:i w:val="0"/>
                <w:lang w:val="en-GB" w:eastAsia="en-GB"/>
              </w:rPr>
            </w:pPr>
            <w:r>
              <w:rPr>
                <w:i w:val="0"/>
                <w:lang w:val="en-GB" w:eastAsia="en-GB"/>
              </w:rPr>
              <w:t>Sources and approach to analysing evidence</w:t>
            </w:r>
          </w:p>
        </w:tc>
      </w:tr>
      <w:tr w:rsidR="002529C4" w:rsidRPr="00DE1AF3" w14:paraId="10BFA0FF" w14:textId="77777777" w:rsidTr="000034F3">
        <w:trPr>
          <w:cantSplit/>
          <w:trHeight w:val="900"/>
        </w:trPr>
        <w:tc>
          <w:tcPr>
            <w:tcW w:w="4679" w:type="dxa"/>
            <w:shd w:val="clear" w:color="auto" w:fill="auto"/>
            <w:vAlign w:val="center"/>
            <w:hideMark/>
          </w:tcPr>
          <w:p w14:paraId="421F3630" w14:textId="06AA35CE" w:rsidR="002529C4" w:rsidRPr="00DE1AF3" w:rsidRDefault="002529C4" w:rsidP="002529C4">
            <w:pPr>
              <w:pStyle w:val="TableText1"/>
            </w:pPr>
            <w:r w:rsidRPr="002529C4">
              <w:t>1. What are the basic characteristics of different levels of independent evaluation in the aid program and the history and nature of independent evaluation at the initiative level?</w:t>
            </w:r>
          </w:p>
        </w:tc>
        <w:tc>
          <w:tcPr>
            <w:tcW w:w="4677" w:type="dxa"/>
            <w:shd w:val="clear" w:color="000000" w:fill="FFFFFF"/>
            <w:vAlign w:val="center"/>
            <w:hideMark/>
          </w:tcPr>
          <w:p w14:paraId="36977E3B" w14:textId="77777777" w:rsidR="002529C4" w:rsidRPr="0021284E" w:rsidRDefault="002529C4" w:rsidP="002529C4">
            <w:pPr>
              <w:pStyle w:val="TableText1"/>
            </w:pPr>
            <w:r w:rsidRPr="0021284E">
              <w:t xml:space="preserve">Information on history of evaluation of Australian aid supplied by DFAT </w:t>
            </w:r>
          </w:p>
          <w:p w14:paraId="6CD26284" w14:textId="77777777" w:rsidR="002529C4" w:rsidRPr="0021284E" w:rsidRDefault="002529C4" w:rsidP="002529C4">
            <w:pPr>
              <w:pStyle w:val="TableText1"/>
            </w:pPr>
            <w:r w:rsidRPr="0021284E">
              <w:t>Interviews with key informants (selected DFAT staff and experienced consultants)</w:t>
            </w:r>
          </w:p>
          <w:p w14:paraId="426EAB60" w14:textId="5E1A4DEC" w:rsidR="002529C4" w:rsidRPr="00DE1AF3" w:rsidRDefault="002529C4" w:rsidP="002529C4">
            <w:pPr>
              <w:pStyle w:val="TableText1"/>
            </w:pPr>
            <w:r w:rsidRPr="0021284E">
              <w:t>Analysis of data on characteristics of evaluations and evaluated initiatives (extracted from AidWorks)</w:t>
            </w:r>
          </w:p>
        </w:tc>
      </w:tr>
      <w:tr w:rsidR="002529C4" w:rsidRPr="00DE1AF3" w14:paraId="337ADA21" w14:textId="77777777" w:rsidTr="000034F3">
        <w:trPr>
          <w:cantSplit/>
          <w:trHeight w:val="900"/>
        </w:trPr>
        <w:tc>
          <w:tcPr>
            <w:tcW w:w="4679" w:type="dxa"/>
            <w:shd w:val="clear" w:color="auto" w:fill="auto"/>
            <w:vAlign w:val="center"/>
            <w:hideMark/>
          </w:tcPr>
          <w:p w14:paraId="2290211E" w14:textId="0AAE66F3" w:rsidR="002529C4" w:rsidRPr="00DE1AF3" w:rsidRDefault="002529C4" w:rsidP="002529C4">
            <w:pPr>
              <w:pStyle w:val="TableText1"/>
            </w:pPr>
            <w:r w:rsidRPr="002529C4">
              <w:t>2. To what degree do independent evaluations provide a credible source of evidence for the effectiveness of the Australian aid program?</w:t>
            </w:r>
          </w:p>
        </w:tc>
        <w:tc>
          <w:tcPr>
            <w:tcW w:w="4677" w:type="dxa"/>
            <w:shd w:val="clear" w:color="000000" w:fill="FFFFFF"/>
            <w:vAlign w:val="center"/>
            <w:hideMark/>
          </w:tcPr>
          <w:p w14:paraId="6D365D2E" w14:textId="77777777" w:rsidR="002529C4" w:rsidRDefault="002529C4" w:rsidP="002529C4">
            <w:pPr>
              <w:pStyle w:val="TableText1"/>
            </w:pPr>
            <w:r>
              <w:t>Quality review of evaluation reports</w:t>
            </w:r>
          </w:p>
          <w:p w14:paraId="0E534482" w14:textId="59A1A585" w:rsidR="002529C4" w:rsidRPr="00DE1AF3" w:rsidRDefault="002529C4" w:rsidP="002529C4">
            <w:pPr>
              <w:pStyle w:val="TableText1"/>
            </w:pPr>
            <w:r>
              <w:t>Analysis of characteristics of evaluated initiatives to assess coverage of the Australian aid program</w:t>
            </w:r>
          </w:p>
        </w:tc>
      </w:tr>
      <w:tr w:rsidR="002529C4" w:rsidRPr="00DE1AF3" w14:paraId="224CC4D1" w14:textId="77777777" w:rsidTr="000034F3">
        <w:trPr>
          <w:cantSplit/>
          <w:trHeight w:val="900"/>
        </w:trPr>
        <w:tc>
          <w:tcPr>
            <w:tcW w:w="4679" w:type="dxa"/>
            <w:shd w:val="clear" w:color="auto" w:fill="auto"/>
            <w:noWrap/>
            <w:vAlign w:val="center"/>
            <w:hideMark/>
          </w:tcPr>
          <w:p w14:paraId="0B0F0480" w14:textId="61F2BA3F" w:rsidR="002529C4" w:rsidRPr="00DE1AF3" w:rsidRDefault="002529C4" w:rsidP="002529C4">
            <w:pPr>
              <w:pStyle w:val="TableText1"/>
            </w:pPr>
            <w:r w:rsidRPr="002529C4">
              <w:t>3. What are the major strengths and weaknesses of independent evaluations of Australian aid initiatives?</w:t>
            </w:r>
          </w:p>
        </w:tc>
        <w:tc>
          <w:tcPr>
            <w:tcW w:w="4677" w:type="dxa"/>
            <w:shd w:val="clear" w:color="000000" w:fill="FFFFFF"/>
            <w:vAlign w:val="center"/>
            <w:hideMark/>
          </w:tcPr>
          <w:p w14:paraId="1ABFB5A1" w14:textId="77777777" w:rsidR="002529C4" w:rsidRDefault="002529C4" w:rsidP="002529C4">
            <w:pPr>
              <w:pStyle w:val="TableText1"/>
            </w:pPr>
            <w:r>
              <w:t>Quality review of evaluation reports</w:t>
            </w:r>
          </w:p>
          <w:p w14:paraId="5A2C542D" w14:textId="47A7A227" w:rsidR="002529C4" w:rsidRPr="00DE1AF3" w:rsidRDefault="002529C4" w:rsidP="002529C4">
            <w:pPr>
              <w:pStyle w:val="TableText1"/>
            </w:pPr>
            <w:r>
              <w:t>Interviews with key informants (selected DFAT staff and experienced consultants)</w:t>
            </w:r>
          </w:p>
        </w:tc>
      </w:tr>
      <w:tr w:rsidR="002529C4" w:rsidRPr="00DE1AF3" w14:paraId="454CC7B6" w14:textId="77777777" w:rsidTr="000034F3">
        <w:trPr>
          <w:cantSplit/>
          <w:trHeight w:val="900"/>
        </w:trPr>
        <w:tc>
          <w:tcPr>
            <w:tcW w:w="4679" w:type="dxa"/>
            <w:shd w:val="clear" w:color="auto" w:fill="auto"/>
            <w:noWrap/>
            <w:vAlign w:val="center"/>
            <w:hideMark/>
          </w:tcPr>
          <w:p w14:paraId="76274996" w14:textId="42CCC832" w:rsidR="002529C4" w:rsidRPr="00DE1AF3" w:rsidRDefault="002529C4" w:rsidP="002529C4">
            <w:pPr>
              <w:pStyle w:val="TableText1"/>
            </w:pPr>
            <w:r w:rsidRPr="0021284E">
              <w:t xml:space="preserve">4. What are the factors that contribute to their quality and utility? </w:t>
            </w:r>
          </w:p>
        </w:tc>
        <w:tc>
          <w:tcPr>
            <w:tcW w:w="4677" w:type="dxa"/>
            <w:shd w:val="clear" w:color="000000" w:fill="FFFFFF"/>
            <w:vAlign w:val="center"/>
            <w:hideMark/>
          </w:tcPr>
          <w:p w14:paraId="1BB694CF" w14:textId="77777777" w:rsidR="002529C4" w:rsidRDefault="002529C4" w:rsidP="002529C4">
            <w:pPr>
              <w:pStyle w:val="TableText1"/>
            </w:pPr>
            <w:r>
              <w:t>Analysis of any ‘statistical and qualitative associations’ between evaluation quality and evaluation characteristics</w:t>
            </w:r>
          </w:p>
          <w:p w14:paraId="5C3EF128" w14:textId="46778644" w:rsidR="002529C4" w:rsidRPr="00DE1AF3" w:rsidRDefault="002529C4" w:rsidP="002529C4">
            <w:pPr>
              <w:pStyle w:val="TableText1"/>
            </w:pPr>
            <w:r>
              <w:t>Interviews with key informants and selected DFAT evaluation managers &amp; evaluators involved in a sample of evaluations</w:t>
            </w:r>
          </w:p>
        </w:tc>
      </w:tr>
      <w:tr w:rsidR="002529C4" w:rsidRPr="00DE1AF3" w14:paraId="78E73A48" w14:textId="77777777" w:rsidTr="000034F3">
        <w:trPr>
          <w:cantSplit/>
          <w:trHeight w:val="900"/>
        </w:trPr>
        <w:tc>
          <w:tcPr>
            <w:tcW w:w="4679" w:type="dxa"/>
            <w:shd w:val="clear" w:color="auto" w:fill="auto"/>
            <w:noWrap/>
            <w:vAlign w:val="center"/>
            <w:hideMark/>
          </w:tcPr>
          <w:p w14:paraId="3AF89E20" w14:textId="77777777" w:rsidR="002529C4" w:rsidRPr="0021284E" w:rsidRDefault="002529C4" w:rsidP="002529C4">
            <w:pPr>
              <w:pStyle w:val="TableText1"/>
            </w:pPr>
            <w:r w:rsidRPr="0021284E">
              <w:t>5. What actions should be taken to improve the quality and utility of independent evaluations?</w:t>
            </w:r>
          </w:p>
          <w:p w14:paraId="2D96682F" w14:textId="5DBD1C6E" w:rsidR="002529C4" w:rsidRPr="00DE1AF3" w:rsidRDefault="002529C4" w:rsidP="002529C4">
            <w:pPr>
              <w:pStyle w:val="TableText1"/>
            </w:pPr>
          </w:p>
        </w:tc>
        <w:tc>
          <w:tcPr>
            <w:tcW w:w="4677" w:type="dxa"/>
            <w:shd w:val="clear" w:color="000000" w:fill="FFFFFF"/>
            <w:vAlign w:val="center"/>
            <w:hideMark/>
          </w:tcPr>
          <w:p w14:paraId="621B0EB3" w14:textId="77777777" w:rsidR="002529C4" w:rsidRDefault="002529C4" w:rsidP="002529C4">
            <w:pPr>
              <w:pStyle w:val="TableText1"/>
            </w:pPr>
            <w:r>
              <w:t>Quality review of evaluation reports</w:t>
            </w:r>
          </w:p>
          <w:p w14:paraId="430FC93C" w14:textId="77777777" w:rsidR="002529C4" w:rsidRDefault="002529C4" w:rsidP="002529C4">
            <w:pPr>
              <w:pStyle w:val="TableText1"/>
            </w:pPr>
            <w:r>
              <w:t>Interviews with key informants and selected DFAT evaluation managers and evaluators involved in a sample of evaluations</w:t>
            </w:r>
          </w:p>
          <w:p w14:paraId="7E27AF75" w14:textId="4FA7E554" w:rsidR="002529C4" w:rsidRPr="00DE1AF3" w:rsidRDefault="002529C4" w:rsidP="002529C4">
            <w:pPr>
              <w:pStyle w:val="TableText1"/>
            </w:pPr>
            <w:r>
              <w:t>Analysis of operational context (including teleconference with DFAT management team)</w:t>
            </w:r>
          </w:p>
        </w:tc>
      </w:tr>
    </w:tbl>
    <w:p w14:paraId="4C1630D4" w14:textId="3F919A42" w:rsidR="0046553B" w:rsidRPr="0046553B" w:rsidRDefault="004326FC" w:rsidP="004326FC">
      <w:pPr>
        <w:pStyle w:val="Heading2"/>
      </w:pPr>
      <w:bookmarkStart w:id="268" w:name="_Toc387675131"/>
      <w:r>
        <w:t>2</w:t>
      </w:r>
      <w:r>
        <w:tab/>
      </w:r>
      <w:r w:rsidR="0046553B" w:rsidRPr="0046553B">
        <w:t>Detailed methodology</w:t>
      </w:r>
      <w:bookmarkEnd w:id="268"/>
    </w:p>
    <w:p w14:paraId="0A5C1D78" w14:textId="77777777" w:rsidR="001B3678" w:rsidRDefault="001B3678" w:rsidP="002B1AEE">
      <w:r w:rsidRPr="00E57F60">
        <w:t xml:space="preserve">The </w:t>
      </w:r>
      <w:r w:rsidR="0046553B">
        <w:t>review</w:t>
      </w:r>
      <w:r w:rsidRPr="00E57F60">
        <w:t xml:space="preserve"> methodology comprised the following steps</w:t>
      </w:r>
      <w:r w:rsidR="00763CB3">
        <w:t>:</w:t>
      </w:r>
      <w:r w:rsidRPr="00E57F60">
        <w:t xml:space="preserve"> </w:t>
      </w:r>
    </w:p>
    <w:p w14:paraId="0AE34004" w14:textId="77777777" w:rsidR="001B3678" w:rsidRPr="00E57F60" w:rsidRDefault="001B3678" w:rsidP="001B3678">
      <w:pPr>
        <w:pStyle w:val="Heading3"/>
        <w:ind w:left="0" w:firstLine="0"/>
      </w:pPr>
      <w:bookmarkStart w:id="269" w:name="_Toc373303737"/>
      <w:bookmarkStart w:id="270" w:name="_Toc373304304"/>
      <w:bookmarkStart w:id="271" w:name="_Toc378059931"/>
      <w:r>
        <w:t xml:space="preserve">Step 1: </w:t>
      </w:r>
      <w:r w:rsidRPr="00E57F60">
        <w:t>Quality review of evaluation reports</w:t>
      </w:r>
      <w:bookmarkEnd w:id="269"/>
      <w:bookmarkEnd w:id="270"/>
      <w:bookmarkEnd w:id="271"/>
    </w:p>
    <w:p w14:paraId="4B1B8E81" w14:textId="77777777" w:rsidR="001B3678" w:rsidRPr="00E57F60" w:rsidRDefault="001B3678" w:rsidP="002B1AEE">
      <w:r w:rsidRPr="00E57F60">
        <w:t>The first st</w:t>
      </w:r>
      <w:r w:rsidR="00AB3585">
        <w:t>ep</w:t>
      </w:r>
      <w:r w:rsidRPr="00E57F60">
        <w:t xml:space="preserve"> reviewed the quality of all initiative-level independent evaluations completed in 2012. The Review Team undertook a structured review of each of these </w:t>
      </w:r>
      <w:r w:rsidR="00E07213">
        <w:t xml:space="preserve">87 </w:t>
      </w:r>
      <w:r w:rsidRPr="00E57F60">
        <w:t xml:space="preserve">evaluations (including the associated </w:t>
      </w:r>
      <w:r w:rsidR="00AD386B">
        <w:t>terms of reference</w:t>
      </w:r>
      <w:r w:rsidR="00AD386B" w:rsidRPr="00E57F60">
        <w:t xml:space="preserve"> </w:t>
      </w:r>
      <w:r w:rsidRPr="00E57F60">
        <w:t xml:space="preserve">and the evaluation plan where available) using </w:t>
      </w:r>
      <w:r w:rsidR="00E07213">
        <w:t xml:space="preserve">a set of </w:t>
      </w:r>
      <w:r w:rsidR="00E07213" w:rsidRPr="00940722">
        <w:t>15 quality criteria</w:t>
      </w:r>
      <w:r w:rsidRPr="00E57F60">
        <w:t xml:space="preserve">. </w:t>
      </w:r>
    </w:p>
    <w:p w14:paraId="7B36B56A" w14:textId="08F50E66" w:rsidR="00E07213" w:rsidRDefault="00E07213" w:rsidP="00E07213">
      <w:pPr>
        <w:rPr>
          <w:color w:val="000000" w:themeColor="text1"/>
        </w:rPr>
      </w:pPr>
      <w:r>
        <w:t xml:space="preserve">The 15 quality criteria include </w:t>
      </w:r>
      <w:r w:rsidRPr="00D618B1">
        <w:t>nine general evaluation quality standards.</w:t>
      </w:r>
      <w:r w:rsidR="00A74814">
        <w:t xml:space="preserve"> </w:t>
      </w:r>
      <w:r w:rsidRPr="00D618B1">
        <w:t>These are based on a selection</w:t>
      </w:r>
      <w:r>
        <w:t xml:space="preserve"> from the </w:t>
      </w:r>
      <w:r w:rsidR="004A242D">
        <w:t xml:space="preserve">DFAT </w:t>
      </w:r>
      <w:r w:rsidR="00CC44B4">
        <w:t xml:space="preserve">Aid </w:t>
      </w:r>
      <w:r>
        <w:t xml:space="preserve">Monitoring and Evaluation Standards, which draw on the internationally-agreed </w:t>
      </w:r>
      <w:r w:rsidR="00BB287B" w:rsidRPr="00DA623A">
        <w:t>Organisation for Economic Cooperation and Development</w:t>
      </w:r>
      <w:r w:rsidR="00BB287B">
        <w:t>—</w:t>
      </w:r>
      <w:r w:rsidR="00BB287B" w:rsidRPr="00DA623A">
        <w:t>Development Assistance Committee</w:t>
      </w:r>
      <w:r w:rsidR="00BB287B">
        <w:t xml:space="preserve"> (</w:t>
      </w:r>
      <w:r>
        <w:t>OECD-DAC</w:t>
      </w:r>
      <w:r w:rsidR="00BB287B">
        <w:t>)</w:t>
      </w:r>
      <w:r>
        <w:t xml:space="preserve"> evaluation </w:t>
      </w:r>
      <w:r w:rsidRPr="004A6F77">
        <w:rPr>
          <w:color w:val="000000" w:themeColor="text1"/>
        </w:rPr>
        <w:t>quality standards.</w:t>
      </w:r>
      <w:r w:rsidR="00A74814">
        <w:rPr>
          <w:color w:val="000000" w:themeColor="text1"/>
        </w:rPr>
        <w:t xml:space="preserve"> </w:t>
      </w:r>
      <w:r w:rsidR="00450307">
        <w:t>In developing these criteria we also drew on a number of existing frameworks for assessing the quality of evaluations.</w:t>
      </w:r>
      <w:r w:rsidR="00450307">
        <w:rPr>
          <w:rStyle w:val="FootnoteReference"/>
          <w:rFonts w:ascii="Cambria" w:hAnsi="Cambria"/>
          <w:szCs w:val="24"/>
        </w:rPr>
        <w:footnoteReference w:id="49"/>
      </w:r>
      <w:r w:rsidR="00A74814">
        <w:t xml:space="preserve"> </w:t>
      </w:r>
      <w:r>
        <w:t>These nine criteria were refined through a pilot test phase.</w:t>
      </w:r>
      <w:r w:rsidR="00450307" w:rsidRPr="00450307">
        <w:t xml:space="preserve"> </w:t>
      </w:r>
    </w:p>
    <w:p w14:paraId="7CDA9971" w14:textId="37D9E0F0" w:rsidR="00E07213" w:rsidRDefault="00E07213" w:rsidP="00E07213">
      <w:r w:rsidRPr="004A6F77">
        <w:rPr>
          <w:color w:val="000000" w:themeColor="text1"/>
        </w:rPr>
        <w:lastRenderedPageBreak/>
        <w:t xml:space="preserve">The review team also assessed </w:t>
      </w:r>
      <w:r w:rsidRPr="00B65DBF">
        <w:t>the quality of each evaluation</w:t>
      </w:r>
      <w:r w:rsidR="00744801">
        <w:t>’</w:t>
      </w:r>
      <w:r w:rsidRPr="00B65DBF">
        <w:t xml:space="preserve">s assessment against </w:t>
      </w:r>
      <w:r w:rsidRPr="000A7AD8">
        <w:t>six</w:t>
      </w:r>
      <w:r w:rsidRPr="00B65DBF">
        <w:t xml:space="preserve"> standard </w:t>
      </w:r>
      <w:r>
        <w:t>Australian aid quality criteria</w:t>
      </w:r>
      <w:r w:rsidR="00612D3D">
        <w:t>: relevance, effectiveness, efficiency, impact, sustainability and gender equality</w:t>
      </w:r>
      <w:r w:rsidR="008B61FE">
        <w:t>.</w:t>
      </w:r>
      <w:r w:rsidR="00612D3D" w:rsidRPr="00B65DBF">
        <w:rPr>
          <w:rStyle w:val="FootnoteReference"/>
        </w:rPr>
        <w:footnoteReference w:id="50"/>
      </w:r>
      <w:r w:rsidR="00A74814">
        <w:t xml:space="preserve"> </w:t>
      </w:r>
    </w:p>
    <w:p w14:paraId="693D80A8" w14:textId="54165907" w:rsidR="001B3678" w:rsidRDefault="00E07213" w:rsidP="002B1AEE">
      <w:r w:rsidRPr="002B1AEE">
        <w:t>A standard pro</w:t>
      </w:r>
      <w:r w:rsidR="008B61FE">
        <w:t xml:space="preserve"> </w:t>
      </w:r>
      <w:r w:rsidRPr="002B1AEE">
        <w:t>forma (</w:t>
      </w:r>
      <w:r w:rsidR="004A242D" w:rsidRPr="002B1AEE">
        <w:t xml:space="preserve">included at </w:t>
      </w:r>
      <w:r w:rsidRPr="002B1AEE">
        <w:t>Annex 3) was used to record the assessments.</w:t>
      </w:r>
      <w:r w:rsidR="001B3678" w:rsidRPr="002B1AEE">
        <w:t xml:space="preserve"> Each criterion has specific guidance and definitions that the team applied in a systematic manner to each evaluation.</w:t>
      </w:r>
      <w:r w:rsidR="00A74814" w:rsidRPr="002B1AEE">
        <w:t xml:space="preserve"> </w:t>
      </w:r>
    </w:p>
    <w:p w14:paraId="777D8991" w14:textId="362A841C" w:rsidR="001B3678" w:rsidRPr="002B1AEE" w:rsidRDefault="001B3678" w:rsidP="002B1AEE">
      <w:r w:rsidRPr="002B1AEE">
        <w:t xml:space="preserve">Using a six-point rating scale, each of the criteria was given a rating that captured our assessment of how well the evaluation addresses and provides evidence for each criterion. A short justification for each rating was given, while in the review documentation itself comments were added and highlighted text marked in order to </w:t>
      </w:r>
      <w:r w:rsidR="00450307" w:rsidRPr="002B1AEE">
        <w:t xml:space="preserve">record </w:t>
      </w:r>
      <w:r w:rsidRPr="002B1AEE">
        <w:t>detailed evidence for our judgments.</w:t>
      </w:r>
      <w:r w:rsidR="00A74814" w:rsidRPr="002B1AEE">
        <w:t xml:space="preserve"> </w:t>
      </w:r>
      <w:r w:rsidRPr="002B1AEE">
        <w:t>We used a coding system to organise and analyse the qualitative evidence.</w:t>
      </w:r>
      <w:r w:rsidR="00A74814" w:rsidRPr="002B1AEE">
        <w:t xml:space="preserve"> </w:t>
      </w:r>
      <w:r w:rsidRPr="002B1AEE">
        <w:t xml:space="preserve">An assessment was also made as to whether </w:t>
      </w:r>
      <w:r w:rsidR="00450307" w:rsidRPr="002B1AEE">
        <w:t xml:space="preserve">numerical </w:t>
      </w:r>
      <w:r w:rsidRPr="002B1AEE">
        <w:t>ratings</w:t>
      </w:r>
      <w:r w:rsidR="00450307" w:rsidRPr="002B1AEE">
        <w:t xml:space="preserve">, where provided, </w:t>
      </w:r>
      <w:r w:rsidRPr="002B1AEE">
        <w:t xml:space="preserve">for the </w:t>
      </w:r>
      <w:r w:rsidR="00450307" w:rsidRPr="002B1AEE">
        <w:t xml:space="preserve">standard </w:t>
      </w:r>
      <w:r w:rsidRPr="002B1AEE">
        <w:t xml:space="preserve">Australian aid quality criteria </w:t>
      </w:r>
      <w:r w:rsidR="00450307" w:rsidRPr="002B1AEE">
        <w:t>were</w:t>
      </w:r>
      <w:r w:rsidRPr="002B1AEE">
        <w:t xml:space="preserve"> robust.</w:t>
      </w:r>
      <w:r w:rsidR="00A74814" w:rsidRPr="002B1AEE">
        <w:t xml:space="preserve"> </w:t>
      </w:r>
    </w:p>
    <w:p w14:paraId="26136608" w14:textId="77777777" w:rsidR="001B3678" w:rsidRPr="002B1AEE" w:rsidRDefault="001B3678" w:rsidP="002B1AEE">
      <w:r w:rsidRPr="002B1AEE">
        <w:t>The reviewer provided a short text summary for each quality area and identified whether the evaluation</w:t>
      </w:r>
      <w:r w:rsidR="00AD386B" w:rsidRPr="002B1AEE">
        <w:t xml:space="preserve"> documents (evaluation report, terms of reference or evaluation plan)</w:t>
      </w:r>
      <w:r w:rsidRPr="002B1AEE">
        <w:t xml:space="preserve"> could be recommended as example</w:t>
      </w:r>
      <w:r w:rsidR="00AD386B" w:rsidRPr="002B1AEE">
        <w:t>s</w:t>
      </w:r>
      <w:r w:rsidRPr="002B1AEE">
        <w:t xml:space="preserve"> of good practice. </w:t>
      </w:r>
    </w:p>
    <w:p w14:paraId="513DF92D" w14:textId="77777777" w:rsidR="001B3678" w:rsidRPr="00EE6D47" w:rsidRDefault="001B3678" w:rsidP="001B3678">
      <w:pPr>
        <w:pStyle w:val="Heading3"/>
        <w:ind w:left="0" w:firstLine="0"/>
      </w:pPr>
      <w:bookmarkStart w:id="272" w:name="_Toc373303738"/>
      <w:bookmarkStart w:id="273" w:name="_Toc373304305"/>
      <w:bookmarkStart w:id="274" w:name="_Toc378059932"/>
      <w:r>
        <w:t xml:space="preserve">Step 2: </w:t>
      </w:r>
      <w:r w:rsidRPr="00EE6D47">
        <w:t>Data analysis (stage 1)</w:t>
      </w:r>
      <w:bookmarkEnd w:id="272"/>
      <w:bookmarkEnd w:id="273"/>
      <w:bookmarkEnd w:id="274"/>
    </w:p>
    <w:p w14:paraId="518D1CFF" w14:textId="71DAC56C" w:rsidR="001B3678" w:rsidRPr="002B1AEE" w:rsidRDefault="001B3678" w:rsidP="002B1AEE">
      <w:r w:rsidRPr="002B1AEE">
        <w:t>Data analysis was conducted in two stages.</w:t>
      </w:r>
      <w:r w:rsidR="00A74814" w:rsidRPr="002B1AEE">
        <w:t xml:space="preserve"> </w:t>
      </w:r>
      <w:r w:rsidRPr="002B1AEE">
        <w:t>Stage 1 involved conducting a preliminary analysis of data drawn from the quality review of the 87 evaluations.</w:t>
      </w:r>
      <w:r w:rsidR="00A74814" w:rsidRPr="002B1AEE">
        <w:t xml:space="preserve"> </w:t>
      </w:r>
      <w:r w:rsidRPr="002B1AEE">
        <w:t>Stage</w:t>
      </w:r>
      <w:r w:rsidR="008B61FE">
        <w:t> </w:t>
      </w:r>
      <w:r w:rsidRPr="002B1AEE">
        <w:t>2 involved a deeper analysis of key enablers and inhibiters of evaluation quality.</w:t>
      </w:r>
      <w:r w:rsidR="00A74814" w:rsidRPr="002B1AEE">
        <w:t xml:space="preserve"> </w:t>
      </w:r>
    </w:p>
    <w:p w14:paraId="2D9E40D3" w14:textId="77777777" w:rsidR="001B3678" w:rsidRPr="002B1AEE" w:rsidRDefault="001B3678" w:rsidP="002B1AEE">
      <w:r w:rsidRPr="002B1AEE">
        <w:t>Stage 1 in our data analysis brought together data from several sources: the numerical ratings from the quality review and the narrative data recorded to justify the scoring of each criteria; a set of explanatory variables for both the evaluation and the initiative that was evaluated; the ratings for the Australian aid</w:t>
      </w:r>
      <w:r>
        <w:rPr>
          <w:rFonts w:ascii="Cambria" w:hAnsi="Cambria"/>
          <w:szCs w:val="24"/>
        </w:rPr>
        <w:t xml:space="preserve"> </w:t>
      </w:r>
      <w:r w:rsidRPr="002B1AEE">
        <w:t xml:space="preserve">quality criteria included in the evaluation reports; and previous initiative performance self-assessments (Quality at Implementation ratings). </w:t>
      </w:r>
    </w:p>
    <w:p w14:paraId="2B299E7E" w14:textId="77777777" w:rsidR="001B3678" w:rsidRPr="002B1AEE" w:rsidRDefault="001B3678" w:rsidP="002B1AEE">
      <w:r w:rsidRPr="002B1AEE">
        <w:t xml:space="preserve">Based on this data, the team examined patterns in the quality of the independent evaluations, as determined by our ratings for the 15 different quality criteria. The team did not present summary assessments based upon aggregate or average scores for an evaluation, but concentrated on analysing the range of scores for each criteria. </w:t>
      </w:r>
    </w:p>
    <w:p w14:paraId="76B21851" w14:textId="422EE1EA" w:rsidR="001B3678" w:rsidRPr="002B1AEE" w:rsidRDefault="001B3678" w:rsidP="002B1AEE">
      <w:r w:rsidRPr="002B1AEE">
        <w:t xml:space="preserve">The ratings were analysed by two groups of </w:t>
      </w:r>
      <w:r w:rsidR="00744801" w:rsidRPr="002B1AEE">
        <w:t>‘</w:t>
      </w:r>
      <w:r w:rsidRPr="002B1AEE">
        <w:t>explanatory</w:t>
      </w:r>
      <w:r w:rsidR="00744801" w:rsidRPr="002B1AEE">
        <w:t>’</w:t>
      </w:r>
      <w:r w:rsidRPr="002B1AEE">
        <w:t xml:space="preserve"> variables as set out in the </w:t>
      </w:r>
      <w:r w:rsidR="00395A53" w:rsidRPr="002B1AEE">
        <w:t>terms of reference</w:t>
      </w:r>
      <w:r w:rsidRPr="002B1AEE">
        <w:t>: (i) initiative characteristics</w:t>
      </w:r>
      <w:r w:rsidR="009657A3" w:rsidRPr="002B1AEE">
        <w:t xml:space="preserve"> (e.g. initiative value, country or region, primary sector) </w:t>
      </w:r>
      <w:r w:rsidRPr="002B1AEE">
        <w:t>and (ii) evaluation characteristics (</w:t>
      </w:r>
      <w:r w:rsidR="009657A3" w:rsidRPr="002B1AEE">
        <w:t xml:space="preserve">e.g. </w:t>
      </w:r>
      <w:r w:rsidR="00AD7BDA" w:rsidRPr="002B1AEE">
        <w:t>independent completion report</w:t>
      </w:r>
      <w:r w:rsidR="000D4363" w:rsidRPr="002B1AEE">
        <w:t xml:space="preserve"> </w:t>
      </w:r>
      <w:r w:rsidR="009657A3" w:rsidRPr="002B1AEE">
        <w:t>/</w:t>
      </w:r>
      <w:r w:rsidR="000D4363" w:rsidRPr="002B1AEE">
        <w:t xml:space="preserve"> </w:t>
      </w:r>
      <w:r w:rsidR="00AD7BDA" w:rsidRPr="002B1AEE">
        <w:t>independent progress report</w:t>
      </w:r>
      <w:r w:rsidR="009657A3" w:rsidRPr="002B1AEE">
        <w:t>, partner-led, cluster, evaluation team size, evaluation length</w:t>
      </w:r>
      <w:r w:rsidRPr="002B1AEE">
        <w:t xml:space="preserve">). Several of these characteristics were extracted from the </w:t>
      </w:r>
      <w:r w:rsidR="002B1AEE" w:rsidRPr="002B1AEE">
        <w:t>Aid</w:t>
      </w:r>
      <w:r w:rsidR="002B1AEE">
        <w:t>W</w:t>
      </w:r>
      <w:r w:rsidR="002B1AEE" w:rsidRPr="002B1AEE">
        <w:t xml:space="preserve">orks </w:t>
      </w:r>
      <w:r w:rsidRPr="002B1AEE">
        <w:t>database, along with others extracted during our review of the evaluation documents themselves.</w:t>
      </w:r>
      <w:r w:rsidR="00A74814" w:rsidRPr="002B1AEE">
        <w:t xml:space="preserve"> </w:t>
      </w:r>
      <w:r w:rsidR="009657A3" w:rsidRPr="002B1AEE">
        <w:t>These</w:t>
      </w:r>
      <w:r w:rsidRPr="002B1AEE">
        <w:t xml:space="preserve"> possible explanatory variables were recorded in a spreadsheet, together with the </w:t>
      </w:r>
      <w:r w:rsidR="005563AE">
        <w:t>r</w:t>
      </w:r>
      <w:r w:rsidRPr="002B1AEE">
        <w:t xml:space="preserve">eview </w:t>
      </w:r>
      <w:r w:rsidR="005563AE">
        <w:t>t</w:t>
      </w:r>
      <w:r w:rsidRPr="002B1AEE">
        <w:t>eam</w:t>
      </w:r>
      <w:r w:rsidR="00744801" w:rsidRPr="002B1AEE">
        <w:t>’</w:t>
      </w:r>
      <w:r w:rsidRPr="002B1AEE">
        <w:t xml:space="preserve">s rating on the quality of the evaluation. Using this spreadsheet, the </w:t>
      </w:r>
      <w:r w:rsidR="005563AE">
        <w:t>r</w:t>
      </w:r>
      <w:r w:rsidRPr="002B1AEE">
        <w:t xml:space="preserve">eview </w:t>
      </w:r>
      <w:r w:rsidR="005563AE">
        <w:t>t</w:t>
      </w:r>
      <w:r w:rsidRPr="002B1AEE">
        <w:t xml:space="preserve">eam conducted statistical analysis of the data, in order to </w:t>
      </w:r>
      <w:r w:rsidR="00AD386B" w:rsidRPr="002B1AEE">
        <w:t>identify any correlations or</w:t>
      </w:r>
      <w:r w:rsidRPr="002B1AEE">
        <w:t xml:space="preserve"> patterns.</w:t>
      </w:r>
      <w:r w:rsidR="00A74814" w:rsidRPr="002B1AEE">
        <w:t xml:space="preserve"> </w:t>
      </w:r>
      <w:r w:rsidRPr="002B1AEE">
        <w:t xml:space="preserve">These data </w:t>
      </w:r>
      <w:r w:rsidR="007C5B69">
        <w:t>were</w:t>
      </w:r>
      <w:r w:rsidR="007C5B69" w:rsidRPr="002B1AEE">
        <w:t xml:space="preserve"> </w:t>
      </w:r>
      <w:r w:rsidRPr="002B1AEE">
        <w:t>supported by narrative data recorded from the evaluation reports and coded to provide qualitative evidence and examples to illustrate and improve understanding of the quality criteria scoring.</w:t>
      </w:r>
      <w:r w:rsidR="00A74814" w:rsidRPr="002B1AEE">
        <w:t xml:space="preserve"> </w:t>
      </w:r>
    </w:p>
    <w:p w14:paraId="295BE5BF" w14:textId="684141D1" w:rsidR="009657A3" w:rsidRPr="007C5B69" w:rsidRDefault="009657A3" w:rsidP="007C5B69">
      <w:r w:rsidRPr="007C5B69">
        <w:lastRenderedPageBreak/>
        <w:t xml:space="preserve">We also compared evaluation ratings against the Australian aid quality criteria (where provided) to the </w:t>
      </w:r>
      <w:r w:rsidR="00A9421C">
        <w:t>q</w:t>
      </w:r>
      <w:r w:rsidR="008814AF" w:rsidRPr="007C5B69">
        <w:t xml:space="preserve">uality at </w:t>
      </w:r>
      <w:r w:rsidR="00A9421C">
        <w:t>i</w:t>
      </w:r>
      <w:r w:rsidR="008814AF" w:rsidRPr="007C5B69">
        <w:t>mplementation (</w:t>
      </w:r>
      <w:r w:rsidRPr="007C5B69">
        <w:t>QAI</w:t>
      </w:r>
      <w:r w:rsidR="008814AF" w:rsidRPr="007C5B69">
        <w:t>)</w:t>
      </w:r>
      <w:r w:rsidRPr="007C5B69">
        <w:t xml:space="preserve"> </w:t>
      </w:r>
      <w:r w:rsidR="00AD386B" w:rsidRPr="007C5B69">
        <w:t xml:space="preserve">ratings </w:t>
      </w:r>
      <w:r w:rsidRPr="007C5B69">
        <w:t>used by DFAT</w:t>
      </w:r>
      <w:r w:rsidR="00AD386B" w:rsidRPr="007C5B69">
        <w:t>,</w:t>
      </w:r>
      <w:r w:rsidRPr="007C5B69">
        <w:t xml:space="preserve"> to analyse differences and similarities between the two sets of ratings and identify any patterns and trends.</w:t>
      </w:r>
      <w:r w:rsidR="00A74814" w:rsidRPr="007C5B69">
        <w:t xml:space="preserve"> </w:t>
      </w:r>
      <w:r w:rsidRPr="007C5B69">
        <w:t>However, g</w:t>
      </w:r>
      <w:r>
        <w:t>iven the limited data available there were no clear findings for this analysis, so it was not discussed in the final report.</w:t>
      </w:r>
      <w:r w:rsidR="00A74814" w:rsidRPr="007C5B69">
        <w:t xml:space="preserve"> </w:t>
      </w:r>
    </w:p>
    <w:p w14:paraId="45898FDA" w14:textId="77777777" w:rsidR="001B3678" w:rsidRPr="00EE6D47" w:rsidRDefault="001B3678" w:rsidP="001B3678">
      <w:pPr>
        <w:pStyle w:val="Heading3"/>
        <w:ind w:left="0" w:firstLine="0"/>
      </w:pPr>
      <w:bookmarkStart w:id="275" w:name="_Toc373303739"/>
      <w:bookmarkStart w:id="276" w:name="_Toc373304306"/>
      <w:bookmarkStart w:id="277" w:name="_Toc378059933"/>
      <w:r>
        <w:t xml:space="preserve">Step 3: </w:t>
      </w:r>
      <w:r w:rsidRPr="00EE6D47">
        <w:t>Interviews</w:t>
      </w:r>
      <w:bookmarkEnd w:id="275"/>
      <w:bookmarkEnd w:id="276"/>
      <w:bookmarkEnd w:id="277"/>
      <w:r w:rsidRPr="00EE6D47">
        <w:t xml:space="preserve"> </w:t>
      </w:r>
    </w:p>
    <w:p w14:paraId="49607244" w14:textId="2AB7DE26" w:rsidR="001B3678" w:rsidRPr="007C5B69" w:rsidRDefault="001B3678" w:rsidP="007C5B69">
      <w:r w:rsidRPr="007C5B69">
        <w:t>The purpose of the interviews was to explore which factors have contributed to either the strengths or</w:t>
      </w:r>
      <w:r w:rsidR="005563AE">
        <w:t xml:space="preserve"> the</w:t>
      </w:r>
      <w:r w:rsidRPr="007C5B69">
        <w:t xml:space="preserve"> weaknesses of evaluations (i.e. enabling or inhibiting factors) and, where appropriate, what actions can be taken to improve the quality and/or coverage of independent evaluations (key evaluation questions 4 and 5).</w:t>
      </w:r>
    </w:p>
    <w:p w14:paraId="140C6CE7" w14:textId="5A163166" w:rsidR="001B3678" w:rsidRPr="00E57F60" w:rsidRDefault="00543E27" w:rsidP="00B17E99">
      <w:r>
        <w:t xml:space="preserve">Qualitative evidence was collected during interviews with 10 Australian Government aid initiative managers and three senior executives, and 14 consultants who had </w:t>
      </w:r>
      <w:r w:rsidRPr="00791522">
        <w:t>responsibility for writing the evaluation reports.</w:t>
      </w:r>
      <w:r w:rsidR="00A74814">
        <w:t xml:space="preserve"> </w:t>
      </w:r>
      <w:r w:rsidR="001B3678" w:rsidRPr="00E57F60">
        <w:t xml:space="preserve">The selection of </w:t>
      </w:r>
      <w:r>
        <w:t>interviewees was based on</w:t>
      </w:r>
      <w:r w:rsidR="001B3678" w:rsidRPr="00E57F60">
        <w:t xml:space="preserve"> the findings from our quality review of evaluation reports, and the preliminary findings of the analysis.</w:t>
      </w:r>
      <w:r w:rsidR="00A74814">
        <w:t xml:space="preserve"> </w:t>
      </w:r>
      <w:r w:rsidR="001B3678" w:rsidRPr="00E57F60">
        <w:t xml:space="preserve">We selected interview managers and evaluators for evaluations assessed as high </w:t>
      </w:r>
      <w:r w:rsidR="00AB3585">
        <w:t>or</w:t>
      </w:r>
      <w:r w:rsidR="00AB3585" w:rsidRPr="00E57F60">
        <w:t xml:space="preserve"> </w:t>
      </w:r>
      <w:r w:rsidR="001B3678" w:rsidRPr="00E57F60">
        <w:t>low quality across several criteria.</w:t>
      </w:r>
      <w:r w:rsidR="00A74814">
        <w:t xml:space="preserve"> </w:t>
      </w:r>
      <w:r w:rsidR="001B3678" w:rsidRPr="00E57F60">
        <w:t xml:space="preserve">This helped us identify common factors </w:t>
      </w:r>
      <w:r w:rsidR="005563AE">
        <w:t>that</w:t>
      </w:r>
      <w:r w:rsidR="005563AE" w:rsidRPr="00E57F60">
        <w:t xml:space="preserve"> </w:t>
      </w:r>
      <w:r w:rsidR="001B3678" w:rsidRPr="00E57F60">
        <w:t>appear to be either promoting or inhibiting successful evaluations.</w:t>
      </w:r>
      <w:r w:rsidR="00A74814">
        <w:t xml:space="preserve"> </w:t>
      </w:r>
      <w:r w:rsidR="001B3678" w:rsidRPr="00E57F60">
        <w:t xml:space="preserve">We also interviewed a small number of senior executive officers from program areas and </w:t>
      </w:r>
      <w:r w:rsidR="006157F9">
        <w:t xml:space="preserve">the former </w:t>
      </w:r>
      <w:r w:rsidR="001B3678" w:rsidRPr="00E57F60">
        <w:t>PEPD, to obtain further evidence relating to</w:t>
      </w:r>
      <w:r w:rsidR="001B3678">
        <w:t xml:space="preserve"> key</w:t>
      </w:r>
      <w:r w:rsidR="001B3678" w:rsidRPr="00E57F60">
        <w:t xml:space="preserve"> evaluation questions 1, 3, 4 and 5. </w:t>
      </w:r>
      <w:r w:rsidR="001B3678" w:rsidRPr="00791522">
        <w:t>While it proved marginally more difficult to secure interviews with Australian Government aid program staff than with consultants, we were in the end able to achieve a fair division in our interviews between the two groups.</w:t>
      </w:r>
    </w:p>
    <w:p w14:paraId="3BBA975C" w14:textId="77777777" w:rsidR="001B3678" w:rsidRPr="007C5B69" w:rsidRDefault="001B3678" w:rsidP="007C5B69">
      <w:r w:rsidRPr="007C5B69">
        <w:t xml:space="preserve">Interviews followed as far as possible an </w:t>
      </w:r>
      <w:r w:rsidR="00744801" w:rsidRPr="007C5B69">
        <w:t>‘</w:t>
      </w:r>
      <w:r w:rsidRPr="007C5B69">
        <w:t>appreciative inquiry</w:t>
      </w:r>
      <w:r w:rsidR="00744801" w:rsidRPr="007C5B69">
        <w:t>’</w:t>
      </w:r>
      <w:r w:rsidRPr="007C5B69">
        <w:t xml:space="preserve"> approach, where learning from positive experiences </w:t>
      </w:r>
      <w:r w:rsidR="00543E27" w:rsidRPr="007C5B69">
        <w:t>was emphasised</w:t>
      </w:r>
      <w:r w:rsidRPr="007C5B69">
        <w:t>. Questions were asked in a neutral and open-ended manner and respondents were encouraged to reflect on their experiences in a constructive, lesson-learning way.</w:t>
      </w:r>
    </w:p>
    <w:p w14:paraId="004D7C2B" w14:textId="77777777" w:rsidR="001B3678" w:rsidRPr="007C5B69" w:rsidDel="00403A2A" w:rsidRDefault="001B3678" w:rsidP="007C5B69">
      <w:r w:rsidRPr="007C5B69">
        <w:t xml:space="preserve">Interviewees were assured that the records of all interviews would be confidential. Where </w:t>
      </w:r>
      <w:r w:rsidRPr="007C5B69" w:rsidDel="00403A2A">
        <w:t xml:space="preserve">requested by the interviewee, </w:t>
      </w:r>
      <w:r w:rsidRPr="007C5B69">
        <w:t>we provided general</w:t>
      </w:r>
      <w:r w:rsidRPr="007C5B69" w:rsidDel="00403A2A">
        <w:t xml:space="preserve"> feedback on the strengths and weaknesses of their evaluation report. </w:t>
      </w:r>
      <w:r w:rsidRPr="007C5B69">
        <w:t xml:space="preserve">We did </w:t>
      </w:r>
      <w:r w:rsidRPr="007C5B69" w:rsidDel="00403A2A">
        <w:t xml:space="preserve">not enter into discussion on </w:t>
      </w:r>
      <w:r w:rsidRPr="007C5B69">
        <w:t>ratings</w:t>
      </w:r>
      <w:r w:rsidRPr="007C5B69" w:rsidDel="00403A2A">
        <w:t xml:space="preserve"> for the different criteria. </w:t>
      </w:r>
    </w:p>
    <w:p w14:paraId="37A125A2" w14:textId="77777777" w:rsidR="001B3678" w:rsidRPr="007C5B69" w:rsidRDefault="001B3678" w:rsidP="007C5B69">
      <w:r w:rsidRPr="007C5B69">
        <w:t>An introductory email was sent to the interviewee in advance to explain the purpose of the interview and to give a list of possible</w:t>
      </w:r>
      <w:r w:rsidRPr="00E57F60">
        <w:rPr>
          <w:rFonts w:ascii="Cambria" w:hAnsi="Cambria"/>
          <w:szCs w:val="24"/>
        </w:rPr>
        <w:t xml:space="preserve"> </w:t>
      </w:r>
      <w:r w:rsidRPr="007C5B69">
        <w:t>questions that would be</w:t>
      </w:r>
      <w:r w:rsidRPr="00E57F60">
        <w:rPr>
          <w:rFonts w:ascii="Cambria" w:hAnsi="Cambria"/>
          <w:szCs w:val="24"/>
        </w:rPr>
        <w:t xml:space="preserve"> </w:t>
      </w:r>
      <w:r w:rsidRPr="007C5B69">
        <w:t xml:space="preserve">asked. Table 3 provides the indicative list of </w:t>
      </w:r>
      <w:r w:rsidR="000D584D" w:rsidRPr="007C5B69">
        <w:t xml:space="preserve">interview </w:t>
      </w:r>
      <w:r w:rsidRPr="007C5B69">
        <w:t xml:space="preserve">questions. </w:t>
      </w:r>
    </w:p>
    <w:p w14:paraId="3C2D918B" w14:textId="77777777" w:rsidR="001B3678" w:rsidRPr="00E57F60" w:rsidRDefault="001B3678" w:rsidP="007C5B69">
      <w:pPr>
        <w:pStyle w:val="FigureName"/>
      </w:pPr>
      <w:r w:rsidRPr="00E57F60">
        <w:t>Table 3</w:t>
      </w:r>
      <w:r w:rsidRPr="00E57F60">
        <w:tab/>
        <w:t xml:space="preserve">Indicative </w:t>
      </w:r>
      <w:r w:rsidR="000D584D">
        <w:t xml:space="preserve">interview </w:t>
      </w:r>
      <w:r w:rsidRPr="00E57F60">
        <w:t xml:space="preserve">questions </w:t>
      </w:r>
    </w:p>
    <w:tbl>
      <w:tblPr>
        <w:tblW w:w="0" w:type="auto"/>
        <w:tblLook w:val="04A0" w:firstRow="1" w:lastRow="0" w:firstColumn="1" w:lastColumn="0" w:noHBand="0" w:noVBand="1"/>
      </w:tblPr>
      <w:tblGrid>
        <w:gridCol w:w="9237"/>
      </w:tblGrid>
      <w:tr w:rsidR="001B3678" w:rsidRPr="007C5B69" w14:paraId="07D5B13D" w14:textId="77777777" w:rsidTr="007C5B69">
        <w:trPr>
          <w:trHeight w:val="284"/>
        </w:trPr>
        <w:tc>
          <w:tcPr>
            <w:tcW w:w="9464" w:type="dxa"/>
            <w:tcBorders>
              <w:bottom w:val="single" w:sz="4" w:space="0" w:color="31849B" w:themeColor="accent5" w:themeShade="BF"/>
            </w:tcBorders>
            <w:shd w:val="clear" w:color="auto" w:fill="007FAD"/>
          </w:tcPr>
          <w:p w14:paraId="3B35539E" w14:textId="575D44C6" w:rsidR="001B3678" w:rsidRPr="007C5B69" w:rsidRDefault="001B3678" w:rsidP="007C5B69">
            <w:pPr>
              <w:pStyle w:val="TableHeading21"/>
              <w:rPr>
                <w:i w:val="0"/>
              </w:rPr>
            </w:pPr>
            <w:r w:rsidRPr="007C5B69">
              <w:rPr>
                <w:i w:val="0"/>
              </w:rPr>
              <w:t xml:space="preserve">Questions for </w:t>
            </w:r>
            <w:r w:rsidR="007C5B69">
              <w:rPr>
                <w:i w:val="0"/>
              </w:rPr>
              <w:t>Australian Government aid initiative</w:t>
            </w:r>
            <w:r w:rsidR="007C5B69" w:rsidRPr="007C5B69">
              <w:rPr>
                <w:i w:val="0"/>
              </w:rPr>
              <w:t xml:space="preserve"> </w:t>
            </w:r>
            <w:r w:rsidR="007C5B69">
              <w:rPr>
                <w:i w:val="0"/>
              </w:rPr>
              <w:t>m</w:t>
            </w:r>
            <w:r w:rsidR="007C5B69" w:rsidRPr="007C5B69">
              <w:rPr>
                <w:i w:val="0"/>
              </w:rPr>
              <w:t>anagers</w:t>
            </w:r>
          </w:p>
        </w:tc>
      </w:tr>
      <w:tr w:rsidR="001B3678" w:rsidRPr="004675AA" w14:paraId="29C0EF66" w14:textId="77777777" w:rsidTr="007C5B69">
        <w:trPr>
          <w:trHeight w:val="284"/>
        </w:trPr>
        <w:tc>
          <w:tcPr>
            <w:tcW w:w="9464" w:type="dxa"/>
            <w:tcBorders>
              <w:top w:val="single" w:sz="4" w:space="0" w:color="31849B" w:themeColor="accent5" w:themeShade="BF"/>
              <w:bottom w:val="single" w:sz="4" w:space="0" w:color="31849B" w:themeColor="accent5" w:themeShade="BF"/>
            </w:tcBorders>
          </w:tcPr>
          <w:p w14:paraId="2BFD26A9" w14:textId="77777777" w:rsidR="001B3678" w:rsidRPr="007C5B69" w:rsidRDefault="001B3678" w:rsidP="006E283A">
            <w:pPr>
              <w:pStyle w:val="Tabletext0"/>
            </w:pPr>
            <w:r w:rsidRPr="007C5B69">
              <w:t xml:space="preserve">1. What in your view were the particular strengths of the evaluation? </w:t>
            </w:r>
          </w:p>
        </w:tc>
      </w:tr>
      <w:tr w:rsidR="001B3678" w:rsidRPr="004675AA" w14:paraId="2623C043" w14:textId="77777777" w:rsidTr="007C5B69">
        <w:trPr>
          <w:trHeight w:val="284"/>
        </w:trPr>
        <w:tc>
          <w:tcPr>
            <w:tcW w:w="9464" w:type="dxa"/>
            <w:tcBorders>
              <w:top w:val="single" w:sz="4" w:space="0" w:color="31849B" w:themeColor="accent5" w:themeShade="BF"/>
              <w:bottom w:val="single" w:sz="4" w:space="0" w:color="31849B" w:themeColor="accent5" w:themeShade="BF"/>
            </w:tcBorders>
          </w:tcPr>
          <w:p w14:paraId="69ACD2E6" w14:textId="77777777" w:rsidR="001B3678" w:rsidRPr="007C5B69" w:rsidRDefault="001B3678" w:rsidP="006E283A">
            <w:pPr>
              <w:pStyle w:val="Tabletext0"/>
            </w:pPr>
            <w:r w:rsidRPr="007C5B69">
              <w:t>2. How useful/practical were the recommendations?</w:t>
            </w:r>
          </w:p>
        </w:tc>
      </w:tr>
      <w:tr w:rsidR="001B3678" w:rsidRPr="004675AA" w14:paraId="6A31A261" w14:textId="77777777" w:rsidTr="007C5B69">
        <w:trPr>
          <w:trHeight w:val="284"/>
        </w:trPr>
        <w:tc>
          <w:tcPr>
            <w:tcW w:w="9464" w:type="dxa"/>
            <w:tcBorders>
              <w:top w:val="single" w:sz="4" w:space="0" w:color="31849B" w:themeColor="accent5" w:themeShade="BF"/>
              <w:bottom w:val="single" w:sz="4" w:space="0" w:color="31849B" w:themeColor="accent5" w:themeShade="BF"/>
            </w:tcBorders>
          </w:tcPr>
          <w:p w14:paraId="449383BC" w14:textId="77777777" w:rsidR="001B3678" w:rsidRPr="007C5B69" w:rsidRDefault="001B3678" w:rsidP="006E283A">
            <w:pPr>
              <w:pStyle w:val="Tabletext0"/>
            </w:pPr>
            <w:r w:rsidRPr="007C5B69">
              <w:t xml:space="preserve">3. What worked well when you were managing the evaluation? </w:t>
            </w:r>
          </w:p>
        </w:tc>
      </w:tr>
      <w:tr w:rsidR="001B3678" w:rsidRPr="004675AA" w14:paraId="6B29B8B3" w14:textId="77777777" w:rsidTr="007C5B69">
        <w:trPr>
          <w:trHeight w:val="284"/>
        </w:trPr>
        <w:tc>
          <w:tcPr>
            <w:tcW w:w="9464" w:type="dxa"/>
            <w:tcBorders>
              <w:top w:val="single" w:sz="4" w:space="0" w:color="31849B" w:themeColor="accent5" w:themeShade="BF"/>
              <w:bottom w:val="single" w:sz="4" w:space="0" w:color="31849B" w:themeColor="accent5" w:themeShade="BF"/>
            </w:tcBorders>
          </w:tcPr>
          <w:p w14:paraId="0D2F5056" w14:textId="77777777" w:rsidR="001B3678" w:rsidRPr="007C5B69" w:rsidRDefault="001B3678" w:rsidP="006E283A">
            <w:pPr>
              <w:pStyle w:val="Tabletext0"/>
            </w:pPr>
            <w:r w:rsidRPr="007C5B69">
              <w:t>4. Were there any particular challenges in managing this evaluation?</w:t>
            </w:r>
          </w:p>
        </w:tc>
      </w:tr>
      <w:tr w:rsidR="001B3678" w:rsidRPr="004675AA" w14:paraId="16E99141" w14:textId="77777777" w:rsidTr="007C5B69">
        <w:trPr>
          <w:trHeight w:val="284"/>
        </w:trPr>
        <w:tc>
          <w:tcPr>
            <w:tcW w:w="9464" w:type="dxa"/>
            <w:tcBorders>
              <w:top w:val="single" w:sz="4" w:space="0" w:color="31849B" w:themeColor="accent5" w:themeShade="BF"/>
              <w:bottom w:val="single" w:sz="4" w:space="0" w:color="31849B" w:themeColor="accent5" w:themeShade="BF"/>
            </w:tcBorders>
          </w:tcPr>
          <w:p w14:paraId="3A9F937A" w14:textId="77777777" w:rsidR="001B3678" w:rsidRPr="007C5B69" w:rsidRDefault="001B3678" w:rsidP="006E283A">
            <w:pPr>
              <w:pStyle w:val="Tabletext0"/>
            </w:pPr>
            <w:r w:rsidRPr="007C5B69">
              <w:t>5. If commissioning the same evaluation again, is there anything you might consider doing differently?</w:t>
            </w:r>
          </w:p>
        </w:tc>
      </w:tr>
      <w:tr w:rsidR="001B3678" w:rsidRPr="004675AA" w14:paraId="65C02F41" w14:textId="77777777" w:rsidTr="007C5B69">
        <w:trPr>
          <w:trHeight w:val="284"/>
        </w:trPr>
        <w:tc>
          <w:tcPr>
            <w:tcW w:w="9464" w:type="dxa"/>
            <w:tcBorders>
              <w:top w:val="single" w:sz="4" w:space="0" w:color="31849B" w:themeColor="accent5" w:themeShade="BF"/>
              <w:bottom w:val="single" w:sz="4" w:space="0" w:color="31849B" w:themeColor="accent5" w:themeShade="BF"/>
            </w:tcBorders>
          </w:tcPr>
          <w:p w14:paraId="19762D9A" w14:textId="77777777" w:rsidR="001B3678" w:rsidRPr="007C5B69" w:rsidRDefault="001B3678" w:rsidP="006E283A">
            <w:pPr>
              <w:pStyle w:val="Tabletext0"/>
            </w:pPr>
            <w:r w:rsidRPr="007C5B69">
              <w:t>6. What actions could be taken within AusAID to improve the quality of evaluations?</w:t>
            </w:r>
          </w:p>
        </w:tc>
      </w:tr>
      <w:tr w:rsidR="001B3678" w:rsidRPr="007C5B69" w14:paraId="28A7A406" w14:textId="77777777" w:rsidTr="007C5B69">
        <w:trPr>
          <w:trHeight w:val="284"/>
        </w:trPr>
        <w:tc>
          <w:tcPr>
            <w:tcW w:w="9464" w:type="dxa"/>
            <w:tcBorders>
              <w:top w:val="single" w:sz="4" w:space="0" w:color="31849B" w:themeColor="accent5" w:themeShade="BF"/>
              <w:bottom w:val="single" w:sz="4" w:space="0" w:color="31849B" w:themeColor="accent5" w:themeShade="BF"/>
            </w:tcBorders>
            <w:shd w:val="clear" w:color="auto" w:fill="007FAD"/>
          </w:tcPr>
          <w:p w14:paraId="18E1C74D" w14:textId="72931C18" w:rsidR="001B3678" w:rsidRPr="007C5B69" w:rsidRDefault="001B3678" w:rsidP="007C5B69">
            <w:pPr>
              <w:pStyle w:val="TableHeading21"/>
              <w:rPr>
                <w:i w:val="0"/>
              </w:rPr>
            </w:pPr>
            <w:r w:rsidRPr="007C5B69">
              <w:rPr>
                <w:i w:val="0"/>
              </w:rPr>
              <w:t xml:space="preserve">Questions for </w:t>
            </w:r>
            <w:r w:rsidR="007C5B69">
              <w:rPr>
                <w:i w:val="0"/>
              </w:rPr>
              <w:t>evaluators</w:t>
            </w:r>
          </w:p>
        </w:tc>
      </w:tr>
      <w:tr w:rsidR="001B3678" w:rsidRPr="004675AA" w14:paraId="0320CDEF" w14:textId="77777777" w:rsidTr="007C5B69">
        <w:trPr>
          <w:trHeight w:val="284"/>
        </w:trPr>
        <w:tc>
          <w:tcPr>
            <w:tcW w:w="9464" w:type="dxa"/>
            <w:tcBorders>
              <w:top w:val="single" w:sz="4" w:space="0" w:color="31849B" w:themeColor="accent5" w:themeShade="BF"/>
              <w:bottom w:val="single" w:sz="4" w:space="0" w:color="31849B" w:themeColor="accent5" w:themeShade="BF"/>
            </w:tcBorders>
          </w:tcPr>
          <w:p w14:paraId="424C45DC" w14:textId="2CCC7364" w:rsidR="001B3678" w:rsidRPr="007C5B69" w:rsidRDefault="001B3678" w:rsidP="006E283A">
            <w:pPr>
              <w:pStyle w:val="Tabletext0"/>
            </w:pPr>
            <w:r w:rsidRPr="007C5B69">
              <w:t>1. What were the key factors that assis</w:t>
            </w:r>
            <w:r w:rsidR="0066769E">
              <w:t>ted/facilitated your evaluation</w:t>
            </w:r>
            <w:r w:rsidRPr="007C5B69">
              <w:t>?</w:t>
            </w:r>
          </w:p>
        </w:tc>
      </w:tr>
      <w:tr w:rsidR="001B3678" w:rsidRPr="004675AA" w14:paraId="50169160" w14:textId="77777777" w:rsidTr="007C5B69">
        <w:trPr>
          <w:trHeight w:val="284"/>
        </w:trPr>
        <w:tc>
          <w:tcPr>
            <w:tcW w:w="9464" w:type="dxa"/>
            <w:tcBorders>
              <w:top w:val="single" w:sz="4" w:space="0" w:color="31849B" w:themeColor="accent5" w:themeShade="BF"/>
              <w:bottom w:val="single" w:sz="4" w:space="0" w:color="31849B" w:themeColor="accent5" w:themeShade="BF"/>
            </w:tcBorders>
          </w:tcPr>
          <w:p w14:paraId="1C890877" w14:textId="77777777" w:rsidR="001B3678" w:rsidRPr="007C5B69" w:rsidRDefault="001B3678" w:rsidP="006E283A">
            <w:pPr>
              <w:pStyle w:val="Tabletext0"/>
            </w:pPr>
            <w:r w:rsidRPr="007C5B69">
              <w:t>2. What were the major challenges you faced (if any) in undertaking this evaluation and how did you overcome them?</w:t>
            </w:r>
          </w:p>
        </w:tc>
      </w:tr>
      <w:tr w:rsidR="001B3678" w:rsidRPr="004675AA" w14:paraId="3C127C9D" w14:textId="77777777" w:rsidTr="007C5B69">
        <w:trPr>
          <w:trHeight w:val="284"/>
        </w:trPr>
        <w:tc>
          <w:tcPr>
            <w:tcW w:w="9464" w:type="dxa"/>
            <w:tcBorders>
              <w:top w:val="single" w:sz="4" w:space="0" w:color="31849B" w:themeColor="accent5" w:themeShade="BF"/>
              <w:bottom w:val="single" w:sz="4" w:space="0" w:color="31849B" w:themeColor="accent5" w:themeShade="BF"/>
            </w:tcBorders>
          </w:tcPr>
          <w:p w14:paraId="0CD4000C" w14:textId="77777777" w:rsidR="001B3678" w:rsidRPr="007C5B69" w:rsidRDefault="001B3678" w:rsidP="006E283A">
            <w:pPr>
              <w:pStyle w:val="Tabletext0"/>
            </w:pPr>
            <w:r w:rsidRPr="007C5B69">
              <w:t>3.</w:t>
            </w:r>
            <w:r w:rsidR="00A74814" w:rsidRPr="007C5B69">
              <w:t xml:space="preserve"> </w:t>
            </w:r>
            <w:r w:rsidRPr="007C5B69">
              <w:t>As an evaluator, are there any specific steps that AusAID could take to improve the quality of its evaluations?</w:t>
            </w:r>
          </w:p>
        </w:tc>
      </w:tr>
    </w:tbl>
    <w:p w14:paraId="2C436BFA" w14:textId="77777777" w:rsidR="00AD386B" w:rsidRDefault="00AD386B" w:rsidP="00593C39"/>
    <w:p w14:paraId="3192209A" w14:textId="4A13DE35" w:rsidR="001B3678" w:rsidRPr="00E57F60" w:rsidRDefault="001B3678" w:rsidP="007C5B69">
      <w:r w:rsidRPr="00E57F60">
        <w:lastRenderedPageBreak/>
        <w:t xml:space="preserve">Detailed </w:t>
      </w:r>
      <w:r w:rsidR="000D584D">
        <w:t xml:space="preserve">interview </w:t>
      </w:r>
      <w:r w:rsidRPr="00E57F60">
        <w:t>notes were shared with the</w:t>
      </w:r>
      <w:r>
        <w:t xml:space="preserve"> </w:t>
      </w:r>
      <w:r w:rsidR="004F2518">
        <w:t>r</w:t>
      </w:r>
      <w:r>
        <w:t>eview</w:t>
      </w:r>
      <w:r w:rsidRPr="00E57F60">
        <w:t xml:space="preserve"> team.</w:t>
      </w:r>
      <w:r w:rsidR="00A74814">
        <w:t xml:space="preserve"> </w:t>
      </w:r>
      <w:r w:rsidRPr="00E57F60">
        <w:t>The notes were recorded in a concise and consistent format categorised by question so that we could compare all the answers to a particular question.</w:t>
      </w:r>
      <w:r w:rsidR="00A74814">
        <w:t xml:space="preserve"> </w:t>
      </w:r>
      <w:r w:rsidRPr="00E57F60">
        <w:t>The analysis grouped responses around the main review questions, and also the particular interview questions aimed at the different types of respondent. These were then aggregated and coded</w:t>
      </w:r>
      <w:r w:rsidR="00A74814">
        <w:t xml:space="preserve"> </w:t>
      </w:r>
      <w:r w:rsidRPr="00E57F60">
        <w:t>around emerging types or categories of enabling or inhibiting factor (</w:t>
      </w:r>
      <w:r w:rsidR="004F2518">
        <w:t>e.g.</w:t>
      </w:r>
      <w:r w:rsidRPr="00E57F60">
        <w:t xml:space="preserve"> factors that are internal/external to </w:t>
      </w:r>
      <w:r>
        <w:t>DFAT</w:t>
      </w:r>
      <w:r w:rsidRPr="00E57F60">
        <w:t xml:space="preserve"> or are related to particular aid modalit</w:t>
      </w:r>
      <w:r>
        <w:t>ies</w:t>
      </w:r>
      <w:r w:rsidRPr="00E57F60">
        <w:t xml:space="preserve"> or forms of evaluation).</w:t>
      </w:r>
      <w:r w:rsidR="00A74814">
        <w:t xml:space="preserve"> </w:t>
      </w:r>
      <w:r w:rsidRPr="00E57F60">
        <w:t>The coded data was recorded in a spreadsheet to facilitate analysis.</w:t>
      </w:r>
    </w:p>
    <w:p w14:paraId="4DF9720F" w14:textId="14D39124" w:rsidR="001B3678" w:rsidRPr="00E57F60" w:rsidRDefault="001B3678" w:rsidP="007C5B69">
      <w:r w:rsidRPr="00E57F60">
        <w:t>For validation purposes, the review team held an internal half-day meeting to discuss the evidence and the results of the analysis to agree on the key findings.</w:t>
      </w:r>
    </w:p>
    <w:p w14:paraId="7599998A" w14:textId="77777777" w:rsidR="001B3678" w:rsidRPr="00EE6D47" w:rsidRDefault="001B3678" w:rsidP="001B3678">
      <w:pPr>
        <w:pStyle w:val="Heading3"/>
        <w:ind w:left="0" w:firstLine="0"/>
      </w:pPr>
      <w:bookmarkStart w:id="278" w:name="_Toc373303740"/>
      <w:bookmarkStart w:id="279" w:name="_Toc373304307"/>
      <w:bookmarkStart w:id="280" w:name="_Toc378059934"/>
      <w:r>
        <w:t xml:space="preserve">Step 4: </w:t>
      </w:r>
      <w:r w:rsidRPr="00EE6D47">
        <w:t>Analysis (stage 2)</w:t>
      </w:r>
      <w:bookmarkEnd w:id="278"/>
      <w:bookmarkEnd w:id="279"/>
      <w:bookmarkEnd w:id="280"/>
    </w:p>
    <w:p w14:paraId="20A43926" w14:textId="7EFE5AF9" w:rsidR="001B3678" w:rsidRPr="00E57F60" w:rsidRDefault="001B3678" w:rsidP="007C5B69">
      <w:r w:rsidRPr="00E57F60">
        <w:t xml:space="preserve">The second stage in our analysis focused on </w:t>
      </w:r>
      <w:r>
        <w:t xml:space="preserve">key </w:t>
      </w:r>
      <w:r w:rsidRPr="00E57F60">
        <w:t>evaluation questions 3</w:t>
      </w:r>
      <w:r w:rsidR="00744801">
        <w:t xml:space="preserve"> to </w:t>
      </w:r>
      <w:r w:rsidRPr="00E57F60">
        <w:t>5 but particularly on gaining a deeper understanding of the underlying drivers and inhibiters of quality.</w:t>
      </w:r>
      <w:r w:rsidR="00A74814">
        <w:t xml:space="preserve"> </w:t>
      </w:r>
      <w:r w:rsidRPr="00E57F60">
        <w:t xml:space="preserve">We triangulated </w:t>
      </w:r>
      <w:r w:rsidR="000D584D">
        <w:t xml:space="preserve">between </w:t>
      </w:r>
      <w:r w:rsidRPr="00E57F60">
        <w:t>the different forms of evidence, including the analysis from stage 1, qualitative evidence from the evaluation reports and the interviews, and other contextual information.</w:t>
      </w:r>
      <w:r w:rsidR="00A74814">
        <w:t xml:space="preserve"> </w:t>
      </w:r>
      <w:r w:rsidRPr="00E57F60">
        <w:t xml:space="preserve">We looked for consistent themes across the evidence, and developed hypotheses about why certain aspects of evaluation are undertaken well </w:t>
      </w:r>
      <w:r w:rsidR="004F2518">
        <w:t>and</w:t>
      </w:r>
      <w:r w:rsidR="004F2518" w:rsidRPr="00E57F60">
        <w:t xml:space="preserve"> </w:t>
      </w:r>
      <w:r w:rsidRPr="00E57F60">
        <w:t xml:space="preserve">others less so, and what factors positively or negatively affect evaluation quality. </w:t>
      </w:r>
    </w:p>
    <w:p w14:paraId="57311D94" w14:textId="77777777" w:rsidR="001B3678" w:rsidRPr="00E57F60" w:rsidRDefault="001B3678" w:rsidP="007C5B69">
      <w:r w:rsidRPr="00E57F60">
        <w:rPr>
          <w:szCs w:val="21"/>
        </w:rPr>
        <w:t>A workshop too</w:t>
      </w:r>
      <w:r>
        <w:rPr>
          <w:szCs w:val="21"/>
        </w:rPr>
        <w:t>k</w:t>
      </w:r>
      <w:r w:rsidRPr="00E57F60">
        <w:rPr>
          <w:szCs w:val="21"/>
        </w:rPr>
        <w:t xml:space="preserve"> place </w:t>
      </w:r>
      <w:r w:rsidR="009657A3" w:rsidRPr="00E57F60">
        <w:rPr>
          <w:szCs w:val="21"/>
        </w:rPr>
        <w:t xml:space="preserve">by </w:t>
      </w:r>
      <w:r w:rsidR="009657A3">
        <w:rPr>
          <w:szCs w:val="21"/>
        </w:rPr>
        <w:t>tele</w:t>
      </w:r>
      <w:r w:rsidR="009657A3" w:rsidRPr="00E57F60">
        <w:rPr>
          <w:szCs w:val="21"/>
        </w:rPr>
        <w:t xml:space="preserve">conference </w:t>
      </w:r>
      <w:r w:rsidRPr="00E57F60">
        <w:rPr>
          <w:szCs w:val="21"/>
        </w:rPr>
        <w:t>at which we present</w:t>
      </w:r>
      <w:r>
        <w:rPr>
          <w:szCs w:val="21"/>
        </w:rPr>
        <w:t>ed</w:t>
      </w:r>
      <w:r w:rsidRPr="00E57F60">
        <w:rPr>
          <w:szCs w:val="21"/>
        </w:rPr>
        <w:t xml:space="preserve"> our initial analysis and findings to the </w:t>
      </w:r>
      <w:r w:rsidR="009657A3">
        <w:rPr>
          <w:szCs w:val="21"/>
        </w:rPr>
        <w:t>DFAT</w:t>
      </w:r>
      <w:r>
        <w:rPr>
          <w:szCs w:val="21"/>
        </w:rPr>
        <w:t xml:space="preserve"> </w:t>
      </w:r>
      <w:r w:rsidRPr="00E57F60">
        <w:rPr>
          <w:szCs w:val="21"/>
        </w:rPr>
        <w:t>management team</w:t>
      </w:r>
      <w:r w:rsidR="005105DE">
        <w:rPr>
          <w:szCs w:val="21"/>
        </w:rPr>
        <w:t xml:space="preserve"> for the </w:t>
      </w:r>
      <w:r w:rsidR="005105DE" w:rsidRPr="000034F3">
        <w:rPr>
          <w:i/>
          <w:szCs w:val="21"/>
        </w:rPr>
        <w:t>Review of Australian Aid Operational Evaluations</w:t>
      </w:r>
      <w:r w:rsidRPr="00E57F60">
        <w:rPr>
          <w:szCs w:val="21"/>
        </w:rPr>
        <w:t>.</w:t>
      </w:r>
      <w:r w:rsidR="00A74814">
        <w:rPr>
          <w:szCs w:val="21"/>
        </w:rPr>
        <w:t xml:space="preserve"> </w:t>
      </w:r>
      <w:r w:rsidRPr="00E57F60">
        <w:rPr>
          <w:szCs w:val="21"/>
        </w:rPr>
        <w:t>At this meeting we identified and discussed the patterns and themes emerging from our analysis, identified any gaps in our data and discussed how these could be filled, and discussed possible hypotheses for further investigation.</w:t>
      </w:r>
      <w:r w:rsidR="00A74814">
        <w:rPr>
          <w:szCs w:val="21"/>
        </w:rPr>
        <w:t xml:space="preserve"> </w:t>
      </w:r>
      <w:r>
        <w:rPr>
          <w:szCs w:val="21"/>
        </w:rPr>
        <w:t>W</w:t>
      </w:r>
      <w:r w:rsidRPr="00E57F60">
        <w:rPr>
          <w:szCs w:val="21"/>
        </w:rPr>
        <w:t xml:space="preserve">e discussed the strength and salience of the key themes and findings (particularly with respect to </w:t>
      </w:r>
      <w:r>
        <w:rPr>
          <w:szCs w:val="21"/>
        </w:rPr>
        <w:t>the Australian Government</w:t>
      </w:r>
      <w:r w:rsidR="00744801">
        <w:rPr>
          <w:szCs w:val="21"/>
        </w:rPr>
        <w:t>’</w:t>
      </w:r>
      <w:r w:rsidRPr="00E57F60">
        <w:rPr>
          <w:szCs w:val="21"/>
        </w:rPr>
        <w:t>s operational context</w:t>
      </w:r>
      <w:r>
        <w:rPr>
          <w:szCs w:val="21"/>
        </w:rPr>
        <w:t xml:space="preserve"> for aid</w:t>
      </w:r>
      <w:r w:rsidRPr="00E57F60">
        <w:rPr>
          <w:szCs w:val="21"/>
        </w:rPr>
        <w:t>), and any further analysis required.</w:t>
      </w:r>
    </w:p>
    <w:p w14:paraId="12488824" w14:textId="68D5B6E4" w:rsidR="001B3678" w:rsidRPr="00EE6D47" w:rsidRDefault="001B3678" w:rsidP="001B3678">
      <w:pPr>
        <w:pStyle w:val="Heading3"/>
        <w:ind w:left="0" w:firstLine="0"/>
      </w:pPr>
      <w:bookmarkStart w:id="281" w:name="_Toc373303741"/>
      <w:bookmarkStart w:id="282" w:name="_Toc373304308"/>
      <w:bookmarkStart w:id="283" w:name="_Toc378059935"/>
      <w:r>
        <w:t xml:space="preserve">Step 5: </w:t>
      </w:r>
      <w:r w:rsidRPr="00EE6D47">
        <w:t xml:space="preserve">Identifying </w:t>
      </w:r>
      <w:r w:rsidR="002C1FF4">
        <w:t>g</w:t>
      </w:r>
      <w:r w:rsidRPr="00EE6D47">
        <w:t>ood practice</w:t>
      </w:r>
      <w:bookmarkEnd w:id="281"/>
      <w:bookmarkEnd w:id="282"/>
      <w:bookmarkEnd w:id="283"/>
    </w:p>
    <w:p w14:paraId="039B8A99" w14:textId="3EC2F1D1" w:rsidR="001B3678" w:rsidRPr="00E57F60" w:rsidRDefault="001B3678" w:rsidP="002529C4">
      <w:r w:rsidRPr="00E57F60">
        <w:t xml:space="preserve">During the </w:t>
      </w:r>
      <w:r w:rsidR="0046553B">
        <w:t>review,</w:t>
      </w:r>
      <w:r w:rsidRPr="00E57F60">
        <w:t xml:space="preserve"> examples of good </w:t>
      </w:r>
      <w:r w:rsidR="002529C4">
        <w:t xml:space="preserve">or model </w:t>
      </w:r>
      <w:r w:rsidRPr="00E57F60">
        <w:t xml:space="preserve">practice were identified to support ongoing learning and improvement within </w:t>
      </w:r>
      <w:r>
        <w:t>DFAT</w:t>
      </w:r>
      <w:r w:rsidRPr="00E57F60">
        <w:t>.</w:t>
      </w:r>
      <w:r w:rsidR="00A74814">
        <w:t xml:space="preserve"> </w:t>
      </w:r>
      <w:r w:rsidRPr="00E57F60">
        <w:t>We selected examples that cover the evaluation report, terms of reference and evaluation plan.</w:t>
      </w:r>
      <w:r w:rsidR="00A74814">
        <w:t xml:space="preserve"> </w:t>
      </w:r>
    </w:p>
    <w:p w14:paraId="0120C7EF" w14:textId="0801C67F" w:rsidR="001B3678" w:rsidRPr="007D2F49" w:rsidRDefault="002B1AEE" w:rsidP="00593C39">
      <w:pPr>
        <w:pStyle w:val="Heading2"/>
      </w:pPr>
      <w:bookmarkStart w:id="284" w:name="_Toc387675132"/>
      <w:r>
        <w:t>3</w:t>
      </w:r>
      <w:r w:rsidR="00593C39">
        <w:tab/>
      </w:r>
      <w:r w:rsidR="001B3678" w:rsidRPr="007D2F49">
        <w:t xml:space="preserve">Quality </w:t>
      </w:r>
      <w:r w:rsidR="002C1FF4">
        <w:t>a</w:t>
      </w:r>
      <w:r w:rsidR="001B3678" w:rsidRPr="007D2F49">
        <w:t>ssurance</w:t>
      </w:r>
      <w:bookmarkEnd w:id="284"/>
    </w:p>
    <w:p w14:paraId="61A2BFB7" w14:textId="77777777" w:rsidR="001B3678" w:rsidRPr="00E57F60" w:rsidRDefault="001B3678" w:rsidP="002529C4">
      <w:r w:rsidRPr="00E57F60">
        <w:t>To ensure consistency</w:t>
      </w:r>
      <w:r>
        <w:t xml:space="preserve"> in the quality review</w:t>
      </w:r>
      <w:r w:rsidRPr="00E57F60">
        <w:t xml:space="preserve">, a number of measures were taken. The initial design of the </w:t>
      </w:r>
      <w:r w:rsidR="000D584D">
        <w:t>quality assessment</w:t>
      </w:r>
      <w:r w:rsidRPr="00E57F60">
        <w:t xml:space="preserve"> was tested during the planning stage within the team on a sample of three evaluations to improve the format and strengthen mutual understanding within the team. </w:t>
      </w:r>
    </w:p>
    <w:p w14:paraId="3BA1A98C" w14:textId="3492B930" w:rsidR="001B3678" w:rsidRDefault="001B3678" w:rsidP="002529C4">
      <w:r w:rsidRPr="00E57F60">
        <w:t xml:space="preserve">The </w:t>
      </w:r>
      <w:r w:rsidR="00744801">
        <w:t>t</w:t>
      </w:r>
      <w:r w:rsidRPr="00E57F60">
        <w:t xml:space="preserve">eam </w:t>
      </w:r>
      <w:r w:rsidR="00744801">
        <w:t>l</w:t>
      </w:r>
      <w:r w:rsidRPr="00E57F60">
        <w:t xml:space="preserve">eader oversaw the quality assurance process to ensure consistent review standards. After the first week, </w:t>
      </w:r>
      <w:r w:rsidR="002529C4">
        <w:t>an initial</w:t>
      </w:r>
      <w:r w:rsidRPr="00E57F60">
        <w:t xml:space="preserve"> quality assurance review took place where a sample of the initial set of reviews was re-assessed by different reviewers within the team. Thereafter, a sample of reviews was quality assured each week. Over </w:t>
      </w:r>
      <w:r>
        <w:t>a</w:t>
      </w:r>
      <w:r w:rsidRPr="00E57F60">
        <w:t xml:space="preserve"> four</w:t>
      </w:r>
      <w:r w:rsidR="00744801">
        <w:t>-</w:t>
      </w:r>
      <w:r w:rsidRPr="00E57F60">
        <w:t xml:space="preserve">week period, the </w:t>
      </w:r>
      <w:r w:rsidR="00744801">
        <w:t>t</w:t>
      </w:r>
      <w:r w:rsidRPr="00E57F60">
        <w:t xml:space="preserve">eam </w:t>
      </w:r>
      <w:r w:rsidR="00744801">
        <w:t>l</w:t>
      </w:r>
      <w:r w:rsidRPr="00E57F60">
        <w:t xml:space="preserve">eader cross-checked 20 evaluations, and the other two team members quality assured a total of </w:t>
      </w:r>
      <w:r w:rsidR="00744801">
        <w:t>12</w:t>
      </w:r>
      <w:r w:rsidRPr="00E57F60">
        <w:t>, making a total of 32 or 37</w:t>
      </w:r>
      <w:r>
        <w:t xml:space="preserve"> per cent</w:t>
      </w:r>
      <w:r w:rsidRPr="00E57F60">
        <w:t xml:space="preserve"> of the total number of evaluations</w:t>
      </w:r>
      <w:r w:rsidR="000D584D">
        <w:t xml:space="preserve"> reviewed</w:t>
      </w:r>
      <w:r w:rsidRPr="00E57F60">
        <w:t>.</w:t>
      </w:r>
    </w:p>
    <w:p w14:paraId="43F22B89" w14:textId="0BACF6C3" w:rsidR="004539CA" w:rsidRPr="00E57F60" w:rsidRDefault="004539CA" w:rsidP="002529C4">
      <w:r w:rsidRPr="00E57F60">
        <w:t xml:space="preserve">The </w:t>
      </w:r>
      <w:r w:rsidR="00744801">
        <w:t>t</w:t>
      </w:r>
      <w:r w:rsidRPr="00E57F60">
        <w:t xml:space="preserve">eam </w:t>
      </w:r>
      <w:r w:rsidR="00744801">
        <w:t>l</w:t>
      </w:r>
      <w:r w:rsidRPr="00E57F60">
        <w:t>eader also regularly checked the consistency of the data entered into the spreadsheet by the team members</w:t>
      </w:r>
      <w:r>
        <w:t>.</w:t>
      </w:r>
    </w:p>
    <w:p w14:paraId="3C7D1224" w14:textId="3A739513" w:rsidR="001B3678" w:rsidRPr="007D2F49" w:rsidRDefault="002B1AEE" w:rsidP="006F099B">
      <w:pPr>
        <w:pStyle w:val="Heading2"/>
      </w:pPr>
      <w:bookmarkStart w:id="285" w:name="_Toc387675133"/>
      <w:r>
        <w:lastRenderedPageBreak/>
        <w:t>4</w:t>
      </w:r>
      <w:r w:rsidR="006F099B">
        <w:tab/>
      </w:r>
      <w:r w:rsidR="001B3678" w:rsidRPr="007D2F49">
        <w:t>Limitations</w:t>
      </w:r>
      <w:bookmarkEnd w:id="285"/>
    </w:p>
    <w:p w14:paraId="252DD415" w14:textId="77777777" w:rsidR="001B3678" w:rsidRPr="00E57F60" w:rsidRDefault="000D584D" w:rsidP="002529C4">
      <w:r>
        <w:t>The key</w:t>
      </w:r>
      <w:r w:rsidR="001B3678" w:rsidRPr="00E57F60">
        <w:t xml:space="preserve"> limitations to the methodology</w:t>
      </w:r>
      <w:r>
        <w:t xml:space="preserve"> were: </w:t>
      </w:r>
    </w:p>
    <w:p w14:paraId="6A2DFDC5" w14:textId="260FD062" w:rsidR="001B3678" w:rsidRPr="009A41FC" w:rsidRDefault="001B3678">
      <w:pPr>
        <w:pStyle w:val="Bullet"/>
      </w:pPr>
      <w:r w:rsidRPr="00EE6D47">
        <w:t xml:space="preserve">The limited availability of </w:t>
      </w:r>
      <w:r w:rsidR="00744801">
        <w:t>e</w:t>
      </w:r>
      <w:r w:rsidRPr="00EE6D47">
        <w:t xml:space="preserve">valuation </w:t>
      </w:r>
      <w:r w:rsidR="00744801">
        <w:t>p</w:t>
      </w:r>
      <w:r w:rsidRPr="00EE6D47">
        <w:t>lans and</w:t>
      </w:r>
      <w:r w:rsidR="002529C4">
        <w:t>,</w:t>
      </w:r>
      <w:r w:rsidRPr="00EE6D47">
        <w:t xml:space="preserve"> to a lesser extent</w:t>
      </w:r>
      <w:r w:rsidR="002529C4">
        <w:t>,</w:t>
      </w:r>
      <w:r w:rsidRPr="00EE6D47">
        <w:t xml:space="preserve"> </w:t>
      </w:r>
      <w:r w:rsidR="002529C4">
        <w:t>terms of reference</w:t>
      </w:r>
      <w:r w:rsidR="002529C4" w:rsidRPr="00EE6D47">
        <w:t xml:space="preserve"> </w:t>
      </w:r>
      <w:r w:rsidRPr="00EE6D47">
        <w:t xml:space="preserve">constrained the evidence base for </w:t>
      </w:r>
      <w:r w:rsidR="00612074">
        <w:t>the quality review</w:t>
      </w:r>
      <w:r w:rsidRPr="00EE6D47">
        <w:t>.</w:t>
      </w:r>
      <w:r w:rsidRPr="009A41FC">
        <w:t xml:space="preserve"> Because of this</w:t>
      </w:r>
      <w:r w:rsidR="002529C4">
        <w:t>,</w:t>
      </w:r>
      <w:r w:rsidRPr="009A41FC">
        <w:t xml:space="preserve"> the </w:t>
      </w:r>
      <w:r w:rsidR="00744801">
        <w:t>r</w:t>
      </w:r>
      <w:r w:rsidRPr="009A41FC">
        <w:t xml:space="preserve">eview team focused </w:t>
      </w:r>
      <w:r w:rsidR="002529C4">
        <w:t xml:space="preserve">primarily </w:t>
      </w:r>
      <w:r w:rsidRPr="009A41FC">
        <w:t>on the quality of the evaluation report</w:t>
      </w:r>
      <w:r w:rsidR="002529C4">
        <w:t>s</w:t>
      </w:r>
      <w:r w:rsidRPr="009A41FC">
        <w:t xml:space="preserve"> and judged their quality irrespective of the availability of the </w:t>
      </w:r>
      <w:r w:rsidR="002529C4">
        <w:t>terms of reference</w:t>
      </w:r>
      <w:r w:rsidR="002529C4" w:rsidRPr="009A41FC">
        <w:t xml:space="preserve"> </w:t>
      </w:r>
      <w:r w:rsidRPr="009A41FC">
        <w:t xml:space="preserve">or </w:t>
      </w:r>
      <w:r w:rsidR="00744801">
        <w:t>e</w:t>
      </w:r>
      <w:r w:rsidRPr="009A41FC">
        <w:t xml:space="preserve">valuation </w:t>
      </w:r>
      <w:r w:rsidR="00744801">
        <w:t>p</w:t>
      </w:r>
      <w:r w:rsidRPr="009A41FC">
        <w:t xml:space="preserve">lan. </w:t>
      </w:r>
      <w:r w:rsidR="002529C4">
        <w:t>However, w</w:t>
      </w:r>
      <w:r w:rsidRPr="009A41FC">
        <w:t xml:space="preserve">here </w:t>
      </w:r>
      <w:r w:rsidR="002529C4">
        <w:t>terms of reference</w:t>
      </w:r>
      <w:r w:rsidR="002529C4" w:rsidRPr="009A41FC">
        <w:t xml:space="preserve"> </w:t>
      </w:r>
      <w:r w:rsidRPr="009A41FC">
        <w:t xml:space="preserve">and evaluation plans </w:t>
      </w:r>
      <w:r w:rsidR="002529C4">
        <w:t>were</w:t>
      </w:r>
      <w:r w:rsidR="002529C4" w:rsidRPr="009A41FC">
        <w:t xml:space="preserve"> </w:t>
      </w:r>
      <w:r w:rsidRPr="009A41FC">
        <w:t xml:space="preserve">available, </w:t>
      </w:r>
      <w:r w:rsidR="002529C4">
        <w:t>they</w:t>
      </w:r>
      <w:r w:rsidRPr="009A41FC">
        <w:t xml:space="preserve"> were reviewed to identify examples of good practice.</w:t>
      </w:r>
    </w:p>
    <w:p w14:paraId="016D6E19" w14:textId="6119E205" w:rsidR="00612074" w:rsidRPr="00DB0840" w:rsidRDefault="000D584D" w:rsidP="002529C4">
      <w:pPr>
        <w:pStyle w:val="BulletLast"/>
      </w:pPr>
      <w:r>
        <w:t>E</w:t>
      </w:r>
      <w:r w:rsidR="009657A3" w:rsidRPr="00DB0840">
        <w:t xml:space="preserve">ach evaluation </w:t>
      </w:r>
      <w:r>
        <w:t xml:space="preserve">was assessed </w:t>
      </w:r>
      <w:r w:rsidR="009657A3" w:rsidRPr="00DB0840">
        <w:t xml:space="preserve">against </w:t>
      </w:r>
      <w:r w:rsidR="00612074">
        <w:t>a</w:t>
      </w:r>
      <w:r w:rsidR="00612074" w:rsidRPr="00DB0840">
        <w:t xml:space="preserve"> </w:t>
      </w:r>
      <w:r w:rsidR="009657A3" w:rsidRPr="00DB0840">
        <w:t>set of generic criteria without taking into account the intended purpose or utility of the individual evaluation.</w:t>
      </w:r>
      <w:r w:rsidR="00A74814">
        <w:t xml:space="preserve"> </w:t>
      </w:r>
      <w:r w:rsidR="009657A3" w:rsidRPr="00DB0840">
        <w:t>Evaluations can be undertaken for a range of purposes, as reflected in the variation in scope, design and resourcing.</w:t>
      </w:r>
      <w:r w:rsidR="00A74814">
        <w:t xml:space="preserve"> </w:t>
      </w:r>
      <w:r w:rsidR="009657A3" w:rsidRPr="00DB0840">
        <w:t>However, it was not within the scope of this review to assess whether the evaluations were fit for the purpose intended, and we thus reviewed the quality of the evaluations against this set of nine generic evaluation quality standards.</w:t>
      </w:r>
      <w:r w:rsidR="00A74814">
        <w:t xml:space="preserve"> </w:t>
      </w:r>
      <w:r w:rsidR="009657A3" w:rsidRPr="00DB0840">
        <w:t>It is reasonable to expect that all evaluations would at leas</w:t>
      </w:r>
      <w:r w:rsidR="00832A45" w:rsidRPr="00DB0840">
        <w:t>t minimally meet these criteria (</w:t>
      </w:r>
      <w:r w:rsidR="009657A3" w:rsidRPr="00DB0840">
        <w:t xml:space="preserve">with the possible exception of </w:t>
      </w:r>
      <w:r w:rsidR="00744801">
        <w:t>‘</w:t>
      </w:r>
      <w:r w:rsidR="00BD5A99">
        <w:t>a</w:t>
      </w:r>
      <w:r w:rsidR="009657A3" w:rsidRPr="00DB0840">
        <w:t>ssessment of intervention logic</w:t>
      </w:r>
      <w:r w:rsidR="00744801">
        <w:t>’</w:t>
      </w:r>
      <w:r w:rsidR="00832A45" w:rsidRPr="00DB0840">
        <w:t>)</w:t>
      </w:r>
      <w:r w:rsidR="009657A3" w:rsidRPr="00DB0840">
        <w:t>.</w:t>
      </w:r>
      <w:r w:rsidR="00A74814">
        <w:t xml:space="preserve"> </w:t>
      </w:r>
      <w:r w:rsidR="00832A45" w:rsidRPr="00DB0840">
        <w:t>This also includes joint or partner-led evaluations.</w:t>
      </w:r>
    </w:p>
    <w:p w14:paraId="5E256E67" w14:textId="796F7838" w:rsidR="001B3678" w:rsidRPr="007D2F49" w:rsidRDefault="002B1AEE" w:rsidP="003022E7">
      <w:pPr>
        <w:pStyle w:val="Heading2"/>
      </w:pPr>
      <w:bookmarkStart w:id="286" w:name="_Toc387675134"/>
      <w:r>
        <w:t>5</w:t>
      </w:r>
      <w:r w:rsidR="003022E7">
        <w:tab/>
      </w:r>
      <w:r w:rsidR="001B3678" w:rsidRPr="007D2F49">
        <w:t xml:space="preserve">Conflict of </w:t>
      </w:r>
      <w:r w:rsidR="002C1FF4">
        <w:t>i</w:t>
      </w:r>
      <w:r w:rsidR="001B3678" w:rsidRPr="007D2F49">
        <w:t>nterest</w:t>
      </w:r>
      <w:bookmarkEnd w:id="286"/>
    </w:p>
    <w:p w14:paraId="5D093D89" w14:textId="26B8B3A6" w:rsidR="001B3678" w:rsidRPr="00E57F60" w:rsidRDefault="001B3678" w:rsidP="007C5B69">
      <w:r w:rsidRPr="00E57F60">
        <w:t xml:space="preserve">A potential conflict of interest </w:t>
      </w:r>
      <w:r w:rsidR="00A56D60">
        <w:t>may</w:t>
      </w:r>
      <w:r w:rsidRPr="00E57F60">
        <w:t xml:space="preserve"> </w:t>
      </w:r>
      <w:r>
        <w:t xml:space="preserve">have </w:t>
      </w:r>
      <w:r w:rsidRPr="00E57F60">
        <w:t>arise</w:t>
      </w:r>
      <w:r>
        <w:t>n</w:t>
      </w:r>
      <w:r w:rsidRPr="00E57F60">
        <w:t xml:space="preserve"> if the team were to review an evaluation</w:t>
      </w:r>
      <w:r>
        <w:t xml:space="preserve"> or an initiative</w:t>
      </w:r>
      <w:r w:rsidRPr="00E57F60">
        <w:t xml:space="preserve"> that either ITAD </w:t>
      </w:r>
      <w:r w:rsidR="007C5B69">
        <w:t xml:space="preserve">Ltd </w:t>
      </w:r>
      <w:r w:rsidRPr="00E57F60">
        <w:t>or individual review team members were involved in designing, implementing or evaluating. However</w:t>
      </w:r>
      <w:r w:rsidR="007C5B69">
        <w:t>,</w:t>
      </w:r>
      <w:r w:rsidRPr="00E57F60">
        <w:t xml:space="preserve"> this </w:t>
      </w:r>
      <w:r>
        <w:t>did not occur</w:t>
      </w:r>
      <w:r w:rsidRPr="00E57F60">
        <w:rPr>
          <w:szCs w:val="21"/>
        </w:rPr>
        <w:t>.</w:t>
      </w:r>
      <w:r w:rsidR="00A74814">
        <w:rPr>
          <w:szCs w:val="21"/>
        </w:rPr>
        <w:t xml:space="preserve"> </w:t>
      </w:r>
    </w:p>
    <w:p w14:paraId="468A8716" w14:textId="43CA0202" w:rsidR="00C65757" w:rsidRPr="00DB0840" w:rsidRDefault="002B1AEE" w:rsidP="003022E7">
      <w:pPr>
        <w:pStyle w:val="Heading2"/>
      </w:pPr>
      <w:bookmarkStart w:id="287" w:name="_Toc387675135"/>
      <w:r>
        <w:t>6</w:t>
      </w:r>
      <w:r w:rsidR="003022E7">
        <w:tab/>
      </w:r>
      <w:r w:rsidR="00C65757" w:rsidRPr="00DB0840">
        <w:t>Ethical conduct</w:t>
      </w:r>
      <w:bookmarkEnd w:id="287"/>
    </w:p>
    <w:p w14:paraId="0E99A6FF" w14:textId="77777777" w:rsidR="007C5B69" w:rsidRDefault="007C5B69" w:rsidP="007C5B69">
      <w:r>
        <w:t xml:space="preserve">ODE’s evaluations are guided by relevant professional standards, including the </w:t>
      </w:r>
      <w:r w:rsidRPr="00DB0840">
        <w:t>Australasian Evaluation Society's guidelines for the ethical conduct of evaluations</w:t>
      </w:r>
      <w:r>
        <w:t>.</w:t>
      </w:r>
      <w:r w:rsidRPr="00E57F60">
        <w:t xml:space="preserve"> </w:t>
      </w:r>
    </w:p>
    <w:p w14:paraId="37A83052" w14:textId="7D0446A9" w:rsidR="007C5B69" w:rsidRDefault="007C5B69" w:rsidP="007C5B69">
      <w:pPr>
        <w:rPr>
          <w:rFonts w:ascii="Calibri" w:hAnsi="Calibri"/>
          <w:b/>
          <w:bCs/>
          <w:color w:val="31849B"/>
          <w:sz w:val="44"/>
          <w:szCs w:val="44"/>
          <w:lang w:val="en-GB" w:eastAsia="en-GB"/>
        </w:rPr>
      </w:pPr>
      <w:r w:rsidRPr="00525C3F">
        <w:t xml:space="preserve">ITAD </w:t>
      </w:r>
      <w:r>
        <w:t>adopts</w:t>
      </w:r>
      <w:r w:rsidRPr="00525C3F">
        <w:t xml:space="preserve"> accepted standards and ethical principles for the conduct of evaluations. ITAD is a corporate member of the UK Evaluation Society (UKES) and the </w:t>
      </w:r>
      <w:r w:rsidRPr="009101E7">
        <w:t>International Development Evaluation Association (IDEAS),</w:t>
      </w:r>
      <w:r w:rsidRPr="00525C3F">
        <w:t xml:space="preserve"> and </w:t>
      </w:r>
      <w:r>
        <w:t xml:space="preserve">adopts </w:t>
      </w:r>
      <w:r w:rsidRPr="00525C3F">
        <w:t xml:space="preserve">the UKES </w:t>
      </w:r>
      <w:r w:rsidRPr="00525C3F">
        <w:rPr>
          <w:i/>
          <w:iCs/>
        </w:rPr>
        <w:t>Guidelines for good practice in evaluation</w:t>
      </w:r>
      <w:r w:rsidRPr="00525C3F">
        <w:t xml:space="preserve"> and the IDEAS</w:t>
      </w:r>
      <w:r w:rsidRPr="00525C3F">
        <w:rPr>
          <w:i/>
          <w:iCs/>
        </w:rPr>
        <w:t xml:space="preserve"> Competencies for </w:t>
      </w:r>
      <w:r>
        <w:rPr>
          <w:i/>
          <w:iCs/>
        </w:rPr>
        <w:t>d</w:t>
      </w:r>
      <w:r w:rsidRPr="00525C3F">
        <w:rPr>
          <w:i/>
          <w:iCs/>
        </w:rPr>
        <w:t xml:space="preserve">evelopment </w:t>
      </w:r>
      <w:r>
        <w:rPr>
          <w:i/>
          <w:iCs/>
        </w:rPr>
        <w:t>e</w:t>
      </w:r>
      <w:r w:rsidRPr="00525C3F">
        <w:rPr>
          <w:i/>
          <w:iCs/>
        </w:rPr>
        <w:t xml:space="preserve">valuation </w:t>
      </w:r>
      <w:r>
        <w:rPr>
          <w:i/>
          <w:iCs/>
        </w:rPr>
        <w:t>e</w:t>
      </w:r>
      <w:r w:rsidRPr="00525C3F">
        <w:rPr>
          <w:i/>
          <w:iCs/>
        </w:rPr>
        <w:t xml:space="preserve">valuators, </w:t>
      </w:r>
      <w:r>
        <w:rPr>
          <w:i/>
          <w:iCs/>
        </w:rPr>
        <w:t>m</w:t>
      </w:r>
      <w:r w:rsidRPr="00525C3F">
        <w:rPr>
          <w:i/>
          <w:iCs/>
        </w:rPr>
        <w:t xml:space="preserve">anagers, and </w:t>
      </w:r>
      <w:r>
        <w:rPr>
          <w:i/>
          <w:iCs/>
        </w:rPr>
        <w:t>c</w:t>
      </w:r>
      <w:r w:rsidRPr="00525C3F">
        <w:rPr>
          <w:i/>
          <w:iCs/>
        </w:rPr>
        <w:t>ommissioners</w:t>
      </w:r>
      <w:r w:rsidRPr="00525C3F">
        <w:t>. ITAD</w:t>
      </w:r>
      <w:r>
        <w:t xml:space="preserve"> </w:t>
      </w:r>
      <w:r w:rsidRPr="00525C3F">
        <w:t xml:space="preserve">recognises the </w:t>
      </w:r>
      <w:r w:rsidRPr="009101E7">
        <w:rPr>
          <w:iCs/>
        </w:rPr>
        <w:t>United Nations Evaluation Group</w:t>
      </w:r>
      <w:r>
        <w:rPr>
          <w:iCs/>
        </w:rPr>
        <w:t>’s</w:t>
      </w:r>
      <w:r w:rsidRPr="009101E7" w:rsidDel="009101E7">
        <w:rPr>
          <w:iCs/>
        </w:rPr>
        <w:t xml:space="preserve"> </w:t>
      </w:r>
      <w:r w:rsidRPr="00525C3F">
        <w:rPr>
          <w:i/>
          <w:iCs/>
        </w:rPr>
        <w:t xml:space="preserve">Ethical </w:t>
      </w:r>
      <w:r>
        <w:rPr>
          <w:i/>
          <w:iCs/>
        </w:rPr>
        <w:t>g</w:t>
      </w:r>
      <w:r w:rsidRPr="00525C3F">
        <w:rPr>
          <w:i/>
          <w:iCs/>
        </w:rPr>
        <w:t xml:space="preserve">uidelines for </w:t>
      </w:r>
      <w:r>
        <w:rPr>
          <w:i/>
          <w:iCs/>
        </w:rPr>
        <w:t>e</w:t>
      </w:r>
      <w:r w:rsidRPr="00525C3F">
        <w:rPr>
          <w:i/>
          <w:iCs/>
        </w:rPr>
        <w:t>valuation,</w:t>
      </w:r>
      <w:r w:rsidRPr="00525C3F">
        <w:t xml:space="preserve"> </w:t>
      </w:r>
      <w:r>
        <w:rPr>
          <w:iCs/>
        </w:rPr>
        <w:t xml:space="preserve">the UK </w:t>
      </w:r>
      <w:r w:rsidRPr="009101E7">
        <w:rPr>
          <w:iCs/>
        </w:rPr>
        <w:t>Department for International Development</w:t>
      </w:r>
      <w:r>
        <w:rPr>
          <w:iCs/>
        </w:rPr>
        <w:t>’s</w:t>
      </w:r>
      <w:r w:rsidRPr="009101E7">
        <w:rPr>
          <w:iCs/>
        </w:rPr>
        <w:t xml:space="preserve"> </w:t>
      </w:r>
      <w:r w:rsidRPr="00525C3F">
        <w:rPr>
          <w:i/>
          <w:iCs/>
        </w:rPr>
        <w:t xml:space="preserve">Ethics </w:t>
      </w:r>
      <w:r>
        <w:rPr>
          <w:i/>
          <w:iCs/>
        </w:rPr>
        <w:t>p</w:t>
      </w:r>
      <w:r w:rsidRPr="00525C3F">
        <w:rPr>
          <w:i/>
          <w:iCs/>
        </w:rPr>
        <w:t xml:space="preserve">rinciples for </w:t>
      </w:r>
      <w:r>
        <w:rPr>
          <w:i/>
          <w:iCs/>
        </w:rPr>
        <w:t>r</w:t>
      </w:r>
      <w:r w:rsidRPr="00525C3F">
        <w:rPr>
          <w:i/>
          <w:iCs/>
        </w:rPr>
        <w:t xml:space="preserve">esearch and </w:t>
      </w:r>
      <w:r>
        <w:rPr>
          <w:i/>
          <w:iCs/>
        </w:rPr>
        <w:t>e</w:t>
      </w:r>
      <w:r w:rsidRPr="00525C3F">
        <w:rPr>
          <w:i/>
          <w:iCs/>
        </w:rPr>
        <w:t xml:space="preserve">valuation </w:t>
      </w:r>
      <w:r w:rsidRPr="00525C3F">
        <w:t xml:space="preserve">and </w:t>
      </w:r>
      <w:r w:rsidRPr="001C2D74">
        <w:t>the</w:t>
      </w:r>
      <w:r w:rsidRPr="00AD6A55">
        <w:t xml:space="preserve"> OECD</w:t>
      </w:r>
      <w:r w:rsidRPr="001C2D74">
        <w:t xml:space="preserve"> </w:t>
      </w:r>
      <w:r w:rsidRPr="00AD6A55">
        <w:rPr>
          <w:iCs/>
        </w:rPr>
        <w:t>Development Assistance Committee</w:t>
      </w:r>
      <w:r>
        <w:rPr>
          <w:iCs/>
        </w:rPr>
        <w:t>’s</w:t>
      </w:r>
      <w:r w:rsidRPr="00AD6A55" w:rsidDel="00642298">
        <w:rPr>
          <w:iCs/>
        </w:rPr>
        <w:t xml:space="preserve"> </w:t>
      </w:r>
      <w:r w:rsidRPr="00525C3F">
        <w:rPr>
          <w:i/>
          <w:iCs/>
        </w:rPr>
        <w:t xml:space="preserve">Quality </w:t>
      </w:r>
      <w:r>
        <w:rPr>
          <w:i/>
          <w:iCs/>
        </w:rPr>
        <w:t>s</w:t>
      </w:r>
      <w:r w:rsidRPr="00525C3F">
        <w:rPr>
          <w:i/>
          <w:iCs/>
        </w:rPr>
        <w:t xml:space="preserve">tandards for </w:t>
      </w:r>
      <w:r>
        <w:rPr>
          <w:i/>
          <w:iCs/>
        </w:rPr>
        <w:t>d</w:t>
      </w:r>
      <w:r w:rsidRPr="00525C3F">
        <w:rPr>
          <w:i/>
          <w:iCs/>
        </w:rPr>
        <w:t xml:space="preserve">evelopment </w:t>
      </w:r>
      <w:r>
        <w:rPr>
          <w:i/>
          <w:iCs/>
        </w:rPr>
        <w:t>e</w:t>
      </w:r>
      <w:r w:rsidRPr="00525C3F">
        <w:rPr>
          <w:i/>
          <w:iCs/>
        </w:rPr>
        <w:t>valuation</w:t>
      </w:r>
      <w:r w:rsidRPr="00525C3F">
        <w:t>.</w:t>
      </w:r>
      <w:r>
        <w:t xml:space="preserve"> </w:t>
      </w:r>
      <w:r w:rsidRPr="00525C3F">
        <w:t>For this review, ITAD observed the Code of Ethics of the Australasian Evaluation Society</w:t>
      </w:r>
      <w:r>
        <w:t>.</w:t>
      </w:r>
    </w:p>
    <w:bookmarkStart w:id="288" w:name="_Toc378060026"/>
    <w:bookmarkStart w:id="289" w:name="_Toc387675136"/>
    <w:p w14:paraId="66BD171D" w14:textId="539182C9" w:rsidR="00E57F60" w:rsidRPr="008C7811" w:rsidRDefault="003022E7" w:rsidP="003022E7">
      <w:pPr>
        <w:pStyle w:val="Heading1"/>
      </w:pPr>
      <w:r>
        <w:rPr>
          <w:noProof/>
        </w:rPr>
        <w:lastRenderedPageBreak/>
        <mc:AlternateContent>
          <mc:Choice Requires="wps">
            <w:drawing>
              <wp:anchor distT="0" distB="0" distL="114300" distR="114300" simplePos="0" relativeHeight="251680768" behindDoc="1" locked="0" layoutInCell="1" allowOverlap="1" wp14:anchorId="38F1F605" wp14:editId="51359B28">
                <wp:simplePos x="0" y="0"/>
                <wp:positionH relativeFrom="page">
                  <wp:align>left</wp:align>
                </wp:positionH>
                <wp:positionV relativeFrom="paragraph">
                  <wp:posOffset>-144145</wp:posOffset>
                </wp:positionV>
                <wp:extent cx="7610400" cy="1468800"/>
                <wp:effectExtent l="0" t="0" r="0" b="0"/>
                <wp:wrapNone/>
                <wp:docPr id="291" name="Rectangle 291"/>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7259514" id="Rectangle 291" o:spid="_x0000_s1026" style="position:absolute;margin-left:0;margin-top:-11.35pt;width:599.25pt;height:115.65pt;z-index:-2516357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MEmAIAAIoFAAAOAAAAZHJzL2Uyb0RvYy54bWysVMFu2zAMvQ/YPwi6r7YDN02DOkXQosOA&#10;oi3aDj0rshQbkEVNUuJkXz9Kst2uK3YYloMiiuQj+Uzy4vLQKbIX1rWgK1qc5JQIzaFu9bai359v&#10;viwocZ7pminQoqJH4ejl6vOni94sxQwaULWwBEG0W/amoo33ZplljjeiY+4EjNColGA75lG026y2&#10;rEf0TmWzPJ9nPdjaWODCOXy9Tkq6ivhSCu7vpXTCE1VRzM3H08ZzE85sdcGWW8tM0/IhDfYPWXSs&#10;1Rh0grpmnpGdbf+A6lpuwYH0Jxy6DKRsuYg1YDVF/q6ap4YZEWtBcpyZaHL/D5bf7R8saeuKzs4L&#10;SjTr8CM9Im1Mb5Ug4REp6o1bouWTebCD5PAa6j1I24V/rIQcIq3HiVZx8ITj49m8yMsc2eeoK8r5&#10;YoEC4mSv7sY6/1VAR8KlohYTiHSy/a3zyXQ0CdEcqLa+aZWKgt1urpQle4bfuJiV5WI+oP9mpnQw&#10;1hDcEmJ4yUJpqZh480clgp3Sj0IiL5j+LGYSO1JMcRjnQvsiqRpWixT+NMffGD30cPCIlUbAgCwx&#10;/oQ9AIyWCWTETlkO9sFVxIaenPO/JZacJ48YGbSfnLtWg/0IQGFVQ+RkP5KUqAksbaA+YtdYSOPk&#10;DL9p8bvdMucfmMX5wW+NO8Hf4yEV9BWF4UZJA/bnR+/BHtsatZT0OI8VdT92zApK1DeNDX9elGUY&#10;4CiUp2czFOxbzeatRu+6KwjtgNvH8HgN9l6NV2mhe8HVsQ5RUcU0x9gV5d6OwpVPewKXDxfrdTTD&#10;oTXM3+onwwN4YDX05fPhhVkzNK/Hvr+DcXbZ8l0PJ9vgqWG98yDb2OCvvA5848DHxhmWU9gob+Vo&#10;9bpCV78AAAD//wMAUEsDBBQABgAIAAAAIQCZICkm3QAAAAkBAAAPAAAAZHJzL2Rvd25yZXYueG1s&#10;TI/BTsMwEETvSPyDtUjcWidGlBCyqVAlOETiQEvvbrzEEfE6xG4b/h73BMfRjGbeVOvZDeJEU+g9&#10;I+TLDARx603PHcLH7mVRgAhRs9GDZ0L4oQDr+vqq0qXxZ36n0zZ2IpVwKDWCjXEspQytJafD0o/E&#10;yfv0k9MxyamTZtLnVO4GqbJsJZ3uOS1YPdLGUvu1PTqEpiC7796aYf5udrnc3L36PSnE25v5+QlE&#10;pDn+heGCn9ChTkwHf2QTxICQjkSEhVIPIC52/ljcgzggqKxYgawr+f9B/QsAAP//AwBQSwECLQAU&#10;AAYACAAAACEAtoM4kv4AAADhAQAAEwAAAAAAAAAAAAAAAAAAAAAAW0NvbnRlbnRfVHlwZXNdLnht&#10;bFBLAQItABQABgAIAAAAIQA4/SH/1gAAAJQBAAALAAAAAAAAAAAAAAAAAC8BAABfcmVscy8ucmVs&#10;c1BLAQItABQABgAIAAAAIQDM5LMEmAIAAIoFAAAOAAAAAAAAAAAAAAAAAC4CAABkcnMvZTJvRG9j&#10;LnhtbFBLAQItABQABgAIAAAAIQCZICkm3QAAAAkBAAAPAAAAAAAAAAAAAAAAAPIEAABkcnMvZG93&#10;bnJldi54bWxQSwUGAAAAAAQABADzAAAA/AUAAAAA&#10;" fillcolor="#124486" stroked="f" strokeweight="2pt">
                <w10:wrap anchorx="page"/>
              </v:rect>
            </w:pict>
          </mc:Fallback>
        </mc:AlternateContent>
      </w:r>
      <w:r w:rsidR="00E57F60" w:rsidRPr="008C7811">
        <w:t xml:space="preserve">Annex </w:t>
      </w:r>
      <w:r w:rsidR="00964314" w:rsidRPr="008C7811">
        <w:t>3</w:t>
      </w:r>
      <w:r w:rsidR="00E57F60" w:rsidRPr="008C7811">
        <w:t>:</w:t>
      </w:r>
      <w:r w:rsidR="00A74814">
        <w:t xml:space="preserve"> </w:t>
      </w:r>
      <w:r w:rsidR="00E57F60" w:rsidRPr="008C7811">
        <w:t>Pro</w:t>
      </w:r>
      <w:r w:rsidR="002C1FF4">
        <w:t xml:space="preserve"> </w:t>
      </w:r>
      <w:r w:rsidR="008328B4" w:rsidRPr="008C7811">
        <w:t>f</w:t>
      </w:r>
      <w:r w:rsidR="00E57F60" w:rsidRPr="008C7811">
        <w:t xml:space="preserve">orma for </w:t>
      </w:r>
      <w:r w:rsidR="008328B4" w:rsidRPr="008C7811">
        <w:t>q</w:t>
      </w:r>
      <w:r w:rsidR="00E57F60" w:rsidRPr="008C7811">
        <w:t xml:space="preserve">uality </w:t>
      </w:r>
      <w:r w:rsidR="008328B4" w:rsidRPr="008C7811">
        <w:t>r</w:t>
      </w:r>
      <w:r w:rsidR="00E57F60" w:rsidRPr="008C7811">
        <w:t>eview</w:t>
      </w:r>
      <w:bookmarkEnd w:id="210"/>
      <w:bookmarkEnd w:id="211"/>
      <w:bookmarkEnd w:id="212"/>
      <w:bookmarkEnd w:id="213"/>
      <w:bookmarkEnd w:id="288"/>
      <w:bookmarkEnd w:id="289"/>
      <w:r w:rsidR="00A74814">
        <w:t xml:space="preserve"> </w:t>
      </w:r>
    </w:p>
    <w:p w14:paraId="6B49D728" w14:textId="77777777" w:rsidR="00960329" w:rsidRDefault="00960329" w:rsidP="00B17E99">
      <w:pPr>
        <w:rPr>
          <w:rFonts w:eastAsia="Calibri"/>
          <w:lang w:val="en-GB" w:eastAsia="en-US"/>
        </w:rPr>
      </w:pPr>
      <w:bookmarkStart w:id="290" w:name="_Toc366500451"/>
      <w:bookmarkStart w:id="291" w:name="_Toc366506458"/>
      <w:bookmarkStart w:id="292" w:name="_Toc366515894"/>
      <w:bookmarkStart w:id="293" w:name="_Toc372723899"/>
      <w:bookmarkStart w:id="294" w:name="_Toc378060028"/>
      <w:bookmarkStart w:id="295" w:name="_Toc366500453"/>
      <w:bookmarkStart w:id="296" w:name="_Toc366506460"/>
      <w:bookmarkStart w:id="297" w:name="_Toc366515896"/>
      <w:bookmarkStart w:id="298" w:name="_Toc372723901"/>
    </w:p>
    <w:p w14:paraId="7F2CB1B6" w14:textId="7CE12D42" w:rsidR="00B17E99" w:rsidRDefault="00B17E99" w:rsidP="00B17E99">
      <w:pPr>
        <w:rPr>
          <w:rFonts w:eastAsia="Calibri"/>
          <w:lang w:val="en-GB" w:eastAsia="en-US"/>
        </w:rPr>
      </w:pPr>
      <w:r>
        <w:rPr>
          <w:rFonts w:eastAsia="Calibri"/>
          <w:lang w:val="en-GB" w:eastAsia="en-US"/>
        </w:rPr>
        <w:t>This pro</w:t>
      </w:r>
      <w:r w:rsidR="002C1FF4">
        <w:rPr>
          <w:rFonts w:eastAsia="Calibri"/>
          <w:lang w:val="en-GB" w:eastAsia="en-US"/>
        </w:rPr>
        <w:t xml:space="preserve"> </w:t>
      </w:r>
      <w:r w:rsidR="003C6677">
        <w:rPr>
          <w:rFonts w:eastAsia="Calibri"/>
          <w:lang w:val="en-GB" w:eastAsia="en-US"/>
        </w:rPr>
        <w:t xml:space="preserve">forma was </w:t>
      </w:r>
      <w:r>
        <w:rPr>
          <w:rFonts w:eastAsia="Calibri"/>
          <w:lang w:val="en-GB" w:eastAsia="en-US"/>
        </w:rPr>
        <w:t>used by the ITAD review team to assess and rate the 87 evaluations against the 15 quality criteria.</w:t>
      </w:r>
    </w:p>
    <w:p w14:paraId="70AA8ED2" w14:textId="77777777" w:rsidR="00B17E99" w:rsidRPr="00E57F60" w:rsidRDefault="00B17E99" w:rsidP="00B17E99">
      <w:pPr>
        <w:pStyle w:val="Heading3"/>
        <w:rPr>
          <w:rFonts w:eastAsia="Calibri"/>
          <w:lang w:val="en-GB" w:eastAsia="en-US"/>
        </w:rPr>
      </w:pPr>
      <w:bookmarkStart w:id="299" w:name="_Toc373303743"/>
      <w:bookmarkStart w:id="300" w:name="_Toc373304310"/>
      <w:bookmarkStart w:id="301" w:name="_Toc378059937"/>
      <w:r w:rsidRPr="00E57F60">
        <w:rPr>
          <w:rFonts w:eastAsia="Calibri"/>
          <w:lang w:val="en-GB" w:eastAsia="en-US"/>
        </w:rPr>
        <w:t>Cover sheet</w:t>
      </w:r>
      <w:bookmarkEnd w:id="299"/>
      <w:bookmarkEnd w:id="300"/>
      <w:bookmarkEnd w:id="301"/>
    </w:p>
    <w:p w14:paraId="5A360A4B" w14:textId="5701E20F" w:rsidR="00B17E99" w:rsidRPr="00E57F60" w:rsidRDefault="00B17E99">
      <w:pPr>
        <w:rPr>
          <w:rFonts w:eastAsia="Calibri"/>
          <w:lang w:val="en-US" w:eastAsia="en-US"/>
        </w:rPr>
      </w:pPr>
      <w:r w:rsidRPr="00E57F60">
        <w:rPr>
          <w:rFonts w:eastAsia="Calibri"/>
          <w:lang w:val="en-US" w:eastAsia="en-US"/>
        </w:rPr>
        <w:t xml:space="preserve">ITAD </w:t>
      </w:r>
      <w:r w:rsidR="00744801">
        <w:rPr>
          <w:rFonts w:eastAsia="Calibri"/>
          <w:lang w:val="en-US" w:eastAsia="en-US"/>
        </w:rPr>
        <w:t>r</w:t>
      </w:r>
      <w:r w:rsidRPr="00E57F60">
        <w:rPr>
          <w:rFonts w:eastAsia="Calibri"/>
          <w:lang w:val="en-US" w:eastAsia="en-US"/>
        </w:rPr>
        <w:t>eviewer</w:t>
      </w:r>
      <w:r w:rsidR="000034F3">
        <w:rPr>
          <w:rFonts w:eastAsia="Calibri"/>
          <w:lang w:val="en-US" w:eastAsia="en-US"/>
        </w:rPr>
        <w:t>:</w:t>
      </w:r>
      <w:r w:rsidRPr="00E57F60">
        <w:rPr>
          <w:rFonts w:eastAsia="Calibri"/>
          <w:lang w:val="en-US" w:eastAsia="en-US"/>
        </w:rPr>
        <w:t xml:space="preserve"> [</w:t>
      </w:r>
      <w:r w:rsidRPr="00E57F60">
        <w:rPr>
          <w:rFonts w:eastAsia="Calibri"/>
          <w:lang w:val="en-US" w:eastAsia="en-US"/>
        </w:rPr>
        <w:tab/>
      </w:r>
      <w:r w:rsidR="00A74814">
        <w:rPr>
          <w:rFonts w:eastAsia="Calibri"/>
          <w:lang w:val="en-US" w:eastAsia="en-US"/>
        </w:rPr>
        <w:t xml:space="preserve"> </w:t>
      </w:r>
      <w:r w:rsidRPr="00E57F60">
        <w:rPr>
          <w:rFonts w:eastAsia="Calibri"/>
          <w:lang w:val="en-US" w:eastAsia="en-US"/>
        </w:rPr>
        <w:tab/>
        <w:t>]</w:t>
      </w:r>
    </w:p>
    <w:p w14:paraId="6635D0C3" w14:textId="77777777" w:rsidR="00B17E99" w:rsidRPr="00E57F60" w:rsidRDefault="00B17E99">
      <w:pPr>
        <w:rPr>
          <w:rFonts w:eastAsia="Calibri"/>
          <w:lang w:val="en-US" w:eastAsia="en-US"/>
        </w:rPr>
      </w:pPr>
      <w:r w:rsidRPr="00E57F60">
        <w:rPr>
          <w:rFonts w:eastAsia="Calibri"/>
          <w:lang w:val="en-US" w:eastAsia="en-US"/>
        </w:rPr>
        <w:t>Initiative name:</w:t>
      </w:r>
      <w:r w:rsidRPr="00E57F60">
        <w:rPr>
          <w:rFonts w:eastAsia="Calibri"/>
          <w:lang w:val="en-US" w:eastAsia="en-US"/>
        </w:rPr>
        <w:tab/>
        <w:t>[</w:t>
      </w:r>
      <w:r w:rsidRPr="00E57F60">
        <w:rPr>
          <w:rFonts w:eastAsia="Calibri"/>
          <w:lang w:val="en-US" w:eastAsia="en-US"/>
        </w:rPr>
        <w:tab/>
      </w:r>
      <w:r w:rsidRPr="00E57F60">
        <w:rPr>
          <w:rFonts w:eastAsia="Calibri"/>
          <w:lang w:val="en-US" w:eastAsia="en-US"/>
        </w:rPr>
        <w:tab/>
        <w:t>]</w:t>
      </w:r>
      <w:r w:rsidRPr="00E57F60">
        <w:rPr>
          <w:rFonts w:eastAsia="Calibri"/>
          <w:lang w:val="en-US" w:eastAsia="en-US"/>
        </w:rPr>
        <w:tab/>
        <w:t>Country: [</w:t>
      </w:r>
      <w:r w:rsidRPr="00E57F60">
        <w:rPr>
          <w:rFonts w:eastAsia="Calibri"/>
          <w:lang w:val="en-US" w:eastAsia="en-US"/>
        </w:rPr>
        <w:tab/>
      </w:r>
      <w:r w:rsidRPr="00E57F60">
        <w:rPr>
          <w:rFonts w:eastAsia="Calibri"/>
          <w:lang w:val="en-US" w:eastAsia="en-US"/>
        </w:rPr>
        <w:tab/>
        <w:t>]</w:t>
      </w:r>
      <w:r w:rsidR="00A74814">
        <w:rPr>
          <w:rFonts w:eastAsia="Calibri"/>
          <w:lang w:val="en-US" w:eastAsia="en-US"/>
        </w:rPr>
        <w:t xml:space="preserve"> </w:t>
      </w:r>
      <w:r w:rsidRPr="00E57F60">
        <w:rPr>
          <w:rFonts w:eastAsia="Calibri"/>
          <w:lang w:val="en-US" w:eastAsia="en-US"/>
        </w:rPr>
        <w:t>Sector: [</w:t>
      </w:r>
      <w:r w:rsidRPr="00E57F60">
        <w:rPr>
          <w:rFonts w:eastAsia="Calibri"/>
          <w:lang w:val="en-US" w:eastAsia="en-US"/>
        </w:rPr>
        <w:tab/>
      </w:r>
      <w:r w:rsidRPr="00E57F60">
        <w:rPr>
          <w:rFonts w:eastAsia="Calibri"/>
          <w:lang w:val="en-US" w:eastAsia="en-US"/>
        </w:rPr>
        <w:tab/>
        <w:t>]</w:t>
      </w:r>
    </w:p>
    <w:p w14:paraId="3996A9CC" w14:textId="77777777" w:rsidR="00B17E99" w:rsidRPr="00E57F60" w:rsidRDefault="00B17E99">
      <w:pPr>
        <w:rPr>
          <w:rFonts w:eastAsia="Calibri"/>
          <w:lang w:val="en-US" w:eastAsia="en-US"/>
        </w:rPr>
      </w:pPr>
      <w:r w:rsidRPr="00E57F60">
        <w:rPr>
          <w:rFonts w:eastAsia="Calibri"/>
          <w:lang w:val="en-US" w:eastAsia="en-US"/>
        </w:rPr>
        <w:t>Date of evaluation: [</w:t>
      </w:r>
      <w:r w:rsidRPr="00E57F60">
        <w:rPr>
          <w:rFonts w:eastAsia="Calibri"/>
          <w:lang w:val="en-US" w:eastAsia="en-US"/>
        </w:rPr>
        <w:tab/>
        <w:t>/</w:t>
      </w:r>
      <w:r w:rsidRPr="00E57F60">
        <w:rPr>
          <w:rFonts w:eastAsia="Calibri"/>
          <w:lang w:val="en-US" w:eastAsia="en-US"/>
        </w:rPr>
        <w:tab/>
        <w:t>/ 2012 ]</w:t>
      </w:r>
      <w:r w:rsidRPr="00E57F60">
        <w:rPr>
          <w:rFonts w:eastAsia="Calibri"/>
          <w:lang w:val="en-US" w:eastAsia="en-US"/>
        </w:rPr>
        <w:tab/>
      </w:r>
      <w:r w:rsidRPr="00E57F60">
        <w:rPr>
          <w:rFonts w:eastAsia="Calibri"/>
          <w:lang w:val="en-US" w:eastAsia="en-US"/>
        </w:rPr>
        <w:tab/>
      </w:r>
    </w:p>
    <w:p w14:paraId="63FCD298" w14:textId="2C065606" w:rsidR="00B17E99" w:rsidRPr="00E57F60" w:rsidRDefault="00B17E99">
      <w:pPr>
        <w:rPr>
          <w:rFonts w:eastAsia="Calibri"/>
          <w:lang w:val="en-US" w:eastAsia="en-US"/>
        </w:rPr>
      </w:pPr>
      <w:r w:rsidRPr="00E57F60">
        <w:rPr>
          <w:rFonts w:eastAsia="Calibri"/>
          <w:lang w:val="en-US" w:eastAsia="en-US"/>
        </w:rPr>
        <w:t>Type of evaluation: [</w:t>
      </w:r>
      <w:r w:rsidRPr="00E57F60">
        <w:rPr>
          <w:rFonts w:eastAsia="Calibri"/>
          <w:lang w:val="en-US" w:eastAsia="en-US"/>
        </w:rPr>
        <w:tab/>
      </w:r>
      <w:r w:rsidRPr="00E57F60">
        <w:rPr>
          <w:rFonts w:eastAsia="Calibri"/>
          <w:lang w:val="en-US" w:eastAsia="en-US"/>
        </w:rPr>
        <w:tab/>
        <w:t>]</w:t>
      </w:r>
      <w:r w:rsidRPr="00E57F60">
        <w:rPr>
          <w:rFonts w:eastAsia="Calibri"/>
          <w:lang w:val="en-US" w:eastAsia="en-US"/>
        </w:rPr>
        <w:tab/>
        <w:t>Partner-led (joint)</w:t>
      </w:r>
      <w:r w:rsidR="000034F3">
        <w:rPr>
          <w:rFonts w:eastAsia="Calibri"/>
          <w:lang w:val="en-US" w:eastAsia="en-US"/>
        </w:rPr>
        <w:t>:</w:t>
      </w:r>
      <w:r w:rsidR="00A74814">
        <w:rPr>
          <w:rFonts w:eastAsia="Calibri"/>
          <w:lang w:val="en-US" w:eastAsia="en-US"/>
        </w:rPr>
        <w:t xml:space="preserve"> </w:t>
      </w:r>
      <w:r w:rsidR="000034F3">
        <w:rPr>
          <w:rFonts w:eastAsia="Calibri"/>
          <w:lang w:val="en-US" w:eastAsia="en-US"/>
        </w:rPr>
        <w:t>y/n</w:t>
      </w:r>
      <w:r w:rsidRPr="00E57F60">
        <w:rPr>
          <w:rFonts w:eastAsia="Calibri"/>
          <w:lang w:val="en-US" w:eastAsia="en-US"/>
        </w:rPr>
        <w:tab/>
        <w:t xml:space="preserve"> </w:t>
      </w:r>
      <w:r w:rsidR="000034F3">
        <w:rPr>
          <w:rFonts w:eastAsia="Calibri"/>
          <w:lang w:val="en-US" w:eastAsia="en-US"/>
        </w:rPr>
        <w:tab/>
      </w:r>
      <w:r w:rsidRPr="00E57F60">
        <w:rPr>
          <w:rFonts w:eastAsia="Calibri"/>
          <w:lang w:val="en-US" w:eastAsia="en-US"/>
        </w:rPr>
        <w:t>Cluster</w:t>
      </w:r>
      <w:r w:rsidR="000034F3">
        <w:rPr>
          <w:rFonts w:eastAsia="Calibri"/>
          <w:lang w:val="en-US" w:eastAsia="en-US"/>
        </w:rPr>
        <w:t>:</w:t>
      </w:r>
      <w:r w:rsidR="00A74814">
        <w:rPr>
          <w:rFonts w:eastAsia="Calibri"/>
          <w:lang w:val="en-US" w:eastAsia="en-US"/>
        </w:rPr>
        <w:t xml:space="preserve"> </w:t>
      </w:r>
      <w:r w:rsidRPr="00E57F60">
        <w:rPr>
          <w:rFonts w:eastAsia="Calibri"/>
          <w:lang w:val="en-US" w:eastAsia="en-US"/>
        </w:rPr>
        <w:t>y/n</w:t>
      </w:r>
      <w:r w:rsidR="00A74814">
        <w:rPr>
          <w:rFonts w:eastAsia="Calibri"/>
          <w:lang w:val="en-US" w:eastAsia="en-US"/>
        </w:rPr>
        <w:t xml:space="preserve"> </w:t>
      </w:r>
    </w:p>
    <w:p w14:paraId="7528091A" w14:textId="0A1EFF5F" w:rsidR="00B17E99" w:rsidRPr="00E57F60" w:rsidRDefault="00B17E99">
      <w:pPr>
        <w:rPr>
          <w:rFonts w:eastAsia="Calibri"/>
          <w:lang w:val="en-US" w:eastAsia="en-US"/>
        </w:rPr>
      </w:pPr>
      <w:r w:rsidRPr="00E57F60">
        <w:rPr>
          <w:rFonts w:eastAsia="Calibri"/>
          <w:lang w:val="en-US" w:eastAsia="en-US"/>
        </w:rPr>
        <w:t xml:space="preserve">Evaluation </w:t>
      </w:r>
      <w:r w:rsidR="002C1FF4">
        <w:rPr>
          <w:rFonts w:eastAsia="Calibri"/>
          <w:lang w:val="en-US" w:eastAsia="en-US"/>
        </w:rPr>
        <w:t>t</w:t>
      </w:r>
      <w:r w:rsidRPr="00E57F60">
        <w:rPr>
          <w:rFonts w:eastAsia="Calibri"/>
          <w:lang w:val="en-US" w:eastAsia="en-US"/>
        </w:rPr>
        <w:t>eam leader: [</w:t>
      </w:r>
      <w:r w:rsidRPr="00E57F60">
        <w:rPr>
          <w:rFonts w:eastAsia="Calibri"/>
          <w:lang w:val="en-US" w:eastAsia="en-US"/>
        </w:rPr>
        <w:tab/>
      </w:r>
      <w:r w:rsidRPr="00E57F60">
        <w:rPr>
          <w:rFonts w:eastAsia="Calibri"/>
          <w:lang w:val="en-US" w:eastAsia="en-US"/>
        </w:rPr>
        <w:tab/>
        <w:t>]</w:t>
      </w:r>
      <w:r w:rsidRPr="00E57F60">
        <w:rPr>
          <w:rFonts w:eastAsia="Calibri"/>
          <w:lang w:val="en-US" w:eastAsia="en-US"/>
        </w:rPr>
        <w:tab/>
        <w:t xml:space="preserve">Evaluation </w:t>
      </w:r>
      <w:r w:rsidR="002C1FF4">
        <w:rPr>
          <w:rFonts w:eastAsia="Calibri"/>
          <w:lang w:val="en-US" w:eastAsia="en-US"/>
        </w:rPr>
        <w:t>t</w:t>
      </w:r>
      <w:r w:rsidRPr="00E57F60">
        <w:rPr>
          <w:rFonts w:eastAsia="Calibri"/>
          <w:lang w:val="en-US" w:eastAsia="en-US"/>
        </w:rPr>
        <w:t>eam composition:[</w:t>
      </w:r>
      <w:r w:rsidRPr="00E57F60">
        <w:rPr>
          <w:rFonts w:eastAsia="Calibri"/>
          <w:lang w:val="en-US" w:eastAsia="en-US"/>
        </w:rPr>
        <w:tab/>
      </w:r>
      <w:r w:rsidRPr="00E57F60">
        <w:rPr>
          <w:rFonts w:eastAsia="Calibri"/>
          <w:lang w:val="en-US" w:eastAsia="en-US"/>
        </w:rPr>
        <w:tab/>
      </w:r>
      <w:r w:rsidRPr="00E57F60">
        <w:rPr>
          <w:rFonts w:eastAsia="Calibri"/>
          <w:lang w:val="en-US" w:eastAsia="en-US"/>
        </w:rPr>
        <w:tab/>
        <w:t>]</w:t>
      </w:r>
    </w:p>
    <w:p w14:paraId="1BF21C44" w14:textId="5FC6BDB5" w:rsidR="00B17E99" w:rsidRPr="00E57F60" w:rsidRDefault="00B17E99">
      <w:pPr>
        <w:rPr>
          <w:rFonts w:eastAsia="Calibri"/>
          <w:lang w:val="en-US" w:eastAsia="en-US"/>
        </w:rPr>
      </w:pPr>
      <w:r w:rsidRPr="00E57F60">
        <w:rPr>
          <w:rFonts w:eastAsia="Calibri"/>
          <w:lang w:val="en-US" w:eastAsia="en-US"/>
        </w:rPr>
        <w:t>Total days allocated</w:t>
      </w:r>
      <w:r w:rsidR="000034F3">
        <w:rPr>
          <w:rFonts w:eastAsia="Calibri"/>
          <w:lang w:val="en-US" w:eastAsia="en-US"/>
        </w:rPr>
        <w:t>:</w:t>
      </w:r>
      <w:r w:rsidRPr="00E57F60">
        <w:rPr>
          <w:rFonts w:eastAsia="Calibri"/>
          <w:lang w:val="en-US" w:eastAsia="en-US"/>
        </w:rPr>
        <w:t xml:space="preserve"> [</w:t>
      </w:r>
      <w:r w:rsidRPr="00E57F60">
        <w:rPr>
          <w:rFonts w:eastAsia="Calibri"/>
          <w:lang w:val="en-US" w:eastAsia="en-US"/>
        </w:rPr>
        <w:tab/>
        <w:t>]</w:t>
      </w:r>
      <w:r w:rsidRPr="00E57F60">
        <w:rPr>
          <w:rFonts w:eastAsia="Calibri"/>
          <w:lang w:val="en-US" w:eastAsia="en-US"/>
        </w:rPr>
        <w:tab/>
        <w:t>Fieldwork days</w:t>
      </w:r>
      <w:r w:rsidR="000034F3">
        <w:rPr>
          <w:rFonts w:eastAsia="Calibri"/>
          <w:lang w:val="en-US" w:eastAsia="en-US"/>
        </w:rPr>
        <w:t>:</w:t>
      </w:r>
      <w:r w:rsidRPr="00E57F60">
        <w:rPr>
          <w:rFonts w:eastAsia="Calibri"/>
          <w:lang w:val="en-US" w:eastAsia="en-US"/>
        </w:rPr>
        <w:t xml:space="preserve"> [</w:t>
      </w:r>
      <w:r w:rsidRPr="00E57F60">
        <w:rPr>
          <w:rFonts w:eastAsia="Calibri"/>
          <w:lang w:val="en-US" w:eastAsia="en-US"/>
        </w:rPr>
        <w:tab/>
      </w:r>
      <w:r w:rsidRPr="00E57F60">
        <w:rPr>
          <w:rFonts w:eastAsia="Calibri"/>
          <w:lang w:val="en-US" w:eastAsia="en-US"/>
        </w:rPr>
        <w:tab/>
        <w:t>]</w:t>
      </w:r>
      <w:r w:rsidR="00A74814">
        <w:rPr>
          <w:rFonts w:eastAsia="Calibri"/>
          <w:lang w:val="en-US" w:eastAsia="en-US"/>
        </w:rPr>
        <w:t xml:space="preserve"> </w:t>
      </w:r>
      <w:r w:rsidRPr="00E57F60">
        <w:rPr>
          <w:rFonts w:eastAsia="Calibri"/>
          <w:lang w:val="en-US" w:eastAsia="en-US"/>
        </w:rPr>
        <w:t xml:space="preserve">Total </w:t>
      </w:r>
      <w:r>
        <w:rPr>
          <w:rFonts w:eastAsia="Calibri"/>
          <w:lang w:val="en-US" w:eastAsia="en-US"/>
        </w:rPr>
        <w:t>person</w:t>
      </w:r>
      <w:r w:rsidRPr="00E57F60">
        <w:rPr>
          <w:rFonts w:eastAsia="Calibri"/>
          <w:lang w:val="en-US" w:eastAsia="en-US"/>
        </w:rPr>
        <w:t>-days</w:t>
      </w:r>
      <w:r w:rsidR="000034F3">
        <w:rPr>
          <w:rFonts w:eastAsia="Calibri"/>
          <w:lang w:val="en-US" w:eastAsia="en-US"/>
        </w:rPr>
        <w:t>:</w:t>
      </w:r>
      <w:r w:rsidRPr="00E57F60">
        <w:rPr>
          <w:rFonts w:eastAsia="Calibri"/>
          <w:lang w:val="en-US" w:eastAsia="en-US"/>
        </w:rPr>
        <w:t xml:space="preserve"> [</w:t>
      </w:r>
      <w:r w:rsidRPr="00E57F60">
        <w:rPr>
          <w:rFonts w:eastAsia="Calibri"/>
          <w:lang w:val="en-US" w:eastAsia="en-US"/>
        </w:rPr>
        <w:tab/>
      </w:r>
      <w:r w:rsidRPr="00E57F60">
        <w:rPr>
          <w:rFonts w:eastAsia="Calibri"/>
          <w:lang w:val="en-US" w:eastAsia="en-US"/>
        </w:rPr>
        <w:tab/>
        <w:t>]</w:t>
      </w:r>
    </w:p>
    <w:p w14:paraId="32330CE2" w14:textId="77777777" w:rsidR="00B17E99" w:rsidRPr="008328B4" w:rsidRDefault="00B17E99" w:rsidP="00B17E99">
      <w:pPr>
        <w:pStyle w:val="Heading3"/>
        <w:rPr>
          <w:rFonts w:eastAsia="Calibri"/>
          <w:lang w:val="en-GB" w:eastAsia="en-US"/>
        </w:rPr>
      </w:pPr>
      <w:bookmarkStart w:id="302" w:name="_Toc373303744"/>
      <w:bookmarkStart w:id="303" w:name="_Toc373304311"/>
      <w:bookmarkStart w:id="304" w:name="_Toc378059938"/>
      <w:r w:rsidRPr="008328B4">
        <w:rPr>
          <w:rFonts w:eastAsia="Calibri"/>
          <w:lang w:val="en-GB" w:eastAsia="en-US"/>
        </w:rPr>
        <w:t>Ratings</w:t>
      </w:r>
      <w:bookmarkEnd w:id="302"/>
      <w:bookmarkEnd w:id="303"/>
      <w:bookmarkEnd w:id="304"/>
    </w:p>
    <w:tbl>
      <w:tblPr>
        <w:tblW w:w="6947" w:type="dxa"/>
        <w:tblBorders>
          <w:bottom w:val="single" w:sz="4" w:space="0" w:color="31849B" w:themeColor="accent5" w:themeShade="BF"/>
          <w:insideH w:val="single" w:sz="4" w:space="0" w:color="31849B" w:themeColor="accent5" w:themeShade="BF"/>
        </w:tblBorders>
        <w:tblLayout w:type="fixed"/>
        <w:tblCellMar>
          <w:top w:w="57" w:type="dxa"/>
          <w:left w:w="57" w:type="dxa"/>
          <w:bottom w:w="28" w:type="dxa"/>
          <w:right w:w="57" w:type="dxa"/>
        </w:tblCellMar>
        <w:tblLook w:val="01E0" w:firstRow="1" w:lastRow="1" w:firstColumn="1" w:lastColumn="1" w:noHBand="0" w:noVBand="0"/>
      </w:tblPr>
      <w:tblGrid>
        <w:gridCol w:w="488"/>
        <w:gridCol w:w="2915"/>
        <w:gridCol w:w="425"/>
        <w:gridCol w:w="3119"/>
      </w:tblGrid>
      <w:tr w:rsidR="00B17E99" w:rsidRPr="000034F3" w14:paraId="229CB3A7" w14:textId="77777777" w:rsidTr="000034F3">
        <w:trPr>
          <w:trHeight w:val="263"/>
          <w:tblHeader/>
        </w:trPr>
        <w:tc>
          <w:tcPr>
            <w:tcW w:w="3403" w:type="dxa"/>
            <w:gridSpan w:val="2"/>
            <w:shd w:val="clear" w:color="auto" w:fill="007FAD"/>
            <w:vAlign w:val="center"/>
            <w:hideMark/>
          </w:tcPr>
          <w:p w14:paraId="6B820C12" w14:textId="77777777" w:rsidR="00B17E99" w:rsidRPr="000034F3" w:rsidRDefault="00B17E99" w:rsidP="003022E7">
            <w:pPr>
              <w:pStyle w:val="TableHeading21"/>
              <w:rPr>
                <w:i w:val="0"/>
              </w:rPr>
            </w:pPr>
            <w:r w:rsidRPr="000034F3">
              <w:rPr>
                <w:i w:val="0"/>
              </w:rPr>
              <w:t xml:space="preserve">Satisfactory </w:t>
            </w:r>
          </w:p>
        </w:tc>
        <w:tc>
          <w:tcPr>
            <w:tcW w:w="3544" w:type="dxa"/>
            <w:gridSpan w:val="2"/>
            <w:shd w:val="clear" w:color="auto" w:fill="007FAD"/>
            <w:vAlign w:val="center"/>
            <w:hideMark/>
          </w:tcPr>
          <w:p w14:paraId="771603CC" w14:textId="77777777" w:rsidR="00B17E99" w:rsidRPr="000034F3" w:rsidRDefault="00B17E99" w:rsidP="003022E7">
            <w:pPr>
              <w:pStyle w:val="TableHeading21"/>
              <w:rPr>
                <w:i w:val="0"/>
              </w:rPr>
            </w:pPr>
            <w:r w:rsidRPr="000034F3">
              <w:rPr>
                <w:i w:val="0"/>
              </w:rPr>
              <w:t xml:space="preserve">Less than satisfactory </w:t>
            </w:r>
          </w:p>
        </w:tc>
      </w:tr>
      <w:tr w:rsidR="00B17E99" w:rsidRPr="00E57F60" w14:paraId="66DC67FD" w14:textId="77777777" w:rsidTr="007D3D61">
        <w:tc>
          <w:tcPr>
            <w:tcW w:w="488" w:type="dxa"/>
            <w:shd w:val="clear" w:color="auto" w:fill="00B050"/>
            <w:hideMark/>
          </w:tcPr>
          <w:p w14:paraId="70A4E1F6" w14:textId="77777777" w:rsidR="00B17E99" w:rsidRPr="007D3D61" w:rsidRDefault="00B17E99" w:rsidP="000034F3">
            <w:pPr>
              <w:pStyle w:val="Tabletext0"/>
              <w:rPr>
                <w:b/>
              </w:rPr>
            </w:pPr>
            <w:r w:rsidRPr="007D3D61">
              <w:rPr>
                <w:b/>
              </w:rPr>
              <w:t>6</w:t>
            </w:r>
          </w:p>
        </w:tc>
        <w:tc>
          <w:tcPr>
            <w:tcW w:w="2915" w:type="dxa"/>
            <w:hideMark/>
          </w:tcPr>
          <w:p w14:paraId="007D8179" w14:textId="77777777" w:rsidR="00B17E99" w:rsidRPr="000034F3" w:rsidRDefault="00B17E99" w:rsidP="000034F3">
            <w:pPr>
              <w:pStyle w:val="Tabletext0"/>
            </w:pPr>
            <w:r w:rsidRPr="000034F3">
              <w:t>Very high quality</w:t>
            </w:r>
          </w:p>
        </w:tc>
        <w:tc>
          <w:tcPr>
            <w:tcW w:w="425" w:type="dxa"/>
            <w:shd w:val="clear" w:color="auto" w:fill="F79646"/>
            <w:hideMark/>
          </w:tcPr>
          <w:p w14:paraId="69DCB008" w14:textId="77777777" w:rsidR="00B17E99" w:rsidRPr="007D3D61" w:rsidRDefault="00B17E99" w:rsidP="000034F3">
            <w:pPr>
              <w:pStyle w:val="Tabletext0"/>
              <w:rPr>
                <w:b/>
              </w:rPr>
            </w:pPr>
            <w:r w:rsidRPr="007D3D61">
              <w:rPr>
                <w:b/>
              </w:rPr>
              <w:t>3</w:t>
            </w:r>
          </w:p>
        </w:tc>
        <w:tc>
          <w:tcPr>
            <w:tcW w:w="3119" w:type="dxa"/>
            <w:hideMark/>
          </w:tcPr>
          <w:p w14:paraId="525A2223" w14:textId="77777777" w:rsidR="00B17E99" w:rsidRPr="000034F3" w:rsidRDefault="00B17E99" w:rsidP="000034F3">
            <w:pPr>
              <w:pStyle w:val="Tabletext0"/>
            </w:pPr>
            <w:r w:rsidRPr="000034F3">
              <w:t>Less than adequate quality</w:t>
            </w:r>
          </w:p>
        </w:tc>
      </w:tr>
      <w:tr w:rsidR="00B17E99" w:rsidRPr="00E57F60" w14:paraId="05C370A9" w14:textId="77777777" w:rsidTr="007D3D61">
        <w:tc>
          <w:tcPr>
            <w:tcW w:w="488" w:type="dxa"/>
            <w:shd w:val="clear" w:color="auto" w:fill="92D050"/>
            <w:hideMark/>
          </w:tcPr>
          <w:p w14:paraId="308E357E" w14:textId="77777777" w:rsidR="00B17E99" w:rsidRPr="007D3D61" w:rsidRDefault="00B17E99" w:rsidP="000034F3">
            <w:pPr>
              <w:pStyle w:val="Tabletext0"/>
              <w:rPr>
                <w:b/>
              </w:rPr>
            </w:pPr>
            <w:r w:rsidRPr="007D3D61">
              <w:rPr>
                <w:b/>
              </w:rPr>
              <w:t>5</w:t>
            </w:r>
          </w:p>
        </w:tc>
        <w:tc>
          <w:tcPr>
            <w:tcW w:w="2915" w:type="dxa"/>
            <w:hideMark/>
          </w:tcPr>
          <w:p w14:paraId="5AA701C8" w14:textId="77777777" w:rsidR="00B17E99" w:rsidRPr="000034F3" w:rsidRDefault="00B17E99" w:rsidP="000034F3">
            <w:pPr>
              <w:pStyle w:val="Tabletext0"/>
            </w:pPr>
            <w:r w:rsidRPr="000034F3">
              <w:t>Good quality</w:t>
            </w:r>
          </w:p>
        </w:tc>
        <w:tc>
          <w:tcPr>
            <w:tcW w:w="425" w:type="dxa"/>
            <w:shd w:val="clear" w:color="auto" w:fill="E46C0A"/>
            <w:hideMark/>
          </w:tcPr>
          <w:p w14:paraId="53FC3BC8" w14:textId="77777777" w:rsidR="00B17E99" w:rsidRPr="007D3D61" w:rsidRDefault="00B17E99" w:rsidP="000034F3">
            <w:pPr>
              <w:pStyle w:val="Tabletext0"/>
              <w:rPr>
                <w:b/>
              </w:rPr>
            </w:pPr>
            <w:r w:rsidRPr="007D3D61">
              <w:rPr>
                <w:b/>
              </w:rPr>
              <w:t>2</w:t>
            </w:r>
          </w:p>
        </w:tc>
        <w:tc>
          <w:tcPr>
            <w:tcW w:w="3119" w:type="dxa"/>
            <w:hideMark/>
          </w:tcPr>
          <w:p w14:paraId="0E8E579A" w14:textId="77777777" w:rsidR="00B17E99" w:rsidRPr="000034F3" w:rsidRDefault="00B17E99" w:rsidP="000034F3">
            <w:pPr>
              <w:pStyle w:val="Tabletext0"/>
            </w:pPr>
            <w:r w:rsidRPr="000034F3">
              <w:t>Poor quality</w:t>
            </w:r>
          </w:p>
        </w:tc>
      </w:tr>
      <w:tr w:rsidR="00B17E99" w:rsidRPr="00E57F60" w14:paraId="3CD8CAF4" w14:textId="77777777" w:rsidTr="007D3D61">
        <w:tc>
          <w:tcPr>
            <w:tcW w:w="488" w:type="dxa"/>
            <w:shd w:val="clear" w:color="auto" w:fill="FFFF00"/>
            <w:hideMark/>
          </w:tcPr>
          <w:p w14:paraId="35C5C256" w14:textId="77777777" w:rsidR="00B17E99" w:rsidRPr="007D3D61" w:rsidRDefault="00B17E99" w:rsidP="000034F3">
            <w:pPr>
              <w:pStyle w:val="Tabletext0"/>
              <w:rPr>
                <w:b/>
              </w:rPr>
            </w:pPr>
            <w:r w:rsidRPr="007D3D61">
              <w:rPr>
                <w:b/>
              </w:rPr>
              <w:t>4</w:t>
            </w:r>
          </w:p>
        </w:tc>
        <w:tc>
          <w:tcPr>
            <w:tcW w:w="2915" w:type="dxa"/>
            <w:hideMark/>
          </w:tcPr>
          <w:p w14:paraId="7EBD26E5" w14:textId="77777777" w:rsidR="00B17E99" w:rsidRPr="000034F3" w:rsidRDefault="00B17E99" w:rsidP="000034F3">
            <w:pPr>
              <w:pStyle w:val="Tabletext0"/>
            </w:pPr>
            <w:r w:rsidRPr="000034F3">
              <w:t>Adequate quality</w:t>
            </w:r>
          </w:p>
        </w:tc>
        <w:tc>
          <w:tcPr>
            <w:tcW w:w="425" w:type="dxa"/>
            <w:shd w:val="clear" w:color="auto" w:fill="C0504D"/>
            <w:hideMark/>
          </w:tcPr>
          <w:p w14:paraId="398A0E3C" w14:textId="77777777" w:rsidR="00B17E99" w:rsidRPr="007D3D61" w:rsidRDefault="00B17E99" w:rsidP="000034F3">
            <w:pPr>
              <w:pStyle w:val="Tabletext0"/>
              <w:rPr>
                <w:b/>
              </w:rPr>
            </w:pPr>
            <w:r w:rsidRPr="007D3D61">
              <w:rPr>
                <w:b/>
              </w:rPr>
              <w:t>1</w:t>
            </w:r>
          </w:p>
        </w:tc>
        <w:tc>
          <w:tcPr>
            <w:tcW w:w="3119" w:type="dxa"/>
            <w:hideMark/>
          </w:tcPr>
          <w:p w14:paraId="0050F522" w14:textId="77777777" w:rsidR="00B17E99" w:rsidRPr="000034F3" w:rsidRDefault="00B17E99" w:rsidP="000034F3">
            <w:pPr>
              <w:pStyle w:val="Tabletext0"/>
            </w:pPr>
            <w:r w:rsidRPr="000034F3">
              <w:t>Very poor quality</w:t>
            </w:r>
          </w:p>
        </w:tc>
      </w:tr>
      <w:tr w:rsidR="00B17E99" w:rsidRPr="00E57F60" w14:paraId="58DEEDD7" w14:textId="77777777" w:rsidTr="000034F3">
        <w:tblPrEx>
          <w:tblCellMar>
            <w:top w:w="0" w:type="dxa"/>
            <w:left w:w="108" w:type="dxa"/>
            <w:bottom w:w="0" w:type="dxa"/>
            <w:right w:w="108" w:type="dxa"/>
          </w:tblCellMar>
          <w:tblLook w:val="0000" w:firstRow="0" w:lastRow="0" w:firstColumn="0" w:lastColumn="0" w:noHBand="0" w:noVBand="0"/>
        </w:tblPrEx>
        <w:trPr>
          <w:trHeight w:val="557"/>
        </w:trPr>
        <w:tc>
          <w:tcPr>
            <w:tcW w:w="6947" w:type="dxa"/>
            <w:gridSpan w:val="4"/>
          </w:tcPr>
          <w:p w14:paraId="63EED5EC" w14:textId="77777777" w:rsidR="00B17E99" w:rsidRPr="000034F3" w:rsidRDefault="00B17E99" w:rsidP="000034F3">
            <w:pPr>
              <w:pStyle w:val="Tabletext0"/>
            </w:pPr>
            <w:r w:rsidRPr="000034F3">
              <w:t>Not covered: The criterion was not included in the evaluation</w:t>
            </w:r>
          </w:p>
          <w:p w14:paraId="5C919A72" w14:textId="77777777" w:rsidR="00B17E99" w:rsidRPr="000034F3" w:rsidRDefault="00B17E99" w:rsidP="000034F3">
            <w:pPr>
              <w:pStyle w:val="Tabletext0"/>
            </w:pPr>
            <w:r w:rsidRPr="000034F3">
              <w:t xml:space="preserve">Not assessable: The criterion was included but it is not possible to assess quality because there is too little information </w:t>
            </w:r>
          </w:p>
        </w:tc>
      </w:tr>
    </w:tbl>
    <w:p w14:paraId="7B57368E" w14:textId="77777777" w:rsidR="00B17E99" w:rsidRDefault="00B17E99" w:rsidP="00B17E99">
      <w:pPr>
        <w:spacing w:before="0" w:after="0" w:line="240" w:lineRule="auto"/>
        <w:rPr>
          <w:rFonts w:ascii="Cambria" w:hAnsi="Cambria"/>
          <w:szCs w:val="24"/>
        </w:rPr>
      </w:pPr>
    </w:p>
    <w:p w14:paraId="5BD4E38A" w14:textId="70071806" w:rsidR="00B17E99" w:rsidRDefault="00B17E99" w:rsidP="00B17E99">
      <w:pPr>
        <w:spacing w:before="0" w:after="0" w:line="240" w:lineRule="auto"/>
        <w:rPr>
          <w:rFonts w:ascii="Cambria" w:hAnsi="Cambria"/>
          <w:szCs w:val="24"/>
        </w:rPr>
      </w:pPr>
    </w:p>
    <w:tbl>
      <w:tblPr>
        <w:tblW w:w="9464" w:type="dxa"/>
        <w:jc w:val="cente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951"/>
        <w:gridCol w:w="793"/>
        <w:gridCol w:w="908"/>
        <w:gridCol w:w="1418"/>
        <w:gridCol w:w="425"/>
        <w:gridCol w:w="1134"/>
        <w:gridCol w:w="992"/>
        <w:gridCol w:w="1843"/>
      </w:tblGrid>
      <w:tr w:rsidR="00B17E99" w:rsidRPr="000034F3" w14:paraId="543B573E" w14:textId="77777777" w:rsidTr="00142640">
        <w:trPr>
          <w:cantSplit/>
          <w:jc w:val="center"/>
        </w:trPr>
        <w:tc>
          <w:tcPr>
            <w:tcW w:w="1951" w:type="dxa"/>
            <w:tcBorders>
              <w:right w:val="nil"/>
            </w:tcBorders>
            <w:shd w:val="clear" w:color="auto" w:fill="007FAD"/>
          </w:tcPr>
          <w:p w14:paraId="112A0C03" w14:textId="77777777" w:rsidR="00B17E99" w:rsidRPr="00142640" w:rsidRDefault="00B17E99" w:rsidP="003F2EFF">
            <w:pPr>
              <w:pStyle w:val="TableHeading21"/>
              <w:rPr>
                <w:i w:val="0"/>
              </w:rPr>
            </w:pPr>
            <w:r w:rsidRPr="00142640">
              <w:rPr>
                <w:i w:val="0"/>
              </w:rPr>
              <w:lastRenderedPageBreak/>
              <w:br w:type="page"/>
              <w:t>Key quality areas and criteria</w:t>
            </w:r>
            <w:r w:rsidR="00A74814" w:rsidRPr="00142640">
              <w:rPr>
                <w:i w:val="0"/>
              </w:rPr>
              <w:t xml:space="preserve"> </w:t>
            </w:r>
          </w:p>
        </w:tc>
        <w:tc>
          <w:tcPr>
            <w:tcW w:w="3544" w:type="dxa"/>
            <w:gridSpan w:val="4"/>
            <w:tcBorders>
              <w:left w:val="nil"/>
              <w:right w:val="nil"/>
            </w:tcBorders>
            <w:shd w:val="clear" w:color="auto" w:fill="007FAD"/>
          </w:tcPr>
          <w:p w14:paraId="151B91A1" w14:textId="77777777" w:rsidR="00B17E99" w:rsidRPr="00142640" w:rsidRDefault="00B17E99" w:rsidP="003F2EFF">
            <w:pPr>
              <w:pStyle w:val="TableHeading21"/>
              <w:rPr>
                <w:i w:val="0"/>
              </w:rPr>
            </w:pPr>
            <w:r w:rsidRPr="00142640">
              <w:rPr>
                <w:i w:val="0"/>
              </w:rPr>
              <w:t>Quality statements</w:t>
            </w:r>
            <w:r w:rsidR="00A74814" w:rsidRPr="00142640">
              <w:rPr>
                <w:i w:val="0"/>
              </w:rPr>
              <w:t xml:space="preserve"> </w:t>
            </w:r>
          </w:p>
        </w:tc>
        <w:tc>
          <w:tcPr>
            <w:tcW w:w="1134" w:type="dxa"/>
            <w:tcBorders>
              <w:left w:val="nil"/>
              <w:right w:val="nil"/>
            </w:tcBorders>
            <w:shd w:val="clear" w:color="auto" w:fill="007FAD"/>
          </w:tcPr>
          <w:p w14:paraId="5DAE8C5A" w14:textId="4BBCE697" w:rsidR="00B17E99" w:rsidRPr="00142640" w:rsidRDefault="00B17E99" w:rsidP="003F2EFF">
            <w:pPr>
              <w:pStyle w:val="TableHeading21"/>
              <w:rPr>
                <w:i w:val="0"/>
              </w:rPr>
            </w:pPr>
            <w:r w:rsidRPr="00142640">
              <w:rPr>
                <w:i w:val="0"/>
              </w:rPr>
              <w:t>Rating</w:t>
            </w:r>
          </w:p>
          <w:p w14:paraId="0C4B41C0" w14:textId="2BE92F95" w:rsidR="00B17E99" w:rsidRPr="00142640" w:rsidRDefault="00B17E99" w:rsidP="003F2EFF">
            <w:pPr>
              <w:pStyle w:val="TableHeading21"/>
              <w:rPr>
                <w:i w:val="0"/>
              </w:rPr>
            </w:pPr>
            <w:r w:rsidRPr="00142640">
              <w:rPr>
                <w:i w:val="0"/>
              </w:rPr>
              <w:t>1</w:t>
            </w:r>
            <w:r w:rsidR="00744801" w:rsidRPr="00142640">
              <w:rPr>
                <w:i w:val="0"/>
              </w:rPr>
              <w:t>–</w:t>
            </w:r>
            <w:r w:rsidRPr="00142640">
              <w:rPr>
                <w:i w:val="0"/>
              </w:rPr>
              <w:t>6</w:t>
            </w:r>
          </w:p>
        </w:tc>
        <w:tc>
          <w:tcPr>
            <w:tcW w:w="2835" w:type="dxa"/>
            <w:gridSpan w:val="2"/>
            <w:tcBorders>
              <w:left w:val="nil"/>
            </w:tcBorders>
            <w:shd w:val="clear" w:color="auto" w:fill="007FAD"/>
          </w:tcPr>
          <w:p w14:paraId="3E260930" w14:textId="77777777" w:rsidR="00B17E99" w:rsidRPr="00142640" w:rsidRDefault="00B17E99" w:rsidP="003F2EFF">
            <w:pPr>
              <w:pStyle w:val="TableHeading21"/>
              <w:rPr>
                <w:i w:val="0"/>
              </w:rPr>
            </w:pPr>
            <w:r w:rsidRPr="00142640">
              <w:rPr>
                <w:i w:val="0"/>
              </w:rPr>
              <w:t xml:space="preserve">Evidence </w:t>
            </w:r>
          </w:p>
        </w:tc>
      </w:tr>
      <w:tr w:rsidR="00B17E99" w:rsidRPr="000E0ADC" w14:paraId="1A387774" w14:textId="77777777" w:rsidTr="00142640">
        <w:trPr>
          <w:cantSplit/>
          <w:jc w:val="center"/>
        </w:trPr>
        <w:tc>
          <w:tcPr>
            <w:tcW w:w="9464" w:type="dxa"/>
            <w:gridSpan w:val="8"/>
            <w:shd w:val="clear" w:color="auto" w:fill="ECF1F7"/>
          </w:tcPr>
          <w:p w14:paraId="038ED971" w14:textId="77777777" w:rsidR="00B17E99" w:rsidRPr="000034F3" w:rsidRDefault="00B17E99" w:rsidP="003F2EFF">
            <w:pPr>
              <w:pStyle w:val="Tabletext0"/>
              <w:rPr>
                <w:b/>
              </w:rPr>
            </w:pPr>
            <w:r w:rsidRPr="000034F3">
              <w:rPr>
                <w:b/>
              </w:rPr>
              <w:t>Evaluation purpose and scope</w:t>
            </w:r>
          </w:p>
        </w:tc>
      </w:tr>
      <w:tr w:rsidR="00B17E99" w:rsidRPr="000E0ADC" w14:paraId="5B37F660" w14:textId="77777777" w:rsidTr="00142640">
        <w:trPr>
          <w:cantSplit/>
          <w:jc w:val="center"/>
        </w:trPr>
        <w:tc>
          <w:tcPr>
            <w:tcW w:w="1951" w:type="dxa"/>
          </w:tcPr>
          <w:p w14:paraId="034B67D9" w14:textId="77777777" w:rsidR="00B17E99" w:rsidRPr="000034F3" w:rsidRDefault="00B17E99" w:rsidP="003F2EFF">
            <w:pPr>
              <w:pStyle w:val="Tabletext0"/>
            </w:pPr>
            <w:r w:rsidRPr="000034F3">
              <w:t xml:space="preserve">1 Purpose </w:t>
            </w:r>
            <w:r w:rsidR="000075C2" w:rsidRPr="000034F3">
              <w:t xml:space="preserve">of </w:t>
            </w:r>
            <w:r w:rsidRPr="000034F3">
              <w:t>evaluation</w:t>
            </w:r>
          </w:p>
        </w:tc>
        <w:tc>
          <w:tcPr>
            <w:tcW w:w="3544" w:type="dxa"/>
            <w:gridSpan w:val="4"/>
          </w:tcPr>
          <w:p w14:paraId="7EDBA6FA" w14:textId="77777777" w:rsidR="00B17E99" w:rsidRPr="00142640" w:rsidRDefault="00B17E99" w:rsidP="003F2EFF">
            <w:pPr>
              <w:pStyle w:val="Tabletext0"/>
            </w:pPr>
            <w:r w:rsidRPr="00142640">
              <w:t xml:space="preserve">The purpose of the evaluation is provided, including the overall purpose and primary users of the information </w:t>
            </w:r>
          </w:p>
        </w:tc>
        <w:tc>
          <w:tcPr>
            <w:tcW w:w="1134" w:type="dxa"/>
          </w:tcPr>
          <w:p w14:paraId="4BA1B909" w14:textId="77777777" w:rsidR="00B17E99" w:rsidRPr="000034F3" w:rsidRDefault="00B17E99" w:rsidP="003F2EFF">
            <w:pPr>
              <w:pStyle w:val="Tabletext0"/>
            </w:pPr>
          </w:p>
        </w:tc>
        <w:tc>
          <w:tcPr>
            <w:tcW w:w="2835" w:type="dxa"/>
            <w:gridSpan w:val="2"/>
          </w:tcPr>
          <w:p w14:paraId="1644748D" w14:textId="77777777" w:rsidR="00B17E99" w:rsidRPr="000034F3" w:rsidRDefault="00B17E99" w:rsidP="003F2EFF">
            <w:pPr>
              <w:pStyle w:val="Tabletext0"/>
            </w:pPr>
          </w:p>
        </w:tc>
      </w:tr>
      <w:tr w:rsidR="00B17E99" w:rsidRPr="000E0ADC" w14:paraId="231B6C7E" w14:textId="77777777" w:rsidTr="00142640">
        <w:trPr>
          <w:cantSplit/>
          <w:jc w:val="center"/>
        </w:trPr>
        <w:tc>
          <w:tcPr>
            <w:tcW w:w="1951" w:type="dxa"/>
          </w:tcPr>
          <w:p w14:paraId="0CF3A0B6" w14:textId="2BD33B6D" w:rsidR="00B17E99" w:rsidRPr="000034F3" w:rsidRDefault="00B17E99" w:rsidP="003F2EFF">
            <w:pPr>
              <w:pStyle w:val="Tabletext0"/>
            </w:pPr>
            <w:r w:rsidRPr="000034F3">
              <w:t xml:space="preserve">2 Scope of </w:t>
            </w:r>
            <w:r w:rsidR="00744801" w:rsidRPr="000034F3">
              <w:t>e</w:t>
            </w:r>
            <w:r w:rsidRPr="000034F3">
              <w:t xml:space="preserve">valuation </w:t>
            </w:r>
          </w:p>
        </w:tc>
        <w:tc>
          <w:tcPr>
            <w:tcW w:w="3544" w:type="dxa"/>
            <w:gridSpan w:val="4"/>
          </w:tcPr>
          <w:p w14:paraId="796925CE" w14:textId="77777777" w:rsidR="00B17E99" w:rsidRPr="00142640" w:rsidRDefault="00B17E99" w:rsidP="000034F3">
            <w:pPr>
              <w:pStyle w:val="Tabletext0"/>
              <w:contextualSpacing/>
            </w:pPr>
            <w:r w:rsidRPr="00142640">
              <w:t xml:space="preserve">The scope matches the evaluation resources; methods are defined and roles of the team, AusAID management and others are set out. </w:t>
            </w:r>
          </w:p>
        </w:tc>
        <w:tc>
          <w:tcPr>
            <w:tcW w:w="1134" w:type="dxa"/>
          </w:tcPr>
          <w:p w14:paraId="51DC38CF" w14:textId="77777777" w:rsidR="00B17E99" w:rsidRPr="000034F3" w:rsidRDefault="00B17E99" w:rsidP="003F2EFF">
            <w:pPr>
              <w:pStyle w:val="Tabletext0"/>
            </w:pPr>
          </w:p>
        </w:tc>
        <w:tc>
          <w:tcPr>
            <w:tcW w:w="2835" w:type="dxa"/>
            <w:gridSpan w:val="2"/>
          </w:tcPr>
          <w:p w14:paraId="087C4979" w14:textId="77777777" w:rsidR="00B17E99" w:rsidRPr="000034F3" w:rsidRDefault="00B17E99" w:rsidP="003F2EFF">
            <w:pPr>
              <w:pStyle w:val="Tabletext0"/>
            </w:pPr>
          </w:p>
        </w:tc>
      </w:tr>
      <w:tr w:rsidR="00B17E99" w:rsidRPr="000E0ADC" w14:paraId="3CB138C9" w14:textId="77777777" w:rsidTr="00142640">
        <w:trPr>
          <w:cantSplit/>
          <w:jc w:val="center"/>
        </w:trPr>
        <w:tc>
          <w:tcPr>
            <w:tcW w:w="5495" w:type="dxa"/>
            <w:gridSpan w:val="5"/>
          </w:tcPr>
          <w:p w14:paraId="6E1DE6D3" w14:textId="77777777" w:rsidR="00B17E99" w:rsidRPr="00142640" w:rsidRDefault="00B17E99" w:rsidP="003F2EFF">
            <w:pPr>
              <w:pStyle w:val="Tabletext0"/>
            </w:pPr>
            <w:r w:rsidRPr="00142640">
              <w:t xml:space="preserve">Overall comments </w:t>
            </w:r>
          </w:p>
        </w:tc>
        <w:tc>
          <w:tcPr>
            <w:tcW w:w="3969" w:type="dxa"/>
            <w:gridSpan w:val="3"/>
          </w:tcPr>
          <w:p w14:paraId="0C2D30AE" w14:textId="77777777" w:rsidR="00B17E99" w:rsidRPr="000034F3" w:rsidRDefault="00B17E99" w:rsidP="003F2EFF">
            <w:pPr>
              <w:pStyle w:val="Tabletext0"/>
            </w:pPr>
          </w:p>
        </w:tc>
      </w:tr>
      <w:tr w:rsidR="00B17E99" w:rsidRPr="000E0ADC" w14:paraId="1F5C0201" w14:textId="77777777" w:rsidTr="00142640">
        <w:trPr>
          <w:cantSplit/>
          <w:jc w:val="center"/>
        </w:trPr>
        <w:tc>
          <w:tcPr>
            <w:tcW w:w="9464" w:type="dxa"/>
            <w:gridSpan w:val="8"/>
            <w:shd w:val="clear" w:color="auto" w:fill="ECF1F7"/>
          </w:tcPr>
          <w:p w14:paraId="75DC4BFC" w14:textId="77777777" w:rsidR="00B17E99" w:rsidRPr="00142640" w:rsidRDefault="00B17E99" w:rsidP="003F2EFF">
            <w:pPr>
              <w:pStyle w:val="Tabletext0"/>
              <w:rPr>
                <w:b/>
              </w:rPr>
            </w:pPr>
            <w:r w:rsidRPr="00142640">
              <w:rPr>
                <w:b/>
                <w:bCs/>
              </w:rPr>
              <w:t xml:space="preserve">Evaluation methodology </w:t>
            </w:r>
          </w:p>
        </w:tc>
      </w:tr>
      <w:tr w:rsidR="00B17E99" w:rsidRPr="000E0ADC" w14:paraId="65620E5B" w14:textId="77777777" w:rsidTr="00142640">
        <w:trPr>
          <w:cantSplit/>
          <w:jc w:val="center"/>
        </w:trPr>
        <w:tc>
          <w:tcPr>
            <w:tcW w:w="1951" w:type="dxa"/>
          </w:tcPr>
          <w:p w14:paraId="27C592CB" w14:textId="77777777" w:rsidR="00B17E99" w:rsidRPr="000034F3" w:rsidRDefault="00B17E99" w:rsidP="003F2EFF">
            <w:pPr>
              <w:pStyle w:val="Tabletext0"/>
            </w:pPr>
            <w:r w:rsidRPr="000034F3">
              <w:rPr>
                <w:bCs/>
              </w:rPr>
              <w:t xml:space="preserve">3 Assessment of Intervention logic </w:t>
            </w:r>
          </w:p>
          <w:p w14:paraId="619D3296" w14:textId="77777777" w:rsidR="00B17E99" w:rsidRPr="000034F3" w:rsidRDefault="00B17E99" w:rsidP="003F2EFF">
            <w:pPr>
              <w:pStyle w:val="Tabletext0"/>
            </w:pPr>
          </w:p>
        </w:tc>
        <w:tc>
          <w:tcPr>
            <w:tcW w:w="3544" w:type="dxa"/>
            <w:gridSpan w:val="4"/>
          </w:tcPr>
          <w:p w14:paraId="66AA9136" w14:textId="77777777" w:rsidR="00B17E99" w:rsidRPr="00142640" w:rsidRDefault="00B17E99" w:rsidP="003F2EFF">
            <w:pPr>
              <w:pStyle w:val="Tabletext0"/>
            </w:pPr>
            <w:r w:rsidRPr="00142640">
              <w:t>The evaluation assesses the intervention logic or theory, or equivalent, including underlying assumptions and factors.</w:t>
            </w:r>
            <w:r w:rsidR="00A74814" w:rsidRPr="00142640">
              <w:t xml:space="preserve"> </w:t>
            </w:r>
            <w:r w:rsidRPr="00142640">
              <w:t>The report assesses the clarity of initiative objectives</w:t>
            </w:r>
          </w:p>
        </w:tc>
        <w:tc>
          <w:tcPr>
            <w:tcW w:w="1134" w:type="dxa"/>
          </w:tcPr>
          <w:p w14:paraId="3891B3F6" w14:textId="77777777" w:rsidR="00B17E99" w:rsidRPr="000034F3" w:rsidRDefault="00B17E99" w:rsidP="003F2EFF">
            <w:pPr>
              <w:pStyle w:val="Tabletext0"/>
            </w:pPr>
          </w:p>
        </w:tc>
        <w:tc>
          <w:tcPr>
            <w:tcW w:w="2835" w:type="dxa"/>
            <w:gridSpan w:val="2"/>
          </w:tcPr>
          <w:p w14:paraId="48B1BB0F" w14:textId="77777777" w:rsidR="00B17E99" w:rsidRPr="000034F3" w:rsidRDefault="00B17E99" w:rsidP="003F2EFF">
            <w:pPr>
              <w:pStyle w:val="Tabletext0"/>
            </w:pPr>
          </w:p>
        </w:tc>
      </w:tr>
      <w:tr w:rsidR="00B17E99" w:rsidRPr="000E0ADC" w14:paraId="2253FA8C" w14:textId="77777777" w:rsidTr="00142640">
        <w:trPr>
          <w:cantSplit/>
          <w:trHeight w:val="1820"/>
          <w:jc w:val="center"/>
        </w:trPr>
        <w:tc>
          <w:tcPr>
            <w:tcW w:w="1951" w:type="dxa"/>
          </w:tcPr>
          <w:p w14:paraId="7DCDA613" w14:textId="77777777" w:rsidR="00B17E99" w:rsidRPr="000034F3" w:rsidRDefault="00B17E99" w:rsidP="003F2EFF">
            <w:pPr>
              <w:pStyle w:val="Tabletext0"/>
              <w:rPr>
                <w:bCs/>
              </w:rPr>
            </w:pPr>
            <w:r w:rsidRPr="000034F3">
              <w:rPr>
                <w:bCs/>
              </w:rPr>
              <w:t xml:space="preserve">4 Appropriateness of the methodology and use of sources </w:t>
            </w:r>
          </w:p>
          <w:p w14:paraId="5569321E" w14:textId="77777777" w:rsidR="00B17E99" w:rsidRPr="000034F3" w:rsidRDefault="00B17E99" w:rsidP="003F2EFF">
            <w:pPr>
              <w:pStyle w:val="Tabletext0"/>
              <w:rPr>
                <w:bCs/>
              </w:rPr>
            </w:pPr>
          </w:p>
          <w:p w14:paraId="3FB4959F" w14:textId="77777777" w:rsidR="00B17E99" w:rsidRPr="000034F3" w:rsidRDefault="00B17E99" w:rsidP="003F2EFF">
            <w:pPr>
              <w:pStyle w:val="Tabletext0"/>
              <w:rPr>
                <w:bCs/>
              </w:rPr>
            </w:pPr>
          </w:p>
          <w:p w14:paraId="0DDCBDBF" w14:textId="77777777" w:rsidR="00B17E99" w:rsidRPr="000034F3" w:rsidRDefault="00B17E99" w:rsidP="003F2EFF">
            <w:pPr>
              <w:pStyle w:val="Tabletext0"/>
              <w:rPr>
                <w:bCs/>
              </w:rPr>
            </w:pPr>
          </w:p>
          <w:p w14:paraId="6867F8B7" w14:textId="77777777" w:rsidR="00B17E99" w:rsidRPr="000034F3" w:rsidRDefault="00B17E99" w:rsidP="003F2EFF">
            <w:pPr>
              <w:pStyle w:val="Tabletext0"/>
              <w:rPr>
                <w:bCs/>
              </w:rPr>
            </w:pPr>
          </w:p>
        </w:tc>
        <w:tc>
          <w:tcPr>
            <w:tcW w:w="3544" w:type="dxa"/>
            <w:gridSpan w:val="4"/>
          </w:tcPr>
          <w:p w14:paraId="77BD6463" w14:textId="77777777" w:rsidR="00B17E99" w:rsidRPr="00142640" w:rsidRDefault="00B17E99" w:rsidP="003F2EFF">
            <w:pPr>
              <w:pStyle w:val="Tabletext0"/>
            </w:pPr>
            <w:r w:rsidRPr="00142640">
              <w:rPr>
                <w:rFonts w:cs="Arial"/>
              </w:rPr>
              <w:t>The methodology includes justification of the design of the evaluation and the techniques for data collection and analysis.</w:t>
            </w:r>
            <w:r w:rsidR="00A74814" w:rsidRPr="00142640">
              <w:rPr>
                <w:rFonts w:cs="Arial"/>
              </w:rPr>
              <w:t xml:space="preserve"> </w:t>
            </w:r>
            <w:r w:rsidRPr="00142640">
              <w:rPr>
                <w:rFonts w:cs="Arial"/>
              </w:rPr>
              <w:t>Methods are linked to and appropriate for each evaluation question. Triangulation is sufficient.</w:t>
            </w:r>
            <w:r w:rsidR="00A74814" w:rsidRPr="00142640">
              <w:t xml:space="preserve"> </w:t>
            </w:r>
            <w:r w:rsidRPr="00142640">
              <w:t>The sampling strategy is appropriate (where applicable)</w:t>
            </w:r>
          </w:p>
          <w:p w14:paraId="37C116FD" w14:textId="77777777" w:rsidR="00B17E99" w:rsidRPr="00142640" w:rsidRDefault="00B17E99" w:rsidP="003F2EFF">
            <w:pPr>
              <w:pStyle w:val="Tabletext0"/>
            </w:pPr>
            <w:r w:rsidRPr="00142640">
              <w:t>Limitations to the methodology and any constraints encountered are described</w:t>
            </w:r>
          </w:p>
          <w:p w14:paraId="059BA67B" w14:textId="77777777" w:rsidR="00B17E99" w:rsidRPr="00142640" w:rsidRDefault="00B17E99" w:rsidP="003F2EFF">
            <w:pPr>
              <w:pStyle w:val="Tabletext0"/>
            </w:pPr>
            <w:r w:rsidRPr="00142640">
              <w:t>Ethical issues such as privacy, anonymity and cultural appropriateness</w:t>
            </w:r>
            <w:r w:rsidR="00A74814" w:rsidRPr="00142640">
              <w:t xml:space="preserve"> </w:t>
            </w:r>
            <w:r w:rsidRPr="00142640">
              <w:t>are described and addressed</w:t>
            </w:r>
          </w:p>
        </w:tc>
        <w:tc>
          <w:tcPr>
            <w:tcW w:w="1134" w:type="dxa"/>
          </w:tcPr>
          <w:p w14:paraId="3F4E637F" w14:textId="77777777" w:rsidR="00B17E99" w:rsidRPr="000034F3" w:rsidRDefault="00B17E99" w:rsidP="003F2EFF">
            <w:pPr>
              <w:pStyle w:val="Tabletext0"/>
            </w:pPr>
          </w:p>
        </w:tc>
        <w:tc>
          <w:tcPr>
            <w:tcW w:w="2835" w:type="dxa"/>
            <w:gridSpan w:val="2"/>
          </w:tcPr>
          <w:p w14:paraId="3D4BDC6C" w14:textId="77777777" w:rsidR="00B17E99" w:rsidRPr="000034F3" w:rsidRDefault="00B17E99" w:rsidP="003F2EFF">
            <w:pPr>
              <w:pStyle w:val="Tabletext0"/>
            </w:pPr>
          </w:p>
        </w:tc>
      </w:tr>
      <w:tr w:rsidR="00B17E99" w:rsidRPr="000E0ADC" w14:paraId="5825BFB6" w14:textId="77777777" w:rsidTr="00142640">
        <w:trPr>
          <w:cantSplit/>
          <w:trHeight w:val="690"/>
          <w:jc w:val="center"/>
        </w:trPr>
        <w:tc>
          <w:tcPr>
            <w:tcW w:w="1951" w:type="dxa"/>
          </w:tcPr>
          <w:p w14:paraId="0ABF8223" w14:textId="77777777" w:rsidR="00B17E99" w:rsidRPr="000034F3" w:rsidRDefault="00B17E99" w:rsidP="003F2EFF">
            <w:pPr>
              <w:pStyle w:val="Tabletext0"/>
              <w:rPr>
                <w:bCs/>
              </w:rPr>
            </w:pPr>
            <w:r w:rsidRPr="000034F3">
              <w:rPr>
                <w:bCs/>
              </w:rPr>
              <w:t xml:space="preserve">5 Adequacy and use of M&amp;E </w:t>
            </w:r>
          </w:p>
        </w:tc>
        <w:tc>
          <w:tcPr>
            <w:tcW w:w="3544" w:type="dxa"/>
            <w:gridSpan w:val="4"/>
          </w:tcPr>
          <w:p w14:paraId="6FF031CF" w14:textId="77777777" w:rsidR="00B17E99" w:rsidRPr="00142640" w:rsidRDefault="00B17E99" w:rsidP="003F2EFF">
            <w:pPr>
              <w:pStyle w:val="Tabletext0"/>
            </w:pPr>
            <w:r w:rsidRPr="00142640">
              <w:t>The adequacy of M&amp;E data/systems are described. The evaluation makes use of the existing M&amp;E data.</w:t>
            </w:r>
          </w:p>
        </w:tc>
        <w:tc>
          <w:tcPr>
            <w:tcW w:w="1134" w:type="dxa"/>
          </w:tcPr>
          <w:p w14:paraId="6CB3BBC5" w14:textId="77777777" w:rsidR="00B17E99" w:rsidRPr="000034F3" w:rsidRDefault="00B17E99" w:rsidP="003F2EFF">
            <w:pPr>
              <w:pStyle w:val="Tabletext0"/>
            </w:pPr>
          </w:p>
        </w:tc>
        <w:tc>
          <w:tcPr>
            <w:tcW w:w="2835" w:type="dxa"/>
            <w:gridSpan w:val="2"/>
          </w:tcPr>
          <w:p w14:paraId="46377239" w14:textId="77777777" w:rsidR="00B17E99" w:rsidRPr="000034F3" w:rsidRDefault="00B17E99" w:rsidP="003F2EFF">
            <w:pPr>
              <w:pStyle w:val="Tabletext0"/>
            </w:pPr>
          </w:p>
        </w:tc>
      </w:tr>
      <w:tr w:rsidR="00B17E99" w:rsidRPr="000E0ADC" w14:paraId="58A59C30" w14:textId="77777777" w:rsidTr="00142640">
        <w:trPr>
          <w:cantSplit/>
          <w:trHeight w:val="211"/>
          <w:jc w:val="center"/>
        </w:trPr>
        <w:tc>
          <w:tcPr>
            <w:tcW w:w="5495" w:type="dxa"/>
            <w:gridSpan w:val="5"/>
          </w:tcPr>
          <w:p w14:paraId="3B387C23" w14:textId="77777777" w:rsidR="00B17E99" w:rsidRPr="00142640" w:rsidRDefault="00B17E99" w:rsidP="003F2EFF">
            <w:pPr>
              <w:pStyle w:val="Tabletext0"/>
            </w:pPr>
            <w:r w:rsidRPr="00142640">
              <w:t xml:space="preserve">Overall comments </w:t>
            </w:r>
          </w:p>
        </w:tc>
        <w:tc>
          <w:tcPr>
            <w:tcW w:w="3969" w:type="dxa"/>
            <w:gridSpan w:val="3"/>
          </w:tcPr>
          <w:p w14:paraId="00FF2E73" w14:textId="77777777" w:rsidR="00B17E99" w:rsidRPr="000034F3" w:rsidRDefault="00B17E99" w:rsidP="003F2EFF">
            <w:pPr>
              <w:pStyle w:val="Tabletext0"/>
            </w:pPr>
          </w:p>
        </w:tc>
      </w:tr>
      <w:tr w:rsidR="00B17E99" w:rsidRPr="000E0ADC" w14:paraId="2C1B489B" w14:textId="77777777" w:rsidTr="00142640">
        <w:trPr>
          <w:cantSplit/>
          <w:jc w:val="center"/>
        </w:trPr>
        <w:tc>
          <w:tcPr>
            <w:tcW w:w="9464" w:type="dxa"/>
            <w:gridSpan w:val="8"/>
            <w:shd w:val="clear" w:color="auto" w:fill="ECF1F7"/>
          </w:tcPr>
          <w:p w14:paraId="6465AFEF" w14:textId="77777777" w:rsidR="00B17E99" w:rsidRPr="00142640" w:rsidRDefault="00B17E99" w:rsidP="003F2EFF">
            <w:pPr>
              <w:pStyle w:val="Tabletext0"/>
              <w:rPr>
                <w:b/>
                <w:bCs/>
              </w:rPr>
            </w:pPr>
            <w:r w:rsidRPr="00142640">
              <w:rPr>
                <w:b/>
                <w:bCs/>
              </w:rPr>
              <w:t xml:space="preserve">Findings, conclusions and recommendations </w:t>
            </w:r>
          </w:p>
        </w:tc>
      </w:tr>
      <w:tr w:rsidR="00B17E99" w:rsidRPr="000E0ADC" w14:paraId="11BB0BBB" w14:textId="77777777" w:rsidTr="00142640">
        <w:trPr>
          <w:cantSplit/>
          <w:jc w:val="center"/>
        </w:trPr>
        <w:tc>
          <w:tcPr>
            <w:tcW w:w="1951" w:type="dxa"/>
          </w:tcPr>
          <w:p w14:paraId="2DBD218D" w14:textId="77777777" w:rsidR="00B17E99" w:rsidRPr="000034F3" w:rsidRDefault="00B17E99" w:rsidP="003F2EFF">
            <w:pPr>
              <w:pStyle w:val="Tabletext0"/>
            </w:pPr>
            <w:r w:rsidRPr="000034F3">
              <w:rPr>
                <w:bCs/>
              </w:rPr>
              <w:t xml:space="preserve">6 The context of the initiative </w:t>
            </w:r>
          </w:p>
        </w:tc>
        <w:tc>
          <w:tcPr>
            <w:tcW w:w="3544" w:type="dxa"/>
            <w:gridSpan w:val="4"/>
          </w:tcPr>
          <w:p w14:paraId="4BBCDD63" w14:textId="77777777" w:rsidR="00B17E99" w:rsidRPr="00142640" w:rsidRDefault="00B17E99" w:rsidP="003F2EFF">
            <w:pPr>
              <w:pStyle w:val="Tabletext0"/>
            </w:pPr>
            <w:r w:rsidRPr="00142640">
              <w:t>The context of the initiative is described (including policy, development and institutional context) and its influence on performance is assessed.</w:t>
            </w:r>
          </w:p>
        </w:tc>
        <w:tc>
          <w:tcPr>
            <w:tcW w:w="1134" w:type="dxa"/>
          </w:tcPr>
          <w:p w14:paraId="2785FD87" w14:textId="77777777" w:rsidR="00B17E99" w:rsidRPr="000034F3" w:rsidRDefault="00B17E99" w:rsidP="003F2EFF">
            <w:pPr>
              <w:pStyle w:val="Tabletext0"/>
            </w:pPr>
          </w:p>
        </w:tc>
        <w:tc>
          <w:tcPr>
            <w:tcW w:w="2835" w:type="dxa"/>
            <w:gridSpan w:val="2"/>
          </w:tcPr>
          <w:p w14:paraId="5A5BE05C" w14:textId="77777777" w:rsidR="00B17E99" w:rsidRPr="000034F3" w:rsidRDefault="00B17E99" w:rsidP="003F2EFF">
            <w:pPr>
              <w:pStyle w:val="Tabletext0"/>
            </w:pPr>
          </w:p>
        </w:tc>
      </w:tr>
      <w:tr w:rsidR="00B17E99" w:rsidRPr="000E0ADC" w14:paraId="4D90B676" w14:textId="77777777" w:rsidTr="00142640">
        <w:trPr>
          <w:cantSplit/>
          <w:trHeight w:val="585"/>
          <w:jc w:val="center"/>
        </w:trPr>
        <w:tc>
          <w:tcPr>
            <w:tcW w:w="1951" w:type="dxa"/>
          </w:tcPr>
          <w:p w14:paraId="4FBDC466" w14:textId="77777777" w:rsidR="00B17E99" w:rsidRPr="000034F3" w:rsidRDefault="00B17E99" w:rsidP="003F2EFF">
            <w:pPr>
              <w:pStyle w:val="Tabletext0"/>
            </w:pPr>
            <w:r w:rsidRPr="000034F3">
              <w:rPr>
                <w:bCs/>
              </w:rPr>
              <w:t>7 Evaluation questions and criteria</w:t>
            </w:r>
          </w:p>
        </w:tc>
        <w:tc>
          <w:tcPr>
            <w:tcW w:w="3544" w:type="dxa"/>
            <w:gridSpan w:val="4"/>
          </w:tcPr>
          <w:p w14:paraId="3E245120" w14:textId="77777777" w:rsidR="00B17E99" w:rsidRPr="00142640" w:rsidRDefault="00B17E99" w:rsidP="003F2EFF">
            <w:pPr>
              <w:pStyle w:val="Tabletext0"/>
            </w:pPr>
            <w:r w:rsidRPr="00142640">
              <w:t>The report identifies appropriate evaluation questions and then answers them.</w:t>
            </w:r>
            <w:r w:rsidR="00A74814" w:rsidRPr="00142640">
              <w:t xml:space="preserve"> </w:t>
            </w:r>
            <w:r w:rsidRPr="00142640">
              <w:t>Any ratings, if given, are justified. Where this is not done, explanations are provided. An appropriate balance is made between operational and strategic issues.</w:t>
            </w:r>
          </w:p>
        </w:tc>
        <w:tc>
          <w:tcPr>
            <w:tcW w:w="1134" w:type="dxa"/>
          </w:tcPr>
          <w:p w14:paraId="12490AD3" w14:textId="77777777" w:rsidR="00B17E99" w:rsidRPr="000034F3" w:rsidRDefault="00B17E99" w:rsidP="003F2EFF">
            <w:pPr>
              <w:pStyle w:val="Tabletext0"/>
            </w:pPr>
          </w:p>
        </w:tc>
        <w:tc>
          <w:tcPr>
            <w:tcW w:w="2835" w:type="dxa"/>
            <w:gridSpan w:val="2"/>
          </w:tcPr>
          <w:p w14:paraId="1730FE19" w14:textId="77777777" w:rsidR="00B17E99" w:rsidRPr="000034F3" w:rsidRDefault="00B17E99" w:rsidP="003F2EFF">
            <w:pPr>
              <w:pStyle w:val="Tabletext0"/>
            </w:pPr>
          </w:p>
        </w:tc>
      </w:tr>
      <w:tr w:rsidR="00B17E99" w:rsidRPr="000E0ADC" w14:paraId="16D98A45" w14:textId="77777777" w:rsidTr="00142640">
        <w:trPr>
          <w:cantSplit/>
          <w:trHeight w:val="1320"/>
          <w:jc w:val="center"/>
        </w:trPr>
        <w:tc>
          <w:tcPr>
            <w:tcW w:w="1951" w:type="dxa"/>
          </w:tcPr>
          <w:p w14:paraId="43B49B3E" w14:textId="77777777" w:rsidR="00B17E99" w:rsidRPr="000034F3" w:rsidRDefault="00B17E99" w:rsidP="003F2EFF">
            <w:pPr>
              <w:pStyle w:val="Tabletext0"/>
            </w:pPr>
            <w:r w:rsidRPr="000034F3">
              <w:rPr>
                <w:bCs/>
              </w:rPr>
              <w:t xml:space="preserve">8 Credibility of evidence and analysis </w:t>
            </w:r>
          </w:p>
          <w:p w14:paraId="02B47337" w14:textId="77777777" w:rsidR="00B17E99" w:rsidRPr="000034F3" w:rsidRDefault="00B17E99" w:rsidP="003F2EFF">
            <w:pPr>
              <w:pStyle w:val="Tabletext0"/>
            </w:pPr>
          </w:p>
        </w:tc>
        <w:tc>
          <w:tcPr>
            <w:tcW w:w="3544" w:type="dxa"/>
            <w:gridSpan w:val="4"/>
          </w:tcPr>
          <w:p w14:paraId="5FB4C8B7" w14:textId="77777777" w:rsidR="00B17E99" w:rsidRPr="00142640" w:rsidRDefault="00B17E99" w:rsidP="003F2EFF">
            <w:pPr>
              <w:pStyle w:val="Tabletext0"/>
            </w:pPr>
            <w:r w:rsidRPr="00142640">
              <w:t>Findings flow logically from the data, showing a clear line of evidence.</w:t>
            </w:r>
            <w:r w:rsidR="00A74814" w:rsidRPr="00142640">
              <w:t xml:space="preserve"> </w:t>
            </w:r>
            <w:r w:rsidRPr="00142640">
              <w:t>Gaps and limitations in the data are clearly explained.</w:t>
            </w:r>
            <w:r w:rsidR="00A74814" w:rsidRPr="00142640">
              <w:t xml:space="preserve"> </w:t>
            </w:r>
            <w:r w:rsidRPr="00142640">
              <w:t>Any assumptions are made explicit.</w:t>
            </w:r>
          </w:p>
          <w:p w14:paraId="3584F61E" w14:textId="77777777" w:rsidR="00B17E99" w:rsidRPr="00142640" w:rsidRDefault="00B17E99" w:rsidP="003F2EFF">
            <w:pPr>
              <w:pStyle w:val="Tabletext0"/>
            </w:pPr>
            <w:r w:rsidRPr="00142640">
              <w:t>Conclusions, recommendations and lessons are substantiated by findings and analysis. The relative importance of findings is stated clearly. The overall position of the author is unambiguous</w:t>
            </w:r>
          </w:p>
          <w:p w14:paraId="48E29B04" w14:textId="77777777" w:rsidR="00B17E99" w:rsidRPr="00142640" w:rsidRDefault="00B17E99" w:rsidP="003F2EFF">
            <w:pPr>
              <w:pStyle w:val="Tabletext0"/>
            </w:pPr>
            <w:r w:rsidRPr="00142640">
              <w:t>In assessing outcomes and impacts, attribution and/or contribution to results are explained. Alternative views / factors are explored to explain the observed results</w:t>
            </w:r>
          </w:p>
        </w:tc>
        <w:tc>
          <w:tcPr>
            <w:tcW w:w="1134" w:type="dxa"/>
          </w:tcPr>
          <w:p w14:paraId="3861B22F" w14:textId="77777777" w:rsidR="00B17E99" w:rsidRPr="000034F3" w:rsidRDefault="00B17E99" w:rsidP="003F2EFF">
            <w:pPr>
              <w:pStyle w:val="Tabletext0"/>
            </w:pPr>
          </w:p>
        </w:tc>
        <w:tc>
          <w:tcPr>
            <w:tcW w:w="2835" w:type="dxa"/>
            <w:gridSpan w:val="2"/>
          </w:tcPr>
          <w:p w14:paraId="16FD84BA" w14:textId="77777777" w:rsidR="00B17E99" w:rsidRPr="000034F3" w:rsidRDefault="00B17E99" w:rsidP="003F2EFF">
            <w:pPr>
              <w:pStyle w:val="Tabletext0"/>
            </w:pPr>
          </w:p>
        </w:tc>
      </w:tr>
      <w:tr w:rsidR="00B17E99" w:rsidRPr="000E0ADC" w14:paraId="0A833F23" w14:textId="77777777" w:rsidTr="00142640">
        <w:trPr>
          <w:cantSplit/>
          <w:jc w:val="center"/>
        </w:trPr>
        <w:tc>
          <w:tcPr>
            <w:tcW w:w="1951" w:type="dxa"/>
          </w:tcPr>
          <w:p w14:paraId="329A4379" w14:textId="77777777" w:rsidR="00B17E99" w:rsidRPr="000034F3" w:rsidRDefault="00B17E99" w:rsidP="003F2EFF">
            <w:pPr>
              <w:pStyle w:val="Tabletext0"/>
            </w:pPr>
            <w:r w:rsidRPr="000034F3">
              <w:lastRenderedPageBreak/>
              <w:t xml:space="preserve">9 Recommendations </w:t>
            </w:r>
          </w:p>
        </w:tc>
        <w:tc>
          <w:tcPr>
            <w:tcW w:w="3544" w:type="dxa"/>
            <w:gridSpan w:val="4"/>
          </w:tcPr>
          <w:p w14:paraId="631B3A98" w14:textId="77777777" w:rsidR="00B17E99" w:rsidRPr="00142640" w:rsidRDefault="00B17E99" w:rsidP="003F2EFF">
            <w:pPr>
              <w:pStyle w:val="Tabletext0"/>
            </w:pPr>
            <w:r w:rsidRPr="00142640">
              <w:t>Conclusions, recommendations and lessons are clear, relevant, targeted and actionable so that the evaluation can be used to achieve its intended learning and accountability objectives.</w:t>
            </w:r>
          </w:p>
          <w:p w14:paraId="26A3B78E" w14:textId="77777777" w:rsidR="00B17E99" w:rsidRPr="00142640" w:rsidRDefault="00B17E99" w:rsidP="003F2EFF">
            <w:pPr>
              <w:pStyle w:val="Tabletext0"/>
            </w:pPr>
            <w:r w:rsidRPr="00142640">
              <w:t xml:space="preserve">Any significant resource implications are estimated </w:t>
            </w:r>
          </w:p>
        </w:tc>
        <w:tc>
          <w:tcPr>
            <w:tcW w:w="1134" w:type="dxa"/>
          </w:tcPr>
          <w:p w14:paraId="71C5905C" w14:textId="77777777" w:rsidR="00B17E99" w:rsidRPr="000034F3" w:rsidRDefault="00B17E99" w:rsidP="003F2EFF">
            <w:pPr>
              <w:pStyle w:val="Tabletext0"/>
            </w:pPr>
          </w:p>
        </w:tc>
        <w:tc>
          <w:tcPr>
            <w:tcW w:w="2835" w:type="dxa"/>
            <w:gridSpan w:val="2"/>
          </w:tcPr>
          <w:p w14:paraId="43400817" w14:textId="77777777" w:rsidR="00B17E99" w:rsidRPr="000034F3" w:rsidRDefault="00B17E99" w:rsidP="003F2EFF">
            <w:pPr>
              <w:pStyle w:val="Tabletext0"/>
            </w:pPr>
          </w:p>
        </w:tc>
      </w:tr>
      <w:tr w:rsidR="00B17E99" w:rsidRPr="000E0ADC" w14:paraId="4A400E2E" w14:textId="77777777" w:rsidTr="00612E0D">
        <w:trPr>
          <w:cantSplit/>
          <w:trHeight w:val="182"/>
          <w:jc w:val="center"/>
        </w:trPr>
        <w:tc>
          <w:tcPr>
            <w:tcW w:w="5495" w:type="dxa"/>
            <w:gridSpan w:val="5"/>
            <w:tcBorders>
              <w:bottom w:val="single" w:sz="4" w:space="0" w:color="31849B"/>
            </w:tcBorders>
          </w:tcPr>
          <w:p w14:paraId="6819E0F4" w14:textId="77777777" w:rsidR="00B17E99" w:rsidRPr="000034F3" w:rsidRDefault="00B17E99" w:rsidP="003F2EFF">
            <w:pPr>
              <w:pStyle w:val="Tabletext0"/>
            </w:pPr>
            <w:r w:rsidRPr="000034F3">
              <w:t xml:space="preserve">Overall comments </w:t>
            </w:r>
          </w:p>
        </w:tc>
        <w:tc>
          <w:tcPr>
            <w:tcW w:w="3969" w:type="dxa"/>
            <w:gridSpan w:val="3"/>
            <w:tcBorders>
              <w:bottom w:val="single" w:sz="4" w:space="0" w:color="31849B"/>
            </w:tcBorders>
          </w:tcPr>
          <w:p w14:paraId="43D7D62B" w14:textId="77777777" w:rsidR="00B17E99" w:rsidRPr="000034F3" w:rsidRDefault="00B17E99" w:rsidP="003F2EFF">
            <w:pPr>
              <w:pStyle w:val="Tabletext0"/>
            </w:pPr>
          </w:p>
        </w:tc>
      </w:tr>
      <w:tr w:rsidR="00142640" w:rsidRPr="000E0ADC" w14:paraId="5E5C18ED" w14:textId="77777777" w:rsidTr="00142640">
        <w:trPr>
          <w:cantSplit/>
          <w:jc w:val="center"/>
        </w:trPr>
        <w:tc>
          <w:tcPr>
            <w:tcW w:w="9464" w:type="dxa"/>
            <w:gridSpan w:val="8"/>
            <w:shd w:val="clear" w:color="auto" w:fill="ECF1F7"/>
          </w:tcPr>
          <w:p w14:paraId="789745C2" w14:textId="1A2B6776" w:rsidR="00142640" w:rsidRPr="000034F3" w:rsidRDefault="00142640" w:rsidP="00142640">
            <w:pPr>
              <w:pStyle w:val="Tabletext0"/>
              <w:rPr>
                <w:b/>
                <w:bCs/>
              </w:rPr>
            </w:pPr>
            <w:r>
              <w:rPr>
                <w:b/>
                <w:bCs/>
              </w:rPr>
              <w:t>Application of standard Australian aid quality criteria</w:t>
            </w:r>
            <w:r w:rsidRPr="000034F3">
              <w:rPr>
                <w:b/>
                <w:bCs/>
              </w:rPr>
              <w:t xml:space="preserve"> </w:t>
            </w:r>
          </w:p>
        </w:tc>
      </w:tr>
      <w:tr w:rsidR="00B17E99" w:rsidRPr="000E0ADC" w14:paraId="6E5442A5" w14:textId="77777777" w:rsidTr="00142640">
        <w:trPr>
          <w:cantSplit/>
          <w:trHeight w:val="1855"/>
          <w:jc w:val="center"/>
        </w:trPr>
        <w:tc>
          <w:tcPr>
            <w:tcW w:w="2744" w:type="dxa"/>
            <w:gridSpan w:val="2"/>
          </w:tcPr>
          <w:p w14:paraId="74DB57AD" w14:textId="77777777" w:rsidR="00B17E99" w:rsidRPr="000034F3" w:rsidRDefault="00B17E99">
            <w:pPr>
              <w:pStyle w:val="Tabletext0"/>
            </w:pPr>
          </w:p>
        </w:tc>
        <w:tc>
          <w:tcPr>
            <w:tcW w:w="908" w:type="dxa"/>
          </w:tcPr>
          <w:p w14:paraId="1DBF8248" w14:textId="77777777" w:rsidR="00B17E99" w:rsidRPr="000034F3" w:rsidRDefault="00B17E99">
            <w:pPr>
              <w:pStyle w:val="Tabletext0"/>
            </w:pPr>
            <w:r w:rsidRPr="000034F3">
              <w:t>Was this criteria assessed in the report?</w:t>
            </w:r>
          </w:p>
          <w:p w14:paraId="56F5D680" w14:textId="77777777" w:rsidR="00B17E99" w:rsidRPr="000034F3" w:rsidRDefault="00B17E99">
            <w:pPr>
              <w:pStyle w:val="Tabletext0"/>
            </w:pPr>
          </w:p>
          <w:p w14:paraId="3032DE3E" w14:textId="77777777" w:rsidR="00B17E99" w:rsidRPr="000034F3" w:rsidRDefault="00B17E99">
            <w:pPr>
              <w:pStyle w:val="Tabletext0"/>
            </w:pPr>
            <w:r w:rsidRPr="000034F3">
              <w:t>y/n</w:t>
            </w:r>
          </w:p>
        </w:tc>
        <w:tc>
          <w:tcPr>
            <w:tcW w:w="1418" w:type="dxa"/>
          </w:tcPr>
          <w:p w14:paraId="2A84C006" w14:textId="26570BAF" w:rsidR="00B17E99" w:rsidRPr="000034F3" w:rsidRDefault="00B17E99">
            <w:pPr>
              <w:pStyle w:val="Tabletext0"/>
            </w:pPr>
            <w:r w:rsidRPr="000034F3">
              <w:t xml:space="preserve">If, yes, what was the </w:t>
            </w:r>
            <w:r w:rsidR="00744801" w:rsidRPr="000034F3">
              <w:t>r</w:t>
            </w:r>
            <w:r w:rsidRPr="000034F3">
              <w:t xml:space="preserve">ating given in the </w:t>
            </w:r>
            <w:r w:rsidR="00744801" w:rsidRPr="000034F3">
              <w:t>e</w:t>
            </w:r>
            <w:r w:rsidRPr="000034F3">
              <w:t>valuation?</w:t>
            </w:r>
          </w:p>
          <w:p w14:paraId="41C7754E" w14:textId="77777777" w:rsidR="00B17E99" w:rsidRPr="000034F3" w:rsidRDefault="00B17E99">
            <w:pPr>
              <w:pStyle w:val="Tabletext0"/>
            </w:pPr>
          </w:p>
          <w:p w14:paraId="1BEC03FC" w14:textId="74681170" w:rsidR="00B17E99" w:rsidRPr="000034F3" w:rsidRDefault="00B17E99">
            <w:pPr>
              <w:pStyle w:val="Tabletext0"/>
            </w:pPr>
            <w:r w:rsidRPr="000034F3">
              <w:t>1</w:t>
            </w:r>
            <w:r w:rsidR="00744801" w:rsidRPr="000034F3">
              <w:t>–</w:t>
            </w:r>
            <w:r w:rsidRPr="000034F3">
              <w:t>6 or no rating or score given (N/S)</w:t>
            </w:r>
          </w:p>
        </w:tc>
        <w:tc>
          <w:tcPr>
            <w:tcW w:w="2551" w:type="dxa"/>
            <w:gridSpan w:val="3"/>
          </w:tcPr>
          <w:p w14:paraId="48619B6F" w14:textId="77777777" w:rsidR="00B17E99" w:rsidRPr="000034F3" w:rsidRDefault="00B17E99">
            <w:pPr>
              <w:pStyle w:val="Tabletext0"/>
            </w:pPr>
            <w:r w:rsidRPr="000034F3">
              <w:t>Our own rating of the quality of the assessment (Does the report provide evidence of the adequate application of the criteria?)</w:t>
            </w:r>
          </w:p>
          <w:p w14:paraId="6394D6B3" w14:textId="130F7755" w:rsidR="00B17E99" w:rsidRPr="000034F3" w:rsidRDefault="00B17E99" w:rsidP="000034F3">
            <w:pPr>
              <w:pStyle w:val="Tabletext0"/>
              <w:contextualSpacing/>
            </w:pPr>
            <w:r w:rsidRPr="000034F3">
              <w:t>1</w:t>
            </w:r>
            <w:r w:rsidR="00744801" w:rsidRPr="000034F3">
              <w:t>–</w:t>
            </w:r>
            <w:r w:rsidRPr="000034F3">
              <w:t>6 or N/C: (</w:t>
            </w:r>
            <w:r w:rsidR="00744801" w:rsidRPr="000034F3">
              <w:t>n</w:t>
            </w:r>
            <w:r w:rsidRPr="000034F3">
              <w:t xml:space="preserve">ot </w:t>
            </w:r>
            <w:r w:rsidR="00744801" w:rsidRPr="000034F3">
              <w:t>c</w:t>
            </w:r>
            <w:r w:rsidRPr="000034F3">
              <w:t>overed), N/A (</w:t>
            </w:r>
            <w:r w:rsidR="00744801" w:rsidRPr="000034F3">
              <w:t>n</w:t>
            </w:r>
            <w:r w:rsidRPr="000034F3">
              <w:t>ot assessable)</w:t>
            </w:r>
          </w:p>
        </w:tc>
        <w:tc>
          <w:tcPr>
            <w:tcW w:w="1843" w:type="dxa"/>
          </w:tcPr>
          <w:p w14:paraId="5FFD8803" w14:textId="77777777" w:rsidR="00B17E99" w:rsidRPr="000034F3" w:rsidRDefault="00B17E99">
            <w:pPr>
              <w:pStyle w:val="Tabletext0"/>
            </w:pPr>
            <w:r w:rsidRPr="000034F3">
              <w:t xml:space="preserve">Is the rating given in the evaluation robust? </w:t>
            </w:r>
          </w:p>
          <w:p w14:paraId="1C57C604" w14:textId="5361C38E" w:rsidR="00B17E99" w:rsidRPr="000034F3" w:rsidRDefault="00B17E99">
            <w:pPr>
              <w:pStyle w:val="Tabletext0"/>
            </w:pPr>
            <w:r w:rsidRPr="000034F3">
              <w:t xml:space="preserve">(rated too high </w:t>
            </w:r>
            <w:r w:rsidR="00744801" w:rsidRPr="000034F3">
              <w:t>(</w:t>
            </w:r>
            <w:r w:rsidRPr="000034F3">
              <w:t>+</w:t>
            </w:r>
            <w:r w:rsidR="00744801" w:rsidRPr="000034F3">
              <w:t>)</w:t>
            </w:r>
            <w:r w:rsidRPr="000034F3">
              <w:t xml:space="preserve">, too low </w:t>
            </w:r>
            <w:r w:rsidR="00744801" w:rsidRPr="000034F3">
              <w:t>(–)</w:t>
            </w:r>
            <w:r w:rsidRPr="000034F3">
              <w:t xml:space="preserve"> or robust</w:t>
            </w:r>
            <w:r w:rsidR="00744801" w:rsidRPr="000034F3">
              <w:t xml:space="preserve"> </w:t>
            </w:r>
            <w:r w:rsidRPr="000034F3">
              <w:t>(N/R) or not assessable N/A)</w:t>
            </w:r>
          </w:p>
        </w:tc>
      </w:tr>
      <w:tr w:rsidR="00B17E99" w:rsidRPr="000E0ADC" w14:paraId="55704E78" w14:textId="77777777" w:rsidTr="00142640">
        <w:trPr>
          <w:cantSplit/>
          <w:trHeight w:val="735"/>
          <w:jc w:val="center"/>
        </w:trPr>
        <w:tc>
          <w:tcPr>
            <w:tcW w:w="2744" w:type="dxa"/>
            <w:gridSpan w:val="2"/>
          </w:tcPr>
          <w:p w14:paraId="318DA0D0" w14:textId="77777777" w:rsidR="00B17E99" w:rsidRPr="000034F3" w:rsidRDefault="00B17E99" w:rsidP="003F2EFF">
            <w:pPr>
              <w:pStyle w:val="Tabletext0"/>
            </w:pPr>
            <w:r w:rsidRPr="000034F3">
              <w:t xml:space="preserve">1 Relevance </w:t>
            </w:r>
          </w:p>
          <w:p w14:paraId="215F228E" w14:textId="5E5E6490" w:rsidR="00B17E99" w:rsidRPr="000034F3" w:rsidRDefault="00B17E99" w:rsidP="003F2EFF">
            <w:pPr>
              <w:pStyle w:val="Tabletext0"/>
            </w:pPr>
            <w:r w:rsidRPr="000034F3">
              <w:t>The initiative is the most appropriate way to meet high priority goals that Australia shares with its development partners within the given context</w:t>
            </w:r>
            <w:r w:rsidR="00142640">
              <w:t>.</w:t>
            </w:r>
            <w:r w:rsidRPr="000034F3">
              <w:t xml:space="preserve"> </w:t>
            </w:r>
          </w:p>
        </w:tc>
        <w:tc>
          <w:tcPr>
            <w:tcW w:w="908" w:type="dxa"/>
          </w:tcPr>
          <w:p w14:paraId="59BD7701" w14:textId="77777777" w:rsidR="00B17E99" w:rsidRPr="000034F3" w:rsidRDefault="00B17E99" w:rsidP="003F2EFF">
            <w:pPr>
              <w:pStyle w:val="Tabletext0"/>
            </w:pPr>
          </w:p>
          <w:p w14:paraId="548B3DE6" w14:textId="77777777" w:rsidR="00B17E99" w:rsidRPr="000034F3" w:rsidRDefault="00B17E99" w:rsidP="003F2EFF">
            <w:pPr>
              <w:pStyle w:val="Tabletext0"/>
            </w:pPr>
          </w:p>
        </w:tc>
        <w:tc>
          <w:tcPr>
            <w:tcW w:w="1418" w:type="dxa"/>
          </w:tcPr>
          <w:p w14:paraId="7CD286E7" w14:textId="77777777" w:rsidR="00B17E99" w:rsidRPr="000034F3" w:rsidRDefault="00B17E99" w:rsidP="003F2EFF">
            <w:pPr>
              <w:pStyle w:val="Tabletext0"/>
            </w:pPr>
          </w:p>
          <w:p w14:paraId="338E50C4" w14:textId="77777777" w:rsidR="00B17E99" w:rsidRPr="000034F3" w:rsidRDefault="00B17E99" w:rsidP="003F2EFF">
            <w:pPr>
              <w:pStyle w:val="Tabletext0"/>
            </w:pPr>
          </w:p>
        </w:tc>
        <w:tc>
          <w:tcPr>
            <w:tcW w:w="2551" w:type="dxa"/>
            <w:gridSpan w:val="3"/>
          </w:tcPr>
          <w:p w14:paraId="75BD4AFD" w14:textId="77777777" w:rsidR="00B17E99" w:rsidRPr="000034F3" w:rsidRDefault="00B17E99" w:rsidP="003F2EFF">
            <w:pPr>
              <w:pStyle w:val="Tabletext0"/>
            </w:pPr>
            <w:r w:rsidRPr="000034F3">
              <w:t xml:space="preserve">Evidence: </w:t>
            </w:r>
          </w:p>
          <w:p w14:paraId="79F2B94D" w14:textId="77777777" w:rsidR="00B17E99" w:rsidRPr="000034F3" w:rsidRDefault="00B17E99" w:rsidP="003F2EFF">
            <w:pPr>
              <w:pStyle w:val="Tabletext0"/>
            </w:pPr>
          </w:p>
          <w:p w14:paraId="6FBBC6AA" w14:textId="77777777" w:rsidR="00B17E99" w:rsidRPr="000034F3" w:rsidRDefault="00B17E99" w:rsidP="003F2EFF">
            <w:pPr>
              <w:pStyle w:val="Tabletext0"/>
            </w:pPr>
            <w:r w:rsidRPr="000034F3">
              <w:t>Rating: [</w:t>
            </w:r>
            <w:r w:rsidR="00A74814" w:rsidRPr="000034F3">
              <w:t xml:space="preserve"> </w:t>
            </w:r>
            <w:r w:rsidRPr="000034F3">
              <w:t>]</w:t>
            </w:r>
          </w:p>
          <w:p w14:paraId="11C1662A" w14:textId="77777777" w:rsidR="00B17E99" w:rsidRPr="000034F3" w:rsidRDefault="00B17E99" w:rsidP="003F2EFF">
            <w:pPr>
              <w:pStyle w:val="Tabletext0"/>
            </w:pPr>
          </w:p>
        </w:tc>
        <w:tc>
          <w:tcPr>
            <w:tcW w:w="1843" w:type="dxa"/>
          </w:tcPr>
          <w:p w14:paraId="43791D38" w14:textId="77777777" w:rsidR="00B17E99" w:rsidRPr="000034F3" w:rsidRDefault="00B17E99" w:rsidP="003F2EFF">
            <w:pPr>
              <w:pStyle w:val="Tabletext0"/>
            </w:pPr>
            <w:r w:rsidRPr="000034F3">
              <w:t>Comments:</w:t>
            </w:r>
          </w:p>
          <w:p w14:paraId="1862BD85" w14:textId="77777777" w:rsidR="00B17E99" w:rsidRPr="000034F3" w:rsidRDefault="00B17E99" w:rsidP="003F2EFF">
            <w:pPr>
              <w:pStyle w:val="Tabletext0"/>
            </w:pPr>
          </w:p>
          <w:p w14:paraId="1F0D586E" w14:textId="77777777" w:rsidR="00B17E99" w:rsidRPr="000034F3" w:rsidRDefault="00B17E99" w:rsidP="003F2EFF">
            <w:pPr>
              <w:pStyle w:val="Tabletext0"/>
            </w:pPr>
            <w:r w:rsidRPr="000034F3">
              <w:t>Assessment:</w:t>
            </w:r>
          </w:p>
          <w:p w14:paraId="5E0647E1" w14:textId="77777777" w:rsidR="00B17E99" w:rsidRPr="000034F3" w:rsidRDefault="00B17E99" w:rsidP="003F2EFF">
            <w:pPr>
              <w:pStyle w:val="Tabletext0"/>
            </w:pPr>
          </w:p>
          <w:p w14:paraId="32006D5D" w14:textId="77777777" w:rsidR="00B17E99" w:rsidRPr="000034F3" w:rsidRDefault="00B17E99" w:rsidP="003F2EFF">
            <w:pPr>
              <w:pStyle w:val="Tabletext0"/>
            </w:pPr>
          </w:p>
        </w:tc>
      </w:tr>
      <w:tr w:rsidR="00B17E99" w:rsidRPr="000E0ADC" w14:paraId="536517CF" w14:textId="77777777" w:rsidTr="00142640">
        <w:trPr>
          <w:cantSplit/>
          <w:trHeight w:val="777"/>
          <w:jc w:val="center"/>
        </w:trPr>
        <w:tc>
          <w:tcPr>
            <w:tcW w:w="2744" w:type="dxa"/>
            <w:gridSpan w:val="2"/>
            <w:vMerge w:val="restart"/>
          </w:tcPr>
          <w:p w14:paraId="507F2896" w14:textId="77777777" w:rsidR="00B17E99" w:rsidRPr="000034F3" w:rsidRDefault="00B17E99" w:rsidP="003F2EFF">
            <w:pPr>
              <w:pStyle w:val="Tabletext0"/>
            </w:pPr>
            <w:r w:rsidRPr="000034F3">
              <w:t xml:space="preserve">2 Effectiveness </w:t>
            </w:r>
          </w:p>
          <w:p w14:paraId="3944D7E9" w14:textId="689809F5" w:rsidR="00B17E99" w:rsidRPr="000034F3" w:rsidRDefault="00B17E99" w:rsidP="003F2EFF">
            <w:pPr>
              <w:pStyle w:val="Tabletext0"/>
            </w:pPr>
            <w:r w:rsidRPr="000034F3">
              <w:t xml:space="preserve">The report provides evidence of the adequate application of the criteria of </w:t>
            </w:r>
            <w:r w:rsidR="00744801" w:rsidRPr="000034F3">
              <w:t>‘</w:t>
            </w:r>
            <w:r w:rsidRPr="000034F3">
              <w:t>effectiveness</w:t>
            </w:r>
            <w:r w:rsidR="00744801" w:rsidRPr="000034F3">
              <w:t>’.</w:t>
            </w:r>
            <w:r w:rsidRPr="000034F3">
              <w:t xml:space="preserve"> The initiative is meeting or will meet its objectives, and is managing risk well.</w:t>
            </w:r>
          </w:p>
        </w:tc>
        <w:tc>
          <w:tcPr>
            <w:tcW w:w="908" w:type="dxa"/>
            <w:vMerge w:val="restart"/>
          </w:tcPr>
          <w:p w14:paraId="211BE22F" w14:textId="77777777" w:rsidR="00B17E99" w:rsidRPr="000034F3" w:rsidRDefault="00B17E99" w:rsidP="003F2EFF">
            <w:pPr>
              <w:pStyle w:val="Tabletext0"/>
            </w:pPr>
          </w:p>
        </w:tc>
        <w:tc>
          <w:tcPr>
            <w:tcW w:w="1418" w:type="dxa"/>
            <w:vMerge w:val="restart"/>
          </w:tcPr>
          <w:p w14:paraId="45C0E510" w14:textId="77777777" w:rsidR="00B17E99" w:rsidRPr="000034F3" w:rsidRDefault="00B17E99" w:rsidP="003F2EFF">
            <w:pPr>
              <w:pStyle w:val="Tabletext0"/>
            </w:pPr>
          </w:p>
        </w:tc>
        <w:tc>
          <w:tcPr>
            <w:tcW w:w="2551" w:type="dxa"/>
            <w:gridSpan w:val="3"/>
            <w:vMerge w:val="restart"/>
          </w:tcPr>
          <w:p w14:paraId="1420754D" w14:textId="77777777" w:rsidR="00B17E99" w:rsidRPr="000034F3" w:rsidRDefault="00B17E99" w:rsidP="003F2EFF">
            <w:pPr>
              <w:pStyle w:val="Tabletext0"/>
            </w:pPr>
            <w:r w:rsidRPr="000034F3">
              <w:t xml:space="preserve">Evidence: </w:t>
            </w:r>
          </w:p>
          <w:p w14:paraId="3C40C052" w14:textId="77777777" w:rsidR="00B17E99" w:rsidRPr="000034F3" w:rsidRDefault="00B17E99" w:rsidP="003F2EFF">
            <w:pPr>
              <w:pStyle w:val="Tabletext0"/>
            </w:pPr>
          </w:p>
          <w:p w14:paraId="1B1EF038" w14:textId="77777777" w:rsidR="00B17E99" w:rsidRPr="000034F3" w:rsidRDefault="00B17E99" w:rsidP="003F2EFF">
            <w:pPr>
              <w:pStyle w:val="Tabletext0"/>
            </w:pPr>
            <w:r w:rsidRPr="000034F3">
              <w:t>Rating: [</w:t>
            </w:r>
            <w:r w:rsidR="00A74814" w:rsidRPr="000034F3">
              <w:t xml:space="preserve"> </w:t>
            </w:r>
            <w:r w:rsidRPr="000034F3">
              <w:t>]</w:t>
            </w:r>
          </w:p>
          <w:p w14:paraId="0CF25370" w14:textId="77777777" w:rsidR="00B17E99" w:rsidRPr="000034F3" w:rsidRDefault="00B17E99" w:rsidP="003F2EFF">
            <w:pPr>
              <w:pStyle w:val="Tabletext0"/>
            </w:pPr>
          </w:p>
        </w:tc>
        <w:tc>
          <w:tcPr>
            <w:tcW w:w="1843" w:type="dxa"/>
            <w:vMerge w:val="restart"/>
          </w:tcPr>
          <w:p w14:paraId="4777A0EA" w14:textId="77777777" w:rsidR="00B17E99" w:rsidRPr="000034F3" w:rsidRDefault="00B17E99" w:rsidP="003F2EFF">
            <w:pPr>
              <w:pStyle w:val="Tabletext0"/>
            </w:pPr>
          </w:p>
        </w:tc>
      </w:tr>
      <w:tr w:rsidR="00B17E99" w:rsidRPr="000E0ADC" w14:paraId="2544423C" w14:textId="77777777" w:rsidTr="00142640">
        <w:trPr>
          <w:cantSplit/>
          <w:trHeight w:val="559"/>
          <w:jc w:val="center"/>
        </w:trPr>
        <w:tc>
          <w:tcPr>
            <w:tcW w:w="2744" w:type="dxa"/>
            <w:gridSpan w:val="2"/>
            <w:vMerge/>
          </w:tcPr>
          <w:p w14:paraId="684F4221" w14:textId="77777777" w:rsidR="00B17E99" w:rsidRPr="000034F3" w:rsidRDefault="00B17E99" w:rsidP="00B17E99">
            <w:pPr>
              <w:keepNext/>
              <w:spacing w:before="0" w:after="60" w:line="240" w:lineRule="auto"/>
              <w:rPr>
                <w:rFonts w:asciiTheme="majorHAnsi" w:hAnsiTheme="majorHAnsi"/>
                <w:b/>
                <w:sz w:val="18"/>
                <w:szCs w:val="18"/>
              </w:rPr>
            </w:pPr>
          </w:p>
        </w:tc>
        <w:tc>
          <w:tcPr>
            <w:tcW w:w="908" w:type="dxa"/>
            <w:vMerge/>
          </w:tcPr>
          <w:p w14:paraId="43A8D556" w14:textId="77777777" w:rsidR="00B17E99" w:rsidRPr="000034F3" w:rsidRDefault="00B17E99" w:rsidP="00B17E99">
            <w:pPr>
              <w:keepNext/>
              <w:spacing w:before="0" w:after="60" w:line="240" w:lineRule="auto"/>
              <w:rPr>
                <w:rFonts w:asciiTheme="majorHAnsi" w:hAnsiTheme="majorHAnsi"/>
                <w:sz w:val="18"/>
                <w:szCs w:val="18"/>
              </w:rPr>
            </w:pPr>
          </w:p>
        </w:tc>
        <w:tc>
          <w:tcPr>
            <w:tcW w:w="1418" w:type="dxa"/>
            <w:vMerge/>
          </w:tcPr>
          <w:p w14:paraId="3F0D2CEB" w14:textId="77777777" w:rsidR="00B17E99" w:rsidRPr="000034F3" w:rsidRDefault="00B17E99" w:rsidP="00B17E99">
            <w:pPr>
              <w:keepNext/>
              <w:spacing w:before="0" w:after="60" w:line="240" w:lineRule="auto"/>
              <w:rPr>
                <w:rFonts w:asciiTheme="majorHAnsi" w:hAnsiTheme="majorHAnsi"/>
                <w:sz w:val="18"/>
                <w:szCs w:val="18"/>
              </w:rPr>
            </w:pPr>
          </w:p>
        </w:tc>
        <w:tc>
          <w:tcPr>
            <w:tcW w:w="2551" w:type="dxa"/>
            <w:gridSpan w:val="3"/>
            <w:vMerge/>
          </w:tcPr>
          <w:p w14:paraId="778103B1" w14:textId="77777777" w:rsidR="00B17E99" w:rsidRPr="000034F3" w:rsidRDefault="00B17E99" w:rsidP="00B17E99">
            <w:pPr>
              <w:keepNext/>
              <w:spacing w:before="0" w:after="60" w:line="240" w:lineRule="auto"/>
              <w:rPr>
                <w:rFonts w:asciiTheme="majorHAnsi" w:hAnsiTheme="majorHAnsi"/>
                <w:sz w:val="18"/>
                <w:szCs w:val="18"/>
              </w:rPr>
            </w:pPr>
          </w:p>
        </w:tc>
        <w:tc>
          <w:tcPr>
            <w:tcW w:w="1843" w:type="dxa"/>
            <w:vMerge/>
          </w:tcPr>
          <w:p w14:paraId="2B7792B7" w14:textId="77777777" w:rsidR="00B17E99" w:rsidRPr="000034F3" w:rsidRDefault="00B17E99" w:rsidP="00B17E99">
            <w:pPr>
              <w:keepNext/>
              <w:spacing w:before="0" w:after="60" w:line="240" w:lineRule="auto"/>
              <w:rPr>
                <w:rFonts w:asciiTheme="majorHAnsi" w:hAnsiTheme="majorHAnsi"/>
                <w:sz w:val="18"/>
                <w:szCs w:val="18"/>
              </w:rPr>
            </w:pPr>
          </w:p>
        </w:tc>
      </w:tr>
      <w:tr w:rsidR="00B17E99" w:rsidRPr="00B7173F" w14:paraId="366DD84E" w14:textId="77777777" w:rsidTr="00142640">
        <w:trPr>
          <w:cantSplit/>
          <w:trHeight w:val="2922"/>
          <w:jc w:val="center"/>
        </w:trPr>
        <w:tc>
          <w:tcPr>
            <w:tcW w:w="2744" w:type="dxa"/>
            <w:gridSpan w:val="2"/>
          </w:tcPr>
          <w:p w14:paraId="46ADC3C6" w14:textId="77777777" w:rsidR="00B17E99" w:rsidRPr="000034F3" w:rsidRDefault="00B17E99" w:rsidP="000034F3">
            <w:pPr>
              <w:pStyle w:val="Tabletext0"/>
              <w:rPr>
                <w:szCs w:val="17"/>
              </w:rPr>
            </w:pPr>
            <w:r w:rsidRPr="000034F3">
              <w:rPr>
                <w:szCs w:val="17"/>
              </w:rPr>
              <w:t xml:space="preserve">3 Efficiency </w:t>
            </w:r>
          </w:p>
          <w:p w14:paraId="133C63D1" w14:textId="77777777" w:rsidR="00B17E99" w:rsidRPr="000034F3" w:rsidRDefault="00B17E99" w:rsidP="000034F3">
            <w:pPr>
              <w:pStyle w:val="Tabletext0"/>
              <w:rPr>
                <w:szCs w:val="17"/>
              </w:rPr>
            </w:pPr>
            <w:r w:rsidRPr="000034F3">
              <w:rPr>
                <w:szCs w:val="17"/>
              </w:rPr>
              <w:t>The resources allocated by Australia and its partners are appropriate to the objectives and context, and are achieving the intended outputs.</w:t>
            </w:r>
          </w:p>
          <w:p w14:paraId="0ECDF716" w14:textId="64B1E5DC" w:rsidR="00B17E99" w:rsidRPr="000034F3" w:rsidRDefault="00B17E99" w:rsidP="000034F3">
            <w:pPr>
              <w:pStyle w:val="Tabletext0"/>
              <w:rPr>
                <w:szCs w:val="17"/>
              </w:rPr>
            </w:pPr>
            <w:r w:rsidRPr="000034F3">
              <w:rPr>
                <w:szCs w:val="17"/>
              </w:rPr>
              <w:t>V</w:t>
            </w:r>
            <w:r w:rsidR="00DC4C2C" w:rsidRPr="000034F3">
              <w:rPr>
                <w:szCs w:val="17"/>
              </w:rPr>
              <w:t>alue for money</w:t>
            </w:r>
            <w:r w:rsidRPr="000034F3">
              <w:rPr>
                <w:szCs w:val="17"/>
              </w:rPr>
              <w:t xml:space="preserve"> or </w:t>
            </w:r>
            <w:r w:rsidR="00744801" w:rsidRPr="000034F3">
              <w:rPr>
                <w:szCs w:val="17"/>
              </w:rPr>
              <w:t>c</w:t>
            </w:r>
            <w:r w:rsidRPr="000034F3">
              <w:rPr>
                <w:szCs w:val="17"/>
              </w:rPr>
              <w:t>ost-effectiveness looks beyond how inputs were converted into outputs, to whether different outputs could have been produced that would have had a greater impact in achieving the project purpose</w:t>
            </w:r>
            <w:r w:rsidR="00142640">
              <w:rPr>
                <w:szCs w:val="17"/>
              </w:rPr>
              <w:t>.</w:t>
            </w:r>
          </w:p>
        </w:tc>
        <w:tc>
          <w:tcPr>
            <w:tcW w:w="908" w:type="dxa"/>
          </w:tcPr>
          <w:p w14:paraId="0E8CB646" w14:textId="77777777" w:rsidR="00B17E99" w:rsidRPr="000034F3" w:rsidRDefault="00B17E99" w:rsidP="000034F3">
            <w:pPr>
              <w:pStyle w:val="Tabletext0"/>
              <w:rPr>
                <w:szCs w:val="17"/>
              </w:rPr>
            </w:pPr>
          </w:p>
        </w:tc>
        <w:tc>
          <w:tcPr>
            <w:tcW w:w="1418" w:type="dxa"/>
          </w:tcPr>
          <w:p w14:paraId="47396682" w14:textId="77777777" w:rsidR="00B17E99" w:rsidRPr="000034F3" w:rsidRDefault="00B17E99" w:rsidP="000034F3">
            <w:pPr>
              <w:pStyle w:val="Tabletext0"/>
              <w:rPr>
                <w:szCs w:val="17"/>
              </w:rPr>
            </w:pPr>
          </w:p>
        </w:tc>
        <w:tc>
          <w:tcPr>
            <w:tcW w:w="2551" w:type="dxa"/>
            <w:gridSpan w:val="3"/>
          </w:tcPr>
          <w:p w14:paraId="001E6338" w14:textId="77777777" w:rsidR="00B17E99" w:rsidRPr="000034F3" w:rsidRDefault="00B17E99" w:rsidP="000034F3">
            <w:pPr>
              <w:pStyle w:val="Tabletext0"/>
              <w:rPr>
                <w:szCs w:val="17"/>
              </w:rPr>
            </w:pPr>
            <w:r w:rsidRPr="000034F3">
              <w:rPr>
                <w:szCs w:val="17"/>
              </w:rPr>
              <w:t xml:space="preserve">Evidence: </w:t>
            </w:r>
          </w:p>
          <w:p w14:paraId="28D11497" w14:textId="77777777" w:rsidR="00B17E99" w:rsidRPr="000034F3" w:rsidRDefault="00B17E99" w:rsidP="000034F3">
            <w:pPr>
              <w:pStyle w:val="Tabletext0"/>
              <w:rPr>
                <w:szCs w:val="17"/>
              </w:rPr>
            </w:pPr>
          </w:p>
          <w:p w14:paraId="780FB600" w14:textId="77777777" w:rsidR="00B17E99" w:rsidRPr="000034F3" w:rsidRDefault="00B17E99" w:rsidP="000034F3">
            <w:pPr>
              <w:pStyle w:val="Tabletext0"/>
              <w:rPr>
                <w:szCs w:val="17"/>
              </w:rPr>
            </w:pPr>
            <w:r w:rsidRPr="000034F3">
              <w:rPr>
                <w:szCs w:val="17"/>
              </w:rPr>
              <w:t>Rating: [</w:t>
            </w:r>
            <w:r w:rsidR="00A74814" w:rsidRPr="000034F3">
              <w:rPr>
                <w:szCs w:val="17"/>
              </w:rPr>
              <w:t xml:space="preserve"> </w:t>
            </w:r>
            <w:r w:rsidRPr="000034F3">
              <w:rPr>
                <w:szCs w:val="17"/>
              </w:rPr>
              <w:t>]</w:t>
            </w:r>
          </w:p>
          <w:p w14:paraId="0DC621BA" w14:textId="77777777" w:rsidR="00B17E99" w:rsidRPr="000034F3" w:rsidRDefault="00B17E99" w:rsidP="000034F3">
            <w:pPr>
              <w:pStyle w:val="Tabletext0"/>
              <w:rPr>
                <w:szCs w:val="17"/>
              </w:rPr>
            </w:pPr>
          </w:p>
        </w:tc>
        <w:tc>
          <w:tcPr>
            <w:tcW w:w="1843" w:type="dxa"/>
          </w:tcPr>
          <w:p w14:paraId="05089CA3" w14:textId="77777777" w:rsidR="00B17E99" w:rsidRPr="000034F3" w:rsidRDefault="00B17E99" w:rsidP="000034F3">
            <w:pPr>
              <w:pStyle w:val="Tabletext0"/>
              <w:rPr>
                <w:szCs w:val="17"/>
              </w:rPr>
            </w:pPr>
          </w:p>
        </w:tc>
      </w:tr>
      <w:tr w:rsidR="00B17E99" w:rsidRPr="000E0ADC" w14:paraId="35272663" w14:textId="77777777" w:rsidTr="00142640">
        <w:trPr>
          <w:cantSplit/>
          <w:trHeight w:val="1210"/>
          <w:jc w:val="center"/>
        </w:trPr>
        <w:tc>
          <w:tcPr>
            <w:tcW w:w="2744" w:type="dxa"/>
            <w:gridSpan w:val="2"/>
          </w:tcPr>
          <w:p w14:paraId="2F0FFFEE" w14:textId="77777777" w:rsidR="00B17E99" w:rsidRPr="000034F3" w:rsidRDefault="00B17E99" w:rsidP="000034F3">
            <w:pPr>
              <w:pStyle w:val="Tabletext0"/>
            </w:pPr>
            <w:r w:rsidRPr="000034F3">
              <w:t xml:space="preserve">4 Impact </w:t>
            </w:r>
          </w:p>
          <w:p w14:paraId="13DA0DE7" w14:textId="07915F04" w:rsidR="00B17E99" w:rsidRPr="000034F3" w:rsidRDefault="00B17E99" w:rsidP="000034F3">
            <w:pPr>
              <w:pStyle w:val="Tabletext0"/>
            </w:pPr>
            <w:r w:rsidRPr="000034F3">
              <w:t>Impact looks at the wider effects of the project</w:t>
            </w:r>
            <w:r w:rsidR="00744801" w:rsidRPr="000034F3">
              <w:t>—</w:t>
            </w:r>
            <w:r w:rsidRPr="000034F3">
              <w:t>social, economic, technical, environmental</w:t>
            </w:r>
            <w:r w:rsidR="00744801" w:rsidRPr="000034F3">
              <w:t>—</w:t>
            </w:r>
            <w:r w:rsidRPr="000034F3">
              <w:t>on individuals, gender, age</w:t>
            </w:r>
            <w:r w:rsidR="00744801" w:rsidRPr="000034F3">
              <w:t xml:space="preserve"> </w:t>
            </w:r>
            <w:r w:rsidRPr="000034F3">
              <w:t>groups, communities, and institutions</w:t>
            </w:r>
            <w:r w:rsidR="00142640">
              <w:t>.</w:t>
            </w:r>
          </w:p>
        </w:tc>
        <w:tc>
          <w:tcPr>
            <w:tcW w:w="908" w:type="dxa"/>
          </w:tcPr>
          <w:p w14:paraId="2F54127D" w14:textId="77777777" w:rsidR="00B17E99" w:rsidRPr="000034F3" w:rsidRDefault="00B17E99" w:rsidP="000034F3">
            <w:pPr>
              <w:pStyle w:val="Tabletext0"/>
            </w:pPr>
          </w:p>
        </w:tc>
        <w:tc>
          <w:tcPr>
            <w:tcW w:w="1418" w:type="dxa"/>
          </w:tcPr>
          <w:p w14:paraId="47560865" w14:textId="77777777" w:rsidR="00B17E99" w:rsidRPr="000034F3" w:rsidRDefault="00B17E99" w:rsidP="000034F3">
            <w:pPr>
              <w:pStyle w:val="Tabletext0"/>
            </w:pPr>
          </w:p>
        </w:tc>
        <w:tc>
          <w:tcPr>
            <w:tcW w:w="2551" w:type="dxa"/>
            <w:gridSpan w:val="3"/>
          </w:tcPr>
          <w:p w14:paraId="4A8CF35E" w14:textId="77777777" w:rsidR="00B17E99" w:rsidRPr="000034F3" w:rsidRDefault="00B17E99" w:rsidP="000034F3">
            <w:pPr>
              <w:pStyle w:val="Tabletext0"/>
            </w:pPr>
            <w:r w:rsidRPr="000034F3">
              <w:t xml:space="preserve">Evidence: </w:t>
            </w:r>
          </w:p>
          <w:p w14:paraId="1C612D79" w14:textId="77777777" w:rsidR="00B17E99" w:rsidRPr="000034F3" w:rsidRDefault="00B17E99" w:rsidP="000034F3">
            <w:pPr>
              <w:pStyle w:val="Tabletext0"/>
            </w:pPr>
          </w:p>
          <w:p w14:paraId="571A4A01" w14:textId="77777777" w:rsidR="00B17E99" w:rsidRPr="000034F3" w:rsidRDefault="00B17E99" w:rsidP="000034F3">
            <w:pPr>
              <w:pStyle w:val="Tabletext0"/>
            </w:pPr>
            <w:r w:rsidRPr="000034F3">
              <w:t>Rating: [</w:t>
            </w:r>
            <w:r w:rsidR="00A74814" w:rsidRPr="000034F3">
              <w:t xml:space="preserve"> </w:t>
            </w:r>
            <w:r w:rsidRPr="000034F3">
              <w:t>]</w:t>
            </w:r>
          </w:p>
          <w:p w14:paraId="2695FA68" w14:textId="77777777" w:rsidR="00B17E99" w:rsidRPr="000034F3" w:rsidRDefault="00B17E99" w:rsidP="000034F3">
            <w:pPr>
              <w:pStyle w:val="Tabletext0"/>
            </w:pPr>
          </w:p>
        </w:tc>
        <w:tc>
          <w:tcPr>
            <w:tcW w:w="1843" w:type="dxa"/>
          </w:tcPr>
          <w:p w14:paraId="62B42CCA" w14:textId="77777777" w:rsidR="00B17E99" w:rsidRPr="000034F3" w:rsidRDefault="00B17E99" w:rsidP="00B17E99">
            <w:pPr>
              <w:keepNext/>
              <w:spacing w:before="0" w:after="60" w:line="240" w:lineRule="auto"/>
              <w:rPr>
                <w:rFonts w:asciiTheme="majorHAnsi" w:hAnsiTheme="majorHAnsi"/>
                <w:sz w:val="18"/>
                <w:szCs w:val="18"/>
              </w:rPr>
            </w:pPr>
          </w:p>
        </w:tc>
      </w:tr>
      <w:tr w:rsidR="00B17E99" w:rsidRPr="000E0ADC" w14:paraId="08E03581" w14:textId="77777777" w:rsidTr="00142640">
        <w:trPr>
          <w:cantSplit/>
          <w:trHeight w:val="1245"/>
          <w:jc w:val="center"/>
        </w:trPr>
        <w:tc>
          <w:tcPr>
            <w:tcW w:w="2744" w:type="dxa"/>
            <w:gridSpan w:val="2"/>
          </w:tcPr>
          <w:p w14:paraId="39F8781C" w14:textId="77777777" w:rsidR="00B17E99" w:rsidRPr="000034F3" w:rsidRDefault="00B17E99" w:rsidP="000034F3">
            <w:pPr>
              <w:pStyle w:val="Tabletext0"/>
            </w:pPr>
            <w:r w:rsidRPr="000034F3">
              <w:t xml:space="preserve">5 Sustainability </w:t>
            </w:r>
          </w:p>
          <w:p w14:paraId="0C24A357" w14:textId="31C5877E" w:rsidR="00B17E99" w:rsidRPr="000034F3" w:rsidRDefault="00B17E99" w:rsidP="00142640">
            <w:pPr>
              <w:pStyle w:val="Tabletext0"/>
            </w:pPr>
            <w:r w:rsidRPr="000034F3">
              <w:t>Significant benefits will endure after Australia</w:t>
            </w:r>
            <w:r w:rsidR="00744801" w:rsidRPr="000034F3">
              <w:t>’</w:t>
            </w:r>
            <w:r w:rsidRPr="000034F3">
              <w:t>s contribution has ceased, with due account given to partner systems, stakeholder ownership and plans for phase out</w:t>
            </w:r>
            <w:r w:rsidR="00142640">
              <w:t>.</w:t>
            </w:r>
          </w:p>
        </w:tc>
        <w:tc>
          <w:tcPr>
            <w:tcW w:w="908" w:type="dxa"/>
          </w:tcPr>
          <w:p w14:paraId="749AF9EC" w14:textId="77777777" w:rsidR="00B17E99" w:rsidRPr="000034F3" w:rsidRDefault="00B17E99" w:rsidP="000034F3">
            <w:pPr>
              <w:pStyle w:val="Tabletext0"/>
            </w:pPr>
          </w:p>
        </w:tc>
        <w:tc>
          <w:tcPr>
            <w:tcW w:w="1418" w:type="dxa"/>
          </w:tcPr>
          <w:p w14:paraId="7872D136" w14:textId="77777777" w:rsidR="00B17E99" w:rsidRPr="000034F3" w:rsidRDefault="00B17E99" w:rsidP="000034F3">
            <w:pPr>
              <w:pStyle w:val="Tabletext0"/>
            </w:pPr>
          </w:p>
        </w:tc>
        <w:tc>
          <w:tcPr>
            <w:tcW w:w="2551" w:type="dxa"/>
            <w:gridSpan w:val="3"/>
          </w:tcPr>
          <w:p w14:paraId="67D0F5D5" w14:textId="77777777" w:rsidR="00B17E99" w:rsidRPr="000034F3" w:rsidRDefault="00B17E99" w:rsidP="000034F3">
            <w:pPr>
              <w:pStyle w:val="Tabletext0"/>
            </w:pPr>
            <w:r w:rsidRPr="000034F3">
              <w:t xml:space="preserve">Evidence: </w:t>
            </w:r>
          </w:p>
          <w:p w14:paraId="5673D7E6" w14:textId="77777777" w:rsidR="00B17E99" w:rsidRPr="000034F3" w:rsidRDefault="00B17E99" w:rsidP="000034F3">
            <w:pPr>
              <w:pStyle w:val="Tabletext0"/>
            </w:pPr>
          </w:p>
          <w:p w14:paraId="352E857F" w14:textId="77777777" w:rsidR="00B17E99" w:rsidRPr="000034F3" w:rsidRDefault="00B17E99" w:rsidP="000034F3">
            <w:pPr>
              <w:pStyle w:val="Tabletext0"/>
            </w:pPr>
            <w:r w:rsidRPr="000034F3">
              <w:t>Rating: [</w:t>
            </w:r>
            <w:r w:rsidR="00A74814" w:rsidRPr="000034F3">
              <w:t xml:space="preserve"> </w:t>
            </w:r>
            <w:r w:rsidRPr="000034F3">
              <w:t>]</w:t>
            </w:r>
          </w:p>
          <w:p w14:paraId="54C4250A" w14:textId="77777777" w:rsidR="00B17E99" w:rsidRPr="000034F3" w:rsidRDefault="00B17E99" w:rsidP="000034F3">
            <w:pPr>
              <w:pStyle w:val="Tabletext0"/>
            </w:pPr>
          </w:p>
        </w:tc>
        <w:tc>
          <w:tcPr>
            <w:tcW w:w="1843" w:type="dxa"/>
          </w:tcPr>
          <w:p w14:paraId="03CDCA8D" w14:textId="77777777" w:rsidR="00B17E99" w:rsidRPr="000034F3" w:rsidRDefault="00B17E99" w:rsidP="00B17E99">
            <w:pPr>
              <w:keepNext/>
              <w:spacing w:before="0" w:after="60" w:line="240" w:lineRule="auto"/>
              <w:rPr>
                <w:rFonts w:asciiTheme="majorHAnsi" w:hAnsiTheme="majorHAnsi"/>
                <w:sz w:val="18"/>
                <w:szCs w:val="18"/>
              </w:rPr>
            </w:pPr>
          </w:p>
        </w:tc>
      </w:tr>
      <w:tr w:rsidR="00B17E99" w:rsidRPr="000E0ADC" w14:paraId="18FE5611" w14:textId="77777777" w:rsidTr="00142640">
        <w:trPr>
          <w:cantSplit/>
          <w:trHeight w:val="1124"/>
          <w:jc w:val="center"/>
        </w:trPr>
        <w:tc>
          <w:tcPr>
            <w:tcW w:w="2744" w:type="dxa"/>
            <w:gridSpan w:val="2"/>
          </w:tcPr>
          <w:p w14:paraId="1C7144C5" w14:textId="77777777" w:rsidR="00B17E99" w:rsidRPr="000034F3" w:rsidRDefault="00B17E99" w:rsidP="000034F3">
            <w:pPr>
              <w:pStyle w:val="Tabletext0"/>
            </w:pPr>
            <w:r w:rsidRPr="000034F3">
              <w:t xml:space="preserve">6 Gender equality </w:t>
            </w:r>
          </w:p>
          <w:p w14:paraId="4068082B" w14:textId="77777777" w:rsidR="00B17E99" w:rsidRPr="000034F3" w:rsidRDefault="00B17E99" w:rsidP="000034F3">
            <w:pPr>
              <w:pStyle w:val="Tabletext0"/>
            </w:pPr>
            <w:r w:rsidRPr="000034F3">
              <w:t>The initiative incorporates appropriate and effective strategies to advance gender equality and promote the empowerment of women and girls.</w:t>
            </w:r>
          </w:p>
        </w:tc>
        <w:tc>
          <w:tcPr>
            <w:tcW w:w="908" w:type="dxa"/>
          </w:tcPr>
          <w:p w14:paraId="720E21D9" w14:textId="77777777" w:rsidR="00B17E99" w:rsidRPr="000034F3" w:rsidRDefault="00B17E99" w:rsidP="000034F3">
            <w:pPr>
              <w:pStyle w:val="Tabletext0"/>
            </w:pPr>
          </w:p>
        </w:tc>
        <w:tc>
          <w:tcPr>
            <w:tcW w:w="1418" w:type="dxa"/>
          </w:tcPr>
          <w:p w14:paraId="233585EF" w14:textId="77777777" w:rsidR="00B17E99" w:rsidRPr="000034F3" w:rsidRDefault="00B17E99" w:rsidP="000034F3">
            <w:pPr>
              <w:pStyle w:val="Tabletext0"/>
            </w:pPr>
          </w:p>
        </w:tc>
        <w:tc>
          <w:tcPr>
            <w:tcW w:w="2551" w:type="dxa"/>
            <w:gridSpan w:val="3"/>
          </w:tcPr>
          <w:p w14:paraId="575FDE4A" w14:textId="77777777" w:rsidR="00B17E99" w:rsidRPr="000034F3" w:rsidRDefault="00B17E99" w:rsidP="000034F3">
            <w:pPr>
              <w:pStyle w:val="Tabletext0"/>
            </w:pPr>
            <w:r w:rsidRPr="000034F3">
              <w:t xml:space="preserve">Evidence: </w:t>
            </w:r>
          </w:p>
          <w:p w14:paraId="13DFAD21" w14:textId="77777777" w:rsidR="00B17E99" w:rsidRPr="000034F3" w:rsidRDefault="00B17E99" w:rsidP="000034F3">
            <w:pPr>
              <w:pStyle w:val="Tabletext0"/>
            </w:pPr>
          </w:p>
          <w:p w14:paraId="07018237" w14:textId="77777777" w:rsidR="00B17E99" w:rsidRPr="000034F3" w:rsidRDefault="00B17E99" w:rsidP="000034F3">
            <w:pPr>
              <w:pStyle w:val="Tabletext0"/>
            </w:pPr>
            <w:r w:rsidRPr="000034F3">
              <w:t>Rating: [</w:t>
            </w:r>
            <w:r w:rsidR="00A74814" w:rsidRPr="000034F3">
              <w:t xml:space="preserve"> </w:t>
            </w:r>
            <w:r w:rsidRPr="000034F3">
              <w:t>]</w:t>
            </w:r>
          </w:p>
          <w:p w14:paraId="5FED266F" w14:textId="77777777" w:rsidR="00B17E99" w:rsidRPr="000034F3" w:rsidRDefault="00B17E99" w:rsidP="000034F3">
            <w:pPr>
              <w:pStyle w:val="Tabletext0"/>
            </w:pPr>
          </w:p>
        </w:tc>
        <w:tc>
          <w:tcPr>
            <w:tcW w:w="1843" w:type="dxa"/>
          </w:tcPr>
          <w:p w14:paraId="27E861D8" w14:textId="77777777" w:rsidR="00B17E99" w:rsidRPr="000034F3" w:rsidRDefault="00B17E99" w:rsidP="00B17E99">
            <w:pPr>
              <w:keepNext/>
              <w:spacing w:before="0" w:after="60" w:line="240" w:lineRule="auto"/>
              <w:rPr>
                <w:rFonts w:asciiTheme="majorHAnsi" w:hAnsiTheme="majorHAnsi"/>
                <w:sz w:val="18"/>
                <w:szCs w:val="18"/>
              </w:rPr>
            </w:pPr>
          </w:p>
        </w:tc>
      </w:tr>
    </w:tbl>
    <w:p w14:paraId="70387F4C" w14:textId="77777777" w:rsidR="00B17E99" w:rsidRPr="00E57F60" w:rsidRDefault="00B17E99" w:rsidP="00B17E99">
      <w:pPr>
        <w:keepNext/>
        <w:spacing w:before="0" w:after="60" w:line="240" w:lineRule="auto"/>
        <w:rPr>
          <w:rFonts w:ascii="Arial Narrow" w:hAnsi="Arial Narrow"/>
          <w:sz w:val="19"/>
          <w:szCs w:val="21"/>
        </w:rPr>
      </w:pPr>
    </w:p>
    <w:tbl>
      <w:tblPr>
        <w:tblW w:w="9464" w:type="dxa"/>
        <w:jc w:val="cente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985"/>
        <w:gridCol w:w="1928"/>
        <w:gridCol w:w="1559"/>
        <w:gridCol w:w="709"/>
        <w:gridCol w:w="709"/>
        <w:gridCol w:w="2574"/>
      </w:tblGrid>
      <w:tr w:rsidR="00B17E99" w:rsidRPr="00490D0B" w14:paraId="453AAC8D" w14:textId="77777777" w:rsidTr="009E26D4">
        <w:trPr>
          <w:trHeight w:val="345"/>
          <w:jc w:val="center"/>
        </w:trPr>
        <w:tc>
          <w:tcPr>
            <w:tcW w:w="1985" w:type="dxa"/>
            <w:vMerge w:val="restart"/>
          </w:tcPr>
          <w:p w14:paraId="42787E7F" w14:textId="4A1E5EE7" w:rsidR="00B17E99" w:rsidRPr="0037634F" w:rsidRDefault="00B17E99" w:rsidP="000034F3">
            <w:pPr>
              <w:pStyle w:val="Tabletext0"/>
              <w:rPr>
                <w:szCs w:val="17"/>
              </w:rPr>
            </w:pPr>
            <w:r w:rsidRPr="00380EAE">
              <w:rPr>
                <w:szCs w:val="17"/>
              </w:rPr>
              <w:t xml:space="preserve">Good </w:t>
            </w:r>
            <w:r w:rsidR="00744801" w:rsidRPr="0037634F">
              <w:rPr>
                <w:szCs w:val="17"/>
              </w:rPr>
              <w:t>p</w:t>
            </w:r>
            <w:r w:rsidRPr="0037634F">
              <w:rPr>
                <w:szCs w:val="17"/>
              </w:rPr>
              <w:t>ractice example?</w:t>
            </w:r>
          </w:p>
        </w:tc>
        <w:tc>
          <w:tcPr>
            <w:tcW w:w="4196" w:type="dxa"/>
            <w:gridSpan w:val="3"/>
          </w:tcPr>
          <w:p w14:paraId="23999997" w14:textId="77777777" w:rsidR="00B17E99" w:rsidRPr="0037634F" w:rsidRDefault="00B17E99" w:rsidP="000034F3">
            <w:pPr>
              <w:pStyle w:val="Tabletext0"/>
              <w:rPr>
                <w:szCs w:val="17"/>
              </w:rPr>
            </w:pPr>
          </w:p>
        </w:tc>
        <w:tc>
          <w:tcPr>
            <w:tcW w:w="709" w:type="dxa"/>
          </w:tcPr>
          <w:p w14:paraId="56A60C52" w14:textId="77777777" w:rsidR="00B17E99" w:rsidRPr="0037634F" w:rsidRDefault="00B17E99" w:rsidP="000034F3">
            <w:pPr>
              <w:pStyle w:val="Tabletext0"/>
              <w:rPr>
                <w:szCs w:val="17"/>
              </w:rPr>
            </w:pPr>
            <w:r w:rsidRPr="0037634F">
              <w:rPr>
                <w:szCs w:val="17"/>
              </w:rPr>
              <w:t>(y/n)</w:t>
            </w:r>
          </w:p>
        </w:tc>
        <w:tc>
          <w:tcPr>
            <w:tcW w:w="2574" w:type="dxa"/>
          </w:tcPr>
          <w:p w14:paraId="3B339728" w14:textId="77777777" w:rsidR="00B17E99" w:rsidRPr="0037634F" w:rsidRDefault="00B17E99" w:rsidP="000034F3">
            <w:pPr>
              <w:pStyle w:val="Tabletext0"/>
              <w:rPr>
                <w:szCs w:val="17"/>
              </w:rPr>
            </w:pPr>
            <w:r w:rsidRPr="0037634F">
              <w:rPr>
                <w:szCs w:val="17"/>
              </w:rPr>
              <w:t>Evidence</w:t>
            </w:r>
          </w:p>
        </w:tc>
      </w:tr>
      <w:tr w:rsidR="00B17E99" w:rsidRPr="00490D0B" w14:paraId="28BB685F" w14:textId="77777777" w:rsidTr="009E26D4">
        <w:trPr>
          <w:trHeight w:val="345"/>
          <w:jc w:val="center"/>
        </w:trPr>
        <w:tc>
          <w:tcPr>
            <w:tcW w:w="1985" w:type="dxa"/>
            <w:vMerge/>
          </w:tcPr>
          <w:p w14:paraId="76FA80F3" w14:textId="77777777" w:rsidR="00B17E99" w:rsidRPr="00925FD0" w:rsidRDefault="00B17E99" w:rsidP="000034F3">
            <w:pPr>
              <w:pStyle w:val="Tabletext0"/>
              <w:rPr>
                <w:szCs w:val="17"/>
              </w:rPr>
            </w:pPr>
          </w:p>
        </w:tc>
        <w:tc>
          <w:tcPr>
            <w:tcW w:w="4196" w:type="dxa"/>
            <w:gridSpan w:val="3"/>
          </w:tcPr>
          <w:p w14:paraId="0331E16B" w14:textId="0A2BAB40" w:rsidR="00B17E99" w:rsidRPr="000034F3" w:rsidRDefault="00B17E99" w:rsidP="000034F3">
            <w:pPr>
              <w:pStyle w:val="Tabletext0"/>
              <w:rPr>
                <w:szCs w:val="17"/>
              </w:rPr>
            </w:pPr>
            <w:r w:rsidRPr="000034F3">
              <w:rPr>
                <w:szCs w:val="17"/>
              </w:rPr>
              <w:t xml:space="preserve">Evaluation </w:t>
            </w:r>
            <w:r w:rsidR="00744801" w:rsidRPr="000034F3">
              <w:rPr>
                <w:szCs w:val="17"/>
              </w:rPr>
              <w:t>r</w:t>
            </w:r>
            <w:r w:rsidRPr="000034F3">
              <w:rPr>
                <w:szCs w:val="17"/>
              </w:rPr>
              <w:t xml:space="preserve">eport </w:t>
            </w:r>
          </w:p>
          <w:p w14:paraId="2BA17228" w14:textId="77777777" w:rsidR="00B17E99" w:rsidRPr="000034F3" w:rsidRDefault="00B17E99" w:rsidP="000034F3">
            <w:pPr>
              <w:pStyle w:val="Tabletext0"/>
              <w:rPr>
                <w:szCs w:val="17"/>
              </w:rPr>
            </w:pPr>
            <w:r w:rsidRPr="000034F3">
              <w:rPr>
                <w:szCs w:val="17"/>
              </w:rPr>
              <w:t>Does the evaluation report represent a good example of evaluation practice, and if so why and in what areas?</w:t>
            </w:r>
          </w:p>
        </w:tc>
        <w:tc>
          <w:tcPr>
            <w:tcW w:w="709" w:type="dxa"/>
          </w:tcPr>
          <w:p w14:paraId="6BA5296B" w14:textId="77777777" w:rsidR="00B17E99" w:rsidRPr="00380EAE" w:rsidRDefault="00B17E99" w:rsidP="000034F3">
            <w:pPr>
              <w:pStyle w:val="Tabletext0"/>
              <w:rPr>
                <w:szCs w:val="17"/>
              </w:rPr>
            </w:pPr>
          </w:p>
          <w:p w14:paraId="3A32EA41" w14:textId="77777777" w:rsidR="00B17E99" w:rsidRPr="0037634F" w:rsidRDefault="00B17E99" w:rsidP="000034F3">
            <w:pPr>
              <w:pStyle w:val="Tabletext0"/>
              <w:rPr>
                <w:szCs w:val="17"/>
              </w:rPr>
            </w:pPr>
          </w:p>
        </w:tc>
        <w:tc>
          <w:tcPr>
            <w:tcW w:w="2574" w:type="dxa"/>
          </w:tcPr>
          <w:p w14:paraId="4E51872B" w14:textId="77777777" w:rsidR="00B17E99" w:rsidRPr="0037634F" w:rsidRDefault="00B17E99" w:rsidP="000034F3">
            <w:pPr>
              <w:pStyle w:val="Tabletext0"/>
              <w:rPr>
                <w:szCs w:val="17"/>
              </w:rPr>
            </w:pPr>
          </w:p>
        </w:tc>
      </w:tr>
      <w:tr w:rsidR="00B17E99" w:rsidRPr="00490D0B" w14:paraId="380BBEAF" w14:textId="77777777" w:rsidTr="009E26D4">
        <w:trPr>
          <w:trHeight w:val="345"/>
          <w:jc w:val="center"/>
        </w:trPr>
        <w:tc>
          <w:tcPr>
            <w:tcW w:w="1985" w:type="dxa"/>
            <w:vMerge/>
          </w:tcPr>
          <w:p w14:paraId="389FBFA2" w14:textId="77777777" w:rsidR="00B17E99" w:rsidRPr="00925FD0" w:rsidRDefault="00B17E99" w:rsidP="000034F3">
            <w:pPr>
              <w:pStyle w:val="Tabletext0"/>
              <w:rPr>
                <w:szCs w:val="17"/>
              </w:rPr>
            </w:pPr>
          </w:p>
        </w:tc>
        <w:tc>
          <w:tcPr>
            <w:tcW w:w="4196" w:type="dxa"/>
            <w:gridSpan w:val="3"/>
          </w:tcPr>
          <w:p w14:paraId="63876964" w14:textId="739B38D9" w:rsidR="00B17E99" w:rsidRPr="000034F3" w:rsidRDefault="00B17E99" w:rsidP="000034F3">
            <w:pPr>
              <w:pStyle w:val="Tabletext0"/>
              <w:rPr>
                <w:szCs w:val="17"/>
              </w:rPr>
            </w:pPr>
            <w:r w:rsidRPr="000034F3">
              <w:rPr>
                <w:szCs w:val="17"/>
              </w:rPr>
              <w:t xml:space="preserve">Evaluation </w:t>
            </w:r>
            <w:r w:rsidR="00744801" w:rsidRPr="000034F3">
              <w:rPr>
                <w:szCs w:val="17"/>
              </w:rPr>
              <w:t>p</w:t>
            </w:r>
            <w:r w:rsidRPr="000034F3">
              <w:rPr>
                <w:szCs w:val="17"/>
              </w:rPr>
              <w:t>lan</w:t>
            </w:r>
          </w:p>
          <w:p w14:paraId="5CE2FC5D" w14:textId="5F420E66" w:rsidR="00B17E99" w:rsidRPr="000034F3" w:rsidRDefault="00B17E99" w:rsidP="000034F3">
            <w:pPr>
              <w:pStyle w:val="Tabletext0"/>
              <w:rPr>
                <w:szCs w:val="17"/>
              </w:rPr>
            </w:pPr>
            <w:r w:rsidRPr="000034F3">
              <w:rPr>
                <w:szCs w:val="17"/>
              </w:rPr>
              <w:t xml:space="preserve">If the </w:t>
            </w:r>
            <w:r w:rsidR="00744801" w:rsidRPr="000034F3">
              <w:rPr>
                <w:szCs w:val="17"/>
              </w:rPr>
              <w:t>e</w:t>
            </w:r>
            <w:r w:rsidRPr="000034F3">
              <w:rPr>
                <w:szCs w:val="17"/>
              </w:rPr>
              <w:t xml:space="preserve">valuation </w:t>
            </w:r>
            <w:r w:rsidR="00744801" w:rsidRPr="000034F3">
              <w:rPr>
                <w:szCs w:val="17"/>
              </w:rPr>
              <w:t>p</w:t>
            </w:r>
            <w:r w:rsidRPr="000034F3">
              <w:rPr>
                <w:szCs w:val="17"/>
              </w:rPr>
              <w:t xml:space="preserve">lan is available, does it provide a good example of </w:t>
            </w:r>
            <w:r w:rsidR="00744801" w:rsidRPr="000034F3">
              <w:rPr>
                <w:szCs w:val="17"/>
              </w:rPr>
              <w:t xml:space="preserve">a </w:t>
            </w:r>
            <w:r w:rsidRPr="000034F3">
              <w:rPr>
                <w:szCs w:val="17"/>
              </w:rPr>
              <w:t>detailed plan to conduct the evaluation?</w:t>
            </w:r>
          </w:p>
        </w:tc>
        <w:tc>
          <w:tcPr>
            <w:tcW w:w="709" w:type="dxa"/>
          </w:tcPr>
          <w:p w14:paraId="0AF8703A" w14:textId="77777777" w:rsidR="00B17E99" w:rsidRPr="00380EAE" w:rsidRDefault="00B17E99" w:rsidP="000034F3">
            <w:pPr>
              <w:pStyle w:val="Tabletext0"/>
              <w:rPr>
                <w:szCs w:val="17"/>
              </w:rPr>
            </w:pPr>
          </w:p>
        </w:tc>
        <w:tc>
          <w:tcPr>
            <w:tcW w:w="2574" w:type="dxa"/>
          </w:tcPr>
          <w:p w14:paraId="77F61EE2" w14:textId="77777777" w:rsidR="00B17E99" w:rsidRPr="0037634F" w:rsidRDefault="00B17E99" w:rsidP="000034F3">
            <w:pPr>
              <w:pStyle w:val="Tabletext0"/>
              <w:rPr>
                <w:szCs w:val="17"/>
              </w:rPr>
            </w:pPr>
          </w:p>
        </w:tc>
      </w:tr>
      <w:tr w:rsidR="00B17E99" w:rsidRPr="00490D0B" w14:paraId="49EA4847" w14:textId="77777777" w:rsidTr="009E26D4">
        <w:trPr>
          <w:trHeight w:val="345"/>
          <w:jc w:val="center"/>
        </w:trPr>
        <w:tc>
          <w:tcPr>
            <w:tcW w:w="1985" w:type="dxa"/>
            <w:vMerge/>
          </w:tcPr>
          <w:p w14:paraId="359F1FB5" w14:textId="77777777" w:rsidR="00B17E99" w:rsidRPr="00925FD0" w:rsidRDefault="00B17E99" w:rsidP="000034F3">
            <w:pPr>
              <w:pStyle w:val="Tabletext0"/>
              <w:rPr>
                <w:szCs w:val="17"/>
              </w:rPr>
            </w:pPr>
          </w:p>
        </w:tc>
        <w:tc>
          <w:tcPr>
            <w:tcW w:w="4196" w:type="dxa"/>
            <w:gridSpan w:val="3"/>
          </w:tcPr>
          <w:p w14:paraId="34903E51" w14:textId="042F3C1F" w:rsidR="00B17E99" w:rsidRPr="000034F3" w:rsidRDefault="00C22AAC" w:rsidP="000034F3">
            <w:pPr>
              <w:pStyle w:val="Tabletext0"/>
              <w:rPr>
                <w:szCs w:val="17"/>
              </w:rPr>
            </w:pPr>
            <w:r>
              <w:rPr>
                <w:szCs w:val="17"/>
              </w:rPr>
              <w:t>Terms of reference</w:t>
            </w:r>
            <w:r w:rsidRPr="000034F3">
              <w:rPr>
                <w:szCs w:val="17"/>
              </w:rPr>
              <w:t xml:space="preserve"> </w:t>
            </w:r>
          </w:p>
          <w:p w14:paraId="1CB381EB" w14:textId="7E1CB8CA" w:rsidR="00B17E99" w:rsidRPr="000034F3" w:rsidRDefault="00B17E99" w:rsidP="000034F3">
            <w:pPr>
              <w:pStyle w:val="Tabletext0"/>
              <w:rPr>
                <w:szCs w:val="17"/>
              </w:rPr>
            </w:pPr>
            <w:r w:rsidRPr="000034F3">
              <w:rPr>
                <w:szCs w:val="17"/>
              </w:rPr>
              <w:t xml:space="preserve">If the </w:t>
            </w:r>
            <w:r w:rsidR="00C22AAC">
              <w:rPr>
                <w:szCs w:val="17"/>
              </w:rPr>
              <w:t>terms of reference</w:t>
            </w:r>
            <w:r w:rsidR="00C22AAC" w:rsidRPr="000034F3">
              <w:rPr>
                <w:szCs w:val="17"/>
              </w:rPr>
              <w:t xml:space="preserve"> </w:t>
            </w:r>
            <w:r w:rsidRPr="000034F3">
              <w:rPr>
                <w:szCs w:val="17"/>
              </w:rPr>
              <w:t xml:space="preserve">are available, do they provide a clear background </w:t>
            </w:r>
            <w:r w:rsidR="00744801" w:rsidRPr="000034F3">
              <w:rPr>
                <w:szCs w:val="17"/>
              </w:rPr>
              <w:t>and</w:t>
            </w:r>
            <w:r w:rsidRPr="000034F3">
              <w:rPr>
                <w:szCs w:val="17"/>
              </w:rPr>
              <w:t xml:space="preserve"> rationale, and a list of prioriti</w:t>
            </w:r>
            <w:r w:rsidR="00744801" w:rsidRPr="000034F3">
              <w:rPr>
                <w:szCs w:val="17"/>
              </w:rPr>
              <w:t>s</w:t>
            </w:r>
            <w:r w:rsidRPr="000034F3">
              <w:rPr>
                <w:szCs w:val="17"/>
              </w:rPr>
              <w:t>ed evaluation questions?</w:t>
            </w:r>
          </w:p>
        </w:tc>
        <w:tc>
          <w:tcPr>
            <w:tcW w:w="709" w:type="dxa"/>
          </w:tcPr>
          <w:p w14:paraId="2D8BDBB4" w14:textId="77777777" w:rsidR="00B17E99" w:rsidRPr="00380EAE" w:rsidRDefault="00B17E99" w:rsidP="000034F3">
            <w:pPr>
              <w:pStyle w:val="Tabletext0"/>
              <w:rPr>
                <w:szCs w:val="17"/>
              </w:rPr>
            </w:pPr>
          </w:p>
        </w:tc>
        <w:tc>
          <w:tcPr>
            <w:tcW w:w="2574" w:type="dxa"/>
          </w:tcPr>
          <w:p w14:paraId="69785F3B" w14:textId="77777777" w:rsidR="00B17E99" w:rsidRPr="0037634F" w:rsidRDefault="00B17E99" w:rsidP="000034F3">
            <w:pPr>
              <w:pStyle w:val="Tabletext0"/>
              <w:rPr>
                <w:szCs w:val="17"/>
              </w:rPr>
            </w:pPr>
          </w:p>
        </w:tc>
      </w:tr>
      <w:tr w:rsidR="00B17E99" w:rsidRPr="00490D0B" w14:paraId="5911C55E" w14:textId="77777777" w:rsidTr="009E26D4">
        <w:trPr>
          <w:trHeight w:val="333"/>
          <w:jc w:val="center"/>
        </w:trPr>
        <w:tc>
          <w:tcPr>
            <w:tcW w:w="1985" w:type="dxa"/>
            <w:vMerge w:val="restart"/>
          </w:tcPr>
          <w:p w14:paraId="3BE3B092" w14:textId="2EEA1199" w:rsidR="00B17E99" w:rsidRPr="000034F3" w:rsidRDefault="00B17E99" w:rsidP="000034F3">
            <w:pPr>
              <w:pStyle w:val="Tabletext0"/>
              <w:rPr>
                <w:szCs w:val="17"/>
              </w:rPr>
            </w:pPr>
            <w:r w:rsidRPr="00380EAE">
              <w:rPr>
                <w:szCs w:val="17"/>
              </w:rPr>
              <w:t>Follow</w:t>
            </w:r>
            <w:r w:rsidR="00744801" w:rsidRPr="0037634F">
              <w:rPr>
                <w:szCs w:val="17"/>
              </w:rPr>
              <w:t>-</w:t>
            </w:r>
            <w:r w:rsidRPr="0037634F">
              <w:rPr>
                <w:szCs w:val="17"/>
              </w:rPr>
              <w:t xml:space="preserve">up interview recommended? </w:t>
            </w:r>
          </w:p>
        </w:tc>
        <w:tc>
          <w:tcPr>
            <w:tcW w:w="1928" w:type="dxa"/>
          </w:tcPr>
          <w:p w14:paraId="28F9B6A5" w14:textId="77777777" w:rsidR="00B17E99" w:rsidRPr="000034F3" w:rsidRDefault="00B17E99" w:rsidP="000034F3">
            <w:pPr>
              <w:pStyle w:val="Tabletext0"/>
              <w:rPr>
                <w:szCs w:val="17"/>
              </w:rPr>
            </w:pPr>
            <w:r w:rsidRPr="00380EAE">
              <w:rPr>
                <w:szCs w:val="17"/>
              </w:rPr>
              <w:t>(y/n)</w:t>
            </w:r>
          </w:p>
        </w:tc>
        <w:tc>
          <w:tcPr>
            <w:tcW w:w="5551" w:type="dxa"/>
            <w:gridSpan w:val="4"/>
          </w:tcPr>
          <w:p w14:paraId="0EE0971C" w14:textId="77777777" w:rsidR="00B17E99" w:rsidRPr="000034F3" w:rsidRDefault="00B17E99" w:rsidP="000034F3">
            <w:pPr>
              <w:pStyle w:val="Tabletext0"/>
              <w:rPr>
                <w:szCs w:val="17"/>
              </w:rPr>
            </w:pPr>
            <w:r w:rsidRPr="00380EAE">
              <w:rPr>
                <w:szCs w:val="17"/>
              </w:rPr>
              <w:t>Reason:</w:t>
            </w:r>
          </w:p>
        </w:tc>
      </w:tr>
      <w:tr w:rsidR="00B17E99" w:rsidRPr="00490D0B" w14:paraId="15AA608C" w14:textId="77777777" w:rsidTr="009E26D4">
        <w:trPr>
          <w:trHeight w:val="626"/>
          <w:jc w:val="center"/>
        </w:trPr>
        <w:tc>
          <w:tcPr>
            <w:tcW w:w="1985" w:type="dxa"/>
            <w:vMerge/>
          </w:tcPr>
          <w:p w14:paraId="19CD89D5" w14:textId="77777777" w:rsidR="00B17E99" w:rsidRPr="00925FD0" w:rsidRDefault="00B17E99" w:rsidP="000034F3">
            <w:pPr>
              <w:pStyle w:val="Tabletext0"/>
              <w:rPr>
                <w:szCs w:val="17"/>
              </w:rPr>
            </w:pPr>
          </w:p>
        </w:tc>
        <w:tc>
          <w:tcPr>
            <w:tcW w:w="3487" w:type="dxa"/>
            <w:gridSpan w:val="2"/>
          </w:tcPr>
          <w:p w14:paraId="7D2D6C51" w14:textId="64B1E9EE" w:rsidR="00B17E99" w:rsidRPr="000034F3" w:rsidRDefault="00B17E99" w:rsidP="000034F3">
            <w:pPr>
              <w:pStyle w:val="Tabletext0"/>
              <w:rPr>
                <w:szCs w:val="17"/>
              </w:rPr>
            </w:pPr>
            <w:r w:rsidRPr="00925FD0">
              <w:rPr>
                <w:szCs w:val="17"/>
              </w:rPr>
              <w:t>Topics/questions to be asked if this evaluation is chosen for interview</w:t>
            </w:r>
          </w:p>
        </w:tc>
        <w:tc>
          <w:tcPr>
            <w:tcW w:w="3992" w:type="dxa"/>
            <w:gridSpan w:val="3"/>
          </w:tcPr>
          <w:p w14:paraId="52A16B9E" w14:textId="77777777" w:rsidR="00B17E99" w:rsidRPr="00380EAE" w:rsidRDefault="00B17E99" w:rsidP="000034F3">
            <w:pPr>
              <w:pStyle w:val="Tabletext0"/>
              <w:rPr>
                <w:szCs w:val="17"/>
              </w:rPr>
            </w:pPr>
          </w:p>
        </w:tc>
      </w:tr>
    </w:tbl>
    <w:p w14:paraId="44468DA9" w14:textId="77777777" w:rsidR="00B17E99" w:rsidRPr="00380EAE" w:rsidRDefault="00B17E99" w:rsidP="000034F3">
      <w:pPr>
        <w:pStyle w:val="Tabletext0"/>
        <w:rPr>
          <w:rFonts w:ascii="Cambria" w:hAnsi="Cambria"/>
          <w:szCs w:val="17"/>
        </w:rPr>
      </w:pPr>
    </w:p>
    <w:bookmarkStart w:id="305" w:name="_Toc387675137"/>
    <w:p w14:paraId="05F46175" w14:textId="0BA8536D" w:rsidR="004E3F8C" w:rsidRPr="008C7811" w:rsidRDefault="003F2EFF" w:rsidP="003F2EFF">
      <w:pPr>
        <w:pStyle w:val="Heading1"/>
      </w:pPr>
      <w:r>
        <w:rPr>
          <w:noProof/>
        </w:rPr>
        <w:lastRenderedPageBreak/>
        <mc:AlternateContent>
          <mc:Choice Requires="wps">
            <w:drawing>
              <wp:anchor distT="0" distB="0" distL="114300" distR="114300" simplePos="0" relativeHeight="251682816" behindDoc="1" locked="0" layoutInCell="1" allowOverlap="1" wp14:anchorId="5395341E" wp14:editId="1A7CA8E4">
                <wp:simplePos x="0" y="0"/>
                <wp:positionH relativeFrom="page">
                  <wp:align>left</wp:align>
                </wp:positionH>
                <wp:positionV relativeFrom="paragraph">
                  <wp:posOffset>-144145</wp:posOffset>
                </wp:positionV>
                <wp:extent cx="7610400" cy="1468800"/>
                <wp:effectExtent l="0" t="0" r="0" b="0"/>
                <wp:wrapNone/>
                <wp:docPr id="292" name="Rectangle 292"/>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17487CF" id="Rectangle 292" o:spid="_x0000_s1026" style="position:absolute;margin-left:0;margin-top:-11.35pt;width:599.25pt;height:115.65pt;z-index:-2516336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1/mAIAAIoFAAAOAAAAZHJzL2Uyb0RvYy54bWysVEtv2zAMvg/YfxB0X/2Am6ZBnSJo0WFA&#10;0RZth54VWYoNyKImKa/9+lGS7XZdscOwHBRRJD+Sn0leXB56RXbCug50TYuTnBKhOTSd3tT0+/PN&#10;lzklzjPdMAVa1PQoHL1cfv50sTcLUUILqhGWIIh2i72paeu9WWSZ463omTsBIzQqJdieeRTtJmss&#10;2yN6r7Iyz2fZHmxjLHDhHL5eJyVdRnwpBff3Ujrhiaop5ubjaeO5Dme2vGCLjWWm7fiQBvuHLHrW&#10;aQw6QV0zz8jWdn9A9R234ED6Ew59BlJ2XMQasJoif1fNU8uMiLUgOc5MNLn/B8vvdg+WdE1Ny/OS&#10;Es16/EiPSBvTGyVIeESK9sYt0PLJPNhBcngN9R6k7cM/VkIOkdbjRKs4eMLx8WxW5FWO7HPUFdVs&#10;PkcBcbJXd2Od/yqgJ+FSU4sJRDrZ7tb5ZDqahGgOVNfcdEpFwW7WV8qSHcNvXJRVNZ8N6L+ZKR2M&#10;NQS3hBheslBaKibe/FGJYKf0o5DIC6ZfxkxiR4opDuNcaF8kVcsakcKf5vgbo4ceDh6x0ggYkCXG&#10;n7AHgNEygYzYKcvBPriK2NCTc/63xJLz5BEjg/aTc99psB8BKKxqiJzsR5ISNYGlNTRH7BoLaZyc&#10;4Tcdfrdb5vwDszg/+K1xJ/h7PKSCfU1huFHSgv350Xuwx7ZGLSV7nMeauh9bZgUl6pvGhj8vqioM&#10;cBSq07MSBftWs36r0dv+CkI74PYxPF6DvVfjVVroX3B1rEJUVDHNMXZNubejcOXTnsDlw8VqFc1w&#10;aA3zt/rJ8AAeWA19+Xx4YdYMzeux7+9gnF22eNfDyTZ4alhtPcguNvgrrwPfOPCxcYblFDbKWzla&#10;va7Q5S8AAAD//wMAUEsDBBQABgAIAAAAIQCZICkm3QAAAAkBAAAPAAAAZHJzL2Rvd25yZXYueG1s&#10;TI/BTsMwEETvSPyDtUjcWidGlBCyqVAlOETiQEvvbrzEEfE6xG4b/h73BMfRjGbeVOvZDeJEU+g9&#10;I+TLDARx603PHcLH7mVRgAhRs9GDZ0L4oQDr+vqq0qXxZ36n0zZ2IpVwKDWCjXEspQytJafD0o/E&#10;yfv0k9MxyamTZtLnVO4GqbJsJZ3uOS1YPdLGUvu1PTqEpiC7796aYf5udrnc3L36PSnE25v5+QlE&#10;pDn+heGCn9ChTkwHf2QTxICQjkSEhVIPIC52/ljcgzggqKxYgawr+f9B/QsAAP//AwBQSwECLQAU&#10;AAYACAAAACEAtoM4kv4AAADhAQAAEwAAAAAAAAAAAAAAAAAAAAAAW0NvbnRlbnRfVHlwZXNdLnht&#10;bFBLAQItABQABgAIAAAAIQA4/SH/1gAAAJQBAAALAAAAAAAAAAAAAAAAAC8BAABfcmVscy8ucmVs&#10;c1BLAQItABQABgAIAAAAIQAjnT1/mAIAAIoFAAAOAAAAAAAAAAAAAAAAAC4CAABkcnMvZTJvRG9j&#10;LnhtbFBLAQItABQABgAIAAAAIQCZICkm3QAAAAkBAAAPAAAAAAAAAAAAAAAAAPIEAABkcnMvZG93&#10;bnJldi54bWxQSwUGAAAAAAQABADzAAAA/AUAAAAA&#10;" fillcolor="#124486" stroked="f" strokeweight="2pt">
                <w10:wrap anchorx="page"/>
              </v:rect>
            </w:pict>
          </mc:Fallback>
        </mc:AlternateContent>
      </w:r>
      <w:r w:rsidR="004E3F8C" w:rsidRPr="008C7811">
        <w:t xml:space="preserve">Annex </w:t>
      </w:r>
      <w:r w:rsidR="00B30978">
        <w:t>4</w:t>
      </w:r>
      <w:r w:rsidR="004E3F8C" w:rsidRPr="008C7811">
        <w:t xml:space="preserve">: </w:t>
      </w:r>
      <w:bookmarkEnd w:id="290"/>
      <w:bookmarkEnd w:id="291"/>
      <w:bookmarkEnd w:id="292"/>
      <w:bookmarkEnd w:id="293"/>
      <w:r w:rsidR="004E3F8C" w:rsidRPr="008C7811">
        <w:t>Additional analysis</w:t>
      </w:r>
      <w:bookmarkEnd w:id="294"/>
      <w:bookmarkEnd w:id="305"/>
    </w:p>
    <w:p w14:paraId="0B4B8A97" w14:textId="77777777" w:rsidR="005856CA" w:rsidRDefault="005856CA" w:rsidP="00450F72">
      <w:pPr>
        <w:pStyle w:val="Heading2"/>
      </w:pPr>
      <w:bookmarkStart w:id="306" w:name="_Toc387675138"/>
      <w:bookmarkStart w:id="307" w:name="_Toc373303747"/>
      <w:bookmarkStart w:id="308" w:name="_Toc373304314"/>
      <w:bookmarkStart w:id="309" w:name="_Toc378059941"/>
      <w:bookmarkStart w:id="310" w:name="_Toc378060029"/>
      <w:bookmarkStart w:id="311" w:name="_Ref363397450"/>
      <w:bookmarkStart w:id="312" w:name="_Toc366507154"/>
      <w:bookmarkStart w:id="313" w:name="_Toc372738084"/>
      <w:r>
        <w:t>Disaggregated results of quality review</w:t>
      </w:r>
      <w:bookmarkEnd w:id="306"/>
    </w:p>
    <w:p w14:paraId="6C108876" w14:textId="77777777" w:rsidR="00331FFC" w:rsidRPr="00C72750" w:rsidRDefault="00331FFC" w:rsidP="00760A1D">
      <w:pPr>
        <w:pStyle w:val="FigureName"/>
      </w:pPr>
      <w:bookmarkStart w:id="314" w:name="_Ref381100743"/>
      <w:r w:rsidRPr="00C72750">
        <w:t xml:space="preserve">Figure </w:t>
      </w:r>
      <w:r w:rsidR="007C3830">
        <w:fldChar w:fldCharType="begin"/>
      </w:r>
      <w:r w:rsidR="007C3830">
        <w:instrText xml:space="preserve"> SEQ Figure \* ARABIC </w:instrText>
      </w:r>
      <w:r w:rsidR="007C3830">
        <w:fldChar w:fldCharType="separate"/>
      </w:r>
      <w:r w:rsidR="00147362">
        <w:rPr>
          <w:noProof/>
        </w:rPr>
        <w:t>8</w:t>
      </w:r>
      <w:r w:rsidR="007C3830">
        <w:rPr>
          <w:noProof/>
        </w:rPr>
        <w:fldChar w:fldCharType="end"/>
      </w:r>
      <w:bookmarkEnd w:id="314"/>
      <w:r>
        <w:tab/>
        <w:t xml:space="preserve">Disaggregated results of our assessment of 87 evaluations against 15 quality criteria </w:t>
      </w:r>
    </w:p>
    <w:tbl>
      <w:tblPr>
        <w:tblStyle w:val="LightList-Accent2"/>
        <w:tblW w:w="5094" w:type="pct"/>
        <w:tblInd w:w="-60" w:type="dxa"/>
        <w:tblBorders>
          <w:top w:val="single" w:sz="8" w:space="0" w:color="007FAD"/>
          <w:left w:val="single" w:sz="8" w:space="0" w:color="007FAD"/>
          <w:bottom w:val="single" w:sz="8" w:space="0" w:color="007FAD"/>
          <w:right w:val="single" w:sz="8" w:space="0" w:color="007FAD"/>
          <w:insideH w:val="single" w:sz="8" w:space="0" w:color="007FAD"/>
          <w:insideV w:val="single" w:sz="8" w:space="0" w:color="007FAD"/>
        </w:tblBorders>
        <w:tblLayout w:type="fixed"/>
        <w:tblLook w:val="0000" w:firstRow="0" w:lastRow="0" w:firstColumn="0" w:lastColumn="0" w:noHBand="0" w:noVBand="0"/>
      </w:tblPr>
      <w:tblGrid>
        <w:gridCol w:w="2431"/>
        <w:gridCol w:w="709"/>
        <w:gridCol w:w="709"/>
        <w:gridCol w:w="710"/>
        <w:gridCol w:w="710"/>
        <w:gridCol w:w="710"/>
        <w:gridCol w:w="710"/>
        <w:gridCol w:w="710"/>
        <w:gridCol w:w="1007"/>
        <w:gridCol w:w="1005"/>
      </w:tblGrid>
      <w:tr w:rsidR="00760A1D" w:rsidRPr="00760A1D" w14:paraId="156DDF5A" w14:textId="77777777" w:rsidTr="009E26D4">
        <w:trPr>
          <w:cantSplit/>
          <w:trHeight w:val="1587"/>
          <w:tblHeader/>
        </w:trPr>
        <w:tc>
          <w:tcPr>
            <w:cnfStyle w:val="000010000000" w:firstRow="0" w:lastRow="0" w:firstColumn="0" w:lastColumn="0" w:oddVBand="1" w:evenVBand="0" w:oddHBand="0" w:evenHBand="0" w:firstRowFirstColumn="0" w:firstRowLastColumn="0" w:lastRowFirstColumn="0" w:lastRowLastColumn="0"/>
            <w:tcW w:w="1292" w:type="pct"/>
            <w:tcBorders>
              <w:top w:val="nil"/>
              <w:left w:val="nil"/>
              <w:bottom w:val="single" w:sz="4" w:space="0" w:color="007FAD"/>
              <w:right w:val="nil"/>
            </w:tcBorders>
            <w:shd w:val="clear" w:color="auto" w:fill="007FAD"/>
          </w:tcPr>
          <w:p w14:paraId="51500D41" w14:textId="2F70F1DC" w:rsidR="00331FFC" w:rsidRPr="00760A1D" w:rsidRDefault="00331FFC" w:rsidP="00450F72">
            <w:pPr>
              <w:pStyle w:val="TableHeading21"/>
              <w:rPr>
                <w:i w:val="0"/>
              </w:rPr>
            </w:pPr>
            <w:r w:rsidRPr="00760A1D">
              <w:rPr>
                <w:i w:val="0"/>
              </w:rPr>
              <w:t xml:space="preserve">Quality </w:t>
            </w:r>
            <w:r w:rsidR="00FF2282" w:rsidRPr="00760A1D">
              <w:rPr>
                <w:i w:val="0"/>
              </w:rPr>
              <w:t>r</w:t>
            </w:r>
            <w:r w:rsidRPr="00760A1D">
              <w:rPr>
                <w:i w:val="0"/>
              </w:rPr>
              <w:t>eview rating</w:t>
            </w:r>
          </w:p>
        </w:tc>
        <w:tc>
          <w:tcPr>
            <w:tcW w:w="377" w:type="pct"/>
            <w:tcBorders>
              <w:left w:val="nil"/>
              <w:bottom w:val="single" w:sz="4" w:space="0" w:color="007FAD"/>
            </w:tcBorders>
            <w:shd w:val="clear" w:color="auto" w:fill="007FAD"/>
            <w:textDirection w:val="btLr"/>
          </w:tcPr>
          <w:p w14:paraId="07195028" w14:textId="77777777" w:rsidR="00331FFC" w:rsidRPr="00760A1D" w:rsidRDefault="00331FFC" w:rsidP="00760A1D">
            <w:pPr>
              <w:pStyle w:val="TableHeading21"/>
              <w:cnfStyle w:val="000000000000" w:firstRow="0" w:lastRow="0" w:firstColumn="0" w:lastColumn="0" w:oddVBand="0" w:evenVBand="0" w:oddHBand="0" w:evenHBand="0" w:firstRowFirstColumn="0" w:firstRowLastColumn="0" w:lastRowFirstColumn="0" w:lastRowLastColumn="0"/>
              <w:rPr>
                <w:b w:val="0"/>
                <w:bCs w:val="0"/>
                <w:i w:val="0"/>
                <w:lang w:val="en-GB"/>
              </w:rPr>
            </w:pPr>
            <w:r w:rsidRPr="00760A1D">
              <w:rPr>
                <w:i w:val="0"/>
                <w:lang w:val="en-GB"/>
              </w:rPr>
              <w:t>Very poor (1)</w:t>
            </w:r>
          </w:p>
        </w:tc>
        <w:tc>
          <w:tcPr>
            <w:cnfStyle w:val="000010000000" w:firstRow="0" w:lastRow="0" w:firstColumn="0" w:lastColumn="0" w:oddVBand="1" w:evenVBand="0" w:oddHBand="0" w:evenHBand="0" w:firstRowFirstColumn="0" w:firstRowLastColumn="0" w:lastRowFirstColumn="0" w:lastRowLastColumn="0"/>
            <w:tcW w:w="377" w:type="pct"/>
            <w:tcBorders>
              <w:top w:val="none" w:sz="0" w:space="0" w:color="auto"/>
              <w:left w:val="none" w:sz="0" w:space="0" w:color="auto"/>
              <w:bottom w:val="single" w:sz="4" w:space="0" w:color="007FAD"/>
              <w:right w:val="none" w:sz="0" w:space="0" w:color="auto"/>
            </w:tcBorders>
            <w:shd w:val="clear" w:color="auto" w:fill="007FAD"/>
            <w:textDirection w:val="btLr"/>
          </w:tcPr>
          <w:p w14:paraId="7124C454" w14:textId="77777777" w:rsidR="00331FFC" w:rsidRPr="00760A1D" w:rsidRDefault="00331FFC" w:rsidP="00760A1D">
            <w:pPr>
              <w:pStyle w:val="TableHeading21"/>
              <w:rPr>
                <w:b w:val="0"/>
                <w:bCs w:val="0"/>
                <w:i w:val="0"/>
                <w:lang w:val="en-GB"/>
              </w:rPr>
            </w:pPr>
            <w:r w:rsidRPr="00760A1D">
              <w:rPr>
                <w:i w:val="0"/>
                <w:lang w:val="en-GB"/>
              </w:rPr>
              <w:t>Poor (2)</w:t>
            </w:r>
          </w:p>
        </w:tc>
        <w:tc>
          <w:tcPr>
            <w:tcW w:w="377" w:type="pct"/>
            <w:tcBorders>
              <w:bottom w:val="single" w:sz="4" w:space="0" w:color="007FAD"/>
            </w:tcBorders>
            <w:shd w:val="clear" w:color="auto" w:fill="007FAD"/>
            <w:textDirection w:val="btLr"/>
          </w:tcPr>
          <w:p w14:paraId="2A8CB464" w14:textId="77777777" w:rsidR="00331FFC" w:rsidRPr="00760A1D" w:rsidRDefault="00331FFC" w:rsidP="00760A1D">
            <w:pPr>
              <w:pStyle w:val="TableHeading21"/>
              <w:cnfStyle w:val="000000000000" w:firstRow="0" w:lastRow="0" w:firstColumn="0" w:lastColumn="0" w:oddVBand="0" w:evenVBand="0" w:oddHBand="0" w:evenHBand="0" w:firstRowFirstColumn="0" w:firstRowLastColumn="0" w:lastRowFirstColumn="0" w:lastRowLastColumn="0"/>
              <w:rPr>
                <w:b w:val="0"/>
                <w:bCs w:val="0"/>
                <w:i w:val="0"/>
                <w:lang w:val="en-GB"/>
              </w:rPr>
            </w:pPr>
            <w:r w:rsidRPr="00760A1D">
              <w:rPr>
                <w:i w:val="0"/>
                <w:lang w:val="en-GB"/>
              </w:rPr>
              <w:t>Less than adequate (3)</w:t>
            </w:r>
          </w:p>
        </w:tc>
        <w:tc>
          <w:tcPr>
            <w:cnfStyle w:val="000010000000" w:firstRow="0" w:lastRow="0" w:firstColumn="0" w:lastColumn="0" w:oddVBand="1" w:evenVBand="0" w:oddHBand="0" w:evenHBand="0" w:firstRowFirstColumn="0" w:firstRowLastColumn="0" w:lastRowFirstColumn="0" w:lastRowLastColumn="0"/>
            <w:tcW w:w="377" w:type="pct"/>
            <w:tcBorders>
              <w:top w:val="none" w:sz="0" w:space="0" w:color="auto"/>
              <w:left w:val="none" w:sz="0" w:space="0" w:color="auto"/>
              <w:bottom w:val="single" w:sz="4" w:space="0" w:color="007FAD"/>
              <w:right w:val="none" w:sz="0" w:space="0" w:color="auto"/>
            </w:tcBorders>
            <w:shd w:val="clear" w:color="auto" w:fill="007FAD"/>
            <w:textDirection w:val="btLr"/>
          </w:tcPr>
          <w:p w14:paraId="72F12D20" w14:textId="77777777" w:rsidR="00331FFC" w:rsidRPr="00760A1D" w:rsidRDefault="00331FFC" w:rsidP="00760A1D">
            <w:pPr>
              <w:pStyle w:val="TableHeading21"/>
              <w:rPr>
                <w:b w:val="0"/>
                <w:bCs w:val="0"/>
                <w:i w:val="0"/>
                <w:lang w:val="en-GB"/>
              </w:rPr>
            </w:pPr>
            <w:r w:rsidRPr="00760A1D">
              <w:rPr>
                <w:i w:val="0"/>
                <w:lang w:val="en-GB"/>
              </w:rPr>
              <w:t>Adequate (4)</w:t>
            </w:r>
          </w:p>
        </w:tc>
        <w:tc>
          <w:tcPr>
            <w:tcW w:w="377" w:type="pct"/>
            <w:tcBorders>
              <w:bottom w:val="single" w:sz="4" w:space="0" w:color="007FAD"/>
            </w:tcBorders>
            <w:shd w:val="clear" w:color="auto" w:fill="007FAD"/>
            <w:textDirection w:val="btLr"/>
          </w:tcPr>
          <w:p w14:paraId="295D2BCC" w14:textId="77777777" w:rsidR="00331FFC" w:rsidRPr="00760A1D" w:rsidRDefault="00331FFC" w:rsidP="00760A1D">
            <w:pPr>
              <w:pStyle w:val="TableHeading21"/>
              <w:cnfStyle w:val="000000000000" w:firstRow="0" w:lastRow="0" w:firstColumn="0" w:lastColumn="0" w:oddVBand="0" w:evenVBand="0" w:oddHBand="0" w:evenHBand="0" w:firstRowFirstColumn="0" w:firstRowLastColumn="0" w:lastRowFirstColumn="0" w:lastRowLastColumn="0"/>
              <w:rPr>
                <w:b w:val="0"/>
                <w:bCs w:val="0"/>
                <w:i w:val="0"/>
                <w:lang w:val="en-GB"/>
              </w:rPr>
            </w:pPr>
            <w:r w:rsidRPr="00760A1D">
              <w:rPr>
                <w:i w:val="0"/>
                <w:lang w:val="en-GB"/>
              </w:rPr>
              <w:t>Good (5)</w:t>
            </w:r>
          </w:p>
        </w:tc>
        <w:tc>
          <w:tcPr>
            <w:cnfStyle w:val="000010000000" w:firstRow="0" w:lastRow="0" w:firstColumn="0" w:lastColumn="0" w:oddVBand="1" w:evenVBand="0" w:oddHBand="0" w:evenHBand="0" w:firstRowFirstColumn="0" w:firstRowLastColumn="0" w:lastRowFirstColumn="0" w:lastRowLastColumn="0"/>
            <w:tcW w:w="377" w:type="pct"/>
            <w:tcBorders>
              <w:top w:val="none" w:sz="0" w:space="0" w:color="auto"/>
              <w:left w:val="none" w:sz="0" w:space="0" w:color="auto"/>
              <w:bottom w:val="single" w:sz="4" w:space="0" w:color="007FAD"/>
              <w:right w:val="none" w:sz="0" w:space="0" w:color="auto"/>
            </w:tcBorders>
            <w:shd w:val="clear" w:color="auto" w:fill="007FAD"/>
            <w:textDirection w:val="btLr"/>
          </w:tcPr>
          <w:p w14:paraId="7665FEA8" w14:textId="1AFB42F7" w:rsidR="00331FFC" w:rsidRPr="00760A1D" w:rsidRDefault="00331FFC" w:rsidP="00760A1D">
            <w:pPr>
              <w:pStyle w:val="TableHeading21"/>
              <w:rPr>
                <w:b w:val="0"/>
                <w:bCs w:val="0"/>
                <w:i w:val="0"/>
                <w:lang w:val="en-GB"/>
              </w:rPr>
            </w:pPr>
            <w:r w:rsidRPr="00760A1D">
              <w:rPr>
                <w:i w:val="0"/>
                <w:lang w:val="en-GB"/>
              </w:rPr>
              <w:t xml:space="preserve">Very </w:t>
            </w:r>
            <w:r w:rsidR="00FF2282" w:rsidRPr="00760A1D">
              <w:rPr>
                <w:i w:val="0"/>
                <w:lang w:val="en-GB"/>
              </w:rPr>
              <w:t>h</w:t>
            </w:r>
            <w:r w:rsidRPr="00760A1D">
              <w:rPr>
                <w:i w:val="0"/>
                <w:lang w:val="en-GB"/>
              </w:rPr>
              <w:t>igh (6)</w:t>
            </w:r>
          </w:p>
        </w:tc>
        <w:tc>
          <w:tcPr>
            <w:tcW w:w="377" w:type="pct"/>
            <w:tcBorders>
              <w:bottom w:val="single" w:sz="4" w:space="0" w:color="007FAD"/>
            </w:tcBorders>
            <w:shd w:val="clear" w:color="auto" w:fill="007FAD"/>
            <w:textDirection w:val="btLr"/>
          </w:tcPr>
          <w:p w14:paraId="41E77329" w14:textId="77777777" w:rsidR="00331FFC" w:rsidRPr="00760A1D" w:rsidRDefault="00331FFC" w:rsidP="00760A1D">
            <w:pPr>
              <w:pStyle w:val="TableHeading21"/>
              <w:cnfStyle w:val="000000000000" w:firstRow="0" w:lastRow="0" w:firstColumn="0" w:lastColumn="0" w:oddVBand="0" w:evenVBand="0" w:oddHBand="0" w:evenHBand="0" w:firstRowFirstColumn="0" w:firstRowLastColumn="0" w:lastRowFirstColumn="0" w:lastRowLastColumn="0"/>
              <w:rPr>
                <w:b w:val="0"/>
                <w:i w:val="0"/>
                <w:lang w:val="en-GB"/>
              </w:rPr>
            </w:pPr>
            <w:r w:rsidRPr="00760A1D">
              <w:rPr>
                <w:i w:val="0"/>
                <w:lang w:val="en-GB"/>
              </w:rPr>
              <w:t>Not assessable</w:t>
            </w:r>
            <w:r w:rsidRPr="00760A1D">
              <w:rPr>
                <w:rStyle w:val="FootnoteReference"/>
                <w:rFonts w:asciiTheme="majorHAnsi" w:hAnsiTheme="majorHAnsi" w:cs="Calibri"/>
                <w:i w:val="0"/>
                <w:sz w:val="18"/>
                <w:szCs w:val="18"/>
                <w:lang w:val="en-GB"/>
              </w:rPr>
              <w:footnoteReference w:id="51"/>
            </w:r>
          </w:p>
        </w:tc>
        <w:tc>
          <w:tcPr>
            <w:cnfStyle w:val="000010000000" w:firstRow="0" w:lastRow="0" w:firstColumn="0" w:lastColumn="0" w:oddVBand="1" w:evenVBand="0" w:oddHBand="0" w:evenHBand="0" w:firstRowFirstColumn="0" w:firstRowLastColumn="0" w:lastRowFirstColumn="0" w:lastRowLastColumn="0"/>
            <w:tcW w:w="535" w:type="pct"/>
            <w:tcBorders>
              <w:top w:val="none" w:sz="0" w:space="0" w:color="auto"/>
              <w:left w:val="none" w:sz="0" w:space="0" w:color="auto"/>
              <w:bottom w:val="single" w:sz="4" w:space="0" w:color="007FAD"/>
              <w:right w:val="none" w:sz="0" w:space="0" w:color="auto"/>
            </w:tcBorders>
            <w:shd w:val="clear" w:color="auto" w:fill="007FAD"/>
            <w:textDirection w:val="btLr"/>
          </w:tcPr>
          <w:p w14:paraId="6739B6BF" w14:textId="74E32CBF" w:rsidR="00331FFC" w:rsidRPr="00760A1D" w:rsidRDefault="00331FFC" w:rsidP="00760A1D">
            <w:pPr>
              <w:pStyle w:val="TableHeading21"/>
              <w:ind w:left="113" w:right="113"/>
              <w:rPr>
                <w:i w:val="0"/>
                <w:lang w:val="en-GB"/>
              </w:rPr>
            </w:pPr>
            <w:r w:rsidRPr="00760A1D">
              <w:rPr>
                <w:i w:val="0"/>
                <w:lang w:val="en-GB"/>
              </w:rPr>
              <w:t xml:space="preserve">Total </w:t>
            </w:r>
            <w:r w:rsidR="0028384C" w:rsidRPr="00760A1D">
              <w:rPr>
                <w:i w:val="0"/>
                <w:lang w:val="en-GB"/>
              </w:rPr>
              <w:t xml:space="preserve">no. </w:t>
            </w:r>
            <w:r w:rsidR="00E863DD" w:rsidRPr="00760A1D">
              <w:rPr>
                <w:i w:val="0"/>
                <w:lang w:val="en-GB"/>
              </w:rPr>
              <w:t>assessed</w:t>
            </w:r>
          </w:p>
        </w:tc>
        <w:tc>
          <w:tcPr>
            <w:tcW w:w="535" w:type="pct"/>
            <w:tcBorders>
              <w:bottom w:val="single" w:sz="4" w:space="0" w:color="007FAD"/>
            </w:tcBorders>
            <w:shd w:val="clear" w:color="auto" w:fill="007FAD"/>
            <w:textDirection w:val="btLr"/>
          </w:tcPr>
          <w:p w14:paraId="2C24A8D6" w14:textId="3444C07E" w:rsidR="00331FFC" w:rsidRPr="00760A1D" w:rsidRDefault="00331FFC" w:rsidP="00760A1D">
            <w:pPr>
              <w:pStyle w:val="TableHeading21"/>
              <w:ind w:left="113" w:right="113"/>
              <w:cnfStyle w:val="000000000000" w:firstRow="0" w:lastRow="0" w:firstColumn="0" w:lastColumn="0" w:oddVBand="0" w:evenVBand="0" w:oddHBand="0" w:evenHBand="0" w:firstRowFirstColumn="0" w:firstRowLastColumn="0" w:lastRowFirstColumn="0" w:lastRowLastColumn="0"/>
              <w:rPr>
                <w:i w:val="0"/>
                <w:lang w:val="en-GB"/>
              </w:rPr>
            </w:pPr>
            <w:r w:rsidRPr="00760A1D">
              <w:rPr>
                <w:i w:val="0"/>
                <w:lang w:val="en-GB"/>
              </w:rPr>
              <w:t>% assessed as adequate or better (4</w:t>
            </w:r>
            <w:r w:rsidR="00FF2282" w:rsidRPr="00760A1D">
              <w:rPr>
                <w:i w:val="0"/>
                <w:lang w:val="en-GB"/>
              </w:rPr>
              <w:t>–</w:t>
            </w:r>
            <w:r w:rsidRPr="00760A1D">
              <w:rPr>
                <w:i w:val="0"/>
                <w:lang w:val="en-GB"/>
              </w:rPr>
              <w:t>6)</w:t>
            </w:r>
          </w:p>
        </w:tc>
      </w:tr>
      <w:tr w:rsidR="00331FFC" w:rsidRPr="00760A1D" w14:paraId="2CE51F62" w14:textId="77777777" w:rsidTr="009E26D4">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5000" w:type="pct"/>
            <w:gridSpan w:val="10"/>
            <w:tcBorders>
              <w:top w:val="single" w:sz="4" w:space="0" w:color="007FAD"/>
              <w:left w:val="single" w:sz="4" w:space="0" w:color="007FAD"/>
              <w:bottom w:val="single" w:sz="4" w:space="0" w:color="007FAD"/>
              <w:right w:val="single" w:sz="4" w:space="0" w:color="007FAD"/>
            </w:tcBorders>
            <w:shd w:val="clear" w:color="auto" w:fill="ECF1F7"/>
          </w:tcPr>
          <w:p w14:paraId="331E4FB8" w14:textId="363F322F" w:rsidR="00331FFC" w:rsidRPr="00760A1D" w:rsidRDefault="00331FFC" w:rsidP="00C36A9B">
            <w:pPr>
              <w:pStyle w:val="Tabletext0"/>
              <w:rPr>
                <w:b/>
                <w:bCs/>
              </w:rPr>
            </w:pPr>
            <w:r w:rsidRPr="00760A1D">
              <w:rPr>
                <w:b/>
                <w:bCs/>
              </w:rPr>
              <w:t xml:space="preserve">Evaluation </w:t>
            </w:r>
            <w:r w:rsidR="003C2087" w:rsidRPr="00760A1D">
              <w:rPr>
                <w:b/>
                <w:bCs/>
              </w:rPr>
              <w:t>q</w:t>
            </w:r>
            <w:r w:rsidRPr="00760A1D">
              <w:rPr>
                <w:b/>
                <w:bCs/>
              </w:rPr>
              <w:t xml:space="preserve">uality </w:t>
            </w:r>
            <w:r w:rsidR="003C2087" w:rsidRPr="00760A1D">
              <w:rPr>
                <w:b/>
                <w:bCs/>
              </w:rPr>
              <w:t>s</w:t>
            </w:r>
            <w:r w:rsidRPr="00760A1D">
              <w:rPr>
                <w:b/>
                <w:bCs/>
              </w:rPr>
              <w:t>tandards</w:t>
            </w:r>
          </w:p>
        </w:tc>
      </w:tr>
      <w:tr w:rsidR="0097725B" w:rsidRPr="00B63D42" w14:paraId="7C5A97B0" w14:textId="77777777" w:rsidTr="009E26D4">
        <w:trPr>
          <w:trHeight w:val="340"/>
        </w:trPr>
        <w:tc>
          <w:tcPr>
            <w:cnfStyle w:val="000010000000" w:firstRow="0" w:lastRow="0" w:firstColumn="0" w:lastColumn="0" w:oddVBand="1" w:evenVBand="0" w:oddHBand="0" w:evenHBand="0" w:firstRowFirstColumn="0" w:firstRowLastColumn="0" w:lastRowFirstColumn="0" w:lastRowLastColumn="0"/>
            <w:tcW w:w="1292" w:type="pct"/>
            <w:tcBorders>
              <w:top w:val="single" w:sz="4" w:space="0" w:color="007FAD"/>
              <w:left w:val="single" w:sz="4" w:space="0" w:color="007FAD"/>
              <w:bottom w:val="single" w:sz="4" w:space="0" w:color="007FAD"/>
              <w:right w:val="single" w:sz="4" w:space="0" w:color="007FAD"/>
            </w:tcBorders>
          </w:tcPr>
          <w:p w14:paraId="6CF1CEC3" w14:textId="77777777" w:rsidR="00331FFC" w:rsidRPr="00760A1D" w:rsidRDefault="00331FFC" w:rsidP="00760A1D">
            <w:pPr>
              <w:pStyle w:val="Tabletext0"/>
              <w:ind w:left="202" w:hanging="202"/>
              <w:rPr>
                <w:lang w:val="en-GB"/>
              </w:rPr>
            </w:pPr>
            <w:r w:rsidRPr="00760A1D">
              <w:rPr>
                <w:lang w:val="en-GB"/>
              </w:rPr>
              <w:t>1. Purpose for evaluation</w:t>
            </w:r>
          </w:p>
        </w:tc>
        <w:tc>
          <w:tcPr>
            <w:tcW w:w="377" w:type="pct"/>
            <w:tcBorders>
              <w:top w:val="single" w:sz="4" w:space="0" w:color="007FAD"/>
              <w:left w:val="single" w:sz="4" w:space="0" w:color="007FAD"/>
              <w:bottom w:val="single" w:sz="4" w:space="0" w:color="007FAD"/>
              <w:right w:val="single" w:sz="4" w:space="0" w:color="007FAD"/>
            </w:tcBorders>
          </w:tcPr>
          <w:p w14:paraId="1395F8B7"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1</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7B735147" w14:textId="77777777" w:rsidR="00331FFC" w:rsidRPr="00760A1D" w:rsidRDefault="00331FFC" w:rsidP="00C36A9B">
            <w:pPr>
              <w:pStyle w:val="Tabletext0"/>
              <w:rPr>
                <w:lang w:val="en-GB"/>
              </w:rPr>
            </w:pPr>
            <w:r w:rsidRPr="00760A1D">
              <w:rPr>
                <w:lang w:val="en-GB"/>
              </w:rPr>
              <w:t>2</w:t>
            </w:r>
          </w:p>
        </w:tc>
        <w:tc>
          <w:tcPr>
            <w:tcW w:w="377" w:type="pct"/>
            <w:tcBorders>
              <w:top w:val="single" w:sz="4" w:space="0" w:color="007FAD"/>
              <w:left w:val="single" w:sz="4" w:space="0" w:color="007FAD"/>
              <w:bottom w:val="single" w:sz="4" w:space="0" w:color="007FAD"/>
              <w:right w:val="single" w:sz="4" w:space="0" w:color="007FAD"/>
            </w:tcBorders>
          </w:tcPr>
          <w:p w14:paraId="120217F7"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8</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755E2C47" w14:textId="77777777" w:rsidR="00331FFC" w:rsidRPr="00760A1D" w:rsidRDefault="00331FFC" w:rsidP="00C36A9B">
            <w:pPr>
              <w:pStyle w:val="Tabletext0"/>
              <w:rPr>
                <w:lang w:val="en-GB"/>
              </w:rPr>
            </w:pPr>
            <w:r w:rsidRPr="00760A1D">
              <w:rPr>
                <w:lang w:val="en-GB"/>
              </w:rPr>
              <w:t>42</w:t>
            </w:r>
          </w:p>
        </w:tc>
        <w:tc>
          <w:tcPr>
            <w:tcW w:w="377" w:type="pct"/>
            <w:tcBorders>
              <w:top w:val="single" w:sz="4" w:space="0" w:color="007FAD"/>
              <w:left w:val="single" w:sz="4" w:space="0" w:color="007FAD"/>
              <w:bottom w:val="single" w:sz="4" w:space="0" w:color="007FAD"/>
              <w:right w:val="single" w:sz="4" w:space="0" w:color="007FAD"/>
            </w:tcBorders>
          </w:tcPr>
          <w:p w14:paraId="38D59FEC"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 xml:space="preserve">27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7664EB96" w14:textId="77777777" w:rsidR="00331FFC" w:rsidRPr="00760A1D" w:rsidRDefault="00331FFC" w:rsidP="00C36A9B">
            <w:pPr>
              <w:pStyle w:val="Tabletext0"/>
              <w:rPr>
                <w:lang w:val="en-GB"/>
              </w:rPr>
            </w:pPr>
            <w:r w:rsidRPr="00760A1D">
              <w:rPr>
                <w:lang w:val="en-GB"/>
              </w:rPr>
              <w:t>7</w:t>
            </w:r>
          </w:p>
        </w:tc>
        <w:tc>
          <w:tcPr>
            <w:tcW w:w="377" w:type="pct"/>
            <w:tcBorders>
              <w:top w:val="single" w:sz="4" w:space="0" w:color="007FAD"/>
              <w:left w:val="single" w:sz="4" w:space="0" w:color="007FAD"/>
              <w:bottom w:val="single" w:sz="4" w:space="0" w:color="007FAD"/>
              <w:right w:val="single" w:sz="4" w:space="0" w:color="007FAD"/>
            </w:tcBorders>
          </w:tcPr>
          <w:p w14:paraId="18AEC4F1"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0</w:t>
            </w:r>
          </w:p>
        </w:tc>
        <w:tc>
          <w:tcPr>
            <w:cnfStyle w:val="000010000000" w:firstRow="0" w:lastRow="0" w:firstColumn="0" w:lastColumn="0" w:oddVBand="1" w:evenVBand="0" w:oddHBand="0" w:evenHBand="0" w:firstRowFirstColumn="0" w:firstRowLastColumn="0" w:lastRowFirstColumn="0" w:lastRowLastColumn="0"/>
            <w:tcW w:w="535" w:type="pct"/>
            <w:tcBorders>
              <w:top w:val="single" w:sz="4" w:space="0" w:color="007FAD"/>
              <w:left w:val="single" w:sz="4" w:space="0" w:color="007FAD"/>
              <w:bottom w:val="single" w:sz="4" w:space="0" w:color="007FAD"/>
              <w:right w:val="single" w:sz="4" w:space="0" w:color="007FAD"/>
            </w:tcBorders>
          </w:tcPr>
          <w:p w14:paraId="03C61750" w14:textId="77777777" w:rsidR="00331FFC" w:rsidRPr="00760A1D" w:rsidRDefault="00331FFC" w:rsidP="00C36A9B">
            <w:pPr>
              <w:pStyle w:val="Tabletext0"/>
              <w:rPr>
                <w:lang w:val="en-GB"/>
              </w:rPr>
            </w:pPr>
            <w:r w:rsidRPr="00760A1D">
              <w:rPr>
                <w:lang w:val="en-GB"/>
              </w:rPr>
              <w:t>87</w:t>
            </w:r>
          </w:p>
        </w:tc>
        <w:tc>
          <w:tcPr>
            <w:tcW w:w="535" w:type="pct"/>
            <w:tcBorders>
              <w:top w:val="single" w:sz="4" w:space="0" w:color="007FAD"/>
              <w:left w:val="single" w:sz="4" w:space="0" w:color="007FAD"/>
              <w:bottom w:val="single" w:sz="4" w:space="0" w:color="007FAD"/>
              <w:right w:val="single" w:sz="4" w:space="0" w:color="007FAD"/>
            </w:tcBorders>
          </w:tcPr>
          <w:p w14:paraId="61790FA8"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87%</w:t>
            </w:r>
          </w:p>
        </w:tc>
      </w:tr>
      <w:tr w:rsidR="000B3BAB" w:rsidRPr="00B63D42" w14:paraId="5FBD2E21" w14:textId="77777777" w:rsidTr="009E26D4">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292" w:type="pct"/>
            <w:tcBorders>
              <w:top w:val="single" w:sz="4" w:space="0" w:color="007FAD"/>
              <w:left w:val="single" w:sz="4" w:space="0" w:color="007FAD"/>
              <w:bottom w:val="single" w:sz="4" w:space="0" w:color="007FAD"/>
              <w:right w:val="single" w:sz="4" w:space="0" w:color="007FAD"/>
            </w:tcBorders>
          </w:tcPr>
          <w:p w14:paraId="3A7A3E36" w14:textId="77777777" w:rsidR="00331FFC" w:rsidRPr="00760A1D" w:rsidRDefault="00331FFC" w:rsidP="00760A1D">
            <w:pPr>
              <w:pStyle w:val="Tabletext0"/>
              <w:ind w:left="202" w:hanging="202"/>
              <w:rPr>
                <w:caps/>
                <w:kern w:val="28"/>
                <w:lang w:val="en-GB"/>
              </w:rPr>
            </w:pPr>
            <w:r w:rsidRPr="00760A1D">
              <w:rPr>
                <w:lang w:val="en-GB"/>
              </w:rPr>
              <w:t>2. Scope of evaluation</w:t>
            </w:r>
          </w:p>
        </w:tc>
        <w:tc>
          <w:tcPr>
            <w:tcW w:w="377" w:type="pct"/>
            <w:tcBorders>
              <w:top w:val="single" w:sz="4" w:space="0" w:color="007FAD"/>
              <w:left w:val="single" w:sz="4" w:space="0" w:color="007FAD"/>
              <w:bottom w:val="single" w:sz="4" w:space="0" w:color="007FAD"/>
              <w:right w:val="single" w:sz="4" w:space="0" w:color="007FAD"/>
            </w:tcBorders>
          </w:tcPr>
          <w:p w14:paraId="7EB18072"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 xml:space="preserve">2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7A9985A7" w14:textId="77777777" w:rsidR="00331FFC" w:rsidRPr="00760A1D" w:rsidRDefault="00331FFC" w:rsidP="00C36A9B">
            <w:pPr>
              <w:pStyle w:val="Tabletext0"/>
              <w:rPr>
                <w:lang w:val="en-GB"/>
              </w:rPr>
            </w:pPr>
            <w:r w:rsidRPr="00760A1D">
              <w:rPr>
                <w:lang w:val="en-GB"/>
              </w:rPr>
              <w:t xml:space="preserve">9 </w:t>
            </w:r>
          </w:p>
        </w:tc>
        <w:tc>
          <w:tcPr>
            <w:tcW w:w="377" w:type="pct"/>
            <w:tcBorders>
              <w:top w:val="single" w:sz="4" w:space="0" w:color="007FAD"/>
              <w:left w:val="single" w:sz="4" w:space="0" w:color="007FAD"/>
              <w:bottom w:val="single" w:sz="4" w:space="0" w:color="007FAD"/>
              <w:right w:val="single" w:sz="4" w:space="0" w:color="007FAD"/>
            </w:tcBorders>
          </w:tcPr>
          <w:p w14:paraId="6EA95BC4"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 xml:space="preserve">21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72325108" w14:textId="77777777" w:rsidR="00331FFC" w:rsidRPr="00760A1D" w:rsidRDefault="00331FFC" w:rsidP="00C36A9B">
            <w:pPr>
              <w:pStyle w:val="Tabletext0"/>
              <w:rPr>
                <w:lang w:val="en-GB"/>
              </w:rPr>
            </w:pPr>
            <w:r w:rsidRPr="00760A1D">
              <w:rPr>
                <w:lang w:val="en-GB"/>
              </w:rPr>
              <w:t xml:space="preserve">29 </w:t>
            </w:r>
          </w:p>
        </w:tc>
        <w:tc>
          <w:tcPr>
            <w:tcW w:w="377" w:type="pct"/>
            <w:tcBorders>
              <w:top w:val="single" w:sz="4" w:space="0" w:color="007FAD"/>
              <w:left w:val="single" w:sz="4" w:space="0" w:color="007FAD"/>
              <w:bottom w:val="single" w:sz="4" w:space="0" w:color="007FAD"/>
              <w:right w:val="single" w:sz="4" w:space="0" w:color="007FAD"/>
            </w:tcBorders>
          </w:tcPr>
          <w:p w14:paraId="0F5B903A"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 xml:space="preserve">21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46B8BF56" w14:textId="77777777" w:rsidR="00331FFC" w:rsidRPr="00760A1D" w:rsidRDefault="00331FFC" w:rsidP="00C36A9B">
            <w:pPr>
              <w:pStyle w:val="Tabletext0"/>
              <w:rPr>
                <w:lang w:val="en-GB"/>
              </w:rPr>
            </w:pPr>
            <w:r w:rsidRPr="00760A1D">
              <w:rPr>
                <w:lang w:val="en-GB"/>
              </w:rPr>
              <w:t xml:space="preserve">4 </w:t>
            </w:r>
          </w:p>
        </w:tc>
        <w:tc>
          <w:tcPr>
            <w:tcW w:w="377" w:type="pct"/>
            <w:tcBorders>
              <w:top w:val="single" w:sz="4" w:space="0" w:color="007FAD"/>
              <w:left w:val="single" w:sz="4" w:space="0" w:color="007FAD"/>
              <w:bottom w:val="single" w:sz="4" w:space="0" w:color="007FAD"/>
              <w:right w:val="single" w:sz="4" w:space="0" w:color="007FAD"/>
            </w:tcBorders>
          </w:tcPr>
          <w:p w14:paraId="38911DE9"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1</w:t>
            </w:r>
          </w:p>
        </w:tc>
        <w:tc>
          <w:tcPr>
            <w:cnfStyle w:val="000010000000" w:firstRow="0" w:lastRow="0" w:firstColumn="0" w:lastColumn="0" w:oddVBand="1" w:evenVBand="0" w:oddHBand="0" w:evenHBand="0" w:firstRowFirstColumn="0" w:firstRowLastColumn="0" w:lastRowFirstColumn="0" w:lastRowLastColumn="0"/>
            <w:tcW w:w="535" w:type="pct"/>
            <w:tcBorders>
              <w:top w:val="single" w:sz="4" w:space="0" w:color="007FAD"/>
              <w:left w:val="single" w:sz="4" w:space="0" w:color="007FAD"/>
              <w:bottom w:val="single" w:sz="4" w:space="0" w:color="007FAD"/>
              <w:right w:val="single" w:sz="4" w:space="0" w:color="007FAD"/>
            </w:tcBorders>
          </w:tcPr>
          <w:p w14:paraId="32353B0D" w14:textId="77777777" w:rsidR="00331FFC" w:rsidRPr="00760A1D" w:rsidRDefault="00331FFC" w:rsidP="00C36A9B">
            <w:pPr>
              <w:pStyle w:val="Tabletext0"/>
              <w:rPr>
                <w:lang w:val="en-GB"/>
              </w:rPr>
            </w:pPr>
            <w:r w:rsidRPr="00760A1D">
              <w:rPr>
                <w:lang w:val="en-GB"/>
              </w:rPr>
              <w:t>86</w:t>
            </w:r>
          </w:p>
        </w:tc>
        <w:tc>
          <w:tcPr>
            <w:tcW w:w="535" w:type="pct"/>
            <w:tcBorders>
              <w:top w:val="single" w:sz="4" w:space="0" w:color="007FAD"/>
              <w:left w:val="single" w:sz="4" w:space="0" w:color="007FAD"/>
              <w:bottom w:val="single" w:sz="4" w:space="0" w:color="007FAD"/>
              <w:right w:val="single" w:sz="4" w:space="0" w:color="007FAD"/>
            </w:tcBorders>
          </w:tcPr>
          <w:p w14:paraId="3F273F89"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62%</w:t>
            </w:r>
          </w:p>
        </w:tc>
      </w:tr>
      <w:tr w:rsidR="0097725B" w:rsidRPr="00B63D42" w14:paraId="2ED22C84" w14:textId="77777777" w:rsidTr="009E26D4">
        <w:trPr>
          <w:trHeight w:val="340"/>
        </w:trPr>
        <w:tc>
          <w:tcPr>
            <w:cnfStyle w:val="000010000000" w:firstRow="0" w:lastRow="0" w:firstColumn="0" w:lastColumn="0" w:oddVBand="1" w:evenVBand="0" w:oddHBand="0" w:evenHBand="0" w:firstRowFirstColumn="0" w:firstRowLastColumn="0" w:lastRowFirstColumn="0" w:lastRowLastColumn="0"/>
            <w:tcW w:w="1292" w:type="pct"/>
            <w:tcBorders>
              <w:top w:val="single" w:sz="4" w:space="0" w:color="007FAD"/>
              <w:left w:val="single" w:sz="4" w:space="0" w:color="007FAD"/>
              <w:bottom w:val="single" w:sz="4" w:space="0" w:color="007FAD"/>
              <w:right w:val="single" w:sz="4" w:space="0" w:color="007FAD"/>
            </w:tcBorders>
          </w:tcPr>
          <w:p w14:paraId="779F8D23" w14:textId="7100ED3D" w:rsidR="00331FFC" w:rsidRPr="00760A1D" w:rsidRDefault="00331FFC" w:rsidP="00760A1D">
            <w:pPr>
              <w:pStyle w:val="Tabletext0"/>
              <w:ind w:left="202" w:hanging="202"/>
              <w:rPr>
                <w:caps/>
                <w:kern w:val="28"/>
                <w:lang w:val="en-GB"/>
              </w:rPr>
            </w:pPr>
            <w:r w:rsidRPr="00760A1D">
              <w:rPr>
                <w:lang w:val="en-GB"/>
              </w:rPr>
              <w:t xml:space="preserve">3. Assessment of </w:t>
            </w:r>
            <w:r w:rsidR="00FF2282" w:rsidRPr="00760A1D">
              <w:rPr>
                <w:lang w:val="en-GB"/>
              </w:rPr>
              <w:t>i</w:t>
            </w:r>
            <w:r w:rsidRPr="00760A1D">
              <w:rPr>
                <w:lang w:val="en-GB"/>
              </w:rPr>
              <w:t xml:space="preserve">ntervention </w:t>
            </w:r>
            <w:r w:rsidR="00FF2282" w:rsidRPr="00760A1D">
              <w:rPr>
                <w:lang w:val="en-GB"/>
              </w:rPr>
              <w:t>l</w:t>
            </w:r>
            <w:r w:rsidRPr="00760A1D">
              <w:rPr>
                <w:lang w:val="en-GB"/>
              </w:rPr>
              <w:t>ogic</w:t>
            </w:r>
          </w:p>
        </w:tc>
        <w:tc>
          <w:tcPr>
            <w:tcW w:w="377" w:type="pct"/>
            <w:tcBorders>
              <w:top w:val="single" w:sz="4" w:space="0" w:color="007FAD"/>
              <w:left w:val="single" w:sz="4" w:space="0" w:color="007FAD"/>
              <w:bottom w:val="single" w:sz="4" w:space="0" w:color="007FAD"/>
              <w:right w:val="single" w:sz="4" w:space="0" w:color="007FAD"/>
            </w:tcBorders>
          </w:tcPr>
          <w:p w14:paraId="3EF68029"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 xml:space="preserve">11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119F75E5" w14:textId="77777777" w:rsidR="00331FFC" w:rsidRPr="00760A1D" w:rsidRDefault="00331FFC" w:rsidP="00C36A9B">
            <w:pPr>
              <w:pStyle w:val="Tabletext0"/>
              <w:rPr>
                <w:lang w:val="en-GB"/>
              </w:rPr>
            </w:pPr>
            <w:r w:rsidRPr="00760A1D">
              <w:rPr>
                <w:lang w:val="en-GB"/>
              </w:rPr>
              <w:t xml:space="preserve">17 </w:t>
            </w:r>
          </w:p>
        </w:tc>
        <w:tc>
          <w:tcPr>
            <w:tcW w:w="377" w:type="pct"/>
            <w:tcBorders>
              <w:top w:val="single" w:sz="4" w:space="0" w:color="007FAD"/>
              <w:left w:val="single" w:sz="4" w:space="0" w:color="007FAD"/>
              <w:bottom w:val="single" w:sz="4" w:space="0" w:color="007FAD"/>
              <w:right w:val="single" w:sz="4" w:space="0" w:color="007FAD"/>
            </w:tcBorders>
          </w:tcPr>
          <w:p w14:paraId="2D7A933B"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20</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526F0B62" w14:textId="77777777" w:rsidR="00331FFC" w:rsidRPr="00760A1D" w:rsidRDefault="00331FFC" w:rsidP="00C36A9B">
            <w:pPr>
              <w:pStyle w:val="Tabletext0"/>
              <w:rPr>
                <w:lang w:val="en-GB"/>
              </w:rPr>
            </w:pPr>
            <w:r w:rsidRPr="00760A1D">
              <w:rPr>
                <w:lang w:val="en-GB"/>
              </w:rPr>
              <w:t xml:space="preserve">19 </w:t>
            </w:r>
          </w:p>
        </w:tc>
        <w:tc>
          <w:tcPr>
            <w:tcW w:w="377" w:type="pct"/>
            <w:tcBorders>
              <w:top w:val="single" w:sz="4" w:space="0" w:color="007FAD"/>
              <w:left w:val="single" w:sz="4" w:space="0" w:color="007FAD"/>
              <w:bottom w:val="single" w:sz="4" w:space="0" w:color="007FAD"/>
              <w:right w:val="single" w:sz="4" w:space="0" w:color="007FAD"/>
            </w:tcBorders>
          </w:tcPr>
          <w:p w14:paraId="09149D59"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 xml:space="preserve">15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76E524A3" w14:textId="77777777" w:rsidR="00331FFC" w:rsidRPr="00760A1D" w:rsidRDefault="00331FFC" w:rsidP="00C36A9B">
            <w:pPr>
              <w:pStyle w:val="Tabletext0"/>
              <w:rPr>
                <w:lang w:val="en-GB"/>
              </w:rPr>
            </w:pPr>
            <w:r w:rsidRPr="00760A1D">
              <w:rPr>
                <w:lang w:val="en-GB"/>
              </w:rPr>
              <w:t xml:space="preserve">1 </w:t>
            </w:r>
          </w:p>
        </w:tc>
        <w:tc>
          <w:tcPr>
            <w:tcW w:w="377" w:type="pct"/>
            <w:tcBorders>
              <w:top w:val="single" w:sz="4" w:space="0" w:color="007FAD"/>
              <w:left w:val="single" w:sz="4" w:space="0" w:color="007FAD"/>
              <w:bottom w:val="single" w:sz="4" w:space="0" w:color="007FAD"/>
              <w:right w:val="single" w:sz="4" w:space="0" w:color="007FAD"/>
            </w:tcBorders>
          </w:tcPr>
          <w:p w14:paraId="4FBB8217"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 xml:space="preserve">4 </w:t>
            </w:r>
          </w:p>
        </w:tc>
        <w:tc>
          <w:tcPr>
            <w:cnfStyle w:val="000010000000" w:firstRow="0" w:lastRow="0" w:firstColumn="0" w:lastColumn="0" w:oddVBand="1" w:evenVBand="0" w:oddHBand="0" w:evenHBand="0" w:firstRowFirstColumn="0" w:firstRowLastColumn="0" w:lastRowFirstColumn="0" w:lastRowLastColumn="0"/>
            <w:tcW w:w="535" w:type="pct"/>
            <w:tcBorders>
              <w:top w:val="single" w:sz="4" w:space="0" w:color="007FAD"/>
              <w:left w:val="single" w:sz="4" w:space="0" w:color="007FAD"/>
              <w:bottom w:val="single" w:sz="4" w:space="0" w:color="007FAD"/>
              <w:right w:val="single" w:sz="4" w:space="0" w:color="007FAD"/>
            </w:tcBorders>
          </w:tcPr>
          <w:p w14:paraId="677A9660" w14:textId="77777777" w:rsidR="00331FFC" w:rsidRPr="00760A1D" w:rsidRDefault="00331FFC" w:rsidP="00C36A9B">
            <w:pPr>
              <w:pStyle w:val="Tabletext0"/>
              <w:rPr>
                <w:lang w:val="en-GB"/>
              </w:rPr>
            </w:pPr>
            <w:r w:rsidRPr="00760A1D">
              <w:rPr>
                <w:lang w:val="en-GB"/>
              </w:rPr>
              <w:t>83</w:t>
            </w:r>
          </w:p>
        </w:tc>
        <w:tc>
          <w:tcPr>
            <w:tcW w:w="535" w:type="pct"/>
            <w:tcBorders>
              <w:top w:val="single" w:sz="4" w:space="0" w:color="007FAD"/>
              <w:left w:val="single" w:sz="4" w:space="0" w:color="007FAD"/>
              <w:bottom w:val="single" w:sz="4" w:space="0" w:color="007FAD"/>
              <w:right w:val="single" w:sz="4" w:space="0" w:color="007FAD"/>
            </w:tcBorders>
          </w:tcPr>
          <w:p w14:paraId="64E7E1E6"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42%</w:t>
            </w:r>
          </w:p>
        </w:tc>
      </w:tr>
      <w:tr w:rsidR="000B3BAB" w:rsidRPr="00B63D42" w14:paraId="4E2A4891" w14:textId="77777777" w:rsidTr="009E26D4">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292" w:type="pct"/>
            <w:tcBorders>
              <w:top w:val="single" w:sz="4" w:space="0" w:color="007FAD"/>
              <w:left w:val="single" w:sz="4" w:space="0" w:color="007FAD"/>
              <w:bottom w:val="single" w:sz="4" w:space="0" w:color="007FAD"/>
              <w:right w:val="single" w:sz="4" w:space="0" w:color="007FAD"/>
            </w:tcBorders>
          </w:tcPr>
          <w:p w14:paraId="50029660" w14:textId="4B9A3FFC" w:rsidR="00331FFC" w:rsidRPr="00760A1D" w:rsidRDefault="00331FFC" w:rsidP="00760A1D">
            <w:pPr>
              <w:pStyle w:val="Tabletext0"/>
              <w:ind w:left="202" w:hanging="202"/>
              <w:rPr>
                <w:caps/>
                <w:kern w:val="28"/>
                <w:lang w:val="en-GB"/>
              </w:rPr>
            </w:pPr>
            <w:r w:rsidRPr="00760A1D">
              <w:rPr>
                <w:lang w:val="en-GB"/>
              </w:rPr>
              <w:t xml:space="preserve">4. Appropriateness of </w:t>
            </w:r>
            <w:r w:rsidR="00FF2282" w:rsidRPr="00760A1D">
              <w:rPr>
                <w:lang w:val="en-GB"/>
              </w:rPr>
              <w:t>m</w:t>
            </w:r>
            <w:r w:rsidRPr="00760A1D">
              <w:rPr>
                <w:lang w:val="en-GB"/>
              </w:rPr>
              <w:t>ethodology</w:t>
            </w:r>
          </w:p>
        </w:tc>
        <w:tc>
          <w:tcPr>
            <w:tcW w:w="377" w:type="pct"/>
            <w:tcBorders>
              <w:top w:val="single" w:sz="4" w:space="0" w:color="007FAD"/>
              <w:left w:val="single" w:sz="4" w:space="0" w:color="007FAD"/>
              <w:bottom w:val="single" w:sz="4" w:space="0" w:color="007FAD"/>
              <w:right w:val="single" w:sz="4" w:space="0" w:color="007FAD"/>
            </w:tcBorders>
          </w:tcPr>
          <w:p w14:paraId="0E4FB339"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 xml:space="preserve">6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229B5D16" w14:textId="77777777" w:rsidR="00331FFC" w:rsidRPr="00760A1D" w:rsidRDefault="00331FFC" w:rsidP="00C36A9B">
            <w:pPr>
              <w:pStyle w:val="Tabletext0"/>
              <w:rPr>
                <w:lang w:val="en-GB"/>
              </w:rPr>
            </w:pPr>
            <w:r w:rsidRPr="00760A1D">
              <w:rPr>
                <w:lang w:val="en-GB"/>
              </w:rPr>
              <w:t xml:space="preserve">21 </w:t>
            </w:r>
          </w:p>
        </w:tc>
        <w:tc>
          <w:tcPr>
            <w:tcW w:w="377" w:type="pct"/>
            <w:tcBorders>
              <w:top w:val="single" w:sz="4" w:space="0" w:color="007FAD"/>
              <w:left w:val="single" w:sz="4" w:space="0" w:color="007FAD"/>
              <w:bottom w:val="single" w:sz="4" w:space="0" w:color="007FAD"/>
              <w:right w:val="single" w:sz="4" w:space="0" w:color="007FAD"/>
            </w:tcBorders>
          </w:tcPr>
          <w:p w14:paraId="3D4EE47E"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 xml:space="preserve">25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16A084E7" w14:textId="77777777" w:rsidR="00331FFC" w:rsidRPr="00760A1D" w:rsidRDefault="00331FFC" w:rsidP="00C36A9B">
            <w:pPr>
              <w:pStyle w:val="Tabletext0"/>
              <w:rPr>
                <w:lang w:val="en-GB"/>
              </w:rPr>
            </w:pPr>
            <w:r w:rsidRPr="00760A1D">
              <w:rPr>
                <w:lang w:val="en-GB"/>
              </w:rPr>
              <w:t xml:space="preserve">11 </w:t>
            </w:r>
          </w:p>
        </w:tc>
        <w:tc>
          <w:tcPr>
            <w:tcW w:w="377" w:type="pct"/>
            <w:tcBorders>
              <w:top w:val="single" w:sz="4" w:space="0" w:color="007FAD"/>
              <w:left w:val="single" w:sz="4" w:space="0" w:color="007FAD"/>
              <w:bottom w:val="single" w:sz="4" w:space="0" w:color="007FAD"/>
              <w:right w:val="single" w:sz="4" w:space="0" w:color="007FAD"/>
            </w:tcBorders>
          </w:tcPr>
          <w:p w14:paraId="27173E34"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 xml:space="preserve">19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41BA11C7" w14:textId="77777777" w:rsidR="00331FFC" w:rsidRPr="00760A1D" w:rsidRDefault="00331FFC" w:rsidP="00C36A9B">
            <w:pPr>
              <w:pStyle w:val="Tabletext0"/>
              <w:rPr>
                <w:lang w:val="en-GB"/>
              </w:rPr>
            </w:pPr>
            <w:r w:rsidRPr="00760A1D">
              <w:rPr>
                <w:lang w:val="en-GB"/>
              </w:rPr>
              <w:t xml:space="preserve">5 </w:t>
            </w:r>
          </w:p>
        </w:tc>
        <w:tc>
          <w:tcPr>
            <w:tcW w:w="377" w:type="pct"/>
            <w:tcBorders>
              <w:top w:val="single" w:sz="4" w:space="0" w:color="007FAD"/>
              <w:left w:val="single" w:sz="4" w:space="0" w:color="007FAD"/>
              <w:bottom w:val="single" w:sz="4" w:space="0" w:color="007FAD"/>
              <w:right w:val="single" w:sz="4" w:space="0" w:color="007FAD"/>
            </w:tcBorders>
          </w:tcPr>
          <w:p w14:paraId="1A48E4AC"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0</w:t>
            </w:r>
          </w:p>
        </w:tc>
        <w:tc>
          <w:tcPr>
            <w:cnfStyle w:val="000010000000" w:firstRow="0" w:lastRow="0" w:firstColumn="0" w:lastColumn="0" w:oddVBand="1" w:evenVBand="0" w:oddHBand="0" w:evenHBand="0" w:firstRowFirstColumn="0" w:firstRowLastColumn="0" w:lastRowFirstColumn="0" w:lastRowLastColumn="0"/>
            <w:tcW w:w="535" w:type="pct"/>
            <w:tcBorders>
              <w:top w:val="single" w:sz="4" w:space="0" w:color="007FAD"/>
              <w:left w:val="single" w:sz="4" w:space="0" w:color="007FAD"/>
              <w:bottom w:val="single" w:sz="4" w:space="0" w:color="007FAD"/>
              <w:right w:val="single" w:sz="4" w:space="0" w:color="007FAD"/>
            </w:tcBorders>
          </w:tcPr>
          <w:p w14:paraId="79796B1B" w14:textId="77777777" w:rsidR="00331FFC" w:rsidRPr="00760A1D" w:rsidRDefault="00331FFC" w:rsidP="00C36A9B">
            <w:pPr>
              <w:pStyle w:val="Tabletext0"/>
              <w:rPr>
                <w:lang w:val="en-GB"/>
              </w:rPr>
            </w:pPr>
            <w:r w:rsidRPr="00760A1D">
              <w:rPr>
                <w:lang w:val="en-GB"/>
              </w:rPr>
              <w:t>87</w:t>
            </w:r>
          </w:p>
        </w:tc>
        <w:tc>
          <w:tcPr>
            <w:tcW w:w="535" w:type="pct"/>
            <w:tcBorders>
              <w:top w:val="single" w:sz="4" w:space="0" w:color="007FAD"/>
              <w:left w:val="single" w:sz="4" w:space="0" w:color="007FAD"/>
              <w:bottom w:val="single" w:sz="4" w:space="0" w:color="007FAD"/>
              <w:right w:val="single" w:sz="4" w:space="0" w:color="007FAD"/>
            </w:tcBorders>
          </w:tcPr>
          <w:p w14:paraId="420ED5BB"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40%</w:t>
            </w:r>
          </w:p>
        </w:tc>
      </w:tr>
      <w:tr w:rsidR="00760A1D" w:rsidRPr="00B63D42" w14:paraId="78A86254" w14:textId="77777777" w:rsidTr="009E26D4">
        <w:trPr>
          <w:trHeight w:val="340"/>
        </w:trPr>
        <w:tc>
          <w:tcPr>
            <w:cnfStyle w:val="000010000000" w:firstRow="0" w:lastRow="0" w:firstColumn="0" w:lastColumn="0" w:oddVBand="1" w:evenVBand="0" w:oddHBand="0" w:evenHBand="0" w:firstRowFirstColumn="0" w:firstRowLastColumn="0" w:lastRowFirstColumn="0" w:lastRowLastColumn="0"/>
            <w:tcW w:w="1292" w:type="pct"/>
            <w:tcBorders>
              <w:top w:val="single" w:sz="4" w:space="0" w:color="007FAD"/>
              <w:left w:val="single" w:sz="4" w:space="0" w:color="007FAD"/>
              <w:bottom w:val="single" w:sz="4" w:space="0" w:color="007FAD"/>
              <w:right w:val="single" w:sz="4" w:space="0" w:color="007FAD"/>
            </w:tcBorders>
          </w:tcPr>
          <w:p w14:paraId="472EB027" w14:textId="586835D4" w:rsidR="00331FFC" w:rsidRPr="00760A1D" w:rsidRDefault="00331FFC" w:rsidP="00760A1D">
            <w:pPr>
              <w:pStyle w:val="Tabletext0"/>
              <w:ind w:left="202" w:hanging="202"/>
              <w:rPr>
                <w:caps/>
                <w:kern w:val="28"/>
                <w:lang w:val="en-GB"/>
              </w:rPr>
            </w:pPr>
            <w:r w:rsidRPr="00760A1D">
              <w:rPr>
                <w:lang w:val="en-GB"/>
              </w:rPr>
              <w:t>5. Adequacy and use</w:t>
            </w:r>
            <w:r w:rsidR="00FB2B49">
              <w:rPr>
                <w:lang w:val="en-GB"/>
              </w:rPr>
              <w:t xml:space="preserve"> of</w:t>
            </w:r>
            <w:r w:rsidRPr="00760A1D">
              <w:rPr>
                <w:lang w:val="en-GB"/>
              </w:rPr>
              <w:t xml:space="preserve"> </w:t>
            </w:r>
            <w:r w:rsidR="00410C97">
              <w:rPr>
                <w:lang w:val="en-GB"/>
              </w:rPr>
              <w:t>M&amp;E</w:t>
            </w:r>
          </w:p>
        </w:tc>
        <w:tc>
          <w:tcPr>
            <w:tcW w:w="377" w:type="pct"/>
            <w:tcBorders>
              <w:top w:val="single" w:sz="4" w:space="0" w:color="007FAD"/>
              <w:left w:val="single" w:sz="4" w:space="0" w:color="007FAD"/>
              <w:bottom w:val="single" w:sz="4" w:space="0" w:color="007FAD"/>
              <w:right w:val="single" w:sz="4" w:space="0" w:color="007FAD"/>
            </w:tcBorders>
          </w:tcPr>
          <w:p w14:paraId="65289AF6"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 xml:space="preserve">2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61CDC48E" w14:textId="77777777" w:rsidR="00331FFC" w:rsidRPr="00760A1D" w:rsidRDefault="00331FFC" w:rsidP="00C36A9B">
            <w:pPr>
              <w:pStyle w:val="Tabletext0"/>
              <w:rPr>
                <w:lang w:val="en-GB"/>
              </w:rPr>
            </w:pPr>
            <w:r w:rsidRPr="00760A1D">
              <w:rPr>
                <w:lang w:val="en-GB"/>
              </w:rPr>
              <w:t xml:space="preserve">5 </w:t>
            </w:r>
          </w:p>
        </w:tc>
        <w:tc>
          <w:tcPr>
            <w:tcW w:w="377" w:type="pct"/>
            <w:tcBorders>
              <w:top w:val="single" w:sz="4" w:space="0" w:color="007FAD"/>
              <w:left w:val="single" w:sz="4" w:space="0" w:color="007FAD"/>
              <w:bottom w:val="single" w:sz="4" w:space="0" w:color="007FAD"/>
              <w:right w:val="single" w:sz="4" w:space="0" w:color="007FAD"/>
            </w:tcBorders>
          </w:tcPr>
          <w:p w14:paraId="2DFA58B9"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 xml:space="preserve">11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782A8293" w14:textId="77777777" w:rsidR="00331FFC" w:rsidRPr="00760A1D" w:rsidRDefault="00331FFC" w:rsidP="00C36A9B">
            <w:pPr>
              <w:pStyle w:val="Tabletext0"/>
              <w:rPr>
                <w:lang w:val="en-GB"/>
              </w:rPr>
            </w:pPr>
            <w:r w:rsidRPr="00760A1D">
              <w:rPr>
                <w:lang w:val="en-GB"/>
              </w:rPr>
              <w:t xml:space="preserve">25 </w:t>
            </w:r>
          </w:p>
        </w:tc>
        <w:tc>
          <w:tcPr>
            <w:tcW w:w="377" w:type="pct"/>
            <w:tcBorders>
              <w:top w:val="single" w:sz="4" w:space="0" w:color="007FAD"/>
              <w:left w:val="single" w:sz="4" w:space="0" w:color="007FAD"/>
              <w:bottom w:val="single" w:sz="4" w:space="0" w:color="007FAD"/>
              <w:right w:val="single" w:sz="4" w:space="0" w:color="007FAD"/>
            </w:tcBorders>
          </w:tcPr>
          <w:p w14:paraId="11E04BA6"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 xml:space="preserve">34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64C2D7B9" w14:textId="77777777" w:rsidR="00331FFC" w:rsidRPr="00760A1D" w:rsidRDefault="00331FFC" w:rsidP="00C36A9B">
            <w:pPr>
              <w:pStyle w:val="Tabletext0"/>
              <w:rPr>
                <w:lang w:val="en-GB"/>
              </w:rPr>
            </w:pPr>
            <w:r w:rsidRPr="00760A1D">
              <w:rPr>
                <w:lang w:val="en-GB"/>
              </w:rPr>
              <w:t xml:space="preserve">9 </w:t>
            </w:r>
          </w:p>
        </w:tc>
        <w:tc>
          <w:tcPr>
            <w:tcW w:w="377" w:type="pct"/>
            <w:tcBorders>
              <w:top w:val="single" w:sz="4" w:space="0" w:color="007FAD"/>
              <w:left w:val="single" w:sz="4" w:space="0" w:color="007FAD"/>
              <w:bottom w:val="single" w:sz="4" w:space="0" w:color="007FAD"/>
              <w:right w:val="single" w:sz="4" w:space="0" w:color="007FAD"/>
            </w:tcBorders>
          </w:tcPr>
          <w:p w14:paraId="21DACBCB"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1</w:t>
            </w:r>
          </w:p>
        </w:tc>
        <w:tc>
          <w:tcPr>
            <w:cnfStyle w:val="000010000000" w:firstRow="0" w:lastRow="0" w:firstColumn="0" w:lastColumn="0" w:oddVBand="1" w:evenVBand="0" w:oddHBand="0" w:evenHBand="0" w:firstRowFirstColumn="0" w:firstRowLastColumn="0" w:lastRowFirstColumn="0" w:lastRowLastColumn="0"/>
            <w:tcW w:w="535" w:type="pct"/>
            <w:tcBorders>
              <w:top w:val="single" w:sz="4" w:space="0" w:color="007FAD"/>
              <w:left w:val="single" w:sz="4" w:space="0" w:color="007FAD"/>
              <w:bottom w:val="single" w:sz="4" w:space="0" w:color="007FAD"/>
              <w:right w:val="single" w:sz="4" w:space="0" w:color="007FAD"/>
            </w:tcBorders>
          </w:tcPr>
          <w:p w14:paraId="61C900B0" w14:textId="77777777" w:rsidR="00331FFC" w:rsidRPr="00760A1D" w:rsidRDefault="00331FFC" w:rsidP="00C36A9B">
            <w:pPr>
              <w:pStyle w:val="Tabletext0"/>
              <w:rPr>
                <w:lang w:val="en-GB"/>
              </w:rPr>
            </w:pPr>
            <w:r w:rsidRPr="00760A1D">
              <w:rPr>
                <w:lang w:val="en-GB"/>
              </w:rPr>
              <w:t>86</w:t>
            </w:r>
          </w:p>
        </w:tc>
        <w:tc>
          <w:tcPr>
            <w:tcW w:w="535" w:type="pct"/>
            <w:tcBorders>
              <w:top w:val="single" w:sz="4" w:space="0" w:color="007FAD"/>
              <w:left w:val="single" w:sz="4" w:space="0" w:color="007FAD"/>
              <w:bottom w:val="single" w:sz="4" w:space="0" w:color="007FAD"/>
              <w:right w:val="single" w:sz="4" w:space="0" w:color="007FAD"/>
            </w:tcBorders>
          </w:tcPr>
          <w:p w14:paraId="772C46E3"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79%</w:t>
            </w:r>
          </w:p>
        </w:tc>
      </w:tr>
      <w:tr w:rsidR="000B3BAB" w:rsidRPr="00B63D42" w14:paraId="5AF42042" w14:textId="77777777" w:rsidTr="009E26D4">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292" w:type="pct"/>
            <w:tcBorders>
              <w:top w:val="single" w:sz="4" w:space="0" w:color="007FAD"/>
              <w:left w:val="single" w:sz="4" w:space="0" w:color="007FAD"/>
              <w:bottom w:val="single" w:sz="4" w:space="0" w:color="007FAD"/>
              <w:right w:val="single" w:sz="4" w:space="0" w:color="007FAD"/>
            </w:tcBorders>
          </w:tcPr>
          <w:p w14:paraId="6ED1380F" w14:textId="77777777" w:rsidR="00331FFC" w:rsidRPr="00760A1D" w:rsidRDefault="00331FFC" w:rsidP="00760A1D">
            <w:pPr>
              <w:pStyle w:val="Tabletext0"/>
              <w:ind w:left="202" w:hanging="202"/>
              <w:rPr>
                <w:caps/>
                <w:kern w:val="28"/>
                <w:lang w:val="en-GB"/>
              </w:rPr>
            </w:pPr>
            <w:r w:rsidRPr="00760A1D">
              <w:rPr>
                <w:lang w:val="en-GB"/>
              </w:rPr>
              <w:t xml:space="preserve">6. Context of the initiative </w:t>
            </w:r>
          </w:p>
        </w:tc>
        <w:tc>
          <w:tcPr>
            <w:tcW w:w="377" w:type="pct"/>
            <w:tcBorders>
              <w:top w:val="single" w:sz="4" w:space="0" w:color="007FAD"/>
              <w:left w:val="single" w:sz="4" w:space="0" w:color="007FAD"/>
              <w:bottom w:val="single" w:sz="4" w:space="0" w:color="007FAD"/>
              <w:right w:val="single" w:sz="4" w:space="0" w:color="007FAD"/>
            </w:tcBorders>
          </w:tcPr>
          <w:p w14:paraId="6B6087EA"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 xml:space="preserve">1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714B0E92" w14:textId="77777777" w:rsidR="00331FFC" w:rsidRPr="00760A1D" w:rsidRDefault="00331FFC" w:rsidP="00C36A9B">
            <w:pPr>
              <w:pStyle w:val="Tabletext0"/>
              <w:rPr>
                <w:lang w:val="en-GB"/>
              </w:rPr>
            </w:pPr>
            <w:r w:rsidRPr="00760A1D">
              <w:rPr>
                <w:lang w:val="en-GB"/>
              </w:rPr>
              <w:t xml:space="preserve">8 </w:t>
            </w:r>
          </w:p>
        </w:tc>
        <w:tc>
          <w:tcPr>
            <w:tcW w:w="377" w:type="pct"/>
            <w:tcBorders>
              <w:top w:val="single" w:sz="4" w:space="0" w:color="007FAD"/>
              <w:left w:val="single" w:sz="4" w:space="0" w:color="007FAD"/>
              <w:bottom w:val="single" w:sz="4" w:space="0" w:color="007FAD"/>
              <w:right w:val="single" w:sz="4" w:space="0" w:color="007FAD"/>
            </w:tcBorders>
          </w:tcPr>
          <w:p w14:paraId="677AECE6"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 xml:space="preserve">24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71DF291D" w14:textId="77777777" w:rsidR="00331FFC" w:rsidRPr="00760A1D" w:rsidRDefault="00331FFC" w:rsidP="00C36A9B">
            <w:pPr>
              <w:pStyle w:val="Tabletext0"/>
              <w:rPr>
                <w:lang w:val="en-GB"/>
              </w:rPr>
            </w:pPr>
            <w:r w:rsidRPr="00760A1D">
              <w:rPr>
                <w:lang w:val="en-GB"/>
              </w:rPr>
              <w:t xml:space="preserve">21 </w:t>
            </w:r>
          </w:p>
        </w:tc>
        <w:tc>
          <w:tcPr>
            <w:tcW w:w="377" w:type="pct"/>
            <w:tcBorders>
              <w:top w:val="single" w:sz="4" w:space="0" w:color="007FAD"/>
              <w:left w:val="single" w:sz="4" w:space="0" w:color="007FAD"/>
              <w:bottom w:val="single" w:sz="4" w:space="0" w:color="007FAD"/>
              <w:right w:val="single" w:sz="4" w:space="0" w:color="007FAD"/>
            </w:tcBorders>
          </w:tcPr>
          <w:p w14:paraId="19393D84"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 xml:space="preserve">27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43F9ADB8" w14:textId="77777777" w:rsidR="00331FFC" w:rsidRPr="00760A1D" w:rsidRDefault="00331FFC" w:rsidP="00C36A9B">
            <w:pPr>
              <w:pStyle w:val="Tabletext0"/>
              <w:rPr>
                <w:lang w:val="en-GB"/>
              </w:rPr>
            </w:pPr>
            <w:r w:rsidRPr="00760A1D">
              <w:rPr>
                <w:lang w:val="en-GB"/>
              </w:rPr>
              <w:t xml:space="preserve">6 </w:t>
            </w:r>
          </w:p>
        </w:tc>
        <w:tc>
          <w:tcPr>
            <w:tcW w:w="377" w:type="pct"/>
            <w:tcBorders>
              <w:top w:val="single" w:sz="4" w:space="0" w:color="007FAD"/>
              <w:left w:val="single" w:sz="4" w:space="0" w:color="007FAD"/>
              <w:bottom w:val="single" w:sz="4" w:space="0" w:color="007FAD"/>
              <w:right w:val="single" w:sz="4" w:space="0" w:color="007FAD"/>
            </w:tcBorders>
          </w:tcPr>
          <w:p w14:paraId="5C8A5198"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0</w:t>
            </w:r>
          </w:p>
        </w:tc>
        <w:tc>
          <w:tcPr>
            <w:cnfStyle w:val="000010000000" w:firstRow="0" w:lastRow="0" w:firstColumn="0" w:lastColumn="0" w:oddVBand="1" w:evenVBand="0" w:oddHBand="0" w:evenHBand="0" w:firstRowFirstColumn="0" w:firstRowLastColumn="0" w:lastRowFirstColumn="0" w:lastRowLastColumn="0"/>
            <w:tcW w:w="535" w:type="pct"/>
            <w:tcBorders>
              <w:top w:val="single" w:sz="4" w:space="0" w:color="007FAD"/>
              <w:left w:val="single" w:sz="4" w:space="0" w:color="007FAD"/>
              <w:bottom w:val="single" w:sz="4" w:space="0" w:color="007FAD"/>
              <w:right w:val="single" w:sz="4" w:space="0" w:color="007FAD"/>
            </w:tcBorders>
          </w:tcPr>
          <w:p w14:paraId="416927AF" w14:textId="77777777" w:rsidR="00331FFC" w:rsidRPr="00760A1D" w:rsidRDefault="00331FFC" w:rsidP="00C36A9B">
            <w:pPr>
              <w:pStyle w:val="Tabletext0"/>
              <w:rPr>
                <w:lang w:val="en-GB"/>
              </w:rPr>
            </w:pPr>
            <w:r w:rsidRPr="00760A1D">
              <w:rPr>
                <w:lang w:val="en-GB"/>
              </w:rPr>
              <w:t>87</w:t>
            </w:r>
          </w:p>
        </w:tc>
        <w:tc>
          <w:tcPr>
            <w:tcW w:w="535" w:type="pct"/>
            <w:tcBorders>
              <w:top w:val="single" w:sz="4" w:space="0" w:color="007FAD"/>
              <w:left w:val="single" w:sz="4" w:space="0" w:color="007FAD"/>
              <w:bottom w:val="single" w:sz="4" w:space="0" w:color="007FAD"/>
              <w:right w:val="single" w:sz="4" w:space="0" w:color="007FAD"/>
            </w:tcBorders>
          </w:tcPr>
          <w:p w14:paraId="7A243AE3"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62%</w:t>
            </w:r>
          </w:p>
        </w:tc>
      </w:tr>
      <w:tr w:rsidR="00760A1D" w:rsidRPr="00B63D42" w14:paraId="7BE81CAE" w14:textId="77777777" w:rsidTr="009E26D4">
        <w:trPr>
          <w:trHeight w:val="340"/>
        </w:trPr>
        <w:tc>
          <w:tcPr>
            <w:cnfStyle w:val="000010000000" w:firstRow="0" w:lastRow="0" w:firstColumn="0" w:lastColumn="0" w:oddVBand="1" w:evenVBand="0" w:oddHBand="0" w:evenHBand="0" w:firstRowFirstColumn="0" w:firstRowLastColumn="0" w:lastRowFirstColumn="0" w:lastRowLastColumn="0"/>
            <w:tcW w:w="1292" w:type="pct"/>
            <w:tcBorders>
              <w:top w:val="single" w:sz="4" w:space="0" w:color="007FAD"/>
              <w:left w:val="single" w:sz="4" w:space="0" w:color="007FAD"/>
              <w:bottom w:val="single" w:sz="4" w:space="0" w:color="007FAD"/>
              <w:right w:val="single" w:sz="4" w:space="0" w:color="007FAD"/>
            </w:tcBorders>
          </w:tcPr>
          <w:p w14:paraId="62865F50" w14:textId="5C08F134" w:rsidR="0066769E" w:rsidRPr="00760A1D" w:rsidRDefault="00331FFC" w:rsidP="00421081">
            <w:pPr>
              <w:pStyle w:val="Tabletext0"/>
              <w:ind w:left="202" w:hanging="202"/>
              <w:rPr>
                <w:caps/>
                <w:kern w:val="28"/>
                <w:lang w:val="en-GB"/>
              </w:rPr>
            </w:pPr>
            <w:r w:rsidRPr="00760A1D">
              <w:rPr>
                <w:lang w:val="en-GB"/>
              </w:rPr>
              <w:t xml:space="preserve">7. Evaluation questions </w:t>
            </w:r>
            <w:r w:rsidR="00FF2282" w:rsidRPr="00760A1D">
              <w:rPr>
                <w:lang w:val="en-GB"/>
              </w:rPr>
              <w:t>and</w:t>
            </w:r>
            <w:r w:rsidRPr="00760A1D">
              <w:rPr>
                <w:lang w:val="en-GB"/>
              </w:rPr>
              <w:t xml:space="preserve"> criteria</w:t>
            </w:r>
          </w:p>
        </w:tc>
        <w:tc>
          <w:tcPr>
            <w:tcW w:w="377" w:type="pct"/>
            <w:tcBorders>
              <w:top w:val="single" w:sz="4" w:space="0" w:color="007FAD"/>
              <w:left w:val="single" w:sz="4" w:space="0" w:color="007FAD"/>
              <w:bottom w:val="single" w:sz="4" w:space="0" w:color="007FAD"/>
              <w:right w:val="single" w:sz="4" w:space="0" w:color="007FAD"/>
            </w:tcBorders>
          </w:tcPr>
          <w:p w14:paraId="58036A03"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 xml:space="preserve">2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1606C8CA" w14:textId="77777777" w:rsidR="00331FFC" w:rsidRPr="00760A1D" w:rsidRDefault="00331FFC" w:rsidP="00C36A9B">
            <w:pPr>
              <w:pStyle w:val="Tabletext0"/>
              <w:rPr>
                <w:lang w:val="en-GB"/>
              </w:rPr>
            </w:pPr>
            <w:r w:rsidRPr="00760A1D">
              <w:rPr>
                <w:lang w:val="en-GB"/>
              </w:rPr>
              <w:t xml:space="preserve">7 </w:t>
            </w:r>
          </w:p>
        </w:tc>
        <w:tc>
          <w:tcPr>
            <w:tcW w:w="377" w:type="pct"/>
            <w:tcBorders>
              <w:top w:val="single" w:sz="4" w:space="0" w:color="007FAD"/>
              <w:left w:val="single" w:sz="4" w:space="0" w:color="007FAD"/>
              <w:bottom w:val="single" w:sz="4" w:space="0" w:color="007FAD"/>
              <w:right w:val="single" w:sz="4" w:space="0" w:color="007FAD"/>
            </w:tcBorders>
          </w:tcPr>
          <w:p w14:paraId="1D519CBD"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 xml:space="preserve">13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5EF6D0B4" w14:textId="77777777" w:rsidR="00331FFC" w:rsidRPr="00760A1D" w:rsidRDefault="00331FFC" w:rsidP="00C36A9B">
            <w:pPr>
              <w:pStyle w:val="Tabletext0"/>
              <w:rPr>
                <w:lang w:val="en-GB"/>
              </w:rPr>
            </w:pPr>
            <w:r w:rsidRPr="00760A1D">
              <w:rPr>
                <w:lang w:val="en-GB"/>
              </w:rPr>
              <w:t xml:space="preserve">35 </w:t>
            </w:r>
          </w:p>
        </w:tc>
        <w:tc>
          <w:tcPr>
            <w:tcW w:w="377" w:type="pct"/>
            <w:tcBorders>
              <w:top w:val="single" w:sz="4" w:space="0" w:color="007FAD"/>
              <w:left w:val="single" w:sz="4" w:space="0" w:color="007FAD"/>
              <w:bottom w:val="single" w:sz="4" w:space="0" w:color="007FAD"/>
              <w:right w:val="single" w:sz="4" w:space="0" w:color="007FAD"/>
            </w:tcBorders>
          </w:tcPr>
          <w:p w14:paraId="3DB1859F"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 xml:space="preserve">26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5E6004BE" w14:textId="77777777" w:rsidR="00331FFC" w:rsidRPr="00760A1D" w:rsidRDefault="00331FFC" w:rsidP="00C36A9B">
            <w:pPr>
              <w:pStyle w:val="Tabletext0"/>
              <w:rPr>
                <w:lang w:val="en-GB"/>
              </w:rPr>
            </w:pPr>
            <w:r w:rsidRPr="00760A1D">
              <w:rPr>
                <w:lang w:val="en-GB"/>
              </w:rPr>
              <w:t xml:space="preserve">4 </w:t>
            </w:r>
          </w:p>
        </w:tc>
        <w:tc>
          <w:tcPr>
            <w:tcW w:w="377" w:type="pct"/>
            <w:tcBorders>
              <w:top w:val="single" w:sz="4" w:space="0" w:color="007FAD"/>
              <w:left w:val="single" w:sz="4" w:space="0" w:color="007FAD"/>
              <w:bottom w:val="single" w:sz="4" w:space="0" w:color="007FAD"/>
              <w:right w:val="single" w:sz="4" w:space="0" w:color="007FAD"/>
            </w:tcBorders>
          </w:tcPr>
          <w:p w14:paraId="24A2E104"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0</w:t>
            </w:r>
          </w:p>
        </w:tc>
        <w:tc>
          <w:tcPr>
            <w:cnfStyle w:val="000010000000" w:firstRow="0" w:lastRow="0" w:firstColumn="0" w:lastColumn="0" w:oddVBand="1" w:evenVBand="0" w:oddHBand="0" w:evenHBand="0" w:firstRowFirstColumn="0" w:firstRowLastColumn="0" w:lastRowFirstColumn="0" w:lastRowLastColumn="0"/>
            <w:tcW w:w="535" w:type="pct"/>
            <w:tcBorders>
              <w:top w:val="single" w:sz="4" w:space="0" w:color="007FAD"/>
              <w:left w:val="single" w:sz="4" w:space="0" w:color="007FAD"/>
              <w:bottom w:val="single" w:sz="4" w:space="0" w:color="007FAD"/>
              <w:right w:val="single" w:sz="4" w:space="0" w:color="007FAD"/>
            </w:tcBorders>
          </w:tcPr>
          <w:p w14:paraId="179F10D3" w14:textId="77777777" w:rsidR="00331FFC" w:rsidRPr="00760A1D" w:rsidRDefault="00331FFC" w:rsidP="00C36A9B">
            <w:pPr>
              <w:pStyle w:val="Tabletext0"/>
              <w:rPr>
                <w:lang w:val="en-GB"/>
              </w:rPr>
            </w:pPr>
            <w:r w:rsidRPr="00760A1D">
              <w:rPr>
                <w:lang w:val="en-GB"/>
              </w:rPr>
              <w:t>87</w:t>
            </w:r>
          </w:p>
        </w:tc>
        <w:tc>
          <w:tcPr>
            <w:tcW w:w="535" w:type="pct"/>
            <w:tcBorders>
              <w:top w:val="single" w:sz="4" w:space="0" w:color="007FAD"/>
              <w:left w:val="single" w:sz="4" w:space="0" w:color="007FAD"/>
              <w:bottom w:val="single" w:sz="4" w:space="0" w:color="007FAD"/>
              <w:right w:val="single" w:sz="4" w:space="0" w:color="007FAD"/>
            </w:tcBorders>
          </w:tcPr>
          <w:p w14:paraId="4C55353C"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75%</w:t>
            </w:r>
          </w:p>
        </w:tc>
      </w:tr>
      <w:tr w:rsidR="00760A1D" w:rsidRPr="00B63D42" w14:paraId="391913AF" w14:textId="77777777" w:rsidTr="009E26D4">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292" w:type="pct"/>
            <w:tcBorders>
              <w:top w:val="single" w:sz="4" w:space="0" w:color="007FAD"/>
              <w:left w:val="single" w:sz="4" w:space="0" w:color="007FAD"/>
              <w:bottom w:val="single" w:sz="4" w:space="0" w:color="007FAD"/>
              <w:right w:val="single" w:sz="4" w:space="0" w:color="007FAD"/>
            </w:tcBorders>
          </w:tcPr>
          <w:p w14:paraId="12A12FE8" w14:textId="7D2B8D57" w:rsidR="00331FFC" w:rsidRPr="00760A1D" w:rsidRDefault="00331FFC" w:rsidP="00760A1D">
            <w:pPr>
              <w:pStyle w:val="Tabletext0"/>
              <w:ind w:left="202" w:hanging="202"/>
              <w:rPr>
                <w:caps/>
                <w:kern w:val="28"/>
                <w:lang w:val="en-GB"/>
              </w:rPr>
            </w:pPr>
            <w:r w:rsidRPr="00760A1D">
              <w:rPr>
                <w:lang w:val="en-GB"/>
              </w:rPr>
              <w:t xml:space="preserve">8. Credibility of evidence and </w:t>
            </w:r>
            <w:r w:rsidR="00FF2282" w:rsidRPr="00760A1D">
              <w:rPr>
                <w:lang w:val="en-GB"/>
              </w:rPr>
              <w:t>a</w:t>
            </w:r>
            <w:r w:rsidRPr="00760A1D">
              <w:rPr>
                <w:lang w:val="en-GB"/>
              </w:rPr>
              <w:t>nalysis</w:t>
            </w:r>
          </w:p>
        </w:tc>
        <w:tc>
          <w:tcPr>
            <w:tcW w:w="377" w:type="pct"/>
            <w:tcBorders>
              <w:top w:val="single" w:sz="4" w:space="0" w:color="007FAD"/>
              <w:left w:val="single" w:sz="4" w:space="0" w:color="007FAD"/>
              <w:bottom w:val="single" w:sz="4" w:space="0" w:color="007FAD"/>
              <w:right w:val="single" w:sz="4" w:space="0" w:color="007FAD"/>
            </w:tcBorders>
          </w:tcPr>
          <w:p w14:paraId="4CB791F3"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 xml:space="preserve">2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3966F9BC" w14:textId="77777777" w:rsidR="00331FFC" w:rsidRPr="00760A1D" w:rsidRDefault="00331FFC" w:rsidP="00C36A9B">
            <w:pPr>
              <w:pStyle w:val="Tabletext0"/>
              <w:rPr>
                <w:lang w:val="en-GB"/>
              </w:rPr>
            </w:pPr>
            <w:r w:rsidRPr="00760A1D">
              <w:rPr>
                <w:lang w:val="en-GB"/>
              </w:rPr>
              <w:t xml:space="preserve">5 </w:t>
            </w:r>
          </w:p>
        </w:tc>
        <w:tc>
          <w:tcPr>
            <w:tcW w:w="377" w:type="pct"/>
            <w:tcBorders>
              <w:top w:val="single" w:sz="4" w:space="0" w:color="007FAD"/>
              <w:left w:val="single" w:sz="4" w:space="0" w:color="007FAD"/>
              <w:bottom w:val="single" w:sz="4" w:space="0" w:color="007FAD"/>
              <w:right w:val="single" w:sz="4" w:space="0" w:color="007FAD"/>
            </w:tcBorders>
          </w:tcPr>
          <w:p w14:paraId="3E876EB3"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 xml:space="preserve">16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6CAE94DA" w14:textId="77777777" w:rsidR="00331FFC" w:rsidRPr="00760A1D" w:rsidRDefault="00331FFC" w:rsidP="00C36A9B">
            <w:pPr>
              <w:pStyle w:val="Tabletext0"/>
              <w:rPr>
                <w:lang w:val="en-GB"/>
              </w:rPr>
            </w:pPr>
            <w:r w:rsidRPr="00760A1D">
              <w:rPr>
                <w:lang w:val="en-GB"/>
              </w:rPr>
              <w:t xml:space="preserve">33 </w:t>
            </w:r>
          </w:p>
        </w:tc>
        <w:tc>
          <w:tcPr>
            <w:tcW w:w="377" w:type="pct"/>
            <w:tcBorders>
              <w:top w:val="single" w:sz="4" w:space="0" w:color="007FAD"/>
              <w:left w:val="single" w:sz="4" w:space="0" w:color="007FAD"/>
              <w:bottom w:val="single" w:sz="4" w:space="0" w:color="007FAD"/>
              <w:right w:val="single" w:sz="4" w:space="0" w:color="007FAD"/>
            </w:tcBorders>
          </w:tcPr>
          <w:p w14:paraId="00916882"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 xml:space="preserve">26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6562F9B3" w14:textId="77777777" w:rsidR="00331FFC" w:rsidRPr="00760A1D" w:rsidRDefault="00331FFC" w:rsidP="00C36A9B">
            <w:pPr>
              <w:pStyle w:val="Tabletext0"/>
              <w:rPr>
                <w:lang w:val="en-GB"/>
              </w:rPr>
            </w:pPr>
            <w:r w:rsidRPr="00760A1D">
              <w:rPr>
                <w:lang w:val="en-GB"/>
              </w:rPr>
              <w:t xml:space="preserve">5 </w:t>
            </w:r>
          </w:p>
        </w:tc>
        <w:tc>
          <w:tcPr>
            <w:tcW w:w="377" w:type="pct"/>
            <w:tcBorders>
              <w:top w:val="single" w:sz="4" w:space="0" w:color="007FAD"/>
              <w:left w:val="single" w:sz="4" w:space="0" w:color="007FAD"/>
              <w:bottom w:val="single" w:sz="4" w:space="0" w:color="007FAD"/>
              <w:right w:val="single" w:sz="4" w:space="0" w:color="007FAD"/>
            </w:tcBorders>
          </w:tcPr>
          <w:p w14:paraId="211223E5"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0</w:t>
            </w:r>
          </w:p>
        </w:tc>
        <w:tc>
          <w:tcPr>
            <w:cnfStyle w:val="000010000000" w:firstRow="0" w:lastRow="0" w:firstColumn="0" w:lastColumn="0" w:oddVBand="1" w:evenVBand="0" w:oddHBand="0" w:evenHBand="0" w:firstRowFirstColumn="0" w:firstRowLastColumn="0" w:lastRowFirstColumn="0" w:lastRowLastColumn="0"/>
            <w:tcW w:w="535" w:type="pct"/>
            <w:tcBorders>
              <w:top w:val="single" w:sz="4" w:space="0" w:color="007FAD"/>
              <w:left w:val="single" w:sz="4" w:space="0" w:color="007FAD"/>
              <w:bottom w:val="single" w:sz="4" w:space="0" w:color="007FAD"/>
              <w:right w:val="single" w:sz="4" w:space="0" w:color="007FAD"/>
            </w:tcBorders>
          </w:tcPr>
          <w:p w14:paraId="4FF7BB4B" w14:textId="77777777" w:rsidR="00331FFC" w:rsidRPr="00760A1D" w:rsidRDefault="00331FFC" w:rsidP="00C36A9B">
            <w:pPr>
              <w:pStyle w:val="Tabletext0"/>
              <w:rPr>
                <w:lang w:val="en-GB"/>
              </w:rPr>
            </w:pPr>
            <w:r w:rsidRPr="00760A1D">
              <w:rPr>
                <w:lang w:val="en-GB"/>
              </w:rPr>
              <w:t>87</w:t>
            </w:r>
          </w:p>
        </w:tc>
        <w:tc>
          <w:tcPr>
            <w:tcW w:w="535" w:type="pct"/>
            <w:tcBorders>
              <w:top w:val="single" w:sz="4" w:space="0" w:color="007FAD"/>
              <w:left w:val="single" w:sz="4" w:space="0" w:color="007FAD"/>
              <w:bottom w:val="single" w:sz="4" w:space="0" w:color="007FAD"/>
              <w:right w:val="single" w:sz="4" w:space="0" w:color="007FAD"/>
            </w:tcBorders>
          </w:tcPr>
          <w:p w14:paraId="6DD90170"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74%</w:t>
            </w:r>
          </w:p>
        </w:tc>
      </w:tr>
      <w:tr w:rsidR="00760A1D" w:rsidRPr="00B63D42" w14:paraId="19388182" w14:textId="77777777" w:rsidTr="009E26D4">
        <w:trPr>
          <w:trHeight w:val="340"/>
        </w:trPr>
        <w:tc>
          <w:tcPr>
            <w:cnfStyle w:val="000010000000" w:firstRow="0" w:lastRow="0" w:firstColumn="0" w:lastColumn="0" w:oddVBand="1" w:evenVBand="0" w:oddHBand="0" w:evenHBand="0" w:firstRowFirstColumn="0" w:firstRowLastColumn="0" w:lastRowFirstColumn="0" w:lastRowLastColumn="0"/>
            <w:tcW w:w="1292" w:type="pct"/>
            <w:tcBorders>
              <w:top w:val="single" w:sz="4" w:space="0" w:color="007FAD"/>
              <w:left w:val="single" w:sz="4" w:space="0" w:color="007FAD"/>
              <w:bottom w:val="single" w:sz="4" w:space="0" w:color="007FAD"/>
              <w:right w:val="single" w:sz="4" w:space="0" w:color="007FAD"/>
            </w:tcBorders>
          </w:tcPr>
          <w:p w14:paraId="1214ECEE" w14:textId="77777777" w:rsidR="00331FFC" w:rsidRPr="00760A1D" w:rsidRDefault="00331FFC" w:rsidP="00760A1D">
            <w:pPr>
              <w:pStyle w:val="Tabletext0"/>
              <w:ind w:left="202" w:hanging="202"/>
              <w:rPr>
                <w:caps/>
                <w:kern w:val="28"/>
                <w:lang w:val="en-GB"/>
              </w:rPr>
            </w:pPr>
            <w:r w:rsidRPr="00760A1D">
              <w:rPr>
                <w:lang w:val="en-GB"/>
              </w:rPr>
              <w:t>9. Recommendations</w:t>
            </w:r>
          </w:p>
        </w:tc>
        <w:tc>
          <w:tcPr>
            <w:tcW w:w="377" w:type="pct"/>
            <w:tcBorders>
              <w:top w:val="single" w:sz="4" w:space="0" w:color="007FAD"/>
              <w:left w:val="single" w:sz="4" w:space="0" w:color="007FAD"/>
              <w:bottom w:val="single" w:sz="4" w:space="0" w:color="007FAD"/>
              <w:right w:val="single" w:sz="4" w:space="0" w:color="007FAD"/>
            </w:tcBorders>
          </w:tcPr>
          <w:p w14:paraId="47D21D75"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0</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62C0F7C7" w14:textId="77777777" w:rsidR="00331FFC" w:rsidRPr="00760A1D" w:rsidRDefault="00331FFC" w:rsidP="00C36A9B">
            <w:pPr>
              <w:pStyle w:val="Tabletext0"/>
              <w:rPr>
                <w:lang w:val="en-GB"/>
              </w:rPr>
            </w:pPr>
            <w:r w:rsidRPr="00760A1D">
              <w:rPr>
                <w:lang w:val="en-GB"/>
              </w:rPr>
              <w:t xml:space="preserve">6 </w:t>
            </w:r>
          </w:p>
        </w:tc>
        <w:tc>
          <w:tcPr>
            <w:tcW w:w="377" w:type="pct"/>
            <w:tcBorders>
              <w:top w:val="single" w:sz="4" w:space="0" w:color="007FAD"/>
              <w:left w:val="single" w:sz="4" w:space="0" w:color="007FAD"/>
              <w:bottom w:val="single" w:sz="4" w:space="0" w:color="007FAD"/>
              <w:right w:val="single" w:sz="4" w:space="0" w:color="007FAD"/>
            </w:tcBorders>
          </w:tcPr>
          <w:p w14:paraId="1FEE8B2D"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 xml:space="preserve">8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1D5DF6D2" w14:textId="77777777" w:rsidR="00331FFC" w:rsidRPr="00760A1D" w:rsidRDefault="00331FFC" w:rsidP="00C36A9B">
            <w:pPr>
              <w:pStyle w:val="Tabletext0"/>
              <w:rPr>
                <w:lang w:val="en-GB"/>
              </w:rPr>
            </w:pPr>
            <w:r w:rsidRPr="00760A1D">
              <w:rPr>
                <w:lang w:val="en-GB"/>
              </w:rPr>
              <w:t xml:space="preserve">24 </w:t>
            </w:r>
          </w:p>
        </w:tc>
        <w:tc>
          <w:tcPr>
            <w:tcW w:w="377" w:type="pct"/>
            <w:tcBorders>
              <w:top w:val="single" w:sz="4" w:space="0" w:color="007FAD"/>
              <w:left w:val="single" w:sz="4" w:space="0" w:color="007FAD"/>
              <w:bottom w:val="single" w:sz="4" w:space="0" w:color="007FAD"/>
              <w:right w:val="single" w:sz="4" w:space="0" w:color="007FAD"/>
            </w:tcBorders>
          </w:tcPr>
          <w:p w14:paraId="38D295FB"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 xml:space="preserve">41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01D080CD" w14:textId="77777777" w:rsidR="00331FFC" w:rsidRPr="00760A1D" w:rsidRDefault="00331FFC" w:rsidP="00C36A9B">
            <w:pPr>
              <w:pStyle w:val="Tabletext0"/>
              <w:rPr>
                <w:lang w:val="en-GB"/>
              </w:rPr>
            </w:pPr>
            <w:r w:rsidRPr="00760A1D">
              <w:rPr>
                <w:lang w:val="en-GB"/>
              </w:rPr>
              <w:t xml:space="preserve">8 </w:t>
            </w:r>
          </w:p>
        </w:tc>
        <w:tc>
          <w:tcPr>
            <w:tcW w:w="377" w:type="pct"/>
            <w:tcBorders>
              <w:top w:val="single" w:sz="4" w:space="0" w:color="007FAD"/>
              <w:left w:val="single" w:sz="4" w:space="0" w:color="007FAD"/>
              <w:bottom w:val="single" w:sz="4" w:space="0" w:color="007FAD"/>
              <w:right w:val="single" w:sz="4" w:space="0" w:color="007FAD"/>
            </w:tcBorders>
          </w:tcPr>
          <w:p w14:paraId="36E9D7F2"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0</w:t>
            </w:r>
          </w:p>
        </w:tc>
        <w:tc>
          <w:tcPr>
            <w:cnfStyle w:val="000010000000" w:firstRow="0" w:lastRow="0" w:firstColumn="0" w:lastColumn="0" w:oddVBand="1" w:evenVBand="0" w:oddHBand="0" w:evenHBand="0" w:firstRowFirstColumn="0" w:firstRowLastColumn="0" w:lastRowFirstColumn="0" w:lastRowLastColumn="0"/>
            <w:tcW w:w="535" w:type="pct"/>
            <w:tcBorders>
              <w:top w:val="single" w:sz="4" w:space="0" w:color="007FAD"/>
              <w:left w:val="single" w:sz="4" w:space="0" w:color="007FAD"/>
              <w:bottom w:val="single" w:sz="4" w:space="0" w:color="007FAD"/>
              <w:right w:val="single" w:sz="4" w:space="0" w:color="007FAD"/>
            </w:tcBorders>
          </w:tcPr>
          <w:p w14:paraId="440E1D7B" w14:textId="77777777" w:rsidR="00331FFC" w:rsidRPr="00760A1D" w:rsidRDefault="00331FFC" w:rsidP="00C36A9B">
            <w:pPr>
              <w:pStyle w:val="Tabletext0"/>
              <w:rPr>
                <w:lang w:val="en-GB"/>
              </w:rPr>
            </w:pPr>
            <w:r w:rsidRPr="00760A1D">
              <w:rPr>
                <w:lang w:val="en-GB"/>
              </w:rPr>
              <w:t>87</w:t>
            </w:r>
          </w:p>
        </w:tc>
        <w:tc>
          <w:tcPr>
            <w:tcW w:w="535" w:type="pct"/>
            <w:tcBorders>
              <w:top w:val="single" w:sz="4" w:space="0" w:color="007FAD"/>
              <w:left w:val="single" w:sz="4" w:space="0" w:color="007FAD"/>
              <w:bottom w:val="single" w:sz="4" w:space="0" w:color="007FAD"/>
              <w:right w:val="single" w:sz="4" w:space="0" w:color="007FAD"/>
            </w:tcBorders>
          </w:tcPr>
          <w:p w14:paraId="6C8DDBDC"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84%</w:t>
            </w:r>
          </w:p>
        </w:tc>
      </w:tr>
      <w:tr w:rsidR="00331FFC" w:rsidRPr="00760A1D" w14:paraId="01383F34" w14:textId="77777777" w:rsidTr="009E26D4">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5000" w:type="pct"/>
            <w:gridSpan w:val="10"/>
            <w:tcBorders>
              <w:top w:val="single" w:sz="4" w:space="0" w:color="007FAD"/>
              <w:left w:val="single" w:sz="4" w:space="0" w:color="007FAD"/>
              <w:bottom w:val="single" w:sz="4" w:space="0" w:color="007FAD"/>
              <w:right w:val="single" w:sz="4" w:space="0" w:color="007FAD"/>
            </w:tcBorders>
            <w:shd w:val="clear" w:color="auto" w:fill="ECF1F7"/>
          </w:tcPr>
          <w:p w14:paraId="27CD1200" w14:textId="77777777" w:rsidR="00331FFC" w:rsidRPr="00760A1D" w:rsidRDefault="000075C2" w:rsidP="00C36A9B">
            <w:pPr>
              <w:pStyle w:val="Tabletext0"/>
              <w:rPr>
                <w:b/>
                <w:bCs/>
              </w:rPr>
            </w:pPr>
            <w:r w:rsidRPr="00760A1D">
              <w:rPr>
                <w:b/>
                <w:bCs/>
              </w:rPr>
              <w:t>Application of</w:t>
            </w:r>
            <w:r w:rsidR="00331FFC" w:rsidRPr="00760A1D">
              <w:rPr>
                <w:b/>
                <w:bCs/>
              </w:rPr>
              <w:t xml:space="preserve"> standard </w:t>
            </w:r>
            <w:r w:rsidR="007708DE" w:rsidRPr="00760A1D">
              <w:rPr>
                <w:b/>
                <w:bCs/>
              </w:rPr>
              <w:t xml:space="preserve">Australian </w:t>
            </w:r>
            <w:r w:rsidR="00F768E8" w:rsidRPr="00760A1D">
              <w:rPr>
                <w:b/>
                <w:bCs/>
              </w:rPr>
              <w:t xml:space="preserve">aid </w:t>
            </w:r>
            <w:r w:rsidR="00331FFC" w:rsidRPr="00760A1D">
              <w:rPr>
                <w:b/>
                <w:bCs/>
              </w:rPr>
              <w:t>quality criteria</w:t>
            </w:r>
          </w:p>
        </w:tc>
      </w:tr>
      <w:tr w:rsidR="0097725B" w:rsidRPr="00B63D42" w14:paraId="1FEBF83E" w14:textId="77777777" w:rsidTr="009E26D4">
        <w:trPr>
          <w:trHeight w:val="340"/>
        </w:trPr>
        <w:tc>
          <w:tcPr>
            <w:cnfStyle w:val="000010000000" w:firstRow="0" w:lastRow="0" w:firstColumn="0" w:lastColumn="0" w:oddVBand="1" w:evenVBand="0" w:oddHBand="0" w:evenHBand="0" w:firstRowFirstColumn="0" w:firstRowLastColumn="0" w:lastRowFirstColumn="0" w:lastRowLastColumn="0"/>
            <w:tcW w:w="1292" w:type="pct"/>
            <w:tcBorders>
              <w:top w:val="single" w:sz="4" w:space="0" w:color="007FAD"/>
              <w:left w:val="single" w:sz="4" w:space="0" w:color="007FAD"/>
              <w:bottom w:val="single" w:sz="4" w:space="0" w:color="007FAD"/>
              <w:right w:val="single" w:sz="4" w:space="0" w:color="007FAD"/>
            </w:tcBorders>
          </w:tcPr>
          <w:p w14:paraId="65DD6004" w14:textId="77777777" w:rsidR="00331FFC" w:rsidRPr="00760A1D" w:rsidRDefault="00331FFC" w:rsidP="00C36A9B">
            <w:pPr>
              <w:pStyle w:val="Tabletext0"/>
              <w:rPr>
                <w:b/>
                <w:bCs/>
                <w:lang w:val="en-GB"/>
              </w:rPr>
            </w:pPr>
            <w:r w:rsidRPr="00760A1D">
              <w:rPr>
                <w:lang w:val="en-GB"/>
              </w:rPr>
              <w:t xml:space="preserve">1. Relevance </w:t>
            </w:r>
          </w:p>
        </w:tc>
        <w:tc>
          <w:tcPr>
            <w:tcW w:w="377" w:type="pct"/>
            <w:tcBorders>
              <w:top w:val="single" w:sz="4" w:space="0" w:color="007FAD"/>
              <w:left w:val="single" w:sz="4" w:space="0" w:color="007FAD"/>
              <w:bottom w:val="single" w:sz="4" w:space="0" w:color="007FAD"/>
              <w:right w:val="single" w:sz="4" w:space="0" w:color="007FAD"/>
            </w:tcBorders>
          </w:tcPr>
          <w:p w14:paraId="78B96725"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0</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7BB6FF1B" w14:textId="77777777" w:rsidR="00331FFC" w:rsidRPr="00760A1D" w:rsidRDefault="00331FFC" w:rsidP="00C36A9B">
            <w:pPr>
              <w:pStyle w:val="Tabletext0"/>
              <w:rPr>
                <w:lang w:val="en-GB"/>
              </w:rPr>
            </w:pPr>
            <w:r w:rsidRPr="00760A1D">
              <w:rPr>
                <w:lang w:val="en-GB"/>
              </w:rPr>
              <w:t>0</w:t>
            </w:r>
          </w:p>
        </w:tc>
        <w:tc>
          <w:tcPr>
            <w:tcW w:w="377" w:type="pct"/>
            <w:tcBorders>
              <w:top w:val="single" w:sz="4" w:space="0" w:color="007FAD"/>
              <w:left w:val="single" w:sz="4" w:space="0" w:color="007FAD"/>
              <w:bottom w:val="single" w:sz="4" w:space="0" w:color="007FAD"/>
              <w:right w:val="single" w:sz="4" w:space="0" w:color="007FAD"/>
            </w:tcBorders>
          </w:tcPr>
          <w:p w14:paraId="3665BB00"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 xml:space="preserve">16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77C3C324" w14:textId="77777777" w:rsidR="00331FFC" w:rsidRPr="00760A1D" w:rsidRDefault="00331FFC" w:rsidP="00C36A9B">
            <w:pPr>
              <w:pStyle w:val="Tabletext0"/>
              <w:rPr>
                <w:lang w:val="en-GB"/>
              </w:rPr>
            </w:pPr>
            <w:r w:rsidRPr="00760A1D">
              <w:rPr>
                <w:lang w:val="en-GB"/>
              </w:rPr>
              <w:t xml:space="preserve">24 </w:t>
            </w:r>
          </w:p>
        </w:tc>
        <w:tc>
          <w:tcPr>
            <w:tcW w:w="377" w:type="pct"/>
            <w:tcBorders>
              <w:top w:val="single" w:sz="4" w:space="0" w:color="007FAD"/>
              <w:left w:val="single" w:sz="4" w:space="0" w:color="007FAD"/>
              <w:bottom w:val="single" w:sz="4" w:space="0" w:color="007FAD"/>
              <w:right w:val="single" w:sz="4" w:space="0" w:color="007FAD"/>
            </w:tcBorders>
          </w:tcPr>
          <w:p w14:paraId="2C223B9C"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 xml:space="preserve">26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38558925" w14:textId="77777777" w:rsidR="00331FFC" w:rsidRPr="00760A1D" w:rsidRDefault="00331FFC" w:rsidP="00C36A9B">
            <w:pPr>
              <w:pStyle w:val="Tabletext0"/>
              <w:rPr>
                <w:lang w:val="en-GB"/>
              </w:rPr>
            </w:pPr>
            <w:r w:rsidRPr="00760A1D">
              <w:rPr>
                <w:lang w:val="en-GB"/>
              </w:rPr>
              <w:t xml:space="preserve">5 </w:t>
            </w:r>
          </w:p>
        </w:tc>
        <w:tc>
          <w:tcPr>
            <w:tcW w:w="377" w:type="pct"/>
            <w:tcBorders>
              <w:top w:val="single" w:sz="4" w:space="0" w:color="007FAD"/>
              <w:left w:val="single" w:sz="4" w:space="0" w:color="007FAD"/>
              <w:bottom w:val="single" w:sz="4" w:space="0" w:color="007FAD"/>
              <w:right w:val="single" w:sz="4" w:space="0" w:color="007FAD"/>
            </w:tcBorders>
          </w:tcPr>
          <w:p w14:paraId="447B1021"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 xml:space="preserve">16 </w:t>
            </w:r>
          </w:p>
        </w:tc>
        <w:tc>
          <w:tcPr>
            <w:cnfStyle w:val="000010000000" w:firstRow="0" w:lastRow="0" w:firstColumn="0" w:lastColumn="0" w:oddVBand="1" w:evenVBand="0" w:oddHBand="0" w:evenHBand="0" w:firstRowFirstColumn="0" w:firstRowLastColumn="0" w:lastRowFirstColumn="0" w:lastRowLastColumn="0"/>
            <w:tcW w:w="535" w:type="pct"/>
            <w:tcBorders>
              <w:top w:val="single" w:sz="4" w:space="0" w:color="007FAD"/>
              <w:left w:val="single" w:sz="4" w:space="0" w:color="007FAD"/>
              <w:bottom w:val="single" w:sz="4" w:space="0" w:color="007FAD"/>
              <w:right w:val="single" w:sz="4" w:space="0" w:color="007FAD"/>
            </w:tcBorders>
          </w:tcPr>
          <w:p w14:paraId="4026AAF7" w14:textId="77777777" w:rsidR="00331FFC" w:rsidRPr="00760A1D" w:rsidRDefault="00331FFC" w:rsidP="00C36A9B">
            <w:pPr>
              <w:pStyle w:val="Tabletext0"/>
              <w:rPr>
                <w:lang w:val="en-GB"/>
              </w:rPr>
            </w:pPr>
            <w:r w:rsidRPr="00760A1D">
              <w:rPr>
                <w:lang w:val="en-GB"/>
              </w:rPr>
              <w:t>71</w:t>
            </w:r>
          </w:p>
        </w:tc>
        <w:tc>
          <w:tcPr>
            <w:tcW w:w="535" w:type="pct"/>
            <w:tcBorders>
              <w:top w:val="single" w:sz="4" w:space="0" w:color="007FAD"/>
              <w:left w:val="single" w:sz="4" w:space="0" w:color="007FAD"/>
              <w:bottom w:val="single" w:sz="4" w:space="0" w:color="007FAD"/>
              <w:right w:val="single" w:sz="4" w:space="0" w:color="007FAD"/>
            </w:tcBorders>
          </w:tcPr>
          <w:p w14:paraId="26798B91"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77%</w:t>
            </w:r>
          </w:p>
        </w:tc>
      </w:tr>
      <w:tr w:rsidR="000B3BAB" w:rsidRPr="00B63D42" w14:paraId="6C390C30" w14:textId="77777777" w:rsidTr="009E26D4">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292" w:type="pct"/>
            <w:tcBorders>
              <w:top w:val="single" w:sz="4" w:space="0" w:color="007FAD"/>
              <w:left w:val="single" w:sz="4" w:space="0" w:color="007FAD"/>
              <w:bottom w:val="single" w:sz="4" w:space="0" w:color="007FAD"/>
              <w:right w:val="single" w:sz="4" w:space="0" w:color="007FAD"/>
            </w:tcBorders>
          </w:tcPr>
          <w:p w14:paraId="3A9F2FB3" w14:textId="77777777" w:rsidR="00331FFC" w:rsidRPr="00760A1D" w:rsidRDefault="00331FFC" w:rsidP="00C36A9B">
            <w:pPr>
              <w:pStyle w:val="Tabletext0"/>
              <w:rPr>
                <w:b/>
                <w:bCs/>
                <w:caps/>
                <w:kern w:val="28"/>
                <w:lang w:val="en-GB"/>
              </w:rPr>
            </w:pPr>
            <w:r w:rsidRPr="00760A1D">
              <w:rPr>
                <w:lang w:val="en-GB"/>
              </w:rPr>
              <w:t>2. Effectiveness</w:t>
            </w:r>
          </w:p>
        </w:tc>
        <w:tc>
          <w:tcPr>
            <w:tcW w:w="377" w:type="pct"/>
            <w:tcBorders>
              <w:top w:val="single" w:sz="4" w:space="0" w:color="007FAD"/>
              <w:left w:val="single" w:sz="4" w:space="0" w:color="007FAD"/>
              <w:bottom w:val="single" w:sz="4" w:space="0" w:color="007FAD"/>
              <w:right w:val="single" w:sz="4" w:space="0" w:color="007FAD"/>
            </w:tcBorders>
          </w:tcPr>
          <w:p w14:paraId="07F5C351"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0</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7A52B35E" w14:textId="77777777" w:rsidR="00331FFC" w:rsidRPr="00760A1D" w:rsidRDefault="00331FFC" w:rsidP="00C36A9B">
            <w:pPr>
              <w:pStyle w:val="Tabletext0"/>
              <w:rPr>
                <w:lang w:val="en-GB"/>
              </w:rPr>
            </w:pPr>
            <w:r w:rsidRPr="00760A1D">
              <w:rPr>
                <w:lang w:val="en-GB"/>
              </w:rPr>
              <w:t xml:space="preserve">6 </w:t>
            </w:r>
          </w:p>
        </w:tc>
        <w:tc>
          <w:tcPr>
            <w:tcW w:w="377" w:type="pct"/>
            <w:tcBorders>
              <w:top w:val="single" w:sz="4" w:space="0" w:color="007FAD"/>
              <w:left w:val="single" w:sz="4" w:space="0" w:color="007FAD"/>
              <w:bottom w:val="single" w:sz="4" w:space="0" w:color="007FAD"/>
              <w:right w:val="single" w:sz="4" w:space="0" w:color="007FAD"/>
            </w:tcBorders>
          </w:tcPr>
          <w:p w14:paraId="51B81F26"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 xml:space="preserve">18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1F8FD457" w14:textId="77777777" w:rsidR="00331FFC" w:rsidRPr="00760A1D" w:rsidRDefault="00331FFC" w:rsidP="00C36A9B">
            <w:pPr>
              <w:pStyle w:val="Tabletext0"/>
              <w:rPr>
                <w:lang w:val="en-GB"/>
              </w:rPr>
            </w:pPr>
            <w:r w:rsidRPr="00760A1D">
              <w:rPr>
                <w:lang w:val="en-GB"/>
              </w:rPr>
              <w:t xml:space="preserve">20 </w:t>
            </w:r>
          </w:p>
        </w:tc>
        <w:tc>
          <w:tcPr>
            <w:tcW w:w="377" w:type="pct"/>
            <w:tcBorders>
              <w:top w:val="single" w:sz="4" w:space="0" w:color="007FAD"/>
              <w:left w:val="single" w:sz="4" w:space="0" w:color="007FAD"/>
              <w:bottom w:val="single" w:sz="4" w:space="0" w:color="007FAD"/>
              <w:right w:val="single" w:sz="4" w:space="0" w:color="007FAD"/>
            </w:tcBorders>
          </w:tcPr>
          <w:p w14:paraId="6BD1D7C8"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 xml:space="preserve">31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6C500D1D" w14:textId="77777777" w:rsidR="00331FFC" w:rsidRPr="00760A1D" w:rsidRDefault="00331FFC" w:rsidP="00C36A9B">
            <w:pPr>
              <w:pStyle w:val="Tabletext0"/>
              <w:rPr>
                <w:lang w:val="en-GB"/>
              </w:rPr>
            </w:pPr>
            <w:r w:rsidRPr="00760A1D">
              <w:rPr>
                <w:lang w:val="en-GB"/>
              </w:rPr>
              <w:t xml:space="preserve">7 </w:t>
            </w:r>
          </w:p>
        </w:tc>
        <w:tc>
          <w:tcPr>
            <w:tcW w:w="377" w:type="pct"/>
            <w:tcBorders>
              <w:top w:val="single" w:sz="4" w:space="0" w:color="007FAD"/>
              <w:left w:val="single" w:sz="4" w:space="0" w:color="007FAD"/>
              <w:bottom w:val="single" w:sz="4" w:space="0" w:color="007FAD"/>
              <w:right w:val="single" w:sz="4" w:space="0" w:color="007FAD"/>
            </w:tcBorders>
          </w:tcPr>
          <w:p w14:paraId="5613FC4F"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 xml:space="preserve">5 </w:t>
            </w:r>
          </w:p>
        </w:tc>
        <w:tc>
          <w:tcPr>
            <w:cnfStyle w:val="000010000000" w:firstRow="0" w:lastRow="0" w:firstColumn="0" w:lastColumn="0" w:oddVBand="1" w:evenVBand="0" w:oddHBand="0" w:evenHBand="0" w:firstRowFirstColumn="0" w:firstRowLastColumn="0" w:lastRowFirstColumn="0" w:lastRowLastColumn="0"/>
            <w:tcW w:w="535" w:type="pct"/>
            <w:tcBorders>
              <w:top w:val="single" w:sz="4" w:space="0" w:color="007FAD"/>
              <w:left w:val="single" w:sz="4" w:space="0" w:color="007FAD"/>
              <w:bottom w:val="single" w:sz="4" w:space="0" w:color="007FAD"/>
              <w:right w:val="single" w:sz="4" w:space="0" w:color="007FAD"/>
            </w:tcBorders>
          </w:tcPr>
          <w:p w14:paraId="57C33665" w14:textId="77777777" w:rsidR="00331FFC" w:rsidRPr="00760A1D" w:rsidRDefault="00331FFC" w:rsidP="00C36A9B">
            <w:pPr>
              <w:pStyle w:val="Tabletext0"/>
              <w:rPr>
                <w:lang w:val="en-GB"/>
              </w:rPr>
            </w:pPr>
            <w:r w:rsidRPr="00760A1D">
              <w:rPr>
                <w:lang w:val="en-GB"/>
              </w:rPr>
              <w:t>82</w:t>
            </w:r>
          </w:p>
        </w:tc>
        <w:tc>
          <w:tcPr>
            <w:tcW w:w="535" w:type="pct"/>
            <w:tcBorders>
              <w:top w:val="single" w:sz="4" w:space="0" w:color="007FAD"/>
              <w:left w:val="single" w:sz="4" w:space="0" w:color="007FAD"/>
              <w:bottom w:val="single" w:sz="4" w:space="0" w:color="007FAD"/>
              <w:right w:val="single" w:sz="4" w:space="0" w:color="007FAD"/>
            </w:tcBorders>
          </w:tcPr>
          <w:p w14:paraId="770A9668"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71%</w:t>
            </w:r>
          </w:p>
        </w:tc>
      </w:tr>
      <w:tr w:rsidR="0097725B" w:rsidRPr="00B63D42" w14:paraId="30019B5B" w14:textId="77777777" w:rsidTr="009E26D4">
        <w:trPr>
          <w:trHeight w:val="340"/>
        </w:trPr>
        <w:tc>
          <w:tcPr>
            <w:cnfStyle w:val="000010000000" w:firstRow="0" w:lastRow="0" w:firstColumn="0" w:lastColumn="0" w:oddVBand="1" w:evenVBand="0" w:oddHBand="0" w:evenHBand="0" w:firstRowFirstColumn="0" w:firstRowLastColumn="0" w:lastRowFirstColumn="0" w:lastRowLastColumn="0"/>
            <w:tcW w:w="1292" w:type="pct"/>
            <w:tcBorders>
              <w:top w:val="single" w:sz="4" w:space="0" w:color="007FAD"/>
              <w:left w:val="single" w:sz="4" w:space="0" w:color="007FAD"/>
              <w:bottom w:val="single" w:sz="4" w:space="0" w:color="007FAD"/>
              <w:right w:val="single" w:sz="4" w:space="0" w:color="007FAD"/>
            </w:tcBorders>
          </w:tcPr>
          <w:p w14:paraId="639589BE" w14:textId="77777777" w:rsidR="00331FFC" w:rsidRPr="00760A1D" w:rsidRDefault="00331FFC" w:rsidP="00C36A9B">
            <w:pPr>
              <w:pStyle w:val="Tabletext0"/>
              <w:rPr>
                <w:b/>
                <w:bCs/>
                <w:caps/>
                <w:kern w:val="28"/>
                <w:lang w:val="en-GB"/>
              </w:rPr>
            </w:pPr>
            <w:r w:rsidRPr="00760A1D">
              <w:rPr>
                <w:lang w:val="en-GB"/>
              </w:rPr>
              <w:t>3. Efficiency</w:t>
            </w:r>
          </w:p>
        </w:tc>
        <w:tc>
          <w:tcPr>
            <w:tcW w:w="377" w:type="pct"/>
            <w:tcBorders>
              <w:top w:val="single" w:sz="4" w:space="0" w:color="007FAD"/>
              <w:left w:val="single" w:sz="4" w:space="0" w:color="007FAD"/>
              <w:bottom w:val="single" w:sz="4" w:space="0" w:color="007FAD"/>
              <w:right w:val="single" w:sz="4" w:space="0" w:color="007FAD"/>
            </w:tcBorders>
          </w:tcPr>
          <w:p w14:paraId="7AD2250C"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 xml:space="preserve">4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6AE43432" w14:textId="77777777" w:rsidR="00331FFC" w:rsidRPr="00760A1D" w:rsidRDefault="00331FFC" w:rsidP="00C36A9B">
            <w:pPr>
              <w:pStyle w:val="Tabletext0"/>
              <w:rPr>
                <w:lang w:val="en-GB"/>
              </w:rPr>
            </w:pPr>
            <w:r w:rsidRPr="00760A1D">
              <w:rPr>
                <w:lang w:val="en-GB"/>
              </w:rPr>
              <w:t xml:space="preserve">12 </w:t>
            </w:r>
          </w:p>
        </w:tc>
        <w:tc>
          <w:tcPr>
            <w:tcW w:w="377" w:type="pct"/>
            <w:tcBorders>
              <w:top w:val="single" w:sz="4" w:space="0" w:color="007FAD"/>
              <w:left w:val="single" w:sz="4" w:space="0" w:color="007FAD"/>
              <w:bottom w:val="single" w:sz="4" w:space="0" w:color="007FAD"/>
              <w:right w:val="single" w:sz="4" w:space="0" w:color="007FAD"/>
            </w:tcBorders>
          </w:tcPr>
          <w:p w14:paraId="4FB33F4D"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 xml:space="preserve">20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2A903E6C" w14:textId="77777777" w:rsidR="00331FFC" w:rsidRPr="00760A1D" w:rsidRDefault="00331FFC" w:rsidP="00C36A9B">
            <w:pPr>
              <w:pStyle w:val="Tabletext0"/>
              <w:rPr>
                <w:lang w:val="en-GB"/>
              </w:rPr>
            </w:pPr>
            <w:r w:rsidRPr="00760A1D">
              <w:rPr>
                <w:lang w:val="en-GB"/>
              </w:rPr>
              <w:t xml:space="preserve">20 </w:t>
            </w:r>
          </w:p>
        </w:tc>
        <w:tc>
          <w:tcPr>
            <w:tcW w:w="377" w:type="pct"/>
            <w:tcBorders>
              <w:top w:val="single" w:sz="4" w:space="0" w:color="007FAD"/>
              <w:left w:val="single" w:sz="4" w:space="0" w:color="007FAD"/>
              <w:bottom w:val="single" w:sz="4" w:space="0" w:color="007FAD"/>
              <w:right w:val="single" w:sz="4" w:space="0" w:color="007FAD"/>
            </w:tcBorders>
          </w:tcPr>
          <w:p w14:paraId="7AB779B7"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 xml:space="preserve">15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6BC5626E" w14:textId="77777777" w:rsidR="00331FFC" w:rsidRPr="00760A1D" w:rsidRDefault="00331FFC" w:rsidP="00C36A9B">
            <w:pPr>
              <w:pStyle w:val="Tabletext0"/>
              <w:rPr>
                <w:lang w:val="en-GB"/>
              </w:rPr>
            </w:pPr>
            <w:r w:rsidRPr="00760A1D">
              <w:rPr>
                <w:lang w:val="en-GB"/>
              </w:rPr>
              <w:t xml:space="preserve">7 </w:t>
            </w:r>
          </w:p>
        </w:tc>
        <w:tc>
          <w:tcPr>
            <w:tcW w:w="377" w:type="pct"/>
            <w:tcBorders>
              <w:top w:val="single" w:sz="4" w:space="0" w:color="007FAD"/>
              <w:left w:val="single" w:sz="4" w:space="0" w:color="007FAD"/>
              <w:bottom w:val="single" w:sz="4" w:space="0" w:color="007FAD"/>
              <w:right w:val="single" w:sz="4" w:space="0" w:color="007FAD"/>
            </w:tcBorders>
          </w:tcPr>
          <w:p w14:paraId="0E5E0708"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 xml:space="preserve">9 </w:t>
            </w:r>
          </w:p>
        </w:tc>
        <w:tc>
          <w:tcPr>
            <w:cnfStyle w:val="000010000000" w:firstRow="0" w:lastRow="0" w:firstColumn="0" w:lastColumn="0" w:oddVBand="1" w:evenVBand="0" w:oddHBand="0" w:evenHBand="0" w:firstRowFirstColumn="0" w:firstRowLastColumn="0" w:lastRowFirstColumn="0" w:lastRowLastColumn="0"/>
            <w:tcW w:w="535" w:type="pct"/>
            <w:tcBorders>
              <w:top w:val="single" w:sz="4" w:space="0" w:color="007FAD"/>
              <w:left w:val="single" w:sz="4" w:space="0" w:color="007FAD"/>
              <w:bottom w:val="single" w:sz="4" w:space="0" w:color="007FAD"/>
              <w:right w:val="single" w:sz="4" w:space="0" w:color="007FAD"/>
            </w:tcBorders>
          </w:tcPr>
          <w:p w14:paraId="48407521" w14:textId="77777777" w:rsidR="00331FFC" w:rsidRPr="00760A1D" w:rsidRDefault="00331FFC" w:rsidP="00C36A9B">
            <w:pPr>
              <w:pStyle w:val="Tabletext0"/>
              <w:rPr>
                <w:lang w:val="en-GB"/>
              </w:rPr>
            </w:pPr>
            <w:r w:rsidRPr="00760A1D">
              <w:rPr>
                <w:lang w:val="en-GB"/>
              </w:rPr>
              <w:t>78</w:t>
            </w:r>
          </w:p>
        </w:tc>
        <w:tc>
          <w:tcPr>
            <w:tcW w:w="535" w:type="pct"/>
            <w:tcBorders>
              <w:top w:val="single" w:sz="4" w:space="0" w:color="007FAD"/>
              <w:left w:val="single" w:sz="4" w:space="0" w:color="007FAD"/>
              <w:bottom w:val="single" w:sz="4" w:space="0" w:color="007FAD"/>
              <w:right w:val="single" w:sz="4" w:space="0" w:color="007FAD"/>
            </w:tcBorders>
          </w:tcPr>
          <w:p w14:paraId="6BDA47CE"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54%</w:t>
            </w:r>
          </w:p>
        </w:tc>
      </w:tr>
      <w:tr w:rsidR="000B3BAB" w:rsidRPr="00B63D42" w14:paraId="393D7B7D" w14:textId="77777777" w:rsidTr="009E26D4">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292" w:type="pct"/>
            <w:tcBorders>
              <w:top w:val="single" w:sz="4" w:space="0" w:color="007FAD"/>
              <w:left w:val="single" w:sz="4" w:space="0" w:color="007FAD"/>
              <w:bottom w:val="single" w:sz="4" w:space="0" w:color="007FAD"/>
              <w:right w:val="single" w:sz="4" w:space="0" w:color="007FAD"/>
            </w:tcBorders>
          </w:tcPr>
          <w:p w14:paraId="48B1ACBA" w14:textId="77777777" w:rsidR="00331FFC" w:rsidRPr="00760A1D" w:rsidRDefault="00331FFC" w:rsidP="00C36A9B">
            <w:pPr>
              <w:pStyle w:val="Tabletext0"/>
              <w:rPr>
                <w:b/>
                <w:bCs/>
                <w:caps/>
                <w:kern w:val="28"/>
                <w:lang w:val="en-GB"/>
              </w:rPr>
            </w:pPr>
            <w:r w:rsidRPr="00760A1D">
              <w:rPr>
                <w:lang w:val="en-GB"/>
              </w:rPr>
              <w:t>4. Sustainability</w:t>
            </w:r>
          </w:p>
        </w:tc>
        <w:tc>
          <w:tcPr>
            <w:tcW w:w="377" w:type="pct"/>
            <w:tcBorders>
              <w:top w:val="single" w:sz="4" w:space="0" w:color="007FAD"/>
              <w:left w:val="single" w:sz="4" w:space="0" w:color="007FAD"/>
              <w:bottom w:val="single" w:sz="4" w:space="0" w:color="007FAD"/>
              <w:right w:val="single" w:sz="4" w:space="0" w:color="007FAD"/>
            </w:tcBorders>
          </w:tcPr>
          <w:p w14:paraId="633C3E06"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 xml:space="preserve">4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19245FF2" w14:textId="77777777" w:rsidR="00331FFC" w:rsidRPr="00760A1D" w:rsidRDefault="00331FFC" w:rsidP="00C36A9B">
            <w:pPr>
              <w:pStyle w:val="Tabletext0"/>
              <w:rPr>
                <w:lang w:val="en-GB"/>
              </w:rPr>
            </w:pPr>
            <w:r w:rsidRPr="00760A1D">
              <w:rPr>
                <w:lang w:val="en-GB"/>
              </w:rPr>
              <w:t xml:space="preserve">6 </w:t>
            </w:r>
          </w:p>
        </w:tc>
        <w:tc>
          <w:tcPr>
            <w:tcW w:w="377" w:type="pct"/>
            <w:tcBorders>
              <w:top w:val="single" w:sz="4" w:space="0" w:color="007FAD"/>
              <w:left w:val="single" w:sz="4" w:space="0" w:color="007FAD"/>
              <w:bottom w:val="single" w:sz="4" w:space="0" w:color="007FAD"/>
              <w:right w:val="single" w:sz="4" w:space="0" w:color="007FAD"/>
            </w:tcBorders>
          </w:tcPr>
          <w:p w14:paraId="238192BE"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 xml:space="preserve">23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3CE755F8" w14:textId="77777777" w:rsidR="00331FFC" w:rsidRPr="00760A1D" w:rsidRDefault="00331FFC" w:rsidP="00C36A9B">
            <w:pPr>
              <w:pStyle w:val="Tabletext0"/>
              <w:rPr>
                <w:lang w:val="en-GB"/>
              </w:rPr>
            </w:pPr>
            <w:r w:rsidRPr="00760A1D">
              <w:rPr>
                <w:lang w:val="en-GB"/>
              </w:rPr>
              <w:t xml:space="preserve">15 </w:t>
            </w:r>
          </w:p>
        </w:tc>
        <w:tc>
          <w:tcPr>
            <w:tcW w:w="377" w:type="pct"/>
            <w:tcBorders>
              <w:top w:val="single" w:sz="4" w:space="0" w:color="007FAD"/>
              <w:left w:val="single" w:sz="4" w:space="0" w:color="007FAD"/>
              <w:bottom w:val="single" w:sz="4" w:space="0" w:color="007FAD"/>
              <w:right w:val="single" w:sz="4" w:space="0" w:color="007FAD"/>
            </w:tcBorders>
          </w:tcPr>
          <w:p w14:paraId="11D9E7DC"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 xml:space="preserve">17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6FA09173" w14:textId="77777777" w:rsidR="00331FFC" w:rsidRPr="00760A1D" w:rsidRDefault="00331FFC" w:rsidP="00C36A9B">
            <w:pPr>
              <w:pStyle w:val="Tabletext0"/>
              <w:rPr>
                <w:lang w:val="en-GB"/>
              </w:rPr>
            </w:pPr>
            <w:r w:rsidRPr="00760A1D">
              <w:rPr>
                <w:lang w:val="en-GB"/>
              </w:rPr>
              <w:t xml:space="preserve">9 </w:t>
            </w:r>
          </w:p>
        </w:tc>
        <w:tc>
          <w:tcPr>
            <w:tcW w:w="377" w:type="pct"/>
            <w:tcBorders>
              <w:top w:val="single" w:sz="4" w:space="0" w:color="007FAD"/>
              <w:left w:val="single" w:sz="4" w:space="0" w:color="007FAD"/>
              <w:bottom w:val="single" w:sz="4" w:space="0" w:color="007FAD"/>
              <w:right w:val="single" w:sz="4" w:space="0" w:color="007FAD"/>
            </w:tcBorders>
          </w:tcPr>
          <w:p w14:paraId="7DF8E142"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 xml:space="preserve">13 </w:t>
            </w:r>
          </w:p>
        </w:tc>
        <w:tc>
          <w:tcPr>
            <w:cnfStyle w:val="000010000000" w:firstRow="0" w:lastRow="0" w:firstColumn="0" w:lastColumn="0" w:oddVBand="1" w:evenVBand="0" w:oddHBand="0" w:evenHBand="0" w:firstRowFirstColumn="0" w:firstRowLastColumn="0" w:lastRowFirstColumn="0" w:lastRowLastColumn="0"/>
            <w:tcW w:w="535" w:type="pct"/>
            <w:tcBorders>
              <w:top w:val="single" w:sz="4" w:space="0" w:color="007FAD"/>
              <w:left w:val="single" w:sz="4" w:space="0" w:color="007FAD"/>
              <w:bottom w:val="single" w:sz="4" w:space="0" w:color="007FAD"/>
              <w:right w:val="single" w:sz="4" w:space="0" w:color="007FAD"/>
            </w:tcBorders>
          </w:tcPr>
          <w:p w14:paraId="4FE6A42D" w14:textId="77777777" w:rsidR="00331FFC" w:rsidRPr="00760A1D" w:rsidRDefault="00331FFC" w:rsidP="00C36A9B">
            <w:pPr>
              <w:pStyle w:val="Tabletext0"/>
              <w:rPr>
                <w:lang w:val="en-GB"/>
              </w:rPr>
            </w:pPr>
            <w:r w:rsidRPr="00760A1D">
              <w:rPr>
                <w:lang w:val="en-GB"/>
              </w:rPr>
              <w:t>74</w:t>
            </w:r>
          </w:p>
        </w:tc>
        <w:tc>
          <w:tcPr>
            <w:tcW w:w="535" w:type="pct"/>
            <w:tcBorders>
              <w:top w:val="single" w:sz="4" w:space="0" w:color="007FAD"/>
              <w:left w:val="single" w:sz="4" w:space="0" w:color="007FAD"/>
              <w:bottom w:val="single" w:sz="4" w:space="0" w:color="007FAD"/>
              <w:right w:val="single" w:sz="4" w:space="0" w:color="007FAD"/>
            </w:tcBorders>
          </w:tcPr>
          <w:p w14:paraId="5E352E48"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55%</w:t>
            </w:r>
          </w:p>
        </w:tc>
      </w:tr>
      <w:tr w:rsidR="0097725B" w:rsidRPr="00B63D42" w14:paraId="54E1DF3A" w14:textId="77777777" w:rsidTr="009E26D4">
        <w:trPr>
          <w:trHeight w:val="340"/>
        </w:trPr>
        <w:tc>
          <w:tcPr>
            <w:cnfStyle w:val="000010000000" w:firstRow="0" w:lastRow="0" w:firstColumn="0" w:lastColumn="0" w:oddVBand="1" w:evenVBand="0" w:oddHBand="0" w:evenHBand="0" w:firstRowFirstColumn="0" w:firstRowLastColumn="0" w:lastRowFirstColumn="0" w:lastRowLastColumn="0"/>
            <w:tcW w:w="1292" w:type="pct"/>
            <w:tcBorders>
              <w:top w:val="single" w:sz="4" w:space="0" w:color="007FAD"/>
              <w:left w:val="single" w:sz="4" w:space="0" w:color="007FAD"/>
              <w:bottom w:val="single" w:sz="4" w:space="0" w:color="007FAD"/>
              <w:right w:val="single" w:sz="4" w:space="0" w:color="007FAD"/>
            </w:tcBorders>
          </w:tcPr>
          <w:p w14:paraId="06B74381" w14:textId="77777777" w:rsidR="00331FFC" w:rsidRPr="00760A1D" w:rsidRDefault="00331FFC" w:rsidP="00C36A9B">
            <w:pPr>
              <w:pStyle w:val="Tabletext0"/>
              <w:rPr>
                <w:b/>
                <w:bCs/>
                <w:caps/>
                <w:kern w:val="28"/>
                <w:lang w:val="en-GB"/>
              </w:rPr>
            </w:pPr>
            <w:r w:rsidRPr="00760A1D">
              <w:rPr>
                <w:lang w:val="en-GB"/>
              </w:rPr>
              <w:t>5. Impact</w:t>
            </w:r>
          </w:p>
        </w:tc>
        <w:tc>
          <w:tcPr>
            <w:tcW w:w="377" w:type="pct"/>
            <w:tcBorders>
              <w:top w:val="single" w:sz="4" w:space="0" w:color="007FAD"/>
              <w:left w:val="single" w:sz="4" w:space="0" w:color="007FAD"/>
              <w:bottom w:val="single" w:sz="4" w:space="0" w:color="007FAD"/>
              <w:right w:val="single" w:sz="4" w:space="0" w:color="007FAD"/>
            </w:tcBorders>
          </w:tcPr>
          <w:p w14:paraId="3FA55E37"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 xml:space="preserve">7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461C4038" w14:textId="77777777" w:rsidR="00331FFC" w:rsidRPr="00760A1D" w:rsidRDefault="00331FFC" w:rsidP="00C36A9B">
            <w:pPr>
              <w:pStyle w:val="Tabletext0"/>
              <w:rPr>
                <w:lang w:val="en-GB"/>
              </w:rPr>
            </w:pPr>
            <w:r w:rsidRPr="00760A1D">
              <w:rPr>
                <w:lang w:val="en-GB"/>
              </w:rPr>
              <w:t xml:space="preserve">7 </w:t>
            </w:r>
          </w:p>
        </w:tc>
        <w:tc>
          <w:tcPr>
            <w:tcW w:w="377" w:type="pct"/>
            <w:tcBorders>
              <w:top w:val="single" w:sz="4" w:space="0" w:color="007FAD"/>
              <w:left w:val="single" w:sz="4" w:space="0" w:color="007FAD"/>
              <w:bottom w:val="single" w:sz="4" w:space="0" w:color="007FAD"/>
              <w:right w:val="single" w:sz="4" w:space="0" w:color="007FAD"/>
            </w:tcBorders>
          </w:tcPr>
          <w:p w14:paraId="44D86ED3" w14:textId="77777777" w:rsidR="00331FFC" w:rsidRPr="00855E7B"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855E7B">
              <w:rPr>
                <w:lang w:val="en-GB"/>
              </w:rPr>
              <w:t xml:space="preserve">10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3E205D42" w14:textId="77777777" w:rsidR="00331FFC" w:rsidRPr="00855E7B" w:rsidRDefault="00331FFC" w:rsidP="00855E7B">
            <w:pPr>
              <w:pStyle w:val="Tabletext0"/>
              <w:rPr>
                <w:lang w:val="en-GB"/>
              </w:rPr>
            </w:pPr>
            <w:r w:rsidRPr="00855E7B">
              <w:rPr>
                <w:lang w:val="en-GB"/>
              </w:rPr>
              <w:t xml:space="preserve">9 </w:t>
            </w:r>
          </w:p>
        </w:tc>
        <w:tc>
          <w:tcPr>
            <w:tcW w:w="377" w:type="pct"/>
            <w:tcBorders>
              <w:top w:val="single" w:sz="4" w:space="0" w:color="007FAD"/>
              <w:left w:val="single" w:sz="4" w:space="0" w:color="007FAD"/>
              <w:bottom w:val="single" w:sz="4" w:space="0" w:color="007FAD"/>
              <w:right w:val="single" w:sz="4" w:space="0" w:color="007FAD"/>
            </w:tcBorders>
          </w:tcPr>
          <w:p w14:paraId="7AA68730" w14:textId="77777777" w:rsidR="00331FFC" w:rsidRPr="00855E7B"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855E7B">
              <w:rPr>
                <w:lang w:val="en-GB"/>
              </w:rPr>
              <w:t xml:space="preserve">11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619D30F3" w14:textId="77777777" w:rsidR="00331FFC" w:rsidRPr="00855E7B" w:rsidRDefault="00331FFC" w:rsidP="00C36A9B">
            <w:pPr>
              <w:pStyle w:val="Tabletext0"/>
              <w:rPr>
                <w:lang w:val="en-GB"/>
              </w:rPr>
            </w:pPr>
            <w:r w:rsidRPr="00855E7B">
              <w:rPr>
                <w:lang w:val="en-GB"/>
              </w:rPr>
              <w:t xml:space="preserve">1 </w:t>
            </w:r>
          </w:p>
        </w:tc>
        <w:tc>
          <w:tcPr>
            <w:tcW w:w="377" w:type="pct"/>
            <w:tcBorders>
              <w:top w:val="single" w:sz="4" w:space="0" w:color="007FAD"/>
              <w:left w:val="single" w:sz="4" w:space="0" w:color="007FAD"/>
              <w:bottom w:val="single" w:sz="4" w:space="0" w:color="007FAD"/>
              <w:right w:val="single" w:sz="4" w:space="0" w:color="007FAD"/>
            </w:tcBorders>
          </w:tcPr>
          <w:p w14:paraId="666BC57F"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 xml:space="preserve">42 </w:t>
            </w:r>
          </w:p>
        </w:tc>
        <w:tc>
          <w:tcPr>
            <w:cnfStyle w:val="000010000000" w:firstRow="0" w:lastRow="0" w:firstColumn="0" w:lastColumn="0" w:oddVBand="1" w:evenVBand="0" w:oddHBand="0" w:evenHBand="0" w:firstRowFirstColumn="0" w:firstRowLastColumn="0" w:lastRowFirstColumn="0" w:lastRowLastColumn="0"/>
            <w:tcW w:w="535" w:type="pct"/>
            <w:tcBorders>
              <w:top w:val="single" w:sz="4" w:space="0" w:color="007FAD"/>
              <w:left w:val="single" w:sz="4" w:space="0" w:color="007FAD"/>
              <w:bottom w:val="single" w:sz="4" w:space="0" w:color="007FAD"/>
              <w:right w:val="single" w:sz="4" w:space="0" w:color="007FAD"/>
            </w:tcBorders>
          </w:tcPr>
          <w:p w14:paraId="4F849691" w14:textId="77777777" w:rsidR="00331FFC" w:rsidRPr="00760A1D" w:rsidRDefault="00331FFC" w:rsidP="00C36A9B">
            <w:pPr>
              <w:pStyle w:val="Tabletext0"/>
              <w:rPr>
                <w:lang w:val="en-GB"/>
              </w:rPr>
            </w:pPr>
            <w:r w:rsidRPr="00760A1D">
              <w:rPr>
                <w:lang w:val="en-GB"/>
              </w:rPr>
              <w:t>45</w:t>
            </w:r>
          </w:p>
        </w:tc>
        <w:tc>
          <w:tcPr>
            <w:tcW w:w="535" w:type="pct"/>
            <w:tcBorders>
              <w:top w:val="single" w:sz="4" w:space="0" w:color="007FAD"/>
              <w:left w:val="single" w:sz="4" w:space="0" w:color="007FAD"/>
              <w:bottom w:val="single" w:sz="4" w:space="0" w:color="007FAD"/>
              <w:right w:val="single" w:sz="4" w:space="0" w:color="007FAD"/>
            </w:tcBorders>
          </w:tcPr>
          <w:p w14:paraId="2C911510" w14:textId="77777777" w:rsidR="00331FFC" w:rsidRPr="00760A1D" w:rsidRDefault="00331FFC" w:rsidP="00C36A9B">
            <w:pPr>
              <w:pStyle w:val="Tabletext0"/>
              <w:cnfStyle w:val="000000000000" w:firstRow="0" w:lastRow="0" w:firstColumn="0" w:lastColumn="0" w:oddVBand="0" w:evenVBand="0" w:oddHBand="0" w:evenHBand="0" w:firstRowFirstColumn="0" w:firstRowLastColumn="0" w:lastRowFirstColumn="0" w:lastRowLastColumn="0"/>
              <w:rPr>
                <w:lang w:val="en-GB"/>
              </w:rPr>
            </w:pPr>
            <w:r w:rsidRPr="00760A1D">
              <w:rPr>
                <w:lang w:val="en-GB"/>
              </w:rPr>
              <w:t>47%</w:t>
            </w:r>
          </w:p>
        </w:tc>
      </w:tr>
      <w:tr w:rsidR="000B3BAB" w:rsidRPr="00033046" w14:paraId="3F37FB7B" w14:textId="77777777" w:rsidTr="009E26D4">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292" w:type="pct"/>
            <w:tcBorders>
              <w:top w:val="single" w:sz="4" w:space="0" w:color="007FAD"/>
              <w:left w:val="single" w:sz="4" w:space="0" w:color="007FAD"/>
              <w:bottom w:val="single" w:sz="4" w:space="0" w:color="007FAD"/>
              <w:right w:val="single" w:sz="4" w:space="0" w:color="007FAD"/>
            </w:tcBorders>
          </w:tcPr>
          <w:p w14:paraId="783D9ACB" w14:textId="0ADA3ED7" w:rsidR="00331FFC" w:rsidRPr="00760A1D" w:rsidRDefault="00331FFC" w:rsidP="00C36A9B">
            <w:pPr>
              <w:pStyle w:val="Tabletext0"/>
              <w:rPr>
                <w:b/>
                <w:bCs/>
                <w:caps/>
                <w:kern w:val="28"/>
                <w:lang w:val="en-GB"/>
              </w:rPr>
            </w:pPr>
            <w:r w:rsidRPr="00760A1D">
              <w:rPr>
                <w:lang w:val="en-GB"/>
              </w:rPr>
              <w:t xml:space="preserve">6. Gender </w:t>
            </w:r>
            <w:r w:rsidR="00410C97">
              <w:rPr>
                <w:lang w:val="en-GB"/>
              </w:rPr>
              <w:t>e</w:t>
            </w:r>
            <w:r w:rsidRPr="00760A1D">
              <w:rPr>
                <w:lang w:val="en-GB"/>
              </w:rPr>
              <w:t>quality</w:t>
            </w:r>
          </w:p>
        </w:tc>
        <w:tc>
          <w:tcPr>
            <w:tcW w:w="377" w:type="pct"/>
            <w:tcBorders>
              <w:top w:val="single" w:sz="4" w:space="0" w:color="007FAD"/>
              <w:left w:val="single" w:sz="4" w:space="0" w:color="007FAD"/>
              <w:bottom w:val="single" w:sz="4" w:space="0" w:color="007FAD"/>
              <w:right w:val="single" w:sz="4" w:space="0" w:color="007FAD"/>
            </w:tcBorders>
          </w:tcPr>
          <w:p w14:paraId="6E685F12"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 xml:space="preserve">2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35142329" w14:textId="77777777" w:rsidR="00331FFC" w:rsidRPr="00760A1D" w:rsidRDefault="00331FFC" w:rsidP="00C36A9B">
            <w:pPr>
              <w:pStyle w:val="Tabletext0"/>
              <w:rPr>
                <w:lang w:val="en-GB"/>
              </w:rPr>
            </w:pPr>
            <w:r w:rsidRPr="00760A1D">
              <w:rPr>
                <w:lang w:val="en-GB"/>
              </w:rPr>
              <w:t xml:space="preserve">13 </w:t>
            </w:r>
          </w:p>
        </w:tc>
        <w:tc>
          <w:tcPr>
            <w:tcW w:w="377" w:type="pct"/>
            <w:tcBorders>
              <w:top w:val="single" w:sz="4" w:space="0" w:color="007FAD"/>
              <w:left w:val="single" w:sz="4" w:space="0" w:color="007FAD"/>
              <w:bottom w:val="single" w:sz="4" w:space="0" w:color="007FAD"/>
              <w:right w:val="single" w:sz="4" w:space="0" w:color="007FAD"/>
            </w:tcBorders>
          </w:tcPr>
          <w:p w14:paraId="6095ABD7"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 xml:space="preserve">12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68EE500A" w14:textId="77777777" w:rsidR="00331FFC" w:rsidRPr="00760A1D" w:rsidRDefault="00331FFC" w:rsidP="00C36A9B">
            <w:pPr>
              <w:pStyle w:val="Tabletext0"/>
              <w:rPr>
                <w:lang w:val="en-GB"/>
              </w:rPr>
            </w:pPr>
            <w:r w:rsidRPr="00760A1D">
              <w:rPr>
                <w:lang w:val="en-GB"/>
              </w:rPr>
              <w:t xml:space="preserve">12 </w:t>
            </w:r>
          </w:p>
        </w:tc>
        <w:tc>
          <w:tcPr>
            <w:tcW w:w="377" w:type="pct"/>
            <w:tcBorders>
              <w:top w:val="single" w:sz="4" w:space="0" w:color="007FAD"/>
              <w:left w:val="single" w:sz="4" w:space="0" w:color="007FAD"/>
              <w:bottom w:val="single" w:sz="4" w:space="0" w:color="007FAD"/>
              <w:right w:val="single" w:sz="4" w:space="0" w:color="007FAD"/>
            </w:tcBorders>
          </w:tcPr>
          <w:p w14:paraId="19816FEB"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 xml:space="preserve">19 </w:t>
            </w:r>
          </w:p>
        </w:tc>
        <w:tc>
          <w:tcPr>
            <w:cnfStyle w:val="000010000000" w:firstRow="0" w:lastRow="0" w:firstColumn="0" w:lastColumn="0" w:oddVBand="1" w:evenVBand="0" w:oddHBand="0" w:evenHBand="0" w:firstRowFirstColumn="0" w:firstRowLastColumn="0" w:lastRowFirstColumn="0" w:lastRowLastColumn="0"/>
            <w:tcW w:w="377" w:type="pct"/>
            <w:tcBorders>
              <w:top w:val="single" w:sz="4" w:space="0" w:color="007FAD"/>
              <w:left w:val="single" w:sz="4" w:space="0" w:color="007FAD"/>
              <w:bottom w:val="single" w:sz="4" w:space="0" w:color="007FAD"/>
              <w:right w:val="single" w:sz="4" w:space="0" w:color="007FAD"/>
            </w:tcBorders>
          </w:tcPr>
          <w:p w14:paraId="15AF4D82" w14:textId="77777777" w:rsidR="00331FFC" w:rsidRPr="00760A1D" w:rsidRDefault="00331FFC" w:rsidP="00C36A9B">
            <w:pPr>
              <w:pStyle w:val="Tabletext0"/>
              <w:rPr>
                <w:lang w:val="en-GB"/>
              </w:rPr>
            </w:pPr>
            <w:r w:rsidRPr="00760A1D">
              <w:rPr>
                <w:lang w:val="en-GB"/>
              </w:rPr>
              <w:t xml:space="preserve">5 </w:t>
            </w:r>
          </w:p>
        </w:tc>
        <w:tc>
          <w:tcPr>
            <w:tcW w:w="377" w:type="pct"/>
            <w:tcBorders>
              <w:top w:val="single" w:sz="4" w:space="0" w:color="007FAD"/>
              <w:left w:val="single" w:sz="4" w:space="0" w:color="007FAD"/>
              <w:bottom w:val="single" w:sz="4" w:space="0" w:color="007FAD"/>
              <w:right w:val="single" w:sz="4" w:space="0" w:color="007FAD"/>
            </w:tcBorders>
          </w:tcPr>
          <w:p w14:paraId="013D447B"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 xml:space="preserve">24 </w:t>
            </w:r>
          </w:p>
        </w:tc>
        <w:tc>
          <w:tcPr>
            <w:cnfStyle w:val="000010000000" w:firstRow="0" w:lastRow="0" w:firstColumn="0" w:lastColumn="0" w:oddVBand="1" w:evenVBand="0" w:oddHBand="0" w:evenHBand="0" w:firstRowFirstColumn="0" w:firstRowLastColumn="0" w:lastRowFirstColumn="0" w:lastRowLastColumn="0"/>
            <w:tcW w:w="535" w:type="pct"/>
            <w:tcBorders>
              <w:top w:val="single" w:sz="4" w:space="0" w:color="007FAD"/>
              <w:left w:val="single" w:sz="4" w:space="0" w:color="007FAD"/>
              <w:bottom w:val="single" w:sz="4" w:space="0" w:color="007FAD"/>
              <w:right w:val="single" w:sz="4" w:space="0" w:color="007FAD"/>
            </w:tcBorders>
          </w:tcPr>
          <w:p w14:paraId="2678C467" w14:textId="77777777" w:rsidR="00331FFC" w:rsidRPr="00760A1D" w:rsidRDefault="00331FFC" w:rsidP="00C36A9B">
            <w:pPr>
              <w:pStyle w:val="Tabletext0"/>
              <w:rPr>
                <w:lang w:val="en-GB"/>
              </w:rPr>
            </w:pPr>
            <w:r w:rsidRPr="00760A1D">
              <w:rPr>
                <w:lang w:val="en-GB"/>
              </w:rPr>
              <w:t>63</w:t>
            </w:r>
          </w:p>
        </w:tc>
        <w:tc>
          <w:tcPr>
            <w:tcW w:w="535" w:type="pct"/>
            <w:tcBorders>
              <w:top w:val="single" w:sz="4" w:space="0" w:color="007FAD"/>
              <w:left w:val="single" w:sz="4" w:space="0" w:color="007FAD"/>
              <w:bottom w:val="single" w:sz="4" w:space="0" w:color="007FAD"/>
              <w:right w:val="single" w:sz="4" w:space="0" w:color="007FAD"/>
            </w:tcBorders>
          </w:tcPr>
          <w:p w14:paraId="02137339" w14:textId="77777777" w:rsidR="00331FFC" w:rsidRPr="00760A1D" w:rsidRDefault="00331FFC" w:rsidP="00C36A9B">
            <w:pPr>
              <w:pStyle w:val="Tabletext0"/>
              <w:cnfStyle w:val="000000100000" w:firstRow="0" w:lastRow="0" w:firstColumn="0" w:lastColumn="0" w:oddVBand="0" w:evenVBand="0" w:oddHBand="1" w:evenHBand="0" w:firstRowFirstColumn="0" w:firstRowLastColumn="0" w:lastRowFirstColumn="0" w:lastRowLastColumn="0"/>
              <w:rPr>
                <w:lang w:val="en-GB"/>
              </w:rPr>
            </w:pPr>
            <w:r w:rsidRPr="00760A1D">
              <w:rPr>
                <w:lang w:val="en-GB"/>
              </w:rPr>
              <w:t>57%</w:t>
            </w:r>
          </w:p>
        </w:tc>
      </w:tr>
    </w:tbl>
    <w:p w14:paraId="5516D7E6" w14:textId="77777777" w:rsidR="005856CA" w:rsidRPr="007708DE" w:rsidRDefault="00D5376D" w:rsidP="00232477">
      <w:pPr>
        <w:pStyle w:val="Heading2"/>
      </w:pPr>
      <w:bookmarkStart w:id="315" w:name="_Toc373303748"/>
      <w:bookmarkStart w:id="316" w:name="_Toc373304315"/>
      <w:bookmarkStart w:id="317" w:name="_Toc378059942"/>
      <w:bookmarkStart w:id="318" w:name="_Toc378060030"/>
      <w:bookmarkStart w:id="319" w:name="_Toc387675139"/>
      <w:bookmarkEnd w:id="307"/>
      <w:bookmarkEnd w:id="308"/>
      <w:bookmarkEnd w:id="309"/>
      <w:bookmarkEnd w:id="310"/>
      <w:bookmarkEnd w:id="311"/>
      <w:bookmarkEnd w:id="312"/>
      <w:bookmarkEnd w:id="313"/>
      <w:r w:rsidRPr="003B4CA3">
        <w:lastRenderedPageBreak/>
        <w:t>Degree of association between the 15 qual</w:t>
      </w:r>
      <w:r w:rsidRPr="000075C2">
        <w:t>ity criteria</w:t>
      </w:r>
      <w:bookmarkEnd w:id="315"/>
      <w:bookmarkEnd w:id="316"/>
      <w:bookmarkEnd w:id="317"/>
      <w:bookmarkEnd w:id="318"/>
      <w:bookmarkEnd w:id="319"/>
    </w:p>
    <w:bookmarkStart w:id="320" w:name="_Ref366510360"/>
    <w:bookmarkStart w:id="321" w:name="_Toc366507156"/>
    <w:bookmarkEnd w:id="295"/>
    <w:bookmarkEnd w:id="296"/>
    <w:bookmarkEnd w:id="297"/>
    <w:bookmarkEnd w:id="298"/>
    <w:p w14:paraId="6865839F" w14:textId="78481A89" w:rsidR="001010C3" w:rsidRPr="00353679" w:rsidRDefault="009612E2" w:rsidP="00322D59">
      <w:pPr>
        <w:rPr>
          <w:noProof/>
        </w:rPr>
      </w:pPr>
      <w:r>
        <w:rPr>
          <w:noProof/>
        </w:rPr>
        <w:fldChar w:fldCharType="begin"/>
      </w:r>
      <w:r>
        <w:rPr>
          <w:noProof/>
        </w:rPr>
        <w:instrText xml:space="preserve"> REF _Ref383673560 \h </w:instrText>
      </w:r>
      <w:r>
        <w:rPr>
          <w:noProof/>
        </w:rPr>
      </w:r>
      <w:r>
        <w:rPr>
          <w:noProof/>
        </w:rPr>
        <w:fldChar w:fldCharType="separate"/>
      </w:r>
      <w:r w:rsidR="00147362" w:rsidRPr="00322D59">
        <w:t xml:space="preserve">Figure </w:t>
      </w:r>
      <w:r w:rsidR="00147362">
        <w:rPr>
          <w:noProof/>
        </w:rPr>
        <w:t>9</w:t>
      </w:r>
      <w:r>
        <w:rPr>
          <w:noProof/>
        </w:rPr>
        <w:fldChar w:fldCharType="end"/>
      </w:r>
      <w:r w:rsidR="0028384C">
        <w:rPr>
          <w:noProof/>
        </w:rPr>
        <w:t xml:space="preserve"> </w:t>
      </w:r>
      <w:r w:rsidR="001010C3" w:rsidRPr="00322D59">
        <w:rPr>
          <w:noProof/>
        </w:rPr>
        <w:t>presents analysis showing the degree of association between the 15 quality criteria. The higher the</w:t>
      </w:r>
      <w:r w:rsidR="001010C3" w:rsidRPr="00353679">
        <w:rPr>
          <w:noProof/>
        </w:rPr>
        <w:t xml:space="preserve"> correlation coefficient, the stronger the statistical association. For example, a score of 1 would indicate a perfect correlation (all scores exactly the same). A score of </w:t>
      </w:r>
      <w:r w:rsidR="00FB2B49">
        <w:rPr>
          <w:noProof/>
        </w:rPr>
        <w:t>–</w:t>
      </w:r>
      <w:r w:rsidR="001010C3" w:rsidRPr="00353679">
        <w:rPr>
          <w:noProof/>
        </w:rPr>
        <w:t xml:space="preserve">1 would indicate a perfect negative correlation. </w:t>
      </w:r>
      <w:r w:rsidR="007708DE">
        <w:rPr>
          <w:noProof/>
        </w:rPr>
        <w:t>Correlations of 0.4 or higher are shaded.</w:t>
      </w:r>
    </w:p>
    <w:p w14:paraId="19774846" w14:textId="012EF40F" w:rsidR="00E57F60" w:rsidRPr="00E57F60" w:rsidRDefault="007708DE" w:rsidP="00D5376D">
      <w:pPr>
        <w:rPr>
          <w:noProof/>
        </w:rPr>
      </w:pPr>
      <w:r>
        <w:t xml:space="preserve">This analysis indicates that </w:t>
      </w:r>
      <w:r w:rsidR="00744801">
        <w:t>‘</w:t>
      </w:r>
      <w:r>
        <w:t>credibility of evidence and analysis</w:t>
      </w:r>
      <w:r w:rsidR="00744801">
        <w:t>’</w:t>
      </w:r>
      <w:r>
        <w:t xml:space="preserve"> is the criterion that is most strongly associated with the other criteria.</w:t>
      </w:r>
      <w:r w:rsidR="00A74814">
        <w:t xml:space="preserve"> </w:t>
      </w:r>
      <w:r>
        <w:t>It is therefore the best predictor of quality</w:t>
      </w:r>
      <w:r w:rsidR="00FB2B49">
        <w:t>—</w:t>
      </w:r>
      <w:r>
        <w:t>if an evaluation received a good rating for this criterion, then it is also likely to have good ratings for many of the other criteria.</w:t>
      </w:r>
      <w:r w:rsidR="00A74814">
        <w:t xml:space="preserve"> </w:t>
      </w:r>
      <w:r w:rsidR="000A26B7">
        <w:t>This is why we have frequently used the findings against this criterion as a proxy for overall evaluation quality in our analysis.</w:t>
      </w:r>
    </w:p>
    <w:p w14:paraId="101C7349" w14:textId="6BCD5964" w:rsidR="00E57F60" w:rsidRPr="00322D59" w:rsidRDefault="007708DE" w:rsidP="00855E7B">
      <w:pPr>
        <w:pStyle w:val="FigureName"/>
      </w:pPr>
      <w:bookmarkStart w:id="322" w:name="_Ref381096280"/>
      <w:bookmarkStart w:id="323" w:name="_Ref383673560"/>
      <w:bookmarkStart w:id="324" w:name="_Toc372738086"/>
      <w:bookmarkEnd w:id="320"/>
      <w:r w:rsidRPr="00322D59">
        <w:t>Figure</w:t>
      </w:r>
      <w:bookmarkEnd w:id="322"/>
      <w:r w:rsidRPr="00322D59">
        <w:t xml:space="preserve"> </w:t>
      </w:r>
      <w:fldSimple w:instr=" SEQ Figure \* ARABIC ">
        <w:r w:rsidR="00147362">
          <w:rPr>
            <w:noProof/>
          </w:rPr>
          <w:t>9</w:t>
        </w:r>
      </w:fldSimple>
      <w:bookmarkEnd w:id="323"/>
      <w:r w:rsidR="00E57F60" w:rsidRPr="00322D59">
        <w:tab/>
        <w:t xml:space="preserve"> Correlation </w:t>
      </w:r>
      <w:r w:rsidR="00D5376D" w:rsidRPr="00322D59">
        <w:t xml:space="preserve">analysis </w:t>
      </w:r>
      <w:r w:rsidR="00E57F60" w:rsidRPr="00322D59">
        <w:t xml:space="preserve">showing the </w:t>
      </w:r>
      <w:r w:rsidR="00D5376D" w:rsidRPr="00322D59">
        <w:t xml:space="preserve">degree </w:t>
      </w:r>
      <w:r w:rsidR="00E57F60" w:rsidRPr="00322D59">
        <w:t xml:space="preserve">of </w:t>
      </w:r>
      <w:r w:rsidR="00D5376D" w:rsidRPr="00322D59">
        <w:t xml:space="preserve">association </w:t>
      </w:r>
      <w:r w:rsidR="00E57F60" w:rsidRPr="00322D59">
        <w:t xml:space="preserve">between </w:t>
      </w:r>
      <w:bookmarkEnd w:id="321"/>
      <w:bookmarkEnd w:id="324"/>
      <w:r w:rsidR="00D5376D" w:rsidRPr="00322D59">
        <w:t>criteria</w:t>
      </w:r>
    </w:p>
    <w:tbl>
      <w:tblPr>
        <w:tblpPr w:leftFromText="180" w:rightFromText="180" w:vertAnchor="text" w:tblpY="1"/>
        <w:tblOverlap w:val="never"/>
        <w:tblW w:w="5250" w:type="pct"/>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ayout w:type="fixed"/>
        <w:tblLook w:val="0000" w:firstRow="0" w:lastRow="0" w:firstColumn="0" w:lastColumn="0" w:noHBand="0" w:noVBand="0"/>
      </w:tblPr>
      <w:tblGrid>
        <w:gridCol w:w="1950"/>
        <w:gridCol w:w="513"/>
        <w:gridCol w:w="515"/>
        <w:gridCol w:w="515"/>
        <w:gridCol w:w="513"/>
        <w:gridCol w:w="515"/>
        <w:gridCol w:w="515"/>
        <w:gridCol w:w="513"/>
        <w:gridCol w:w="6"/>
        <w:gridCol w:w="511"/>
        <w:gridCol w:w="6"/>
        <w:gridCol w:w="511"/>
        <w:gridCol w:w="6"/>
        <w:gridCol w:w="510"/>
        <w:gridCol w:w="6"/>
        <w:gridCol w:w="508"/>
        <w:gridCol w:w="8"/>
        <w:gridCol w:w="506"/>
        <w:gridCol w:w="8"/>
        <w:gridCol w:w="506"/>
        <w:gridCol w:w="10"/>
        <w:gridCol w:w="504"/>
        <w:gridCol w:w="12"/>
        <w:gridCol w:w="516"/>
        <w:gridCol w:w="16"/>
      </w:tblGrid>
      <w:tr w:rsidR="009F284A" w:rsidRPr="009F284A" w14:paraId="5CD3BCC2" w14:textId="77777777" w:rsidTr="009F284A">
        <w:trPr>
          <w:cantSplit/>
          <w:trHeight w:val="2540"/>
        </w:trPr>
        <w:tc>
          <w:tcPr>
            <w:tcW w:w="1006" w:type="pct"/>
            <w:shd w:val="clear" w:color="auto" w:fill="auto"/>
            <w:vAlign w:val="center"/>
          </w:tcPr>
          <w:p w14:paraId="2E7F606F" w14:textId="77777777" w:rsidR="00E57F60" w:rsidRPr="009F284A" w:rsidRDefault="00E57F60" w:rsidP="009F284A">
            <w:pPr>
              <w:pStyle w:val="Tabletext0"/>
              <w:rPr>
                <w:rFonts w:eastAsia="Cambria"/>
                <w:sz w:val="16"/>
                <w:szCs w:val="16"/>
                <w:lang w:val="en-GB"/>
              </w:rPr>
            </w:pPr>
          </w:p>
        </w:tc>
        <w:tc>
          <w:tcPr>
            <w:tcW w:w="264" w:type="pct"/>
            <w:shd w:val="clear" w:color="auto" w:fill="auto"/>
            <w:textDirection w:val="btLr"/>
          </w:tcPr>
          <w:p w14:paraId="67A33C8B" w14:textId="77777777" w:rsidR="00E57F60" w:rsidRPr="009F284A" w:rsidRDefault="00E57F60" w:rsidP="009F284A">
            <w:pPr>
              <w:pStyle w:val="Tabletext0"/>
              <w:rPr>
                <w:rFonts w:eastAsia="Cambria"/>
                <w:sz w:val="16"/>
                <w:szCs w:val="16"/>
                <w:lang w:val="en-GB"/>
              </w:rPr>
            </w:pPr>
            <w:r w:rsidRPr="009F284A">
              <w:rPr>
                <w:rFonts w:eastAsia="Cambria"/>
                <w:sz w:val="16"/>
                <w:szCs w:val="16"/>
                <w:lang w:val="en-GB"/>
              </w:rPr>
              <w:t>1.Purpose</w:t>
            </w:r>
          </w:p>
        </w:tc>
        <w:tc>
          <w:tcPr>
            <w:tcW w:w="265" w:type="pct"/>
            <w:shd w:val="clear" w:color="auto" w:fill="auto"/>
            <w:textDirection w:val="btLr"/>
          </w:tcPr>
          <w:p w14:paraId="7C567F80" w14:textId="77777777" w:rsidR="00E57F60" w:rsidRPr="009F284A" w:rsidRDefault="00E57F60" w:rsidP="009F284A">
            <w:pPr>
              <w:pStyle w:val="Tabletext0"/>
              <w:rPr>
                <w:rFonts w:eastAsia="Cambria"/>
                <w:sz w:val="16"/>
                <w:szCs w:val="16"/>
                <w:lang w:val="en-GB"/>
              </w:rPr>
            </w:pPr>
            <w:r w:rsidRPr="009F284A">
              <w:rPr>
                <w:rFonts w:eastAsia="Cambria"/>
                <w:sz w:val="16"/>
                <w:szCs w:val="16"/>
                <w:lang w:val="en-GB"/>
              </w:rPr>
              <w:t>2. Scope</w:t>
            </w:r>
          </w:p>
        </w:tc>
        <w:tc>
          <w:tcPr>
            <w:tcW w:w="265" w:type="pct"/>
            <w:shd w:val="clear" w:color="auto" w:fill="auto"/>
            <w:textDirection w:val="btLr"/>
          </w:tcPr>
          <w:p w14:paraId="1D665DFE" w14:textId="77777777" w:rsidR="00E57F60" w:rsidRPr="009F284A" w:rsidRDefault="00E57F60" w:rsidP="009F284A">
            <w:pPr>
              <w:pStyle w:val="Tabletext0"/>
              <w:rPr>
                <w:rFonts w:eastAsia="Cambria"/>
                <w:sz w:val="16"/>
                <w:szCs w:val="16"/>
                <w:lang w:val="en-GB"/>
              </w:rPr>
            </w:pPr>
            <w:r w:rsidRPr="009F284A">
              <w:rPr>
                <w:rFonts w:eastAsia="Cambria"/>
                <w:sz w:val="16"/>
                <w:szCs w:val="16"/>
                <w:lang w:val="en-GB"/>
              </w:rPr>
              <w:t xml:space="preserve">3. </w:t>
            </w:r>
            <w:r w:rsidR="00D91598" w:rsidRPr="009F284A">
              <w:rPr>
                <w:rFonts w:eastAsia="Cambria"/>
                <w:sz w:val="16"/>
                <w:szCs w:val="16"/>
                <w:lang w:val="en-GB"/>
              </w:rPr>
              <w:t>Assessment of i</w:t>
            </w:r>
            <w:r w:rsidRPr="009F284A">
              <w:rPr>
                <w:rFonts w:eastAsia="Cambria"/>
                <w:sz w:val="16"/>
                <w:szCs w:val="16"/>
                <w:lang w:val="en-GB"/>
              </w:rPr>
              <w:t xml:space="preserve">ntervention </w:t>
            </w:r>
            <w:r w:rsidR="00D91598" w:rsidRPr="009F284A">
              <w:rPr>
                <w:rFonts w:eastAsia="Cambria"/>
                <w:sz w:val="16"/>
                <w:szCs w:val="16"/>
                <w:lang w:val="en-GB"/>
              </w:rPr>
              <w:t>l</w:t>
            </w:r>
            <w:r w:rsidRPr="009F284A">
              <w:rPr>
                <w:rFonts w:eastAsia="Cambria"/>
                <w:sz w:val="16"/>
                <w:szCs w:val="16"/>
                <w:lang w:val="en-GB"/>
              </w:rPr>
              <w:t>ogic</w:t>
            </w:r>
          </w:p>
        </w:tc>
        <w:tc>
          <w:tcPr>
            <w:tcW w:w="265" w:type="pct"/>
            <w:shd w:val="clear" w:color="auto" w:fill="auto"/>
            <w:textDirection w:val="btLr"/>
          </w:tcPr>
          <w:p w14:paraId="7B30A2ED" w14:textId="77777777" w:rsidR="00E57F60" w:rsidRPr="009F284A" w:rsidRDefault="00E57F60" w:rsidP="009F284A">
            <w:pPr>
              <w:pStyle w:val="Tabletext0"/>
              <w:rPr>
                <w:rFonts w:eastAsia="Cambria"/>
                <w:sz w:val="16"/>
                <w:szCs w:val="16"/>
                <w:lang w:val="en-GB"/>
              </w:rPr>
            </w:pPr>
            <w:r w:rsidRPr="009F284A">
              <w:rPr>
                <w:rFonts w:eastAsia="Cambria"/>
                <w:sz w:val="16"/>
                <w:szCs w:val="16"/>
                <w:lang w:val="en-GB"/>
              </w:rPr>
              <w:t>4. Methodology</w:t>
            </w:r>
          </w:p>
        </w:tc>
        <w:tc>
          <w:tcPr>
            <w:tcW w:w="265" w:type="pct"/>
            <w:shd w:val="clear" w:color="auto" w:fill="auto"/>
            <w:textDirection w:val="btLr"/>
          </w:tcPr>
          <w:p w14:paraId="13E74D25" w14:textId="77777777" w:rsidR="00E57F60" w:rsidRPr="009F284A" w:rsidRDefault="00E57F60" w:rsidP="009F284A">
            <w:pPr>
              <w:pStyle w:val="Tabletext0"/>
              <w:rPr>
                <w:rFonts w:eastAsia="Cambria"/>
                <w:sz w:val="16"/>
                <w:szCs w:val="16"/>
                <w:lang w:val="en-GB"/>
              </w:rPr>
            </w:pPr>
            <w:r w:rsidRPr="009F284A">
              <w:rPr>
                <w:rFonts w:eastAsia="Cambria"/>
                <w:sz w:val="16"/>
                <w:szCs w:val="16"/>
                <w:lang w:val="en-GB"/>
              </w:rPr>
              <w:t>5. M&amp;E</w:t>
            </w:r>
          </w:p>
        </w:tc>
        <w:tc>
          <w:tcPr>
            <w:tcW w:w="265" w:type="pct"/>
            <w:shd w:val="clear" w:color="auto" w:fill="auto"/>
            <w:textDirection w:val="btLr"/>
          </w:tcPr>
          <w:p w14:paraId="2B873F69" w14:textId="77777777" w:rsidR="00E57F60" w:rsidRPr="009F284A" w:rsidRDefault="00E57F60" w:rsidP="009F284A">
            <w:pPr>
              <w:pStyle w:val="Tabletext0"/>
              <w:rPr>
                <w:rFonts w:eastAsia="Cambria"/>
                <w:sz w:val="16"/>
                <w:szCs w:val="16"/>
                <w:lang w:val="en-GB"/>
              </w:rPr>
            </w:pPr>
            <w:r w:rsidRPr="009F284A">
              <w:rPr>
                <w:rFonts w:eastAsia="Cambria"/>
                <w:sz w:val="16"/>
                <w:szCs w:val="16"/>
                <w:lang w:val="en-GB"/>
              </w:rPr>
              <w:t>6. Context</w:t>
            </w:r>
          </w:p>
        </w:tc>
        <w:tc>
          <w:tcPr>
            <w:tcW w:w="265" w:type="pct"/>
            <w:shd w:val="clear" w:color="auto" w:fill="auto"/>
            <w:textDirection w:val="btLr"/>
          </w:tcPr>
          <w:p w14:paraId="7E98771B" w14:textId="77777777" w:rsidR="00E57F60" w:rsidRPr="009F284A" w:rsidRDefault="00E57F60" w:rsidP="009F284A">
            <w:pPr>
              <w:pStyle w:val="Tabletext0"/>
              <w:rPr>
                <w:rFonts w:eastAsia="Cambria"/>
                <w:sz w:val="16"/>
                <w:szCs w:val="16"/>
                <w:lang w:val="en-GB"/>
              </w:rPr>
            </w:pPr>
            <w:r w:rsidRPr="009F284A">
              <w:rPr>
                <w:rFonts w:eastAsia="Cambria"/>
                <w:sz w:val="16"/>
                <w:szCs w:val="16"/>
                <w:lang w:val="en-GB"/>
              </w:rPr>
              <w:t>7. Evaluation questions</w:t>
            </w:r>
            <w:r w:rsidR="00D91598" w:rsidRPr="009F284A">
              <w:rPr>
                <w:rFonts w:eastAsia="Cambria"/>
                <w:sz w:val="16"/>
                <w:szCs w:val="16"/>
                <w:lang w:val="en-GB"/>
              </w:rPr>
              <w:t xml:space="preserve"> &amp; criteria</w:t>
            </w:r>
          </w:p>
        </w:tc>
        <w:tc>
          <w:tcPr>
            <w:tcW w:w="265" w:type="pct"/>
            <w:gridSpan w:val="2"/>
            <w:shd w:val="clear" w:color="auto" w:fill="auto"/>
            <w:textDirection w:val="btLr"/>
          </w:tcPr>
          <w:p w14:paraId="3A1E5074" w14:textId="77777777" w:rsidR="00E57F60" w:rsidRPr="009F284A" w:rsidRDefault="00E57F60" w:rsidP="009F284A">
            <w:pPr>
              <w:pStyle w:val="Tabletext0"/>
              <w:rPr>
                <w:rFonts w:eastAsia="Cambria"/>
                <w:sz w:val="16"/>
                <w:szCs w:val="16"/>
                <w:lang w:val="en-GB"/>
              </w:rPr>
            </w:pPr>
            <w:r w:rsidRPr="009F284A">
              <w:rPr>
                <w:rFonts w:eastAsia="Cambria"/>
                <w:sz w:val="16"/>
                <w:szCs w:val="16"/>
                <w:lang w:val="en-GB"/>
              </w:rPr>
              <w:t>8. Credibility of evidence &amp; analysis</w:t>
            </w:r>
          </w:p>
        </w:tc>
        <w:tc>
          <w:tcPr>
            <w:tcW w:w="265" w:type="pct"/>
            <w:gridSpan w:val="2"/>
            <w:shd w:val="clear" w:color="auto" w:fill="auto"/>
            <w:textDirection w:val="btLr"/>
          </w:tcPr>
          <w:p w14:paraId="38013F8B" w14:textId="77777777" w:rsidR="00E57F60" w:rsidRPr="009F284A" w:rsidRDefault="00E57F60" w:rsidP="009F284A">
            <w:pPr>
              <w:pStyle w:val="Tabletext0"/>
              <w:rPr>
                <w:rFonts w:eastAsia="Cambria"/>
                <w:sz w:val="16"/>
                <w:szCs w:val="16"/>
                <w:lang w:val="en-GB"/>
              </w:rPr>
            </w:pPr>
            <w:r w:rsidRPr="009F284A">
              <w:rPr>
                <w:rFonts w:eastAsia="Cambria"/>
                <w:sz w:val="16"/>
                <w:szCs w:val="16"/>
                <w:lang w:val="en-GB"/>
              </w:rPr>
              <w:t>9. Recommendations</w:t>
            </w:r>
          </w:p>
        </w:tc>
        <w:tc>
          <w:tcPr>
            <w:tcW w:w="265" w:type="pct"/>
            <w:gridSpan w:val="2"/>
            <w:shd w:val="clear" w:color="auto" w:fill="auto"/>
            <w:textDirection w:val="btLr"/>
          </w:tcPr>
          <w:p w14:paraId="22EF8353" w14:textId="77777777" w:rsidR="00E57F60" w:rsidRPr="009F284A" w:rsidRDefault="00D91598" w:rsidP="009F284A">
            <w:pPr>
              <w:pStyle w:val="Tabletext0"/>
              <w:rPr>
                <w:rFonts w:eastAsia="Cambria"/>
                <w:sz w:val="16"/>
                <w:szCs w:val="16"/>
                <w:lang w:val="en-GB"/>
              </w:rPr>
            </w:pPr>
            <w:r w:rsidRPr="009F284A">
              <w:rPr>
                <w:rFonts w:eastAsia="Cambria"/>
                <w:sz w:val="16"/>
                <w:szCs w:val="16"/>
                <w:lang w:val="en-GB"/>
              </w:rPr>
              <w:t>1</w:t>
            </w:r>
            <w:r w:rsidR="00E57F60" w:rsidRPr="009F284A">
              <w:rPr>
                <w:rFonts w:eastAsia="Cambria"/>
                <w:sz w:val="16"/>
                <w:szCs w:val="16"/>
                <w:lang w:val="en-GB"/>
              </w:rPr>
              <w:t xml:space="preserve">. Relevance </w:t>
            </w:r>
          </w:p>
        </w:tc>
        <w:tc>
          <w:tcPr>
            <w:tcW w:w="265" w:type="pct"/>
            <w:gridSpan w:val="2"/>
            <w:shd w:val="clear" w:color="auto" w:fill="auto"/>
            <w:textDirection w:val="btLr"/>
          </w:tcPr>
          <w:p w14:paraId="598DDA19" w14:textId="77777777" w:rsidR="00E57F60" w:rsidRPr="009F284A" w:rsidRDefault="00D91598" w:rsidP="009F284A">
            <w:pPr>
              <w:pStyle w:val="Tabletext0"/>
              <w:rPr>
                <w:rFonts w:eastAsia="Cambria"/>
                <w:sz w:val="16"/>
                <w:szCs w:val="16"/>
                <w:lang w:val="en-GB"/>
              </w:rPr>
            </w:pPr>
            <w:r w:rsidRPr="009F284A">
              <w:rPr>
                <w:rFonts w:eastAsia="Cambria"/>
                <w:sz w:val="16"/>
                <w:szCs w:val="16"/>
                <w:lang w:val="en-GB"/>
              </w:rPr>
              <w:t>2</w:t>
            </w:r>
            <w:r w:rsidR="00E57F60" w:rsidRPr="009F284A">
              <w:rPr>
                <w:rFonts w:eastAsia="Cambria"/>
                <w:sz w:val="16"/>
                <w:szCs w:val="16"/>
                <w:lang w:val="en-GB"/>
              </w:rPr>
              <w:t>.</w:t>
            </w:r>
            <w:r w:rsidR="00A74814" w:rsidRPr="009F284A">
              <w:rPr>
                <w:rFonts w:eastAsia="Cambria"/>
                <w:sz w:val="16"/>
                <w:szCs w:val="16"/>
                <w:lang w:val="en-GB"/>
              </w:rPr>
              <w:t xml:space="preserve"> </w:t>
            </w:r>
            <w:r w:rsidR="00E57F60" w:rsidRPr="009F284A">
              <w:rPr>
                <w:rFonts w:eastAsia="Cambria"/>
                <w:sz w:val="16"/>
                <w:szCs w:val="16"/>
                <w:lang w:val="en-GB"/>
              </w:rPr>
              <w:t xml:space="preserve">Effectiveness </w:t>
            </w:r>
          </w:p>
        </w:tc>
        <w:tc>
          <w:tcPr>
            <w:tcW w:w="265" w:type="pct"/>
            <w:gridSpan w:val="2"/>
            <w:shd w:val="clear" w:color="auto" w:fill="auto"/>
            <w:textDirection w:val="btLr"/>
          </w:tcPr>
          <w:p w14:paraId="31F4CDD8" w14:textId="77777777" w:rsidR="00E57F60" w:rsidRPr="009F284A" w:rsidRDefault="00D91598" w:rsidP="009F284A">
            <w:pPr>
              <w:pStyle w:val="Tabletext0"/>
              <w:rPr>
                <w:rFonts w:eastAsia="Cambria"/>
                <w:sz w:val="16"/>
                <w:szCs w:val="16"/>
                <w:lang w:val="en-GB"/>
              </w:rPr>
            </w:pPr>
            <w:r w:rsidRPr="009F284A">
              <w:rPr>
                <w:rFonts w:eastAsia="Cambria"/>
                <w:sz w:val="16"/>
                <w:szCs w:val="16"/>
                <w:lang w:val="en-GB"/>
              </w:rPr>
              <w:t>3</w:t>
            </w:r>
            <w:r w:rsidR="00E57F60" w:rsidRPr="009F284A">
              <w:rPr>
                <w:rFonts w:eastAsia="Cambria"/>
                <w:sz w:val="16"/>
                <w:szCs w:val="16"/>
                <w:lang w:val="en-GB"/>
              </w:rPr>
              <w:t xml:space="preserve">. Efficiency </w:t>
            </w:r>
          </w:p>
        </w:tc>
        <w:tc>
          <w:tcPr>
            <w:tcW w:w="265" w:type="pct"/>
            <w:gridSpan w:val="2"/>
            <w:shd w:val="clear" w:color="auto" w:fill="auto"/>
            <w:textDirection w:val="btLr"/>
          </w:tcPr>
          <w:p w14:paraId="1789AC5E" w14:textId="77777777" w:rsidR="00E57F60" w:rsidRPr="009F284A" w:rsidRDefault="00D91598" w:rsidP="009F284A">
            <w:pPr>
              <w:pStyle w:val="Tabletext0"/>
              <w:rPr>
                <w:rFonts w:eastAsia="Cambria"/>
                <w:sz w:val="16"/>
                <w:szCs w:val="16"/>
                <w:lang w:val="en-GB"/>
              </w:rPr>
            </w:pPr>
            <w:r w:rsidRPr="009F284A">
              <w:rPr>
                <w:rFonts w:eastAsia="Cambria"/>
                <w:sz w:val="16"/>
                <w:szCs w:val="16"/>
                <w:lang w:val="en-GB"/>
              </w:rPr>
              <w:t>4</w:t>
            </w:r>
            <w:r w:rsidR="00E57F60" w:rsidRPr="009F284A">
              <w:rPr>
                <w:rFonts w:eastAsia="Cambria"/>
                <w:sz w:val="16"/>
                <w:szCs w:val="16"/>
                <w:lang w:val="en-GB"/>
              </w:rPr>
              <w:t xml:space="preserve">. Impact </w:t>
            </w:r>
          </w:p>
        </w:tc>
        <w:tc>
          <w:tcPr>
            <w:tcW w:w="265" w:type="pct"/>
            <w:gridSpan w:val="2"/>
            <w:shd w:val="clear" w:color="auto" w:fill="auto"/>
            <w:textDirection w:val="btLr"/>
          </w:tcPr>
          <w:p w14:paraId="17A63DE9" w14:textId="77777777" w:rsidR="00E57F60" w:rsidRPr="009F284A" w:rsidRDefault="00D91598" w:rsidP="009F284A">
            <w:pPr>
              <w:pStyle w:val="Tabletext0"/>
              <w:rPr>
                <w:rFonts w:eastAsia="Cambria"/>
                <w:sz w:val="16"/>
                <w:szCs w:val="16"/>
                <w:lang w:val="en-GB"/>
              </w:rPr>
            </w:pPr>
            <w:r w:rsidRPr="009F284A">
              <w:rPr>
                <w:rFonts w:eastAsia="Cambria"/>
                <w:sz w:val="16"/>
                <w:szCs w:val="16"/>
                <w:lang w:val="en-GB"/>
              </w:rPr>
              <w:t>5</w:t>
            </w:r>
            <w:r w:rsidR="00E57F60" w:rsidRPr="009F284A">
              <w:rPr>
                <w:rFonts w:eastAsia="Cambria"/>
                <w:sz w:val="16"/>
                <w:szCs w:val="16"/>
                <w:lang w:val="en-GB"/>
              </w:rPr>
              <w:t xml:space="preserve">. Sustainability </w:t>
            </w:r>
          </w:p>
        </w:tc>
        <w:tc>
          <w:tcPr>
            <w:tcW w:w="284" w:type="pct"/>
            <w:gridSpan w:val="3"/>
            <w:shd w:val="clear" w:color="auto" w:fill="auto"/>
            <w:textDirection w:val="btLr"/>
          </w:tcPr>
          <w:p w14:paraId="5FA1CA1E" w14:textId="77777777" w:rsidR="00E57F60" w:rsidRPr="009F284A" w:rsidRDefault="00D91598" w:rsidP="009F284A">
            <w:pPr>
              <w:pStyle w:val="Tabletext0"/>
              <w:rPr>
                <w:rFonts w:eastAsia="Cambria"/>
                <w:sz w:val="16"/>
                <w:szCs w:val="16"/>
                <w:lang w:val="en-GB"/>
              </w:rPr>
            </w:pPr>
            <w:r w:rsidRPr="009F284A">
              <w:rPr>
                <w:rFonts w:eastAsia="Cambria"/>
                <w:sz w:val="16"/>
                <w:szCs w:val="16"/>
                <w:lang w:val="en-GB"/>
              </w:rPr>
              <w:t>6</w:t>
            </w:r>
            <w:r w:rsidR="00E57F60" w:rsidRPr="009F284A">
              <w:rPr>
                <w:rFonts w:eastAsia="Cambria"/>
                <w:sz w:val="16"/>
                <w:szCs w:val="16"/>
                <w:lang w:val="en-GB"/>
              </w:rPr>
              <w:t>. Gender</w:t>
            </w:r>
          </w:p>
        </w:tc>
      </w:tr>
      <w:tr w:rsidR="00C738A5" w:rsidRPr="00B63D42" w14:paraId="2E5FDF51" w14:textId="77777777" w:rsidTr="009F284A">
        <w:trPr>
          <w:gridAfter w:val="1"/>
          <w:wAfter w:w="13" w:type="pct"/>
          <w:trHeight w:val="290"/>
        </w:trPr>
        <w:tc>
          <w:tcPr>
            <w:tcW w:w="4987" w:type="pct"/>
            <w:gridSpan w:val="24"/>
            <w:shd w:val="clear" w:color="auto" w:fill="ECF1F7"/>
            <w:vAlign w:val="center"/>
          </w:tcPr>
          <w:p w14:paraId="41FD52D7" w14:textId="2AABCB3F" w:rsidR="00C738A5" w:rsidRPr="00855E7B" w:rsidRDefault="00C738A5" w:rsidP="00855E7B">
            <w:pPr>
              <w:pStyle w:val="Tabletext0"/>
              <w:rPr>
                <w:rFonts w:eastAsia="Cambria"/>
                <w:b/>
                <w:lang w:val="en-GB"/>
              </w:rPr>
            </w:pPr>
            <w:r w:rsidRPr="00855E7B">
              <w:rPr>
                <w:rFonts w:eastAsia="Cambria"/>
                <w:b/>
                <w:lang w:val="en-GB"/>
              </w:rPr>
              <w:t xml:space="preserve">Evaluation </w:t>
            </w:r>
            <w:r w:rsidR="00B63D42" w:rsidRPr="00855E7B">
              <w:rPr>
                <w:rFonts w:eastAsia="Cambria"/>
                <w:b/>
                <w:lang w:val="en-GB"/>
              </w:rPr>
              <w:t>q</w:t>
            </w:r>
            <w:r w:rsidRPr="00855E7B">
              <w:rPr>
                <w:rFonts w:eastAsia="Cambria"/>
                <w:b/>
                <w:lang w:val="en-GB"/>
              </w:rPr>
              <w:t xml:space="preserve">uality </w:t>
            </w:r>
            <w:r w:rsidR="00B63D42" w:rsidRPr="00855E7B">
              <w:rPr>
                <w:rFonts w:eastAsia="Cambria"/>
                <w:b/>
                <w:lang w:val="en-GB"/>
              </w:rPr>
              <w:t>s</w:t>
            </w:r>
            <w:r w:rsidRPr="00855E7B">
              <w:rPr>
                <w:rFonts w:eastAsia="Cambria"/>
                <w:b/>
                <w:lang w:val="en-GB"/>
              </w:rPr>
              <w:t xml:space="preserve">tandards </w:t>
            </w:r>
          </w:p>
        </w:tc>
      </w:tr>
      <w:tr w:rsidR="009F284A" w:rsidRPr="005F7014" w14:paraId="10CD023F" w14:textId="77777777" w:rsidTr="009F284A">
        <w:trPr>
          <w:gridAfter w:val="1"/>
          <w:wAfter w:w="13" w:type="pct"/>
          <w:trHeight w:val="290"/>
        </w:trPr>
        <w:tc>
          <w:tcPr>
            <w:tcW w:w="1006" w:type="pct"/>
            <w:vAlign w:val="center"/>
          </w:tcPr>
          <w:p w14:paraId="2F06FEC5" w14:textId="69C19EA3" w:rsidR="00E57F60" w:rsidRPr="009F284A" w:rsidRDefault="00E57F60" w:rsidP="009F284A">
            <w:pPr>
              <w:pStyle w:val="Tabletext0"/>
              <w:ind w:left="202" w:hanging="202"/>
              <w:rPr>
                <w:sz w:val="16"/>
                <w:szCs w:val="16"/>
                <w:lang w:val="en-GB"/>
              </w:rPr>
            </w:pPr>
            <w:r w:rsidRPr="009F284A">
              <w:rPr>
                <w:sz w:val="16"/>
                <w:szCs w:val="16"/>
                <w:lang w:val="en-GB"/>
              </w:rPr>
              <w:t>1.</w:t>
            </w:r>
            <w:r w:rsidR="00B63D42" w:rsidRPr="009F284A">
              <w:rPr>
                <w:sz w:val="16"/>
                <w:szCs w:val="16"/>
                <w:lang w:val="en-GB"/>
              </w:rPr>
              <w:t xml:space="preserve"> </w:t>
            </w:r>
            <w:r w:rsidRPr="009F284A">
              <w:rPr>
                <w:sz w:val="16"/>
                <w:szCs w:val="16"/>
                <w:lang w:val="en-GB"/>
              </w:rPr>
              <w:t>Purpose</w:t>
            </w:r>
          </w:p>
        </w:tc>
        <w:tc>
          <w:tcPr>
            <w:tcW w:w="265" w:type="pct"/>
            <w:vAlign w:val="center"/>
          </w:tcPr>
          <w:p w14:paraId="3A6884F6" w14:textId="77777777" w:rsidR="00E57F60" w:rsidRPr="009F284A" w:rsidRDefault="00E57F60" w:rsidP="00855E7B">
            <w:pPr>
              <w:pStyle w:val="Tabletext0"/>
              <w:rPr>
                <w:rFonts w:eastAsia="Cambria"/>
                <w:sz w:val="14"/>
                <w:szCs w:val="14"/>
                <w:lang w:val="en-GB"/>
              </w:rPr>
            </w:pPr>
            <w:r w:rsidRPr="009F284A">
              <w:rPr>
                <w:rFonts w:eastAsia="Cambria"/>
                <w:sz w:val="14"/>
                <w:szCs w:val="14"/>
                <w:lang w:val="en-GB"/>
              </w:rPr>
              <w:t>1</w:t>
            </w:r>
          </w:p>
        </w:tc>
        <w:tc>
          <w:tcPr>
            <w:tcW w:w="266" w:type="pct"/>
            <w:vAlign w:val="center"/>
          </w:tcPr>
          <w:p w14:paraId="56C1B073" w14:textId="77777777" w:rsidR="00E57F60" w:rsidRPr="009F284A" w:rsidRDefault="00E57F60" w:rsidP="00855E7B">
            <w:pPr>
              <w:pStyle w:val="Tabletext0"/>
              <w:rPr>
                <w:rFonts w:eastAsia="Cambria"/>
                <w:sz w:val="14"/>
                <w:szCs w:val="14"/>
                <w:lang w:val="en-GB"/>
              </w:rPr>
            </w:pPr>
          </w:p>
        </w:tc>
        <w:tc>
          <w:tcPr>
            <w:tcW w:w="266" w:type="pct"/>
            <w:vAlign w:val="center"/>
          </w:tcPr>
          <w:p w14:paraId="5F9B18DF" w14:textId="77777777" w:rsidR="00E57F60" w:rsidRPr="009F284A" w:rsidRDefault="00E57F60" w:rsidP="00855E7B">
            <w:pPr>
              <w:pStyle w:val="Tabletext0"/>
              <w:rPr>
                <w:rFonts w:eastAsia="Cambria"/>
                <w:sz w:val="14"/>
                <w:szCs w:val="14"/>
                <w:lang w:val="en-GB"/>
              </w:rPr>
            </w:pPr>
          </w:p>
        </w:tc>
        <w:tc>
          <w:tcPr>
            <w:tcW w:w="265" w:type="pct"/>
            <w:vAlign w:val="center"/>
          </w:tcPr>
          <w:p w14:paraId="5C160ED5" w14:textId="77777777" w:rsidR="00E57F60" w:rsidRPr="009F284A" w:rsidRDefault="00E57F60" w:rsidP="00855E7B">
            <w:pPr>
              <w:pStyle w:val="Tabletext0"/>
              <w:rPr>
                <w:rFonts w:eastAsia="Cambria"/>
                <w:sz w:val="14"/>
                <w:szCs w:val="14"/>
                <w:lang w:val="en-GB"/>
              </w:rPr>
            </w:pPr>
          </w:p>
        </w:tc>
        <w:tc>
          <w:tcPr>
            <w:tcW w:w="266" w:type="pct"/>
            <w:vAlign w:val="center"/>
          </w:tcPr>
          <w:p w14:paraId="5543E9D4" w14:textId="77777777" w:rsidR="00E57F60" w:rsidRPr="009F284A" w:rsidRDefault="00E57F60" w:rsidP="00855E7B">
            <w:pPr>
              <w:pStyle w:val="Tabletext0"/>
              <w:rPr>
                <w:rFonts w:eastAsia="Cambria"/>
                <w:sz w:val="14"/>
                <w:szCs w:val="14"/>
                <w:lang w:val="en-GB"/>
              </w:rPr>
            </w:pPr>
          </w:p>
        </w:tc>
        <w:tc>
          <w:tcPr>
            <w:tcW w:w="266" w:type="pct"/>
            <w:vAlign w:val="center"/>
          </w:tcPr>
          <w:p w14:paraId="296E4BCC" w14:textId="77777777" w:rsidR="00E57F60" w:rsidRPr="009F284A" w:rsidRDefault="00E57F60" w:rsidP="00855E7B">
            <w:pPr>
              <w:pStyle w:val="Tabletext0"/>
              <w:rPr>
                <w:rFonts w:eastAsia="Cambria"/>
                <w:sz w:val="14"/>
                <w:szCs w:val="14"/>
                <w:lang w:val="en-GB"/>
              </w:rPr>
            </w:pPr>
          </w:p>
        </w:tc>
        <w:tc>
          <w:tcPr>
            <w:tcW w:w="266" w:type="pct"/>
            <w:gridSpan w:val="2"/>
            <w:vAlign w:val="center"/>
          </w:tcPr>
          <w:p w14:paraId="075EAC87" w14:textId="77777777" w:rsidR="00E57F60" w:rsidRPr="009F284A" w:rsidRDefault="00E57F60" w:rsidP="00855E7B">
            <w:pPr>
              <w:pStyle w:val="Tabletext0"/>
              <w:rPr>
                <w:rFonts w:eastAsia="Cambria"/>
                <w:sz w:val="14"/>
                <w:szCs w:val="14"/>
                <w:lang w:val="en-GB"/>
              </w:rPr>
            </w:pPr>
          </w:p>
        </w:tc>
        <w:tc>
          <w:tcPr>
            <w:tcW w:w="265" w:type="pct"/>
            <w:gridSpan w:val="2"/>
            <w:vAlign w:val="center"/>
          </w:tcPr>
          <w:p w14:paraId="560D5B3B" w14:textId="77777777" w:rsidR="00E57F60" w:rsidRPr="009F284A" w:rsidRDefault="00E57F60" w:rsidP="00855E7B">
            <w:pPr>
              <w:pStyle w:val="Tabletext0"/>
              <w:rPr>
                <w:rFonts w:eastAsia="Cambria"/>
                <w:sz w:val="14"/>
                <w:szCs w:val="14"/>
                <w:lang w:val="en-GB"/>
              </w:rPr>
            </w:pPr>
          </w:p>
        </w:tc>
        <w:tc>
          <w:tcPr>
            <w:tcW w:w="266" w:type="pct"/>
            <w:gridSpan w:val="2"/>
            <w:vAlign w:val="center"/>
          </w:tcPr>
          <w:p w14:paraId="5971DC5F" w14:textId="77777777" w:rsidR="00E57F60" w:rsidRPr="009F284A" w:rsidRDefault="00E57F60" w:rsidP="00855E7B">
            <w:pPr>
              <w:pStyle w:val="Tabletext0"/>
              <w:rPr>
                <w:rFonts w:eastAsia="Cambria"/>
                <w:sz w:val="14"/>
                <w:szCs w:val="14"/>
                <w:lang w:val="en-GB"/>
              </w:rPr>
            </w:pPr>
          </w:p>
        </w:tc>
        <w:tc>
          <w:tcPr>
            <w:tcW w:w="266" w:type="pct"/>
            <w:gridSpan w:val="2"/>
            <w:vAlign w:val="center"/>
          </w:tcPr>
          <w:p w14:paraId="001FFE9C" w14:textId="77777777" w:rsidR="00E57F60" w:rsidRPr="009F284A" w:rsidRDefault="00E57F60" w:rsidP="00855E7B">
            <w:pPr>
              <w:pStyle w:val="Tabletext0"/>
              <w:rPr>
                <w:rFonts w:eastAsia="Cambria"/>
                <w:sz w:val="14"/>
                <w:szCs w:val="14"/>
                <w:lang w:val="en-GB"/>
              </w:rPr>
            </w:pPr>
          </w:p>
        </w:tc>
        <w:tc>
          <w:tcPr>
            <w:tcW w:w="266" w:type="pct"/>
            <w:gridSpan w:val="2"/>
            <w:vAlign w:val="center"/>
          </w:tcPr>
          <w:p w14:paraId="66774ED5" w14:textId="77777777" w:rsidR="00E57F60" w:rsidRPr="009F284A" w:rsidRDefault="00E57F60" w:rsidP="00855E7B">
            <w:pPr>
              <w:pStyle w:val="Tabletext0"/>
              <w:rPr>
                <w:rFonts w:eastAsia="Cambria"/>
                <w:sz w:val="14"/>
                <w:szCs w:val="14"/>
                <w:lang w:val="en-GB"/>
              </w:rPr>
            </w:pPr>
          </w:p>
        </w:tc>
        <w:tc>
          <w:tcPr>
            <w:tcW w:w="265" w:type="pct"/>
            <w:gridSpan w:val="2"/>
            <w:vAlign w:val="center"/>
          </w:tcPr>
          <w:p w14:paraId="0A182903" w14:textId="77777777" w:rsidR="00E57F60" w:rsidRPr="009F284A" w:rsidRDefault="00E57F60" w:rsidP="00855E7B">
            <w:pPr>
              <w:pStyle w:val="Tabletext0"/>
              <w:rPr>
                <w:rFonts w:eastAsia="Cambria"/>
                <w:sz w:val="14"/>
                <w:szCs w:val="14"/>
                <w:lang w:val="en-GB"/>
              </w:rPr>
            </w:pPr>
          </w:p>
        </w:tc>
        <w:tc>
          <w:tcPr>
            <w:tcW w:w="266" w:type="pct"/>
            <w:gridSpan w:val="2"/>
            <w:vAlign w:val="center"/>
          </w:tcPr>
          <w:p w14:paraId="5BE9FB9B" w14:textId="77777777" w:rsidR="00E57F60" w:rsidRPr="009F284A" w:rsidRDefault="00E57F60" w:rsidP="00855E7B">
            <w:pPr>
              <w:pStyle w:val="Tabletext0"/>
              <w:rPr>
                <w:rFonts w:eastAsia="Cambria"/>
                <w:sz w:val="14"/>
                <w:szCs w:val="14"/>
                <w:lang w:val="en-GB"/>
              </w:rPr>
            </w:pPr>
          </w:p>
        </w:tc>
        <w:tc>
          <w:tcPr>
            <w:tcW w:w="266" w:type="pct"/>
            <w:gridSpan w:val="2"/>
            <w:vAlign w:val="center"/>
          </w:tcPr>
          <w:p w14:paraId="3A6646E5" w14:textId="77777777" w:rsidR="00E57F60" w:rsidRPr="009F284A" w:rsidRDefault="00E57F60" w:rsidP="00855E7B">
            <w:pPr>
              <w:pStyle w:val="Tabletext0"/>
              <w:rPr>
                <w:rFonts w:eastAsia="Cambria"/>
                <w:sz w:val="14"/>
                <w:szCs w:val="14"/>
                <w:lang w:val="en-GB"/>
              </w:rPr>
            </w:pPr>
          </w:p>
        </w:tc>
        <w:tc>
          <w:tcPr>
            <w:tcW w:w="266" w:type="pct"/>
            <w:vAlign w:val="center"/>
          </w:tcPr>
          <w:p w14:paraId="00BA9404" w14:textId="77777777" w:rsidR="00E57F60" w:rsidRPr="009F284A" w:rsidRDefault="00E57F60" w:rsidP="00232477">
            <w:pPr>
              <w:autoSpaceDE w:val="0"/>
              <w:autoSpaceDN w:val="0"/>
              <w:adjustRightInd w:val="0"/>
              <w:spacing w:before="0" w:after="0" w:line="240" w:lineRule="auto"/>
              <w:jc w:val="right"/>
              <w:rPr>
                <w:rFonts w:eastAsia="Cambria" w:cs="Calibri"/>
                <w:sz w:val="14"/>
                <w:szCs w:val="14"/>
                <w:lang w:val="en-GB"/>
              </w:rPr>
            </w:pPr>
          </w:p>
        </w:tc>
      </w:tr>
      <w:tr w:rsidR="009F284A" w:rsidRPr="005F7014" w14:paraId="09F88EC7" w14:textId="77777777" w:rsidTr="009F284A">
        <w:trPr>
          <w:gridAfter w:val="1"/>
          <w:wAfter w:w="13" w:type="pct"/>
          <w:trHeight w:val="290"/>
        </w:trPr>
        <w:tc>
          <w:tcPr>
            <w:tcW w:w="1006" w:type="pct"/>
            <w:vAlign w:val="center"/>
          </w:tcPr>
          <w:p w14:paraId="23DBE57C" w14:textId="77777777" w:rsidR="00E57F60" w:rsidRPr="009F284A" w:rsidRDefault="00E57F60" w:rsidP="009F284A">
            <w:pPr>
              <w:pStyle w:val="Tabletext0"/>
              <w:ind w:left="202" w:hanging="202"/>
              <w:rPr>
                <w:sz w:val="16"/>
                <w:szCs w:val="16"/>
                <w:lang w:val="en-GB"/>
              </w:rPr>
            </w:pPr>
            <w:r w:rsidRPr="009F284A">
              <w:rPr>
                <w:sz w:val="16"/>
                <w:szCs w:val="16"/>
                <w:lang w:val="en-GB"/>
              </w:rPr>
              <w:t>2. Scope</w:t>
            </w:r>
          </w:p>
        </w:tc>
        <w:tc>
          <w:tcPr>
            <w:tcW w:w="265" w:type="pct"/>
            <w:vAlign w:val="center"/>
          </w:tcPr>
          <w:p w14:paraId="45FF86AC"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0.17</w:t>
            </w:r>
          </w:p>
        </w:tc>
        <w:tc>
          <w:tcPr>
            <w:tcW w:w="266" w:type="pct"/>
            <w:vAlign w:val="center"/>
          </w:tcPr>
          <w:p w14:paraId="76DE54A7"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1</w:t>
            </w:r>
          </w:p>
        </w:tc>
        <w:tc>
          <w:tcPr>
            <w:tcW w:w="266" w:type="pct"/>
            <w:vAlign w:val="center"/>
          </w:tcPr>
          <w:p w14:paraId="4A627CDC" w14:textId="77777777" w:rsidR="00E57F60" w:rsidRPr="009F284A" w:rsidRDefault="00E57F60" w:rsidP="00855E7B">
            <w:pPr>
              <w:pStyle w:val="Tabletext0"/>
              <w:rPr>
                <w:rFonts w:eastAsia="Cambria"/>
                <w:color w:val="auto"/>
                <w:sz w:val="14"/>
                <w:szCs w:val="14"/>
                <w:lang w:val="en-GB"/>
              </w:rPr>
            </w:pPr>
          </w:p>
        </w:tc>
        <w:tc>
          <w:tcPr>
            <w:tcW w:w="265" w:type="pct"/>
            <w:vAlign w:val="center"/>
          </w:tcPr>
          <w:p w14:paraId="3F5CD6DE" w14:textId="77777777" w:rsidR="00E57F60" w:rsidRPr="009F284A" w:rsidRDefault="00E57F60" w:rsidP="00855E7B">
            <w:pPr>
              <w:pStyle w:val="Tabletext0"/>
              <w:rPr>
                <w:rFonts w:eastAsia="Cambria"/>
                <w:color w:val="auto"/>
                <w:sz w:val="14"/>
                <w:szCs w:val="14"/>
                <w:lang w:val="en-GB"/>
              </w:rPr>
            </w:pPr>
          </w:p>
        </w:tc>
        <w:tc>
          <w:tcPr>
            <w:tcW w:w="266" w:type="pct"/>
            <w:vAlign w:val="center"/>
          </w:tcPr>
          <w:p w14:paraId="67ABDF68" w14:textId="77777777" w:rsidR="00E57F60" w:rsidRPr="009F284A" w:rsidRDefault="00E57F60" w:rsidP="00855E7B">
            <w:pPr>
              <w:pStyle w:val="Tabletext0"/>
              <w:rPr>
                <w:rFonts w:eastAsia="Cambria"/>
                <w:color w:val="auto"/>
                <w:sz w:val="14"/>
                <w:szCs w:val="14"/>
                <w:lang w:val="en-GB"/>
              </w:rPr>
            </w:pPr>
          </w:p>
        </w:tc>
        <w:tc>
          <w:tcPr>
            <w:tcW w:w="266" w:type="pct"/>
            <w:vAlign w:val="center"/>
          </w:tcPr>
          <w:p w14:paraId="47A6940A"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5C8A15C1" w14:textId="77777777" w:rsidR="00E57F60" w:rsidRPr="009F284A" w:rsidRDefault="00E57F60" w:rsidP="00855E7B">
            <w:pPr>
              <w:pStyle w:val="Tabletext0"/>
              <w:rPr>
                <w:rFonts w:eastAsia="Cambria"/>
                <w:color w:val="auto"/>
                <w:sz w:val="14"/>
                <w:szCs w:val="14"/>
                <w:lang w:val="en-GB"/>
              </w:rPr>
            </w:pPr>
          </w:p>
        </w:tc>
        <w:tc>
          <w:tcPr>
            <w:tcW w:w="265" w:type="pct"/>
            <w:gridSpan w:val="2"/>
            <w:vAlign w:val="center"/>
          </w:tcPr>
          <w:p w14:paraId="387169F3"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71FA6B23"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2EED1214"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57DB668D" w14:textId="77777777" w:rsidR="00E57F60" w:rsidRPr="009F284A" w:rsidRDefault="00E57F60" w:rsidP="00855E7B">
            <w:pPr>
              <w:pStyle w:val="Tabletext0"/>
              <w:rPr>
                <w:rFonts w:eastAsia="Cambria"/>
                <w:color w:val="auto"/>
                <w:sz w:val="14"/>
                <w:szCs w:val="14"/>
                <w:lang w:val="en-GB"/>
              </w:rPr>
            </w:pPr>
          </w:p>
        </w:tc>
        <w:tc>
          <w:tcPr>
            <w:tcW w:w="265" w:type="pct"/>
            <w:gridSpan w:val="2"/>
            <w:vAlign w:val="center"/>
          </w:tcPr>
          <w:p w14:paraId="16FA0E89"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120C530C"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7DDAAC74" w14:textId="77777777" w:rsidR="00E57F60" w:rsidRPr="009F284A" w:rsidRDefault="00E57F60" w:rsidP="00855E7B">
            <w:pPr>
              <w:pStyle w:val="Tabletext0"/>
              <w:rPr>
                <w:rFonts w:eastAsia="Cambria"/>
                <w:color w:val="auto"/>
                <w:sz w:val="14"/>
                <w:szCs w:val="14"/>
                <w:lang w:val="en-GB"/>
              </w:rPr>
            </w:pPr>
          </w:p>
        </w:tc>
        <w:tc>
          <w:tcPr>
            <w:tcW w:w="266" w:type="pct"/>
            <w:vAlign w:val="center"/>
          </w:tcPr>
          <w:p w14:paraId="4916C7B7" w14:textId="77777777" w:rsidR="00E57F60" w:rsidRPr="009F284A" w:rsidRDefault="00E57F60" w:rsidP="00232477">
            <w:pPr>
              <w:autoSpaceDE w:val="0"/>
              <w:autoSpaceDN w:val="0"/>
              <w:adjustRightInd w:val="0"/>
              <w:spacing w:before="0" w:after="0" w:line="240" w:lineRule="auto"/>
              <w:jc w:val="right"/>
              <w:rPr>
                <w:rFonts w:eastAsia="Cambria" w:cs="Calibri"/>
                <w:sz w:val="14"/>
                <w:szCs w:val="14"/>
                <w:lang w:val="en-GB"/>
              </w:rPr>
            </w:pPr>
          </w:p>
        </w:tc>
      </w:tr>
      <w:tr w:rsidR="009F284A" w:rsidRPr="005F7014" w14:paraId="00E3F57E" w14:textId="77777777" w:rsidTr="009F284A">
        <w:trPr>
          <w:gridAfter w:val="1"/>
          <w:wAfter w:w="13" w:type="pct"/>
          <w:trHeight w:val="290"/>
        </w:trPr>
        <w:tc>
          <w:tcPr>
            <w:tcW w:w="1006" w:type="pct"/>
            <w:vAlign w:val="center"/>
          </w:tcPr>
          <w:p w14:paraId="1F8A0CDC" w14:textId="77777777" w:rsidR="00E57F60" w:rsidRPr="009F284A" w:rsidRDefault="00E57F60" w:rsidP="009F284A">
            <w:pPr>
              <w:pStyle w:val="Tabletext0"/>
              <w:ind w:left="202" w:hanging="202"/>
              <w:rPr>
                <w:sz w:val="16"/>
                <w:szCs w:val="16"/>
                <w:lang w:val="en-GB"/>
              </w:rPr>
            </w:pPr>
            <w:r w:rsidRPr="009F284A">
              <w:rPr>
                <w:sz w:val="16"/>
                <w:szCs w:val="16"/>
                <w:lang w:val="en-GB"/>
              </w:rPr>
              <w:t xml:space="preserve">3. </w:t>
            </w:r>
            <w:r w:rsidR="00D91598" w:rsidRPr="009F284A">
              <w:rPr>
                <w:sz w:val="16"/>
                <w:szCs w:val="16"/>
                <w:lang w:val="en-GB"/>
              </w:rPr>
              <w:t>Assessment of i</w:t>
            </w:r>
            <w:r w:rsidRPr="009F284A">
              <w:rPr>
                <w:sz w:val="16"/>
                <w:szCs w:val="16"/>
                <w:lang w:val="en-GB"/>
              </w:rPr>
              <w:t xml:space="preserve">ntervention </w:t>
            </w:r>
            <w:r w:rsidR="00D91598" w:rsidRPr="009F284A">
              <w:rPr>
                <w:sz w:val="16"/>
                <w:szCs w:val="16"/>
                <w:lang w:val="en-GB"/>
              </w:rPr>
              <w:t>l</w:t>
            </w:r>
            <w:r w:rsidRPr="009F284A">
              <w:rPr>
                <w:sz w:val="16"/>
                <w:szCs w:val="16"/>
                <w:lang w:val="en-GB"/>
              </w:rPr>
              <w:t>ogic</w:t>
            </w:r>
          </w:p>
        </w:tc>
        <w:tc>
          <w:tcPr>
            <w:tcW w:w="265" w:type="pct"/>
            <w:vAlign w:val="center"/>
          </w:tcPr>
          <w:p w14:paraId="0E1C1FFA"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0.36</w:t>
            </w:r>
          </w:p>
        </w:tc>
        <w:tc>
          <w:tcPr>
            <w:tcW w:w="266" w:type="pct"/>
            <w:vAlign w:val="center"/>
          </w:tcPr>
          <w:p w14:paraId="68037B4E"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0.27</w:t>
            </w:r>
          </w:p>
        </w:tc>
        <w:tc>
          <w:tcPr>
            <w:tcW w:w="266" w:type="pct"/>
            <w:vAlign w:val="center"/>
          </w:tcPr>
          <w:p w14:paraId="689E5618"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1</w:t>
            </w:r>
          </w:p>
        </w:tc>
        <w:tc>
          <w:tcPr>
            <w:tcW w:w="265" w:type="pct"/>
            <w:vAlign w:val="center"/>
          </w:tcPr>
          <w:p w14:paraId="1D59D31A" w14:textId="77777777" w:rsidR="00E57F60" w:rsidRPr="009F284A" w:rsidRDefault="00E57F60" w:rsidP="00855E7B">
            <w:pPr>
              <w:pStyle w:val="Tabletext0"/>
              <w:rPr>
                <w:rFonts w:eastAsia="Cambria"/>
                <w:color w:val="auto"/>
                <w:sz w:val="14"/>
                <w:szCs w:val="14"/>
                <w:lang w:val="en-GB"/>
              </w:rPr>
            </w:pPr>
          </w:p>
        </w:tc>
        <w:tc>
          <w:tcPr>
            <w:tcW w:w="266" w:type="pct"/>
            <w:vAlign w:val="center"/>
          </w:tcPr>
          <w:p w14:paraId="1A045401" w14:textId="77777777" w:rsidR="00E57F60" w:rsidRPr="009F284A" w:rsidRDefault="00E57F60" w:rsidP="00855E7B">
            <w:pPr>
              <w:pStyle w:val="Tabletext0"/>
              <w:rPr>
                <w:rFonts w:eastAsia="Cambria"/>
                <w:color w:val="auto"/>
                <w:sz w:val="14"/>
                <w:szCs w:val="14"/>
                <w:lang w:val="en-GB"/>
              </w:rPr>
            </w:pPr>
          </w:p>
        </w:tc>
        <w:tc>
          <w:tcPr>
            <w:tcW w:w="266" w:type="pct"/>
            <w:vAlign w:val="center"/>
          </w:tcPr>
          <w:p w14:paraId="33176FBF"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2526D3DF" w14:textId="77777777" w:rsidR="00E57F60" w:rsidRPr="009F284A" w:rsidRDefault="00E57F60" w:rsidP="00855E7B">
            <w:pPr>
              <w:pStyle w:val="Tabletext0"/>
              <w:rPr>
                <w:rFonts w:eastAsia="Cambria"/>
                <w:color w:val="auto"/>
                <w:sz w:val="14"/>
                <w:szCs w:val="14"/>
                <w:lang w:val="en-GB"/>
              </w:rPr>
            </w:pPr>
          </w:p>
        </w:tc>
        <w:tc>
          <w:tcPr>
            <w:tcW w:w="265" w:type="pct"/>
            <w:gridSpan w:val="2"/>
            <w:vAlign w:val="center"/>
          </w:tcPr>
          <w:p w14:paraId="5D9AD18D"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1765E943"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3BB27D6A"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49822FB0" w14:textId="77777777" w:rsidR="00E57F60" w:rsidRPr="009F284A" w:rsidRDefault="00E57F60" w:rsidP="00855E7B">
            <w:pPr>
              <w:pStyle w:val="Tabletext0"/>
              <w:rPr>
                <w:rFonts w:eastAsia="Cambria"/>
                <w:color w:val="auto"/>
                <w:sz w:val="14"/>
                <w:szCs w:val="14"/>
                <w:lang w:val="en-GB"/>
              </w:rPr>
            </w:pPr>
          </w:p>
        </w:tc>
        <w:tc>
          <w:tcPr>
            <w:tcW w:w="265" w:type="pct"/>
            <w:gridSpan w:val="2"/>
            <w:vAlign w:val="center"/>
          </w:tcPr>
          <w:p w14:paraId="226C4729"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2EF2A9AA"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2E63BA52" w14:textId="77777777" w:rsidR="00E57F60" w:rsidRPr="009F284A" w:rsidRDefault="00E57F60" w:rsidP="00855E7B">
            <w:pPr>
              <w:pStyle w:val="Tabletext0"/>
              <w:rPr>
                <w:rFonts w:eastAsia="Cambria"/>
                <w:color w:val="auto"/>
                <w:sz w:val="14"/>
                <w:szCs w:val="14"/>
                <w:lang w:val="en-GB"/>
              </w:rPr>
            </w:pPr>
          </w:p>
        </w:tc>
        <w:tc>
          <w:tcPr>
            <w:tcW w:w="266" w:type="pct"/>
            <w:vAlign w:val="center"/>
          </w:tcPr>
          <w:p w14:paraId="42EFB448" w14:textId="77777777" w:rsidR="00E57F60" w:rsidRPr="009F284A" w:rsidRDefault="00E57F60" w:rsidP="00232477">
            <w:pPr>
              <w:autoSpaceDE w:val="0"/>
              <w:autoSpaceDN w:val="0"/>
              <w:adjustRightInd w:val="0"/>
              <w:spacing w:before="0" w:after="0" w:line="240" w:lineRule="auto"/>
              <w:jc w:val="right"/>
              <w:rPr>
                <w:rFonts w:eastAsia="Cambria" w:cs="Calibri"/>
                <w:sz w:val="14"/>
                <w:szCs w:val="14"/>
                <w:lang w:val="en-GB"/>
              </w:rPr>
            </w:pPr>
          </w:p>
        </w:tc>
      </w:tr>
      <w:tr w:rsidR="009F284A" w:rsidRPr="005F7014" w14:paraId="6D42398A" w14:textId="77777777" w:rsidTr="009F284A">
        <w:trPr>
          <w:gridAfter w:val="1"/>
          <w:wAfter w:w="13" w:type="pct"/>
          <w:trHeight w:val="290"/>
        </w:trPr>
        <w:tc>
          <w:tcPr>
            <w:tcW w:w="1006" w:type="pct"/>
            <w:vAlign w:val="center"/>
          </w:tcPr>
          <w:p w14:paraId="444D9341" w14:textId="77777777" w:rsidR="00E57F60" w:rsidRPr="009F284A" w:rsidRDefault="00E57F60" w:rsidP="009F284A">
            <w:pPr>
              <w:pStyle w:val="Tabletext0"/>
              <w:ind w:left="202" w:hanging="202"/>
              <w:rPr>
                <w:sz w:val="16"/>
                <w:szCs w:val="16"/>
                <w:lang w:val="en-GB"/>
              </w:rPr>
            </w:pPr>
            <w:r w:rsidRPr="009F284A">
              <w:rPr>
                <w:sz w:val="16"/>
                <w:szCs w:val="16"/>
                <w:lang w:val="en-GB"/>
              </w:rPr>
              <w:t>4. Methodology</w:t>
            </w:r>
          </w:p>
        </w:tc>
        <w:tc>
          <w:tcPr>
            <w:tcW w:w="265" w:type="pct"/>
            <w:shd w:val="clear" w:color="CCFFCC" w:fill="DAEEF3" w:themeFill="accent5" w:themeFillTint="33"/>
            <w:vAlign w:val="center"/>
          </w:tcPr>
          <w:p w14:paraId="6F16EC18"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0.43</w:t>
            </w:r>
          </w:p>
        </w:tc>
        <w:tc>
          <w:tcPr>
            <w:tcW w:w="266" w:type="pct"/>
            <w:shd w:val="clear" w:color="CCFFCC" w:fill="DAEEF3" w:themeFill="accent5" w:themeFillTint="33"/>
            <w:vAlign w:val="center"/>
          </w:tcPr>
          <w:p w14:paraId="5D6C44F6"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0.41</w:t>
            </w:r>
          </w:p>
        </w:tc>
        <w:tc>
          <w:tcPr>
            <w:tcW w:w="266" w:type="pct"/>
            <w:vAlign w:val="center"/>
          </w:tcPr>
          <w:p w14:paraId="1D9E6F1B"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0.33</w:t>
            </w:r>
          </w:p>
        </w:tc>
        <w:tc>
          <w:tcPr>
            <w:tcW w:w="265" w:type="pct"/>
            <w:vAlign w:val="center"/>
          </w:tcPr>
          <w:p w14:paraId="62191B33"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1</w:t>
            </w:r>
          </w:p>
        </w:tc>
        <w:tc>
          <w:tcPr>
            <w:tcW w:w="266" w:type="pct"/>
            <w:vAlign w:val="center"/>
          </w:tcPr>
          <w:p w14:paraId="78355CCC" w14:textId="77777777" w:rsidR="00E57F60" w:rsidRPr="009F284A" w:rsidRDefault="00E57F60" w:rsidP="00855E7B">
            <w:pPr>
              <w:pStyle w:val="Tabletext0"/>
              <w:rPr>
                <w:rFonts w:eastAsia="Cambria"/>
                <w:color w:val="auto"/>
                <w:sz w:val="14"/>
                <w:szCs w:val="14"/>
                <w:lang w:val="en-GB"/>
              </w:rPr>
            </w:pPr>
          </w:p>
        </w:tc>
        <w:tc>
          <w:tcPr>
            <w:tcW w:w="266" w:type="pct"/>
            <w:vAlign w:val="center"/>
          </w:tcPr>
          <w:p w14:paraId="3236062E"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5D97E727" w14:textId="77777777" w:rsidR="00E57F60" w:rsidRPr="009F284A" w:rsidRDefault="00E57F60" w:rsidP="00855E7B">
            <w:pPr>
              <w:pStyle w:val="Tabletext0"/>
              <w:rPr>
                <w:rFonts w:eastAsia="Cambria"/>
                <w:color w:val="auto"/>
                <w:sz w:val="14"/>
                <w:szCs w:val="14"/>
                <w:lang w:val="en-GB"/>
              </w:rPr>
            </w:pPr>
          </w:p>
        </w:tc>
        <w:tc>
          <w:tcPr>
            <w:tcW w:w="265" w:type="pct"/>
            <w:gridSpan w:val="2"/>
            <w:vAlign w:val="center"/>
          </w:tcPr>
          <w:p w14:paraId="278BB835"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36269874"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01B373C2"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5C6C963E" w14:textId="77777777" w:rsidR="00E57F60" w:rsidRPr="009F284A" w:rsidRDefault="00E57F60" w:rsidP="00855E7B">
            <w:pPr>
              <w:pStyle w:val="Tabletext0"/>
              <w:rPr>
                <w:rFonts w:eastAsia="Cambria"/>
                <w:color w:val="auto"/>
                <w:sz w:val="14"/>
                <w:szCs w:val="14"/>
                <w:lang w:val="en-GB"/>
              </w:rPr>
            </w:pPr>
          </w:p>
        </w:tc>
        <w:tc>
          <w:tcPr>
            <w:tcW w:w="265" w:type="pct"/>
            <w:gridSpan w:val="2"/>
            <w:vAlign w:val="center"/>
          </w:tcPr>
          <w:p w14:paraId="4CCCAE47"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6346BDE5"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2BEFEDCF" w14:textId="77777777" w:rsidR="00E57F60" w:rsidRPr="009F284A" w:rsidRDefault="00E57F60" w:rsidP="00855E7B">
            <w:pPr>
              <w:pStyle w:val="Tabletext0"/>
              <w:rPr>
                <w:rFonts w:eastAsia="Cambria"/>
                <w:color w:val="auto"/>
                <w:sz w:val="14"/>
                <w:szCs w:val="14"/>
                <w:lang w:val="en-GB"/>
              </w:rPr>
            </w:pPr>
          </w:p>
        </w:tc>
        <w:tc>
          <w:tcPr>
            <w:tcW w:w="266" w:type="pct"/>
            <w:vAlign w:val="center"/>
          </w:tcPr>
          <w:p w14:paraId="2E82DC17" w14:textId="77777777" w:rsidR="00E57F60" w:rsidRPr="009F284A" w:rsidRDefault="00E57F60" w:rsidP="00232477">
            <w:pPr>
              <w:autoSpaceDE w:val="0"/>
              <w:autoSpaceDN w:val="0"/>
              <w:adjustRightInd w:val="0"/>
              <w:spacing w:before="0" w:after="0" w:line="240" w:lineRule="auto"/>
              <w:jc w:val="right"/>
              <w:rPr>
                <w:rFonts w:eastAsia="Cambria" w:cs="Calibri"/>
                <w:sz w:val="14"/>
                <w:szCs w:val="14"/>
                <w:lang w:val="en-GB"/>
              </w:rPr>
            </w:pPr>
          </w:p>
        </w:tc>
      </w:tr>
      <w:tr w:rsidR="009F284A" w:rsidRPr="005F7014" w14:paraId="74BEBC32" w14:textId="77777777" w:rsidTr="009F284A">
        <w:trPr>
          <w:gridAfter w:val="1"/>
          <w:wAfter w:w="13" w:type="pct"/>
          <w:trHeight w:val="290"/>
        </w:trPr>
        <w:tc>
          <w:tcPr>
            <w:tcW w:w="1006" w:type="pct"/>
            <w:vAlign w:val="center"/>
          </w:tcPr>
          <w:p w14:paraId="20A66583" w14:textId="77777777" w:rsidR="00E57F60" w:rsidRPr="009F284A" w:rsidRDefault="00E57F60" w:rsidP="009F284A">
            <w:pPr>
              <w:pStyle w:val="Tabletext0"/>
              <w:ind w:left="202" w:hanging="202"/>
              <w:rPr>
                <w:sz w:val="16"/>
                <w:szCs w:val="16"/>
                <w:lang w:val="en-GB"/>
              </w:rPr>
            </w:pPr>
            <w:r w:rsidRPr="009F284A">
              <w:rPr>
                <w:sz w:val="16"/>
                <w:szCs w:val="16"/>
                <w:lang w:val="en-GB"/>
              </w:rPr>
              <w:t>5. M&amp;E</w:t>
            </w:r>
          </w:p>
        </w:tc>
        <w:tc>
          <w:tcPr>
            <w:tcW w:w="265" w:type="pct"/>
            <w:vAlign w:val="center"/>
          </w:tcPr>
          <w:p w14:paraId="2A91082A"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0.16</w:t>
            </w:r>
          </w:p>
        </w:tc>
        <w:tc>
          <w:tcPr>
            <w:tcW w:w="266" w:type="pct"/>
            <w:vAlign w:val="center"/>
          </w:tcPr>
          <w:p w14:paraId="18F3083B"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0.25</w:t>
            </w:r>
          </w:p>
        </w:tc>
        <w:tc>
          <w:tcPr>
            <w:tcW w:w="266" w:type="pct"/>
            <w:vAlign w:val="center"/>
          </w:tcPr>
          <w:p w14:paraId="3E8F7229"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0.27</w:t>
            </w:r>
          </w:p>
        </w:tc>
        <w:tc>
          <w:tcPr>
            <w:tcW w:w="265" w:type="pct"/>
            <w:vAlign w:val="center"/>
          </w:tcPr>
          <w:p w14:paraId="201B679D"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0.33</w:t>
            </w:r>
          </w:p>
        </w:tc>
        <w:tc>
          <w:tcPr>
            <w:tcW w:w="266" w:type="pct"/>
            <w:vAlign w:val="center"/>
          </w:tcPr>
          <w:p w14:paraId="5662A7E8"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1</w:t>
            </w:r>
          </w:p>
        </w:tc>
        <w:tc>
          <w:tcPr>
            <w:tcW w:w="266" w:type="pct"/>
            <w:vAlign w:val="center"/>
          </w:tcPr>
          <w:p w14:paraId="21D06020"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5204743B" w14:textId="77777777" w:rsidR="00E57F60" w:rsidRPr="009F284A" w:rsidRDefault="00E57F60" w:rsidP="00855E7B">
            <w:pPr>
              <w:pStyle w:val="Tabletext0"/>
              <w:rPr>
                <w:rFonts w:eastAsia="Cambria"/>
                <w:color w:val="auto"/>
                <w:sz w:val="14"/>
                <w:szCs w:val="14"/>
                <w:lang w:val="en-GB"/>
              </w:rPr>
            </w:pPr>
          </w:p>
        </w:tc>
        <w:tc>
          <w:tcPr>
            <w:tcW w:w="265" w:type="pct"/>
            <w:gridSpan w:val="2"/>
            <w:vAlign w:val="center"/>
          </w:tcPr>
          <w:p w14:paraId="0FEBD5A7"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65700F74"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170DC04A"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0596A6FC" w14:textId="77777777" w:rsidR="00E57F60" w:rsidRPr="009F284A" w:rsidRDefault="00E57F60" w:rsidP="00855E7B">
            <w:pPr>
              <w:pStyle w:val="Tabletext0"/>
              <w:rPr>
                <w:rFonts w:eastAsia="Cambria"/>
                <w:color w:val="auto"/>
                <w:sz w:val="14"/>
                <w:szCs w:val="14"/>
                <w:lang w:val="en-GB"/>
              </w:rPr>
            </w:pPr>
          </w:p>
        </w:tc>
        <w:tc>
          <w:tcPr>
            <w:tcW w:w="265" w:type="pct"/>
            <w:gridSpan w:val="2"/>
            <w:vAlign w:val="center"/>
          </w:tcPr>
          <w:p w14:paraId="7F90CBB0"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70E31D57"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53E97CEE" w14:textId="77777777" w:rsidR="00E57F60" w:rsidRPr="009F284A" w:rsidRDefault="00E57F60" w:rsidP="00855E7B">
            <w:pPr>
              <w:pStyle w:val="Tabletext0"/>
              <w:rPr>
                <w:rFonts w:eastAsia="Cambria"/>
                <w:color w:val="auto"/>
                <w:sz w:val="14"/>
                <w:szCs w:val="14"/>
                <w:lang w:val="en-GB"/>
              </w:rPr>
            </w:pPr>
          </w:p>
        </w:tc>
        <w:tc>
          <w:tcPr>
            <w:tcW w:w="266" w:type="pct"/>
            <w:vAlign w:val="center"/>
          </w:tcPr>
          <w:p w14:paraId="3F6A86B6" w14:textId="77777777" w:rsidR="00E57F60" w:rsidRPr="009F284A" w:rsidRDefault="00E57F60" w:rsidP="00232477">
            <w:pPr>
              <w:autoSpaceDE w:val="0"/>
              <w:autoSpaceDN w:val="0"/>
              <w:adjustRightInd w:val="0"/>
              <w:spacing w:before="0" w:after="0" w:line="240" w:lineRule="auto"/>
              <w:jc w:val="right"/>
              <w:rPr>
                <w:rFonts w:eastAsia="Cambria" w:cs="Calibri"/>
                <w:sz w:val="14"/>
                <w:szCs w:val="14"/>
                <w:lang w:val="en-GB"/>
              </w:rPr>
            </w:pPr>
          </w:p>
        </w:tc>
      </w:tr>
      <w:tr w:rsidR="009F284A" w:rsidRPr="005F7014" w14:paraId="2C39790B" w14:textId="77777777" w:rsidTr="009F284A">
        <w:trPr>
          <w:gridAfter w:val="1"/>
          <w:wAfter w:w="13" w:type="pct"/>
          <w:trHeight w:val="290"/>
        </w:trPr>
        <w:tc>
          <w:tcPr>
            <w:tcW w:w="1006" w:type="pct"/>
            <w:vAlign w:val="center"/>
          </w:tcPr>
          <w:p w14:paraId="5446C053" w14:textId="77777777" w:rsidR="00E57F60" w:rsidRPr="009F284A" w:rsidRDefault="00E57F60" w:rsidP="009F284A">
            <w:pPr>
              <w:pStyle w:val="Tabletext0"/>
              <w:ind w:left="202" w:hanging="202"/>
              <w:rPr>
                <w:sz w:val="16"/>
                <w:szCs w:val="16"/>
                <w:lang w:val="en-GB"/>
              </w:rPr>
            </w:pPr>
            <w:r w:rsidRPr="009F284A">
              <w:rPr>
                <w:sz w:val="16"/>
                <w:szCs w:val="16"/>
                <w:lang w:val="en-GB"/>
              </w:rPr>
              <w:t>6. Context</w:t>
            </w:r>
          </w:p>
        </w:tc>
        <w:tc>
          <w:tcPr>
            <w:tcW w:w="265" w:type="pct"/>
            <w:vAlign w:val="center"/>
          </w:tcPr>
          <w:p w14:paraId="394D1B3A"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0.28</w:t>
            </w:r>
          </w:p>
        </w:tc>
        <w:tc>
          <w:tcPr>
            <w:tcW w:w="266" w:type="pct"/>
            <w:vAlign w:val="center"/>
          </w:tcPr>
          <w:p w14:paraId="5E1A4933"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0.23</w:t>
            </w:r>
          </w:p>
        </w:tc>
        <w:tc>
          <w:tcPr>
            <w:tcW w:w="266" w:type="pct"/>
            <w:vAlign w:val="center"/>
          </w:tcPr>
          <w:p w14:paraId="31770E28"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0.38</w:t>
            </w:r>
          </w:p>
        </w:tc>
        <w:tc>
          <w:tcPr>
            <w:tcW w:w="265" w:type="pct"/>
            <w:vAlign w:val="center"/>
          </w:tcPr>
          <w:p w14:paraId="3F66EC33"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0.33</w:t>
            </w:r>
          </w:p>
        </w:tc>
        <w:tc>
          <w:tcPr>
            <w:tcW w:w="266" w:type="pct"/>
            <w:vAlign w:val="center"/>
          </w:tcPr>
          <w:p w14:paraId="6A8027EF"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0.24</w:t>
            </w:r>
          </w:p>
        </w:tc>
        <w:tc>
          <w:tcPr>
            <w:tcW w:w="266" w:type="pct"/>
            <w:vAlign w:val="center"/>
          </w:tcPr>
          <w:p w14:paraId="5188D9A2"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1</w:t>
            </w:r>
          </w:p>
        </w:tc>
        <w:tc>
          <w:tcPr>
            <w:tcW w:w="266" w:type="pct"/>
            <w:gridSpan w:val="2"/>
            <w:vAlign w:val="center"/>
          </w:tcPr>
          <w:p w14:paraId="0A120594" w14:textId="77777777" w:rsidR="00E57F60" w:rsidRPr="009F284A" w:rsidRDefault="00E57F60" w:rsidP="00855E7B">
            <w:pPr>
              <w:pStyle w:val="Tabletext0"/>
              <w:rPr>
                <w:rFonts w:eastAsia="Cambria"/>
                <w:color w:val="auto"/>
                <w:sz w:val="14"/>
                <w:szCs w:val="14"/>
                <w:lang w:val="en-GB"/>
              </w:rPr>
            </w:pPr>
          </w:p>
        </w:tc>
        <w:tc>
          <w:tcPr>
            <w:tcW w:w="265" w:type="pct"/>
            <w:gridSpan w:val="2"/>
            <w:vAlign w:val="center"/>
          </w:tcPr>
          <w:p w14:paraId="706CBD8E"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16B0D2AC"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188EBB1F"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36AD554D" w14:textId="77777777" w:rsidR="00E57F60" w:rsidRPr="009F284A" w:rsidRDefault="00E57F60" w:rsidP="00855E7B">
            <w:pPr>
              <w:pStyle w:val="Tabletext0"/>
              <w:rPr>
                <w:rFonts w:eastAsia="Cambria"/>
                <w:color w:val="auto"/>
                <w:sz w:val="14"/>
                <w:szCs w:val="14"/>
                <w:lang w:val="en-GB"/>
              </w:rPr>
            </w:pPr>
          </w:p>
        </w:tc>
        <w:tc>
          <w:tcPr>
            <w:tcW w:w="265" w:type="pct"/>
            <w:gridSpan w:val="2"/>
            <w:vAlign w:val="center"/>
          </w:tcPr>
          <w:p w14:paraId="32AE37ED"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60A4477A"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1956FEFF" w14:textId="77777777" w:rsidR="00E57F60" w:rsidRPr="009F284A" w:rsidRDefault="00E57F60" w:rsidP="00855E7B">
            <w:pPr>
              <w:pStyle w:val="Tabletext0"/>
              <w:rPr>
                <w:rFonts w:eastAsia="Cambria"/>
                <w:color w:val="auto"/>
                <w:sz w:val="14"/>
                <w:szCs w:val="14"/>
                <w:lang w:val="en-GB"/>
              </w:rPr>
            </w:pPr>
          </w:p>
        </w:tc>
        <w:tc>
          <w:tcPr>
            <w:tcW w:w="266" w:type="pct"/>
            <w:vAlign w:val="center"/>
          </w:tcPr>
          <w:p w14:paraId="398130CA" w14:textId="77777777" w:rsidR="00E57F60" w:rsidRPr="009F284A" w:rsidRDefault="00E57F60" w:rsidP="00232477">
            <w:pPr>
              <w:autoSpaceDE w:val="0"/>
              <w:autoSpaceDN w:val="0"/>
              <w:adjustRightInd w:val="0"/>
              <w:spacing w:before="0" w:after="0" w:line="240" w:lineRule="auto"/>
              <w:jc w:val="right"/>
              <w:rPr>
                <w:rFonts w:eastAsia="Cambria" w:cs="Calibri"/>
                <w:sz w:val="14"/>
                <w:szCs w:val="14"/>
                <w:lang w:val="en-GB"/>
              </w:rPr>
            </w:pPr>
          </w:p>
        </w:tc>
      </w:tr>
      <w:tr w:rsidR="009F284A" w:rsidRPr="005F7014" w14:paraId="680C9AC2" w14:textId="77777777" w:rsidTr="009F284A">
        <w:trPr>
          <w:gridAfter w:val="1"/>
          <w:wAfter w:w="13" w:type="pct"/>
          <w:trHeight w:val="305"/>
        </w:trPr>
        <w:tc>
          <w:tcPr>
            <w:tcW w:w="1006" w:type="pct"/>
            <w:vAlign w:val="center"/>
          </w:tcPr>
          <w:p w14:paraId="33E575A9" w14:textId="77777777" w:rsidR="00E57F60" w:rsidRPr="009F284A" w:rsidRDefault="00E57F60" w:rsidP="009F284A">
            <w:pPr>
              <w:pStyle w:val="Tabletext0"/>
              <w:ind w:left="202" w:hanging="202"/>
              <w:rPr>
                <w:sz w:val="16"/>
                <w:szCs w:val="16"/>
                <w:lang w:val="en-GB"/>
              </w:rPr>
            </w:pPr>
            <w:r w:rsidRPr="009F284A">
              <w:rPr>
                <w:sz w:val="16"/>
                <w:szCs w:val="16"/>
                <w:lang w:val="en-GB"/>
              </w:rPr>
              <w:t>7. Evaluation questions</w:t>
            </w:r>
            <w:r w:rsidR="00D91598" w:rsidRPr="009F284A">
              <w:rPr>
                <w:sz w:val="16"/>
                <w:szCs w:val="16"/>
                <w:lang w:val="en-GB"/>
              </w:rPr>
              <w:t xml:space="preserve"> &amp; criteria</w:t>
            </w:r>
          </w:p>
        </w:tc>
        <w:tc>
          <w:tcPr>
            <w:tcW w:w="265" w:type="pct"/>
            <w:vAlign w:val="center"/>
          </w:tcPr>
          <w:p w14:paraId="04DFA5FF"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0.31</w:t>
            </w:r>
          </w:p>
        </w:tc>
        <w:tc>
          <w:tcPr>
            <w:tcW w:w="266" w:type="pct"/>
            <w:vAlign w:val="center"/>
          </w:tcPr>
          <w:p w14:paraId="12EFD3B3"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0.18</w:t>
            </w:r>
          </w:p>
        </w:tc>
        <w:tc>
          <w:tcPr>
            <w:tcW w:w="266" w:type="pct"/>
            <w:vAlign w:val="center"/>
          </w:tcPr>
          <w:p w14:paraId="15992603"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0.25</w:t>
            </w:r>
          </w:p>
        </w:tc>
        <w:tc>
          <w:tcPr>
            <w:tcW w:w="265" w:type="pct"/>
            <w:vAlign w:val="center"/>
          </w:tcPr>
          <w:p w14:paraId="2F540C78"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0.35</w:t>
            </w:r>
          </w:p>
        </w:tc>
        <w:tc>
          <w:tcPr>
            <w:tcW w:w="266" w:type="pct"/>
            <w:vAlign w:val="center"/>
          </w:tcPr>
          <w:p w14:paraId="466F2718"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0.33</w:t>
            </w:r>
          </w:p>
        </w:tc>
        <w:tc>
          <w:tcPr>
            <w:tcW w:w="266" w:type="pct"/>
            <w:vAlign w:val="center"/>
          </w:tcPr>
          <w:p w14:paraId="313B92D8"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0.36</w:t>
            </w:r>
          </w:p>
        </w:tc>
        <w:tc>
          <w:tcPr>
            <w:tcW w:w="266" w:type="pct"/>
            <w:gridSpan w:val="2"/>
            <w:vAlign w:val="center"/>
          </w:tcPr>
          <w:p w14:paraId="557D3B1D"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1</w:t>
            </w:r>
          </w:p>
        </w:tc>
        <w:tc>
          <w:tcPr>
            <w:tcW w:w="265" w:type="pct"/>
            <w:gridSpan w:val="2"/>
            <w:vAlign w:val="center"/>
          </w:tcPr>
          <w:p w14:paraId="4051AEC9"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18AB3A66"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7BEC2BAD"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2E5476C6" w14:textId="77777777" w:rsidR="00E57F60" w:rsidRPr="009F284A" w:rsidRDefault="00E57F60" w:rsidP="00855E7B">
            <w:pPr>
              <w:pStyle w:val="Tabletext0"/>
              <w:rPr>
                <w:rFonts w:eastAsia="Cambria"/>
                <w:color w:val="auto"/>
                <w:sz w:val="14"/>
                <w:szCs w:val="14"/>
                <w:lang w:val="en-GB"/>
              </w:rPr>
            </w:pPr>
          </w:p>
        </w:tc>
        <w:tc>
          <w:tcPr>
            <w:tcW w:w="265" w:type="pct"/>
            <w:gridSpan w:val="2"/>
            <w:vAlign w:val="center"/>
          </w:tcPr>
          <w:p w14:paraId="795D4532"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0A348302"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1B929050" w14:textId="77777777" w:rsidR="00E57F60" w:rsidRPr="009F284A" w:rsidRDefault="00E57F60" w:rsidP="00855E7B">
            <w:pPr>
              <w:pStyle w:val="Tabletext0"/>
              <w:rPr>
                <w:rFonts w:eastAsia="Cambria"/>
                <w:color w:val="auto"/>
                <w:sz w:val="14"/>
                <w:szCs w:val="14"/>
                <w:lang w:val="en-GB"/>
              </w:rPr>
            </w:pPr>
          </w:p>
        </w:tc>
        <w:tc>
          <w:tcPr>
            <w:tcW w:w="266" w:type="pct"/>
            <w:vAlign w:val="center"/>
          </w:tcPr>
          <w:p w14:paraId="60B70375" w14:textId="77777777" w:rsidR="00E57F60" w:rsidRPr="009F284A" w:rsidRDefault="00E57F60" w:rsidP="00232477">
            <w:pPr>
              <w:autoSpaceDE w:val="0"/>
              <w:autoSpaceDN w:val="0"/>
              <w:adjustRightInd w:val="0"/>
              <w:spacing w:before="0" w:after="0" w:line="240" w:lineRule="auto"/>
              <w:jc w:val="right"/>
              <w:rPr>
                <w:rFonts w:eastAsia="Cambria" w:cs="Calibri"/>
                <w:sz w:val="14"/>
                <w:szCs w:val="14"/>
                <w:lang w:val="en-GB"/>
              </w:rPr>
            </w:pPr>
          </w:p>
        </w:tc>
      </w:tr>
      <w:tr w:rsidR="009F284A" w:rsidRPr="005F7014" w14:paraId="58B2D048" w14:textId="77777777" w:rsidTr="009F284A">
        <w:trPr>
          <w:gridAfter w:val="1"/>
          <w:wAfter w:w="13" w:type="pct"/>
          <w:trHeight w:val="319"/>
        </w:trPr>
        <w:tc>
          <w:tcPr>
            <w:tcW w:w="1006" w:type="pct"/>
            <w:vAlign w:val="center"/>
          </w:tcPr>
          <w:p w14:paraId="4699FCF6" w14:textId="77777777" w:rsidR="00E57F60" w:rsidRPr="009F284A" w:rsidRDefault="00E57F60" w:rsidP="009F284A">
            <w:pPr>
              <w:pStyle w:val="Tabletext0"/>
              <w:ind w:left="202" w:hanging="202"/>
              <w:rPr>
                <w:sz w:val="16"/>
                <w:szCs w:val="16"/>
                <w:lang w:val="en-GB"/>
              </w:rPr>
            </w:pPr>
            <w:r w:rsidRPr="009F284A">
              <w:rPr>
                <w:sz w:val="16"/>
                <w:szCs w:val="16"/>
                <w:lang w:val="en-GB"/>
              </w:rPr>
              <w:t>8. Credibility of evidence &amp; analysis</w:t>
            </w:r>
          </w:p>
        </w:tc>
        <w:tc>
          <w:tcPr>
            <w:tcW w:w="265" w:type="pct"/>
            <w:shd w:val="clear" w:color="CCFFCC" w:fill="DAEEF3" w:themeFill="accent5" w:themeFillTint="33"/>
            <w:vAlign w:val="center"/>
          </w:tcPr>
          <w:p w14:paraId="1C8A4635"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0.40</w:t>
            </w:r>
          </w:p>
        </w:tc>
        <w:tc>
          <w:tcPr>
            <w:tcW w:w="266" w:type="pct"/>
            <w:vAlign w:val="center"/>
          </w:tcPr>
          <w:p w14:paraId="7FB414C0"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0.30</w:t>
            </w:r>
          </w:p>
        </w:tc>
        <w:tc>
          <w:tcPr>
            <w:tcW w:w="266" w:type="pct"/>
            <w:vAlign w:val="center"/>
          </w:tcPr>
          <w:p w14:paraId="3A8CFE1D"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0.37</w:t>
            </w:r>
          </w:p>
        </w:tc>
        <w:tc>
          <w:tcPr>
            <w:tcW w:w="265" w:type="pct"/>
            <w:shd w:val="clear" w:color="CCFFCC" w:fill="DAEEF3" w:themeFill="accent5" w:themeFillTint="33"/>
            <w:vAlign w:val="center"/>
          </w:tcPr>
          <w:p w14:paraId="4DFD7BD2"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0.47</w:t>
            </w:r>
          </w:p>
        </w:tc>
        <w:tc>
          <w:tcPr>
            <w:tcW w:w="266" w:type="pct"/>
            <w:vAlign w:val="center"/>
          </w:tcPr>
          <w:p w14:paraId="1084069A"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0.39</w:t>
            </w:r>
          </w:p>
        </w:tc>
        <w:tc>
          <w:tcPr>
            <w:tcW w:w="266" w:type="pct"/>
            <w:vAlign w:val="center"/>
          </w:tcPr>
          <w:p w14:paraId="33FDF738"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0.39</w:t>
            </w:r>
          </w:p>
        </w:tc>
        <w:tc>
          <w:tcPr>
            <w:tcW w:w="266" w:type="pct"/>
            <w:gridSpan w:val="2"/>
            <w:shd w:val="clear" w:color="auto" w:fill="B6DDE8" w:themeFill="accent5" w:themeFillTint="66"/>
            <w:vAlign w:val="center"/>
          </w:tcPr>
          <w:p w14:paraId="3101FECE"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0.58</w:t>
            </w:r>
          </w:p>
        </w:tc>
        <w:tc>
          <w:tcPr>
            <w:tcW w:w="265" w:type="pct"/>
            <w:gridSpan w:val="2"/>
            <w:vAlign w:val="center"/>
          </w:tcPr>
          <w:p w14:paraId="3498E80C"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1</w:t>
            </w:r>
          </w:p>
        </w:tc>
        <w:tc>
          <w:tcPr>
            <w:tcW w:w="266" w:type="pct"/>
            <w:gridSpan w:val="2"/>
            <w:vAlign w:val="center"/>
          </w:tcPr>
          <w:p w14:paraId="690AEB93"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62FC50B9"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04B1BFBF" w14:textId="77777777" w:rsidR="00E57F60" w:rsidRPr="009F284A" w:rsidRDefault="00E57F60" w:rsidP="00855E7B">
            <w:pPr>
              <w:pStyle w:val="Tabletext0"/>
              <w:rPr>
                <w:rFonts w:eastAsia="Cambria"/>
                <w:color w:val="auto"/>
                <w:sz w:val="14"/>
                <w:szCs w:val="14"/>
                <w:lang w:val="en-GB"/>
              </w:rPr>
            </w:pPr>
          </w:p>
        </w:tc>
        <w:tc>
          <w:tcPr>
            <w:tcW w:w="265" w:type="pct"/>
            <w:gridSpan w:val="2"/>
            <w:vAlign w:val="center"/>
          </w:tcPr>
          <w:p w14:paraId="3215C380"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07F9D96C"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1716C87F" w14:textId="77777777" w:rsidR="00E57F60" w:rsidRPr="009F284A" w:rsidRDefault="00E57F60" w:rsidP="00855E7B">
            <w:pPr>
              <w:pStyle w:val="Tabletext0"/>
              <w:rPr>
                <w:rFonts w:eastAsia="Cambria"/>
                <w:color w:val="auto"/>
                <w:sz w:val="14"/>
                <w:szCs w:val="14"/>
                <w:lang w:val="en-GB"/>
              </w:rPr>
            </w:pPr>
          </w:p>
        </w:tc>
        <w:tc>
          <w:tcPr>
            <w:tcW w:w="266" w:type="pct"/>
            <w:vAlign w:val="center"/>
          </w:tcPr>
          <w:p w14:paraId="601675D2" w14:textId="77777777" w:rsidR="00E57F60" w:rsidRPr="009F284A" w:rsidRDefault="00E57F60" w:rsidP="00232477">
            <w:pPr>
              <w:autoSpaceDE w:val="0"/>
              <w:autoSpaceDN w:val="0"/>
              <w:adjustRightInd w:val="0"/>
              <w:spacing w:before="0" w:after="0" w:line="240" w:lineRule="auto"/>
              <w:jc w:val="right"/>
              <w:rPr>
                <w:rFonts w:eastAsia="Cambria" w:cs="Calibri"/>
                <w:sz w:val="14"/>
                <w:szCs w:val="14"/>
                <w:lang w:val="en-GB"/>
              </w:rPr>
            </w:pPr>
          </w:p>
        </w:tc>
      </w:tr>
      <w:tr w:rsidR="009F284A" w:rsidRPr="005F7014" w14:paraId="36EC8718" w14:textId="77777777" w:rsidTr="009F284A">
        <w:trPr>
          <w:gridAfter w:val="1"/>
          <w:wAfter w:w="13" w:type="pct"/>
          <w:trHeight w:val="305"/>
        </w:trPr>
        <w:tc>
          <w:tcPr>
            <w:tcW w:w="1006" w:type="pct"/>
            <w:vAlign w:val="center"/>
          </w:tcPr>
          <w:p w14:paraId="5EED2F93" w14:textId="77777777" w:rsidR="00E57F60" w:rsidRPr="009F284A" w:rsidRDefault="00E57F60" w:rsidP="009F284A">
            <w:pPr>
              <w:pStyle w:val="Tabletext0"/>
              <w:ind w:left="202" w:hanging="202"/>
              <w:rPr>
                <w:sz w:val="16"/>
                <w:szCs w:val="16"/>
                <w:lang w:val="en-GB"/>
              </w:rPr>
            </w:pPr>
            <w:r w:rsidRPr="009F284A">
              <w:rPr>
                <w:sz w:val="16"/>
                <w:szCs w:val="16"/>
                <w:lang w:val="en-GB"/>
              </w:rPr>
              <w:t>9. Recommendations</w:t>
            </w:r>
          </w:p>
        </w:tc>
        <w:tc>
          <w:tcPr>
            <w:tcW w:w="265" w:type="pct"/>
            <w:vAlign w:val="center"/>
          </w:tcPr>
          <w:p w14:paraId="4C46F6F0"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0.31</w:t>
            </w:r>
          </w:p>
        </w:tc>
        <w:tc>
          <w:tcPr>
            <w:tcW w:w="266" w:type="pct"/>
            <w:vAlign w:val="center"/>
          </w:tcPr>
          <w:p w14:paraId="597C3B8A"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0.30</w:t>
            </w:r>
          </w:p>
        </w:tc>
        <w:tc>
          <w:tcPr>
            <w:tcW w:w="266" w:type="pct"/>
            <w:vAlign w:val="center"/>
          </w:tcPr>
          <w:p w14:paraId="0E04FB9F"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0.25</w:t>
            </w:r>
          </w:p>
        </w:tc>
        <w:tc>
          <w:tcPr>
            <w:tcW w:w="265" w:type="pct"/>
            <w:vAlign w:val="center"/>
          </w:tcPr>
          <w:p w14:paraId="7035B81C"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0.34</w:t>
            </w:r>
          </w:p>
        </w:tc>
        <w:tc>
          <w:tcPr>
            <w:tcW w:w="266" w:type="pct"/>
            <w:vAlign w:val="center"/>
          </w:tcPr>
          <w:p w14:paraId="57E4F099"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0.31</w:t>
            </w:r>
          </w:p>
        </w:tc>
        <w:tc>
          <w:tcPr>
            <w:tcW w:w="266" w:type="pct"/>
            <w:shd w:val="clear" w:color="CCFFCC" w:fill="DAEEF3" w:themeFill="accent5" w:themeFillTint="33"/>
            <w:vAlign w:val="center"/>
          </w:tcPr>
          <w:p w14:paraId="04EF031D"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0.42</w:t>
            </w:r>
          </w:p>
        </w:tc>
        <w:tc>
          <w:tcPr>
            <w:tcW w:w="266" w:type="pct"/>
            <w:gridSpan w:val="2"/>
            <w:shd w:val="clear" w:color="auto" w:fill="DAEEF3" w:themeFill="accent5" w:themeFillTint="33"/>
            <w:vAlign w:val="center"/>
          </w:tcPr>
          <w:p w14:paraId="605727BB"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0.40</w:t>
            </w:r>
          </w:p>
        </w:tc>
        <w:tc>
          <w:tcPr>
            <w:tcW w:w="265" w:type="pct"/>
            <w:gridSpan w:val="2"/>
            <w:shd w:val="clear" w:color="auto" w:fill="92CDDC" w:themeFill="accent5" w:themeFillTint="99"/>
            <w:vAlign w:val="center"/>
          </w:tcPr>
          <w:p w14:paraId="0A9C139E"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0.63</w:t>
            </w:r>
          </w:p>
        </w:tc>
        <w:tc>
          <w:tcPr>
            <w:tcW w:w="266" w:type="pct"/>
            <w:gridSpan w:val="2"/>
            <w:vAlign w:val="center"/>
          </w:tcPr>
          <w:p w14:paraId="20A95058"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1</w:t>
            </w:r>
          </w:p>
        </w:tc>
        <w:tc>
          <w:tcPr>
            <w:tcW w:w="266" w:type="pct"/>
            <w:gridSpan w:val="2"/>
            <w:vAlign w:val="center"/>
          </w:tcPr>
          <w:p w14:paraId="1A7BFF70"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22031965" w14:textId="77777777" w:rsidR="00E57F60" w:rsidRPr="009F284A" w:rsidRDefault="00E57F60" w:rsidP="00855E7B">
            <w:pPr>
              <w:pStyle w:val="Tabletext0"/>
              <w:rPr>
                <w:rFonts w:eastAsia="Cambria"/>
                <w:color w:val="auto"/>
                <w:sz w:val="14"/>
                <w:szCs w:val="14"/>
                <w:lang w:val="en-GB"/>
              </w:rPr>
            </w:pPr>
          </w:p>
        </w:tc>
        <w:tc>
          <w:tcPr>
            <w:tcW w:w="265" w:type="pct"/>
            <w:gridSpan w:val="2"/>
            <w:vAlign w:val="center"/>
          </w:tcPr>
          <w:p w14:paraId="6BF209E3"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3F722D45"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1A3F87CF" w14:textId="77777777" w:rsidR="00E57F60" w:rsidRPr="009F284A" w:rsidRDefault="00E57F60" w:rsidP="00855E7B">
            <w:pPr>
              <w:pStyle w:val="Tabletext0"/>
              <w:rPr>
                <w:rFonts w:eastAsia="Cambria"/>
                <w:color w:val="auto"/>
                <w:sz w:val="14"/>
                <w:szCs w:val="14"/>
                <w:lang w:val="en-GB"/>
              </w:rPr>
            </w:pPr>
          </w:p>
        </w:tc>
        <w:tc>
          <w:tcPr>
            <w:tcW w:w="266" w:type="pct"/>
            <w:vAlign w:val="center"/>
          </w:tcPr>
          <w:p w14:paraId="1249DE94" w14:textId="77777777" w:rsidR="00E57F60" w:rsidRPr="009F284A" w:rsidRDefault="00E57F60" w:rsidP="00232477">
            <w:pPr>
              <w:autoSpaceDE w:val="0"/>
              <w:autoSpaceDN w:val="0"/>
              <w:adjustRightInd w:val="0"/>
              <w:spacing w:before="0" w:after="0" w:line="240" w:lineRule="auto"/>
              <w:jc w:val="right"/>
              <w:rPr>
                <w:rFonts w:eastAsia="Cambria" w:cs="Calibri"/>
                <w:sz w:val="14"/>
                <w:szCs w:val="14"/>
                <w:lang w:val="en-GB"/>
              </w:rPr>
            </w:pPr>
          </w:p>
        </w:tc>
      </w:tr>
      <w:tr w:rsidR="00C738A5" w:rsidRPr="005F7014" w14:paraId="5618AEC5" w14:textId="77777777" w:rsidTr="009F284A">
        <w:trPr>
          <w:gridAfter w:val="1"/>
          <w:wAfter w:w="13" w:type="pct"/>
          <w:trHeight w:val="290"/>
        </w:trPr>
        <w:tc>
          <w:tcPr>
            <w:tcW w:w="4987" w:type="pct"/>
            <w:gridSpan w:val="24"/>
            <w:shd w:val="clear" w:color="auto" w:fill="ECF1F7"/>
            <w:vAlign w:val="center"/>
          </w:tcPr>
          <w:p w14:paraId="2B076775" w14:textId="77777777" w:rsidR="00C738A5" w:rsidRPr="009F284A" w:rsidRDefault="007708DE" w:rsidP="009F284A">
            <w:pPr>
              <w:pStyle w:val="Tabletext0"/>
              <w:ind w:left="284" w:hanging="284"/>
              <w:rPr>
                <w:rFonts w:eastAsia="Cambria"/>
                <w:b/>
                <w:sz w:val="16"/>
                <w:szCs w:val="16"/>
                <w:lang w:val="en-GB"/>
              </w:rPr>
            </w:pPr>
            <w:r w:rsidRPr="009F284A">
              <w:rPr>
                <w:rFonts w:eastAsia="Cambria"/>
                <w:b/>
                <w:sz w:val="16"/>
                <w:szCs w:val="16"/>
                <w:lang w:val="en-GB"/>
              </w:rPr>
              <w:t>Application of standard Australian</w:t>
            </w:r>
            <w:r w:rsidR="005856CA" w:rsidRPr="009F284A">
              <w:rPr>
                <w:rFonts w:eastAsia="Cambria"/>
                <w:b/>
                <w:sz w:val="16"/>
                <w:szCs w:val="16"/>
                <w:lang w:val="en-GB"/>
              </w:rPr>
              <w:t xml:space="preserve"> aid</w:t>
            </w:r>
            <w:r w:rsidR="00C738A5" w:rsidRPr="009F284A">
              <w:rPr>
                <w:rFonts w:eastAsia="Cambria"/>
                <w:b/>
                <w:sz w:val="16"/>
                <w:szCs w:val="16"/>
                <w:lang w:val="en-GB"/>
              </w:rPr>
              <w:t xml:space="preserve"> quality criteria </w:t>
            </w:r>
          </w:p>
        </w:tc>
      </w:tr>
      <w:tr w:rsidR="009F284A" w:rsidRPr="005F7014" w14:paraId="19352A7E" w14:textId="77777777" w:rsidTr="009F284A">
        <w:trPr>
          <w:gridAfter w:val="1"/>
          <w:wAfter w:w="13" w:type="pct"/>
          <w:trHeight w:val="290"/>
        </w:trPr>
        <w:tc>
          <w:tcPr>
            <w:tcW w:w="1006" w:type="pct"/>
            <w:vAlign w:val="center"/>
          </w:tcPr>
          <w:p w14:paraId="0BF5AF69" w14:textId="77777777" w:rsidR="00E57F60" w:rsidRPr="009F284A" w:rsidRDefault="00E57F60" w:rsidP="009F284A">
            <w:pPr>
              <w:pStyle w:val="Tabletext0"/>
              <w:ind w:left="202" w:hanging="202"/>
              <w:rPr>
                <w:sz w:val="16"/>
                <w:szCs w:val="16"/>
                <w:lang w:val="en-GB"/>
              </w:rPr>
            </w:pPr>
            <w:r w:rsidRPr="009F284A">
              <w:rPr>
                <w:sz w:val="16"/>
                <w:szCs w:val="16"/>
                <w:lang w:val="en-GB"/>
              </w:rPr>
              <w:t>1.</w:t>
            </w:r>
            <w:r w:rsidR="00A74814" w:rsidRPr="009F284A">
              <w:rPr>
                <w:sz w:val="16"/>
                <w:szCs w:val="16"/>
                <w:lang w:val="en-GB"/>
              </w:rPr>
              <w:t xml:space="preserve"> </w:t>
            </w:r>
            <w:r w:rsidRPr="009F284A">
              <w:rPr>
                <w:sz w:val="16"/>
                <w:szCs w:val="16"/>
                <w:lang w:val="en-GB"/>
              </w:rPr>
              <w:t>Relevance</w:t>
            </w:r>
          </w:p>
        </w:tc>
        <w:tc>
          <w:tcPr>
            <w:tcW w:w="265" w:type="pct"/>
            <w:vAlign w:val="center"/>
          </w:tcPr>
          <w:p w14:paraId="6B56FB93"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0.38</w:t>
            </w:r>
          </w:p>
        </w:tc>
        <w:tc>
          <w:tcPr>
            <w:tcW w:w="266" w:type="pct"/>
            <w:vAlign w:val="center"/>
          </w:tcPr>
          <w:p w14:paraId="02FE2B98"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0.29</w:t>
            </w:r>
          </w:p>
        </w:tc>
        <w:tc>
          <w:tcPr>
            <w:tcW w:w="266" w:type="pct"/>
            <w:vAlign w:val="center"/>
          </w:tcPr>
          <w:p w14:paraId="6BDB1CFD"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0.27</w:t>
            </w:r>
          </w:p>
        </w:tc>
        <w:tc>
          <w:tcPr>
            <w:tcW w:w="265" w:type="pct"/>
            <w:vAlign w:val="center"/>
          </w:tcPr>
          <w:p w14:paraId="4FF40DA6"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0.33</w:t>
            </w:r>
          </w:p>
        </w:tc>
        <w:tc>
          <w:tcPr>
            <w:tcW w:w="266" w:type="pct"/>
            <w:vAlign w:val="center"/>
          </w:tcPr>
          <w:p w14:paraId="60BC6DE6"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0.26</w:t>
            </w:r>
          </w:p>
        </w:tc>
        <w:tc>
          <w:tcPr>
            <w:tcW w:w="266" w:type="pct"/>
            <w:shd w:val="clear" w:color="CCFFCC" w:fill="DAEEF3" w:themeFill="accent5" w:themeFillTint="33"/>
            <w:vAlign w:val="center"/>
          </w:tcPr>
          <w:p w14:paraId="37D0ED2B"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0.41</w:t>
            </w:r>
          </w:p>
        </w:tc>
        <w:tc>
          <w:tcPr>
            <w:tcW w:w="266" w:type="pct"/>
            <w:gridSpan w:val="2"/>
            <w:vAlign w:val="center"/>
          </w:tcPr>
          <w:p w14:paraId="65275194"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0.20</w:t>
            </w:r>
          </w:p>
        </w:tc>
        <w:tc>
          <w:tcPr>
            <w:tcW w:w="265" w:type="pct"/>
            <w:gridSpan w:val="2"/>
            <w:shd w:val="clear" w:color="CCFFCC" w:fill="DAEEF3" w:themeFill="accent5" w:themeFillTint="33"/>
            <w:vAlign w:val="center"/>
          </w:tcPr>
          <w:p w14:paraId="30717521"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0.46</w:t>
            </w:r>
          </w:p>
        </w:tc>
        <w:tc>
          <w:tcPr>
            <w:tcW w:w="266" w:type="pct"/>
            <w:gridSpan w:val="2"/>
            <w:vAlign w:val="center"/>
          </w:tcPr>
          <w:p w14:paraId="0BA74F14"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0.28</w:t>
            </w:r>
          </w:p>
        </w:tc>
        <w:tc>
          <w:tcPr>
            <w:tcW w:w="266" w:type="pct"/>
            <w:gridSpan w:val="2"/>
            <w:vAlign w:val="center"/>
          </w:tcPr>
          <w:p w14:paraId="2C916ECF"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1</w:t>
            </w:r>
          </w:p>
        </w:tc>
        <w:tc>
          <w:tcPr>
            <w:tcW w:w="266" w:type="pct"/>
            <w:gridSpan w:val="2"/>
            <w:vAlign w:val="center"/>
          </w:tcPr>
          <w:p w14:paraId="6254CC0C" w14:textId="77777777" w:rsidR="00E57F60" w:rsidRPr="009F284A" w:rsidRDefault="00E57F60" w:rsidP="00855E7B">
            <w:pPr>
              <w:pStyle w:val="Tabletext0"/>
              <w:rPr>
                <w:rFonts w:eastAsia="Cambria"/>
                <w:color w:val="auto"/>
                <w:sz w:val="14"/>
                <w:szCs w:val="14"/>
                <w:lang w:val="en-GB"/>
              </w:rPr>
            </w:pPr>
          </w:p>
        </w:tc>
        <w:tc>
          <w:tcPr>
            <w:tcW w:w="265" w:type="pct"/>
            <w:gridSpan w:val="2"/>
            <w:vAlign w:val="center"/>
          </w:tcPr>
          <w:p w14:paraId="6A24C1D2"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1F2C90D9"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0BBD9C78" w14:textId="77777777" w:rsidR="00E57F60" w:rsidRPr="009F284A" w:rsidRDefault="00E57F60" w:rsidP="00855E7B">
            <w:pPr>
              <w:pStyle w:val="Tabletext0"/>
              <w:rPr>
                <w:rFonts w:eastAsia="Cambria"/>
                <w:color w:val="auto"/>
                <w:sz w:val="14"/>
                <w:szCs w:val="14"/>
                <w:lang w:val="en-GB"/>
              </w:rPr>
            </w:pPr>
          </w:p>
        </w:tc>
        <w:tc>
          <w:tcPr>
            <w:tcW w:w="266" w:type="pct"/>
            <w:vAlign w:val="center"/>
          </w:tcPr>
          <w:p w14:paraId="04284D96" w14:textId="77777777" w:rsidR="00E57F60" w:rsidRPr="009F284A" w:rsidRDefault="00E57F60" w:rsidP="00232477">
            <w:pPr>
              <w:autoSpaceDE w:val="0"/>
              <w:autoSpaceDN w:val="0"/>
              <w:adjustRightInd w:val="0"/>
              <w:spacing w:before="0" w:after="0" w:line="240" w:lineRule="auto"/>
              <w:jc w:val="right"/>
              <w:rPr>
                <w:rFonts w:eastAsia="Cambria" w:cs="Calibri"/>
                <w:sz w:val="14"/>
                <w:szCs w:val="14"/>
                <w:lang w:val="en-GB"/>
              </w:rPr>
            </w:pPr>
          </w:p>
        </w:tc>
      </w:tr>
      <w:tr w:rsidR="009F284A" w:rsidRPr="005F7014" w14:paraId="51BD24D1" w14:textId="77777777" w:rsidTr="009F284A">
        <w:trPr>
          <w:gridAfter w:val="1"/>
          <w:wAfter w:w="13" w:type="pct"/>
          <w:trHeight w:val="290"/>
        </w:trPr>
        <w:tc>
          <w:tcPr>
            <w:tcW w:w="1006" w:type="pct"/>
            <w:vAlign w:val="center"/>
          </w:tcPr>
          <w:p w14:paraId="27ABE3B0" w14:textId="77777777" w:rsidR="00E57F60" w:rsidRPr="009F284A" w:rsidRDefault="00C738A5" w:rsidP="009F284A">
            <w:pPr>
              <w:pStyle w:val="Tabletext0"/>
              <w:ind w:left="202" w:hanging="202"/>
              <w:rPr>
                <w:sz w:val="16"/>
                <w:szCs w:val="16"/>
                <w:lang w:val="en-GB"/>
              </w:rPr>
            </w:pPr>
            <w:r w:rsidRPr="009F284A">
              <w:rPr>
                <w:sz w:val="16"/>
                <w:szCs w:val="16"/>
                <w:lang w:val="en-GB"/>
              </w:rPr>
              <w:t>2</w:t>
            </w:r>
            <w:r w:rsidR="00E57F60" w:rsidRPr="009F284A">
              <w:rPr>
                <w:sz w:val="16"/>
                <w:szCs w:val="16"/>
                <w:lang w:val="en-GB"/>
              </w:rPr>
              <w:t>.</w:t>
            </w:r>
            <w:r w:rsidR="00A74814" w:rsidRPr="009F284A">
              <w:rPr>
                <w:sz w:val="16"/>
                <w:szCs w:val="16"/>
                <w:lang w:val="en-GB"/>
              </w:rPr>
              <w:t xml:space="preserve"> </w:t>
            </w:r>
            <w:r w:rsidR="00E57F60" w:rsidRPr="009F284A">
              <w:rPr>
                <w:sz w:val="16"/>
                <w:szCs w:val="16"/>
                <w:lang w:val="en-GB"/>
              </w:rPr>
              <w:t xml:space="preserve">Effectiveness </w:t>
            </w:r>
          </w:p>
        </w:tc>
        <w:tc>
          <w:tcPr>
            <w:tcW w:w="265" w:type="pct"/>
            <w:vAlign w:val="center"/>
          </w:tcPr>
          <w:p w14:paraId="084AAE75"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0.23</w:t>
            </w:r>
          </w:p>
        </w:tc>
        <w:tc>
          <w:tcPr>
            <w:tcW w:w="266" w:type="pct"/>
            <w:vAlign w:val="center"/>
          </w:tcPr>
          <w:p w14:paraId="341377FA"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0.12</w:t>
            </w:r>
          </w:p>
        </w:tc>
        <w:tc>
          <w:tcPr>
            <w:tcW w:w="266" w:type="pct"/>
            <w:vAlign w:val="center"/>
          </w:tcPr>
          <w:p w14:paraId="69EE7182"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0.17</w:t>
            </w:r>
          </w:p>
        </w:tc>
        <w:tc>
          <w:tcPr>
            <w:tcW w:w="265" w:type="pct"/>
            <w:vAlign w:val="center"/>
          </w:tcPr>
          <w:p w14:paraId="7B857133"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0.31</w:t>
            </w:r>
          </w:p>
        </w:tc>
        <w:tc>
          <w:tcPr>
            <w:tcW w:w="266" w:type="pct"/>
            <w:vAlign w:val="center"/>
          </w:tcPr>
          <w:p w14:paraId="49549DB9"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0.35</w:t>
            </w:r>
          </w:p>
        </w:tc>
        <w:tc>
          <w:tcPr>
            <w:tcW w:w="266" w:type="pct"/>
            <w:vAlign w:val="center"/>
          </w:tcPr>
          <w:p w14:paraId="4E33A723"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0.30</w:t>
            </w:r>
          </w:p>
        </w:tc>
        <w:tc>
          <w:tcPr>
            <w:tcW w:w="266" w:type="pct"/>
            <w:gridSpan w:val="2"/>
            <w:shd w:val="clear" w:color="CCFFCC" w:fill="DAEEF3" w:themeFill="accent5" w:themeFillTint="33"/>
            <w:vAlign w:val="center"/>
          </w:tcPr>
          <w:p w14:paraId="2E9FB6E4"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0.49</w:t>
            </w:r>
          </w:p>
        </w:tc>
        <w:tc>
          <w:tcPr>
            <w:tcW w:w="265" w:type="pct"/>
            <w:gridSpan w:val="2"/>
            <w:shd w:val="clear" w:color="auto" w:fill="92CDDC" w:themeFill="accent5" w:themeFillTint="99"/>
            <w:vAlign w:val="center"/>
          </w:tcPr>
          <w:p w14:paraId="4038261D"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0.67</w:t>
            </w:r>
          </w:p>
        </w:tc>
        <w:tc>
          <w:tcPr>
            <w:tcW w:w="266" w:type="pct"/>
            <w:gridSpan w:val="2"/>
            <w:shd w:val="clear" w:color="CCFFCC" w:fill="DAEEF3" w:themeFill="accent5" w:themeFillTint="33"/>
            <w:vAlign w:val="center"/>
          </w:tcPr>
          <w:p w14:paraId="451B05D8"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0.45</w:t>
            </w:r>
          </w:p>
        </w:tc>
        <w:tc>
          <w:tcPr>
            <w:tcW w:w="266" w:type="pct"/>
            <w:gridSpan w:val="2"/>
            <w:vAlign w:val="center"/>
          </w:tcPr>
          <w:p w14:paraId="38BC0B1B"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0.36</w:t>
            </w:r>
          </w:p>
        </w:tc>
        <w:tc>
          <w:tcPr>
            <w:tcW w:w="266" w:type="pct"/>
            <w:gridSpan w:val="2"/>
            <w:vAlign w:val="center"/>
          </w:tcPr>
          <w:p w14:paraId="2102EA45"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1</w:t>
            </w:r>
          </w:p>
        </w:tc>
        <w:tc>
          <w:tcPr>
            <w:tcW w:w="265" w:type="pct"/>
            <w:gridSpan w:val="2"/>
            <w:vAlign w:val="center"/>
          </w:tcPr>
          <w:p w14:paraId="07E21C48"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0863A703" w14:textId="77777777" w:rsidR="00E57F60" w:rsidRPr="009F284A" w:rsidRDefault="00E57F60" w:rsidP="00855E7B">
            <w:pPr>
              <w:pStyle w:val="Tabletext0"/>
              <w:rPr>
                <w:rFonts w:eastAsia="Cambria"/>
                <w:color w:val="auto"/>
                <w:sz w:val="14"/>
                <w:szCs w:val="14"/>
                <w:lang w:val="en-GB"/>
              </w:rPr>
            </w:pPr>
          </w:p>
        </w:tc>
        <w:tc>
          <w:tcPr>
            <w:tcW w:w="266" w:type="pct"/>
            <w:gridSpan w:val="2"/>
            <w:vAlign w:val="center"/>
          </w:tcPr>
          <w:p w14:paraId="720AE20C" w14:textId="77777777" w:rsidR="00E57F60" w:rsidRPr="009F284A" w:rsidRDefault="00E57F60" w:rsidP="00855E7B">
            <w:pPr>
              <w:pStyle w:val="Tabletext0"/>
              <w:rPr>
                <w:rFonts w:eastAsia="Cambria"/>
                <w:color w:val="auto"/>
                <w:sz w:val="14"/>
                <w:szCs w:val="14"/>
                <w:lang w:val="en-GB"/>
              </w:rPr>
            </w:pPr>
          </w:p>
        </w:tc>
        <w:tc>
          <w:tcPr>
            <w:tcW w:w="266" w:type="pct"/>
            <w:vAlign w:val="center"/>
          </w:tcPr>
          <w:p w14:paraId="268EDCE6" w14:textId="77777777" w:rsidR="00E57F60" w:rsidRPr="009F284A" w:rsidRDefault="00E57F60" w:rsidP="00232477">
            <w:pPr>
              <w:keepNext/>
              <w:pageBreakBefore/>
              <w:autoSpaceDE w:val="0"/>
              <w:autoSpaceDN w:val="0"/>
              <w:adjustRightInd w:val="0"/>
              <w:spacing w:before="0" w:after="0" w:line="240" w:lineRule="auto"/>
              <w:ind w:left="720" w:hanging="720"/>
              <w:jc w:val="right"/>
              <w:outlineLvl w:val="0"/>
              <w:rPr>
                <w:rFonts w:eastAsia="Cambria" w:cs="Calibri"/>
                <w:sz w:val="14"/>
                <w:szCs w:val="14"/>
                <w:lang w:val="en-GB"/>
              </w:rPr>
            </w:pPr>
          </w:p>
        </w:tc>
      </w:tr>
      <w:tr w:rsidR="009F284A" w:rsidRPr="005F7014" w14:paraId="2E937505" w14:textId="77777777" w:rsidTr="009F284A">
        <w:trPr>
          <w:trHeight w:val="290"/>
        </w:trPr>
        <w:tc>
          <w:tcPr>
            <w:tcW w:w="1006" w:type="pct"/>
            <w:vAlign w:val="center"/>
          </w:tcPr>
          <w:p w14:paraId="603A47C8" w14:textId="77777777" w:rsidR="00E57F60" w:rsidRPr="009F284A" w:rsidRDefault="00C738A5" w:rsidP="009F284A">
            <w:pPr>
              <w:pStyle w:val="Tabletext0"/>
              <w:ind w:left="202" w:hanging="202"/>
              <w:rPr>
                <w:sz w:val="16"/>
                <w:szCs w:val="16"/>
                <w:lang w:val="en-GB"/>
              </w:rPr>
            </w:pPr>
            <w:r w:rsidRPr="009F284A">
              <w:rPr>
                <w:sz w:val="16"/>
                <w:szCs w:val="16"/>
                <w:lang w:val="en-GB"/>
              </w:rPr>
              <w:t>3</w:t>
            </w:r>
            <w:r w:rsidR="00E57F60" w:rsidRPr="009F284A">
              <w:rPr>
                <w:sz w:val="16"/>
                <w:szCs w:val="16"/>
                <w:lang w:val="en-GB"/>
              </w:rPr>
              <w:t>.</w:t>
            </w:r>
            <w:r w:rsidR="00A74814" w:rsidRPr="009F284A">
              <w:rPr>
                <w:sz w:val="16"/>
                <w:szCs w:val="16"/>
                <w:lang w:val="en-GB"/>
              </w:rPr>
              <w:t xml:space="preserve"> </w:t>
            </w:r>
            <w:r w:rsidR="00E57F60" w:rsidRPr="009F284A">
              <w:rPr>
                <w:sz w:val="16"/>
                <w:szCs w:val="16"/>
                <w:lang w:val="en-GB"/>
              </w:rPr>
              <w:t xml:space="preserve">Efficiency </w:t>
            </w:r>
          </w:p>
        </w:tc>
        <w:tc>
          <w:tcPr>
            <w:tcW w:w="264" w:type="pct"/>
            <w:vAlign w:val="center"/>
          </w:tcPr>
          <w:p w14:paraId="36E0A60A"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0.28</w:t>
            </w:r>
          </w:p>
        </w:tc>
        <w:tc>
          <w:tcPr>
            <w:tcW w:w="265" w:type="pct"/>
            <w:vAlign w:val="center"/>
          </w:tcPr>
          <w:p w14:paraId="634E9410"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0.32</w:t>
            </w:r>
          </w:p>
        </w:tc>
        <w:tc>
          <w:tcPr>
            <w:tcW w:w="265" w:type="pct"/>
            <w:vAlign w:val="center"/>
          </w:tcPr>
          <w:p w14:paraId="58932020"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0.35</w:t>
            </w:r>
          </w:p>
        </w:tc>
        <w:tc>
          <w:tcPr>
            <w:tcW w:w="265" w:type="pct"/>
            <w:vAlign w:val="center"/>
          </w:tcPr>
          <w:p w14:paraId="1F443E33"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0.29</w:t>
            </w:r>
          </w:p>
        </w:tc>
        <w:tc>
          <w:tcPr>
            <w:tcW w:w="265" w:type="pct"/>
            <w:vAlign w:val="center"/>
          </w:tcPr>
          <w:p w14:paraId="1812E473"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0.32</w:t>
            </w:r>
          </w:p>
        </w:tc>
        <w:tc>
          <w:tcPr>
            <w:tcW w:w="265" w:type="pct"/>
            <w:vAlign w:val="center"/>
          </w:tcPr>
          <w:p w14:paraId="27D2D2EA"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0.36</w:t>
            </w:r>
          </w:p>
        </w:tc>
        <w:tc>
          <w:tcPr>
            <w:tcW w:w="265" w:type="pct"/>
            <w:vAlign w:val="center"/>
          </w:tcPr>
          <w:p w14:paraId="5DF22B41"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0.35</w:t>
            </w:r>
          </w:p>
        </w:tc>
        <w:tc>
          <w:tcPr>
            <w:tcW w:w="265" w:type="pct"/>
            <w:gridSpan w:val="2"/>
            <w:shd w:val="clear" w:color="auto" w:fill="92CDDC" w:themeFill="accent5" w:themeFillTint="99"/>
            <w:vAlign w:val="center"/>
          </w:tcPr>
          <w:p w14:paraId="2E724B0F"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0.60</w:t>
            </w:r>
          </w:p>
        </w:tc>
        <w:tc>
          <w:tcPr>
            <w:tcW w:w="265" w:type="pct"/>
            <w:gridSpan w:val="2"/>
            <w:shd w:val="clear" w:color="CCFFCC" w:fill="DAEEF3" w:themeFill="accent5" w:themeFillTint="33"/>
            <w:vAlign w:val="center"/>
          </w:tcPr>
          <w:p w14:paraId="71B64E3F"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0.48</w:t>
            </w:r>
          </w:p>
        </w:tc>
        <w:tc>
          <w:tcPr>
            <w:tcW w:w="265" w:type="pct"/>
            <w:gridSpan w:val="2"/>
            <w:vAlign w:val="center"/>
          </w:tcPr>
          <w:p w14:paraId="79E4B1E2"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0.30</w:t>
            </w:r>
          </w:p>
        </w:tc>
        <w:tc>
          <w:tcPr>
            <w:tcW w:w="265" w:type="pct"/>
            <w:gridSpan w:val="2"/>
            <w:shd w:val="clear" w:color="CCFFCC" w:fill="DAEEF3" w:themeFill="accent5" w:themeFillTint="33"/>
            <w:vAlign w:val="center"/>
          </w:tcPr>
          <w:p w14:paraId="558913A0"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0.43</w:t>
            </w:r>
          </w:p>
        </w:tc>
        <w:tc>
          <w:tcPr>
            <w:tcW w:w="265" w:type="pct"/>
            <w:gridSpan w:val="2"/>
            <w:vAlign w:val="center"/>
          </w:tcPr>
          <w:p w14:paraId="06C2C9F4"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1</w:t>
            </w:r>
          </w:p>
        </w:tc>
        <w:tc>
          <w:tcPr>
            <w:tcW w:w="265" w:type="pct"/>
            <w:gridSpan w:val="2"/>
            <w:vAlign w:val="center"/>
          </w:tcPr>
          <w:p w14:paraId="79CA4D89" w14:textId="77777777" w:rsidR="00E57F60" w:rsidRPr="009F284A" w:rsidRDefault="00E57F60" w:rsidP="00855E7B">
            <w:pPr>
              <w:pStyle w:val="Tabletext0"/>
              <w:rPr>
                <w:rFonts w:eastAsia="Cambria"/>
                <w:color w:val="auto"/>
                <w:sz w:val="14"/>
                <w:szCs w:val="14"/>
                <w:lang w:val="en-GB"/>
              </w:rPr>
            </w:pPr>
          </w:p>
        </w:tc>
        <w:tc>
          <w:tcPr>
            <w:tcW w:w="265" w:type="pct"/>
            <w:gridSpan w:val="2"/>
            <w:vAlign w:val="center"/>
          </w:tcPr>
          <w:p w14:paraId="610D6DF0" w14:textId="77777777" w:rsidR="00E57F60" w:rsidRPr="009F284A" w:rsidRDefault="00E57F60" w:rsidP="00855E7B">
            <w:pPr>
              <w:pStyle w:val="Tabletext0"/>
              <w:rPr>
                <w:rFonts w:eastAsia="Cambria"/>
                <w:color w:val="auto"/>
                <w:sz w:val="14"/>
                <w:szCs w:val="14"/>
                <w:lang w:val="en-GB"/>
              </w:rPr>
            </w:pPr>
          </w:p>
        </w:tc>
        <w:tc>
          <w:tcPr>
            <w:tcW w:w="284" w:type="pct"/>
            <w:gridSpan w:val="3"/>
            <w:vAlign w:val="center"/>
          </w:tcPr>
          <w:p w14:paraId="5B3F830D" w14:textId="77777777" w:rsidR="00E57F60" w:rsidRPr="009F284A" w:rsidRDefault="00E57F60" w:rsidP="00232477">
            <w:pPr>
              <w:autoSpaceDE w:val="0"/>
              <w:autoSpaceDN w:val="0"/>
              <w:adjustRightInd w:val="0"/>
              <w:spacing w:before="0" w:after="0" w:line="240" w:lineRule="auto"/>
              <w:jc w:val="right"/>
              <w:rPr>
                <w:rFonts w:eastAsia="Cambria" w:cs="Calibri"/>
                <w:sz w:val="14"/>
                <w:szCs w:val="14"/>
                <w:lang w:val="en-GB"/>
              </w:rPr>
            </w:pPr>
          </w:p>
        </w:tc>
      </w:tr>
      <w:tr w:rsidR="009F284A" w:rsidRPr="005F7014" w14:paraId="0191B33A" w14:textId="77777777" w:rsidTr="009F284A">
        <w:trPr>
          <w:trHeight w:val="290"/>
        </w:trPr>
        <w:tc>
          <w:tcPr>
            <w:tcW w:w="1006" w:type="pct"/>
            <w:vAlign w:val="center"/>
          </w:tcPr>
          <w:p w14:paraId="69FD1ED9" w14:textId="77777777" w:rsidR="00E57F60" w:rsidRPr="009F284A" w:rsidRDefault="00C738A5" w:rsidP="009F284A">
            <w:pPr>
              <w:pStyle w:val="Tabletext0"/>
              <w:ind w:left="202" w:hanging="202"/>
              <w:rPr>
                <w:sz w:val="16"/>
                <w:szCs w:val="16"/>
                <w:lang w:val="en-GB"/>
              </w:rPr>
            </w:pPr>
            <w:r w:rsidRPr="009F284A">
              <w:rPr>
                <w:sz w:val="16"/>
                <w:szCs w:val="16"/>
                <w:lang w:val="en-GB"/>
              </w:rPr>
              <w:t>4</w:t>
            </w:r>
            <w:r w:rsidR="00E57F60" w:rsidRPr="009F284A">
              <w:rPr>
                <w:sz w:val="16"/>
                <w:szCs w:val="16"/>
                <w:lang w:val="en-GB"/>
              </w:rPr>
              <w:t xml:space="preserve">. Impact </w:t>
            </w:r>
          </w:p>
        </w:tc>
        <w:tc>
          <w:tcPr>
            <w:tcW w:w="264" w:type="pct"/>
            <w:vAlign w:val="center"/>
          </w:tcPr>
          <w:p w14:paraId="2E956976"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0.10</w:t>
            </w:r>
          </w:p>
        </w:tc>
        <w:tc>
          <w:tcPr>
            <w:tcW w:w="265" w:type="pct"/>
            <w:vAlign w:val="center"/>
          </w:tcPr>
          <w:p w14:paraId="34FBACA9"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0.21</w:t>
            </w:r>
          </w:p>
        </w:tc>
        <w:tc>
          <w:tcPr>
            <w:tcW w:w="265" w:type="pct"/>
            <w:vAlign w:val="center"/>
          </w:tcPr>
          <w:p w14:paraId="361B8C3D"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0.29</w:t>
            </w:r>
          </w:p>
        </w:tc>
        <w:tc>
          <w:tcPr>
            <w:tcW w:w="265" w:type="pct"/>
            <w:vAlign w:val="center"/>
          </w:tcPr>
          <w:p w14:paraId="59DFC684"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0.36</w:t>
            </w:r>
          </w:p>
        </w:tc>
        <w:tc>
          <w:tcPr>
            <w:tcW w:w="265" w:type="pct"/>
            <w:vAlign w:val="center"/>
          </w:tcPr>
          <w:p w14:paraId="78CFA54B"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0.37</w:t>
            </w:r>
          </w:p>
        </w:tc>
        <w:tc>
          <w:tcPr>
            <w:tcW w:w="265" w:type="pct"/>
            <w:vAlign w:val="center"/>
          </w:tcPr>
          <w:p w14:paraId="51052B4D"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0.33</w:t>
            </w:r>
          </w:p>
        </w:tc>
        <w:tc>
          <w:tcPr>
            <w:tcW w:w="265" w:type="pct"/>
            <w:vAlign w:val="center"/>
          </w:tcPr>
          <w:p w14:paraId="4E5B08F5"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0.30</w:t>
            </w:r>
          </w:p>
        </w:tc>
        <w:tc>
          <w:tcPr>
            <w:tcW w:w="265" w:type="pct"/>
            <w:gridSpan w:val="2"/>
            <w:shd w:val="clear" w:color="auto" w:fill="B6DDE8" w:themeFill="accent5" w:themeFillTint="66"/>
            <w:vAlign w:val="center"/>
          </w:tcPr>
          <w:p w14:paraId="15736CA2"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0.55</w:t>
            </w:r>
          </w:p>
        </w:tc>
        <w:tc>
          <w:tcPr>
            <w:tcW w:w="265" w:type="pct"/>
            <w:gridSpan w:val="2"/>
            <w:shd w:val="clear" w:color="CCFFCC" w:fill="DAEEF3" w:themeFill="accent5" w:themeFillTint="33"/>
            <w:vAlign w:val="center"/>
          </w:tcPr>
          <w:p w14:paraId="081B3D39"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0.41</w:t>
            </w:r>
          </w:p>
        </w:tc>
        <w:tc>
          <w:tcPr>
            <w:tcW w:w="265" w:type="pct"/>
            <w:gridSpan w:val="2"/>
            <w:vAlign w:val="center"/>
          </w:tcPr>
          <w:p w14:paraId="18087A4B"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0.34</w:t>
            </w:r>
          </w:p>
        </w:tc>
        <w:tc>
          <w:tcPr>
            <w:tcW w:w="265" w:type="pct"/>
            <w:gridSpan w:val="2"/>
            <w:vAlign w:val="center"/>
          </w:tcPr>
          <w:p w14:paraId="184846C5"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0.28</w:t>
            </w:r>
          </w:p>
        </w:tc>
        <w:tc>
          <w:tcPr>
            <w:tcW w:w="265" w:type="pct"/>
            <w:gridSpan w:val="2"/>
            <w:shd w:val="clear" w:color="auto" w:fill="DAEEF3" w:themeFill="accent5" w:themeFillTint="33"/>
            <w:vAlign w:val="center"/>
          </w:tcPr>
          <w:p w14:paraId="27CFBDE6"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0.44</w:t>
            </w:r>
          </w:p>
        </w:tc>
        <w:tc>
          <w:tcPr>
            <w:tcW w:w="265" w:type="pct"/>
            <w:gridSpan w:val="2"/>
            <w:vAlign w:val="center"/>
          </w:tcPr>
          <w:p w14:paraId="67B4DB39"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1</w:t>
            </w:r>
          </w:p>
        </w:tc>
        <w:tc>
          <w:tcPr>
            <w:tcW w:w="265" w:type="pct"/>
            <w:gridSpan w:val="2"/>
            <w:vAlign w:val="center"/>
          </w:tcPr>
          <w:p w14:paraId="204AFC2A" w14:textId="77777777" w:rsidR="00E57F60" w:rsidRPr="009F284A" w:rsidRDefault="00E57F60" w:rsidP="00855E7B">
            <w:pPr>
              <w:pStyle w:val="Tabletext0"/>
              <w:rPr>
                <w:rFonts w:eastAsia="Cambria"/>
                <w:color w:val="auto"/>
                <w:sz w:val="14"/>
                <w:szCs w:val="14"/>
                <w:lang w:val="en-GB"/>
              </w:rPr>
            </w:pPr>
          </w:p>
        </w:tc>
        <w:tc>
          <w:tcPr>
            <w:tcW w:w="284" w:type="pct"/>
            <w:gridSpan w:val="3"/>
            <w:vAlign w:val="center"/>
          </w:tcPr>
          <w:p w14:paraId="77B8A4A8" w14:textId="77777777" w:rsidR="00E57F60" w:rsidRPr="009F284A" w:rsidRDefault="00E57F60" w:rsidP="00232477">
            <w:pPr>
              <w:autoSpaceDE w:val="0"/>
              <w:autoSpaceDN w:val="0"/>
              <w:adjustRightInd w:val="0"/>
              <w:spacing w:before="0" w:after="0" w:line="240" w:lineRule="auto"/>
              <w:jc w:val="right"/>
              <w:rPr>
                <w:rFonts w:eastAsia="Cambria" w:cs="Calibri"/>
                <w:sz w:val="14"/>
                <w:szCs w:val="14"/>
                <w:lang w:val="en-GB"/>
              </w:rPr>
            </w:pPr>
          </w:p>
        </w:tc>
      </w:tr>
      <w:tr w:rsidR="009F284A" w:rsidRPr="005F7014" w14:paraId="391B1573" w14:textId="77777777" w:rsidTr="009F284A">
        <w:trPr>
          <w:trHeight w:val="290"/>
        </w:trPr>
        <w:tc>
          <w:tcPr>
            <w:tcW w:w="1006" w:type="pct"/>
            <w:vAlign w:val="center"/>
          </w:tcPr>
          <w:p w14:paraId="4D9564A7" w14:textId="77777777" w:rsidR="00E57F60" w:rsidRPr="009F284A" w:rsidRDefault="00C738A5" w:rsidP="009F284A">
            <w:pPr>
              <w:pStyle w:val="Tabletext0"/>
              <w:ind w:left="202" w:hanging="202"/>
              <w:rPr>
                <w:sz w:val="16"/>
                <w:szCs w:val="16"/>
                <w:lang w:val="en-GB"/>
              </w:rPr>
            </w:pPr>
            <w:r w:rsidRPr="009F284A">
              <w:rPr>
                <w:sz w:val="16"/>
                <w:szCs w:val="16"/>
                <w:lang w:val="en-GB"/>
              </w:rPr>
              <w:t>5</w:t>
            </w:r>
            <w:r w:rsidR="00E57F60" w:rsidRPr="009F284A">
              <w:rPr>
                <w:sz w:val="16"/>
                <w:szCs w:val="16"/>
                <w:lang w:val="en-GB"/>
              </w:rPr>
              <w:t>. Sustainability</w:t>
            </w:r>
          </w:p>
        </w:tc>
        <w:tc>
          <w:tcPr>
            <w:tcW w:w="264" w:type="pct"/>
            <w:vAlign w:val="center"/>
          </w:tcPr>
          <w:p w14:paraId="7743376D"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0.16</w:t>
            </w:r>
          </w:p>
        </w:tc>
        <w:tc>
          <w:tcPr>
            <w:tcW w:w="265" w:type="pct"/>
            <w:vAlign w:val="center"/>
          </w:tcPr>
          <w:p w14:paraId="68B25751"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0.27</w:t>
            </w:r>
          </w:p>
        </w:tc>
        <w:tc>
          <w:tcPr>
            <w:tcW w:w="265" w:type="pct"/>
            <w:vAlign w:val="center"/>
          </w:tcPr>
          <w:p w14:paraId="1CCCAF0C"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0.33</w:t>
            </w:r>
          </w:p>
        </w:tc>
        <w:tc>
          <w:tcPr>
            <w:tcW w:w="265" w:type="pct"/>
            <w:vAlign w:val="center"/>
          </w:tcPr>
          <w:p w14:paraId="7364130F"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0.25</w:t>
            </w:r>
          </w:p>
        </w:tc>
        <w:tc>
          <w:tcPr>
            <w:tcW w:w="265" w:type="pct"/>
            <w:vAlign w:val="center"/>
          </w:tcPr>
          <w:p w14:paraId="613C0D06"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0.24</w:t>
            </w:r>
          </w:p>
        </w:tc>
        <w:tc>
          <w:tcPr>
            <w:tcW w:w="265" w:type="pct"/>
            <w:vAlign w:val="center"/>
          </w:tcPr>
          <w:p w14:paraId="57CC92A5"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0.09</w:t>
            </w:r>
          </w:p>
        </w:tc>
        <w:tc>
          <w:tcPr>
            <w:tcW w:w="265" w:type="pct"/>
            <w:vAlign w:val="center"/>
          </w:tcPr>
          <w:p w14:paraId="5E229A42"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0.38</w:t>
            </w:r>
          </w:p>
        </w:tc>
        <w:tc>
          <w:tcPr>
            <w:tcW w:w="265" w:type="pct"/>
            <w:gridSpan w:val="2"/>
            <w:shd w:val="clear" w:color="auto" w:fill="92CDDC" w:themeFill="accent5" w:themeFillTint="99"/>
            <w:vAlign w:val="center"/>
          </w:tcPr>
          <w:p w14:paraId="7084B967"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0.66</w:t>
            </w:r>
          </w:p>
        </w:tc>
        <w:tc>
          <w:tcPr>
            <w:tcW w:w="265" w:type="pct"/>
            <w:gridSpan w:val="2"/>
            <w:shd w:val="clear" w:color="CCFFCC" w:fill="DAEEF3" w:themeFill="accent5" w:themeFillTint="33"/>
            <w:vAlign w:val="center"/>
          </w:tcPr>
          <w:p w14:paraId="2EC9A60C"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0.47</w:t>
            </w:r>
          </w:p>
        </w:tc>
        <w:tc>
          <w:tcPr>
            <w:tcW w:w="265" w:type="pct"/>
            <w:gridSpan w:val="2"/>
            <w:vAlign w:val="center"/>
          </w:tcPr>
          <w:p w14:paraId="08F3D721"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0.34</w:t>
            </w:r>
          </w:p>
        </w:tc>
        <w:tc>
          <w:tcPr>
            <w:tcW w:w="265" w:type="pct"/>
            <w:gridSpan w:val="2"/>
            <w:shd w:val="clear" w:color="auto" w:fill="B6DDE8" w:themeFill="accent5" w:themeFillTint="66"/>
            <w:vAlign w:val="center"/>
          </w:tcPr>
          <w:p w14:paraId="0D90CC62"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0.56</w:t>
            </w:r>
          </w:p>
        </w:tc>
        <w:tc>
          <w:tcPr>
            <w:tcW w:w="265" w:type="pct"/>
            <w:gridSpan w:val="2"/>
            <w:shd w:val="clear" w:color="auto" w:fill="DAEEF3" w:themeFill="accent5" w:themeFillTint="33"/>
            <w:vAlign w:val="center"/>
          </w:tcPr>
          <w:p w14:paraId="06FD7258"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0.41</w:t>
            </w:r>
          </w:p>
        </w:tc>
        <w:tc>
          <w:tcPr>
            <w:tcW w:w="265" w:type="pct"/>
            <w:gridSpan w:val="2"/>
            <w:shd w:val="clear" w:color="auto" w:fill="B6DDE8" w:themeFill="accent5" w:themeFillTint="66"/>
            <w:vAlign w:val="center"/>
          </w:tcPr>
          <w:p w14:paraId="441849EC"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0.50</w:t>
            </w:r>
          </w:p>
        </w:tc>
        <w:tc>
          <w:tcPr>
            <w:tcW w:w="265" w:type="pct"/>
            <w:gridSpan w:val="2"/>
            <w:vAlign w:val="center"/>
          </w:tcPr>
          <w:p w14:paraId="72D8C629" w14:textId="77777777" w:rsidR="00E57F60" w:rsidRPr="009F284A" w:rsidRDefault="00E57F60" w:rsidP="00855E7B">
            <w:pPr>
              <w:pStyle w:val="Tabletext0"/>
              <w:rPr>
                <w:rFonts w:eastAsia="Cambria"/>
                <w:color w:val="auto"/>
                <w:sz w:val="14"/>
                <w:szCs w:val="14"/>
                <w:lang w:val="en-GB"/>
              </w:rPr>
            </w:pPr>
            <w:r w:rsidRPr="009F284A">
              <w:rPr>
                <w:rFonts w:eastAsia="Cambria"/>
                <w:color w:val="auto"/>
                <w:sz w:val="14"/>
                <w:szCs w:val="14"/>
                <w:lang w:val="en-GB"/>
              </w:rPr>
              <w:t>1</w:t>
            </w:r>
          </w:p>
        </w:tc>
        <w:tc>
          <w:tcPr>
            <w:tcW w:w="284" w:type="pct"/>
            <w:gridSpan w:val="3"/>
            <w:vAlign w:val="center"/>
          </w:tcPr>
          <w:p w14:paraId="01371486" w14:textId="77777777" w:rsidR="00E57F60" w:rsidRPr="009F284A" w:rsidRDefault="00E57F60" w:rsidP="00855E7B">
            <w:pPr>
              <w:pStyle w:val="Tabletext0"/>
              <w:rPr>
                <w:rFonts w:eastAsia="Cambria"/>
                <w:color w:val="auto"/>
                <w:sz w:val="14"/>
                <w:szCs w:val="14"/>
                <w:lang w:val="en-GB"/>
              </w:rPr>
            </w:pPr>
          </w:p>
        </w:tc>
      </w:tr>
      <w:tr w:rsidR="009F284A" w:rsidRPr="005F7014" w14:paraId="223A73A0" w14:textId="77777777" w:rsidTr="009F284A">
        <w:trPr>
          <w:trHeight w:val="305"/>
        </w:trPr>
        <w:tc>
          <w:tcPr>
            <w:tcW w:w="1006" w:type="pct"/>
            <w:vAlign w:val="center"/>
          </w:tcPr>
          <w:p w14:paraId="5F129C2B" w14:textId="77777777" w:rsidR="00E57F60" w:rsidRPr="009F284A" w:rsidRDefault="00C738A5" w:rsidP="009F284A">
            <w:pPr>
              <w:pStyle w:val="Tabletext0"/>
              <w:ind w:left="202" w:hanging="202"/>
              <w:rPr>
                <w:sz w:val="16"/>
                <w:szCs w:val="16"/>
                <w:lang w:val="en-GB"/>
              </w:rPr>
            </w:pPr>
            <w:r w:rsidRPr="009F284A">
              <w:rPr>
                <w:sz w:val="16"/>
                <w:szCs w:val="16"/>
                <w:lang w:val="en-GB"/>
              </w:rPr>
              <w:t>6</w:t>
            </w:r>
            <w:r w:rsidR="00E57F60" w:rsidRPr="009F284A">
              <w:rPr>
                <w:sz w:val="16"/>
                <w:szCs w:val="16"/>
                <w:lang w:val="en-GB"/>
              </w:rPr>
              <w:t xml:space="preserve">. Gender </w:t>
            </w:r>
            <w:r w:rsidR="00D91598" w:rsidRPr="009F284A">
              <w:rPr>
                <w:sz w:val="16"/>
                <w:szCs w:val="16"/>
                <w:lang w:val="en-GB"/>
              </w:rPr>
              <w:t>equality</w:t>
            </w:r>
          </w:p>
        </w:tc>
        <w:tc>
          <w:tcPr>
            <w:tcW w:w="264" w:type="pct"/>
            <w:vAlign w:val="center"/>
          </w:tcPr>
          <w:p w14:paraId="67FDF62F" w14:textId="77777777" w:rsidR="00E57F60" w:rsidRPr="009F284A" w:rsidRDefault="00E57F60" w:rsidP="0037634F">
            <w:pPr>
              <w:pStyle w:val="Tabletext0"/>
              <w:rPr>
                <w:rFonts w:eastAsia="Cambria"/>
                <w:sz w:val="14"/>
                <w:szCs w:val="14"/>
                <w:lang w:val="en-GB"/>
              </w:rPr>
            </w:pPr>
            <w:r w:rsidRPr="009F284A">
              <w:rPr>
                <w:rFonts w:eastAsia="Cambria"/>
                <w:sz w:val="14"/>
                <w:szCs w:val="14"/>
                <w:lang w:val="en-GB"/>
              </w:rPr>
              <w:t>0.24</w:t>
            </w:r>
          </w:p>
        </w:tc>
        <w:tc>
          <w:tcPr>
            <w:tcW w:w="265" w:type="pct"/>
            <w:vAlign w:val="center"/>
          </w:tcPr>
          <w:p w14:paraId="14DA5DBE" w14:textId="77777777" w:rsidR="00E57F60" w:rsidRPr="009F284A" w:rsidRDefault="00E57F60" w:rsidP="0037634F">
            <w:pPr>
              <w:pStyle w:val="Tabletext0"/>
              <w:rPr>
                <w:rFonts w:eastAsia="Cambria"/>
                <w:sz w:val="14"/>
                <w:szCs w:val="14"/>
                <w:lang w:val="en-GB"/>
              </w:rPr>
            </w:pPr>
            <w:r w:rsidRPr="009F284A">
              <w:rPr>
                <w:rFonts w:eastAsia="Cambria"/>
                <w:sz w:val="14"/>
                <w:szCs w:val="14"/>
                <w:lang w:val="en-GB"/>
              </w:rPr>
              <w:t>0.21</w:t>
            </w:r>
          </w:p>
        </w:tc>
        <w:tc>
          <w:tcPr>
            <w:tcW w:w="265" w:type="pct"/>
            <w:vAlign w:val="center"/>
          </w:tcPr>
          <w:p w14:paraId="184AEE62" w14:textId="77777777" w:rsidR="00E57F60" w:rsidRPr="009F284A" w:rsidRDefault="00E57F60" w:rsidP="0037634F">
            <w:pPr>
              <w:pStyle w:val="Tabletext0"/>
              <w:rPr>
                <w:rFonts w:eastAsia="Cambria"/>
                <w:sz w:val="14"/>
                <w:szCs w:val="14"/>
                <w:lang w:val="en-GB"/>
              </w:rPr>
            </w:pPr>
            <w:r w:rsidRPr="009F284A">
              <w:rPr>
                <w:rFonts w:eastAsia="Cambria"/>
                <w:sz w:val="14"/>
                <w:szCs w:val="14"/>
                <w:lang w:val="en-GB"/>
              </w:rPr>
              <w:t>0.30</w:t>
            </w:r>
          </w:p>
        </w:tc>
        <w:tc>
          <w:tcPr>
            <w:tcW w:w="265" w:type="pct"/>
            <w:vAlign w:val="center"/>
          </w:tcPr>
          <w:p w14:paraId="0DA7ED76" w14:textId="77777777" w:rsidR="00E57F60" w:rsidRPr="009F284A" w:rsidRDefault="00E57F60" w:rsidP="0037634F">
            <w:pPr>
              <w:pStyle w:val="Tabletext0"/>
              <w:rPr>
                <w:rFonts w:eastAsia="Cambria"/>
                <w:sz w:val="14"/>
                <w:szCs w:val="14"/>
                <w:lang w:val="en-GB"/>
              </w:rPr>
            </w:pPr>
            <w:r w:rsidRPr="009F284A">
              <w:rPr>
                <w:rFonts w:eastAsia="Cambria"/>
                <w:sz w:val="14"/>
                <w:szCs w:val="14"/>
                <w:lang w:val="en-GB"/>
              </w:rPr>
              <w:t>0.37</w:t>
            </w:r>
          </w:p>
        </w:tc>
        <w:tc>
          <w:tcPr>
            <w:tcW w:w="265" w:type="pct"/>
            <w:shd w:val="clear" w:color="CCFFCC" w:fill="DAEEF3" w:themeFill="accent5" w:themeFillTint="33"/>
            <w:vAlign w:val="center"/>
          </w:tcPr>
          <w:p w14:paraId="7E4D82C2" w14:textId="77777777" w:rsidR="00E57F60" w:rsidRPr="009F284A" w:rsidRDefault="00E57F60" w:rsidP="0037634F">
            <w:pPr>
              <w:pStyle w:val="Tabletext0"/>
              <w:rPr>
                <w:rFonts w:eastAsia="Cambria"/>
                <w:sz w:val="14"/>
                <w:szCs w:val="14"/>
                <w:lang w:val="en-GB"/>
              </w:rPr>
            </w:pPr>
            <w:r w:rsidRPr="009F284A">
              <w:rPr>
                <w:rFonts w:eastAsia="Cambria"/>
                <w:sz w:val="14"/>
                <w:szCs w:val="14"/>
                <w:lang w:val="en-GB"/>
              </w:rPr>
              <w:t>0.48</w:t>
            </w:r>
          </w:p>
        </w:tc>
        <w:tc>
          <w:tcPr>
            <w:tcW w:w="265" w:type="pct"/>
            <w:vAlign w:val="center"/>
          </w:tcPr>
          <w:p w14:paraId="7E9E43D5" w14:textId="77777777" w:rsidR="00E57F60" w:rsidRPr="009F284A" w:rsidRDefault="00E57F60" w:rsidP="0037634F">
            <w:pPr>
              <w:pStyle w:val="Tabletext0"/>
              <w:rPr>
                <w:rFonts w:eastAsia="Cambria"/>
                <w:sz w:val="14"/>
                <w:szCs w:val="14"/>
                <w:lang w:val="en-GB"/>
              </w:rPr>
            </w:pPr>
            <w:r w:rsidRPr="009F284A">
              <w:rPr>
                <w:rFonts w:eastAsia="Cambria"/>
                <w:sz w:val="14"/>
                <w:szCs w:val="14"/>
                <w:lang w:val="en-GB"/>
              </w:rPr>
              <w:t>0.22</w:t>
            </w:r>
          </w:p>
        </w:tc>
        <w:tc>
          <w:tcPr>
            <w:tcW w:w="265" w:type="pct"/>
            <w:vAlign w:val="center"/>
          </w:tcPr>
          <w:p w14:paraId="189D5039" w14:textId="77777777" w:rsidR="00E57F60" w:rsidRPr="009F284A" w:rsidRDefault="00E57F60" w:rsidP="0037634F">
            <w:pPr>
              <w:pStyle w:val="Tabletext0"/>
              <w:rPr>
                <w:rFonts w:eastAsia="Cambria"/>
                <w:sz w:val="14"/>
                <w:szCs w:val="14"/>
                <w:lang w:val="en-GB"/>
              </w:rPr>
            </w:pPr>
            <w:r w:rsidRPr="009F284A">
              <w:rPr>
                <w:rFonts w:eastAsia="Cambria"/>
                <w:sz w:val="14"/>
                <w:szCs w:val="14"/>
                <w:lang w:val="en-GB"/>
              </w:rPr>
              <w:t>0.17</w:t>
            </w:r>
          </w:p>
        </w:tc>
        <w:tc>
          <w:tcPr>
            <w:tcW w:w="265" w:type="pct"/>
            <w:gridSpan w:val="2"/>
            <w:shd w:val="clear" w:color="CCFFCC" w:fill="DAEEF3" w:themeFill="accent5" w:themeFillTint="33"/>
            <w:vAlign w:val="center"/>
          </w:tcPr>
          <w:p w14:paraId="661B4856" w14:textId="77777777" w:rsidR="00E57F60" w:rsidRPr="009F284A" w:rsidRDefault="00E57F60" w:rsidP="0037634F">
            <w:pPr>
              <w:pStyle w:val="Tabletext0"/>
              <w:rPr>
                <w:rFonts w:eastAsia="Cambria"/>
                <w:sz w:val="14"/>
                <w:szCs w:val="14"/>
                <w:lang w:val="en-GB"/>
              </w:rPr>
            </w:pPr>
            <w:r w:rsidRPr="009F284A">
              <w:rPr>
                <w:rFonts w:eastAsia="Cambria"/>
                <w:sz w:val="14"/>
                <w:szCs w:val="14"/>
                <w:lang w:val="en-GB"/>
              </w:rPr>
              <w:t>0.48</w:t>
            </w:r>
          </w:p>
        </w:tc>
        <w:tc>
          <w:tcPr>
            <w:tcW w:w="265" w:type="pct"/>
            <w:gridSpan w:val="2"/>
            <w:vAlign w:val="center"/>
          </w:tcPr>
          <w:p w14:paraId="3FB2FCD5" w14:textId="77777777" w:rsidR="00E57F60" w:rsidRPr="009F284A" w:rsidRDefault="00E57F60" w:rsidP="0037634F">
            <w:pPr>
              <w:pStyle w:val="Tabletext0"/>
              <w:rPr>
                <w:rFonts w:eastAsia="Cambria"/>
                <w:sz w:val="14"/>
                <w:szCs w:val="14"/>
                <w:lang w:val="en-GB"/>
              </w:rPr>
            </w:pPr>
            <w:r w:rsidRPr="009F284A">
              <w:rPr>
                <w:rFonts w:eastAsia="Cambria"/>
                <w:sz w:val="14"/>
                <w:szCs w:val="14"/>
                <w:lang w:val="en-GB"/>
              </w:rPr>
              <w:t>0.31</w:t>
            </w:r>
          </w:p>
        </w:tc>
        <w:tc>
          <w:tcPr>
            <w:tcW w:w="265" w:type="pct"/>
            <w:gridSpan w:val="2"/>
            <w:vAlign w:val="center"/>
          </w:tcPr>
          <w:p w14:paraId="509A5F4E" w14:textId="77777777" w:rsidR="00E57F60" w:rsidRPr="009F284A" w:rsidRDefault="00E57F60" w:rsidP="0037634F">
            <w:pPr>
              <w:pStyle w:val="Tabletext0"/>
              <w:rPr>
                <w:rFonts w:eastAsia="Cambria"/>
                <w:sz w:val="14"/>
                <w:szCs w:val="14"/>
                <w:lang w:val="en-GB"/>
              </w:rPr>
            </w:pPr>
            <w:r w:rsidRPr="009F284A">
              <w:rPr>
                <w:rFonts w:eastAsia="Cambria"/>
                <w:sz w:val="14"/>
                <w:szCs w:val="14"/>
                <w:lang w:val="en-GB"/>
              </w:rPr>
              <w:t>0.37</w:t>
            </w:r>
          </w:p>
        </w:tc>
        <w:tc>
          <w:tcPr>
            <w:tcW w:w="265" w:type="pct"/>
            <w:gridSpan w:val="2"/>
            <w:vAlign w:val="center"/>
          </w:tcPr>
          <w:p w14:paraId="4D470AB4" w14:textId="77777777" w:rsidR="00E57F60" w:rsidRPr="009F284A" w:rsidRDefault="00E57F60" w:rsidP="0037634F">
            <w:pPr>
              <w:pStyle w:val="Tabletext0"/>
              <w:rPr>
                <w:rFonts w:eastAsia="Cambria"/>
                <w:sz w:val="14"/>
                <w:szCs w:val="14"/>
                <w:lang w:val="en-GB"/>
              </w:rPr>
            </w:pPr>
            <w:r w:rsidRPr="009F284A">
              <w:rPr>
                <w:rFonts w:eastAsia="Cambria"/>
                <w:sz w:val="14"/>
                <w:szCs w:val="14"/>
                <w:lang w:val="en-GB"/>
              </w:rPr>
              <w:t>0.37</w:t>
            </w:r>
          </w:p>
        </w:tc>
        <w:tc>
          <w:tcPr>
            <w:tcW w:w="265" w:type="pct"/>
            <w:gridSpan w:val="2"/>
            <w:vAlign w:val="center"/>
          </w:tcPr>
          <w:p w14:paraId="39726D4A" w14:textId="77777777" w:rsidR="00E57F60" w:rsidRPr="009F284A" w:rsidRDefault="00E57F60" w:rsidP="0037634F">
            <w:pPr>
              <w:pStyle w:val="Tabletext0"/>
              <w:rPr>
                <w:rFonts w:eastAsia="Cambria"/>
                <w:sz w:val="14"/>
                <w:szCs w:val="14"/>
                <w:lang w:val="en-GB"/>
              </w:rPr>
            </w:pPr>
            <w:r w:rsidRPr="009F284A">
              <w:rPr>
                <w:rFonts w:eastAsia="Cambria"/>
                <w:sz w:val="14"/>
                <w:szCs w:val="14"/>
                <w:lang w:val="en-GB"/>
              </w:rPr>
              <w:t>0.27</w:t>
            </w:r>
          </w:p>
        </w:tc>
        <w:tc>
          <w:tcPr>
            <w:tcW w:w="265" w:type="pct"/>
            <w:gridSpan w:val="2"/>
            <w:shd w:val="clear" w:color="auto" w:fill="B6DDE8" w:themeFill="accent5" w:themeFillTint="66"/>
            <w:vAlign w:val="center"/>
          </w:tcPr>
          <w:p w14:paraId="75D777D0" w14:textId="77777777" w:rsidR="00E57F60" w:rsidRPr="009F284A" w:rsidRDefault="00E57F60" w:rsidP="0037634F">
            <w:pPr>
              <w:pStyle w:val="Tabletext0"/>
              <w:rPr>
                <w:rFonts w:eastAsia="Cambria"/>
                <w:sz w:val="14"/>
                <w:szCs w:val="14"/>
                <w:lang w:val="en-GB"/>
              </w:rPr>
            </w:pPr>
            <w:r w:rsidRPr="009F284A">
              <w:rPr>
                <w:rFonts w:eastAsia="Cambria"/>
                <w:sz w:val="14"/>
                <w:szCs w:val="14"/>
                <w:lang w:val="en-GB"/>
              </w:rPr>
              <w:t>0.54</w:t>
            </w:r>
          </w:p>
        </w:tc>
        <w:tc>
          <w:tcPr>
            <w:tcW w:w="265" w:type="pct"/>
            <w:gridSpan w:val="2"/>
            <w:vAlign w:val="center"/>
          </w:tcPr>
          <w:p w14:paraId="661C4EC9" w14:textId="77777777" w:rsidR="00E57F60" w:rsidRPr="009F284A" w:rsidRDefault="00E57F60" w:rsidP="0037634F">
            <w:pPr>
              <w:pStyle w:val="Tabletext0"/>
              <w:rPr>
                <w:rFonts w:eastAsia="Cambria"/>
                <w:sz w:val="14"/>
                <w:szCs w:val="14"/>
                <w:lang w:val="en-GB"/>
              </w:rPr>
            </w:pPr>
            <w:r w:rsidRPr="009F284A">
              <w:rPr>
                <w:rFonts w:eastAsia="Cambria"/>
                <w:sz w:val="14"/>
                <w:szCs w:val="14"/>
                <w:lang w:val="en-GB"/>
              </w:rPr>
              <w:t>0.35</w:t>
            </w:r>
          </w:p>
        </w:tc>
        <w:tc>
          <w:tcPr>
            <w:tcW w:w="284" w:type="pct"/>
            <w:gridSpan w:val="3"/>
            <w:vAlign w:val="center"/>
          </w:tcPr>
          <w:p w14:paraId="67076855" w14:textId="77777777" w:rsidR="00E57F60" w:rsidRPr="009F284A" w:rsidRDefault="00E57F60" w:rsidP="00C22AAC">
            <w:pPr>
              <w:pStyle w:val="Tabletext0"/>
              <w:rPr>
                <w:rFonts w:eastAsia="Cambria"/>
                <w:sz w:val="14"/>
                <w:szCs w:val="14"/>
                <w:lang w:val="en-GB"/>
              </w:rPr>
            </w:pPr>
            <w:r w:rsidRPr="009F284A">
              <w:rPr>
                <w:rFonts w:eastAsia="Cambria"/>
                <w:sz w:val="14"/>
                <w:szCs w:val="14"/>
                <w:lang w:val="en-GB"/>
              </w:rPr>
              <w:t>1</w:t>
            </w:r>
          </w:p>
        </w:tc>
      </w:tr>
    </w:tbl>
    <w:p w14:paraId="65243DC4" w14:textId="77777777" w:rsidR="00D5376D" w:rsidRPr="00353679" w:rsidRDefault="00D5376D" w:rsidP="005A180E">
      <w:pPr>
        <w:pStyle w:val="Heading2"/>
      </w:pPr>
      <w:bookmarkStart w:id="325" w:name="_Toc373303749"/>
      <w:bookmarkStart w:id="326" w:name="_Toc373304316"/>
      <w:bookmarkStart w:id="327" w:name="_Toc378059943"/>
      <w:bookmarkStart w:id="328" w:name="_Toc378060031"/>
      <w:bookmarkStart w:id="329" w:name="_Toc387675140"/>
      <w:bookmarkStart w:id="330" w:name="_Ref372733099"/>
      <w:bookmarkStart w:id="331" w:name="_Toc372125042"/>
      <w:bookmarkStart w:id="332" w:name="_Toc372738087"/>
      <w:r w:rsidRPr="00353679">
        <w:lastRenderedPageBreak/>
        <w:t>Enabling and inhibiting factors affecting evaluation quality</w:t>
      </w:r>
      <w:bookmarkEnd w:id="325"/>
      <w:bookmarkEnd w:id="326"/>
      <w:bookmarkEnd w:id="327"/>
      <w:bookmarkEnd w:id="328"/>
      <w:bookmarkEnd w:id="329"/>
    </w:p>
    <w:p w14:paraId="3A6262DE" w14:textId="613A1965" w:rsidR="00E57F60" w:rsidRDefault="00E57F60" w:rsidP="00E80239">
      <w:pPr>
        <w:pStyle w:val="FigureName"/>
      </w:pPr>
      <w:bookmarkStart w:id="333" w:name="_Ref363403060"/>
      <w:bookmarkStart w:id="334" w:name="_Toc366507161"/>
      <w:bookmarkStart w:id="335" w:name="_Toc372738091"/>
      <w:bookmarkEnd w:id="330"/>
      <w:bookmarkEnd w:id="331"/>
      <w:bookmarkEnd w:id="332"/>
      <w:r w:rsidRPr="00E57F60">
        <w:t xml:space="preserve">Figure </w:t>
      </w:r>
      <w:r w:rsidR="007C3830">
        <w:fldChar w:fldCharType="begin"/>
      </w:r>
      <w:r w:rsidR="007C3830">
        <w:instrText xml:space="preserve"> SEQ Figure \* ARABIC </w:instrText>
      </w:r>
      <w:r w:rsidR="007C3830">
        <w:fldChar w:fldCharType="separate"/>
      </w:r>
      <w:r w:rsidR="00147362">
        <w:rPr>
          <w:noProof/>
        </w:rPr>
        <w:t>10</w:t>
      </w:r>
      <w:r w:rsidR="007C3830">
        <w:rPr>
          <w:noProof/>
        </w:rPr>
        <w:fldChar w:fldCharType="end"/>
      </w:r>
      <w:bookmarkEnd w:id="333"/>
      <w:r w:rsidRPr="00E57F60">
        <w:rPr>
          <w:noProof/>
        </w:rPr>
        <w:tab/>
      </w:r>
      <w:r w:rsidR="00B63D42">
        <w:t>P</w:t>
      </w:r>
      <w:r w:rsidR="00792217" w:rsidRPr="00E57F60">
        <w:t>artner</w:t>
      </w:r>
      <w:r w:rsidRPr="00E57F60">
        <w:t xml:space="preserve">-led </w:t>
      </w:r>
      <w:r w:rsidR="00792217">
        <w:t>evaluations and evaluations managed by the former</w:t>
      </w:r>
      <w:r w:rsidRPr="00E57F60">
        <w:t xml:space="preserve"> AusAID</w:t>
      </w:r>
      <w:r w:rsidR="00792217">
        <w:t xml:space="preserve"> alone</w:t>
      </w:r>
      <w:r w:rsidR="00B63D42">
        <w:t>—</w:t>
      </w:r>
      <w:r w:rsidR="00792217">
        <w:t>quality comparison</w:t>
      </w:r>
      <w:bookmarkEnd w:id="334"/>
      <w:bookmarkEnd w:id="335"/>
    </w:p>
    <w:p w14:paraId="77E207BC" w14:textId="62570837" w:rsidR="003E6D92" w:rsidRDefault="00D63188" w:rsidP="003A18C7">
      <w:pPr>
        <w:keepNext/>
        <w:keepLines/>
        <w:tabs>
          <w:tab w:val="left" w:pos="1080"/>
        </w:tabs>
        <w:spacing w:before="120" w:after="0" w:line="240" w:lineRule="auto"/>
        <w:rPr>
          <w:rFonts w:ascii="Cambria" w:hAnsi="Cambria"/>
          <w:szCs w:val="24"/>
        </w:rPr>
      </w:pPr>
      <w:r>
        <w:rPr>
          <w:noProof/>
        </w:rPr>
        <w:drawing>
          <wp:inline distT="0" distB="0" distL="0" distR="0" wp14:anchorId="1C5255B8" wp14:editId="5CE89989">
            <wp:extent cx="5724939" cy="7784327"/>
            <wp:effectExtent l="0" t="0" r="0" b="76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3E6D92">
        <w:rPr>
          <w:rFonts w:ascii="Cambria" w:hAnsi="Cambria"/>
          <w:szCs w:val="24"/>
        </w:rPr>
        <w:br w:type="page"/>
      </w:r>
    </w:p>
    <w:p w14:paraId="60E22986" w14:textId="1E898CC5" w:rsidR="002471BB" w:rsidRDefault="002471BB">
      <w:pPr>
        <w:spacing w:before="0" w:after="0" w:line="240" w:lineRule="auto"/>
        <w:rPr>
          <w:rFonts w:ascii="Cambria" w:hAnsi="Cambria"/>
          <w:szCs w:val="24"/>
        </w:rPr>
      </w:pPr>
    </w:p>
    <w:p w14:paraId="4CB2CD18" w14:textId="77777777" w:rsidR="00E57F60" w:rsidRPr="00E57F60" w:rsidRDefault="00E57F60">
      <w:pPr>
        <w:pStyle w:val="FigureName"/>
      </w:pPr>
      <w:bookmarkStart w:id="336" w:name="_Ref372717848"/>
      <w:bookmarkStart w:id="337" w:name="_Toc366507166"/>
      <w:bookmarkStart w:id="338" w:name="_Toc372738094"/>
      <w:r w:rsidRPr="00E57F60">
        <w:t xml:space="preserve">Figure </w:t>
      </w:r>
      <w:r w:rsidR="007C3830">
        <w:fldChar w:fldCharType="begin"/>
      </w:r>
      <w:r w:rsidR="007C3830">
        <w:instrText xml:space="preserve"> SEQ Figure \* ARABIC </w:instrText>
      </w:r>
      <w:r w:rsidR="007C3830">
        <w:fldChar w:fldCharType="separate"/>
      </w:r>
      <w:r w:rsidR="00147362">
        <w:rPr>
          <w:noProof/>
        </w:rPr>
        <w:t>11</w:t>
      </w:r>
      <w:r w:rsidR="007C3830">
        <w:rPr>
          <w:noProof/>
        </w:rPr>
        <w:fldChar w:fldCharType="end"/>
      </w:r>
      <w:bookmarkEnd w:id="336"/>
      <w:r w:rsidRPr="00E57F60">
        <w:tab/>
        <w:t xml:space="preserve">Credibility </w:t>
      </w:r>
      <w:r w:rsidR="000B2FF8">
        <w:t>of evidence and analysis</w:t>
      </w:r>
      <w:r w:rsidR="000B2FF8" w:rsidRPr="00E57F60">
        <w:t xml:space="preserve"> </w:t>
      </w:r>
      <w:r w:rsidRPr="00E57F60">
        <w:t xml:space="preserve">by </w:t>
      </w:r>
      <w:r w:rsidR="000B2FF8">
        <w:t>p</w:t>
      </w:r>
      <w:r w:rsidR="000B2FF8" w:rsidRPr="00E57F60">
        <w:t xml:space="preserve">rimary </w:t>
      </w:r>
      <w:bookmarkEnd w:id="337"/>
      <w:bookmarkEnd w:id="338"/>
      <w:r w:rsidR="000B2FF8">
        <w:t>s</w:t>
      </w:r>
      <w:r w:rsidR="000B2FF8" w:rsidRPr="00E57F60">
        <w:t>ector</w:t>
      </w:r>
    </w:p>
    <w:tbl>
      <w:tblPr>
        <w:tblStyle w:val="LightList-Accent11"/>
        <w:tblW w:w="4970" w:type="pct"/>
        <w:tblBorders>
          <w:top w:val="none" w:sz="0" w:space="0" w:color="auto"/>
          <w:left w:val="none" w:sz="0" w:space="0" w:color="auto"/>
          <w:bottom w:val="none" w:sz="0" w:space="0" w:color="auto"/>
          <w:right w:val="none" w:sz="0" w:space="0" w:color="auto"/>
          <w:insideH w:val="single" w:sz="8" w:space="0" w:color="007FAD"/>
        </w:tblBorders>
        <w:tblLayout w:type="fixed"/>
        <w:tblLook w:val="04A0" w:firstRow="1" w:lastRow="0" w:firstColumn="1" w:lastColumn="0" w:noHBand="0" w:noVBand="1"/>
      </w:tblPr>
      <w:tblGrid>
        <w:gridCol w:w="2234"/>
        <w:gridCol w:w="413"/>
        <w:gridCol w:w="296"/>
        <w:gridCol w:w="711"/>
        <w:gridCol w:w="707"/>
        <w:gridCol w:w="1135"/>
        <w:gridCol w:w="1133"/>
        <w:gridCol w:w="711"/>
        <w:gridCol w:w="709"/>
        <w:gridCol w:w="378"/>
        <w:gridCol w:w="237"/>
        <w:gridCol w:w="518"/>
      </w:tblGrid>
      <w:tr w:rsidR="00612D37" w:rsidRPr="00E80239" w14:paraId="562D402E" w14:textId="77777777" w:rsidTr="00612E0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2" w:type="pct"/>
            <w:gridSpan w:val="2"/>
            <w:shd w:val="clear" w:color="auto" w:fill="007FAD"/>
            <w:noWrap/>
            <w:vAlign w:val="center"/>
            <w:hideMark/>
          </w:tcPr>
          <w:p w14:paraId="0272EB56" w14:textId="77777777" w:rsidR="000B2FF8" w:rsidRPr="00E80239" w:rsidRDefault="000B2FF8" w:rsidP="00E80239">
            <w:pPr>
              <w:pStyle w:val="TableHeading21"/>
              <w:rPr>
                <w:b/>
                <w:i w:val="0"/>
                <w:lang w:eastAsia="en-GB"/>
              </w:rPr>
            </w:pPr>
            <w:bookmarkStart w:id="339" w:name="_Toc366500454"/>
            <w:bookmarkStart w:id="340" w:name="_Toc366506461"/>
            <w:bookmarkStart w:id="341" w:name="_Toc366515897"/>
            <w:r w:rsidRPr="00E80239">
              <w:rPr>
                <w:b/>
                <w:i w:val="0"/>
                <w:lang w:eastAsia="en-GB"/>
              </w:rPr>
              <w:t>Sector</w:t>
            </w:r>
          </w:p>
        </w:tc>
        <w:tc>
          <w:tcPr>
            <w:tcW w:w="160" w:type="pct"/>
            <w:shd w:val="clear" w:color="auto" w:fill="007FAD"/>
            <w:vAlign w:val="center"/>
          </w:tcPr>
          <w:p w14:paraId="0DBAFF03" w14:textId="77777777" w:rsidR="000B2FF8" w:rsidRPr="00E80239" w:rsidRDefault="000B2FF8" w:rsidP="00E80239">
            <w:pPr>
              <w:pStyle w:val="TableHeading21"/>
              <w:cnfStyle w:val="100000000000" w:firstRow="1" w:lastRow="0" w:firstColumn="0" w:lastColumn="0" w:oddVBand="0" w:evenVBand="0" w:oddHBand="0" w:evenHBand="0" w:firstRowFirstColumn="0" w:firstRowLastColumn="0" w:lastRowFirstColumn="0" w:lastRowLastColumn="0"/>
              <w:rPr>
                <w:b/>
                <w:i w:val="0"/>
                <w:lang w:eastAsia="en-GB"/>
              </w:rPr>
            </w:pPr>
          </w:p>
        </w:tc>
        <w:tc>
          <w:tcPr>
            <w:tcW w:w="2986" w:type="pct"/>
            <w:gridSpan w:val="7"/>
            <w:shd w:val="clear" w:color="auto" w:fill="007FAD"/>
            <w:noWrap/>
            <w:vAlign w:val="center"/>
            <w:hideMark/>
          </w:tcPr>
          <w:p w14:paraId="59D5D57B" w14:textId="77777777" w:rsidR="000B2FF8" w:rsidRPr="00E80239" w:rsidRDefault="000B2FF8" w:rsidP="00E80239">
            <w:pPr>
              <w:pStyle w:val="TableHeading21"/>
              <w:cnfStyle w:val="100000000000" w:firstRow="1" w:lastRow="0" w:firstColumn="0" w:lastColumn="0" w:oddVBand="0" w:evenVBand="0" w:oddHBand="0" w:evenHBand="0" w:firstRowFirstColumn="0" w:firstRowLastColumn="0" w:lastRowFirstColumn="0" w:lastRowLastColumn="0"/>
              <w:rPr>
                <w:b/>
                <w:i w:val="0"/>
                <w:lang w:eastAsia="en-GB"/>
              </w:rPr>
            </w:pPr>
            <w:r w:rsidRPr="00E80239">
              <w:rPr>
                <w:b/>
                <w:i w:val="0"/>
                <w:lang w:eastAsia="en-GB"/>
              </w:rPr>
              <w:t xml:space="preserve">Assessment for credibility of evidence and analysis </w:t>
            </w:r>
          </w:p>
        </w:tc>
        <w:tc>
          <w:tcPr>
            <w:tcW w:w="129" w:type="pct"/>
            <w:shd w:val="clear" w:color="auto" w:fill="007FAD"/>
            <w:noWrap/>
            <w:vAlign w:val="center"/>
            <w:hideMark/>
          </w:tcPr>
          <w:p w14:paraId="7B6BB3C9" w14:textId="77777777" w:rsidR="000B2FF8" w:rsidRPr="00E80239" w:rsidRDefault="000B2FF8" w:rsidP="00E80239">
            <w:pPr>
              <w:pStyle w:val="TableHeading21"/>
              <w:cnfStyle w:val="100000000000" w:firstRow="1" w:lastRow="0" w:firstColumn="0" w:lastColumn="0" w:oddVBand="0" w:evenVBand="0" w:oddHBand="0" w:evenHBand="0" w:firstRowFirstColumn="0" w:firstRowLastColumn="0" w:lastRowFirstColumn="0" w:lastRowLastColumn="0"/>
              <w:rPr>
                <w:b/>
                <w:i w:val="0"/>
                <w:lang w:eastAsia="en-GB"/>
              </w:rPr>
            </w:pPr>
          </w:p>
        </w:tc>
        <w:tc>
          <w:tcPr>
            <w:tcW w:w="283" w:type="pct"/>
            <w:shd w:val="clear" w:color="auto" w:fill="007FAD"/>
            <w:noWrap/>
            <w:vAlign w:val="center"/>
            <w:hideMark/>
          </w:tcPr>
          <w:p w14:paraId="6DDD19A2" w14:textId="77777777" w:rsidR="000B2FF8" w:rsidRPr="00E80239" w:rsidRDefault="000B2FF8" w:rsidP="00E80239">
            <w:pPr>
              <w:pStyle w:val="TableHeading21"/>
              <w:cnfStyle w:val="100000000000" w:firstRow="1" w:lastRow="0" w:firstColumn="0" w:lastColumn="0" w:oddVBand="0" w:evenVBand="0" w:oddHBand="0" w:evenHBand="0" w:firstRowFirstColumn="0" w:firstRowLastColumn="0" w:lastRowFirstColumn="0" w:lastRowLastColumn="0"/>
              <w:rPr>
                <w:b/>
                <w:i w:val="0"/>
                <w:lang w:eastAsia="en-GB"/>
              </w:rPr>
            </w:pPr>
          </w:p>
        </w:tc>
      </w:tr>
      <w:tr w:rsidR="00612D37" w:rsidRPr="000E4FD9" w14:paraId="21CEA424" w14:textId="77777777" w:rsidTr="00612E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7" w:type="pct"/>
            <w:tcBorders>
              <w:top w:val="none" w:sz="0" w:space="0" w:color="auto"/>
              <w:left w:val="none" w:sz="0" w:space="0" w:color="auto"/>
              <w:bottom w:val="none" w:sz="0" w:space="0" w:color="auto"/>
            </w:tcBorders>
            <w:shd w:val="clear" w:color="auto" w:fill="ECF1F7"/>
            <w:noWrap/>
            <w:vAlign w:val="center"/>
            <w:hideMark/>
          </w:tcPr>
          <w:p w14:paraId="210406F2" w14:textId="77777777" w:rsidR="00D276EE" w:rsidRPr="00322D59" w:rsidRDefault="00D276EE" w:rsidP="00912E67">
            <w:pPr>
              <w:pStyle w:val="Tabletext0"/>
              <w:rPr>
                <w:lang w:eastAsia="en-GB"/>
              </w:rPr>
            </w:pPr>
          </w:p>
        </w:tc>
        <w:tc>
          <w:tcPr>
            <w:tcW w:w="386" w:type="pct"/>
            <w:gridSpan w:val="2"/>
            <w:tcBorders>
              <w:top w:val="none" w:sz="0" w:space="0" w:color="auto"/>
              <w:bottom w:val="none" w:sz="0" w:space="0" w:color="auto"/>
            </w:tcBorders>
            <w:shd w:val="clear" w:color="auto" w:fill="ECF1F7"/>
            <w:vAlign w:val="center"/>
          </w:tcPr>
          <w:p w14:paraId="328B2A69"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b/>
                <w:lang w:eastAsia="en-GB"/>
              </w:rPr>
            </w:pPr>
            <w:r w:rsidRPr="00322D59">
              <w:rPr>
                <w:b/>
                <w:lang w:eastAsia="en-GB"/>
              </w:rPr>
              <w:t>Total</w:t>
            </w:r>
          </w:p>
        </w:tc>
        <w:tc>
          <w:tcPr>
            <w:tcW w:w="387" w:type="pct"/>
            <w:tcBorders>
              <w:top w:val="none" w:sz="0" w:space="0" w:color="auto"/>
              <w:bottom w:val="none" w:sz="0" w:space="0" w:color="auto"/>
            </w:tcBorders>
            <w:shd w:val="clear" w:color="auto" w:fill="ECF1F7"/>
            <w:noWrap/>
            <w:vAlign w:val="center"/>
            <w:hideMark/>
          </w:tcPr>
          <w:p w14:paraId="1FE6D656" w14:textId="55C8A77B"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b/>
                <w:lang w:eastAsia="en-GB"/>
              </w:rPr>
            </w:pPr>
            <w:r w:rsidRPr="00DB0840">
              <w:rPr>
                <w:b/>
                <w:lang w:eastAsia="en-GB"/>
              </w:rPr>
              <w:t xml:space="preserve">Very </w:t>
            </w:r>
            <w:r w:rsidR="0028384C">
              <w:rPr>
                <w:b/>
                <w:lang w:eastAsia="en-GB"/>
              </w:rPr>
              <w:t>p</w:t>
            </w:r>
            <w:r w:rsidRPr="00DB0840">
              <w:rPr>
                <w:b/>
                <w:lang w:eastAsia="en-GB"/>
              </w:rPr>
              <w:t>oor</w:t>
            </w:r>
          </w:p>
        </w:tc>
        <w:tc>
          <w:tcPr>
            <w:tcW w:w="385" w:type="pct"/>
            <w:tcBorders>
              <w:top w:val="none" w:sz="0" w:space="0" w:color="auto"/>
              <w:bottom w:val="none" w:sz="0" w:space="0" w:color="auto"/>
            </w:tcBorders>
            <w:shd w:val="clear" w:color="auto" w:fill="ECF1F7"/>
            <w:noWrap/>
            <w:vAlign w:val="center"/>
            <w:hideMark/>
          </w:tcPr>
          <w:p w14:paraId="75B97310"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b/>
                <w:lang w:eastAsia="en-GB"/>
              </w:rPr>
            </w:pPr>
            <w:r w:rsidRPr="00DB0840">
              <w:rPr>
                <w:b/>
                <w:lang w:eastAsia="en-GB"/>
              </w:rPr>
              <w:t>Poor</w:t>
            </w:r>
          </w:p>
        </w:tc>
        <w:tc>
          <w:tcPr>
            <w:tcW w:w="618" w:type="pct"/>
            <w:tcBorders>
              <w:top w:val="none" w:sz="0" w:space="0" w:color="auto"/>
              <w:bottom w:val="none" w:sz="0" w:space="0" w:color="auto"/>
            </w:tcBorders>
            <w:shd w:val="clear" w:color="auto" w:fill="ECF1F7"/>
            <w:noWrap/>
            <w:vAlign w:val="center"/>
            <w:hideMark/>
          </w:tcPr>
          <w:p w14:paraId="66801423"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b/>
                <w:lang w:eastAsia="en-GB"/>
              </w:rPr>
            </w:pPr>
            <w:r w:rsidRPr="00DB0840">
              <w:rPr>
                <w:b/>
                <w:lang w:eastAsia="en-GB"/>
              </w:rPr>
              <w:t>Less than adequate</w:t>
            </w:r>
          </w:p>
        </w:tc>
        <w:tc>
          <w:tcPr>
            <w:tcW w:w="617" w:type="pct"/>
            <w:tcBorders>
              <w:top w:val="none" w:sz="0" w:space="0" w:color="auto"/>
              <w:bottom w:val="none" w:sz="0" w:space="0" w:color="auto"/>
            </w:tcBorders>
            <w:shd w:val="clear" w:color="auto" w:fill="ECF1F7"/>
            <w:noWrap/>
            <w:vAlign w:val="center"/>
            <w:hideMark/>
          </w:tcPr>
          <w:p w14:paraId="5A916F23"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b/>
                <w:lang w:eastAsia="en-GB"/>
              </w:rPr>
            </w:pPr>
            <w:r w:rsidRPr="00DB0840">
              <w:rPr>
                <w:b/>
                <w:lang w:eastAsia="en-GB"/>
              </w:rPr>
              <w:t>Adequate</w:t>
            </w:r>
          </w:p>
        </w:tc>
        <w:tc>
          <w:tcPr>
            <w:tcW w:w="387" w:type="pct"/>
            <w:tcBorders>
              <w:top w:val="none" w:sz="0" w:space="0" w:color="auto"/>
              <w:bottom w:val="none" w:sz="0" w:space="0" w:color="auto"/>
            </w:tcBorders>
            <w:shd w:val="clear" w:color="auto" w:fill="ECF1F7"/>
            <w:noWrap/>
            <w:vAlign w:val="center"/>
            <w:hideMark/>
          </w:tcPr>
          <w:p w14:paraId="18616530"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b/>
                <w:lang w:eastAsia="en-GB"/>
              </w:rPr>
            </w:pPr>
            <w:r w:rsidRPr="00DB0840">
              <w:rPr>
                <w:b/>
                <w:lang w:eastAsia="en-GB"/>
              </w:rPr>
              <w:t>Good</w:t>
            </w:r>
          </w:p>
        </w:tc>
        <w:tc>
          <w:tcPr>
            <w:tcW w:w="386" w:type="pct"/>
            <w:tcBorders>
              <w:top w:val="none" w:sz="0" w:space="0" w:color="auto"/>
              <w:bottom w:val="none" w:sz="0" w:space="0" w:color="auto"/>
            </w:tcBorders>
            <w:shd w:val="clear" w:color="auto" w:fill="ECF1F7"/>
            <w:noWrap/>
            <w:vAlign w:val="center"/>
            <w:hideMark/>
          </w:tcPr>
          <w:p w14:paraId="6B73A340" w14:textId="0DCDEF41"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b/>
                <w:lang w:eastAsia="en-GB"/>
              </w:rPr>
            </w:pPr>
            <w:r w:rsidRPr="00DB0840">
              <w:rPr>
                <w:b/>
                <w:lang w:eastAsia="en-GB"/>
              </w:rPr>
              <w:t xml:space="preserve">Very </w:t>
            </w:r>
            <w:r w:rsidR="0028384C">
              <w:rPr>
                <w:b/>
                <w:lang w:eastAsia="en-GB"/>
              </w:rPr>
              <w:t>h</w:t>
            </w:r>
            <w:r w:rsidRPr="00DB0840">
              <w:rPr>
                <w:b/>
                <w:lang w:eastAsia="en-GB"/>
              </w:rPr>
              <w:t>igh</w:t>
            </w:r>
          </w:p>
        </w:tc>
        <w:tc>
          <w:tcPr>
            <w:tcW w:w="617" w:type="pct"/>
            <w:gridSpan w:val="3"/>
            <w:tcBorders>
              <w:top w:val="none" w:sz="0" w:space="0" w:color="auto"/>
              <w:bottom w:val="none" w:sz="0" w:space="0" w:color="auto"/>
              <w:right w:val="none" w:sz="0" w:space="0" w:color="auto"/>
            </w:tcBorders>
            <w:shd w:val="clear" w:color="auto" w:fill="ECF1F7"/>
            <w:noWrap/>
            <w:vAlign w:val="center"/>
            <w:hideMark/>
          </w:tcPr>
          <w:p w14:paraId="4E4AACA9" w14:textId="7A9F1B50" w:rsidR="00D276EE" w:rsidRPr="00DB0840" w:rsidRDefault="00D276EE" w:rsidP="009B71BF">
            <w:pPr>
              <w:pStyle w:val="Tabletext0"/>
              <w:cnfStyle w:val="000000100000" w:firstRow="0" w:lastRow="0" w:firstColumn="0" w:lastColumn="0" w:oddVBand="0" w:evenVBand="0" w:oddHBand="1" w:evenHBand="0" w:firstRowFirstColumn="0" w:firstRowLastColumn="0" w:lastRowFirstColumn="0" w:lastRowLastColumn="0"/>
              <w:rPr>
                <w:b/>
                <w:lang w:eastAsia="en-GB"/>
              </w:rPr>
            </w:pPr>
            <w:r w:rsidRPr="00DB0840">
              <w:rPr>
                <w:b/>
                <w:lang w:eastAsia="en-GB"/>
              </w:rPr>
              <w:t>%</w:t>
            </w:r>
            <w:r w:rsidR="00612D37">
              <w:rPr>
                <w:b/>
                <w:lang w:eastAsia="en-GB"/>
              </w:rPr>
              <w:t xml:space="preserve"> </w:t>
            </w:r>
            <w:r w:rsidRPr="00DB0840">
              <w:rPr>
                <w:b/>
                <w:lang w:eastAsia="en-GB"/>
              </w:rPr>
              <w:t>ad</w:t>
            </w:r>
            <w:r>
              <w:rPr>
                <w:b/>
                <w:lang w:eastAsia="en-GB"/>
              </w:rPr>
              <w:t>e</w:t>
            </w:r>
            <w:r w:rsidRPr="00DB0840">
              <w:rPr>
                <w:b/>
                <w:lang w:eastAsia="en-GB"/>
              </w:rPr>
              <w:t>quate</w:t>
            </w:r>
            <w:r w:rsidR="009B71BF">
              <w:rPr>
                <w:b/>
                <w:lang w:eastAsia="en-GB"/>
              </w:rPr>
              <w:t xml:space="preserve"> or better</w:t>
            </w:r>
          </w:p>
        </w:tc>
      </w:tr>
      <w:tr w:rsidR="00612D37" w:rsidRPr="00322D59" w14:paraId="3DD19C2B" w14:textId="77777777" w:rsidTr="00612E0D">
        <w:trPr>
          <w:trHeight w:val="300"/>
        </w:trPr>
        <w:tc>
          <w:tcPr>
            <w:cnfStyle w:val="001000000000" w:firstRow="0" w:lastRow="0" w:firstColumn="1" w:lastColumn="0" w:oddVBand="0" w:evenVBand="0" w:oddHBand="0" w:evenHBand="0" w:firstRowFirstColumn="0" w:firstRowLastColumn="0" w:lastRowFirstColumn="0" w:lastRowLastColumn="0"/>
            <w:tcW w:w="1217" w:type="pct"/>
            <w:shd w:val="clear" w:color="auto" w:fill="auto"/>
            <w:noWrap/>
            <w:vAlign w:val="center"/>
            <w:hideMark/>
          </w:tcPr>
          <w:p w14:paraId="0F7BBD44" w14:textId="77777777" w:rsidR="00D276EE" w:rsidRPr="00DB0840" w:rsidRDefault="00D276EE" w:rsidP="00912E67">
            <w:pPr>
              <w:pStyle w:val="Tabletext0"/>
              <w:rPr>
                <w:lang w:eastAsia="en-GB"/>
              </w:rPr>
            </w:pPr>
            <w:r w:rsidRPr="00DB0840">
              <w:rPr>
                <w:lang w:eastAsia="en-GB"/>
              </w:rPr>
              <w:t>Overall</w:t>
            </w:r>
            <w:r w:rsidRPr="00DB0840">
              <w:rPr>
                <w:rStyle w:val="FootnoteReference"/>
                <w:rFonts w:ascii="Calibri" w:hAnsi="Calibri"/>
                <w:sz w:val="18"/>
                <w:szCs w:val="18"/>
                <w:lang w:eastAsia="en-GB"/>
              </w:rPr>
              <w:footnoteReference w:id="52"/>
            </w:r>
          </w:p>
        </w:tc>
        <w:tc>
          <w:tcPr>
            <w:tcW w:w="386" w:type="pct"/>
            <w:gridSpan w:val="2"/>
            <w:vAlign w:val="center"/>
          </w:tcPr>
          <w:p w14:paraId="1918986C"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b/>
                <w:lang w:eastAsia="en-GB"/>
              </w:rPr>
            </w:pPr>
            <w:r w:rsidRPr="00DB0840">
              <w:rPr>
                <w:b/>
                <w:lang w:eastAsia="en-GB"/>
              </w:rPr>
              <w:t>87</w:t>
            </w:r>
          </w:p>
        </w:tc>
        <w:tc>
          <w:tcPr>
            <w:tcW w:w="387" w:type="pct"/>
            <w:noWrap/>
            <w:vAlign w:val="center"/>
            <w:hideMark/>
          </w:tcPr>
          <w:p w14:paraId="5F9C1BFB"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b/>
                <w:lang w:eastAsia="en-GB"/>
              </w:rPr>
            </w:pPr>
            <w:r w:rsidRPr="00DB0840">
              <w:rPr>
                <w:b/>
                <w:lang w:eastAsia="en-GB"/>
              </w:rPr>
              <w:t>2</w:t>
            </w:r>
          </w:p>
        </w:tc>
        <w:tc>
          <w:tcPr>
            <w:tcW w:w="385" w:type="pct"/>
            <w:noWrap/>
            <w:vAlign w:val="center"/>
            <w:hideMark/>
          </w:tcPr>
          <w:p w14:paraId="02EA6798"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b/>
                <w:lang w:eastAsia="en-GB"/>
              </w:rPr>
            </w:pPr>
            <w:r w:rsidRPr="00DB0840">
              <w:rPr>
                <w:b/>
                <w:lang w:eastAsia="en-GB"/>
              </w:rPr>
              <w:t>5</w:t>
            </w:r>
          </w:p>
        </w:tc>
        <w:tc>
          <w:tcPr>
            <w:tcW w:w="618" w:type="pct"/>
            <w:noWrap/>
            <w:vAlign w:val="center"/>
            <w:hideMark/>
          </w:tcPr>
          <w:p w14:paraId="7594EBE9"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b/>
                <w:lang w:eastAsia="en-GB"/>
              </w:rPr>
            </w:pPr>
            <w:r w:rsidRPr="00DB0840">
              <w:rPr>
                <w:b/>
                <w:lang w:eastAsia="en-GB"/>
              </w:rPr>
              <w:t>16</w:t>
            </w:r>
          </w:p>
        </w:tc>
        <w:tc>
          <w:tcPr>
            <w:tcW w:w="617" w:type="pct"/>
            <w:noWrap/>
            <w:vAlign w:val="center"/>
            <w:hideMark/>
          </w:tcPr>
          <w:p w14:paraId="6D2B449A"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b/>
                <w:lang w:eastAsia="en-GB"/>
              </w:rPr>
            </w:pPr>
            <w:r w:rsidRPr="00DB0840">
              <w:rPr>
                <w:b/>
                <w:lang w:eastAsia="en-GB"/>
              </w:rPr>
              <w:t>33</w:t>
            </w:r>
          </w:p>
        </w:tc>
        <w:tc>
          <w:tcPr>
            <w:tcW w:w="387" w:type="pct"/>
            <w:noWrap/>
            <w:vAlign w:val="center"/>
            <w:hideMark/>
          </w:tcPr>
          <w:p w14:paraId="2FF3BB90"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b/>
                <w:lang w:eastAsia="en-GB"/>
              </w:rPr>
            </w:pPr>
            <w:r w:rsidRPr="00DB0840">
              <w:rPr>
                <w:b/>
                <w:lang w:eastAsia="en-GB"/>
              </w:rPr>
              <w:t>26</w:t>
            </w:r>
          </w:p>
        </w:tc>
        <w:tc>
          <w:tcPr>
            <w:tcW w:w="386" w:type="pct"/>
            <w:noWrap/>
            <w:vAlign w:val="center"/>
            <w:hideMark/>
          </w:tcPr>
          <w:p w14:paraId="346F4147"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b/>
                <w:lang w:eastAsia="en-GB"/>
              </w:rPr>
            </w:pPr>
            <w:r w:rsidRPr="00DB0840">
              <w:rPr>
                <w:b/>
                <w:lang w:eastAsia="en-GB"/>
              </w:rPr>
              <w:t>5</w:t>
            </w:r>
          </w:p>
        </w:tc>
        <w:tc>
          <w:tcPr>
            <w:tcW w:w="617" w:type="pct"/>
            <w:gridSpan w:val="3"/>
            <w:noWrap/>
            <w:vAlign w:val="center"/>
            <w:hideMark/>
          </w:tcPr>
          <w:p w14:paraId="2B2822F3"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b/>
                <w:lang w:eastAsia="en-GB"/>
              </w:rPr>
            </w:pPr>
            <w:r w:rsidRPr="00DB0840">
              <w:rPr>
                <w:b/>
                <w:lang w:eastAsia="en-GB"/>
              </w:rPr>
              <w:t>74%</w:t>
            </w:r>
          </w:p>
        </w:tc>
      </w:tr>
      <w:tr w:rsidR="00612D37" w:rsidRPr="003B0028" w14:paraId="7F761549" w14:textId="77777777" w:rsidTr="00612E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7" w:type="pct"/>
            <w:tcBorders>
              <w:top w:val="none" w:sz="0" w:space="0" w:color="auto"/>
              <w:left w:val="none" w:sz="0" w:space="0" w:color="auto"/>
              <w:bottom w:val="none" w:sz="0" w:space="0" w:color="auto"/>
            </w:tcBorders>
            <w:shd w:val="clear" w:color="auto" w:fill="auto"/>
            <w:noWrap/>
            <w:vAlign w:val="center"/>
            <w:hideMark/>
          </w:tcPr>
          <w:p w14:paraId="2D60F9EF" w14:textId="77777777" w:rsidR="00D276EE" w:rsidRPr="00DB0840" w:rsidRDefault="00D276EE" w:rsidP="00912E67">
            <w:pPr>
              <w:pStyle w:val="Tabletext0"/>
              <w:rPr>
                <w:lang w:eastAsia="en-GB"/>
              </w:rPr>
            </w:pPr>
            <w:r w:rsidRPr="00DB0840">
              <w:rPr>
                <w:lang w:eastAsia="en-GB"/>
              </w:rPr>
              <w:t>Human rights</w:t>
            </w:r>
          </w:p>
        </w:tc>
        <w:tc>
          <w:tcPr>
            <w:tcW w:w="386" w:type="pct"/>
            <w:gridSpan w:val="2"/>
            <w:tcBorders>
              <w:top w:val="none" w:sz="0" w:space="0" w:color="auto"/>
              <w:bottom w:val="none" w:sz="0" w:space="0" w:color="auto"/>
            </w:tcBorders>
            <w:vAlign w:val="center"/>
          </w:tcPr>
          <w:p w14:paraId="7C611745"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10</w:t>
            </w:r>
          </w:p>
        </w:tc>
        <w:tc>
          <w:tcPr>
            <w:tcW w:w="387" w:type="pct"/>
            <w:tcBorders>
              <w:top w:val="none" w:sz="0" w:space="0" w:color="auto"/>
              <w:bottom w:val="none" w:sz="0" w:space="0" w:color="auto"/>
            </w:tcBorders>
            <w:noWrap/>
            <w:vAlign w:val="center"/>
            <w:hideMark/>
          </w:tcPr>
          <w:p w14:paraId="33C69CEA"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p>
        </w:tc>
        <w:tc>
          <w:tcPr>
            <w:tcW w:w="385" w:type="pct"/>
            <w:tcBorders>
              <w:top w:val="none" w:sz="0" w:space="0" w:color="auto"/>
              <w:bottom w:val="none" w:sz="0" w:space="0" w:color="auto"/>
            </w:tcBorders>
            <w:noWrap/>
            <w:vAlign w:val="center"/>
            <w:hideMark/>
          </w:tcPr>
          <w:p w14:paraId="657E97BE"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p>
        </w:tc>
        <w:tc>
          <w:tcPr>
            <w:tcW w:w="618" w:type="pct"/>
            <w:tcBorders>
              <w:top w:val="none" w:sz="0" w:space="0" w:color="auto"/>
              <w:bottom w:val="none" w:sz="0" w:space="0" w:color="auto"/>
            </w:tcBorders>
            <w:noWrap/>
            <w:vAlign w:val="center"/>
            <w:hideMark/>
          </w:tcPr>
          <w:p w14:paraId="449052F4"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5</w:t>
            </w:r>
          </w:p>
        </w:tc>
        <w:tc>
          <w:tcPr>
            <w:tcW w:w="617" w:type="pct"/>
            <w:tcBorders>
              <w:top w:val="none" w:sz="0" w:space="0" w:color="auto"/>
              <w:bottom w:val="none" w:sz="0" w:space="0" w:color="auto"/>
            </w:tcBorders>
            <w:noWrap/>
            <w:vAlign w:val="center"/>
            <w:hideMark/>
          </w:tcPr>
          <w:p w14:paraId="6FCB28F0"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3</w:t>
            </w:r>
          </w:p>
        </w:tc>
        <w:tc>
          <w:tcPr>
            <w:tcW w:w="387" w:type="pct"/>
            <w:tcBorders>
              <w:top w:val="none" w:sz="0" w:space="0" w:color="auto"/>
              <w:bottom w:val="none" w:sz="0" w:space="0" w:color="auto"/>
            </w:tcBorders>
            <w:noWrap/>
            <w:vAlign w:val="center"/>
            <w:hideMark/>
          </w:tcPr>
          <w:p w14:paraId="5FEE7845"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2</w:t>
            </w:r>
          </w:p>
        </w:tc>
        <w:tc>
          <w:tcPr>
            <w:tcW w:w="386" w:type="pct"/>
            <w:tcBorders>
              <w:top w:val="none" w:sz="0" w:space="0" w:color="auto"/>
              <w:bottom w:val="none" w:sz="0" w:space="0" w:color="auto"/>
            </w:tcBorders>
            <w:noWrap/>
            <w:vAlign w:val="center"/>
            <w:hideMark/>
          </w:tcPr>
          <w:p w14:paraId="5A88DD49"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p>
        </w:tc>
        <w:tc>
          <w:tcPr>
            <w:tcW w:w="617" w:type="pct"/>
            <w:gridSpan w:val="3"/>
            <w:tcBorders>
              <w:top w:val="none" w:sz="0" w:space="0" w:color="auto"/>
              <w:bottom w:val="none" w:sz="0" w:space="0" w:color="auto"/>
              <w:right w:val="none" w:sz="0" w:space="0" w:color="auto"/>
            </w:tcBorders>
            <w:noWrap/>
            <w:vAlign w:val="center"/>
            <w:hideMark/>
          </w:tcPr>
          <w:p w14:paraId="4F9E1AC7"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50%</w:t>
            </w:r>
          </w:p>
        </w:tc>
      </w:tr>
      <w:tr w:rsidR="00612D37" w:rsidRPr="003B0028" w14:paraId="29595349" w14:textId="77777777" w:rsidTr="00612E0D">
        <w:trPr>
          <w:trHeight w:val="300"/>
        </w:trPr>
        <w:tc>
          <w:tcPr>
            <w:cnfStyle w:val="001000000000" w:firstRow="0" w:lastRow="0" w:firstColumn="1" w:lastColumn="0" w:oddVBand="0" w:evenVBand="0" w:oddHBand="0" w:evenHBand="0" w:firstRowFirstColumn="0" w:firstRowLastColumn="0" w:lastRowFirstColumn="0" w:lastRowLastColumn="0"/>
            <w:tcW w:w="1217" w:type="pct"/>
            <w:shd w:val="clear" w:color="auto" w:fill="auto"/>
            <w:noWrap/>
            <w:vAlign w:val="center"/>
            <w:hideMark/>
          </w:tcPr>
          <w:p w14:paraId="701B9F48" w14:textId="44E7D1A9" w:rsidR="00D276EE" w:rsidRPr="00DB0840" w:rsidRDefault="00D276EE" w:rsidP="00912E67">
            <w:pPr>
              <w:pStyle w:val="Tabletext0"/>
              <w:rPr>
                <w:lang w:eastAsia="en-GB"/>
              </w:rPr>
            </w:pPr>
            <w:r w:rsidRPr="00DB0840">
              <w:rPr>
                <w:lang w:eastAsia="en-GB"/>
              </w:rPr>
              <w:t xml:space="preserve">Food security </w:t>
            </w:r>
            <w:r w:rsidR="0028384C">
              <w:rPr>
                <w:lang w:eastAsia="en-GB"/>
              </w:rPr>
              <w:t>and</w:t>
            </w:r>
            <w:r w:rsidRPr="00DB0840">
              <w:rPr>
                <w:lang w:eastAsia="en-GB"/>
              </w:rPr>
              <w:t xml:space="preserve"> rural development</w:t>
            </w:r>
          </w:p>
        </w:tc>
        <w:tc>
          <w:tcPr>
            <w:tcW w:w="386" w:type="pct"/>
            <w:gridSpan w:val="2"/>
            <w:vAlign w:val="center"/>
          </w:tcPr>
          <w:p w14:paraId="6EBA8078"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8</w:t>
            </w:r>
          </w:p>
        </w:tc>
        <w:tc>
          <w:tcPr>
            <w:tcW w:w="387" w:type="pct"/>
            <w:noWrap/>
            <w:vAlign w:val="center"/>
            <w:hideMark/>
          </w:tcPr>
          <w:p w14:paraId="03DF6A6B"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1</w:t>
            </w:r>
          </w:p>
        </w:tc>
        <w:tc>
          <w:tcPr>
            <w:tcW w:w="385" w:type="pct"/>
            <w:noWrap/>
            <w:vAlign w:val="center"/>
            <w:hideMark/>
          </w:tcPr>
          <w:p w14:paraId="2D0230DC"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p>
        </w:tc>
        <w:tc>
          <w:tcPr>
            <w:tcW w:w="618" w:type="pct"/>
            <w:noWrap/>
            <w:vAlign w:val="center"/>
            <w:hideMark/>
          </w:tcPr>
          <w:p w14:paraId="48194548"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2</w:t>
            </w:r>
          </w:p>
        </w:tc>
        <w:tc>
          <w:tcPr>
            <w:tcW w:w="617" w:type="pct"/>
            <w:noWrap/>
            <w:vAlign w:val="center"/>
            <w:hideMark/>
          </w:tcPr>
          <w:p w14:paraId="0C83C170"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2</w:t>
            </w:r>
          </w:p>
        </w:tc>
        <w:tc>
          <w:tcPr>
            <w:tcW w:w="387" w:type="pct"/>
            <w:noWrap/>
            <w:vAlign w:val="center"/>
            <w:hideMark/>
          </w:tcPr>
          <w:p w14:paraId="35A096D7"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3</w:t>
            </w:r>
          </w:p>
        </w:tc>
        <w:tc>
          <w:tcPr>
            <w:tcW w:w="386" w:type="pct"/>
            <w:noWrap/>
            <w:vAlign w:val="center"/>
            <w:hideMark/>
          </w:tcPr>
          <w:p w14:paraId="6CC795F0"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p>
        </w:tc>
        <w:tc>
          <w:tcPr>
            <w:tcW w:w="617" w:type="pct"/>
            <w:gridSpan w:val="3"/>
            <w:noWrap/>
            <w:vAlign w:val="center"/>
            <w:hideMark/>
          </w:tcPr>
          <w:p w14:paraId="3FCFFE3D"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63%</w:t>
            </w:r>
          </w:p>
        </w:tc>
      </w:tr>
      <w:tr w:rsidR="00612D37" w:rsidRPr="003B0028" w14:paraId="2AB71C17" w14:textId="77777777" w:rsidTr="00612E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7" w:type="pct"/>
            <w:tcBorders>
              <w:top w:val="none" w:sz="0" w:space="0" w:color="auto"/>
              <w:left w:val="none" w:sz="0" w:space="0" w:color="auto"/>
              <w:bottom w:val="none" w:sz="0" w:space="0" w:color="auto"/>
            </w:tcBorders>
            <w:shd w:val="clear" w:color="auto" w:fill="auto"/>
            <w:noWrap/>
            <w:vAlign w:val="center"/>
            <w:hideMark/>
          </w:tcPr>
          <w:p w14:paraId="62DCEB4A" w14:textId="77777777" w:rsidR="00D276EE" w:rsidRPr="00DB0840" w:rsidRDefault="00D276EE" w:rsidP="00912E67">
            <w:pPr>
              <w:pStyle w:val="Tabletext0"/>
              <w:rPr>
                <w:lang w:eastAsia="en-GB"/>
              </w:rPr>
            </w:pPr>
            <w:r w:rsidRPr="00DB0840">
              <w:rPr>
                <w:lang w:eastAsia="en-GB"/>
              </w:rPr>
              <w:t>Water and sanitation</w:t>
            </w:r>
          </w:p>
        </w:tc>
        <w:tc>
          <w:tcPr>
            <w:tcW w:w="386" w:type="pct"/>
            <w:gridSpan w:val="2"/>
            <w:tcBorders>
              <w:top w:val="none" w:sz="0" w:space="0" w:color="auto"/>
              <w:bottom w:val="none" w:sz="0" w:space="0" w:color="auto"/>
            </w:tcBorders>
            <w:vAlign w:val="center"/>
          </w:tcPr>
          <w:p w14:paraId="503B5292"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6</w:t>
            </w:r>
          </w:p>
        </w:tc>
        <w:tc>
          <w:tcPr>
            <w:tcW w:w="387" w:type="pct"/>
            <w:tcBorders>
              <w:top w:val="none" w:sz="0" w:space="0" w:color="auto"/>
              <w:bottom w:val="none" w:sz="0" w:space="0" w:color="auto"/>
            </w:tcBorders>
            <w:noWrap/>
            <w:vAlign w:val="center"/>
            <w:hideMark/>
          </w:tcPr>
          <w:p w14:paraId="0EDB78F8"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1</w:t>
            </w:r>
          </w:p>
        </w:tc>
        <w:tc>
          <w:tcPr>
            <w:tcW w:w="385" w:type="pct"/>
            <w:tcBorders>
              <w:top w:val="none" w:sz="0" w:space="0" w:color="auto"/>
              <w:bottom w:val="none" w:sz="0" w:space="0" w:color="auto"/>
            </w:tcBorders>
            <w:noWrap/>
            <w:vAlign w:val="center"/>
            <w:hideMark/>
          </w:tcPr>
          <w:p w14:paraId="14BC71FA"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p>
        </w:tc>
        <w:tc>
          <w:tcPr>
            <w:tcW w:w="618" w:type="pct"/>
            <w:tcBorders>
              <w:top w:val="none" w:sz="0" w:space="0" w:color="auto"/>
              <w:bottom w:val="none" w:sz="0" w:space="0" w:color="auto"/>
            </w:tcBorders>
            <w:noWrap/>
            <w:vAlign w:val="center"/>
            <w:hideMark/>
          </w:tcPr>
          <w:p w14:paraId="1C6D39EC"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1</w:t>
            </w:r>
          </w:p>
        </w:tc>
        <w:tc>
          <w:tcPr>
            <w:tcW w:w="617" w:type="pct"/>
            <w:tcBorders>
              <w:top w:val="none" w:sz="0" w:space="0" w:color="auto"/>
              <w:bottom w:val="none" w:sz="0" w:space="0" w:color="auto"/>
            </w:tcBorders>
            <w:noWrap/>
            <w:vAlign w:val="center"/>
            <w:hideMark/>
          </w:tcPr>
          <w:p w14:paraId="2553CBC2"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p>
        </w:tc>
        <w:tc>
          <w:tcPr>
            <w:tcW w:w="387" w:type="pct"/>
            <w:tcBorders>
              <w:top w:val="none" w:sz="0" w:space="0" w:color="auto"/>
              <w:bottom w:val="none" w:sz="0" w:space="0" w:color="auto"/>
            </w:tcBorders>
            <w:noWrap/>
            <w:vAlign w:val="center"/>
            <w:hideMark/>
          </w:tcPr>
          <w:p w14:paraId="1ABC8DB9"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3</w:t>
            </w:r>
          </w:p>
        </w:tc>
        <w:tc>
          <w:tcPr>
            <w:tcW w:w="386" w:type="pct"/>
            <w:tcBorders>
              <w:top w:val="none" w:sz="0" w:space="0" w:color="auto"/>
              <w:bottom w:val="none" w:sz="0" w:space="0" w:color="auto"/>
            </w:tcBorders>
            <w:noWrap/>
            <w:vAlign w:val="center"/>
            <w:hideMark/>
          </w:tcPr>
          <w:p w14:paraId="4E95A72E"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1</w:t>
            </w:r>
          </w:p>
        </w:tc>
        <w:tc>
          <w:tcPr>
            <w:tcW w:w="617" w:type="pct"/>
            <w:gridSpan w:val="3"/>
            <w:tcBorders>
              <w:top w:val="none" w:sz="0" w:space="0" w:color="auto"/>
              <w:bottom w:val="none" w:sz="0" w:space="0" w:color="auto"/>
              <w:right w:val="none" w:sz="0" w:space="0" w:color="auto"/>
            </w:tcBorders>
            <w:noWrap/>
            <w:vAlign w:val="center"/>
            <w:hideMark/>
          </w:tcPr>
          <w:p w14:paraId="5E3B79A8"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67%</w:t>
            </w:r>
          </w:p>
        </w:tc>
      </w:tr>
      <w:tr w:rsidR="00612D37" w:rsidRPr="003B0028" w14:paraId="56964740" w14:textId="77777777" w:rsidTr="00612E0D">
        <w:trPr>
          <w:trHeight w:val="300"/>
        </w:trPr>
        <w:tc>
          <w:tcPr>
            <w:cnfStyle w:val="001000000000" w:firstRow="0" w:lastRow="0" w:firstColumn="1" w:lastColumn="0" w:oddVBand="0" w:evenVBand="0" w:oddHBand="0" w:evenHBand="0" w:firstRowFirstColumn="0" w:firstRowLastColumn="0" w:lastRowFirstColumn="0" w:lastRowLastColumn="0"/>
            <w:tcW w:w="1217" w:type="pct"/>
            <w:shd w:val="clear" w:color="auto" w:fill="auto"/>
            <w:noWrap/>
            <w:vAlign w:val="center"/>
            <w:hideMark/>
          </w:tcPr>
          <w:p w14:paraId="4DBD7413" w14:textId="77777777" w:rsidR="00D276EE" w:rsidRPr="00DB0840" w:rsidRDefault="00D276EE" w:rsidP="00912E67">
            <w:pPr>
              <w:pStyle w:val="Tabletext0"/>
              <w:rPr>
                <w:lang w:eastAsia="en-GB"/>
              </w:rPr>
            </w:pPr>
            <w:r w:rsidRPr="00DB0840">
              <w:rPr>
                <w:lang w:eastAsia="en-GB"/>
              </w:rPr>
              <w:t>Security and justice</w:t>
            </w:r>
          </w:p>
        </w:tc>
        <w:tc>
          <w:tcPr>
            <w:tcW w:w="386" w:type="pct"/>
            <w:gridSpan w:val="2"/>
            <w:vAlign w:val="center"/>
          </w:tcPr>
          <w:p w14:paraId="781ACEF2"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6</w:t>
            </w:r>
          </w:p>
        </w:tc>
        <w:tc>
          <w:tcPr>
            <w:tcW w:w="387" w:type="pct"/>
            <w:noWrap/>
            <w:vAlign w:val="center"/>
            <w:hideMark/>
          </w:tcPr>
          <w:p w14:paraId="37821625"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p>
        </w:tc>
        <w:tc>
          <w:tcPr>
            <w:tcW w:w="385" w:type="pct"/>
            <w:noWrap/>
            <w:vAlign w:val="center"/>
            <w:hideMark/>
          </w:tcPr>
          <w:p w14:paraId="14986994"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p>
        </w:tc>
        <w:tc>
          <w:tcPr>
            <w:tcW w:w="618" w:type="pct"/>
            <w:noWrap/>
            <w:vAlign w:val="center"/>
            <w:hideMark/>
          </w:tcPr>
          <w:p w14:paraId="361707F7"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2</w:t>
            </w:r>
          </w:p>
        </w:tc>
        <w:tc>
          <w:tcPr>
            <w:tcW w:w="617" w:type="pct"/>
            <w:noWrap/>
            <w:vAlign w:val="center"/>
            <w:hideMark/>
          </w:tcPr>
          <w:p w14:paraId="2C996739"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2</w:t>
            </w:r>
          </w:p>
        </w:tc>
        <w:tc>
          <w:tcPr>
            <w:tcW w:w="387" w:type="pct"/>
            <w:noWrap/>
            <w:vAlign w:val="center"/>
            <w:hideMark/>
          </w:tcPr>
          <w:p w14:paraId="1419BD0B"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1</w:t>
            </w:r>
          </w:p>
        </w:tc>
        <w:tc>
          <w:tcPr>
            <w:tcW w:w="386" w:type="pct"/>
            <w:noWrap/>
            <w:vAlign w:val="center"/>
            <w:hideMark/>
          </w:tcPr>
          <w:p w14:paraId="3A75FF7A"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1</w:t>
            </w:r>
          </w:p>
        </w:tc>
        <w:tc>
          <w:tcPr>
            <w:tcW w:w="617" w:type="pct"/>
            <w:gridSpan w:val="3"/>
            <w:noWrap/>
            <w:vAlign w:val="center"/>
            <w:hideMark/>
          </w:tcPr>
          <w:p w14:paraId="5BD6B2CD"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67%</w:t>
            </w:r>
          </w:p>
        </w:tc>
      </w:tr>
      <w:tr w:rsidR="00612D37" w:rsidRPr="003B0028" w14:paraId="47DD74A4" w14:textId="77777777" w:rsidTr="00612E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7" w:type="pct"/>
            <w:tcBorders>
              <w:top w:val="none" w:sz="0" w:space="0" w:color="auto"/>
              <w:left w:val="none" w:sz="0" w:space="0" w:color="auto"/>
              <w:bottom w:val="none" w:sz="0" w:space="0" w:color="auto"/>
            </w:tcBorders>
            <w:shd w:val="clear" w:color="auto" w:fill="auto"/>
            <w:noWrap/>
            <w:vAlign w:val="center"/>
            <w:hideMark/>
          </w:tcPr>
          <w:p w14:paraId="5E3847DA" w14:textId="77777777" w:rsidR="00D276EE" w:rsidRPr="00DB0840" w:rsidRDefault="00D276EE" w:rsidP="00912E67">
            <w:pPr>
              <w:pStyle w:val="Tabletext0"/>
              <w:rPr>
                <w:lang w:eastAsia="en-GB"/>
              </w:rPr>
            </w:pPr>
            <w:r w:rsidRPr="00DB0840">
              <w:rPr>
                <w:lang w:eastAsia="en-GB"/>
              </w:rPr>
              <w:t>Improved government</w:t>
            </w:r>
          </w:p>
        </w:tc>
        <w:tc>
          <w:tcPr>
            <w:tcW w:w="386" w:type="pct"/>
            <w:gridSpan w:val="2"/>
            <w:tcBorders>
              <w:top w:val="none" w:sz="0" w:space="0" w:color="auto"/>
              <w:bottom w:val="none" w:sz="0" w:space="0" w:color="auto"/>
            </w:tcBorders>
            <w:vAlign w:val="center"/>
          </w:tcPr>
          <w:p w14:paraId="30295BB9"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15</w:t>
            </w:r>
          </w:p>
        </w:tc>
        <w:tc>
          <w:tcPr>
            <w:tcW w:w="387" w:type="pct"/>
            <w:tcBorders>
              <w:top w:val="none" w:sz="0" w:space="0" w:color="auto"/>
              <w:bottom w:val="none" w:sz="0" w:space="0" w:color="auto"/>
            </w:tcBorders>
            <w:noWrap/>
            <w:vAlign w:val="center"/>
            <w:hideMark/>
          </w:tcPr>
          <w:p w14:paraId="3DB0A6C4"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p>
        </w:tc>
        <w:tc>
          <w:tcPr>
            <w:tcW w:w="385" w:type="pct"/>
            <w:tcBorders>
              <w:top w:val="none" w:sz="0" w:space="0" w:color="auto"/>
              <w:bottom w:val="none" w:sz="0" w:space="0" w:color="auto"/>
            </w:tcBorders>
            <w:noWrap/>
            <w:vAlign w:val="center"/>
            <w:hideMark/>
          </w:tcPr>
          <w:p w14:paraId="3CFA8FE2"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1</w:t>
            </w:r>
          </w:p>
        </w:tc>
        <w:tc>
          <w:tcPr>
            <w:tcW w:w="618" w:type="pct"/>
            <w:tcBorders>
              <w:top w:val="none" w:sz="0" w:space="0" w:color="auto"/>
              <w:bottom w:val="none" w:sz="0" w:space="0" w:color="auto"/>
            </w:tcBorders>
            <w:noWrap/>
            <w:vAlign w:val="center"/>
            <w:hideMark/>
          </w:tcPr>
          <w:p w14:paraId="736EB368"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3</w:t>
            </w:r>
          </w:p>
        </w:tc>
        <w:tc>
          <w:tcPr>
            <w:tcW w:w="617" w:type="pct"/>
            <w:tcBorders>
              <w:top w:val="none" w:sz="0" w:space="0" w:color="auto"/>
              <w:bottom w:val="none" w:sz="0" w:space="0" w:color="auto"/>
            </w:tcBorders>
            <w:noWrap/>
            <w:vAlign w:val="center"/>
            <w:hideMark/>
          </w:tcPr>
          <w:p w14:paraId="78E5829B"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7</w:t>
            </w:r>
          </w:p>
        </w:tc>
        <w:tc>
          <w:tcPr>
            <w:tcW w:w="387" w:type="pct"/>
            <w:tcBorders>
              <w:top w:val="none" w:sz="0" w:space="0" w:color="auto"/>
              <w:bottom w:val="none" w:sz="0" w:space="0" w:color="auto"/>
            </w:tcBorders>
            <w:noWrap/>
            <w:vAlign w:val="center"/>
            <w:hideMark/>
          </w:tcPr>
          <w:p w14:paraId="17D06ED2"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3</w:t>
            </w:r>
          </w:p>
        </w:tc>
        <w:tc>
          <w:tcPr>
            <w:tcW w:w="386" w:type="pct"/>
            <w:tcBorders>
              <w:top w:val="none" w:sz="0" w:space="0" w:color="auto"/>
              <w:bottom w:val="none" w:sz="0" w:space="0" w:color="auto"/>
            </w:tcBorders>
            <w:noWrap/>
            <w:vAlign w:val="center"/>
            <w:hideMark/>
          </w:tcPr>
          <w:p w14:paraId="3238212B"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1</w:t>
            </w:r>
          </w:p>
        </w:tc>
        <w:tc>
          <w:tcPr>
            <w:tcW w:w="617" w:type="pct"/>
            <w:gridSpan w:val="3"/>
            <w:tcBorders>
              <w:top w:val="none" w:sz="0" w:space="0" w:color="auto"/>
              <w:bottom w:val="none" w:sz="0" w:space="0" w:color="auto"/>
              <w:right w:val="none" w:sz="0" w:space="0" w:color="auto"/>
            </w:tcBorders>
            <w:noWrap/>
            <w:vAlign w:val="center"/>
            <w:hideMark/>
          </w:tcPr>
          <w:p w14:paraId="2E5D2EE9"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73%</w:t>
            </w:r>
          </w:p>
        </w:tc>
      </w:tr>
      <w:tr w:rsidR="00612D37" w:rsidRPr="003B0028" w14:paraId="73E29D86" w14:textId="77777777" w:rsidTr="00612E0D">
        <w:trPr>
          <w:trHeight w:val="300"/>
        </w:trPr>
        <w:tc>
          <w:tcPr>
            <w:cnfStyle w:val="001000000000" w:firstRow="0" w:lastRow="0" w:firstColumn="1" w:lastColumn="0" w:oddVBand="0" w:evenVBand="0" w:oddHBand="0" w:evenHBand="0" w:firstRowFirstColumn="0" w:firstRowLastColumn="0" w:lastRowFirstColumn="0" w:lastRowLastColumn="0"/>
            <w:tcW w:w="1217" w:type="pct"/>
            <w:shd w:val="clear" w:color="auto" w:fill="auto"/>
            <w:noWrap/>
            <w:vAlign w:val="center"/>
            <w:hideMark/>
          </w:tcPr>
          <w:p w14:paraId="15D082CF" w14:textId="77777777" w:rsidR="00D276EE" w:rsidRPr="00DB0840" w:rsidRDefault="00D276EE" w:rsidP="00912E67">
            <w:pPr>
              <w:pStyle w:val="Tabletext0"/>
              <w:rPr>
                <w:lang w:eastAsia="en-GB"/>
              </w:rPr>
            </w:pPr>
            <w:r w:rsidRPr="00DB0840">
              <w:rPr>
                <w:lang w:eastAsia="en-GB"/>
              </w:rPr>
              <w:t>Health</w:t>
            </w:r>
          </w:p>
        </w:tc>
        <w:tc>
          <w:tcPr>
            <w:tcW w:w="386" w:type="pct"/>
            <w:gridSpan w:val="2"/>
            <w:vAlign w:val="center"/>
          </w:tcPr>
          <w:p w14:paraId="7B3700C2"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8</w:t>
            </w:r>
          </w:p>
        </w:tc>
        <w:tc>
          <w:tcPr>
            <w:tcW w:w="387" w:type="pct"/>
            <w:noWrap/>
            <w:vAlign w:val="center"/>
            <w:hideMark/>
          </w:tcPr>
          <w:p w14:paraId="08251036"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p>
        </w:tc>
        <w:tc>
          <w:tcPr>
            <w:tcW w:w="385" w:type="pct"/>
            <w:noWrap/>
            <w:vAlign w:val="center"/>
            <w:hideMark/>
          </w:tcPr>
          <w:p w14:paraId="10EB934E"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2</w:t>
            </w:r>
          </w:p>
        </w:tc>
        <w:tc>
          <w:tcPr>
            <w:tcW w:w="618" w:type="pct"/>
            <w:noWrap/>
            <w:vAlign w:val="center"/>
            <w:hideMark/>
          </w:tcPr>
          <w:p w14:paraId="387EC6D7"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p>
        </w:tc>
        <w:tc>
          <w:tcPr>
            <w:tcW w:w="617" w:type="pct"/>
            <w:noWrap/>
            <w:vAlign w:val="center"/>
            <w:hideMark/>
          </w:tcPr>
          <w:p w14:paraId="729F0616"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2</w:t>
            </w:r>
          </w:p>
        </w:tc>
        <w:tc>
          <w:tcPr>
            <w:tcW w:w="387" w:type="pct"/>
            <w:noWrap/>
            <w:vAlign w:val="center"/>
            <w:hideMark/>
          </w:tcPr>
          <w:p w14:paraId="59B96DFB"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4</w:t>
            </w:r>
          </w:p>
        </w:tc>
        <w:tc>
          <w:tcPr>
            <w:tcW w:w="386" w:type="pct"/>
            <w:noWrap/>
            <w:vAlign w:val="center"/>
            <w:hideMark/>
          </w:tcPr>
          <w:p w14:paraId="39BD16EB"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p>
        </w:tc>
        <w:tc>
          <w:tcPr>
            <w:tcW w:w="617" w:type="pct"/>
            <w:gridSpan w:val="3"/>
            <w:noWrap/>
            <w:vAlign w:val="center"/>
            <w:hideMark/>
          </w:tcPr>
          <w:p w14:paraId="2624FBF5"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75%</w:t>
            </w:r>
          </w:p>
        </w:tc>
      </w:tr>
      <w:tr w:rsidR="00612D37" w:rsidRPr="003B0028" w14:paraId="4F20C59E" w14:textId="77777777" w:rsidTr="00612E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7" w:type="pct"/>
            <w:tcBorders>
              <w:top w:val="none" w:sz="0" w:space="0" w:color="auto"/>
              <w:left w:val="none" w:sz="0" w:space="0" w:color="auto"/>
              <w:bottom w:val="none" w:sz="0" w:space="0" w:color="auto"/>
            </w:tcBorders>
            <w:shd w:val="clear" w:color="auto" w:fill="auto"/>
            <w:noWrap/>
            <w:vAlign w:val="center"/>
            <w:hideMark/>
          </w:tcPr>
          <w:p w14:paraId="57C20E5F" w14:textId="77777777" w:rsidR="00D276EE" w:rsidRPr="00DB0840" w:rsidRDefault="00D276EE" w:rsidP="00912E67">
            <w:pPr>
              <w:pStyle w:val="Tabletext0"/>
              <w:rPr>
                <w:lang w:eastAsia="en-GB"/>
              </w:rPr>
            </w:pPr>
            <w:r w:rsidRPr="00DB0840">
              <w:rPr>
                <w:lang w:eastAsia="en-GB"/>
              </w:rPr>
              <w:t>Education</w:t>
            </w:r>
          </w:p>
        </w:tc>
        <w:tc>
          <w:tcPr>
            <w:tcW w:w="386" w:type="pct"/>
            <w:gridSpan w:val="2"/>
            <w:tcBorders>
              <w:top w:val="none" w:sz="0" w:space="0" w:color="auto"/>
              <w:bottom w:val="none" w:sz="0" w:space="0" w:color="auto"/>
            </w:tcBorders>
            <w:vAlign w:val="center"/>
          </w:tcPr>
          <w:p w14:paraId="4AAE338B"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10</w:t>
            </w:r>
          </w:p>
        </w:tc>
        <w:tc>
          <w:tcPr>
            <w:tcW w:w="387" w:type="pct"/>
            <w:tcBorders>
              <w:top w:val="none" w:sz="0" w:space="0" w:color="auto"/>
              <w:bottom w:val="none" w:sz="0" w:space="0" w:color="auto"/>
            </w:tcBorders>
            <w:noWrap/>
            <w:vAlign w:val="center"/>
            <w:hideMark/>
          </w:tcPr>
          <w:p w14:paraId="17FC3DF4"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p>
        </w:tc>
        <w:tc>
          <w:tcPr>
            <w:tcW w:w="385" w:type="pct"/>
            <w:tcBorders>
              <w:top w:val="none" w:sz="0" w:space="0" w:color="auto"/>
              <w:bottom w:val="none" w:sz="0" w:space="0" w:color="auto"/>
            </w:tcBorders>
            <w:noWrap/>
            <w:vAlign w:val="center"/>
            <w:hideMark/>
          </w:tcPr>
          <w:p w14:paraId="42E1870B"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1</w:t>
            </w:r>
          </w:p>
        </w:tc>
        <w:tc>
          <w:tcPr>
            <w:tcW w:w="618" w:type="pct"/>
            <w:tcBorders>
              <w:top w:val="none" w:sz="0" w:space="0" w:color="auto"/>
              <w:bottom w:val="none" w:sz="0" w:space="0" w:color="auto"/>
            </w:tcBorders>
            <w:noWrap/>
            <w:vAlign w:val="center"/>
            <w:hideMark/>
          </w:tcPr>
          <w:p w14:paraId="61067CD2"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p>
        </w:tc>
        <w:tc>
          <w:tcPr>
            <w:tcW w:w="617" w:type="pct"/>
            <w:tcBorders>
              <w:top w:val="none" w:sz="0" w:space="0" w:color="auto"/>
              <w:bottom w:val="none" w:sz="0" w:space="0" w:color="auto"/>
            </w:tcBorders>
            <w:noWrap/>
            <w:vAlign w:val="center"/>
            <w:hideMark/>
          </w:tcPr>
          <w:p w14:paraId="50EF7D99"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6</w:t>
            </w:r>
          </w:p>
        </w:tc>
        <w:tc>
          <w:tcPr>
            <w:tcW w:w="387" w:type="pct"/>
            <w:tcBorders>
              <w:top w:val="none" w:sz="0" w:space="0" w:color="auto"/>
              <w:bottom w:val="none" w:sz="0" w:space="0" w:color="auto"/>
            </w:tcBorders>
            <w:noWrap/>
            <w:vAlign w:val="center"/>
            <w:hideMark/>
          </w:tcPr>
          <w:p w14:paraId="0EB23359"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3</w:t>
            </w:r>
          </w:p>
        </w:tc>
        <w:tc>
          <w:tcPr>
            <w:tcW w:w="386" w:type="pct"/>
            <w:tcBorders>
              <w:top w:val="none" w:sz="0" w:space="0" w:color="auto"/>
              <w:bottom w:val="none" w:sz="0" w:space="0" w:color="auto"/>
            </w:tcBorders>
            <w:noWrap/>
            <w:vAlign w:val="center"/>
            <w:hideMark/>
          </w:tcPr>
          <w:p w14:paraId="65688BDC"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p>
        </w:tc>
        <w:tc>
          <w:tcPr>
            <w:tcW w:w="617" w:type="pct"/>
            <w:gridSpan w:val="3"/>
            <w:tcBorders>
              <w:top w:val="none" w:sz="0" w:space="0" w:color="auto"/>
              <w:bottom w:val="none" w:sz="0" w:space="0" w:color="auto"/>
              <w:right w:val="none" w:sz="0" w:space="0" w:color="auto"/>
            </w:tcBorders>
            <w:noWrap/>
            <w:vAlign w:val="center"/>
            <w:hideMark/>
          </w:tcPr>
          <w:p w14:paraId="76CA6F67"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90%</w:t>
            </w:r>
          </w:p>
        </w:tc>
      </w:tr>
      <w:tr w:rsidR="00612D37" w:rsidRPr="003B0028" w14:paraId="5E55E6B4" w14:textId="77777777" w:rsidTr="00612E0D">
        <w:trPr>
          <w:trHeight w:val="300"/>
        </w:trPr>
        <w:tc>
          <w:tcPr>
            <w:cnfStyle w:val="001000000000" w:firstRow="0" w:lastRow="0" w:firstColumn="1" w:lastColumn="0" w:oddVBand="0" w:evenVBand="0" w:oddHBand="0" w:evenHBand="0" w:firstRowFirstColumn="0" w:firstRowLastColumn="0" w:lastRowFirstColumn="0" w:lastRowLastColumn="0"/>
            <w:tcW w:w="1217" w:type="pct"/>
            <w:shd w:val="clear" w:color="auto" w:fill="auto"/>
            <w:noWrap/>
            <w:vAlign w:val="center"/>
            <w:hideMark/>
          </w:tcPr>
          <w:p w14:paraId="374A1A56" w14:textId="77777777" w:rsidR="00D276EE" w:rsidRPr="00DB0840" w:rsidRDefault="00D276EE" w:rsidP="00912E67">
            <w:pPr>
              <w:pStyle w:val="Tabletext0"/>
              <w:rPr>
                <w:lang w:eastAsia="en-GB"/>
              </w:rPr>
            </w:pPr>
            <w:r w:rsidRPr="00DB0840">
              <w:rPr>
                <w:lang w:eastAsia="en-GB"/>
              </w:rPr>
              <w:t>Infrastructure</w:t>
            </w:r>
          </w:p>
        </w:tc>
        <w:tc>
          <w:tcPr>
            <w:tcW w:w="386" w:type="pct"/>
            <w:gridSpan w:val="2"/>
            <w:vAlign w:val="center"/>
          </w:tcPr>
          <w:p w14:paraId="30E12A36"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5</w:t>
            </w:r>
          </w:p>
        </w:tc>
        <w:tc>
          <w:tcPr>
            <w:tcW w:w="387" w:type="pct"/>
            <w:noWrap/>
            <w:vAlign w:val="center"/>
            <w:hideMark/>
          </w:tcPr>
          <w:p w14:paraId="491D32B5"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p>
        </w:tc>
        <w:tc>
          <w:tcPr>
            <w:tcW w:w="385" w:type="pct"/>
            <w:noWrap/>
            <w:vAlign w:val="center"/>
            <w:hideMark/>
          </w:tcPr>
          <w:p w14:paraId="002F2279"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p>
        </w:tc>
        <w:tc>
          <w:tcPr>
            <w:tcW w:w="618" w:type="pct"/>
            <w:noWrap/>
            <w:vAlign w:val="center"/>
            <w:hideMark/>
          </w:tcPr>
          <w:p w14:paraId="2B4A31D5"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p>
        </w:tc>
        <w:tc>
          <w:tcPr>
            <w:tcW w:w="617" w:type="pct"/>
            <w:noWrap/>
            <w:vAlign w:val="center"/>
            <w:hideMark/>
          </w:tcPr>
          <w:p w14:paraId="586682DC"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3</w:t>
            </w:r>
          </w:p>
        </w:tc>
        <w:tc>
          <w:tcPr>
            <w:tcW w:w="387" w:type="pct"/>
            <w:noWrap/>
            <w:vAlign w:val="center"/>
            <w:hideMark/>
          </w:tcPr>
          <w:p w14:paraId="6FB708E9"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2</w:t>
            </w:r>
          </w:p>
        </w:tc>
        <w:tc>
          <w:tcPr>
            <w:tcW w:w="386" w:type="pct"/>
            <w:noWrap/>
            <w:vAlign w:val="center"/>
            <w:hideMark/>
          </w:tcPr>
          <w:p w14:paraId="5BDDCE6D"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p>
        </w:tc>
        <w:tc>
          <w:tcPr>
            <w:tcW w:w="617" w:type="pct"/>
            <w:gridSpan w:val="3"/>
            <w:noWrap/>
            <w:vAlign w:val="center"/>
            <w:hideMark/>
          </w:tcPr>
          <w:p w14:paraId="67450822"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100%</w:t>
            </w:r>
          </w:p>
        </w:tc>
      </w:tr>
      <w:tr w:rsidR="00612D37" w:rsidRPr="003B0028" w14:paraId="3AE3D651" w14:textId="77777777" w:rsidTr="00612E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7" w:type="pct"/>
            <w:tcBorders>
              <w:top w:val="none" w:sz="0" w:space="0" w:color="auto"/>
              <w:left w:val="none" w:sz="0" w:space="0" w:color="auto"/>
              <w:bottom w:val="none" w:sz="0" w:space="0" w:color="auto"/>
            </w:tcBorders>
            <w:shd w:val="clear" w:color="auto" w:fill="auto"/>
            <w:noWrap/>
            <w:vAlign w:val="center"/>
            <w:hideMark/>
          </w:tcPr>
          <w:p w14:paraId="208065E1" w14:textId="77777777" w:rsidR="00D276EE" w:rsidRPr="00DB0840" w:rsidRDefault="00D276EE" w:rsidP="00912E67">
            <w:pPr>
              <w:pStyle w:val="Tabletext0"/>
              <w:rPr>
                <w:lang w:eastAsia="en-GB"/>
              </w:rPr>
            </w:pPr>
            <w:r w:rsidRPr="00DB0840">
              <w:rPr>
                <w:lang w:eastAsia="en-GB"/>
              </w:rPr>
              <w:t>General development support</w:t>
            </w:r>
          </w:p>
        </w:tc>
        <w:tc>
          <w:tcPr>
            <w:tcW w:w="386" w:type="pct"/>
            <w:gridSpan w:val="2"/>
            <w:tcBorders>
              <w:top w:val="none" w:sz="0" w:space="0" w:color="auto"/>
              <w:bottom w:val="none" w:sz="0" w:space="0" w:color="auto"/>
            </w:tcBorders>
            <w:vAlign w:val="center"/>
          </w:tcPr>
          <w:p w14:paraId="78D11E16"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7</w:t>
            </w:r>
          </w:p>
        </w:tc>
        <w:tc>
          <w:tcPr>
            <w:tcW w:w="387" w:type="pct"/>
            <w:tcBorders>
              <w:top w:val="none" w:sz="0" w:space="0" w:color="auto"/>
              <w:bottom w:val="none" w:sz="0" w:space="0" w:color="auto"/>
            </w:tcBorders>
            <w:noWrap/>
            <w:vAlign w:val="center"/>
            <w:hideMark/>
          </w:tcPr>
          <w:p w14:paraId="097C186C"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p>
        </w:tc>
        <w:tc>
          <w:tcPr>
            <w:tcW w:w="385" w:type="pct"/>
            <w:tcBorders>
              <w:top w:val="none" w:sz="0" w:space="0" w:color="auto"/>
              <w:bottom w:val="none" w:sz="0" w:space="0" w:color="auto"/>
            </w:tcBorders>
            <w:noWrap/>
            <w:vAlign w:val="center"/>
            <w:hideMark/>
          </w:tcPr>
          <w:p w14:paraId="78C1A665"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p>
        </w:tc>
        <w:tc>
          <w:tcPr>
            <w:tcW w:w="618" w:type="pct"/>
            <w:tcBorders>
              <w:top w:val="none" w:sz="0" w:space="0" w:color="auto"/>
              <w:bottom w:val="none" w:sz="0" w:space="0" w:color="auto"/>
            </w:tcBorders>
            <w:noWrap/>
            <w:vAlign w:val="center"/>
            <w:hideMark/>
          </w:tcPr>
          <w:p w14:paraId="3819759D"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p>
        </w:tc>
        <w:tc>
          <w:tcPr>
            <w:tcW w:w="617" w:type="pct"/>
            <w:tcBorders>
              <w:top w:val="none" w:sz="0" w:space="0" w:color="auto"/>
              <w:bottom w:val="none" w:sz="0" w:space="0" w:color="auto"/>
            </w:tcBorders>
            <w:noWrap/>
            <w:vAlign w:val="center"/>
            <w:hideMark/>
          </w:tcPr>
          <w:p w14:paraId="43C1EADE"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4</w:t>
            </w:r>
          </w:p>
        </w:tc>
        <w:tc>
          <w:tcPr>
            <w:tcW w:w="387" w:type="pct"/>
            <w:tcBorders>
              <w:top w:val="none" w:sz="0" w:space="0" w:color="auto"/>
              <w:bottom w:val="none" w:sz="0" w:space="0" w:color="auto"/>
            </w:tcBorders>
            <w:noWrap/>
            <w:vAlign w:val="center"/>
            <w:hideMark/>
          </w:tcPr>
          <w:p w14:paraId="015C1088"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3</w:t>
            </w:r>
          </w:p>
        </w:tc>
        <w:tc>
          <w:tcPr>
            <w:tcW w:w="386" w:type="pct"/>
            <w:tcBorders>
              <w:top w:val="none" w:sz="0" w:space="0" w:color="auto"/>
              <w:bottom w:val="none" w:sz="0" w:space="0" w:color="auto"/>
            </w:tcBorders>
            <w:noWrap/>
            <w:vAlign w:val="center"/>
            <w:hideMark/>
          </w:tcPr>
          <w:p w14:paraId="43F2E8A1"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p>
        </w:tc>
        <w:tc>
          <w:tcPr>
            <w:tcW w:w="617" w:type="pct"/>
            <w:gridSpan w:val="3"/>
            <w:tcBorders>
              <w:top w:val="none" w:sz="0" w:space="0" w:color="auto"/>
              <w:bottom w:val="none" w:sz="0" w:space="0" w:color="auto"/>
              <w:right w:val="none" w:sz="0" w:space="0" w:color="auto"/>
            </w:tcBorders>
            <w:noWrap/>
            <w:vAlign w:val="center"/>
            <w:hideMark/>
          </w:tcPr>
          <w:p w14:paraId="58D33D4F" w14:textId="77777777" w:rsidR="00D276EE" w:rsidRPr="00DB0840" w:rsidRDefault="00D276EE" w:rsidP="00912E67">
            <w:pPr>
              <w:pStyle w:val="Tabletext0"/>
              <w:cnfStyle w:val="000000100000" w:firstRow="0" w:lastRow="0" w:firstColumn="0" w:lastColumn="0" w:oddVBand="0" w:evenVBand="0" w:oddHBand="1" w:evenHBand="0" w:firstRowFirstColumn="0" w:firstRowLastColumn="0" w:lastRowFirstColumn="0" w:lastRowLastColumn="0"/>
              <w:rPr>
                <w:lang w:eastAsia="en-GB"/>
              </w:rPr>
            </w:pPr>
            <w:r w:rsidRPr="00DB0840">
              <w:rPr>
                <w:lang w:eastAsia="en-GB"/>
              </w:rPr>
              <w:t>100%</w:t>
            </w:r>
          </w:p>
        </w:tc>
      </w:tr>
      <w:tr w:rsidR="00612D37" w:rsidRPr="003B0028" w14:paraId="0C7E2FA8" w14:textId="77777777" w:rsidTr="00612E0D">
        <w:trPr>
          <w:trHeight w:val="300"/>
        </w:trPr>
        <w:tc>
          <w:tcPr>
            <w:cnfStyle w:val="001000000000" w:firstRow="0" w:lastRow="0" w:firstColumn="1" w:lastColumn="0" w:oddVBand="0" w:evenVBand="0" w:oddHBand="0" w:evenHBand="0" w:firstRowFirstColumn="0" w:firstRowLastColumn="0" w:lastRowFirstColumn="0" w:lastRowLastColumn="0"/>
            <w:tcW w:w="1217" w:type="pct"/>
            <w:shd w:val="clear" w:color="auto" w:fill="auto"/>
            <w:noWrap/>
            <w:vAlign w:val="center"/>
            <w:hideMark/>
          </w:tcPr>
          <w:p w14:paraId="51A1BA5D" w14:textId="77777777" w:rsidR="00D276EE" w:rsidRPr="00DB0840" w:rsidRDefault="00D276EE" w:rsidP="00912E67">
            <w:pPr>
              <w:pStyle w:val="Tabletext0"/>
              <w:rPr>
                <w:lang w:eastAsia="en-GB"/>
              </w:rPr>
            </w:pPr>
            <w:r w:rsidRPr="00DB0840">
              <w:rPr>
                <w:lang w:eastAsia="en-GB"/>
              </w:rPr>
              <w:t>Humanitarian response</w:t>
            </w:r>
          </w:p>
        </w:tc>
        <w:tc>
          <w:tcPr>
            <w:tcW w:w="386" w:type="pct"/>
            <w:gridSpan w:val="2"/>
            <w:vAlign w:val="center"/>
          </w:tcPr>
          <w:p w14:paraId="447772ED"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5</w:t>
            </w:r>
          </w:p>
        </w:tc>
        <w:tc>
          <w:tcPr>
            <w:tcW w:w="387" w:type="pct"/>
            <w:noWrap/>
            <w:vAlign w:val="center"/>
            <w:hideMark/>
          </w:tcPr>
          <w:p w14:paraId="3580D294"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p>
        </w:tc>
        <w:tc>
          <w:tcPr>
            <w:tcW w:w="385" w:type="pct"/>
            <w:noWrap/>
            <w:vAlign w:val="center"/>
            <w:hideMark/>
          </w:tcPr>
          <w:p w14:paraId="2A1B417F"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p>
        </w:tc>
        <w:tc>
          <w:tcPr>
            <w:tcW w:w="618" w:type="pct"/>
            <w:noWrap/>
            <w:vAlign w:val="center"/>
            <w:hideMark/>
          </w:tcPr>
          <w:p w14:paraId="72AC74C8"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p>
        </w:tc>
        <w:tc>
          <w:tcPr>
            <w:tcW w:w="617" w:type="pct"/>
            <w:noWrap/>
            <w:vAlign w:val="center"/>
            <w:hideMark/>
          </w:tcPr>
          <w:p w14:paraId="5D092014"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3</w:t>
            </w:r>
          </w:p>
        </w:tc>
        <w:tc>
          <w:tcPr>
            <w:tcW w:w="387" w:type="pct"/>
            <w:noWrap/>
            <w:vAlign w:val="center"/>
            <w:hideMark/>
          </w:tcPr>
          <w:p w14:paraId="4220902F"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2</w:t>
            </w:r>
          </w:p>
        </w:tc>
        <w:tc>
          <w:tcPr>
            <w:tcW w:w="386" w:type="pct"/>
            <w:noWrap/>
            <w:vAlign w:val="center"/>
            <w:hideMark/>
          </w:tcPr>
          <w:p w14:paraId="76482AA5"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p>
        </w:tc>
        <w:tc>
          <w:tcPr>
            <w:tcW w:w="617" w:type="pct"/>
            <w:gridSpan w:val="3"/>
            <w:noWrap/>
            <w:vAlign w:val="center"/>
            <w:hideMark/>
          </w:tcPr>
          <w:p w14:paraId="4998F866" w14:textId="77777777" w:rsidR="00D276EE" w:rsidRPr="00DB0840" w:rsidRDefault="00D276EE" w:rsidP="00912E67">
            <w:pPr>
              <w:pStyle w:val="Tabletext0"/>
              <w:cnfStyle w:val="000000000000" w:firstRow="0" w:lastRow="0" w:firstColumn="0" w:lastColumn="0" w:oddVBand="0" w:evenVBand="0" w:oddHBand="0" w:evenHBand="0" w:firstRowFirstColumn="0" w:firstRowLastColumn="0" w:lastRowFirstColumn="0" w:lastRowLastColumn="0"/>
              <w:rPr>
                <w:lang w:eastAsia="en-GB"/>
              </w:rPr>
            </w:pPr>
            <w:r w:rsidRPr="00DB0840">
              <w:rPr>
                <w:lang w:eastAsia="en-GB"/>
              </w:rPr>
              <w:t>100%</w:t>
            </w:r>
          </w:p>
        </w:tc>
      </w:tr>
    </w:tbl>
    <w:p w14:paraId="5FF70843" w14:textId="77777777" w:rsidR="00E57F60" w:rsidRPr="00E57F60" w:rsidRDefault="00E57F60" w:rsidP="002B3058">
      <w:pPr>
        <w:spacing w:before="0" w:after="0" w:line="240" w:lineRule="auto"/>
        <w:rPr>
          <w:rFonts w:ascii="Cambria" w:hAnsi="Cambria"/>
          <w:szCs w:val="24"/>
        </w:rPr>
      </w:pPr>
    </w:p>
    <w:p w14:paraId="2304D014" w14:textId="77777777" w:rsidR="00322D59" w:rsidRDefault="00322D59">
      <w:pPr>
        <w:spacing w:before="0" w:after="0" w:line="240" w:lineRule="auto"/>
        <w:rPr>
          <w:rFonts w:ascii="Calibri" w:hAnsi="Calibri"/>
          <w:b/>
          <w:bCs/>
          <w:color w:val="31849B"/>
          <w:sz w:val="44"/>
          <w:szCs w:val="44"/>
          <w:lang w:val="en-GB" w:eastAsia="en-GB"/>
        </w:rPr>
      </w:pPr>
      <w:bookmarkStart w:id="342" w:name="_Toc372723902"/>
      <w:bookmarkStart w:id="343" w:name="_Toc378060032"/>
      <w:r>
        <w:br w:type="page"/>
      </w:r>
    </w:p>
    <w:p w14:paraId="0AAF4BA9" w14:textId="504266AA" w:rsidR="003D6B5D" w:rsidRDefault="003D6B5D" w:rsidP="002E56D7">
      <w:pPr>
        <w:pStyle w:val="Heading1"/>
        <w:spacing w:after="1200"/>
      </w:pPr>
      <w:bookmarkStart w:id="344" w:name="_Toc387675141"/>
      <w:r>
        <w:lastRenderedPageBreak/>
        <w:t>Annex 5</w:t>
      </w:r>
      <w:r w:rsidR="00066951">
        <w:rPr>
          <w:noProof/>
        </w:rPr>
        <mc:AlternateContent>
          <mc:Choice Requires="wps">
            <w:drawing>
              <wp:anchor distT="0" distB="0" distL="114300" distR="114300" simplePos="0" relativeHeight="251684864" behindDoc="1" locked="0" layoutInCell="1" allowOverlap="1" wp14:anchorId="1E696FFC" wp14:editId="06968E04">
                <wp:simplePos x="0" y="0"/>
                <wp:positionH relativeFrom="page">
                  <wp:align>left</wp:align>
                </wp:positionH>
                <wp:positionV relativeFrom="paragraph">
                  <wp:posOffset>-144145</wp:posOffset>
                </wp:positionV>
                <wp:extent cx="7610400" cy="1468800"/>
                <wp:effectExtent l="0" t="0" r="0" b="0"/>
                <wp:wrapNone/>
                <wp:docPr id="293" name="Rectangle 293"/>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97B554" id="Rectangle 293" o:spid="_x0000_s1026" style="position:absolute;margin-left:0;margin-top:-11.35pt;width:599.25pt;height:115.65pt;z-index:-2516316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dWmQIAAIoFAAAOAAAAZHJzL2Uyb0RvYy54bWysVMFu2zAMvQ/YPwi6r7YzN0uDOkXQosOA&#10;oi3aDj0rshQbkEVNUuJkXz9Kst2uK3YYloMiiuQj+Uzy/OLQKbIX1rWgK1qc5JQIzaFu9bai35+u&#10;Py0ocZ7pminQoqJH4ejF6uOH894sxQwaULWwBEG0W/amoo33ZplljjeiY+4EjNColGA75lG026y2&#10;rEf0TmWzPJ9nPdjaWODCOXy9Skq6ivhSCu7vpHTCE1VRzM3H08ZzE85sdc6WW8tM0/IhDfYPWXSs&#10;1Rh0grpinpGdbf+A6lpuwYH0Jxy6DKRsuYg1YDVF/qaax4YZEWtBcpyZaHL/D5bf7u8taeuKzs4+&#10;U6JZhx/pAWljeqsECY9IUW/cEi0fzb0dJIfXUO9B2i78YyXkEGk9TrSKgyccH7/Mi7zMkX2OuqKc&#10;LxYoIE724m6s818FdCRcKmoxgUgn2984n0xHkxDNgWrr61apKNjt5lJZsmf4jYtZWS7mA/pvZkoH&#10;Yw3BLSGGlyyUloqJN39UItgp/SAk8oLpz2ImsSPFFIdxLrQvkqphtUjhT3P8jdFDDwePWGkEDMgS&#10;40/YA8BomUBG7JTlYB9cRWzoyTn/W2LJefKIkUH7yblrNdj3ABRWNURO9iNJiZrA0gbqI3aNhTRO&#10;zvDrFr/bDXP+nlmcH/zWuBP8HR5SQV9RGG6UNGB/vvce7LGtUUtJj/NYUfdjx6ygRH3T2PBnRVmG&#10;AY5CefplhoJ9rdm81uhddwmhHXD7GB6vwd6r8SotdM+4OtYhKqqY5hi7otzbUbj0aU/g8uFivY5m&#10;OLSG+Rv9aHgAD6yGvnw6PDNrhub12Pe3MM4uW77p4WQbPDWsdx5kGxv8hdeBbxz42DjDcgob5bUc&#10;rV5W6OoXAAAA//8DAFBLAwQUAAYACAAAACEAmSApJt0AAAAJAQAADwAAAGRycy9kb3ducmV2Lnht&#10;bEyPwU7DMBBE70j8g7VI3FonRpQQsqlQJThE4kBL7268xBHxOsRuG/4e9wTH0Yxm3lTr2Q3iRFPo&#10;PSPkywwEcetNzx3Cx+5lUYAIUbPRg2dC+KEA6/r6qtKl8Wd+p9M2diKVcCg1go1xLKUMrSWnw9KP&#10;xMn79JPTMcmpk2bS51TuBqmybCWd7jktWD3SxlL7tT06hKYgu+/emmH+bna53Ny9+j0pxNub+fkJ&#10;RKQ5/oXhgp/QoU5MB39kE8SAkI5EhIVSDyAudv5Y3IM4IKisWIGsK/n/Qf0LAAD//wMAUEsBAi0A&#10;FAAGAAgAAAAhALaDOJL+AAAA4QEAABMAAAAAAAAAAAAAAAAAAAAAAFtDb250ZW50X1R5cGVzXS54&#10;bWxQSwECLQAUAAYACAAAACEAOP0h/9YAAACUAQAACwAAAAAAAAAAAAAAAAAvAQAAX3JlbHMvLnJl&#10;bHNQSwECLQAUAAYACAAAACEAhrVHVpkCAACKBQAADgAAAAAAAAAAAAAAAAAuAgAAZHJzL2Uyb0Rv&#10;Yy54bWxQSwECLQAUAAYACAAAACEAmSApJt0AAAAJAQAADwAAAAAAAAAAAAAAAADzBAAAZHJzL2Rv&#10;d25yZXYueG1sUEsFBgAAAAAEAAQA8wAAAP0FAAAAAA==&#10;" fillcolor="#124486" stroked="f" strokeweight="2pt">
                <w10:wrap anchorx="page"/>
              </v:rect>
            </w:pict>
          </mc:Fallback>
        </mc:AlternateContent>
      </w:r>
      <w:r>
        <w:t>:</w:t>
      </w:r>
      <w:r w:rsidR="00A74814">
        <w:t xml:space="preserve"> </w:t>
      </w:r>
      <w:r w:rsidR="00327CAB">
        <w:t>DFAT</w:t>
      </w:r>
      <w:r>
        <w:t xml:space="preserve"> Aid Monitoring and Evaluation Standards</w:t>
      </w:r>
      <w:bookmarkEnd w:id="344"/>
    </w:p>
    <w:p w14:paraId="01F6554F" w14:textId="256E476E" w:rsidR="00603037" w:rsidRDefault="009612E2" w:rsidP="00572E38">
      <w:pPr>
        <w:rPr>
          <w:color w:val="000000" w:themeColor="text1"/>
          <w:szCs w:val="21"/>
        </w:rPr>
      </w:pPr>
      <w:r>
        <w:rPr>
          <w:color w:val="000000" w:themeColor="text1"/>
          <w:szCs w:val="21"/>
        </w:rPr>
        <w:t>The lessons for evaluation commissioning areas presented in this review should be read in conjunction with the DFAT Aid Monitoring and Evaluation (M&amp;E) Standards</w:t>
      </w:r>
      <w:r w:rsidR="00FB2B49">
        <w:rPr>
          <w:color w:val="000000" w:themeColor="text1"/>
          <w:szCs w:val="21"/>
        </w:rPr>
        <w:t>,</w:t>
      </w:r>
      <w:r w:rsidR="00572E38" w:rsidRPr="002615AD">
        <w:rPr>
          <w:vertAlign w:val="superscript"/>
        </w:rPr>
        <w:footnoteReference w:id="53"/>
      </w:r>
      <w:r w:rsidR="00603037">
        <w:rPr>
          <w:color w:val="000000" w:themeColor="text1"/>
          <w:szCs w:val="21"/>
        </w:rPr>
        <w:t xml:space="preserve"> which</w:t>
      </w:r>
      <w:r w:rsidR="00572E38" w:rsidRPr="002615AD">
        <w:rPr>
          <w:color w:val="000000" w:themeColor="text1"/>
          <w:szCs w:val="21"/>
        </w:rPr>
        <w:t xml:space="preserve"> articulate expectations of the quality expected from a range of M&amp;E products</w:t>
      </w:r>
      <w:r w:rsidR="00603037">
        <w:rPr>
          <w:color w:val="000000" w:themeColor="text1"/>
          <w:szCs w:val="21"/>
        </w:rPr>
        <w:t>.</w:t>
      </w:r>
      <w:r w:rsidR="00A74814">
        <w:rPr>
          <w:color w:val="000000" w:themeColor="text1"/>
          <w:szCs w:val="21"/>
        </w:rPr>
        <w:t xml:space="preserve"> </w:t>
      </w:r>
    </w:p>
    <w:p w14:paraId="6233730A" w14:textId="77777777" w:rsidR="00603037" w:rsidRPr="002615AD" w:rsidRDefault="00603037" w:rsidP="00603037">
      <w:pPr>
        <w:rPr>
          <w:color w:val="000000" w:themeColor="text1"/>
          <w:szCs w:val="21"/>
        </w:rPr>
      </w:pPr>
      <w:r>
        <w:rPr>
          <w:color w:val="000000" w:themeColor="text1"/>
          <w:szCs w:val="21"/>
        </w:rPr>
        <w:t>The Standards</w:t>
      </w:r>
      <w:r w:rsidR="00572E38" w:rsidRPr="002615AD">
        <w:rPr>
          <w:color w:val="000000" w:themeColor="text1"/>
          <w:szCs w:val="21"/>
        </w:rPr>
        <w:t xml:space="preserve"> provide a useful resource for evaluation commission</w:t>
      </w:r>
      <w:r>
        <w:rPr>
          <w:color w:val="000000" w:themeColor="text1"/>
          <w:szCs w:val="21"/>
        </w:rPr>
        <w:t>ing</w:t>
      </w:r>
      <w:r w:rsidR="00572E38" w:rsidRPr="002615AD">
        <w:rPr>
          <w:color w:val="000000" w:themeColor="text1"/>
          <w:szCs w:val="21"/>
        </w:rPr>
        <w:t xml:space="preserve"> areas.</w:t>
      </w:r>
      <w:r w:rsidR="00A74814">
        <w:rPr>
          <w:color w:val="000000" w:themeColor="text1"/>
          <w:szCs w:val="21"/>
        </w:rPr>
        <w:t xml:space="preserve"> </w:t>
      </w:r>
      <w:r>
        <w:rPr>
          <w:color w:val="000000" w:themeColor="text1"/>
          <w:szCs w:val="21"/>
        </w:rPr>
        <w:t xml:space="preserve">The Standards can assist DFAT officers to </w:t>
      </w:r>
      <w:r w:rsidR="002615AD" w:rsidRPr="002615AD">
        <w:rPr>
          <w:color w:val="000000" w:themeColor="text1"/>
          <w:szCs w:val="21"/>
        </w:rPr>
        <w:t>articulate</w:t>
      </w:r>
      <w:r>
        <w:rPr>
          <w:color w:val="000000" w:themeColor="text1"/>
          <w:szCs w:val="21"/>
        </w:rPr>
        <w:t xml:space="preserve"> consistently</w:t>
      </w:r>
      <w:r w:rsidR="002615AD" w:rsidRPr="002615AD">
        <w:rPr>
          <w:color w:val="000000" w:themeColor="text1"/>
          <w:szCs w:val="21"/>
        </w:rPr>
        <w:t xml:space="preserve"> their requirements to M&amp;E </w:t>
      </w:r>
      <w:r>
        <w:rPr>
          <w:color w:val="000000" w:themeColor="text1"/>
          <w:szCs w:val="21"/>
        </w:rPr>
        <w:t>p</w:t>
      </w:r>
      <w:r w:rsidR="002615AD" w:rsidRPr="002615AD">
        <w:rPr>
          <w:color w:val="000000" w:themeColor="text1"/>
          <w:szCs w:val="21"/>
        </w:rPr>
        <w:t>ractitioners and the industry more broadly; to assess</w:t>
      </w:r>
      <w:r>
        <w:rPr>
          <w:color w:val="000000" w:themeColor="text1"/>
          <w:szCs w:val="21"/>
        </w:rPr>
        <w:t xml:space="preserve"> and assure</w:t>
      </w:r>
      <w:r w:rsidR="002615AD" w:rsidRPr="002615AD">
        <w:rPr>
          <w:color w:val="000000" w:themeColor="text1"/>
          <w:szCs w:val="21"/>
        </w:rPr>
        <w:t xml:space="preserve"> the quality of the M&amp;E products they receive; and to work with implementation teams and M&amp;E practitioners to improve the quality of products where necessary.</w:t>
      </w:r>
      <w:r w:rsidR="00A74814">
        <w:rPr>
          <w:color w:val="000000" w:themeColor="text1"/>
          <w:szCs w:val="21"/>
        </w:rPr>
        <w:t xml:space="preserve"> </w:t>
      </w:r>
      <w:r>
        <w:rPr>
          <w:color w:val="000000" w:themeColor="text1"/>
          <w:szCs w:val="21"/>
        </w:rPr>
        <w:t>E</w:t>
      </w:r>
      <w:r w:rsidR="002615AD" w:rsidRPr="002615AD">
        <w:rPr>
          <w:color w:val="000000" w:themeColor="text1"/>
          <w:szCs w:val="21"/>
        </w:rPr>
        <w:t xml:space="preserve">qually, the suppliers of M&amp;E products benefit from this clear articulation of what is required, and the </w:t>
      </w:r>
      <w:r>
        <w:rPr>
          <w:color w:val="000000" w:themeColor="text1"/>
          <w:szCs w:val="21"/>
        </w:rPr>
        <w:t>S</w:t>
      </w:r>
      <w:r w:rsidR="002615AD" w:rsidRPr="002615AD">
        <w:rPr>
          <w:color w:val="000000" w:themeColor="text1"/>
          <w:szCs w:val="21"/>
        </w:rPr>
        <w:t>tandards provide a strong basis for the negotiation of the delivery and resourcing of quality products.</w:t>
      </w:r>
      <w:r w:rsidR="00A74814">
        <w:rPr>
          <w:color w:val="000000" w:themeColor="text1"/>
          <w:szCs w:val="21"/>
        </w:rPr>
        <w:t xml:space="preserve"> </w:t>
      </w:r>
    </w:p>
    <w:p w14:paraId="6AD14171" w14:textId="12B71198" w:rsidR="009612E2" w:rsidRPr="00A13E74" w:rsidRDefault="00473E01" w:rsidP="00572E38">
      <w:pPr>
        <w:rPr>
          <w:color w:val="000000" w:themeColor="text1"/>
          <w:szCs w:val="21"/>
        </w:rPr>
      </w:pPr>
      <w:r>
        <w:rPr>
          <w:color w:val="000000" w:themeColor="text1"/>
          <w:szCs w:val="21"/>
        </w:rPr>
        <w:t xml:space="preserve">Developed by the former AusAID, the Standards </w:t>
      </w:r>
      <w:r w:rsidR="009612E2">
        <w:rPr>
          <w:color w:val="000000" w:themeColor="text1"/>
          <w:szCs w:val="21"/>
        </w:rPr>
        <w:t>had not been formally adopted</w:t>
      </w:r>
      <w:r w:rsidR="009612E2" w:rsidRPr="00A13E74">
        <w:rPr>
          <w:color w:val="000000" w:themeColor="text1"/>
          <w:szCs w:val="21"/>
        </w:rPr>
        <w:t xml:space="preserve"> at the time the evaluations</w:t>
      </w:r>
      <w:r w:rsidR="009612E2">
        <w:rPr>
          <w:color w:val="000000" w:themeColor="text1"/>
          <w:szCs w:val="21"/>
        </w:rPr>
        <w:t xml:space="preserve"> in this review</w:t>
      </w:r>
      <w:r w:rsidR="009612E2" w:rsidRPr="00A13E74">
        <w:rPr>
          <w:color w:val="000000" w:themeColor="text1"/>
          <w:szCs w:val="21"/>
        </w:rPr>
        <w:t xml:space="preserve"> were commissioned and undertaken</w:t>
      </w:r>
      <w:r w:rsidR="009612E2">
        <w:rPr>
          <w:color w:val="000000" w:themeColor="text1"/>
          <w:szCs w:val="21"/>
        </w:rPr>
        <w:t xml:space="preserve">, but </w:t>
      </w:r>
      <w:r w:rsidR="00572E38">
        <w:rPr>
          <w:color w:val="000000" w:themeColor="text1"/>
          <w:szCs w:val="21"/>
        </w:rPr>
        <w:t>they were</w:t>
      </w:r>
      <w:r w:rsidR="009612E2">
        <w:rPr>
          <w:color w:val="000000" w:themeColor="text1"/>
          <w:szCs w:val="21"/>
        </w:rPr>
        <w:t xml:space="preserve"> integrated into </w:t>
      </w:r>
      <w:r>
        <w:rPr>
          <w:color w:val="000000" w:themeColor="text1"/>
          <w:szCs w:val="21"/>
        </w:rPr>
        <w:t xml:space="preserve">agency </w:t>
      </w:r>
      <w:r w:rsidR="00572E38">
        <w:rPr>
          <w:color w:val="000000" w:themeColor="text1"/>
          <w:szCs w:val="21"/>
        </w:rPr>
        <w:t xml:space="preserve">evaluation </w:t>
      </w:r>
      <w:r w:rsidR="009612E2">
        <w:rPr>
          <w:color w:val="000000" w:themeColor="text1"/>
          <w:szCs w:val="21"/>
        </w:rPr>
        <w:t xml:space="preserve">guidance </w:t>
      </w:r>
      <w:r w:rsidR="00572E38">
        <w:rPr>
          <w:color w:val="000000" w:themeColor="text1"/>
          <w:szCs w:val="21"/>
        </w:rPr>
        <w:t>in</w:t>
      </w:r>
      <w:r w:rsidR="009612E2">
        <w:rPr>
          <w:color w:val="000000" w:themeColor="text1"/>
          <w:szCs w:val="21"/>
        </w:rPr>
        <w:t xml:space="preserve"> 2012</w:t>
      </w:r>
      <w:r w:rsidR="009612E2" w:rsidRPr="00A13E74">
        <w:rPr>
          <w:color w:val="000000" w:themeColor="text1"/>
          <w:szCs w:val="21"/>
        </w:rPr>
        <w:t xml:space="preserve">. </w:t>
      </w:r>
    </w:p>
    <w:p w14:paraId="78C871BA" w14:textId="77777777" w:rsidR="003D6B5D" w:rsidRPr="002615AD" w:rsidRDefault="003D6B5D" w:rsidP="002615AD">
      <w:pPr>
        <w:rPr>
          <w:color w:val="000000" w:themeColor="text1"/>
          <w:szCs w:val="21"/>
        </w:rPr>
      </w:pPr>
      <w:r w:rsidRPr="002615AD">
        <w:rPr>
          <w:color w:val="000000" w:themeColor="text1"/>
          <w:szCs w:val="21"/>
        </w:rPr>
        <w:t>The Standards in this series are:</w:t>
      </w:r>
    </w:p>
    <w:p w14:paraId="3CBFD924" w14:textId="77777777" w:rsidR="003D6B5D" w:rsidRPr="002615AD" w:rsidRDefault="003D6B5D" w:rsidP="00603037">
      <w:pPr>
        <w:ind w:left="720"/>
        <w:rPr>
          <w:color w:val="000000" w:themeColor="text1"/>
          <w:szCs w:val="21"/>
        </w:rPr>
      </w:pPr>
      <w:r w:rsidRPr="002615AD">
        <w:rPr>
          <w:color w:val="000000" w:themeColor="text1"/>
          <w:szCs w:val="21"/>
        </w:rPr>
        <w:t>Standard 1: Investment Design (required features for M&amp;E)</w:t>
      </w:r>
    </w:p>
    <w:p w14:paraId="26FA1B90" w14:textId="77777777" w:rsidR="003D6B5D" w:rsidRPr="002615AD" w:rsidRDefault="003D6B5D" w:rsidP="00603037">
      <w:pPr>
        <w:ind w:left="720"/>
        <w:rPr>
          <w:color w:val="000000" w:themeColor="text1"/>
          <w:szCs w:val="21"/>
        </w:rPr>
      </w:pPr>
      <w:r w:rsidRPr="002615AD">
        <w:rPr>
          <w:color w:val="000000" w:themeColor="text1"/>
          <w:szCs w:val="21"/>
        </w:rPr>
        <w:t>Standard 2: Initiative M&amp;E Systems</w:t>
      </w:r>
    </w:p>
    <w:p w14:paraId="640022DA" w14:textId="77777777" w:rsidR="003D6B5D" w:rsidRPr="002615AD" w:rsidRDefault="003D6B5D" w:rsidP="00603037">
      <w:pPr>
        <w:ind w:left="720"/>
        <w:rPr>
          <w:color w:val="000000" w:themeColor="text1"/>
          <w:szCs w:val="21"/>
        </w:rPr>
      </w:pPr>
      <w:r w:rsidRPr="002615AD">
        <w:rPr>
          <w:color w:val="000000" w:themeColor="text1"/>
          <w:szCs w:val="21"/>
        </w:rPr>
        <w:t>Standard 3: Initiative Progress Reporting</w:t>
      </w:r>
    </w:p>
    <w:p w14:paraId="7445E03B" w14:textId="77777777" w:rsidR="003D6B5D" w:rsidRPr="002615AD" w:rsidRDefault="003D6B5D" w:rsidP="00603037">
      <w:pPr>
        <w:ind w:left="720"/>
        <w:rPr>
          <w:color w:val="000000" w:themeColor="text1"/>
          <w:szCs w:val="21"/>
        </w:rPr>
      </w:pPr>
      <w:r w:rsidRPr="002615AD">
        <w:rPr>
          <w:color w:val="000000" w:themeColor="text1"/>
          <w:szCs w:val="21"/>
        </w:rPr>
        <w:t>Standard 4: Terms of Reference for Independent Evaluations</w:t>
      </w:r>
    </w:p>
    <w:p w14:paraId="37B82BDF" w14:textId="77777777" w:rsidR="003D6B5D" w:rsidRPr="002615AD" w:rsidRDefault="003D6B5D" w:rsidP="00603037">
      <w:pPr>
        <w:ind w:left="720"/>
        <w:rPr>
          <w:color w:val="000000" w:themeColor="text1"/>
          <w:szCs w:val="21"/>
        </w:rPr>
      </w:pPr>
      <w:r w:rsidRPr="002615AD">
        <w:rPr>
          <w:color w:val="000000" w:themeColor="text1"/>
          <w:szCs w:val="21"/>
        </w:rPr>
        <w:t>Standard 5: Independent Evaluation Plan (Methodology)</w:t>
      </w:r>
    </w:p>
    <w:p w14:paraId="2F77EE58" w14:textId="77777777" w:rsidR="003D6B5D" w:rsidRPr="002615AD" w:rsidRDefault="003D6B5D" w:rsidP="00603037">
      <w:pPr>
        <w:ind w:left="720"/>
        <w:rPr>
          <w:color w:val="000000" w:themeColor="text1"/>
          <w:szCs w:val="21"/>
        </w:rPr>
      </w:pPr>
      <w:r w:rsidRPr="002615AD">
        <w:rPr>
          <w:color w:val="000000" w:themeColor="text1"/>
          <w:szCs w:val="21"/>
        </w:rPr>
        <w:t>Standard 6: Independent Evaluation Report</w:t>
      </w:r>
    </w:p>
    <w:p w14:paraId="26FF61C3" w14:textId="77777777" w:rsidR="003D6B5D" w:rsidRPr="002615AD" w:rsidRDefault="003D6B5D" w:rsidP="00603037">
      <w:pPr>
        <w:ind w:left="720"/>
        <w:rPr>
          <w:color w:val="000000" w:themeColor="text1"/>
          <w:szCs w:val="21"/>
        </w:rPr>
      </w:pPr>
      <w:r w:rsidRPr="002615AD">
        <w:rPr>
          <w:color w:val="000000" w:themeColor="text1"/>
          <w:szCs w:val="21"/>
        </w:rPr>
        <w:t>Standard 7: Monitoring Visits</w:t>
      </w:r>
    </w:p>
    <w:p w14:paraId="2E564DBB" w14:textId="39AE8BEF" w:rsidR="00C123FC" w:rsidRDefault="002615AD" w:rsidP="009612E2">
      <w:pPr>
        <w:rPr>
          <w:color w:val="000000" w:themeColor="text1"/>
          <w:szCs w:val="21"/>
        </w:rPr>
      </w:pPr>
      <w:r>
        <w:rPr>
          <w:color w:val="000000" w:themeColor="text1"/>
          <w:szCs w:val="21"/>
        </w:rPr>
        <w:t>St</w:t>
      </w:r>
      <w:r w:rsidR="009612E2" w:rsidRPr="00017977">
        <w:rPr>
          <w:color w:val="000000" w:themeColor="text1"/>
          <w:szCs w:val="21"/>
        </w:rPr>
        <w:t>andard</w:t>
      </w:r>
      <w:r>
        <w:rPr>
          <w:color w:val="000000" w:themeColor="text1"/>
          <w:szCs w:val="21"/>
        </w:rPr>
        <w:t>s</w:t>
      </w:r>
      <w:r w:rsidR="009612E2" w:rsidRPr="00017977">
        <w:rPr>
          <w:color w:val="000000" w:themeColor="text1"/>
          <w:szCs w:val="21"/>
        </w:rPr>
        <w:t xml:space="preserve"> 4</w:t>
      </w:r>
      <w:r>
        <w:rPr>
          <w:color w:val="000000" w:themeColor="text1"/>
          <w:szCs w:val="21"/>
        </w:rPr>
        <w:t>, 5 and 6 relating to</w:t>
      </w:r>
      <w:r w:rsidR="00603037">
        <w:rPr>
          <w:color w:val="000000" w:themeColor="text1"/>
          <w:szCs w:val="21"/>
        </w:rPr>
        <w:t xml:space="preserve"> independent</w:t>
      </w:r>
      <w:r>
        <w:rPr>
          <w:color w:val="000000" w:themeColor="text1"/>
          <w:szCs w:val="21"/>
        </w:rPr>
        <w:t xml:space="preserve"> evaluations are presented here.</w:t>
      </w:r>
    </w:p>
    <w:p w14:paraId="783B11C2" w14:textId="77777777" w:rsidR="00C123FC" w:rsidRDefault="00C123FC">
      <w:pPr>
        <w:spacing w:before="0" w:after="0" w:line="240" w:lineRule="auto"/>
        <w:rPr>
          <w:color w:val="000000" w:themeColor="text1"/>
          <w:szCs w:val="21"/>
        </w:rPr>
      </w:pPr>
      <w:r>
        <w:rPr>
          <w:color w:val="000000" w:themeColor="text1"/>
          <w:szCs w:val="21"/>
        </w:rPr>
        <w:br w:type="page"/>
      </w:r>
    </w:p>
    <w:p w14:paraId="3FF0DB3F" w14:textId="4A6A2942" w:rsidR="003D6B5D" w:rsidRDefault="003D6B5D" w:rsidP="00C123FC">
      <w:pPr>
        <w:pStyle w:val="Heading2"/>
      </w:pPr>
      <w:bookmarkStart w:id="345" w:name="_Toc387675142"/>
      <w:r>
        <w:lastRenderedPageBreak/>
        <w:t xml:space="preserve">Standard 4: Terms of </w:t>
      </w:r>
      <w:r w:rsidR="005F7014">
        <w:t>r</w:t>
      </w:r>
      <w:r>
        <w:t xml:space="preserve">eference for </w:t>
      </w:r>
      <w:r w:rsidR="005F7014">
        <w:t>i</w:t>
      </w:r>
      <w:r>
        <w:t xml:space="preserve">ndependent </w:t>
      </w:r>
      <w:r w:rsidR="005F7014">
        <w:t>e</w:t>
      </w:r>
      <w:r>
        <w:t>valuations</w:t>
      </w:r>
      <w:bookmarkEnd w:id="345"/>
    </w:p>
    <w:p w14:paraId="1617D156" w14:textId="77777777" w:rsidR="003D6B5D" w:rsidRPr="00885C65" w:rsidRDefault="003D6B5D" w:rsidP="003D6B5D">
      <w:pPr>
        <w:spacing w:after="0" w:line="240" w:lineRule="auto"/>
        <w:jc w:val="center"/>
        <w:rPr>
          <w:rFonts w:ascii="Arial Narrow" w:hAnsi="Arial Narrow" w:cs="Arial"/>
          <w:b/>
          <w:sz w:val="6"/>
          <w:szCs w:val="28"/>
        </w:rPr>
      </w:pPr>
    </w:p>
    <w:p w14:paraId="2AC694BA" w14:textId="77777777" w:rsidR="003D6B5D" w:rsidRPr="00B30083" w:rsidRDefault="003D6B5D" w:rsidP="00B30083">
      <w:pPr>
        <w:rPr>
          <w:color w:val="000000" w:themeColor="text1"/>
          <w:szCs w:val="21"/>
        </w:rPr>
      </w:pPr>
      <w:r w:rsidRPr="00B30083">
        <w:rPr>
          <w:color w:val="000000" w:themeColor="text1"/>
          <w:szCs w:val="21"/>
        </w:rPr>
        <w:t>Note: The term evaluation is used in this document to refer to both reviews and evaluations. Evaluation would normally refer to a piece of work with a higher degree of methodological rigour usually requiring longer time frames and additional resources.</w:t>
      </w:r>
    </w:p>
    <w:p w14:paraId="1F447E29" w14:textId="35AAE3BA" w:rsidR="003D6B5D" w:rsidRPr="00B30083" w:rsidRDefault="003D6B5D" w:rsidP="00E80239">
      <w:pPr>
        <w:pStyle w:val="Heading3"/>
      </w:pPr>
      <w:r w:rsidRPr="00B30083">
        <w:t xml:space="preserve">Background and </w:t>
      </w:r>
      <w:r w:rsidR="005F7014">
        <w:t>o</w:t>
      </w:r>
      <w:r w:rsidRPr="00B30083">
        <w:t xml:space="preserve">rientation to the </w:t>
      </w:r>
      <w:r w:rsidR="005F7014">
        <w:t>e</w:t>
      </w:r>
      <w:r w:rsidRPr="00B30083">
        <w:t>valuation</w:t>
      </w:r>
    </w:p>
    <w:p w14:paraId="21A8B586" w14:textId="77777777" w:rsidR="003D6B5D" w:rsidRPr="00B30083" w:rsidRDefault="003D6B5D" w:rsidP="00E80239">
      <w:pPr>
        <w:pStyle w:val="Heading4"/>
      </w:pPr>
      <w:r w:rsidRPr="00B30083">
        <w:t>4.1. A brief orientation to the initiative is provided</w:t>
      </w:r>
    </w:p>
    <w:p w14:paraId="6048AC38" w14:textId="77777777" w:rsidR="003D6B5D" w:rsidRPr="00B30083" w:rsidRDefault="003D6B5D" w:rsidP="00B30083">
      <w:pPr>
        <w:rPr>
          <w:color w:val="000000" w:themeColor="text1"/>
          <w:szCs w:val="21"/>
        </w:rPr>
      </w:pPr>
      <w:r w:rsidRPr="00B30083">
        <w:rPr>
          <w:color w:val="000000" w:themeColor="text1"/>
          <w:szCs w:val="21"/>
        </w:rPr>
        <w:t>As the terms of reference are used to explore with proposed consultants whether or not they are interested in, or to comment on the proposed evaluation, the orientation must ensure the TORs are a stand-alone document. Important information includes: the total value; the time frame; a summary of the expected end-of-program outcomes; a short summary of the key approaches employed (such as training, technical advisers, secondments, provision of infrastructure, equipment, and budget support or pooled funding etc.). The context in which the initiative is situated is described such as the program strategy and/or delivery strategy that the initiative aims to address as well as the partner government development plans of relevance. The delivery mechanism is described (contracted, multi-lateral development partner, NGO) and whether or not the initiative is a project, program or facility. Any information which can guide the reader in quickly understanding the scope/reach of the initiative is provided.</w:t>
      </w:r>
    </w:p>
    <w:p w14:paraId="5F03D8AD" w14:textId="77777777" w:rsidR="003D6B5D" w:rsidRPr="00B30083" w:rsidRDefault="003D6B5D" w:rsidP="00E80239">
      <w:pPr>
        <w:pStyle w:val="Heading4"/>
      </w:pPr>
      <w:r w:rsidRPr="00B30083">
        <w:t>4.2. The purpose of the evaluation is described</w:t>
      </w:r>
    </w:p>
    <w:p w14:paraId="319C5A1D" w14:textId="6DEB5B46" w:rsidR="003D6B5D" w:rsidRPr="00B30083" w:rsidRDefault="003D6B5D" w:rsidP="00B30083">
      <w:pPr>
        <w:rPr>
          <w:color w:val="000000" w:themeColor="text1"/>
          <w:szCs w:val="21"/>
        </w:rPr>
      </w:pPr>
      <w:r w:rsidRPr="00B30083">
        <w:rPr>
          <w:color w:val="000000" w:themeColor="text1"/>
          <w:szCs w:val="21"/>
        </w:rPr>
        <w:t>The TOR clearly identifies the overall purpose(s) and shows which purposes are of most importance</w:t>
      </w:r>
      <w:r w:rsidR="005E24C0">
        <w:rPr>
          <w:color w:val="000000" w:themeColor="text1"/>
          <w:szCs w:val="21"/>
        </w:rPr>
        <w:t>—</w:t>
      </w:r>
      <w:r w:rsidRPr="00B30083">
        <w:rPr>
          <w:color w:val="000000" w:themeColor="text1"/>
          <w:szCs w:val="21"/>
        </w:rPr>
        <w:t>accountability, initiative improvement, knowledge generation, or developmental</w:t>
      </w:r>
      <w:r w:rsidR="005F7014">
        <w:rPr>
          <w:color w:val="000000" w:themeColor="text1"/>
          <w:szCs w:val="21"/>
        </w:rPr>
        <w:t>.</w:t>
      </w:r>
      <w:r w:rsidRPr="00E80239">
        <w:rPr>
          <w:color w:val="000000" w:themeColor="text1"/>
          <w:szCs w:val="21"/>
          <w:vertAlign w:val="superscript"/>
        </w:rPr>
        <w:footnoteReference w:id="54"/>
      </w:r>
      <w:r w:rsidR="00A74814">
        <w:rPr>
          <w:color w:val="000000" w:themeColor="text1"/>
          <w:szCs w:val="21"/>
        </w:rPr>
        <w:t xml:space="preserve"> </w:t>
      </w:r>
      <w:r w:rsidRPr="00B30083">
        <w:rPr>
          <w:color w:val="000000" w:themeColor="text1"/>
          <w:szCs w:val="21"/>
        </w:rPr>
        <w:t xml:space="preserve">This allows the consultant to reflect these priorities in the evaluation plan. The primary users of the information are identified so that the consultant can collect relevant information, contribute to deepening an understanding of the findings during the mission, and prepare an appropriate report. Primary users are identified by title not only organization. For example, </w:t>
      </w:r>
      <w:r w:rsidR="00D44A67">
        <w:rPr>
          <w:color w:val="000000" w:themeColor="text1"/>
          <w:szCs w:val="21"/>
        </w:rPr>
        <w:t>‘</w:t>
      </w:r>
      <w:r w:rsidR="00437F44">
        <w:rPr>
          <w:color w:val="000000" w:themeColor="text1"/>
          <w:szCs w:val="21"/>
        </w:rPr>
        <w:t>DFAT</w:t>
      </w:r>
      <w:r w:rsidR="00D44A67">
        <w:rPr>
          <w:color w:val="000000" w:themeColor="text1"/>
          <w:szCs w:val="21"/>
        </w:rPr>
        <w:t>’</w:t>
      </w:r>
      <w:r w:rsidRPr="00B30083">
        <w:rPr>
          <w:color w:val="000000" w:themeColor="text1"/>
          <w:szCs w:val="21"/>
        </w:rPr>
        <w:t xml:space="preserve"> is made up of senior executive, desk officers, senior managers and initiative managers. </w:t>
      </w:r>
      <w:r w:rsidR="00D44A67">
        <w:rPr>
          <w:color w:val="000000" w:themeColor="text1"/>
          <w:szCs w:val="21"/>
        </w:rPr>
        <w:t>‘</w:t>
      </w:r>
      <w:r w:rsidRPr="00B30083">
        <w:rPr>
          <w:color w:val="000000" w:themeColor="text1"/>
          <w:szCs w:val="21"/>
        </w:rPr>
        <w:t>The Contractor</w:t>
      </w:r>
      <w:r w:rsidR="00D44A67">
        <w:rPr>
          <w:color w:val="000000" w:themeColor="text1"/>
          <w:szCs w:val="21"/>
        </w:rPr>
        <w:t>’</w:t>
      </w:r>
      <w:r w:rsidRPr="00B30083">
        <w:rPr>
          <w:color w:val="000000" w:themeColor="text1"/>
          <w:szCs w:val="21"/>
        </w:rPr>
        <w:t xml:space="preserve"> is made up of head office personnel, implementation managers and advisers. </w:t>
      </w:r>
    </w:p>
    <w:p w14:paraId="5639C846" w14:textId="77777777" w:rsidR="003D6B5D" w:rsidRPr="00B30083" w:rsidRDefault="00B966A3" w:rsidP="00B30083">
      <w:pPr>
        <w:rPr>
          <w:color w:val="000000" w:themeColor="text1"/>
          <w:szCs w:val="21"/>
        </w:rPr>
      </w:pPr>
      <w:r>
        <w:rPr>
          <w:color w:val="000000" w:themeColor="text1"/>
          <w:szCs w:val="21"/>
        </w:rPr>
        <w:t>T</w:t>
      </w:r>
      <w:r w:rsidR="003D6B5D" w:rsidRPr="00B30083">
        <w:rPr>
          <w:color w:val="000000" w:themeColor="text1"/>
          <w:szCs w:val="21"/>
        </w:rPr>
        <w:t>he</w:t>
      </w:r>
      <w:r>
        <w:rPr>
          <w:color w:val="000000" w:themeColor="text1"/>
          <w:szCs w:val="21"/>
        </w:rPr>
        <w:t>re is a wider</w:t>
      </w:r>
      <w:r w:rsidR="003D6B5D" w:rsidRPr="00B30083">
        <w:rPr>
          <w:color w:val="000000" w:themeColor="text1"/>
          <w:szCs w:val="21"/>
        </w:rPr>
        <w:t xml:space="preserve"> audience </w:t>
      </w:r>
      <w:r>
        <w:rPr>
          <w:color w:val="000000" w:themeColor="text1"/>
          <w:szCs w:val="21"/>
        </w:rPr>
        <w:t xml:space="preserve">for evaluations than </w:t>
      </w:r>
      <w:r w:rsidR="003D6B5D" w:rsidRPr="00B30083">
        <w:rPr>
          <w:color w:val="000000" w:themeColor="text1"/>
          <w:szCs w:val="21"/>
        </w:rPr>
        <w:t xml:space="preserve">the primary users, </w:t>
      </w:r>
      <w:r>
        <w:rPr>
          <w:color w:val="000000" w:themeColor="text1"/>
          <w:szCs w:val="21"/>
        </w:rPr>
        <w:t>and the reports are usually published on the DFAT website.</w:t>
      </w:r>
    </w:p>
    <w:p w14:paraId="01C5190C" w14:textId="77777777" w:rsidR="003D6B5D" w:rsidRPr="00B30083" w:rsidRDefault="003D6B5D" w:rsidP="00E80239">
      <w:pPr>
        <w:pStyle w:val="Heading4"/>
      </w:pPr>
      <w:r w:rsidRPr="00B30083">
        <w:t>4.3. The TOR identifies the key decisions (management, operational and/or policy) which the evaluation is intended to inform</w:t>
      </w:r>
    </w:p>
    <w:p w14:paraId="015E9F41" w14:textId="77777777" w:rsidR="003D6B5D" w:rsidRPr="00B30083" w:rsidRDefault="003D6B5D" w:rsidP="00B30083">
      <w:pPr>
        <w:rPr>
          <w:color w:val="000000" w:themeColor="text1"/>
          <w:szCs w:val="21"/>
        </w:rPr>
      </w:pPr>
      <w:r w:rsidRPr="00B30083">
        <w:rPr>
          <w:color w:val="000000" w:themeColor="text1"/>
          <w:szCs w:val="21"/>
        </w:rPr>
        <w:t>Any important management decisions that the primary users are expected to make are identified and described. Management decisions are more specific than the purpose and involve decisions such as whether or not to extend an initiative, whether or not to involve a new partner, whether partner systems are ready for use, or whether to consider a new modality for a future initiative.</w:t>
      </w:r>
    </w:p>
    <w:p w14:paraId="26103571" w14:textId="77777777" w:rsidR="003D6B5D" w:rsidRPr="00B30083" w:rsidRDefault="003D6B5D" w:rsidP="00E80239">
      <w:pPr>
        <w:pStyle w:val="Heading4"/>
      </w:pPr>
      <w:r w:rsidRPr="00B30083">
        <w:lastRenderedPageBreak/>
        <w:t>4.4. Key Issues are identified and discussed</w:t>
      </w:r>
    </w:p>
    <w:p w14:paraId="56DEFCB2" w14:textId="77777777" w:rsidR="003D6B5D" w:rsidRPr="00B30083" w:rsidRDefault="003D6B5D" w:rsidP="00B30083">
      <w:pPr>
        <w:rPr>
          <w:color w:val="000000" w:themeColor="text1"/>
          <w:szCs w:val="21"/>
        </w:rPr>
      </w:pPr>
      <w:r w:rsidRPr="00B30083">
        <w:rPr>
          <w:color w:val="000000" w:themeColor="text1"/>
          <w:szCs w:val="21"/>
        </w:rPr>
        <w:t>Any important issues that have informed the call for, or design, of the evaluation terms of reference are identified and described. They are described in neutral language and do not infer an expectation of findings. They are described in sufficient detail to enable the evaluator to develop the evaluation plan to adequately explore the issues.</w:t>
      </w:r>
    </w:p>
    <w:p w14:paraId="43911EC1" w14:textId="0E0DA849" w:rsidR="003D6B5D" w:rsidRPr="00B30083" w:rsidRDefault="003D6B5D" w:rsidP="00E80239">
      <w:pPr>
        <w:pStyle w:val="Heading3"/>
      </w:pPr>
      <w:r w:rsidRPr="00B30083">
        <w:t xml:space="preserve">Key </w:t>
      </w:r>
      <w:r w:rsidR="00D44A67">
        <w:t>e</w:t>
      </w:r>
      <w:r w:rsidRPr="00B30083">
        <w:t xml:space="preserve">valuation </w:t>
      </w:r>
      <w:r w:rsidR="00D44A67">
        <w:t>q</w:t>
      </w:r>
      <w:r w:rsidRPr="00B30083">
        <w:t xml:space="preserve">uestions or </w:t>
      </w:r>
      <w:r w:rsidR="00D44A67">
        <w:t>s</w:t>
      </w:r>
      <w:r w:rsidRPr="00B30083">
        <w:t>cope</w:t>
      </w:r>
    </w:p>
    <w:p w14:paraId="3155AB6E" w14:textId="77777777" w:rsidR="003D6B5D" w:rsidRPr="00B30083" w:rsidRDefault="003D6B5D" w:rsidP="00E80239">
      <w:pPr>
        <w:pStyle w:val="Heading4"/>
      </w:pPr>
      <w:r w:rsidRPr="00B30083">
        <w:t xml:space="preserve">4.5. The key evaluation questions are consistent with the overall purpose and management decisions of the evaluation </w:t>
      </w:r>
    </w:p>
    <w:p w14:paraId="3E9E6238" w14:textId="77777777" w:rsidR="003D6B5D" w:rsidRPr="00B30083" w:rsidRDefault="003D6B5D" w:rsidP="00B30083">
      <w:pPr>
        <w:rPr>
          <w:color w:val="000000" w:themeColor="text1"/>
          <w:szCs w:val="21"/>
        </w:rPr>
      </w:pPr>
      <w:r w:rsidRPr="00B30083">
        <w:rPr>
          <w:color w:val="000000" w:themeColor="text1"/>
          <w:szCs w:val="21"/>
        </w:rPr>
        <w:t xml:space="preserve">Each of the key evaluation questions is clearly related to the stated purpose(s) of the evaluation (and clearly related to the key management decisions). There are an adequate range of questions to meet all the stated purposes, and to ensure </w:t>
      </w:r>
      <w:r w:rsidR="00437F44">
        <w:rPr>
          <w:color w:val="000000" w:themeColor="text1"/>
          <w:szCs w:val="21"/>
        </w:rPr>
        <w:t>DFAT</w:t>
      </w:r>
      <w:r w:rsidR="00744801">
        <w:rPr>
          <w:color w:val="000000" w:themeColor="text1"/>
          <w:szCs w:val="21"/>
        </w:rPr>
        <w:t>’</w:t>
      </w:r>
      <w:r w:rsidRPr="00B30083">
        <w:rPr>
          <w:color w:val="000000" w:themeColor="text1"/>
          <w:szCs w:val="21"/>
        </w:rPr>
        <w:t>s information needs are met. There are no additional questions unrelated to the stated purpose. Although the DAC criteria are an important consideration for the evaluation, these have not been cut and pasted into the TOR resulting in broad questions of ambiguous scope. There is a single list of questions in one place in the TOR.</w:t>
      </w:r>
    </w:p>
    <w:p w14:paraId="5D2ACE37" w14:textId="77777777" w:rsidR="003D6B5D" w:rsidRPr="00B30083" w:rsidRDefault="003D6B5D" w:rsidP="00E80239">
      <w:pPr>
        <w:pStyle w:val="Heading4"/>
      </w:pPr>
      <w:r w:rsidRPr="00B30083">
        <w:t>4.6. Priority evaluation questions are identified</w:t>
      </w:r>
    </w:p>
    <w:p w14:paraId="4E3605F2" w14:textId="77777777" w:rsidR="003D6B5D" w:rsidRPr="00B30083" w:rsidRDefault="003D6B5D" w:rsidP="00B30083">
      <w:pPr>
        <w:rPr>
          <w:color w:val="000000" w:themeColor="text1"/>
          <w:szCs w:val="21"/>
        </w:rPr>
      </w:pPr>
      <w:r w:rsidRPr="00B30083">
        <w:rPr>
          <w:color w:val="000000" w:themeColor="text1"/>
          <w:szCs w:val="21"/>
        </w:rPr>
        <w:t>Of the full list of questions, the TORs clearly show what the priority questions for the evaluation are. This will allow the evaluator to make judgments during the evaluation of what questions must be answered in the final report, and what questions would be desirable. These priorities are consistent with the overall purpose of the evaluation. Ideally, only priority questions are posed, but in some cases where stakeholders have generated numerous questions which they want to keep in the TORs, prioritising these can be a way of showing the evaluator exactly what are the critical questions.</w:t>
      </w:r>
    </w:p>
    <w:p w14:paraId="098EF952" w14:textId="77777777" w:rsidR="003D6B5D" w:rsidRPr="00B30083" w:rsidRDefault="003D6B5D" w:rsidP="00E80239">
      <w:pPr>
        <w:pStyle w:val="Heading4"/>
      </w:pPr>
      <w:r w:rsidRPr="00B30083">
        <w:t>4.7. The scope of the questions is suitable for the time and resources available for the evaluation</w:t>
      </w:r>
    </w:p>
    <w:p w14:paraId="4CFF818D" w14:textId="77777777" w:rsidR="003D6B5D" w:rsidRPr="00B30083" w:rsidRDefault="003D6B5D" w:rsidP="00B30083">
      <w:pPr>
        <w:rPr>
          <w:color w:val="000000" w:themeColor="text1"/>
          <w:szCs w:val="21"/>
        </w:rPr>
      </w:pPr>
      <w:r w:rsidRPr="00B30083">
        <w:rPr>
          <w:color w:val="000000" w:themeColor="text1"/>
          <w:szCs w:val="21"/>
        </w:rPr>
        <w:t xml:space="preserve">Typically, a 12-day in-country evaluation can only address four or five broad questions. During the development of the evaluation plan, these are broken down into a larger number of sub-questions or information requirements. In addition, for a typical interview with a respondent without the need for translation, only a small number of topics can be addressed with depth. Still, this is only possible if both the interviewer is skilled in questioning techniques and the respondents are relatively articulate and experienced in the topic areas. In addition to collecting the information, it also needs to be processed, interpreted and reported on. The questions posed in the TORs reflect this reality. </w:t>
      </w:r>
    </w:p>
    <w:p w14:paraId="0119D1FF" w14:textId="77777777" w:rsidR="003D6B5D" w:rsidRPr="00B30083" w:rsidRDefault="003D6B5D" w:rsidP="00E80239">
      <w:pPr>
        <w:pStyle w:val="Heading4"/>
      </w:pPr>
      <w:r w:rsidRPr="00B30083">
        <w:t xml:space="preserve">4.8. Sufficient supporting information is provided about Key Evaluation Questions to guide the development of an appropriate evaluation plan </w:t>
      </w:r>
    </w:p>
    <w:p w14:paraId="5699D9F5" w14:textId="77777777" w:rsidR="003D6B5D" w:rsidRPr="00B30083" w:rsidRDefault="003D6B5D" w:rsidP="00B30083">
      <w:pPr>
        <w:rPr>
          <w:color w:val="000000" w:themeColor="text1"/>
          <w:szCs w:val="21"/>
        </w:rPr>
      </w:pPr>
      <w:r w:rsidRPr="00B30083">
        <w:rPr>
          <w:color w:val="000000" w:themeColor="text1"/>
          <w:szCs w:val="21"/>
        </w:rPr>
        <w:t>Evaluation questions are not broad or vague or open to a wide range of interpretations. There is clarity in either the Key Evaluation Questions, or the supportive information provided. The evaluator will be able to break down questions and identify the specific information requirements. For this to be successful and for the purpose(s) to be met, the evaluator will need to be able to correctly interpret the expected information from the way the questions are worded. The Key Evaluation Questions (and supportive information) pose questions in a way that the evaluator can select suitable methods for the time and resources available (for example, cause-and-effect questions are difficult to answer in a short review without access to suitable secondary data sources).</w:t>
      </w:r>
    </w:p>
    <w:p w14:paraId="674B804B" w14:textId="1390C51F" w:rsidR="003D6B5D" w:rsidRPr="00B30083" w:rsidRDefault="003D6B5D" w:rsidP="00E80239">
      <w:pPr>
        <w:pStyle w:val="Heading3"/>
      </w:pPr>
      <w:r w:rsidRPr="00B30083">
        <w:lastRenderedPageBreak/>
        <w:t xml:space="preserve">Evaluation </w:t>
      </w:r>
      <w:r w:rsidR="00D44A67">
        <w:t>p</w:t>
      </w:r>
      <w:r w:rsidRPr="00B30083">
        <w:t>rocess</w:t>
      </w:r>
    </w:p>
    <w:p w14:paraId="56859EF4" w14:textId="77777777" w:rsidR="003D6B5D" w:rsidRPr="00B30083" w:rsidRDefault="003D6B5D" w:rsidP="00B30083">
      <w:pPr>
        <w:rPr>
          <w:color w:val="000000" w:themeColor="text1"/>
          <w:szCs w:val="21"/>
        </w:rPr>
      </w:pPr>
      <w:r w:rsidRPr="00B30083">
        <w:rPr>
          <w:color w:val="000000" w:themeColor="text1"/>
          <w:szCs w:val="21"/>
        </w:rPr>
        <w:t>Adequate time and resources are required to enable the evaluation to be completed with an adequate degree of rigour. The following processes are allowed for:</w:t>
      </w:r>
    </w:p>
    <w:p w14:paraId="5F2FCB15" w14:textId="77777777" w:rsidR="003D6B5D" w:rsidRPr="00B30083" w:rsidRDefault="003D6B5D" w:rsidP="00E80239">
      <w:pPr>
        <w:pStyle w:val="Heading4"/>
      </w:pPr>
      <w:r w:rsidRPr="00B30083">
        <w:t>4.9. A verbal briefing of the key issues and priority information is planned</w:t>
      </w:r>
    </w:p>
    <w:p w14:paraId="478ED9AB" w14:textId="33E6FC65" w:rsidR="003D6B5D" w:rsidRPr="00B30083" w:rsidRDefault="003D6B5D" w:rsidP="00B30083">
      <w:pPr>
        <w:rPr>
          <w:color w:val="000000" w:themeColor="text1"/>
          <w:szCs w:val="21"/>
        </w:rPr>
      </w:pPr>
      <w:r w:rsidRPr="00B30083">
        <w:rPr>
          <w:color w:val="000000" w:themeColor="text1"/>
          <w:szCs w:val="21"/>
        </w:rPr>
        <w:t xml:space="preserve">A phone or face-to-face briefing is planned to discuss the background, issues and priorities for the evaluation with the evaluator before the evaluation plan is developed. Sufficient time must be allocated to allow </w:t>
      </w:r>
      <w:r w:rsidR="00437F44">
        <w:rPr>
          <w:color w:val="000000" w:themeColor="text1"/>
          <w:szCs w:val="21"/>
        </w:rPr>
        <w:t>DFAT</w:t>
      </w:r>
      <w:r w:rsidRPr="00B30083">
        <w:rPr>
          <w:color w:val="000000" w:themeColor="text1"/>
          <w:szCs w:val="21"/>
        </w:rPr>
        <w:t xml:space="preserve"> and the evaluator to work together to clarify scope, priority questions and issues, and general approach to methods. This may require more than one discussion.</w:t>
      </w:r>
    </w:p>
    <w:p w14:paraId="4E414452" w14:textId="77777777" w:rsidR="003D6B5D" w:rsidRPr="00B30083" w:rsidRDefault="003D6B5D" w:rsidP="00E80239">
      <w:pPr>
        <w:pStyle w:val="Heading4"/>
      </w:pPr>
      <w:r w:rsidRPr="00B30083">
        <w:t>4.10. Adequate time has been allocated for document review and document appraisal</w:t>
      </w:r>
    </w:p>
    <w:p w14:paraId="38E6D767" w14:textId="77777777" w:rsidR="003D6B5D" w:rsidRPr="00B30083" w:rsidRDefault="003D6B5D" w:rsidP="00B30083">
      <w:pPr>
        <w:rPr>
          <w:color w:val="000000" w:themeColor="text1"/>
          <w:szCs w:val="21"/>
        </w:rPr>
      </w:pPr>
      <w:r w:rsidRPr="00B30083">
        <w:rPr>
          <w:color w:val="000000" w:themeColor="text1"/>
          <w:szCs w:val="21"/>
        </w:rPr>
        <w:t xml:space="preserve">Time has been allocated to reviewing initiative documentation (approx. 2 days) as well as time to appraise any key documents such as strategies or the M&amp;E system (often a day per document for full appraisal). </w:t>
      </w:r>
    </w:p>
    <w:p w14:paraId="0AE26D8D" w14:textId="68329A0B" w:rsidR="003D6B5D" w:rsidRPr="00B30083" w:rsidRDefault="003D6B5D" w:rsidP="00E80239">
      <w:pPr>
        <w:pStyle w:val="Heading4"/>
      </w:pPr>
      <w:r w:rsidRPr="00B30083">
        <w:t>4.11. There is a requirement for an elaborated evaluation plan</w:t>
      </w:r>
      <w:r w:rsidR="00D44A67">
        <w:rPr>
          <w:rFonts w:cs="Arial"/>
        </w:rPr>
        <w:t>—</w:t>
      </w:r>
      <w:r w:rsidRPr="00B30083">
        <w:t>the depth of planning required reflecting the importance of the review/evaluation questions and management decisions</w:t>
      </w:r>
    </w:p>
    <w:p w14:paraId="2B91799D" w14:textId="2875A7E1" w:rsidR="003D6B5D" w:rsidRPr="00B30083" w:rsidRDefault="003D6B5D" w:rsidP="00B30083">
      <w:pPr>
        <w:rPr>
          <w:color w:val="000000" w:themeColor="text1"/>
          <w:szCs w:val="21"/>
        </w:rPr>
      </w:pPr>
      <w:r w:rsidRPr="00B30083">
        <w:rPr>
          <w:color w:val="000000" w:themeColor="text1"/>
          <w:szCs w:val="21"/>
        </w:rPr>
        <w:t xml:space="preserve">The depth of planning required for an evaluation reflects the importance of the related decisions that will be made in response to the evaluation. If important decisions are to be made then more time is allocated. Typically for a </w:t>
      </w:r>
      <w:r w:rsidR="00437F44">
        <w:rPr>
          <w:color w:val="000000" w:themeColor="text1"/>
          <w:szCs w:val="21"/>
        </w:rPr>
        <w:t>DFAT</w:t>
      </w:r>
      <w:r w:rsidRPr="00B30083">
        <w:rPr>
          <w:color w:val="000000" w:themeColor="text1"/>
          <w:szCs w:val="21"/>
        </w:rPr>
        <w:t xml:space="preserve">-commissioned evaluation three days is required to develop an evaluation plan which includes a fully elaborated methodology. See Standard 5: Evaluation </w:t>
      </w:r>
      <w:r w:rsidR="00D44A67">
        <w:rPr>
          <w:color w:val="000000" w:themeColor="text1"/>
          <w:szCs w:val="21"/>
        </w:rPr>
        <w:t>p</w:t>
      </w:r>
      <w:r w:rsidRPr="00B30083">
        <w:rPr>
          <w:color w:val="000000" w:themeColor="text1"/>
          <w:szCs w:val="21"/>
        </w:rPr>
        <w:t>lan for more details.</w:t>
      </w:r>
    </w:p>
    <w:p w14:paraId="06F34924" w14:textId="5F05D341" w:rsidR="003D6B5D" w:rsidRPr="00B30083" w:rsidRDefault="003D6B5D" w:rsidP="00E80239">
      <w:pPr>
        <w:pStyle w:val="Heading4"/>
      </w:pPr>
      <w:r w:rsidRPr="00B30083">
        <w:t>4.12</w:t>
      </w:r>
      <w:r w:rsidR="00D44A67">
        <w:t>.</w:t>
      </w:r>
      <w:r w:rsidRPr="00B30083">
        <w:t xml:space="preserve"> The submission date for the evaluation plan allows sufficient time for data collection activities to be scheduled</w:t>
      </w:r>
    </w:p>
    <w:p w14:paraId="3E499A08" w14:textId="77777777" w:rsidR="003D6B5D" w:rsidRPr="00B30083" w:rsidRDefault="003D6B5D" w:rsidP="00B30083">
      <w:pPr>
        <w:rPr>
          <w:color w:val="000000" w:themeColor="text1"/>
          <w:szCs w:val="21"/>
        </w:rPr>
      </w:pPr>
      <w:r w:rsidRPr="00B30083">
        <w:rPr>
          <w:color w:val="000000" w:themeColor="text1"/>
          <w:szCs w:val="21"/>
        </w:rPr>
        <w:t>The data collection activities proposed by the evaluation team will be set out in the evaluation plan. This plan needs to be submitted to the evaluation manager well in advance of the in-country visit to allow for data collection activities such as interviews and site visits to be scheduled.</w:t>
      </w:r>
    </w:p>
    <w:p w14:paraId="28A70856" w14:textId="77777777" w:rsidR="003D6B5D" w:rsidRPr="00B30083" w:rsidRDefault="003D6B5D" w:rsidP="00E80239">
      <w:pPr>
        <w:pStyle w:val="Heading4"/>
      </w:pPr>
      <w:r w:rsidRPr="00B30083">
        <w:t xml:space="preserve">4.13. Proposed scheduling allows for adequate data collection, processing and analysis to answer Key Evaluation Questions </w:t>
      </w:r>
    </w:p>
    <w:p w14:paraId="2AF7A682" w14:textId="77777777" w:rsidR="003D6B5D" w:rsidRPr="00B30083" w:rsidRDefault="003D6B5D" w:rsidP="00B30083">
      <w:pPr>
        <w:rPr>
          <w:color w:val="000000" w:themeColor="text1"/>
          <w:szCs w:val="21"/>
        </w:rPr>
      </w:pPr>
      <w:r w:rsidRPr="00B30083">
        <w:rPr>
          <w:color w:val="000000" w:themeColor="text1"/>
          <w:szCs w:val="21"/>
        </w:rPr>
        <w:t>The proposed schedule in the TOR is not too detailed as this is developed after the evaluation plan identifies suitable respondents and activities to address the evaluation questions. There are a sufficient number of days allocated to answer all the evaluation questions, as well as to work together as a team to process and discuss findings and identify further requirements as the mission unfolds.</w:t>
      </w:r>
    </w:p>
    <w:p w14:paraId="79BB85D7" w14:textId="44B638AE" w:rsidR="003D6B5D" w:rsidRPr="00B30083" w:rsidRDefault="003D6B5D" w:rsidP="00E80239">
      <w:pPr>
        <w:pStyle w:val="Heading4"/>
      </w:pPr>
      <w:r w:rsidRPr="00B30083">
        <w:t>4.14. A feedback session to relevant information users are planned together or separately depending on the sensitivity of findings (e.g. Aide Memoire, discussion or presentation)</w:t>
      </w:r>
    </w:p>
    <w:p w14:paraId="2A0A8749" w14:textId="77777777" w:rsidR="003D6B5D" w:rsidRPr="00B30083" w:rsidRDefault="003D6B5D" w:rsidP="00B30083">
      <w:pPr>
        <w:rPr>
          <w:color w:val="000000" w:themeColor="text1"/>
          <w:szCs w:val="21"/>
        </w:rPr>
      </w:pPr>
      <w:r w:rsidRPr="00B30083">
        <w:rPr>
          <w:color w:val="000000" w:themeColor="text1"/>
          <w:szCs w:val="21"/>
        </w:rPr>
        <w:t>There is adequate time to provide detail in evaluation findings to allow contestability of those findings, and feasibility of recommendations with key stakeholders. As the uses of information may be different for the different primary users, a suitable range of feedback options are offered.</w:t>
      </w:r>
    </w:p>
    <w:p w14:paraId="70F4D0DC" w14:textId="77777777" w:rsidR="003D6B5D" w:rsidRPr="00B30083" w:rsidRDefault="003D6B5D" w:rsidP="00E80239">
      <w:pPr>
        <w:pStyle w:val="Heading4"/>
      </w:pPr>
      <w:r w:rsidRPr="00B30083">
        <w:lastRenderedPageBreak/>
        <w:t>4.15. There is provision for processing the information collected to enable systematic analysis and interpretation, and the development of an evidence base</w:t>
      </w:r>
    </w:p>
    <w:p w14:paraId="7AFD83DA" w14:textId="77777777" w:rsidR="003D6B5D" w:rsidRPr="00B30083" w:rsidRDefault="003D6B5D" w:rsidP="00B30083">
      <w:pPr>
        <w:rPr>
          <w:color w:val="000000" w:themeColor="text1"/>
          <w:szCs w:val="21"/>
        </w:rPr>
      </w:pPr>
      <w:r w:rsidRPr="00B30083">
        <w:rPr>
          <w:color w:val="000000" w:themeColor="text1"/>
          <w:szCs w:val="21"/>
        </w:rPr>
        <w:t>The evaluation team has been given adequate time to process information from interviews, document reviews and appraisals, observations or other methods to provide a credible evidence base to support findings. Typically, three days would be required for processing of data for a 12 day in-country mission that relied strongly on interviews. More complicated evaluations (or those with an emergent design) would require more time. This is additional time to actual report writing. Flexibility is balanced with value for money, but final time frames should be negotiated with the evaluator.</w:t>
      </w:r>
    </w:p>
    <w:p w14:paraId="6AB82CD1" w14:textId="555066CA" w:rsidR="003D6B5D" w:rsidRPr="00B30083" w:rsidRDefault="003D6B5D" w:rsidP="00E80239">
      <w:pPr>
        <w:pStyle w:val="Heading4"/>
      </w:pPr>
      <w:r w:rsidRPr="00B30083">
        <w:t>4.16</w:t>
      </w:r>
      <w:r w:rsidR="00124019">
        <w:t>.</w:t>
      </w:r>
      <w:r w:rsidRPr="00B30083">
        <w:t xml:space="preserve"> Adequate time is made available to complete the draft report</w:t>
      </w:r>
    </w:p>
    <w:p w14:paraId="369C3A0C" w14:textId="77777777" w:rsidR="003D6B5D" w:rsidRPr="00B30083" w:rsidRDefault="003D6B5D" w:rsidP="00B30083">
      <w:pPr>
        <w:rPr>
          <w:color w:val="000000" w:themeColor="text1"/>
          <w:szCs w:val="21"/>
        </w:rPr>
      </w:pPr>
      <w:r w:rsidRPr="00B30083">
        <w:rPr>
          <w:color w:val="000000" w:themeColor="text1"/>
          <w:szCs w:val="21"/>
        </w:rPr>
        <w:t>The number of days allocated to completing the report reflects: a) the scope of the evaluation questions; b) the complexity of the issues that have emerged; c) the number of people contributing to the writing of the report; d) team reviewing and discussions on the final draft. It is recommended to allow the evaluation team sufficient time to rest after the mission and to reflect on the mission. For example, ten days allocated to report writing could require a three week period to deliver. It is also useful to discuss with evaluators whether or not they expect to be working on other reports and missions during this time.</w:t>
      </w:r>
    </w:p>
    <w:p w14:paraId="226BBC52" w14:textId="111F8561" w:rsidR="003D6B5D" w:rsidRPr="00B30083" w:rsidRDefault="003D6B5D" w:rsidP="00E80239">
      <w:pPr>
        <w:pStyle w:val="Heading4"/>
      </w:pPr>
      <w:r w:rsidRPr="00B30083">
        <w:t>4.17</w:t>
      </w:r>
      <w:r w:rsidR="00124019">
        <w:t>.</w:t>
      </w:r>
      <w:r w:rsidRPr="00B30083">
        <w:t xml:space="preserve"> The process for commenting is efficient and allows independence of the evaluation team final report</w:t>
      </w:r>
      <w:r w:rsidRPr="00B30083">
        <w:tab/>
      </w:r>
    </w:p>
    <w:p w14:paraId="1A246717" w14:textId="77777777" w:rsidR="003D6B5D" w:rsidRPr="00B30083" w:rsidRDefault="003D6B5D" w:rsidP="00B30083">
      <w:pPr>
        <w:rPr>
          <w:color w:val="000000" w:themeColor="text1"/>
          <w:szCs w:val="21"/>
        </w:rPr>
      </w:pPr>
      <w:r w:rsidRPr="00B30083">
        <w:rPr>
          <w:color w:val="000000" w:themeColor="text1"/>
          <w:szCs w:val="21"/>
        </w:rPr>
        <w:t xml:space="preserve">The process for commenting on the draft report is described and is efficient. Only relevant individuals are invited to comment, and the focus of their comments is identified. Note that those invited to comment on the final report would also be invited to comment on the evaluation plan to ensure their final comments are within the scope and expectations for the evaluation. The TOR explains that </w:t>
      </w:r>
      <w:r w:rsidR="00437F44">
        <w:rPr>
          <w:color w:val="000000" w:themeColor="text1"/>
          <w:szCs w:val="21"/>
        </w:rPr>
        <w:t>DFAT</w:t>
      </w:r>
      <w:r w:rsidRPr="00B30083">
        <w:rPr>
          <w:color w:val="000000" w:themeColor="text1"/>
          <w:szCs w:val="21"/>
        </w:rPr>
        <w:t xml:space="preserve"> will either provide comments in a consolidated form to the evaluation team, or, allows additional time to respond to a large number of comments from all stakeholders.</w:t>
      </w:r>
      <w:r w:rsidR="00A74814">
        <w:rPr>
          <w:color w:val="000000" w:themeColor="text1"/>
          <w:szCs w:val="21"/>
        </w:rPr>
        <w:t xml:space="preserve"> </w:t>
      </w:r>
    </w:p>
    <w:p w14:paraId="019393E8" w14:textId="77777777" w:rsidR="003D6B5D" w:rsidRPr="00B30083" w:rsidRDefault="003D6B5D" w:rsidP="00B30083">
      <w:pPr>
        <w:rPr>
          <w:color w:val="000000" w:themeColor="text1"/>
          <w:szCs w:val="21"/>
        </w:rPr>
      </w:pPr>
      <w:r w:rsidRPr="00B30083">
        <w:rPr>
          <w:color w:val="000000" w:themeColor="text1"/>
          <w:szCs w:val="21"/>
        </w:rPr>
        <w:t xml:space="preserve">Note: Be aware that where </w:t>
      </w:r>
      <w:r w:rsidR="00437F44">
        <w:rPr>
          <w:color w:val="000000" w:themeColor="text1"/>
          <w:szCs w:val="21"/>
        </w:rPr>
        <w:t>DFAT</w:t>
      </w:r>
      <w:r w:rsidRPr="00B30083">
        <w:rPr>
          <w:color w:val="000000" w:themeColor="text1"/>
          <w:szCs w:val="21"/>
        </w:rPr>
        <w:t xml:space="preserve"> personnel consolidate comments, there must be transparency of decisions on what comments to include or remove. It may be necessary to provide comments from different stakeholders (national partner, implementation team and </w:t>
      </w:r>
      <w:r w:rsidR="00437F44">
        <w:rPr>
          <w:color w:val="000000" w:themeColor="text1"/>
          <w:szCs w:val="21"/>
        </w:rPr>
        <w:t>DFAT</w:t>
      </w:r>
      <w:r w:rsidRPr="00B30083">
        <w:rPr>
          <w:color w:val="000000" w:themeColor="text1"/>
          <w:szCs w:val="21"/>
        </w:rPr>
        <w:t>) separately if there are conflicting views.</w:t>
      </w:r>
    </w:p>
    <w:p w14:paraId="159DE7C0" w14:textId="77777777" w:rsidR="003D6B5D" w:rsidRPr="00B30083" w:rsidRDefault="003D6B5D" w:rsidP="00E80239">
      <w:pPr>
        <w:pStyle w:val="Heading4"/>
      </w:pPr>
      <w:r w:rsidRPr="00B30083">
        <w:t>4.18. Adequate time has been allocated to responding to comments</w:t>
      </w:r>
    </w:p>
    <w:p w14:paraId="65D07AA1" w14:textId="77777777" w:rsidR="003D6B5D" w:rsidRPr="00B30083" w:rsidRDefault="003D6B5D" w:rsidP="00B30083">
      <w:pPr>
        <w:rPr>
          <w:color w:val="000000" w:themeColor="text1"/>
          <w:szCs w:val="21"/>
        </w:rPr>
      </w:pPr>
      <w:r w:rsidRPr="00B30083">
        <w:rPr>
          <w:color w:val="000000" w:themeColor="text1"/>
          <w:szCs w:val="21"/>
        </w:rPr>
        <w:t>The time allocated to the evaluation team to respond to comments reflects a) the likely range of comments generated; and b) the possibility that comments require significant structural change in the final report.</w:t>
      </w:r>
    </w:p>
    <w:p w14:paraId="09FD5B94" w14:textId="77777777" w:rsidR="003D6B5D" w:rsidRPr="00B30083" w:rsidRDefault="003D6B5D" w:rsidP="00E80239">
      <w:pPr>
        <w:pStyle w:val="Heading4"/>
      </w:pPr>
      <w:r w:rsidRPr="00B30083">
        <w:t>4.19. The roles and functions of each team member are stated</w:t>
      </w:r>
    </w:p>
    <w:p w14:paraId="57AEF9E8" w14:textId="77777777" w:rsidR="003D6B5D" w:rsidRPr="00B30083" w:rsidRDefault="003D6B5D" w:rsidP="00B30083">
      <w:pPr>
        <w:rPr>
          <w:color w:val="000000" w:themeColor="text1"/>
          <w:szCs w:val="21"/>
        </w:rPr>
      </w:pPr>
      <w:r w:rsidRPr="00B30083">
        <w:rPr>
          <w:color w:val="000000" w:themeColor="text1"/>
          <w:szCs w:val="21"/>
        </w:rPr>
        <w:t xml:space="preserve">Although it is the responsibility of the team leader to produce the final report and provide detailed direction on tasks in the evaluation plan, the TORs show </w:t>
      </w:r>
      <w:r w:rsidR="00437F44">
        <w:rPr>
          <w:color w:val="000000" w:themeColor="text1"/>
          <w:szCs w:val="21"/>
        </w:rPr>
        <w:t>DFAT</w:t>
      </w:r>
      <w:r w:rsidRPr="00B30083">
        <w:rPr>
          <w:color w:val="000000" w:themeColor="text1"/>
          <w:szCs w:val="21"/>
        </w:rPr>
        <w:t xml:space="preserve"> expectations about how each team member will contribute. This is especially important with respect to writing responsibilities. There is clear guidance on the extent to which </w:t>
      </w:r>
      <w:r w:rsidR="00437F44">
        <w:rPr>
          <w:color w:val="000000" w:themeColor="text1"/>
          <w:szCs w:val="21"/>
        </w:rPr>
        <w:t>DFAT</w:t>
      </w:r>
      <w:r w:rsidRPr="00B30083">
        <w:rPr>
          <w:color w:val="000000" w:themeColor="text1"/>
          <w:szCs w:val="21"/>
        </w:rPr>
        <w:t xml:space="preserve"> expects international and national consultants to participate and assume responsibility for particular tasks. If there is any requirement of the team leader for capacity building of team members, then adequate time has been allocated to carry this out effectively.</w:t>
      </w:r>
    </w:p>
    <w:p w14:paraId="6EB61B82" w14:textId="77777777" w:rsidR="003D6B5D" w:rsidRPr="00B30083" w:rsidRDefault="003D6B5D" w:rsidP="00E80239">
      <w:pPr>
        <w:pStyle w:val="Heading4"/>
      </w:pPr>
      <w:r w:rsidRPr="00B30083">
        <w:lastRenderedPageBreak/>
        <w:t>4.20. Skill sets of evaluation team reflect priority questions</w:t>
      </w:r>
    </w:p>
    <w:p w14:paraId="5B4A4F73" w14:textId="77777777" w:rsidR="003D6B5D" w:rsidRPr="00B30083" w:rsidRDefault="003D6B5D" w:rsidP="00B30083">
      <w:pPr>
        <w:rPr>
          <w:color w:val="000000" w:themeColor="text1"/>
          <w:szCs w:val="21"/>
        </w:rPr>
      </w:pPr>
      <w:r w:rsidRPr="00B30083">
        <w:rPr>
          <w:color w:val="000000" w:themeColor="text1"/>
          <w:szCs w:val="21"/>
        </w:rPr>
        <w:t>Unless there is a compelling reason provided, the team leader is an evaluation expert, not only technical expert in the relevant sector or thematic area. They are supported by technical specialist(s) who will focus on technical aspects of the evaluation. The development of the evaluation plan is allocated to the team leader who will be responsible for its implementation. The development of the evaluation plan is not allocated to a team member. The tasks and balance of work of technical advisers reflects the evaluation questions. For example, if there is a strong focus on gender, or initiative management systems, then the number of days allocated to technical specialists from other sectoral areas reflects this focus.</w:t>
      </w:r>
    </w:p>
    <w:p w14:paraId="4CD6C71E" w14:textId="77777777" w:rsidR="003D6B5D" w:rsidRPr="00B30083" w:rsidRDefault="003D6B5D" w:rsidP="00E80239">
      <w:pPr>
        <w:pStyle w:val="Heading4"/>
      </w:pPr>
      <w:r w:rsidRPr="00B30083">
        <w:t xml:space="preserve">4.21. The reporting requirements allow </w:t>
      </w:r>
      <w:r w:rsidR="00437F44">
        <w:t>DFAT</w:t>
      </w:r>
      <w:r w:rsidRPr="00B30083">
        <w:t xml:space="preserve"> to track progress of the evaluation without distracting the team from carrying out important evaluation activities</w:t>
      </w:r>
    </w:p>
    <w:p w14:paraId="66A1A9A8" w14:textId="77777777" w:rsidR="003D6B5D" w:rsidRPr="00B30083" w:rsidRDefault="003D6B5D" w:rsidP="00B30083">
      <w:pPr>
        <w:rPr>
          <w:color w:val="000000" w:themeColor="text1"/>
          <w:szCs w:val="21"/>
        </w:rPr>
      </w:pPr>
      <w:r w:rsidRPr="00B30083">
        <w:rPr>
          <w:color w:val="000000" w:themeColor="text1"/>
          <w:szCs w:val="21"/>
        </w:rPr>
        <w:t xml:space="preserve">The requirement for reports during the mission provide for a good balance between monitoring the progress of the evaluation with allowing the team to focus on important evaluation activities. The evaluation plan is a critical document for </w:t>
      </w:r>
      <w:r w:rsidR="00437F44">
        <w:rPr>
          <w:color w:val="000000" w:themeColor="text1"/>
          <w:szCs w:val="21"/>
        </w:rPr>
        <w:t>DFAT</w:t>
      </w:r>
      <w:r w:rsidRPr="00B30083">
        <w:rPr>
          <w:color w:val="000000" w:themeColor="text1"/>
          <w:szCs w:val="21"/>
        </w:rPr>
        <w:t xml:space="preserve"> to ensure that the evaluator has correctly interpreted the TORs and has made suitable plans to conduct the evaluation to meet the TORs and reasonable standards of rigour. Other reporting requirements to consider are a) the aide memoire (which should be short and only provide anticipated key findings and recommendations); and b) the provision of any processed data. If requiring the provision of processed data, it is important to consider the implications for preserving the confidentiality of respondents. </w:t>
      </w:r>
    </w:p>
    <w:p w14:paraId="62F6711D" w14:textId="77777777" w:rsidR="003D6B5D" w:rsidRPr="00B30083" w:rsidRDefault="003D6B5D" w:rsidP="00B30083">
      <w:pPr>
        <w:rPr>
          <w:color w:val="000000" w:themeColor="text1"/>
          <w:szCs w:val="21"/>
        </w:rPr>
      </w:pPr>
      <w:r w:rsidRPr="00B30083">
        <w:rPr>
          <w:color w:val="000000" w:themeColor="text1"/>
          <w:szCs w:val="21"/>
        </w:rPr>
        <w:t>Note: A negotiation of the TORs should be encouraged during the contract negotiations. This allows the team leader to provide professional advice on the feasibility of the TOR in terms of the scope of questions and the resources applied.</w:t>
      </w:r>
    </w:p>
    <w:p w14:paraId="235E52A2" w14:textId="77777777" w:rsidR="003D6B5D" w:rsidRPr="00230239" w:rsidRDefault="003D6B5D" w:rsidP="00C123FC">
      <w:pPr>
        <w:pStyle w:val="Heading2"/>
      </w:pPr>
      <w:bookmarkStart w:id="346" w:name="_Toc387675143"/>
      <w:r>
        <w:t xml:space="preserve">Standard 5: Independent </w:t>
      </w:r>
      <w:r w:rsidRPr="002D6D79">
        <w:t>Evaluation Plans</w:t>
      </w:r>
      <w:bookmarkEnd w:id="346"/>
    </w:p>
    <w:p w14:paraId="7494D64F" w14:textId="2BDD2311" w:rsidR="003D6B5D" w:rsidRPr="00776468" w:rsidRDefault="003D6B5D" w:rsidP="00B30083">
      <w:r w:rsidRPr="00DB134B">
        <w:t>Note</w:t>
      </w:r>
      <w:r w:rsidRPr="00776468">
        <w:t xml:space="preserve">: The Evaluation </w:t>
      </w:r>
      <w:r w:rsidR="00124019">
        <w:t>P</w:t>
      </w:r>
      <w:r w:rsidRPr="00776468">
        <w:t xml:space="preserve">lan is </w:t>
      </w:r>
      <w:r>
        <w:t xml:space="preserve">developed by the evaluator based on the ToR. It is </w:t>
      </w:r>
      <w:r w:rsidRPr="00776468">
        <w:t xml:space="preserve">a negotiated document between the client and the evaluator and should provide more detail </w:t>
      </w:r>
      <w:r>
        <w:t>and reflect final agreements after that negotiation. The evaluation plan should be submitted as early as possible, to enable scheduling of site visits, interviews and other data collection activities. The agreed Evaluation Plan ought to provide the basis by which evaluator performance is assessed.</w:t>
      </w:r>
    </w:p>
    <w:p w14:paraId="0CEE7D27" w14:textId="31512B55" w:rsidR="003D6B5D" w:rsidRPr="00B30083" w:rsidRDefault="003D6B5D" w:rsidP="00DB134B">
      <w:pPr>
        <w:pStyle w:val="Heading4"/>
      </w:pPr>
      <w:r w:rsidRPr="00B30083">
        <w:t>5.1. The evaluation plan is based on a collaborative approach</w:t>
      </w:r>
    </w:p>
    <w:p w14:paraId="3443FCBD" w14:textId="77777777" w:rsidR="003D6B5D" w:rsidRDefault="003D6B5D" w:rsidP="00B30083">
      <w:r>
        <w:t xml:space="preserve">The evaluator has consulted </w:t>
      </w:r>
      <w:r w:rsidR="00437F44">
        <w:t>DFAT</w:t>
      </w:r>
      <w:r>
        <w:t xml:space="preserve">, and the stakeholders identified as important by </w:t>
      </w:r>
      <w:r w:rsidR="00437F44">
        <w:t>DFAT</w:t>
      </w:r>
      <w:r>
        <w:t xml:space="preserve">, to develop the evaluation plan. Consultation may have been in-person, by phone or by email. Important stakeholders have been given the opportunity to comment on the evaluation plan before the evaluation commences. </w:t>
      </w:r>
      <w:r w:rsidRPr="00157273">
        <w:t>Note: This ensures that additional information will not be requested after the data collection phase is complete.</w:t>
      </w:r>
    </w:p>
    <w:p w14:paraId="2F43A1A6" w14:textId="77777777" w:rsidR="003D6B5D" w:rsidRPr="00B30083" w:rsidRDefault="003D6B5D" w:rsidP="00DB134B">
      <w:pPr>
        <w:pStyle w:val="Heading4"/>
      </w:pPr>
      <w:r w:rsidRPr="00B30083">
        <w:t>5.2. Primary intended users of the evaluation are clearly identified</w:t>
      </w:r>
    </w:p>
    <w:p w14:paraId="509D1F9E" w14:textId="77777777" w:rsidR="003D6B5D" w:rsidRDefault="003D6B5D" w:rsidP="00B30083">
      <w:r>
        <w:t xml:space="preserve">An evaluation cannot meet the needs of all interested stakeholders. Individuals (by title) in named organizations should be identified as the </w:t>
      </w:r>
      <w:r w:rsidRPr="00365D3C">
        <w:t xml:space="preserve">primary </w:t>
      </w:r>
      <w:r w:rsidRPr="00DA6472">
        <w:t>users of the evaluation findings</w:t>
      </w:r>
      <w:r>
        <w:t>. These are the people who will be using the information to make judgments and decisions.</w:t>
      </w:r>
      <w:r w:rsidR="00A74814">
        <w:t xml:space="preserve"> </w:t>
      </w:r>
      <w:r>
        <w:t>Audience is a different concept and often refers to a broader group of people that may be interested in, or may be affected by any decisions that result from the evaluation.</w:t>
      </w:r>
    </w:p>
    <w:p w14:paraId="36D2C0B9" w14:textId="19E9ED34" w:rsidR="003D6B5D" w:rsidRPr="00B30083" w:rsidRDefault="003D6B5D" w:rsidP="00DB134B">
      <w:pPr>
        <w:pStyle w:val="Heading4"/>
      </w:pPr>
      <w:r w:rsidRPr="00B30083">
        <w:lastRenderedPageBreak/>
        <w:t>5.3. The purpose and/or objectives of the evaluation are stated</w:t>
      </w:r>
    </w:p>
    <w:p w14:paraId="4E384841" w14:textId="77777777" w:rsidR="003D6B5D" w:rsidRDefault="003D6B5D" w:rsidP="00B30083">
      <w:r>
        <w:t xml:space="preserve">These would normally be taken from the terms of reference. The evaluation design restates these so that the evaluation plan is a stand-alone document. </w:t>
      </w:r>
    </w:p>
    <w:p w14:paraId="6038D7A7" w14:textId="77777777" w:rsidR="003D6B5D" w:rsidRPr="00B30083" w:rsidRDefault="003D6B5D" w:rsidP="00DB134B">
      <w:pPr>
        <w:pStyle w:val="Heading4"/>
      </w:pPr>
      <w:r w:rsidRPr="00B30083">
        <w:t>5.4. A summary is provided to orient the reader</w:t>
      </w:r>
    </w:p>
    <w:p w14:paraId="7FB60D09" w14:textId="77777777" w:rsidR="003D6B5D" w:rsidRDefault="003D6B5D" w:rsidP="00B30083">
      <w:r>
        <w:t>This is an introductory orientation of the overall design of the evaluation. It is short, about one paragraph in length. For example, it could highlight whether the evaluation is predominantly exploratory or descriptive, or whether a cause and effect design is proposed, or whether or not any case studies would feature in the overall design. It would highlight the major methods for data collection and analysis. This is called the investigatory framework in research and evaluation terms. The evaluation plan does not go straight into detailed descriptions of methodology without this general orientation.</w:t>
      </w:r>
    </w:p>
    <w:p w14:paraId="061F1DA4" w14:textId="77777777" w:rsidR="003D6B5D" w:rsidRPr="00B30083" w:rsidRDefault="003D6B5D" w:rsidP="00DB134B">
      <w:pPr>
        <w:pStyle w:val="Heading4"/>
      </w:pPr>
      <w:r w:rsidRPr="00B30083">
        <w:t>5.5. Limitations or constraints for the evaluation are described</w:t>
      </w:r>
    </w:p>
    <w:p w14:paraId="72C0CA5B" w14:textId="77777777" w:rsidR="003D6B5D" w:rsidRDefault="003D6B5D" w:rsidP="00B30083">
      <w:r>
        <w:t xml:space="preserve">The time available for the evaluation has implications for the scope of the evaluation. If a large number of questions are posed, but </w:t>
      </w:r>
      <w:r w:rsidR="00437F44">
        <w:t>DFAT</w:t>
      </w:r>
      <w:r>
        <w:t xml:space="preserve"> only wants a cursory look at many of these, then a shorter time frame may be appropriate. The evaluator highlights any important limitations in terms of time available, resources applied, or the expertise of the evaluation team to deliver a credible, defensible evaluation product. Political sensitivities are highlighted where appropriate. The implications of these limitations are discussed. </w:t>
      </w:r>
    </w:p>
    <w:p w14:paraId="69200496" w14:textId="77777777" w:rsidR="003D6B5D" w:rsidRPr="003F77F0" w:rsidRDefault="003D6B5D" w:rsidP="00B30083">
      <w:r w:rsidRPr="00DB134B">
        <w:t>Note</w:t>
      </w:r>
      <w:r>
        <w:t xml:space="preserve">: </w:t>
      </w:r>
      <w:r w:rsidRPr="003F77F0">
        <w:t>A long list of limitations is not considered a substitute for a poorly negotiated TOR.</w:t>
      </w:r>
    </w:p>
    <w:p w14:paraId="0C5CCE54" w14:textId="3E3DB50A" w:rsidR="003D6B5D" w:rsidRPr="00B30083" w:rsidRDefault="003D6B5D" w:rsidP="00DB134B">
      <w:pPr>
        <w:pStyle w:val="Heading4"/>
      </w:pPr>
      <w:r w:rsidRPr="00B30083">
        <w:t xml:space="preserve">5.6. </w:t>
      </w:r>
      <w:r w:rsidRPr="00B30083">
        <w:rPr>
          <w:lang w:val="en-US"/>
        </w:rPr>
        <w:t>The Key Evaluation Questions are supplemented by detailed descriptions and/or sub</w:t>
      </w:r>
      <w:r w:rsidR="00124019">
        <w:rPr>
          <w:lang w:val="en-US"/>
        </w:rPr>
        <w:t>-</w:t>
      </w:r>
      <w:r w:rsidRPr="00B30083">
        <w:rPr>
          <w:lang w:val="en-US"/>
        </w:rPr>
        <w:t>questions</w:t>
      </w:r>
    </w:p>
    <w:p w14:paraId="5F642C34" w14:textId="27C64147" w:rsidR="003D6B5D" w:rsidRDefault="003D6B5D" w:rsidP="00B30083">
      <w:r>
        <w:t xml:space="preserve">Although the terms of reference is where </w:t>
      </w:r>
      <w:r w:rsidR="00437F44">
        <w:t>DFAT</w:t>
      </w:r>
      <w:r>
        <w:t xml:space="preserve"> communicates what the evaluation is to address, the evaluator will still need to give careful consideration to how these larger questions will be addressed. This means that more detailed information requirements and/or sub-questions are generated. Commonly, questions presented in a terms of reference are broad, therefore this more detailed information allows information users to know how the evaluator has interpreted the broader questions, and whether or not the evaluation will generate sufficient information to meet these broader questions. It also allows the </w:t>
      </w:r>
      <w:r w:rsidR="00437F44">
        <w:t>DFAT</w:t>
      </w:r>
      <w:r>
        <w:t xml:space="preserve"> evaluation manager to see the implications of the scope of the evaluation described in the terms of reference. This breakdown of information requirements or questions allows the reader to assess whether or not the original scope was realistic. The evaluation manager needs to pay careful attention to this aspect of the evaluation plan. </w:t>
      </w:r>
    </w:p>
    <w:p w14:paraId="2100AFDE" w14:textId="3EB5D2B3" w:rsidR="003D6B5D" w:rsidRPr="00B30083" w:rsidRDefault="003D6B5D" w:rsidP="00DB134B">
      <w:pPr>
        <w:pStyle w:val="Heading4"/>
      </w:pPr>
      <w:r w:rsidRPr="00B30083">
        <w:t>5.7. High</w:t>
      </w:r>
      <w:r w:rsidR="00124019">
        <w:t>-</w:t>
      </w:r>
      <w:r w:rsidRPr="00B30083">
        <w:t>priority questions are identified</w:t>
      </w:r>
    </w:p>
    <w:p w14:paraId="32679D7C" w14:textId="48C52993" w:rsidR="003D6B5D" w:rsidRDefault="00437F44" w:rsidP="00B30083">
      <w:r>
        <w:t>DFAT</w:t>
      </w:r>
      <w:r w:rsidR="003D6B5D">
        <w:t xml:space="preserve"> evaluations often have a very large number of evaluation questions that cover a very wide number of aspects of the initiative to be evaluated. Some of these questions will be more important than others. The evaluation plan reflects where the emphasis will be placed, and it is clear that </w:t>
      </w:r>
      <w:r>
        <w:t>DFAT</w:t>
      </w:r>
      <w:r w:rsidR="00744801">
        <w:t>’</w:t>
      </w:r>
      <w:r w:rsidR="003D6B5D">
        <w:t xml:space="preserve">s information needs will be met. The evaluation team will not usually be able to answer all the questions listed for all respondents and so will need to make decisions during interviews about what will be dropped and what is essential. The evaluation manager needs to be confident that the evaluator will, at a minimum, deliver information on the priority questions. </w:t>
      </w:r>
    </w:p>
    <w:p w14:paraId="4C115C9D" w14:textId="77777777" w:rsidR="003D6B5D" w:rsidRPr="00B30083" w:rsidRDefault="003D6B5D" w:rsidP="00DB134B">
      <w:pPr>
        <w:pStyle w:val="Heading4"/>
      </w:pPr>
      <w:r w:rsidRPr="00B30083">
        <w:lastRenderedPageBreak/>
        <w:t xml:space="preserve">5.8. </w:t>
      </w:r>
      <w:r w:rsidRPr="00B30083">
        <w:rPr>
          <w:lang w:val="en-US"/>
        </w:rPr>
        <w:t>There is sufficient flexibility to be able to address important unexpected issues as they emerge</w:t>
      </w:r>
      <w:r w:rsidRPr="00B30083">
        <w:t xml:space="preserve"> </w:t>
      </w:r>
    </w:p>
    <w:p w14:paraId="511AC036" w14:textId="77777777" w:rsidR="003D6B5D" w:rsidRDefault="003D6B5D" w:rsidP="00B30083">
      <w:r>
        <w:t>This flexibility may be built in to the questioning technique employed during an interview. It may be built into the schedule as a whole to allow new issues to emerge and be responded to through additional data collection if they are important. Where new issues cannot be adequately addressed within the schedule, there are processes to review possible trade-offs to allow them to be addressed.</w:t>
      </w:r>
    </w:p>
    <w:p w14:paraId="0A4CB4E8" w14:textId="77777777" w:rsidR="003D6B5D" w:rsidRPr="00B30083" w:rsidRDefault="003D6B5D" w:rsidP="00DB134B">
      <w:pPr>
        <w:pStyle w:val="Heading4"/>
      </w:pPr>
      <w:r w:rsidRPr="00B30083">
        <w:t>5.9. Methods for each evaluation questions are described</w:t>
      </w:r>
    </w:p>
    <w:p w14:paraId="3BC4E13A" w14:textId="2AB1C2B8" w:rsidR="003D6B5D" w:rsidRDefault="003D6B5D" w:rsidP="00B30083">
      <w:r>
        <w:t xml:space="preserve">The evaluation plan shows how each of the evaluation questions will be answered by describing the methods that will be used to collect the information. For most </w:t>
      </w:r>
      <w:r w:rsidR="00437F44">
        <w:t>DFAT</w:t>
      </w:r>
      <w:r>
        <w:t xml:space="preserve"> evaluations this is likely to include in-depth interviews, focus group discussions/interviews, document reviews and in some cases observations of activities. Large workshops are not usually a suitable method to gather substantive, reliable and valid information</w:t>
      </w:r>
      <w:r w:rsidR="00124019">
        <w:rPr>
          <w:rFonts w:ascii="Arial" w:hAnsi="Arial" w:cs="Arial"/>
        </w:rPr>
        <w:t>—</w:t>
      </w:r>
      <w:r>
        <w:t xml:space="preserve">however, they may have other important political purposes. </w:t>
      </w:r>
    </w:p>
    <w:p w14:paraId="0B0149B6" w14:textId="77777777" w:rsidR="003D6B5D" w:rsidRDefault="003D6B5D" w:rsidP="00B30083">
      <w:r>
        <w:t xml:space="preserve">For several questions there may be a number of data collection methods proposed to strengthen confidence in the findings. </w:t>
      </w:r>
    </w:p>
    <w:p w14:paraId="4B758436" w14:textId="77777777" w:rsidR="003D6B5D" w:rsidRDefault="003D6B5D" w:rsidP="00B30083">
      <w:r>
        <w:t>The design of major evaluation activities/studies should be annexed and include tools such as interview guides or questionnaires. In some cases the evaluator will need to develop these later, or adjust them as the evaluation proceeds, but there is an absolute expectation that the evaluator uses tools to guide each evaluation activity, and do not rely on memory of all the evaluation questions identified in the evaluation plan. Where team members are working in different locations then tools are available ahead of those evaluation activities so that data is collected systematically. If flexibility on this is required, then a compelling rationale is provided. Summary statements of methods that are not linked with specific evaluation questions are not considered adequate.</w:t>
      </w:r>
    </w:p>
    <w:p w14:paraId="765DF530" w14:textId="77777777" w:rsidR="003D6B5D" w:rsidRPr="00B30083" w:rsidRDefault="003D6B5D" w:rsidP="00DB134B">
      <w:pPr>
        <w:pStyle w:val="Heading4"/>
      </w:pPr>
      <w:r w:rsidRPr="00B30083">
        <w:t>5.10. Methods are appropriate for the evaluation questions posed</w:t>
      </w:r>
    </w:p>
    <w:p w14:paraId="0D943005" w14:textId="190CBB12" w:rsidR="003D6B5D" w:rsidRPr="00244CD3" w:rsidRDefault="003D6B5D" w:rsidP="00B30083">
      <w:r>
        <w:t>Although this takes evaluation expertise, it is still worth reviewing the questions posed and consider</w:t>
      </w:r>
      <w:r w:rsidR="00124019">
        <w:t>ing</w:t>
      </w:r>
      <w:r>
        <w:t xml:space="preserve"> if the methods described could reasonably answer the questions. For example, a focus group discussion would be most unlikely to answer a sensitive question; a review of a program strategy document (such as gender) would be unlikely to tell you if the initiative</w:t>
      </w:r>
      <w:r w:rsidR="00744801">
        <w:t>’</w:t>
      </w:r>
      <w:r>
        <w:t>s actual gender activities were of a high quality. It would need to be supported by information from other sources.</w:t>
      </w:r>
    </w:p>
    <w:p w14:paraId="0902F3C8" w14:textId="77777777" w:rsidR="003D6B5D" w:rsidRPr="00B30083" w:rsidRDefault="003D6B5D" w:rsidP="00DB134B">
      <w:pPr>
        <w:pStyle w:val="Heading4"/>
      </w:pPr>
      <w:r w:rsidRPr="00B30083">
        <w:t>5.11. Triangulation of methods is proposed</w:t>
      </w:r>
    </w:p>
    <w:p w14:paraId="514EE977" w14:textId="65C394D5" w:rsidR="003D6B5D" w:rsidRDefault="003D6B5D" w:rsidP="00B30083">
      <w:r>
        <w:t xml:space="preserve">Triangulation is the use of a range of methods and/or sources of information to come to a conclusion or result. It can develop greater confidence in a finding. Given the short timeframe of most </w:t>
      </w:r>
      <w:r w:rsidR="00437F44">
        <w:t>DFAT</w:t>
      </w:r>
      <w:r>
        <w:t xml:space="preserve"> evaluations or reviews, it is difficult to employ a wide range of methods. To deal with this, the evaluation has planned to discuss similar questions across a range of different respondents within and across different organi</w:t>
      </w:r>
      <w:r w:rsidR="00124019">
        <w:t>s</w:t>
      </w:r>
      <w:r>
        <w:t>ations, or use a number of methods to examine the same issue. It is not sufficient to state that triangulation will be used if this is not demonstrated in the evaluation design.</w:t>
      </w:r>
    </w:p>
    <w:p w14:paraId="5B5F61B5" w14:textId="77777777" w:rsidR="003D6B5D" w:rsidRPr="00B30083" w:rsidRDefault="003D6B5D" w:rsidP="00DB134B">
      <w:pPr>
        <w:pStyle w:val="Heading4"/>
      </w:pPr>
      <w:r w:rsidRPr="00B30083">
        <w:t>5.12. Sampling strategy is clear and appropriate</w:t>
      </w:r>
    </w:p>
    <w:p w14:paraId="753430AC" w14:textId="0D3FED66" w:rsidR="003D6B5D" w:rsidRDefault="003D6B5D" w:rsidP="00B30083">
      <w:r>
        <w:t xml:space="preserve">Most evaluations will require some sort of sampling strategy across individuals, sites or time periods. Appropriate sampling strategies are chosen and justified. For short reviews that rely on analytical rather than statistical inference, purposeful sampling will be appropriate and could include maximum variation, a critical case, or a typical case. Efforts should be made to avoid relying on a convenience sample which is likely to be unrepresentative of the population of interest. Where statistical inference </w:t>
      </w:r>
      <w:r>
        <w:lastRenderedPageBreak/>
        <w:t>will be used to generalize from the sample, random sampling strategies are appropriate</w:t>
      </w:r>
      <w:r w:rsidR="00124019">
        <w:rPr>
          <w:rFonts w:ascii="Arial" w:hAnsi="Arial" w:cs="Arial"/>
        </w:rPr>
        <w:t>—</w:t>
      </w:r>
      <w:r>
        <w:t>especially stratified random sampling which reduces the sample size required.</w:t>
      </w:r>
    </w:p>
    <w:p w14:paraId="6E3C211B" w14:textId="77777777" w:rsidR="003D6B5D" w:rsidRPr="00B30083" w:rsidRDefault="003D6B5D" w:rsidP="00DB134B">
      <w:pPr>
        <w:pStyle w:val="Heading4"/>
      </w:pPr>
      <w:r w:rsidRPr="00B30083">
        <w:t xml:space="preserve">5.13. </w:t>
      </w:r>
      <w:r w:rsidRPr="00B30083">
        <w:rPr>
          <w:lang w:val="en-US"/>
        </w:rPr>
        <w:t>The plan describes how data will be processed and analysed</w:t>
      </w:r>
      <w:r w:rsidRPr="00B30083">
        <w:t xml:space="preserve"> </w:t>
      </w:r>
    </w:p>
    <w:p w14:paraId="13CEF4EF" w14:textId="77777777" w:rsidR="003D6B5D" w:rsidRDefault="003D6B5D" w:rsidP="00B30083">
      <w:r>
        <w:t>The evaluation plan describes how the data will be processed, including measures to check and correct any errors in data, ensure security of storage and prepare for analysis. The plan also describes how the data will be analysed in order to answer the Key Evaluation Questions. This may not necessarily require advanced analytical methods, but users of the information can determine exactly what is to be done.</w:t>
      </w:r>
    </w:p>
    <w:p w14:paraId="05972C80" w14:textId="77777777" w:rsidR="003D6B5D" w:rsidRPr="00B30083" w:rsidRDefault="003D6B5D" w:rsidP="00DB134B">
      <w:pPr>
        <w:pStyle w:val="Heading4"/>
      </w:pPr>
      <w:r w:rsidRPr="00B30083">
        <w:t xml:space="preserve">5.14. </w:t>
      </w:r>
      <w:r w:rsidRPr="00B30083">
        <w:rPr>
          <w:lang w:val="en-US"/>
        </w:rPr>
        <w:t>The plan identifies ethical issues and how they will be addressed</w:t>
      </w:r>
    </w:p>
    <w:p w14:paraId="1392DC68" w14:textId="77777777" w:rsidR="003D6B5D" w:rsidRDefault="003D6B5D" w:rsidP="00B30083">
      <w:r>
        <w:t xml:space="preserve">For most of the evaluations and reviews conducted by </w:t>
      </w:r>
      <w:r w:rsidR="00437F44">
        <w:t>DFAT</w:t>
      </w:r>
      <w:r>
        <w:t xml:space="preserve">, this will mostly be around privacy and confidentiality issues. The plan identifies how these will be addressed when data are collected, stored and reported. In particular, assurances about anonymity must be honoured and data stored and reported in ways that do not inadvertently identify informants, including when providing a database of the evidentiary basis to </w:t>
      </w:r>
      <w:r w:rsidR="00437F44">
        <w:t>DFAT</w:t>
      </w:r>
      <w:r>
        <w:t xml:space="preserve"> as part of the deliverables. Other relevant ethical issues are addressed including processes for reporting serious issues if identified during data collection.</w:t>
      </w:r>
    </w:p>
    <w:p w14:paraId="041E3436" w14:textId="77777777" w:rsidR="003D6B5D" w:rsidRPr="00B30083" w:rsidRDefault="003D6B5D" w:rsidP="00DB134B">
      <w:pPr>
        <w:pStyle w:val="Heading4"/>
      </w:pPr>
      <w:r w:rsidRPr="00B30083">
        <w:t xml:space="preserve">5.15. </w:t>
      </w:r>
      <w:r w:rsidRPr="00B30083">
        <w:rPr>
          <w:lang w:val="en-US"/>
        </w:rPr>
        <w:t>The process for making judgments is clear</w:t>
      </w:r>
    </w:p>
    <w:p w14:paraId="15C5B876" w14:textId="71D8DE87" w:rsidR="003D6B5D" w:rsidRDefault="003D6B5D" w:rsidP="00B30083">
      <w:r>
        <w:t xml:space="preserve">The evaluation plan makes it clear that </w:t>
      </w:r>
      <w:r w:rsidR="00437F44">
        <w:t>DFAT</w:t>
      </w:r>
      <w:r>
        <w:t xml:space="preserve"> requires the evaluator to make a professional judgement based on the evidence gathered and the agreed basis by which judgements are made (such as criteria or standards). </w:t>
      </w:r>
      <w:r w:rsidR="00437F44">
        <w:t>DFAT</w:t>
      </w:r>
      <w:r w:rsidR="00744801">
        <w:t>’</w:t>
      </w:r>
      <w:r>
        <w:t>s response to the evaluator</w:t>
      </w:r>
      <w:r w:rsidR="00744801">
        <w:t>’</w:t>
      </w:r>
      <w:r>
        <w:t xml:space="preserve">s judgement should be provided in the Management Response to an evaluation. In some exceptional cases, </w:t>
      </w:r>
      <w:r w:rsidR="00437F44">
        <w:t>DFAT</w:t>
      </w:r>
      <w:r>
        <w:t xml:space="preserve"> may require an evaluator to report neutrally on facts and leave </w:t>
      </w:r>
      <w:r w:rsidR="00437F44">
        <w:t>DFAT</w:t>
      </w:r>
      <w:r>
        <w:t xml:space="preserve"> to make the final judgements, in which case the plan should make it clear how evaluative judgements will be made and by whom, as this</w:t>
      </w:r>
      <w:r w:rsidRPr="006A7B78">
        <w:t xml:space="preserve"> </w:t>
      </w:r>
      <w:r>
        <w:t>is an important distinction and can affect the way information is collected and presented.</w:t>
      </w:r>
    </w:p>
    <w:p w14:paraId="5D424D39" w14:textId="27DDE7D7" w:rsidR="003D6B5D" w:rsidRPr="00B30083" w:rsidRDefault="003D6B5D" w:rsidP="00DB134B">
      <w:pPr>
        <w:pStyle w:val="Heading4"/>
      </w:pPr>
      <w:r w:rsidRPr="00B30083">
        <w:t>5.16. Approaches to enhance utili</w:t>
      </w:r>
      <w:r w:rsidR="00124019">
        <w:t>s</w:t>
      </w:r>
      <w:r w:rsidRPr="00B30083">
        <w:t>ation of findings are outlined</w:t>
      </w:r>
    </w:p>
    <w:p w14:paraId="5399730D" w14:textId="3F543582" w:rsidR="003D6B5D" w:rsidRDefault="003D6B5D" w:rsidP="00B30083">
      <w:r>
        <w:t>The importance of utili</w:t>
      </w:r>
      <w:r w:rsidR="00124019">
        <w:t>s</w:t>
      </w:r>
      <w:r>
        <w:t>ation of findings needs to be communicated to the evaluator. There are a variety of well-tested approaches to utili</w:t>
      </w:r>
      <w:r w:rsidR="00124019">
        <w:t>s</w:t>
      </w:r>
      <w:r>
        <w:t>ation that a professional evaluator will be familiar with (e.g. stakeholder engagement strategies for evaluation design or developing acceptance of recommendations before the report is published). Approaches to utilisation of findings are outlined in the evaluation plan. Utili</w:t>
      </w:r>
      <w:r w:rsidR="00124019">
        <w:t>s</w:t>
      </w:r>
      <w:r>
        <w:t>ation begins with the evaluation design stage.</w:t>
      </w:r>
    </w:p>
    <w:p w14:paraId="40DF906A" w14:textId="77777777" w:rsidR="003D6B5D" w:rsidRPr="00B30083" w:rsidRDefault="003D6B5D" w:rsidP="00DB134B">
      <w:pPr>
        <w:pStyle w:val="Heading4"/>
      </w:pPr>
      <w:r w:rsidRPr="00B30083">
        <w:t>5.17. Scheduling guidance is provided</w:t>
      </w:r>
    </w:p>
    <w:p w14:paraId="5BB4126A" w14:textId="3B1F86ED" w:rsidR="003D6B5D" w:rsidRDefault="003D6B5D" w:rsidP="00B30083">
      <w:r>
        <w:t xml:space="preserve">The schedule is developed by </w:t>
      </w:r>
      <w:r w:rsidR="00437F44">
        <w:t>DFAT</w:t>
      </w:r>
      <w:r>
        <w:t xml:space="preserve"> </w:t>
      </w:r>
      <w:r w:rsidRPr="00CA6B11">
        <w:t>after</w:t>
      </w:r>
      <w:r>
        <w:t xml:space="preserve"> the evaluation plan is submitted, and reflects guidance from the evaluator. The most common problem is that the persons recruited for interview are not always the best respondents for the evaluation questions posed. Often there are many donor meetings where respondents cannot provide substantive comment on many of the evaluation questions. Also consider the time for each interview with the associated evaluation questions. Most 60</w:t>
      </w:r>
      <w:r w:rsidR="00124019">
        <w:t>-</w:t>
      </w:r>
      <w:r>
        <w:t xml:space="preserve">minute interviews with a respondent cover no more than four or five key topics; less if translation is required. Sufficient time is available to meet with the implementation team. As part of reviewing the methodology </w:t>
      </w:r>
      <w:r w:rsidR="00437F44">
        <w:t>DFAT</w:t>
      </w:r>
      <w:r>
        <w:t xml:space="preserve"> negotiates the proposed list of respondents before final scheduling. The evaluator scheduling guidance is realistic for the timeframe. Sufficient time is allocated to other methods proposed. There is sufficient time allocated to evaluation team discussions and early data processing (not late at night).</w:t>
      </w:r>
    </w:p>
    <w:p w14:paraId="26335988" w14:textId="77777777" w:rsidR="003D6B5D" w:rsidRPr="00B30083" w:rsidRDefault="003D6B5D" w:rsidP="00DB134B">
      <w:pPr>
        <w:pStyle w:val="Heading4"/>
      </w:pPr>
      <w:r w:rsidRPr="00B30083">
        <w:lastRenderedPageBreak/>
        <w:t>5.18. Evaluation tasks are allocated to team members</w:t>
      </w:r>
    </w:p>
    <w:p w14:paraId="1AFE74E6" w14:textId="790EA25C" w:rsidR="003D6B5D" w:rsidRDefault="003D6B5D" w:rsidP="00B30083">
      <w:r>
        <w:t xml:space="preserve">It is very important that each team member knows before the evaluation begins what they will be expected to do. It is not appropriate for the team leader to allocate reporting responsibilities on the last day of the in-country mission. The evaluation plan shows what responsibilities each team member has so they can ensure that adequate data is collected, processed, and interpreted and they can meet a high standard during the reporting stage. It is often useful to show which evaluation questions each team member carries responsibility for. </w:t>
      </w:r>
    </w:p>
    <w:p w14:paraId="2ED761C4" w14:textId="77777777" w:rsidR="003D6B5D" w:rsidRDefault="003D6B5D" w:rsidP="00C123FC">
      <w:pPr>
        <w:pStyle w:val="Heading2"/>
      </w:pPr>
      <w:bookmarkStart w:id="347" w:name="_Toc387675144"/>
      <w:r>
        <w:t>Standard 6: Independent Evaluation Reports</w:t>
      </w:r>
      <w:bookmarkEnd w:id="347"/>
    </w:p>
    <w:p w14:paraId="17CE5740" w14:textId="77777777" w:rsidR="003D6B5D" w:rsidRPr="004B49E9" w:rsidRDefault="003D6B5D" w:rsidP="00DB134B">
      <w:pPr>
        <w:pStyle w:val="Heading3"/>
      </w:pPr>
      <w:r w:rsidRPr="004B49E9">
        <w:t>Introductions</w:t>
      </w:r>
    </w:p>
    <w:p w14:paraId="61F5EAD2" w14:textId="77777777" w:rsidR="003D6B5D" w:rsidRPr="00B30083" w:rsidRDefault="003D6B5D" w:rsidP="00DB134B">
      <w:pPr>
        <w:pStyle w:val="Heading4"/>
      </w:pPr>
      <w:r w:rsidRPr="00B30083">
        <w:t xml:space="preserve">6.1. The background provides adequate information for individuals not familiar with the initiative </w:t>
      </w:r>
    </w:p>
    <w:p w14:paraId="323E5973" w14:textId="49242FA1" w:rsidR="003D6B5D" w:rsidRPr="00B30083" w:rsidRDefault="003D6B5D" w:rsidP="00B30083">
      <w:r w:rsidRPr="00B30083">
        <w:t>The background provides adequate information to enable individuals not fully familiar with the initiative to interpret the report. It summari</w:t>
      </w:r>
      <w:r w:rsidR="00124019">
        <w:t>s</w:t>
      </w:r>
      <w:r w:rsidRPr="00B30083">
        <w:t>es: the total value of the initiative; the number of years of the initiative; the stage of initiative implementation; the delivery mechanism; key expected outcomes of the initiative; and the key issues identified in the terms of reference.</w:t>
      </w:r>
    </w:p>
    <w:p w14:paraId="1CFA5E7B" w14:textId="77777777" w:rsidR="003D6B5D" w:rsidRPr="00B30083" w:rsidRDefault="003D6B5D" w:rsidP="00DB134B">
      <w:pPr>
        <w:pStyle w:val="Heading4"/>
      </w:pPr>
      <w:r w:rsidRPr="00B30083">
        <w:t>6.2. A brief summary of the methodology employed is provided</w:t>
      </w:r>
    </w:p>
    <w:p w14:paraId="4C075605" w14:textId="77777777" w:rsidR="003D6B5D" w:rsidRPr="00B30083" w:rsidRDefault="003D6B5D" w:rsidP="00B30083">
      <w:r w:rsidRPr="00B30083">
        <w:t>Although a fully elaborated methodology was developed before the evaluation, a summary of the significant details is included. Sufficient information is required to enable the reader to quickly understand the evidentiary basis of the evaluation. The evidentiary base must be convincing and in proportion to the resources invested in the evaluation. The full methodology is annexed. Important aspects of the strategy to ensure findings are utilised are summarised here.</w:t>
      </w:r>
    </w:p>
    <w:p w14:paraId="507BE6A4" w14:textId="77777777" w:rsidR="003D6B5D" w:rsidRPr="00B30083" w:rsidRDefault="003D6B5D" w:rsidP="00DB134B">
      <w:pPr>
        <w:pStyle w:val="Heading4"/>
      </w:pPr>
      <w:r w:rsidRPr="00B30083">
        <w:t>6.3. Key limitations of the methodology are described and any relevant guidance provided to enable appropriate interpretation of the findings</w:t>
      </w:r>
    </w:p>
    <w:p w14:paraId="3C4BFFD7" w14:textId="77777777" w:rsidR="003D6B5D" w:rsidRPr="00B30083" w:rsidRDefault="003D6B5D" w:rsidP="00B30083">
      <w:r w:rsidRPr="00B30083">
        <w:t>Key limitations are summarised in the evaluation report to enable the reader to make appropriate decisions. Where necessary the author has provided specific guidance of where the reader ought to be cautious about the findings.</w:t>
      </w:r>
    </w:p>
    <w:p w14:paraId="4AA2A1EA" w14:textId="291968B1" w:rsidR="003D6B5D" w:rsidRPr="00B30083" w:rsidRDefault="003D6B5D" w:rsidP="00DB134B">
      <w:pPr>
        <w:pStyle w:val="Heading4"/>
      </w:pPr>
      <w:r w:rsidRPr="00B30083">
        <w:t>6.4. The executive summary provides all the necessary information to enable primary users to make good</w:t>
      </w:r>
      <w:r w:rsidR="00124019">
        <w:t>-</w:t>
      </w:r>
      <w:r w:rsidRPr="00B30083">
        <w:t>quality decisions</w:t>
      </w:r>
    </w:p>
    <w:p w14:paraId="5C2A5A6F" w14:textId="77777777" w:rsidR="003D6B5D" w:rsidRDefault="003D6B5D" w:rsidP="00B30083">
      <w:r w:rsidRPr="00B30083">
        <w:t>The executive summary provides all the necessary information to enable primary stakeholders, especially senior management to make good quality decisions without reading the entire document. It is not a simple cut and paste of the main body of the report. It summarises the key findings, provides sufficient analyses and arguments, and presents final conclusions and recommendations. Resource implications of recommendations are summarised. The length of the executive summary is proportionate to the length of the report (e.g. two to three pages for short uncomplicated reports, and up to five or six pages for more lengthy reports with complex issues).</w:t>
      </w:r>
      <w:r w:rsidR="00A74814">
        <w:t xml:space="preserve"> </w:t>
      </w:r>
    </w:p>
    <w:p w14:paraId="5FDC38A7" w14:textId="2297F55E" w:rsidR="003D6B5D" w:rsidRPr="00B30083" w:rsidRDefault="003D6B5D" w:rsidP="00DB134B">
      <w:pPr>
        <w:pStyle w:val="Heading3"/>
      </w:pPr>
      <w:r w:rsidRPr="00B30083">
        <w:lastRenderedPageBreak/>
        <w:t xml:space="preserve">Findings and </w:t>
      </w:r>
      <w:r w:rsidR="00124019">
        <w:t>a</w:t>
      </w:r>
      <w:r w:rsidRPr="00B30083">
        <w:t>nalyses</w:t>
      </w:r>
    </w:p>
    <w:p w14:paraId="1E7640D4" w14:textId="7B0647D3" w:rsidR="003D6B5D" w:rsidRPr="00B30083" w:rsidRDefault="003D6B5D" w:rsidP="00DB134B">
      <w:pPr>
        <w:pStyle w:val="Heading4"/>
      </w:pPr>
      <w:r w:rsidRPr="00B30083">
        <w:t>6.5. The evaluation report clearly addresses all questions in the Terms of Reference</w:t>
      </w:r>
      <w:r w:rsidR="00124019">
        <w:t xml:space="preserve"> </w:t>
      </w:r>
      <w:r w:rsidRPr="00B30083">
        <w:t>/</w:t>
      </w:r>
      <w:r w:rsidR="00124019">
        <w:t xml:space="preserve"> </w:t>
      </w:r>
      <w:r w:rsidRPr="00B30083">
        <w:t>Evaluation Plan</w:t>
      </w:r>
    </w:p>
    <w:p w14:paraId="39A1B68B" w14:textId="725B8001" w:rsidR="003D6B5D" w:rsidRPr="00B30083" w:rsidRDefault="003D6B5D" w:rsidP="00B30083">
      <w:r w:rsidRPr="00B30083">
        <w:t>Note:</w:t>
      </w:r>
      <w:r w:rsidR="00A74814">
        <w:t xml:space="preserve"> </w:t>
      </w:r>
      <w:r w:rsidRPr="00B30083">
        <w:t>As the Evaluation Plan supersedes the Evaluation Terms of Reference, the Plan is the appropriate document to assess whether or not the evaluation has delivered on expectations. In the absence of an Evaluation Plan, the Terms of Reference should be used.</w:t>
      </w:r>
    </w:p>
    <w:p w14:paraId="0BE4CED0" w14:textId="77777777" w:rsidR="003D6B5D" w:rsidRPr="00B30083" w:rsidRDefault="003D6B5D" w:rsidP="00B30083">
      <w:r w:rsidRPr="00B30083">
        <w:t xml:space="preserve">It is relatively easy to identify where each of the questions in the Evaluation Plan are addressed. The report does not need to be a mechanical presentation of these questions, but it should be relatively easy to negotiate the report and find relevant information about specific questions in the Evaluation Plan. Where there are gaps, these have been explained. </w:t>
      </w:r>
      <w:r w:rsidR="00437F44">
        <w:t>DFAT</w:t>
      </w:r>
      <w:r w:rsidR="00744801">
        <w:t>’</w:t>
      </w:r>
      <w:r w:rsidRPr="00B30083">
        <w:t>s information needs, as set out in the Terms of Reference and Evaluation Plan, have been met.</w:t>
      </w:r>
    </w:p>
    <w:p w14:paraId="63DEACA5" w14:textId="77777777" w:rsidR="003D6B5D" w:rsidRPr="00B30083" w:rsidRDefault="003D6B5D" w:rsidP="00DB134B">
      <w:pPr>
        <w:pStyle w:val="Heading4"/>
      </w:pPr>
      <w:r w:rsidRPr="00B30083">
        <w:t>6.6. The relative importance of the issues communicated is clear to the reader</w:t>
      </w:r>
    </w:p>
    <w:p w14:paraId="709220C9" w14:textId="77777777" w:rsidR="003D6B5D" w:rsidRPr="00B30083" w:rsidRDefault="003D6B5D" w:rsidP="00B30083">
      <w:r w:rsidRPr="00B30083">
        <w:t>The report makes it clear what issues are priority issues to consider. Minor issues are not set out mechanically against the terms of reference and given the same depth of treatment as more important issues. The breadth of description, depth of analysis and attention in the recommendations can indicate the degree of priority. The author may simply state the relative importance of issues.</w:t>
      </w:r>
    </w:p>
    <w:p w14:paraId="3100BFF9" w14:textId="77777777" w:rsidR="003D6B5D" w:rsidRPr="00B30083" w:rsidRDefault="003D6B5D" w:rsidP="00DB134B">
      <w:pPr>
        <w:pStyle w:val="Heading4"/>
      </w:pPr>
      <w:r w:rsidRPr="00B30083">
        <w:t>6.7. There is a good balance between operational and strategic issues</w:t>
      </w:r>
    </w:p>
    <w:p w14:paraId="04D17E2A" w14:textId="77777777" w:rsidR="003D6B5D" w:rsidRPr="00B30083" w:rsidRDefault="003D6B5D" w:rsidP="00B30083">
      <w:r w:rsidRPr="00B30083">
        <w:t>The report addresses the full range of issues identified in response to the TOR and other critical issues that have emerged. There will be technical, managerial or operational issues that are very important to consider and are often at the core of many important challenges. The strategic direction or any higher order issues of the initiative have been given adequate space, and minor technical issues are treated in a more limited fashion. Flexibility is required where the TOR evaluation questions demonstrate that this balance was not required.</w:t>
      </w:r>
    </w:p>
    <w:p w14:paraId="73E1C867" w14:textId="77777777" w:rsidR="003D6B5D" w:rsidRPr="00B30083" w:rsidRDefault="003D6B5D" w:rsidP="00DB134B">
      <w:pPr>
        <w:pStyle w:val="Heading4"/>
      </w:pPr>
      <w:r w:rsidRPr="00B30083">
        <w:t>6.8. The report clearly explains the extent to which the evidence supports the conclusions and judgments made</w:t>
      </w:r>
    </w:p>
    <w:p w14:paraId="37D20BA2" w14:textId="77777777" w:rsidR="003D6B5D" w:rsidRPr="00B30083" w:rsidRDefault="003D6B5D" w:rsidP="00B30083">
      <w:r w:rsidRPr="00B30083">
        <w:t>For key findings, the basis of the findings and related conclusions is communicated clearly. This includes reporting the degree to which views are shared across respondents. The information is brought together from a range of sources, but communicated as a coherent whole. Evaluator opinions that are based on limited evidence are proposed as suggestive only.</w:t>
      </w:r>
    </w:p>
    <w:p w14:paraId="10151534" w14:textId="77777777" w:rsidR="003D6B5D" w:rsidRPr="00B30083" w:rsidRDefault="003D6B5D" w:rsidP="00DB134B">
      <w:pPr>
        <w:pStyle w:val="Heading4"/>
      </w:pPr>
      <w:r w:rsidRPr="00B30083">
        <w:t>6.9. Alternative points of view are presented and considered where appropriate</w:t>
      </w:r>
    </w:p>
    <w:p w14:paraId="13DB2D15" w14:textId="77777777" w:rsidR="003D6B5D" w:rsidRPr="00B30083" w:rsidRDefault="003D6B5D" w:rsidP="00B30083">
      <w:r w:rsidRPr="00B30083">
        <w:t xml:space="preserve">Alternative views must be presented, especially for important, controversial or disappointing findings. They are not immediately dismissed, but are seriously considered. Key stakeholder views such as those of the implementation team must be given sufficient attention, and balanced by national partners, </w:t>
      </w:r>
      <w:r w:rsidR="00437F44">
        <w:t>DFAT</w:t>
      </w:r>
      <w:r w:rsidRPr="00B30083">
        <w:t xml:space="preserve"> or other important stakeholder views.</w:t>
      </w:r>
    </w:p>
    <w:p w14:paraId="5A5D3327" w14:textId="77777777" w:rsidR="003D6B5D" w:rsidRPr="00B30083" w:rsidRDefault="003D6B5D" w:rsidP="00DB134B">
      <w:pPr>
        <w:pStyle w:val="Heading4"/>
      </w:pPr>
      <w:r w:rsidRPr="00B30083">
        <w:t>6.10. Complicated and complex aspects of issues are adequately explored and not oversimplified</w:t>
      </w:r>
    </w:p>
    <w:p w14:paraId="448045AB" w14:textId="77777777" w:rsidR="003D6B5D" w:rsidRPr="00B30083" w:rsidRDefault="003D6B5D" w:rsidP="00B30083">
      <w:r w:rsidRPr="00B30083">
        <w:t xml:space="preserve">The report adequately acknowledges complicated aspects of issues, such as multiple contributing factors, or emergent challenges and opportunities. The report does not present simple solutions to these types of situations. The findings are presented fairly so that specific stakeholders are not held </w:t>
      </w:r>
      <w:r w:rsidRPr="00B30083">
        <w:lastRenderedPageBreak/>
        <w:t>fully accountable for problems when multiple factors are involved.</w:t>
      </w:r>
      <w:r w:rsidR="00A74814">
        <w:t xml:space="preserve"> </w:t>
      </w:r>
      <w:r w:rsidRPr="00B30083">
        <w:t xml:space="preserve">Human development is challenging, and the report recognises that implementation teams and national partners are often facing multiple challenges. </w:t>
      </w:r>
    </w:p>
    <w:p w14:paraId="07FD9D8C" w14:textId="77777777" w:rsidR="003D6B5D" w:rsidRPr="00B30083" w:rsidRDefault="003D6B5D" w:rsidP="00DB134B">
      <w:pPr>
        <w:pStyle w:val="Heading4"/>
      </w:pPr>
      <w:r w:rsidRPr="00B30083">
        <w:t>6.11. The role of context in initiative performance is analysed</w:t>
      </w:r>
    </w:p>
    <w:p w14:paraId="2791B0F8" w14:textId="77777777" w:rsidR="003D6B5D" w:rsidRPr="00B30083" w:rsidRDefault="003D6B5D" w:rsidP="00B30083">
      <w:r w:rsidRPr="00B30083">
        <w:t xml:space="preserve">The report identifies relevant aspects of the context within which activities are implemented. These might include geographic, cultural, political, economic or social context. Sufficient information is presented to allow the reader to understand the relationship between the initiative and its context. The report addresses: a) how the context may have affected the achievement of outcomes (both supportive and inhibiting); and b) the extent to which the initiative may have had any effect on the context. </w:t>
      </w:r>
    </w:p>
    <w:p w14:paraId="1B3EDAE9" w14:textId="77777777" w:rsidR="003D6B5D" w:rsidRPr="00B30083" w:rsidRDefault="003D6B5D" w:rsidP="00DB134B">
      <w:pPr>
        <w:pStyle w:val="Heading4"/>
      </w:pPr>
      <w:r w:rsidRPr="00B30083">
        <w:t>6.12. The text uses appropriate methods/language to convince the reader of the findings and conclusions</w:t>
      </w:r>
    </w:p>
    <w:p w14:paraId="5560D4B1" w14:textId="451FEEC0" w:rsidR="003D6B5D" w:rsidRPr="00B30083" w:rsidRDefault="003D6B5D" w:rsidP="00B30083">
      <w:r w:rsidRPr="00B30083">
        <w:t>Arguments presented do not use emotive word choices in an effort to appeal to the emotions of the reader. The method used to convince readers is the presentation of evidence or a credible basis for the finding. Using the international literature to build the credibility of the report can be effective. The report handles political issues with sensitivity. A good report considers the expected positions of the important stakeholders</w:t>
      </w:r>
      <w:r w:rsidR="00636229">
        <w:rPr>
          <w:rFonts w:ascii="Arial" w:hAnsi="Arial" w:cs="Arial"/>
        </w:rPr>
        <w:t>—</w:t>
      </w:r>
      <w:r w:rsidRPr="00B30083">
        <w:t>if findings are unexpected then this is carefully communicated and explained in the text.</w:t>
      </w:r>
    </w:p>
    <w:p w14:paraId="7ECC5F0B" w14:textId="77777777" w:rsidR="003D6B5D" w:rsidRPr="00B30083" w:rsidRDefault="003D6B5D" w:rsidP="00DB134B">
      <w:pPr>
        <w:pStyle w:val="Heading4"/>
      </w:pPr>
      <w:r w:rsidRPr="00B30083">
        <w:t>6.13. There is an adequate exploration of the factors that have influenced the issues identified and conclusions drawn</w:t>
      </w:r>
    </w:p>
    <w:p w14:paraId="0167138C" w14:textId="77777777" w:rsidR="003D6B5D" w:rsidRPr="00B30083" w:rsidRDefault="003D6B5D" w:rsidP="00B30083">
      <w:r w:rsidRPr="00B30083">
        <w:t>It is not sufficient to simply describe a situation. A full analysis of the likely factors that have led to the situation is necessary. Factors that enable progress or achievement are just as important as factors that inhibit them. These factors should be generated from a range of data sources. A range of causes should be considered rather than regularly offering a single cause for major and/or complex issues.</w:t>
      </w:r>
    </w:p>
    <w:p w14:paraId="6A65A0B9" w14:textId="77777777" w:rsidR="003D6B5D" w:rsidRPr="00B30083" w:rsidRDefault="003D6B5D" w:rsidP="00DB134B">
      <w:pPr>
        <w:pStyle w:val="Heading4"/>
      </w:pPr>
      <w:r w:rsidRPr="00B30083">
        <w:t>6.14. The implications of key findings are fully explored</w:t>
      </w:r>
    </w:p>
    <w:p w14:paraId="57D3C242" w14:textId="77777777" w:rsidR="003D6B5D" w:rsidRPr="00B30083" w:rsidRDefault="00437F44" w:rsidP="00B30083">
      <w:r>
        <w:t>DFAT</w:t>
      </w:r>
      <w:r w:rsidR="003D6B5D" w:rsidRPr="00B30083">
        <w:t xml:space="preserve"> </w:t>
      </w:r>
      <w:r>
        <w:t xml:space="preserve">aid </w:t>
      </w:r>
      <w:r w:rsidR="003D6B5D" w:rsidRPr="00B30083">
        <w:t>initiative managers, senior management and other stakeholders need some direction on the implications of the findings if this is not immediately apparent. Implications to achieving initiative objectives, implementation for meeting time frames, expenditure projections, or sustainability are often important considerations.</w:t>
      </w:r>
    </w:p>
    <w:p w14:paraId="71D0363D" w14:textId="5593B209" w:rsidR="003D6B5D" w:rsidRPr="00B30083" w:rsidRDefault="003D6B5D" w:rsidP="00DB134B">
      <w:pPr>
        <w:pStyle w:val="Heading3"/>
      </w:pPr>
      <w:r w:rsidRPr="00B30083">
        <w:t xml:space="preserve">Conclusions and </w:t>
      </w:r>
      <w:r w:rsidR="00636229">
        <w:t>r</w:t>
      </w:r>
      <w:r w:rsidRPr="00B30083">
        <w:t>ecommendations</w:t>
      </w:r>
    </w:p>
    <w:p w14:paraId="5BBDC150" w14:textId="1E21E56E" w:rsidR="003D6B5D" w:rsidRPr="00B30083" w:rsidRDefault="003D6B5D" w:rsidP="00DB134B">
      <w:pPr>
        <w:pStyle w:val="Heading4"/>
      </w:pPr>
      <w:r w:rsidRPr="00B30083">
        <w:t>6.15.</w:t>
      </w:r>
      <w:r w:rsidR="00A74814">
        <w:t xml:space="preserve"> </w:t>
      </w:r>
      <w:r w:rsidRPr="00B30083">
        <w:t>The overall position of the author is clear and their professional judgments are unambiguous</w:t>
      </w:r>
    </w:p>
    <w:p w14:paraId="19ADFD58" w14:textId="77777777" w:rsidR="003D6B5D" w:rsidRPr="00B30083" w:rsidRDefault="003D6B5D" w:rsidP="00B30083">
      <w:r w:rsidRPr="00B30083">
        <w:t xml:space="preserve">The task of the evaluator is to evaluate. They must make their position clear (and as early as possible in the report) unless the TORs have required the evaluator to report on findings with neutrality. The report does not simply state findings and expect </w:t>
      </w:r>
      <w:r w:rsidR="00437F44">
        <w:t>DFAT</w:t>
      </w:r>
      <w:r w:rsidRPr="00B30083">
        <w:t xml:space="preserve"> to interpret them and draw their own conclusions. The report presents the authors view unambiguously. Has the initiative made adequate progress or not? Are the factors that have accounted for the limited achievements been unavoidable or are they due to poor management. Unambiguous judgements also present findings and conclusions sensitively and constructively.</w:t>
      </w:r>
    </w:p>
    <w:p w14:paraId="42DCE64B" w14:textId="156B5E7E" w:rsidR="003D6B5D" w:rsidRPr="00B30083" w:rsidRDefault="003D6B5D" w:rsidP="00DB134B">
      <w:pPr>
        <w:pStyle w:val="Heading4"/>
      </w:pPr>
      <w:r w:rsidRPr="00B30083">
        <w:lastRenderedPageBreak/>
        <w:t>6.16. The conclusions and recommendations logically flow from the presentation of findings and any associated analyses</w:t>
      </w:r>
    </w:p>
    <w:p w14:paraId="2F7BB678" w14:textId="77777777" w:rsidR="003D6B5D" w:rsidRPr="00B30083" w:rsidRDefault="003D6B5D" w:rsidP="00B30083">
      <w:r w:rsidRPr="00B30083">
        <w:t>It is possible to trace issues through the text from description, to analysis, to conclusion and recommendation. No recommendation appears at the end that is not supported by descriptive and analytical work in the text. There are no important inferred recommendations buried in the text that have not been drawn into the conclusion or list of recommendations at the end.</w:t>
      </w:r>
      <w:r w:rsidR="00A74814">
        <w:t xml:space="preserve"> </w:t>
      </w:r>
    </w:p>
    <w:p w14:paraId="3813F0A9" w14:textId="5DBF33A7" w:rsidR="003D6B5D" w:rsidRPr="00B30083" w:rsidRDefault="003D6B5D" w:rsidP="00B30083">
      <w:r w:rsidRPr="00B30083">
        <w:t xml:space="preserve">The </w:t>
      </w:r>
      <w:r w:rsidR="00636229">
        <w:t>‘</w:t>
      </w:r>
      <w:r w:rsidRPr="00B30083">
        <w:t>chain of evidence</w:t>
      </w:r>
      <w:r w:rsidR="00636229">
        <w:t>’</w:t>
      </w:r>
      <w:r w:rsidRPr="00B30083">
        <w:t xml:space="preserve"> is evident. This is where all questions in the methodology have data that has been collected, analysis conducted, findings presented, interpretation carried out and reported. If questions in the methodology have not been addressed then an explanation has been given.</w:t>
      </w:r>
    </w:p>
    <w:p w14:paraId="70045FC7" w14:textId="0B2D7885" w:rsidR="003D6B5D" w:rsidRPr="00B30083" w:rsidRDefault="003D6B5D" w:rsidP="00DB134B">
      <w:pPr>
        <w:pStyle w:val="Heading4"/>
      </w:pPr>
      <w:r w:rsidRPr="00B30083">
        <w:t>6.17.</w:t>
      </w:r>
      <w:r w:rsidR="00A74814">
        <w:t xml:space="preserve"> </w:t>
      </w:r>
      <w:r w:rsidRPr="00B30083">
        <w:t>Individuals have been allocated responsibility for responding to recommendations</w:t>
      </w:r>
    </w:p>
    <w:p w14:paraId="72DB5412" w14:textId="77777777" w:rsidR="003D6B5D" w:rsidRPr="00B30083" w:rsidRDefault="003D6B5D" w:rsidP="00B30083">
      <w:r w:rsidRPr="00B30083">
        <w:t xml:space="preserve">Where appropriate, job titles, rather than organisations, have been allocated responsibility for all recommendations for action. If it is not appropriate or possible to identify the individual, then the relevant work group is identified. If some recommendations are for broader partner government, or </w:t>
      </w:r>
      <w:r w:rsidR="00437F44">
        <w:t>DFAT</w:t>
      </w:r>
      <w:r w:rsidRPr="00B30083">
        <w:t xml:space="preserve"> sectoral or corporate learning then these are identified separately.</w:t>
      </w:r>
    </w:p>
    <w:p w14:paraId="63351D44" w14:textId="6A753A8A" w:rsidR="003D6B5D" w:rsidRPr="00B30083" w:rsidRDefault="003D6B5D" w:rsidP="00DB134B">
      <w:pPr>
        <w:pStyle w:val="Heading4"/>
      </w:pPr>
      <w:r w:rsidRPr="00B30083">
        <w:t xml:space="preserve">6.18. Significant cost implications of recommendations have been estimated </w:t>
      </w:r>
    </w:p>
    <w:p w14:paraId="07B094BF" w14:textId="77777777" w:rsidR="003D6B5D" w:rsidRPr="00B30083" w:rsidRDefault="003D6B5D" w:rsidP="00B30083">
      <w:r w:rsidRPr="00B30083">
        <w:t>If recommendations imply human, financial or material costs, these are estimated. If recommendations for additional technical support are made, then the number of days input is estimated. For important technical assistance positions proposed, the key content to consider for the terms of reference is annexed.</w:t>
      </w:r>
      <w:r w:rsidR="00A74814">
        <w:t xml:space="preserve"> </w:t>
      </w:r>
    </w:p>
    <w:p w14:paraId="1C470B1A" w14:textId="77777777" w:rsidR="003D6B5D" w:rsidRPr="00B30083" w:rsidRDefault="003D6B5D" w:rsidP="00DB134B">
      <w:pPr>
        <w:pStyle w:val="Heading4"/>
      </w:pPr>
      <w:r w:rsidRPr="00B30083">
        <w:t>6.19 The recommendations are feasible</w:t>
      </w:r>
    </w:p>
    <w:p w14:paraId="420CCF31" w14:textId="5BBEEF2A" w:rsidR="003D6B5D" w:rsidRDefault="003D6B5D" w:rsidP="00D54780">
      <w:pPr>
        <w:rPr>
          <w:rFonts w:ascii="Calibri" w:hAnsi="Calibri"/>
          <w:b/>
          <w:bCs/>
          <w:color w:val="31849B"/>
          <w:sz w:val="44"/>
          <w:szCs w:val="44"/>
          <w:lang w:val="en-GB" w:eastAsia="en-GB"/>
        </w:rPr>
      </w:pPr>
      <w:r w:rsidRPr="00B30083">
        <w:t>Recommendations, in the most part, are acceptable to relevant stakeholders (recommendations that stakeholders do not agree with rarely get implemented</w:t>
      </w:r>
      <w:r w:rsidR="00636229">
        <w:rPr>
          <w:rFonts w:ascii="Arial" w:hAnsi="Arial" w:cs="Arial"/>
        </w:rPr>
        <w:t>—</w:t>
      </w:r>
      <w:r w:rsidRPr="00B30083">
        <w:t>coming to acceptability is dealt with by the utilisation strategy). Recommendations are feasible from a resourcing and cost perspective. Recommendations are likely to be effective to rectify a situation, or to achieve an expected outcome.</w:t>
      </w:r>
      <w:r>
        <w:br w:type="page"/>
      </w:r>
    </w:p>
    <w:p w14:paraId="0075634C" w14:textId="2BB3C92F" w:rsidR="00E57F60" w:rsidRPr="008C7811" w:rsidRDefault="00E57F60">
      <w:pPr>
        <w:pStyle w:val="Heading1"/>
      </w:pPr>
      <w:bookmarkStart w:id="348" w:name="_Toc387675145"/>
      <w:r w:rsidRPr="008C7811">
        <w:lastRenderedPageBreak/>
        <w:t>An</w:t>
      </w:r>
      <w:r w:rsidR="00C123FC">
        <w:rPr>
          <w:noProof/>
        </w:rPr>
        <mc:AlternateContent>
          <mc:Choice Requires="wps">
            <w:drawing>
              <wp:anchor distT="0" distB="0" distL="114300" distR="114300" simplePos="0" relativeHeight="251686912" behindDoc="1" locked="0" layoutInCell="1" allowOverlap="1" wp14:anchorId="57C4BC67" wp14:editId="128E0120">
                <wp:simplePos x="0" y="0"/>
                <wp:positionH relativeFrom="page">
                  <wp:align>left</wp:align>
                </wp:positionH>
                <wp:positionV relativeFrom="paragraph">
                  <wp:posOffset>-144145</wp:posOffset>
                </wp:positionV>
                <wp:extent cx="7610400" cy="1468800"/>
                <wp:effectExtent l="0" t="0" r="0" b="0"/>
                <wp:wrapNone/>
                <wp:docPr id="294" name="Rectangle 294"/>
                <wp:cNvGraphicFramePr/>
                <a:graphic xmlns:a="http://schemas.openxmlformats.org/drawingml/2006/main">
                  <a:graphicData uri="http://schemas.microsoft.com/office/word/2010/wordprocessingShape">
                    <wps:wsp>
                      <wps:cNvSpPr/>
                      <wps:spPr>
                        <a:xfrm>
                          <a:off x="0" y="0"/>
                          <a:ext cx="761040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659E12" id="Rectangle 294" o:spid="_x0000_s1026" style="position:absolute;margin-left:0;margin-top:-11.35pt;width:599.25pt;height:115.65pt;z-index:-2516295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iGImAIAAIoFAAAOAAAAZHJzL2Uyb0RvYy54bWysVMFu2zAMvQ/YPwi6r7YDN02DOkXQosOA&#10;oi3aDj0rshQbkEVNUuJkXz9Kst2uK3YYloMiiuQj+Uzy4vLQKbIX1rWgK1qc5JQIzaFu9bai359v&#10;viwocZ7pminQoqJH4ejl6vOni94sxQwaULWwBEG0W/amoo33ZplljjeiY+4EjNColGA75lG026y2&#10;rEf0TmWzPJ9nPdjaWODCOXy9Tkq6ivhSCu7vpXTCE1VRzM3H08ZzE85sdcGWW8tM0/IhDfYPWXSs&#10;1Rh0grpmnpGdbf+A6lpuwYH0Jxy6DKRsuYg1YDVF/q6ap4YZEWtBcpyZaHL/D5bf7R8saeuKzs5L&#10;SjTr8CM9Im1Mb5Ug4REp6o1bouWTebCD5PAa6j1I24V/rIQcIq3HiVZx8ITj49m8yMsc2eeoK8r5&#10;YoEC4mSv7sY6/1VAR8KlohYTiHSy/a3zyXQ0CdEcqLa+aZWKgt1urpQle4bfuJiV5WI+oP9mpnQw&#10;1hDcEmJ4yUJpqZh480clgp3Sj0IiL5j+LGYSO1JMcRjnQvsiqRpWixT+NMffGD30cPCIlUbAgCwx&#10;/oQ9AIyWCWTETlkO9sFVxIaenPO/JZacJ48YGbSfnLtWg/0IQGFVQ+RkP5KUqAksbaA+YtdYSOPk&#10;DL9p8bvdMucfmMX5wW+NO8Hf4yEV9BWF4UZJA/bnR+/BHtsatZT0OI8VdT92zApK1DeNDX9elGUY&#10;4CiUp2czFOxbzeatRu+6KwjtgNvH8HgN9l6NV2mhe8HVsQ5RUcU0x9gV5d6OwpVPewKXDxfrdTTD&#10;oTXM3+onwwN4YDX05fPhhVkzNK/Hvr+DcXbZ8l0PJ9vgqWG98yDb2OCvvA5848DHxhmWU9gob+Vo&#10;9bpCV78AAAD//wMAUEsDBBQABgAIAAAAIQCZICkm3QAAAAkBAAAPAAAAZHJzL2Rvd25yZXYueG1s&#10;TI/BTsMwEETvSPyDtUjcWidGlBCyqVAlOETiQEvvbrzEEfE6xG4b/h73BMfRjGbeVOvZDeJEU+g9&#10;I+TLDARx603PHcLH7mVRgAhRs9GDZ0L4oQDr+vqq0qXxZ36n0zZ2IpVwKDWCjXEspQytJafD0o/E&#10;yfv0k9MxyamTZtLnVO4GqbJsJZ3uOS1YPdLGUvu1PTqEpiC7796aYf5udrnc3L36PSnE25v5+QlE&#10;pDn+heGCn9ChTkwHf2QTxICQjkSEhVIPIC52/ljcgzggqKxYgawr+f9B/QsAAP//AwBQSwECLQAU&#10;AAYACAAAACEAtoM4kv4AAADhAQAAEwAAAAAAAAAAAAAAAAAAAAAAW0NvbnRlbnRfVHlwZXNdLnht&#10;bFBLAQItABQABgAIAAAAIQA4/SH/1gAAAJQBAAALAAAAAAAAAAAAAAAAAC8BAABfcmVscy8ucmVs&#10;c1BLAQItABQABgAIAAAAIQD9biGImAIAAIoFAAAOAAAAAAAAAAAAAAAAAC4CAABkcnMvZTJvRG9j&#10;LnhtbFBLAQItABQABgAIAAAAIQCZICkm3QAAAAkBAAAPAAAAAAAAAAAAAAAAAPIEAABkcnMvZG93&#10;bnJldi54bWxQSwUGAAAAAAQABADzAAAA/AUAAAAA&#10;" fillcolor="#124486" stroked="f" strokeweight="2pt">
                <w10:wrap anchorx="page"/>
              </v:rect>
            </w:pict>
          </mc:Fallback>
        </mc:AlternateContent>
      </w:r>
      <w:r w:rsidRPr="008C7811">
        <w:t xml:space="preserve">nex </w:t>
      </w:r>
      <w:r w:rsidR="004A242D">
        <w:t>6</w:t>
      </w:r>
      <w:r w:rsidRPr="008C7811">
        <w:t>: Good</w:t>
      </w:r>
      <w:r w:rsidR="002A1F5C">
        <w:t>-p</w:t>
      </w:r>
      <w:r w:rsidRPr="008C7811">
        <w:t xml:space="preserve">ractice </w:t>
      </w:r>
      <w:r w:rsidR="00686D50">
        <w:t>e</w:t>
      </w:r>
      <w:r w:rsidRPr="008C7811">
        <w:t>xamples</w:t>
      </w:r>
      <w:bookmarkEnd w:id="339"/>
      <w:bookmarkEnd w:id="340"/>
      <w:bookmarkEnd w:id="341"/>
      <w:bookmarkEnd w:id="342"/>
      <w:bookmarkEnd w:id="343"/>
      <w:bookmarkEnd w:id="348"/>
    </w:p>
    <w:p w14:paraId="326EFB94" w14:textId="00823EBA" w:rsidR="00E57F60" w:rsidRPr="00E57F60" w:rsidRDefault="00E57F60" w:rsidP="00C123FC">
      <w:pPr>
        <w:pStyle w:val="Heading2"/>
      </w:pPr>
      <w:bookmarkStart w:id="349" w:name="_Toc373303751"/>
      <w:bookmarkStart w:id="350" w:name="_Toc373304318"/>
      <w:bookmarkStart w:id="351" w:name="_Toc378059945"/>
      <w:bookmarkStart w:id="352" w:name="_Toc378060033"/>
      <w:bookmarkStart w:id="353" w:name="_Toc387675146"/>
      <w:r w:rsidRPr="00E57F60">
        <w:t>Partnership for Knowledge-based Poverty Reduction</w:t>
      </w:r>
      <w:bookmarkEnd w:id="349"/>
      <w:bookmarkEnd w:id="350"/>
      <w:bookmarkEnd w:id="351"/>
      <w:bookmarkEnd w:id="352"/>
      <w:r w:rsidR="00D008F6">
        <w:t xml:space="preserve"> </w:t>
      </w:r>
      <w:r w:rsidR="001930D7">
        <w:t>in Indonesia</w:t>
      </w:r>
      <w:bookmarkEnd w:id="353"/>
    </w:p>
    <w:p w14:paraId="66B6339B" w14:textId="3FCFEDDE" w:rsidR="00E57F60" w:rsidRPr="002B3058" w:rsidRDefault="00E57F60" w:rsidP="006C4F7A">
      <w:pPr>
        <w:rPr>
          <w:noProof/>
        </w:rPr>
      </w:pPr>
      <w:r w:rsidRPr="002B3058">
        <w:rPr>
          <w:noProof/>
        </w:rPr>
        <w:t>The Partnership for Knowledge-based Poverty Reduction program (PKPR)</w:t>
      </w:r>
      <w:r w:rsidR="00891244">
        <w:rPr>
          <w:noProof/>
        </w:rPr>
        <w:t xml:space="preserve"> (INJ244)</w:t>
      </w:r>
      <w:r w:rsidRPr="002B3058">
        <w:rPr>
          <w:noProof/>
        </w:rPr>
        <w:t xml:space="preserve"> is a program to support the </w:t>
      </w:r>
      <w:r w:rsidRPr="003F3FCC">
        <w:rPr>
          <w:noProof/>
        </w:rPr>
        <w:t xml:space="preserve">Government of Indonesia </w:t>
      </w:r>
      <w:r w:rsidRPr="002B3058">
        <w:rPr>
          <w:noProof/>
        </w:rPr>
        <w:t>in making informed and evidence-based policy and program decisions. The program has been operating since July 2010 but builds on earlier work that the World Bank was doing in this field. The objectives of this mid-term review were: to evaluate the extent to which AusAID funding has enabled the program to achieve its objectives, identify and synthesise lessons that will drive improvement and review the program</w:t>
      </w:r>
      <w:r w:rsidR="00744801">
        <w:rPr>
          <w:noProof/>
        </w:rPr>
        <w:t>’</w:t>
      </w:r>
      <w:r w:rsidRPr="002B3058">
        <w:rPr>
          <w:noProof/>
        </w:rPr>
        <w:t xml:space="preserve">s relevance to </w:t>
      </w:r>
      <w:r w:rsidR="003F3FCC">
        <w:rPr>
          <w:noProof/>
        </w:rPr>
        <w:t>Government of Indonesia</w:t>
      </w:r>
      <w:r w:rsidR="003F3FCC" w:rsidRPr="002B3058">
        <w:rPr>
          <w:noProof/>
        </w:rPr>
        <w:t xml:space="preserve"> </w:t>
      </w:r>
      <w:r w:rsidRPr="002B3058">
        <w:rPr>
          <w:noProof/>
        </w:rPr>
        <w:t xml:space="preserve">needs and priorities. </w:t>
      </w:r>
    </w:p>
    <w:p w14:paraId="76E6BAA7" w14:textId="7CF8153F" w:rsidR="00E57F60" w:rsidRPr="002B3058" w:rsidRDefault="00E57F60" w:rsidP="0084043D">
      <w:pPr>
        <w:pStyle w:val="Heading3"/>
      </w:pPr>
      <w:r w:rsidRPr="002B3058">
        <w:t xml:space="preserve">Terms of </w:t>
      </w:r>
      <w:r w:rsidR="00123D6D">
        <w:t>r</w:t>
      </w:r>
      <w:r w:rsidRPr="002B3058">
        <w:t>eference</w:t>
      </w:r>
    </w:p>
    <w:p w14:paraId="0C938C10" w14:textId="72FD6A7F" w:rsidR="00E57F60" w:rsidRPr="002B3058" w:rsidRDefault="00E57F60" w:rsidP="006C4F7A">
      <w:pPr>
        <w:rPr>
          <w:noProof/>
        </w:rPr>
      </w:pPr>
      <w:r w:rsidRPr="002B3058">
        <w:rPr>
          <w:noProof/>
        </w:rPr>
        <w:t xml:space="preserve">The </w:t>
      </w:r>
      <w:r w:rsidR="00123D6D">
        <w:rPr>
          <w:noProof/>
        </w:rPr>
        <w:t>t</w:t>
      </w:r>
      <w:r w:rsidRPr="002B3058">
        <w:rPr>
          <w:noProof/>
        </w:rPr>
        <w:t xml:space="preserve">erms of </w:t>
      </w:r>
      <w:r w:rsidR="00123D6D">
        <w:rPr>
          <w:noProof/>
        </w:rPr>
        <w:t>r</w:t>
      </w:r>
      <w:r w:rsidRPr="002B3058">
        <w:rPr>
          <w:noProof/>
        </w:rPr>
        <w:t xml:space="preserve">eference </w:t>
      </w:r>
      <w:r w:rsidR="0084043D">
        <w:rPr>
          <w:noProof/>
        </w:rPr>
        <w:t>for</w:t>
      </w:r>
      <w:r w:rsidR="0084043D" w:rsidRPr="002B3058">
        <w:rPr>
          <w:noProof/>
        </w:rPr>
        <w:t xml:space="preserve"> </w:t>
      </w:r>
      <w:r w:rsidRPr="002B3058">
        <w:rPr>
          <w:noProof/>
        </w:rPr>
        <w:t>this evaluation are clear and well</w:t>
      </w:r>
      <w:r w:rsidR="00123D6D">
        <w:rPr>
          <w:noProof/>
        </w:rPr>
        <w:t xml:space="preserve"> </w:t>
      </w:r>
      <w:r w:rsidRPr="002B3058">
        <w:rPr>
          <w:noProof/>
        </w:rPr>
        <w:t>structured. The background and the rationale of the evaluation are set out, including recent developments and the purpose is clearly stated as: accountability, program improvements and learning.</w:t>
      </w:r>
    </w:p>
    <w:p w14:paraId="1370EACD" w14:textId="77777777" w:rsidR="00E57F60" w:rsidRPr="002B3058" w:rsidRDefault="00E57F60" w:rsidP="00EF7AFB">
      <w:pPr>
        <w:rPr>
          <w:noProof/>
        </w:rPr>
      </w:pPr>
      <w:r w:rsidRPr="002B3058">
        <w:rPr>
          <w:noProof/>
        </w:rPr>
        <w:t>It is clear to the consultant what is expected because the scope, duration, process and deliverables of the assignment are clearly defined. The people days and the team composition match the scope of the evaluation, prioritised evaluation questions are provided and evaluation methods mentioned. The evaluation process is mapped out, key documents listed and the roles and responsibilities of the team members are clearly described.</w:t>
      </w:r>
    </w:p>
    <w:p w14:paraId="6DEC7BA8" w14:textId="7EEB7B0D" w:rsidR="00E57F60" w:rsidRPr="002B3058" w:rsidRDefault="00E57F60">
      <w:pPr>
        <w:rPr>
          <w:b/>
          <w:noProof/>
        </w:rPr>
      </w:pPr>
      <w:r w:rsidRPr="002B3058">
        <w:rPr>
          <w:noProof/>
        </w:rPr>
        <w:t xml:space="preserve">There are only two minor weaknesses in these </w:t>
      </w:r>
      <w:r w:rsidR="002D4429">
        <w:rPr>
          <w:noProof/>
        </w:rPr>
        <w:t>terms of reference</w:t>
      </w:r>
      <w:r w:rsidRPr="002B3058">
        <w:rPr>
          <w:noProof/>
        </w:rPr>
        <w:t>. First, there is an inconsistency regarding the input days for the assignment, with 30 days being suggested in total but 54 days being allocated to the two team members. Second, there is only very limited and implicit mention of the roles and responsibilities of AusAID staff in the evaluation.</w:t>
      </w:r>
    </w:p>
    <w:p w14:paraId="2450DD49" w14:textId="6BB5E46E" w:rsidR="00E57F60" w:rsidRPr="002B3058" w:rsidRDefault="00E57F60" w:rsidP="0084043D">
      <w:pPr>
        <w:pStyle w:val="Heading3"/>
      </w:pPr>
      <w:r w:rsidRPr="002B3058">
        <w:t xml:space="preserve">Evaluation </w:t>
      </w:r>
      <w:r w:rsidR="00612D37">
        <w:t>p</w:t>
      </w:r>
      <w:r w:rsidRPr="002B3058">
        <w:t>lan</w:t>
      </w:r>
    </w:p>
    <w:p w14:paraId="4D45F9BC" w14:textId="5BB0BE17" w:rsidR="00E57F60" w:rsidRPr="002B3058" w:rsidRDefault="00E57F60" w:rsidP="006C4F7A">
      <w:pPr>
        <w:rPr>
          <w:noProof/>
        </w:rPr>
      </w:pPr>
      <w:r w:rsidRPr="002B3058">
        <w:rPr>
          <w:noProof/>
        </w:rPr>
        <w:t xml:space="preserve">The </w:t>
      </w:r>
      <w:r w:rsidR="00612D37">
        <w:rPr>
          <w:noProof/>
        </w:rPr>
        <w:t>e</w:t>
      </w:r>
      <w:r w:rsidR="00444C57">
        <w:rPr>
          <w:noProof/>
        </w:rPr>
        <w:t xml:space="preserve">valuation </w:t>
      </w:r>
      <w:r w:rsidR="00612D37">
        <w:rPr>
          <w:noProof/>
        </w:rPr>
        <w:t>p</w:t>
      </w:r>
      <w:r w:rsidR="00444C57">
        <w:rPr>
          <w:noProof/>
        </w:rPr>
        <w:t>lan</w:t>
      </w:r>
      <w:r w:rsidR="00FF26A5">
        <w:rPr>
          <w:noProof/>
        </w:rPr>
        <w:t xml:space="preserve"> is excellent </w:t>
      </w:r>
      <w:r w:rsidRPr="002B3058">
        <w:rPr>
          <w:noProof/>
        </w:rPr>
        <w:t xml:space="preserve">in terms of </w:t>
      </w:r>
      <w:r w:rsidR="00FF26A5">
        <w:rPr>
          <w:noProof/>
        </w:rPr>
        <w:t xml:space="preserve">both </w:t>
      </w:r>
      <w:r w:rsidRPr="002B3058">
        <w:rPr>
          <w:noProof/>
        </w:rPr>
        <w:t xml:space="preserve">quality and coverage. All key elements of an </w:t>
      </w:r>
      <w:r w:rsidR="00123D6D">
        <w:rPr>
          <w:noProof/>
        </w:rPr>
        <w:t>e</w:t>
      </w:r>
      <w:r w:rsidR="00444C57">
        <w:rPr>
          <w:noProof/>
        </w:rPr>
        <w:t xml:space="preserve">valuation </w:t>
      </w:r>
      <w:r w:rsidR="00123D6D">
        <w:rPr>
          <w:noProof/>
        </w:rPr>
        <w:t>p</w:t>
      </w:r>
      <w:r w:rsidR="00444C57">
        <w:rPr>
          <w:noProof/>
        </w:rPr>
        <w:t>lan</w:t>
      </w:r>
      <w:r w:rsidRPr="002B3058">
        <w:rPr>
          <w:noProof/>
        </w:rPr>
        <w:t xml:space="preserve"> are addressed and presented in a way that is very easy to read, presenting each topic under headings such as </w:t>
      </w:r>
      <w:r w:rsidR="00123D6D">
        <w:rPr>
          <w:noProof/>
        </w:rPr>
        <w:t>‘W</w:t>
      </w:r>
      <w:r w:rsidRPr="002B3058">
        <w:rPr>
          <w:noProof/>
        </w:rPr>
        <w:t>hat is the focus and scope of the review?</w:t>
      </w:r>
      <w:r w:rsidR="00123D6D">
        <w:rPr>
          <w:noProof/>
        </w:rPr>
        <w:t>’</w:t>
      </w:r>
      <w:r w:rsidRPr="002B3058">
        <w:rPr>
          <w:noProof/>
        </w:rPr>
        <w:t xml:space="preserve"> or </w:t>
      </w:r>
      <w:r w:rsidR="00636229">
        <w:rPr>
          <w:noProof/>
        </w:rPr>
        <w:t>‘</w:t>
      </w:r>
      <w:r w:rsidR="00123D6D">
        <w:rPr>
          <w:noProof/>
        </w:rPr>
        <w:t>W</w:t>
      </w:r>
      <w:r w:rsidRPr="002B3058">
        <w:rPr>
          <w:noProof/>
        </w:rPr>
        <w:t>ho is the audience?</w:t>
      </w:r>
      <w:r w:rsidR="00123D6D">
        <w:rPr>
          <w:noProof/>
        </w:rPr>
        <w:t>’</w:t>
      </w:r>
      <w:r w:rsidRPr="002B3058">
        <w:rPr>
          <w:noProof/>
        </w:rPr>
        <w:t>. It is clear what is proposed to be done</w:t>
      </w:r>
      <w:r w:rsidR="008365E9" w:rsidRPr="002B3058">
        <w:rPr>
          <w:noProof/>
        </w:rPr>
        <w:t>, why, how, when, by whom and for whom</w:t>
      </w:r>
      <w:r w:rsidR="008365E9">
        <w:rPr>
          <w:noProof/>
        </w:rPr>
        <w:t>,</w:t>
      </w:r>
      <w:r w:rsidR="008365E9" w:rsidRPr="002B3058">
        <w:rPr>
          <w:noProof/>
        </w:rPr>
        <w:t xml:space="preserve"> </w:t>
      </w:r>
      <w:r w:rsidRPr="002B3058">
        <w:rPr>
          <w:noProof/>
        </w:rPr>
        <w:t>and numerous further details are presented.</w:t>
      </w:r>
    </w:p>
    <w:p w14:paraId="108A6E54" w14:textId="26794FF3" w:rsidR="00E57F60" w:rsidRPr="002B3058" w:rsidRDefault="00E57F60" w:rsidP="00EF7AFB">
      <w:pPr>
        <w:rPr>
          <w:noProof/>
        </w:rPr>
      </w:pPr>
      <w:r w:rsidRPr="002B3058">
        <w:rPr>
          <w:noProof/>
        </w:rPr>
        <w:t>The evaluation design is well thought through and includes a good justification of the focus, approach and methods used. Different methods are proposed for each of the three main objectives of the evaluation and specified in detail. Key evaluation questions are developed and linked to methods in a well presented evaluation matrix. Different parameters to triangulation are proposed and limitations and constraints are discussed.</w:t>
      </w:r>
    </w:p>
    <w:p w14:paraId="29B73581" w14:textId="252664E1" w:rsidR="00E57F60" w:rsidRPr="002B3058" w:rsidRDefault="00E57F60">
      <w:pPr>
        <w:rPr>
          <w:noProof/>
        </w:rPr>
      </w:pPr>
      <w:r w:rsidRPr="002B3058">
        <w:rPr>
          <w:noProof/>
        </w:rPr>
        <w:lastRenderedPageBreak/>
        <w:t xml:space="preserve">The </w:t>
      </w:r>
      <w:r w:rsidR="00612D37">
        <w:rPr>
          <w:noProof/>
        </w:rPr>
        <w:t>e</w:t>
      </w:r>
      <w:r w:rsidR="00444C57">
        <w:rPr>
          <w:noProof/>
        </w:rPr>
        <w:t xml:space="preserve">valuation </w:t>
      </w:r>
      <w:r w:rsidR="00612D37">
        <w:rPr>
          <w:noProof/>
        </w:rPr>
        <w:t>p</w:t>
      </w:r>
      <w:r w:rsidR="00444C57">
        <w:rPr>
          <w:noProof/>
        </w:rPr>
        <w:t>lan</w:t>
      </w:r>
      <w:r w:rsidRPr="002B3058">
        <w:rPr>
          <w:noProof/>
        </w:rPr>
        <w:t xml:space="preserve"> also specifies the primary users of the evaluation and the dissemination mechanisms that will be used. Reference is also made to the </w:t>
      </w:r>
      <w:r w:rsidR="00123D6D">
        <w:rPr>
          <w:noProof/>
        </w:rPr>
        <w:t>c</w:t>
      </w:r>
      <w:r w:rsidRPr="002B3058">
        <w:rPr>
          <w:noProof/>
        </w:rPr>
        <w:t xml:space="preserve">odes of </w:t>
      </w:r>
      <w:r w:rsidR="00123D6D">
        <w:rPr>
          <w:noProof/>
        </w:rPr>
        <w:t>e</w:t>
      </w:r>
      <w:r w:rsidRPr="002B3058">
        <w:rPr>
          <w:noProof/>
        </w:rPr>
        <w:t>thics the evaluation team will adhere to and examples of how this will be applied in practice are cited.</w:t>
      </w:r>
    </w:p>
    <w:p w14:paraId="748C570C" w14:textId="7F633059" w:rsidR="00E57F60" w:rsidRPr="002B3058" w:rsidRDefault="00E57F60">
      <w:pPr>
        <w:rPr>
          <w:noProof/>
        </w:rPr>
      </w:pPr>
      <w:r w:rsidRPr="002B3058">
        <w:rPr>
          <w:noProof/>
        </w:rPr>
        <w:t>One area where the plan could be improved is in its discussion of sampling.</w:t>
      </w:r>
      <w:r w:rsidR="00A74814">
        <w:rPr>
          <w:noProof/>
        </w:rPr>
        <w:t xml:space="preserve"> </w:t>
      </w:r>
      <w:r w:rsidRPr="002B3058">
        <w:rPr>
          <w:noProof/>
        </w:rPr>
        <w:t xml:space="preserve">It only states that </w:t>
      </w:r>
      <w:r w:rsidR="00123D6D">
        <w:rPr>
          <w:noProof/>
        </w:rPr>
        <w:t>‘</w:t>
      </w:r>
      <w:r w:rsidRPr="002B3058">
        <w:rPr>
          <w:noProof/>
        </w:rPr>
        <w:t>high-interest stakeholders</w:t>
      </w:r>
      <w:r w:rsidR="00123D6D">
        <w:rPr>
          <w:noProof/>
        </w:rPr>
        <w:t>’</w:t>
      </w:r>
      <w:r w:rsidRPr="002B3058">
        <w:rPr>
          <w:noProof/>
        </w:rPr>
        <w:t xml:space="preserve"> will be engaged by the review team without discussing who these stakeholders are or the sampling approach.</w:t>
      </w:r>
    </w:p>
    <w:p w14:paraId="46F4689C" w14:textId="1B42D1A0" w:rsidR="00E57F60" w:rsidRPr="002B3058" w:rsidRDefault="00E57F60" w:rsidP="0084043D">
      <w:pPr>
        <w:pStyle w:val="Heading3"/>
      </w:pPr>
      <w:r w:rsidRPr="002B3058">
        <w:t xml:space="preserve">Evaluation </w:t>
      </w:r>
      <w:r w:rsidR="00123D6D">
        <w:t>r</w:t>
      </w:r>
      <w:r w:rsidRPr="002B3058">
        <w:t>eport</w:t>
      </w:r>
    </w:p>
    <w:p w14:paraId="295E0F40" w14:textId="605B9F6A" w:rsidR="00E57F60" w:rsidRPr="002B3058" w:rsidRDefault="00E57F60" w:rsidP="006C4F7A">
      <w:pPr>
        <w:rPr>
          <w:noProof/>
        </w:rPr>
      </w:pPr>
      <w:r w:rsidRPr="002B3058">
        <w:rPr>
          <w:noProof/>
        </w:rPr>
        <w:t>The evaluation report itself is of high quality</w:t>
      </w:r>
      <w:r w:rsidR="00123D6D">
        <w:rPr>
          <w:noProof/>
        </w:rPr>
        <w:t>.</w:t>
      </w:r>
      <w:r w:rsidRPr="002B3058">
        <w:rPr>
          <w:noProof/>
        </w:rPr>
        <w:t xml:space="preserve"> </w:t>
      </w:r>
      <w:r w:rsidR="00123D6D">
        <w:rPr>
          <w:noProof/>
        </w:rPr>
        <w:t>I</w:t>
      </w:r>
      <w:r w:rsidRPr="002B3058">
        <w:rPr>
          <w:noProof/>
        </w:rPr>
        <w:t>t is clear</w:t>
      </w:r>
      <w:r w:rsidR="00123D6D">
        <w:rPr>
          <w:noProof/>
        </w:rPr>
        <w:t xml:space="preserve"> and</w:t>
      </w:r>
      <w:r w:rsidRPr="002B3058">
        <w:rPr>
          <w:noProof/>
        </w:rPr>
        <w:t xml:space="preserve"> well</w:t>
      </w:r>
      <w:r w:rsidR="00123D6D">
        <w:rPr>
          <w:noProof/>
        </w:rPr>
        <w:t xml:space="preserve"> </w:t>
      </w:r>
      <w:r w:rsidRPr="002B3058">
        <w:rPr>
          <w:noProof/>
        </w:rPr>
        <w:t>structured.</w:t>
      </w:r>
      <w:r w:rsidR="00A74814">
        <w:rPr>
          <w:noProof/>
        </w:rPr>
        <w:t xml:space="preserve"> </w:t>
      </w:r>
      <w:r w:rsidRPr="002B3058">
        <w:rPr>
          <w:noProof/>
        </w:rPr>
        <w:t>It is detailed, but remains easy to read. The report uses the evaluation questions and sub-questions to structure the analysis, which provides the reader with good guidance and ensures that all questions are answered. Both operational and strategic issues are covered in the report.</w:t>
      </w:r>
    </w:p>
    <w:p w14:paraId="187BD747" w14:textId="77777777" w:rsidR="00E57F60" w:rsidRPr="002B3058" w:rsidRDefault="00E57F60" w:rsidP="00EF7AFB">
      <w:pPr>
        <w:rPr>
          <w:noProof/>
        </w:rPr>
      </w:pPr>
      <w:r w:rsidRPr="002B3058">
        <w:rPr>
          <w:noProof/>
        </w:rPr>
        <w:t xml:space="preserve">There is a clear line of evidence between the data, findings and recommendations. There are a few instances where findings are not clearly substantiated by the evidence, but this does not apply to any of the major findings of the report. Equally, the recommendations are well grounded in the evidence and are clear, targeted and actionable. Notably the report prioritises recommendations and discusses resource implications. </w:t>
      </w:r>
    </w:p>
    <w:p w14:paraId="61FE8E24" w14:textId="4FB41416" w:rsidR="00E57F60" w:rsidRPr="005E24C0" w:rsidRDefault="00E57F60">
      <w:pPr>
        <w:rPr>
          <w:noProof/>
        </w:rPr>
      </w:pPr>
      <w:r w:rsidRPr="002B3058">
        <w:rPr>
          <w:noProof/>
        </w:rPr>
        <w:t>The report provides a well</w:t>
      </w:r>
      <w:r w:rsidR="00123D6D">
        <w:rPr>
          <w:noProof/>
        </w:rPr>
        <w:t>-</w:t>
      </w:r>
      <w:r w:rsidRPr="002B3058">
        <w:rPr>
          <w:noProof/>
        </w:rPr>
        <w:t>thought</w:t>
      </w:r>
      <w:r w:rsidR="00123D6D">
        <w:rPr>
          <w:noProof/>
        </w:rPr>
        <w:t>-</w:t>
      </w:r>
      <w:r w:rsidRPr="002B3058">
        <w:rPr>
          <w:noProof/>
        </w:rPr>
        <w:t xml:space="preserve">through and comprehensive analysis of the relevance of the initiative, which is also one of the key evaluation questions set out in the </w:t>
      </w:r>
      <w:r w:rsidR="002D4429">
        <w:rPr>
          <w:noProof/>
        </w:rPr>
        <w:t>terms of reference</w:t>
      </w:r>
      <w:r w:rsidRPr="002B3058">
        <w:rPr>
          <w:noProof/>
        </w:rPr>
        <w:t>. Various dimensions of relevance are looked at and numerical rankings assigned and aggregated. While the report does not explicitly refer to effectiveness, a number of evaluation questions relate to the effectiveness of the program and are assessed in a comprehensive manner. Context and its impact on performance is factored into the assessment. Finally, the report presents a very detailed assessment of the program</w:t>
      </w:r>
      <w:r w:rsidR="00744801">
        <w:rPr>
          <w:noProof/>
        </w:rPr>
        <w:t>’</w:t>
      </w:r>
      <w:r w:rsidRPr="002B3058">
        <w:rPr>
          <w:noProof/>
        </w:rPr>
        <w:t xml:space="preserve">s M&amp;E system and clearly identifies strengths and weaknesses. Notably, the M&amp;E system is rated against the </w:t>
      </w:r>
      <w:r w:rsidR="0086212A" w:rsidRPr="0084043D">
        <w:rPr>
          <w:noProof/>
        </w:rPr>
        <w:t>AusAID</w:t>
      </w:r>
      <w:r w:rsidR="0084043D">
        <w:rPr>
          <w:noProof/>
        </w:rPr>
        <w:t>/DFAT Aid</w:t>
      </w:r>
      <w:r w:rsidRPr="0084043D">
        <w:rPr>
          <w:noProof/>
        </w:rPr>
        <w:t xml:space="preserve"> M&amp;E standards</w:t>
      </w:r>
      <w:r w:rsidR="00C11BBC" w:rsidRPr="006C4F7A">
        <w:rPr>
          <w:noProof/>
        </w:rPr>
        <w:t>,</w:t>
      </w:r>
      <w:r w:rsidRPr="00EF7AFB">
        <w:rPr>
          <w:noProof/>
        </w:rPr>
        <w:t xml:space="preserve"> and existing M&amp;E data is </w:t>
      </w:r>
      <w:r w:rsidR="00C11BBC" w:rsidRPr="005E24C0">
        <w:rPr>
          <w:noProof/>
        </w:rPr>
        <w:t xml:space="preserve">used </w:t>
      </w:r>
      <w:r w:rsidRPr="005E24C0">
        <w:rPr>
          <w:noProof/>
        </w:rPr>
        <w:t>to make a judgment on progress to date.</w:t>
      </w:r>
    </w:p>
    <w:p w14:paraId="7D9FE2A0" w14:textId="0F7458B5" w:rsidR="00E57F60" w:rsidRPr="005E24C0" w:rsidRDefault="00E57F60">
      <w:pPr>
        <w:rPr>
          <w:noProof/>
        </w:rPr>
      </w:pPr>
      <w:r w:rsidRPr="005E24C0">
        <w:rPr>
          <w:noProof/>
        </w:rPr>
        <w:t>Nevertheless, the report displays some weaknesses. There is limited analysis of the contribution of the program to policy change and the role played by other factors. Furthermore, the assessment of efficiency and</w:t>
      </w:r>
      <w:r w:rsidR="00C11BBC" w:rsidRPr="005E24C0">
        <w:rPr>
          <w:noProof/>
        </w:rPr>
        <w:t>,</w:t>
      </w:r>
      <w:r w:rsidRPr="005E24C0">
        <w:rPr>
          <w:noProof/>
        </w:rPr>
        <w:t xml:space="preserve"> in particular</w:t>
      </w:r>
      <w:r w:rsidR="00C11BBC" w:rsidRPr="005E24C0">
        <w:rPr>
          <w:noProof/>
        </w:rPr>
        <w:t>,</w:t>
      </w:r>
      <w:r w:rsidRPr="005E24C0">
        <w:rPr>
          <w:noProof/>
        </w:rPr>
        <w:t xml:space="preserve"> the analysis of </w:t>
      </w:r>
      <w:r w:rsidR="00DC4C2C" w:rsidRPr="0084043D">
        <w:rPr>
          <w:noProof/>
        </w:rPr>
        <w:t>value for money</w:t>
      </w:r>
      <w:r w:rsidRPr="006C4F7A">
        <w:rPr>
          <w:noProof/>
        </w:rPr>
        <w:t xml:space="preserve"> is weak. Lastly, no assessment of the criteria of impact is provided</w:t>
      </w:r>
      <w:r w:rsidR="00C11BBC" w:rsidRPr="00EF7AFB">
        <w:rPr>
          <w:noProof/>
        </w:rPr>
        <w:t>,</w:t>
      </w:r>
      <w:r w:rsidRPr="005E24C0">
        <w:rPr>
          <w:noProof/>
        </w:rPr>
        <w:t xml:space="preserve"> despite being </w:t>
      </w:r>
      <w:r w:rsidR="0084043D">
        <w:rPr>
          <w:noProof/>
        </w:rPr>
        <w:t>requested</w:t>
      </w:r>
      <w:r w:rsidRPr="005E24C0">
        <w:rPr>
          <w:noProof/>
        </w:rPr>
        <w:t xml:space="preserve"> in the </w:t>
      </w:r>
      <w:r w:rsidR="002D4429" w:rsidRPr="005E24C0">
        <w:rPr>
          <w:noProof/>
        </w:rPr>
        <w:t>terms of reference</w:t>
      </w:r>
      <w:r w:rsidRPr="005E24C0">
        <w:rPr>
          <w:noProof/>
        </w:rPr>
        <w:t>.</w:t>
      </w:r>
    </w:p>
    <w:p w14:paraId="4D899E82" w14:textId="77777777" w:rsidR="00CB73AC" w:rsidRPr="008365E9" w:rsidRDefault="00CB73AC" w:rsidP="00CB73AC">
      <w:pPr>
        <w:pStyle w:val="Heading2"/>
        <w:ind w:left="0" w:firstLine="0"/>
      </w:pPr>
      <w:bookmarkStart w:id="354" w:name="_Toc378059949"/>
      <w:bookmarkStart w:id="355" w:name="_Toc378060037"/>
      <w:bookmarkStart w:id="356" w:name="_Toc387675147"/>
      <w:bookmarkStart w:id="357" w:name="_Toc373303752"/>
      <w:bookmarkStart w:id="358" w:name="_Toc373304319"/>
      <w:bookmarkStart w:id="359" w:name="_Toc378059946"/>
      <w:bookmarkStart w:id="360" w:name="_Toc378060034"/>
      <w:r w:rsidRPr="008365E9">
        <w:t>Timor-Leste Asian Development Bank Infrastructure Project Management/Infrastructure Technical Assistance</w:t>
      </w:r>
      <w:bookmarkEnd w:id="354"/>
      <w:bookmarkEnd w:id="355"/>
      <w:r>
        <w:t xml:space="preserve"> program</w:t>
      </w:r>
      <w:bookmarkEnd w:id="356"/>
    </w:p>
    <w:p w14:paraId="3392B72C" w14:textId="7A01ECE0" w:rsidR="00CB73AC" w:rsidRPr="002B3058" w:rsidRDefault="00CB73AC" w:rsidP="00CB73AC">
      <w:pPr>
        <w:rPr>
          <w:rFonts w:cs="Calibri"/>
          <w:noProof/>
        </w:rPr>
      </w:pPr>
      <w:r w:rsidRPr="00EF7AFB">
        <w:rPr>
          <w:noProof/>
        </w:rPr>
        <w:t>The Timor-Leste Asian Development Bank Infrastructure Project Management/</w:t>
      </w:r>
      <w:r w:rsidRPr="005E24C0">
        <w:rPr>
          <w:noProof/>
        </w:rPr>
        <w:t>Infrastructure Technical Assistance program</w:t>
      </w:r>
      <w:r>
        <w:rPr>
          <w:noProof/>
        </w:rPr>
        <w:t xml:space="preserve"> (INH497)</w:t>
      </w:r>
      <w:r w:rsidRPr="005E24C0">
        <w:rPr>
          <w:noProof/>
        </w:rPr>
        <w:t xml:space="preserve"> aims </w:t>
      </w:r>
      <w:r>
        <w:rPr>
          <w:noProof/>
        </w:rPr>
        <w:t>to</w:t>
      </w:r>
      <w:r w:rsidRPr="005E24C0">
        <w:rPr>
          <w:noProof/>
        </w:rPr>
        <w:t xml:space="preserve"> creat</w:t>
      </w:r>
      <w:r>
        <w:rPr>
          <w:noProof/>
        </w:rPr>
        <w:t>e</w:t>
      </w:r>
      <w:r w:rsidRPr="005E24C0">
        <w:rPr>
          <w:noProof/>
        </w:rPr>
        <w:t xml:space="preserve"> and upgrad</w:t>
      </w:r>
      <w:r>
        <w:rPr>
          <w:noProof/>
        </w:rPr>
        <w:t>e</w:t>
      </w:r>
      <w:r w:rsidRPr="005E24C0">
        <w:rPr>
          <w:noProof/>
        </w:rPr>
        <w:t xml:space="preserve"> infrastructure assets in line with the Government of Timor-Leste</w:t>
      </w:r>
      <w:r w:rsidRPr="006541FC">
        <w:rPr>
          <w:noProof/>
        </w:rPr>
        <w:t>’s</w:t>
      </w:r>
      <w:r w:rsidRPr="00EF7AFB">
        <w:rPr>
          <w:noProof/>
        </w:rPr>
        <w:t xml:space="preserve"> medium</w:t>
      </w:r>
      <w:r w:rsidRPr="005E24C0">
        <w:rPr>
          <w:noProof/>
        </w:rPr>
        <w:t>-term targets, including transport, communications, urban development, power and water supply and sanitation. The program was approved by the ADB</w:t>
      </w:r>
      <w:r w:rsidRPr="00EF7AFB">
        <w:rPr>
          <w:noProof/>
        </w:rPr>
        <w:t xml:space="preserve"> in June 2007 and finishes in 2014. The main purp</w:t>
      </w:r>
      <w:r w:rsidRPr="005E24C0">
        <w:rPr>
          <w:noProof/>
        </w:rPr>
        <w:t>ose of this completion report</w:t>
      </w:r>
      <w:r w:rsidRPr="005E24C0">
        <w:rPr>
          <w:rFonts w:cs="Calibri"/>
          <w:noProof/>
        </w:rPr>
        <w:t xml:space="preserve"> is to identify lessons to inform </w:t>
      </w:r>
      <w:r>
        <w:rPr>
          <w:rFonts w:cs="Calibri"/>
          <w:noProof/>
        </w:rPr>
        <w:t>the Australian Government</w:t>
      </w:r>
      <w:r w:rsidRPr="005E24C0">
        <w:rPr>
          <w:rFonts w:cs="Calibri"/>
          <w:noProof/>
        </w:rPr>
        <w:t>’s ongoing and future programs in the infrastructure sector in Timor</w:t>
      </w:r>
      <w:r w:rsidRPr="005E24C0">
        <w:rPr>
          <w:rFonts w:ascii="Cambria Math" w:hAnsi="Cambria Math" w:cs="Cambria Math"/>
          <w:noProof/>
        </w:rPr>
        <w:t>‐</w:t>
      </w:r>
      <w:r w:rsidRPr="005E24C0">
        <w:rPr>
          <w:rFonts w:cs="Calibri"/>
          <w:noProof/>
        </w:rPr>
        <w:t xml:space="preserve">Leste and to respond to </w:t>
      </w:r>
      <w:r>
        <w:rPr>
          <w:rFonts w:cs="Calibri"/>
          <w:noProof/>
        </w:rPr>
        <w:t>the aid program</w:t>
      </w:r>
      <w:r w:rsidRPr="005E24C0">
        <w:rPr>
          <w:rFonts w:cs="Calibri"/>
          <w:noProof/>
        </w:rPr>
        <w:t>’s accountability requirements.</w:t>
      </w:r>
    </w:p>
    <w:p w14:paraId="1E89D393" w14:textId="77777777" w:rsidR="00CB73AC" w:rsidRPr="002B3058" w:rsidRDefault="00CB73AC" w:rsidP="00CB73AC">
      <w:pPr>
        <w:pStyle w:val="Heading3"/>
      </w:pPr>
      <w:r w:rsidRPr="002B3058">
        <w:t xml:space="preserve">Terms of </w:t>
      </w:r>
      <w:r>
        <w:t>r</w:t>
      </w:r>
      <w:r w:rsidRPr="002B3058">
        <w:t>eference</w:t>
      </w:r>
    </w:p>
    <w:p w14:paraId="288677E9" w14:textId="77777777" w:rsidR="00CB73AC" w:rsidRPr="002B3058" w:rsidRDefault="00CB73AC" w:rsidP="00CB73AC">
      <w:pPr>
        <w:rPr>
          <w:noProof/>
        </w:rPr>
      </w:pPr>
      <w:r w:rsidRPr="002B3058">
        <w:rPr>
          <w:noProof/>
        </w:rPr>
        <w:t xml:space="preserve">The </w:t>
      </w:r>
      <w:r>
        <w:rPr>
          <w:noProof/>
        </w:rPr>
        <w:t>terms of reference</w:t>
      </w:r>
      <w:r w:rsidRPr="002B3058">
        <w:rPr>
          <w:noProof/>
        </w:rPr>
        <w:t xml:space="preserve"> </w:t>
      </w:r>
      <w:r>
        <w:rPr>
          <w:noProof/>
        </w:rPr>
        <w:t>for</w:t>
      </w:r>
      <w:r w:rsidRPr="002B3058">
        <w:rPr>
          <w:noProof/>
        </w:rPr>
        <w:t xml:space="preserve"> this evaluation are very clear and focused. The policy and context of Australia</w:t>
      </w:r>
      <w:r>
        <w:rPr>
          <w:noProof/>
        </w:rPr>
        <w:t>’</w:t>
      </w:r>
      <w:r w:rsidRPr="002B3058">
        <w:rPr>
          <w:noProof/>
        </w:rPr>
        <w:t>s involvement in the infrastructure sector in Timor-Les</w:t>
      </w:r>
      <w:r>
        <w:rPr>
          <w:noProof/>
        </w:rPr>
        <w:t>t</w:t>
      </w:r>
      <w:r w:rsidRPr="002B3058">
        <w:rPr>
          <w:noProof/>
        </w:rPr>
        <w:t xml:space="preserve">e are set out and a comprehensive </w:t>
      </w:r>
      <w:r w:rsidRPr="002B3058">
        <w:rPr>
          <w:noProof/>
        </w:rPr>
        <w:lastRenderedPageBreak/>
        <w:t>overview of the program is provided. Notably, the primary and secondary purpose of the evaluation are defined and specified</w:t>
      </w:r>
      <w:r>
        <w:rPr>
          <w:noProof/>
        </w:rPr>
        <w:t>:</w:t>
      </w:r>
      <w:r w:rsidRPr="002B3058">
        <w:rPr>
          <w:noProof/>
        </w:rPr>
        <w:t xml:space="preserve"> program improvement and accountability respectively. Furthermore, primary and secondary users of the evaluation are identified: </w:t>
      </w:r>
      <w:r>
        <w:rPr>
          <w:noProof/>
        </w:rPr>
        <w:t>t</w:t>
      </w:r>
      <w:r w:rsidRPr="002B3058">
        <w:rPr>
          <w:noProof/>
        </w:rPr>
        <w:t xml:space="preserve">he </w:t>
      </w:r>
      <w:r>
        <w:rPr>
          <w:noProof/>
        </w:rPr>
        <w:t>Australian aid</w:t>
      </w:r>
      <w:r w:rsidRPr="002B3058">
        <w:rPr>
          <w:noProof/>
        </w:rPr>
        <w:t xml:space="preserve"> Timor-Leste infrastructure team in Dili and Canberra</w:t>
      </w:r>
      <w:r>
        <w:rPr>
          <w:noProof/>
        </w:rPr>
        <w:t xml:space="preserve"> and</w:t>
      </w:r>
      <w:r w:rsidRPr="002B3058">
        <w:rPr>
          <w:noProof/>
        </w:rPr>
        <w:t xml:space="preserve"> </w:t>
      </w:r>
      <w:r>
        <w:rPr>
          <w:noProof/>
        </w:rPr>
        <w:t xml:space="preserve">Australian aid </w:t>
      </w:r>
      <w:r w:rsidRPr="002B3058">
        <w:rPr>
          <w:noProof/>
        </w:rPr>
        <w:t xml:space="preserve"> Timor-Leste broader program teams in Dili and Canberra and </w:t>
      </w:r>
      <w:r w:rsidRPr="006541FC">
        <w:rPr>
          <w:noProof/>
        </w:rPr>
        <w:t>ADB</w:t>
      </w:r>
      <w:r w:rsidRPr="002B3058">
        <w:rPr>
          <w:noProof/>
        </w:rPr>
        <w:t xml:space="preserve"> as primary users</w:t>
      </w:r>
      <w:r>
        <w:rPr>
          <w:noProof/>
        </w:rPr>
        <w:t>;</w:t>
      </w:r>
      <w:r w:rsidRPr="002B3058">
        <w:rPr>
          <w:noProof/>
        </w:rPr>
        <w:t xml:space="preserve"> and partners in Timor-Leste, including the Ministry of Infrastructure, the </w:t>
      </w:r>
      <w:r>
        <w:rPr>
          <w:noProof/>
        </w:rPr>
        <w:t>International Labour Organization</w:t>
      </w:r>
      <w:r w:rsidRPr="002B3058">
        <w:rPr>
          <w:noProof/>
        </w:rPr>
        <w:t xml:space="preserve"> team responsible for the Roads for Development program, and </w:t>
      </w:r>
      <w:r>
        <w:rPr>
          <w:noProof/>
        </w:rPr>
        <w:t>the Australian aid program’</w:t>
      </w:r>
      <w:r w:rsidRPr="002B3058">
        <w:rPr>
          <w:noProof/>
        </w:rPr>
        <w:t>s Infrastructure Thematic Group as secondary users.</w:t>
      </w:r>
    </w:p>
    <w:p w14:paraId="49B2E063" w14:textId="77777777" w:rsidR="00CB73AC" w:rsidRPr="002B3058" w:rsidRDefault="00CB73AC" w:rsidP="00CB73AC">
      <w:pPr>
        <w:rPr>
          <w:noProof/>
          <w:szCs w:val="22"/>
        </w:rPr>
      </w:pPr>
      <w:r w:rsidRPr="002B3058">
        <w:rPr>
          <w:noProof/>
        </w:rPr>
        <w:t>Most important</w:t>
      </w:r>
      <w:r>
        <w:rPr>
          <w:noProof/>
        </w:rPr>
        <w:t>ly</w:t>
      </w:r>
      <w:r w:rsidRPr="002B3058">
        <w:rPr>
          <w:noProof/>
        </w:rPr>
        <w:t xml:space="preserve">, the </w:t>
      </w:r>
      <w:r>
        <w:rPr>
          <w:noProof/>
        </w:rPr>
        <w:t>terms of reference</w:t>
      </w:r>
      <w:r w:rsidRPr="002B3058">
        <w:rPr>
          <w:noProof/>
        </w:rPr>
        <w:t xml:space="preserve"> provide a very focused and limited number </w:t>
      </w:r>
      <w:r>
        <w:rPr>
          <w:noProof/>
        </w:rPr>
        <w:t>(</w:t>
      </w:r>
      <w:r w:rsidRPr="002B3058">
        <w:rPr>
          <w:noProof/>
        </w:rPr>
        <w:t>six</w:t>
      </w:r>
      <w:r>
        <w:rPr>
          <w:noProof/>
        </w:rPr>
        <w:t>) of</w:t>
      </w:r>
      <w:r w:rsidRPr="002B3058">
        <w:rPr>
          <w:noProof/>
        </w:rPr>
        <w:t xml:space="preserve"> clear evaluation questions with sub-questions. These relate to the key objectives of the evaluation and focus on assessing program performance and evaluating the management decisions </w:t>
      </w:r>
      <w:r>
        <w:rPr>
          <w:noProof/>
        </w:rPr>
        <w:t>the Australian aid program</w:t>
      </w:r>
      <w:r w:rsidRPr="002B3058">
        <w:rPr>
          <w:noProof/>
        </w:rPr>
        <w:t xml:space="preserve"> has to take to meet its accountability requirements. The scope of the evaluation questions is also well aligned with the number of days allocated for the task. Two team members are expected to deliver the assignment in 34.5 days, excluding travel days. The </w:t>
      </w:r>
      <w:r>
        <w:rPr>
          <w:noProof/>
        </w:rPr>
        <w:t>terms of reference</w:t>
      </w:r>
      <w:r w:rsidRPr="002B3058">
        <w:rPr>
          <w:noProof/>
        </w:rPr>
        <w:t xml:space="preserve"> provide clear definitions of the reporting requirements and deliverables of the evaluation and a useful list of the stakeholders that should be engaged through the evaluation and the documents to review.</w:t>
      </w:r>
    </w:p>
    <w:p w14:paraId="6E571F63" w14:textId="77777777" w:rsidR="00CB73AC" w:rsidRPr="00E57F60" w:rsidRDefault="00CB73AC" w:rsidP="00CB73AC">
      <w:pPr>
        <w:rPr>
          <w:rFonts w:ascii="Cambria" w:hAnsi="Cambria"/>
          <w:szCs w:val="24"/>
        </w:rPr>
      </w:pPr>
      <w:r w:rsidRPr="002B3058">
        <w:rPr>
          <w:noProof/>
        </w:rPr>
        <w:t xml:space="preserve">One minor flaw remains: </w:t>
      </w:r>
      <w:r>
        <w:rPr>
          <w:noProof/>
        </w:rPr>
        <w:t>t</w:t>
      </w:r>
      <w:r w:rsidRPr="002B3058">
        <w:rPr>
          <w:noProof/>
        </w:rPr>
        <w:t xml:space="preserve">he </w:t>
      </w:r>
      <w:r>
        <w:rPr>
          <w:noProof/>
        </w:rPr>
        <w:t>terms of reference</w:t>
      </w:r>
      <w:r w:rsidRPr="002B3058">
        <w:rPr>
          <w:noProof/>
        </w:rPr>
        <w:t xml:space="preserve"> provide</w:t>
      </w:r>
      <w:r>
        <w:rPr>
          <w:noProof/>
        </w:rPr>
        <w:t xml:space="preserve"> only</w:t>
      </w:r>
      <w:r w:rsidRPr="002B3058">
        <w:rPr>
          <w:noProof/>
        </w:rPr>
        <w:t xml:space="preserve"> limited information on the roles and responsibilities of the evaluation team or </w:t>
      </w:r>
      <w:r>
        <w:rPr>
          <w:noProof/>
        </w:rPr>
        <w:t>Australian aid program</w:t>
      </w:r>
      <w:r w:rsidRPr="002B3058">
        <w:rPr>
          <w:noProof/>
        </w:rPr>
        <w:t xml:space="preserve"> </w:t>
      </w:r>
      <w:r>
        <w:rPr>
          <w:noProof/>
        </w:rPr>
        <w:t>officers</w:t>
      </w:r>
      <w:r w:rsidRPr="002B3058">
        <w:rPr>
          <w:noProof/>
        </w:rPr>
        <w:t>.</w:t>
      </w:r>
    </w:p>
    <w:p w14:paraId="79C61560" w14:textId="579D536B" w:rsidR="00E57F60" w:rsidRPr="00E57F60" w:rsidRDefault="00E57F60" w:rsidP="009F3022">
      <w:pPr>
        <w:pStyle w:val="Heading2"/>
        <w:ind w:left="0" w:firstLine="0"/>
        <w:rPr>
          <w:rFonts w:ascii="Cambria" w:hAnsi="Cambria"/>
        </w:rPr>
      </w:pPr>
      <w:bookmarkStart w:id="361" w:name="_Toc387675148"/>
      <w:r w:rsidRPr="005E24C0">
        <w:t xml:space="preserve">Rural Water Supply and Sanitation Program </w:t>
      </w:r>
      <w:bookmarkEnd w:id="357"/>
      <w:bookmarkEnd w:id="358"/>
      <w:bookmarkEnd w:id="359"/>
      <w:bookmarkEnd w:id="360"/>
      <w:r w:rsidR="001930D7">
        <w:t>in Timor-Leste</w:t>
      </w:r>
      <w:bookmarkEnd w:id="361"/>
    </w:p>
    <w:p w14:paraId="3F2EEA74" w14:textId="3DBFEF5D" w:rsidR="00E57F60" w:rsidRPr="002B3058" w:rsidRDefault="00E57F60" w:rsidP="006C4F7A">
      <w:pPr>
        <w:rPr>
          <w:noProof/>
        </w:rPr>
      </w:pPr>
      <w:r w:rsidRPr="002B3058">
        <w:rPr>
          <w:noProof/>
        </w:rPr>
        <w:t xml:space="preserve">The first phase of the Australia </w:t>
      </w:r>
      <w:r w:rsidR="003767C2">
        <w:rPr>
          <w:noProof/>
        </w:rPr>
        <w:t>Timor-Leste</w:t>
      </w:r>
      <w:r w:rsidRPr="002B3058">
        <w:rPr>
          <w:noProof/>
        </w:rPr>
        <w:t xml:space="preserve"> </w:t>
      </w:r>
      <w:r w:rsidR="0084043D">
        <w:rPr>
          <w:noProof/>
        </w:rPr>
        <w:t>Rural Water Supply and Sanitation Program</w:t>
      </w:r>
      <w:r w:rsidR="001930D7">
        <w:rPr>
          <w:noProof/>
        </w:rPr>
        <w:t xml:space="preserve"> (ING002)</w:t>
      </w:r>
      <w:r w:rsidR="00636229">
        <w:rPr>
          <w:rFonts w:ascii="Arial" w:hAnsi="Arial" w:cs="Arial"/>
          <w:noProof/>
        </w:rPr>
        <w:t>—</w:t>
      </w:r>
      <w:r w:rsidRPr="002B3058">
        <w:rPr>
          <w:noProof/>
        </w:rPr>
        <w:t xml:space="preserve">known locally as </w:t>
      </w:r>
      <w:r w:rsidR="00C11BBC">
        <w:rPr>
          <w:noProof/>
        </w:rPr>
        <w:t>‘</w:t>
      </w:r>
      <w:r w:rsidRPr="002B3058">
        <w:rPr>
          <w:noProof/>
        </w:rPr>
        <w:t>Bee, Saneamentu no Ijene iha Komunidade</w:t>
      </w:r>
      <w:r w:rsidR="00C11BBC">
        <w:rPr>
          <w:noProof/>
        </w:rPr>
        <w:t>’</w:t>
      </w:r>
      <w:r w:rsidRPr="002B3058">
        <w:rPr>
          <w:noProof/>
        </w:rPr>
        <w:t xml:space="preserve"> or BESIK</w:t>
      </w:r>
      <w:r w:rsidR="00636229">
        <w:rPr>
          <w:rFonts w:ascii="Arial" w:hAnsi="Arial" w:cs="Arial"/>
          <w:noProof/>
        </w:rPr>
        <w:t>—</w:t>
      </w:r>
      <w:r w:rsidRPr="002B3058">
        <w:rPr>
          <w:noProof/>
        </w:rPr>
        <w:t xml:space="preserve">was implemented between 2007 and 2012. It supported capacity development within key ministries and other sector partners to deliver improved water and sanitation to communities through technical advisors, budget support, organisational development, policy development, training, construction of water systems in rural districts, and research. The primary purpose of this independent completion report was to support program improvement and to inform both the </w:t>
      </w:r>
      <w:r w:rsidRPr="002B3058">
        <w:rPr>
          <w:rFonts w:cs="Calibri"/>
          <w:noProof/>
        </w:rPr>
        <w:t xml:space="preserve">next phase of the program and wider initiatives in </w:t>
      </w:r>
      <w:r w:rsidR="005D5E45">
        <w:rPr>
          <w:rFonts w:cs="Calibri"/>
          <w:noProof/>
        </w:rPr>
        <w:t>the Australian Government’s</w:t>
      </w:r>
      <w:r w:rsidR="005D5E45" w:rsidRPr="002B3058">
        <w:rPr>
          <w:rFonts w:cs="Calibri"/>
          <w:noProof/>
        </w:rPr>
        <w:t xml:space="preserve"> </w:t>
      </w:r>
      <w:r w:rsidRPr="002B3058">
        <w:rPr>
          <w:rFonts w:cs="Calibri"/>
          <w:noProof/>
        </w:rPr>
        <w:t xml:space="preserve">Timor-Leste program. </w:t>
      </w:r>
    </w:p>
    <w:p w14:paraId="05E5313F" w14:textId="25E40319" w:rsidR="00E57F60" w:rsidRPr="002B3058" w:rsidRDefault="00E57F60" w:rsidP="005D5E45">
      <w:pPr>
        <w:pStyle w:val="Heading3"/>
      </w:pPr>
      <w:r w:rsidRPr="002B3058">
        <w:t xml:space="preserve">Evaluation </w:t>
      </w:r>
      <w:r w:rsidR="00612D37">
        <w:t>p</w:t>
      </w:r>
      <w:r w:rsidRPr="002B3058">
        <w:t>lan</w:t>
      </w:r>
    </w:p>
    <w:p w14:paraId="449EEDD7" w14:textId="55DE28FE" w:rsidR="00E57F60" w:rsidRPr="002B3058" w:rsidRDefault="00E57F60" w:rsidP="006C4F7A">
      <w:pPr>
        <w:rPr>
          <w:noProof/>
        </w:rPr>
      </w:pPr>
      <w:r w:rsidRPr="002B3058">
        <w:rPr>
          <w:noProof/>
        </w:rPr>
        <w:t xml:space="preserve">The </w:t>
      </w:r>
      <w:r w:rsidR="00612D37">
        <w:rPr>
          <w:noProof/>
        </w:rPr>
        <w:t>e</w:t>
      </w:r>
      <w:r w:rsidR="00444C57">
        <w:rPr>
          <w:noProof/>
        </w:rPr>
        <w:t xml:space="preserve">valuation </w:t>
      </w:r>
      <w:r w:rsidR="00612D37">
        <w:rPr>
          <w:noProof/>
        </w:rPr>
        <w:t>p</w:t>
      </w:r>
      <w:r w:rsidR="00444C57">
        <w:rPr>
          <w:noProof/>
        </w:rPr>
        <w:t>lan</w:t>
      </w:r>
      <w:r w:rsidRPr="002B3058">
        <w:rPr>
          <w:noProof/>
        </w:rPr>
        <w:t xml:space="preserve"> is comprehensive and detailed. It sets out the background of the program and the evaluation, </w:t>
      </w:r>
      <w:r w:rsidR="005D5E45">
        <w:rPr>
          <w:noProof/>
        </w:rPr>
        <w:t>the evaluation’s</w:t>
      </w:r>
      <w:r w:rsidR="005D5E45" w:rsidRPr="002B3058">
        <w:rPr>
          <w:noProof/>
        </w:rPr>
        <w:t xml:space="preserve"> </w:t>
      </w:r>
      <w:r w:rsidRPr="002B3058">
        <w:rPr>
          <w:noProof/>
        </w:rPr>
        <w:t xml:space="preserve">purpose, </w:t>
      </w:r>
      <w:r w:rsidR="005D5E45">
        <w:rPr>
          <w:noProof/>
        </w:rPr>
        <w:t xml:space="preserve">and </w:t>
      </w:r>
      <w:r w:rsidRPr="002B3058">
        <w:rPr>
          <w:noProof/>
        </w:rPr>
        <w:t xml:space="preserve">primary and secondary users and the evaluation team. Responding to the </w:t>
      </w:r>
      <w:r w:rsidR="002D4429">
        <w:rPr>
          <w:noProof/>
        </w:rPr>
        <w:t>terms of reference</w:t>
      </w:r>
      <w:r w:rsidRPr="002B3058">
        <w:rPr>
          <w:noProof/>
        </w:rPr>
        <w:t>, the evaluation approach is focused on the efficacy of gender mainstreaming methods and capacity development.</w:t>
      </w:r>
      <w:r w:rsidR="00A74814">
        <w:rPr>
          <w:noProof/>
        </w:rPr>
        <w:t xml:space="preserve"> </w:t>
      </w:r>
      <w:r w:rsidRPr="002B3058">
        <w:rPr>
          <w:noProof/>
        </w:rPr>
        <w:t>A gender outcomes framework is presented and framework for conceptualising and assessing capacity building at the individual, organisational and system level is outlined.</w:t>
      </w:r>
    </w:p>
    <w:p w14:paraId="2017348A" w14:textId="0B7DD6C6" w:rsidR="00E57F60" w:rsidRPr="002B3058" w:rsidRDefault="00E57F60" w:rsidP="00EF7AFB">
      <w:pPr>
        <w:rPr>
          <w:noProof/>
        </w:rPr>
      </w:pPr>
      <w:r w:rsidRPr="002B3058">
        <w:rPr>
          <w:noProof/>
        </w:rPr>
        <w:t xml:space="preserve">A question guide frames the issues defined in the </w:t>
      </w:r>
      <w:r w:rsidR="00395A53">
        <w:rPr>
          <w:noProof/>
        </w:rPr>
        <w:t>terms of reference</w:t>
      </w:r>
      <w:r w:rsidR="00395A53" w:rsidRPr="002B3058">
        <w:rPr>
          <w:noProof/>
        </w:rPr>
        <w:t xml:space="preserve"> </w:t>
      </w:r>
      <w:r w:rsidRPr="002B3058">
        <w:rPr>
          <w:noProof/>
        </w:rPr>
        <w:t>as hypotheses and develops evaluation questions to test them. An evaluation matrix then links these issues and questions to data collection methods and specific evaluation activities. This provides a comprehensive a</w:t>
      </w:r>
      <w:r w:rsidR="00C11BBC">
        <w:rPr>
          <w:noProof/>
        </w:rPr>
        <w:t>nd</w:t>
      </w:r>
      <w:r w:rsidRPr="002B3058">
        <w:rPr>
          <w:noProof/>
        </w:rPr>
        <w:t xml:space="preserve"> well</w:t>
      </w:r>
      <w:r w:rsidR="00C11BBC">
        <w:rPr>
          <w:noProof/>
        </w:rPr>
        <w:t>-</w:t>
      </w:r>
      <w:r w:rsidRPr="002B3058">
        <w:rPr>
          <w:noProof/>
        </w:rPr>
        <w:t>thought-through evaluation framework.</w:t>
      </w:r>
    </w:p>
    <w:p w14:paraId="35474708" w14:textId="2A796614" w:rsidR="00E57F60" w:rsidRPr="002B3058" w:rsidRDefault="00E57F60">
      <w:pPr>
        <w:rPr>
          <w:noProof/>
        </w:rPr>
      </w:pPr>
      <w:r w:rsidRPr="002B3058">
        <w:rPr>
          <w:noProof/>
        </w:rPr>
        <w:t xml:space="preserve">The </w:t>
      </w:r>
      <w:r w:rsidR="00612D37">
        <w:rPr>
          <w:noProof/>
        </w:rPr>
        <w:t>e</w:t>
      </w:r>
      <w:r w:rsidR="00444C57">
        <w:rPr>
          <w:noProof/>
        </w:rPr>
        <w:t xml:space="preserve">valuation </w:t>
      </w:r>
      <w:r w:rsidR="00612D37">
        <w:rPr>
          <w:noProof/>
        </w:rPr>
        <w:t>p</w:t>
      </w:r>
      <w:r w:rsidR="00444C57">
        <w:rPr>
          <w:noProof/>
        </w:rPr>
        <w:t>lan</w:t>
      </w:r>
      <w:r w:rsidRPr="002B3058">
        <w:rPr>
          <w:noProof/>
        </w:rPr>
        <w:t xml:space="preserve"> also discusses sampling, triangulation and limitations. For instance, a sample frame of interviewees is presented and there is a good discussion of the challenge of finding an appropriate balance between logistical pragmatism and methodological rigour.</w:t>
      </w:r>
    </w:p>
    <w:p w14:paraId="0A7CE0E4" w14:textId="68BC92B2" w:rsidR="00E57F60" w:rsidRPr="002B3058" w:rsidRDefault="00E57F60">
      <w:pPr>
        <w:rPr>
          <w:noProof/>
        </w:rPr>
      </w:pPr>
      <w:r w:rsidRPr="002B3058">
        <w:rPr>
          <w:noProof/>
        </w:rPr>
        <w:t xml:space="preserve">A number of ethical issues are addressed such as gender sensitivity, the presence of </w:t>
      </w:r>
      <w:r w:rsidR="005D5E45">
        <w:rPr>
          <w:noProof/>
        </w:rPr>
        <w:t>Australian Government</w:t>
      </w:r>
      <w:r w:rsidRPr="002B3058">
        <w:rPr>
          <w:noProof/>
        </w:rPr>
        <w:t xml:space="preserve">/BESIK staff in stakeholder interviews, and </w:t>
      </w:r>
      <w:r w:rsidR="001F533C">
        <w:rPr>
          <w:noProof/>
        </w:rPr>
        <w:t>how</w:t>
      </w:r>
      <w:r w:rsidRPr="002B3058">
        <w:rPr>
          <w:noProof/>
        </w:rPr>
        <w:t xml:space="preserve"> the findings of the evaluation can be </w:t>
      </w:r>
      <w:r w:rsidRPr="002B3058">
        <w:rPr>
          <w:noProof/>
        </w:rPr>
        <w:lastRenderedPageBreak/>
        <w:t xml:space="preserve">meaningfully fed back to key stakeholders. The </w:t>
      </w:r>
      <w:r w:rsidR="00636229">
        <w:rPr>
          <w:noProof/>
        </w:rPr>
        <w:t>E</w:t>
      </w:r>
      <w:r w:rsidR="00444C57">
        <w:rPr>
          <w:noProof/>
        </w:rPr>
        <w:t xml:space="preserve">valuation </w:t>
      </w:r>
      <w:r w:rsidR="00636229">
        <w:rPr>
          <w:noProof/>
        </w:rPr>
        <w:t>P</w:t>
      </w:r>
      <w:r w:rsidR="00444C57">
        <w:rPr>
          <w:noProof/>
        </w:rPr>
        <w:t>lan</w:t>
      </w:r>
      <w:r w:rsidRPr="002B3058">
        <w:rPr>
          <w:noProof/>
        </w:rPr>
        <w:t xml:space="preserve"> also presents an indicative outline of the report and an evaluation schedule.</w:t>
      </w:r>
    </w:p>
    <w:p w14:paraId="697D615E" w14:textId="20C2FB22" w:rsidR="00E57F60" w:rsidRPr="00E57F60" w:rsidRDefault="00E57F60" w:rsidP="009F3022">
      <w:pPr>
        <w:pStyle w:val="Heading2"/>
      </w:pPr>
      <w:bookmarkStart w:id="362" w:name="_Toc373303754"/>
      <w:bookmarkStart w:id="363" w:name="_Toc373304321"/>
      <w:bookmarkStart w:id="364" w:name="_Toc378059948"/>
      <w:bookmarkStart w:id="365" w:name="_Toc378060036"/>
      <w:bookmarkStart w:id="366" w:name="_Toc387675149"/>
      <w:r w:rsidRPr="00E57F60">
        <w:t>Civil Society Water, Sanitation and Hygiene Fund</w:t>
      </w:r>
      <w:bookmarkEnd w:id="362"/>
      <w:bookmarkEnd w:id="363"/>
      <w:bookmarkEnd w:id="364"/>
      <w:bookmarkEnd w:id="365"/>
      <w:bookmarkEnd w:id="366"/>
      <w:r w:rsidR="00D008F6">
        <w:t xml:space="preserve"> </w:t>
      </w:r>
    </w:p>
    <w:p w14:paraId="0A0D2FFD" w14:textId="2EDBCAFF" w:rsidR="00E57F60" w:rsidRPr="002B3058" w:rsidRDefault="00E57F60" w:rsidP="00EF7AFB">
      <w:pPr>
        <w:rPr>
          <w:noProof/>
        </w:rPr>
      </w:pPr>
      <w:r w:rsidRPr="00EF7AFB">
        <w:rPr>
          <w:noProof/>
        </w:rPr>
        <w:t>The Civil Society, Water, Sanitation</w:t>
      </w:r>
      <w:r w:rsidR="00DD64EC" w:rsidRPr="005E24C0">
        <w:rPr>
          <w:noProof/>
        </w:rPr>
        <w:t xml:space="preserve"> and Hygiene</w:t>
      </w:r>
      <w:r w:rsidRPr="005E24C0">
        <w:rPr>
          <w:noProof/>
        </w:rPr>
        <w:t xml:space="preserve"> Fund </w:t>
      </w:r>
      <w:r w:rsidR="001930D7">
        <w:rPr>
          <w:noProof/>
        </w:rPr>
        <w:t xml:space="preserve">(INI592) </w:t>
      </w:r>
      <w:r w:rsidRPr="005E24C0">
        <w:rPr>
          <w:noProof/>
        </w:rPr>
        <w:t xml:space="preserve">was implemented by </w:t>
      </w:r>
      <w:r w:rsidR="00DD64EC" w:rsidRPr="005E24C0">
        <w:rPr>
          <w:noProof/>
        </w:rPr>
        <w:t>11 c</w:t>
      </w:r>
      <w:r w:rsidRPr="005E24C0">
        <w:rPr>
          <w:noProof/>
        </w:rPr>
        <w:t xml:space="preserve">ivil </w:t>
      </w:r>
      <w:r w:rsidR="00DD64EC" w:rsidRPr="005E24C0">
        <w:rPr>
          <w:noProof/>
        </w:rPr>
        <w:t>s</w:t>
      </w:r>
      <w:r w:rsidRPr="005E24C0">
        <w:rPr>
          <w:noProof/>
        </w:rPr>
        <w:t xml:space="preserve">ociety </w:t>
      </w:r>
      <w:r w:rsidR="00DD64EC" w:rsidRPr="005E24C0">
        <w:rPr>
          <w:noProof/>
        </w:rPr>
        <w:t>o</w:t>
      </w:r>
      <w:r w:rsidRPr="005E24C0">
        <w:rPr>
          <w:noProof/>
        </w:rPr>
        <w:t>rganisations (CSOs)</w:t>
      </w:r>
      <w:r w:rsidRPr="00EF7AFB">
        <w:rPr>
          <w:noProof/>
        </w:rPr>
        <w:t xml:space="preserve"> between 2009 and 2011 throughout Africa, Asia and the Pacific. Its goal was to improve the health and</w:t>
      </w:r>
      <w:r w:rsidRPr="005E24C0">
        <w:rPr>
          <w:noProof/>
        </w:rPr>
        <w:t xml:space="preserve"> quality of life of the poor and vulnerable by improving their access to safe water, </w:t>
      </w:r>
      <w:r w:rsidR="00DD64EC" w:rsidRPr="005E24C0">
        <w:rPr>
          <w:noProof/>
        </w:rPr>
        <w:t xml:space="preserve">better </w:t>
      </w:r>
      <w:r w:rsidRPr="005E24C0">
        <w:rPr>
          <w:noProof/>
        </w:rPr>
        <w:t xml:space="preserve">sanitation and hygiene. The main objectives of this completion review were to judge the performance of the </w:t>
      </w:r>
      <w:r w:rsidR="00DD64EC" w:rsidRPr="005E24C0">
        <w:rPr>
          <w:noProof/>
        </w:rPr>
        <w:t>f</w:t>
      </w:r>
      <w:r w:rsidRPr="005E24C0">
        <w:rPr>
          <w:noProof/>
        </w:rPr>
        <w:t xml:space="preserve">und and to identify lessons for the </w:t>
      </w:r>
      <w:r w:rsidRPr="005D5E45">
        <w:rPr>
          <w:noProof/>
        </w:rPr>
        <w:t>upcoming</w:t>
      </w:r>
      <w:r w:rsidRPr="00EF7AFB">
        <w:rPr>
          <w:noProof/>
        </w:rPr>
        <w:t xml:space="preserve"> Civil Society WASH Fund. Secondary objectives were to review key innovative elements and to describe the </w:t>
      </w:r>
      <w:r w:rsidR="00DC4C2C" w:rsidRPr="005E24C0">
        <w:rPr>
          <w:noProof/>
        </w:rPr>
        <w:t>value for money</w:t>
      </w:r>
      <w:r w:rsidRPr="005E24C0">
        <w:rPr>
          <w:noProof/>
        </w:rPr>
        <w:t xml:space="preserve"> delivered by the </w:t>
      </w:r>
      <w:r w:rsidR="00DC4C2C" w:rsidRPr="005E24C0">
        <w:rPr>
          <w:noProof/>
        </w:rPr>
        <w:t>f</w:t>
      </w:r>
      <w:r w:rsidRPr="005E24C0">
        <w:rPr>
          <w:noProof/>
        </w:rPr>
        <w:t xml:space="preserve">und. The review was undertaken by the </w:t>
      </w:r>
      <w:r w:rsidR="00DC4C2C" w:rsidRPr="005E24C0">
        <w:rPr>
          <w:noProof/>
        </w:rPr>
        <w:t>f</w:t>
      </w:r>
      <w:r w:rsidRPr="005E24C0">
        <w:rPr>
          <w:noProof/>
        </w:rPr>
        <w:t>und</w:t>
      </w:r>
      <w:r w:rsidR="00744801" w:rsidRPr="005E24C0">
        <w:rPr>
          <w:noProof/>
        </w:rPr>
        <w:t>’</w:t>
      </w:r>
      <w:r w:rsidRPr="005E24C0">
        <w:rPr>
          <w:noProof/>
        </w:rPr>
        <w:t xml:space="preserve">s three-member </w:t>
      </w:r>
      <w:r w:rsidR="00DC4C2C" w:rsidRPr="005E24C0">
        <w:rPr>
          <w:noProof/>
        </w:rPr>
        <w:t>m</w:t>
      </w:r>
      <w:r w:rsidRPr="005E24C0">
        <w:rPr>
          <w:noProof/>
        </w:rPr>
        <w:t xml:space="preserve">onitoring </w:t>
      </w:r>
      <w:r w:rsidR="00DC4C2C" w:rsidRPr="005E24C0">
        <w:rPr>
          <w:noProof/>
        </w:rPr>
        <w:t>r</w:t>
      </w:r>
      <w:r w:rsidRPr="005E24C0">
        <w:rPr>
          <w:noProof/>
        </w:rPr>
        <w:t xml:space="preserve">eview </w:t>
      </w:r>
      <w:r w:rsidR="00DC4C2C" w:rsidRPr="005E24C0">
        <w:rPr>
          <w:noProof/>
        </w:rPr>
        <w:t>p</w:t>
      </w:r>
      <w:r w:rsidRPr="005E24C0">
        <w:rPr>
          <w:noProof/>
        </w:rPr>
        <w:t>anel, with</w:t>
      </w:r>
      <w:r w:rsidR="00DC4C2C" w:rsidRPr="005E24C0">
        <w:rPr>
          <w:noProof/>
        </w:rPr>
        <w:t xml:space="preserve"> the exception of</w:t>
      </w:r>
      <w:r w:rsidRPr="005E24C0">
        <w:rPr>
          <w:noProof/>
        </w:rPr>
        <w:t xml:space="preserve"> one component—an evaluation of the </w:t>
      </w:r>
      <w:r w:rsidR="0033168A" w:rsidRPr="005E24C0">
        <w:rPr>
          <w:noProof/>
        </w:rPr>
        <w:t>monitoring review panel</w:t>
      </w:r>
      <w:r w:rsidRPr="005E24C0">
        <w:rPr>
          <w:noProof/>
        </w:rPr>
        <w:t xml:space="preserve"> itself</w:t>
      </w:r>
      <w:r w:rsidR="00636229">
        <w:rPr>
          <w:rFonts w:ascii="Arial" w:hAnsi="Arial" w:cs="Arial"/>
          <w:noProof/>
        </w:rPr>
        <w:t>—</w:t>
      </w:r>
      <w:r w:rsidR="00DC4C2C" w:rsidRPr="005E24C0">
        <w:rPr>
          <w:noProof/>
        </w:rPr>
        <w:t xml:space="preserve">which was </w:t>
      </w:r>
      <w:r w:rsidRPr="005E24C0">
        <w:rPr>
          <w:noProof/>
        </w:rPr>
        <w:t>undertaken by the</w:t>
      </w:r>
      <w:r w:rsidR="005D5E45">
        <w:rPr>
          <w:noProof/>
        </w:rPr>
        <w:t xml:space="preserve"> former</w:t>
      </w:r>
      <w:r w:rsidRPr="005E24C0">
        <w:rPr>
          <w:noProof/>
        </w:rPr>
        <w:t xml:space="preserve"> AusAID</w:t>
      </w:r>
      <w:r w:rsidR="006541FC">
        <w:rPr>
          <w:noProof/>
        </w:rPr>
        <w:t>’s</w:t>
      </w:r>
      <w:r w:rsidRPr="005E24C0">
        <w:rPr>
          <w:noProof/>
        </w:rPr>
        <w:t xml:space="preserve"> Quality, Performance and Results </w:t>
      </w:r>
      <w:r w:rsidR="005D5E45">
        <w:rPr>
          <w:noProof/>
        </w:rPr>
        <w:t>branch</w:t>
      </w:r>
      <w:r w:rsidRPr="00EF7AFB">
        <w:rPr>
          <w:noProof/>
        </w:rPr>
        <w:t>.</w:t>
      </w:r>
    </w:p>
    <w:p w14:paraId="36F6B269" w14:textId="73D2B9B3" w:rsidR="00E57F60" w:rsidRPr="002B3058" w:rsidRDefault="00E57F60" w:rsidP="005D5E45">
      <w:pPr>
        <w:pStyle w:val="Heading3"/>
      </w:pPr>
      <w:r w:rsidRPr="002B3058">
        <w:t xml:space="preserve">Evaluation </w:t>
      </w:r>
      <w:r w:rsidR="00612D37">
        <w:t>r</w:t>
      </w:r>
      <w:r w:rsidRPr="002B3058">
        <w:t>eport</w:t>
      </w:r>
    </w:p>
    <w:p w14:paraId="31273425" w14:textId="13BE943D" w:rsidR="00E57F60" w:rsidRPr="002B3058" w:rsidRDefault="00E57F60" w:rsidP="00EF7AFB">
      <w:pPr>
        <w:rPr>
          <w:noProof/>
        </w:rPr>
      </w:pPr>
      <w:r w:rsidRPr="002B3058">
        <w:rPr>
          <w:noProof/>
        </w:rPr>
        <w:t xml:space="preserve">This </w:t>
      </w:r>
      <w:r w:rsidR="00612D37">
        <w:rPr>
          <w:noProof/>
        </w:rPr>
        <w:t>e</w:t>
      </w:r>
      <w:r w:rsidRPr="002B3058">
        <w:rPr>
          <w:noProof/>
        </w:rPr>
        <w:t xml:space="preserve">valuation </w:t>
      </w:r>
      <w:r w:rsidR="00612D37">
        <w:rPr>
          <w:noProof/>
        </w:rPr>
        <w:t>r</w:t>
      </w:r>
      <w:r w:rsidRPr="002B3058">
        <w:rPr>
          <w:noProof/>
        </w:rPr>
        <w:t>eport provides an example of how to provide a robust and credible evaluation of a complex global program primarily through a desk-based study. However</w:t>
      </w:r>
      <w:r w:rsidR="0033168A">
        <w:rPr>
          <w:noProof/>
        </w:rPr>
        <w:t>,</w:t>
      </w:r>
      <w:r w:rsidRPr="002B3058">
        <w:rPr>
          <w:noProof/>
        </w:rPr>
        <w:t xml:space="preserve"> it should be noted that this was probably only possible as a result of the evaluators being part of the </w:t>
      </w:r>
      <w:r w:rsidR="0033168A">
        <w:rPr>
          <w:noProof/>
        </w:rPr>
        <w:t>f</w:t>
      </w:r>
      <w:r w:rsidRPr="002B3058">
        <w:rPr>
          <w:noProof/>
        </w:rPr>
        <w:t>und</w:t>
      </w:r>
      <w:r w:rsidR="00744801">
        <w:rPr>
          <w:noProof/>
        </w:rPr>
        <w:t>’</w:t>
      </w:r>
      <w:r w:rsidRPr="002B3058">
        <w:rPr>
          <w:noProof/>
        </w:rPr>
        <w:t xml:space="preserve">s </w:t>
      </w:r>
      <w:r w:rsidR="0033168A">
        <w:rPr>
          <w:noProof/>
        </w:rPr>
        <w:t>m</w:t>
      </w:r>
      <w:r w:rsidRPr="002B3058">
        <w:rPr>
          <w:noProof/>
        </w:rPr>
        <w:t xml:space="preserve">onitoring </w:t>
      </w:r>
      <w:r w:rsidR="0033168A">
        <w:rPr>
          <w:noProof/>
        </w:rPr>
        <w:t>r</w:t>
      </w:r>
      <w:r w:rsidRPr="002B3058">
        <w:rPr>
          <w:noProof/>
        </w:rPr>
        <w:t xml:space="preserve">eview </w:t>
      </w:r>
      <w:r w:rsidR="0033168A">
        <w:rPr>
          <w:noProof/>
        </w:rPr>
        <w:t>p</w:t>
      </w:r>
      <w:r w:rsidRPr="002B3058">
        <w:rPr>
          <w:noProof/>
        </w:rPr>
        <w:t>anel</w:t>
      </w:r>
      <w:r w:rsidR="0033168A">
        <w:rPr>
          <w:noProof/>
        </w:rPr>
        <w:t xml:space="preserve"> and therefore</w:t>
      </w:r>
      <w:r w:rsidRPr="002B3058">
        <w:rPr>
          <w:noProof/>
        </w:rPr>
        <w:t xml:space="preserve"> having an in-depth and detailed knowledge of the initiative. The report is well structured and provides a clear orientation for different audiences</w:t>
      </w:r>
      <w:r w:rsidR="0033168A">
        <w:rPr>
          <w:noProof/>
        </w:rPr>
        <w:t>,</w:t>
      </w:r>
      <w:r w:rsidRPr="002B3058">
        <w:rPr>
          <w:noProof/>
        </w:rPr>
        <w:t xml:space="preserve"> identifying clearly which parts of the report are relevant to </w:t>
      </w:r>
      <w:r w:rsidRPr="006541FC">
        <w:rPr>
          <w:noProof/>
        </w:rPr>
        <w:t>AusAID</w:t>
      </w:r>
      <w:r w:rsidR="006541FC">
        <w:rPr>
          <w:noProof/>
        </w:rPr>
        <w:t>/DFAT</w:t>
      </w:r>
      <w:r w:rsidR="00744801" w:rsidRPr="006541FC">
        <w:rPr>
          <w:noProof/>
        </w:rPr>
        <w:t>’</w:t>
      </w:r>
      <w:r w:rsidRPr="006541FC">
        <w:rPr>
          <w:noProof/>
        </w:rPr>
        <w:t>s Infrastructure Water Policy section</w:t>
      </w:r>
      <w:r w:rsidRPr="002B3058">
        <w:rPr>
          <w:noProof/>
        </w:rPr>
        <w:t>, NGO section or country and regional programs</w:t>
      </w:r>
      <w:r w:rsidR="006541FC">
        <w:rPr>
          <w:noProof/>
        </w:rPr>
        <w:t>, and to partner CSOs</w:t>
      </w:r>
      <w:r w:rsidRPr="002B3058">
        <w:rPr>
          <w:noProof/>
        </w:rPr>
        <w:t xml:space="preserve">. </w:t>
      </w:r>
    </w:p>
    <w:p w14:paraId="48084CA7" w14:textId="49E5B580" w:rsidR="00E57F60" w:rsidRPr="002B3058" w:rsidRDefault="006541FC">
      <w:pPr>
        <w:rPr>
          <w:rFonts w:cs="Calibri"/>
          <w:noProof/>
        </w:rPr>
      </w:pPr>
      <w:r>
        <w:rPr>
          <w:noProof/>
        </w:rPr>
        <w:t>T</w:t>
      </w:r>
      <w:r w:rsidR="00E57F60" w:rsidRPr="002B3058">
        <w:rPr>
          <w:noProof/>
        </w:rPr>
        <w:t>he report is</w:t>
      </w:r>
      <w:r>
        <w:rPr>
          <w:noProof/>
        </w:rPr>
        <w:t xml:space="preserve"> methodologically</w:t>
      </w:r>
      <w:r w:rsidR="00E57F60" w:rsidRPr="002B3058">
        <w:rPr>
          <w:noProof/>
        </w:rPr>
        <w:t xml:space="preserve"> robust with a good mix of quantitative analysis based on CSO data and qualitative data. The limit</w:t>
      </w:r>
      <w:r>
        <w:rPr>
          <w:noProof/>
        </w:rPr>
        <w:t>ation</w:t>
      </w:r>
      <w:r w:rsidR="00E57F60" w:rsidRPr="002B3058">
        <w:rPr>
          <w:noProof/>
        </w:rPr>
        <w:t xml:space="preserve">s of </w:t>
      </w:r>
      <w:r>
        <w:rPr>
          <w:noProof/>
        </w:rPr>
        <w:t>this type of</w:t>
      </w:r>
      <w:r w:rsidR="00E57F60" w:rsidRPr="002B3058">
        <w:rPr>
          <w:noProof/>
        </w:rPr>
        <w:t xml:space="preserve"> desk review are clearly spelled out. Since the review was conducted by members of the </w:t>
      </w:r>
      <w:r w:rsidR="0033168A">
        <w:rPr>
          <w:noProof/>
        </w:rPr>
        <w:t>f</w:t>
      </w:r>
      <w:r w:rsidR="00E57F60" w:rsidRPr="002B3058">
        <w:rPr>
          <w:noProof/>
        </w:rPr>
        <w:t>und</w:t>
      </w:r>
      <w:r w:rsidR="00744801">
        <w:rPr>
          <w:noProof/>
        </w:rPr>
        <w:t>’</w:t>
      </w:r>
      <w:r w:rsidR="00E57F60" w:rsidRPr="002B3058">
        <w:rPr>
          <w:noProof/>
        </w:rPr>
        <w:t xml:space="preserve">s </w:t>
      </w:r>
      <w:r w:rsidR="0033168A">
        <w:rPr>
          <w:noProof/>
        </w:rPr>
        <w:t>monitoring review panel</w:t>
      </w:r>
      <w:r w:rsidR="00E57F60" w:rsidRPr="002B3058">
        <w:rPr>
          <w:noProof/>
        </w:rPr>
        <w:t xml:space="preserve"> itself, an additional separate evaluation of the </w:t>
      </w:r>
      <w:r w:rsidR="0033168A">
        <w:rPr>
          <w:noProof/>
        </w:rPr>
        <w:t>monitoring review panel</w:t>
      </w:r>
      <w:r w:rsidR="00E57F60" w:rsidRPr="002B3058">
        <w:rPr>
          <w:noProof/>
        </w:rPr>
        <w:t xml:space="preserve"> was conducted by </w:t>
      </w:r>
      <w:r>
        <w:rPr>
          <w:noProof/>
        </w:rPr>
        <w:t xml:space="preserve">the former </w:t>
      </w:r>
      <w:r w:rsidR="00E57F60" w:rsidRPr="002B3058">
        <w:rPr>
          <w:rFonts w:cs="Calibri"/>
          <w:noProof/>
        </w:rPr>
        <w:t>AusAID</w:t>
      </w:r>
      <w:r w:rsidR="00744801">
        <w:rPr>
          <w:rFonts w:cs="Calibri"/>
          <w:noProof/>
        </w:rPr>
        <w:t>’</w:t>
      </w:r>
      <w:r w:rsidR="00E57F60" w:rsidRPr="002B3058">
        <w:rPr>
          <w:rFonts w:cs="Calibri"/>
          <w:noProof/>
        </w:rPr>
        <w:t>s Quality, Performance and Results Section. This evaluation also draws on a survey of CSO partners</w:t>
      </w:r>
      <w:r w:rsidR="00744801">
        <w:rPr>
          <w:rFonts w:cs="Calibri"/>
          <w:noProof/>
        </w:rPr>
        <w:t>’</w:t>
      </w:r>
      <w:r w:rsidR="00E57F60" w:rsidRPr="002B3058">
        <w:rPr>
          <w:rFonts w:cs="Calibri"/>
          <w:noProof/>
        </w:rPr>
        <w:t xml:space="preserve"> perception</w:t>
      </w:r>
      <w:r w:rsidR="0033168A">
        <w:rPr>
          <w:rFonts w:cs="Calibri"/>
          <w:noProof/>
        </w:rPr>
        <w:t>s</w:t>
      </w:r>
      <w:r w:rsidR="00E57F60" w:rsidRPr="002B3058">
        <w:rPr>
          <w:rFonts w:cs="Calibri"/>
          <w:noProof/>
        </w:rPr>
        <w:t xml:space="preserve"> of the </w:t>
      </w:r>
      <w:r w:rsidR="0033168A">
        <w:rPr>
          <w:rFonts w:cs="Calibri"/>
          <w:noProof/>
        </w:rPr>
        <w:t>monitoring review panel</w:t>
      </w:r>
      <w:r w:rsidR="00E57F60" w:rsidRPr="002B3058">
        <w:rPr>
          <w:rFonts w:cs="Calibri"/>
          <w:noProof/>
        </w:rPr>
        <w:t xml:space="preserve"> model</w:t>
      </w:r>
      <w:r w:rsidR="0033168A">
        <w:rPr>
          <w:rFonts w:cs="Calibri"/>
          <w:noProof/>
        </w:rPr>
        <w:t>,</w:t>
      </w:r>
      <w:r w:rsidR="00E57F60" w:rsidRPr="002B3058">
        <w:rPr>
          <w:rFonts w:cs="Calibri"/>
          <w:noProof/>
        </w:rPr>
        <w:t xml:space="preserve"> which adds to the findings and ensures</w:t>
      </w:r>
      <w:r>
        <w:rPr>
          <w:rFonts w:cs="Calibri"/>
          <w:noProof/>
        </w:rPr>
        <w:t xml:space="preserve"> the</w:t>
      </w:r>
      <w:r w:rsidR="00E57F60" w:rsidRPr="002B3058">
        <w:rPr>
          <w:rFonts w:cs="Calibri"/>
          <w:noProof/>
        </w:rPr>
        <w:t xml:space="preserve"> independence of the overall review process.</w:t>
      </w:r>
    </w:p>
    <w:p w14:paraId="01717B03" w14:textId="718B96E1" w:rsidR="00E57F60" w:rsidRPr="002B3058" w:rsidRDefault="00E57F60">
      <w:pPr>
        <w:rPr>
          <w:noProof/>
        </w:rPr>
      </w:pPr>
      <w:r w:rsidRPr="002B3058">
        <w:rPr>
          <w:noProof/>
        </w:rPr>
        <w:t xml:space="preserve">There is a very clear line of evidence from the data to the findings. The recommendations flow naturally from the analysis and are highlighted clearly at the end of each section. They are clear, targeted, relevant and actionable and offer a strong foundation for any future similar </w:t>
      </w:r>
      <w:r w:rsidR="0033168A">
        <w:rPr>
          <w:noProof/>
        </w:rPr>
        <w:t>f</w:t>
      </w:r>
      <w:r w:rsidRPr="002B3058">
        <w:rPr>
          <w:noProof/>
        </w:rPr>
        <w:t>und for CSOs in this sector.</w:t>
      </w:r>
    </w:p>
    <w:p w14:paraId="7988DB7B" w14:textId="67D535E4" w:rsidR="00E57F60" w:rsidRPr="002B3058" w:rsidRDefault="00E57F60">
      <w:pPr>
        <w:rPr>
          <w:noProof/>
        </w:rPr>
      </w:pPr>
      <w:r w:rsidRPr="002B3058">
        <w:rPr>
          <w:noProof/>
        </w:rPr>
        <w:t xml:space="preserve">The </w:t>
      </w:r>
      <w:r w:rsidR="006541FC">
        <w:rPr>
          <w:noProof/>
        </w:rPr>
        <w:t>standard Australian aid quality</w:t>
      </w:r>
      <w:r w:rsidR="006541FC" w:rsidRPr="002B3058">
        <w:rPr>
          <w:noProof/>
        </w:rPr>
        <w:t xml:space="preserve"> </w:t>
      </w:r>
      <w:r w:rsidRPr="002B3058">
        <w:rPr>
          <w:noProof/>
        </w:rPr>
        <w:t xml:space="preserve">evaluation criteria are well assessed. Notably the report provides a whole section devoted to </w:t>
      </w:r>
      <w:r w:rsidR="00DC4C2C">
        <w:rPr>
          <w:noProof/>
        </w:rPr>
        <w:t>value for money</w:t>
      </w:r>
      <w:r w:rsidRPr="002B3058">
        <w:rPr>
          <w:noProof/>
        </w:rPr>
        <w:t xml:space="preserve"> with an excellent discussion that includes global </w:t>
      </w:r>
      <w:r w:rsidR="00DC4C2C">
        <w:rPr>
          <w:noProof/>
        </w:rPr>
        <w:t>value for money</w:t>
      </w:r>
      <w:r w:rsidRPr="002B3058">
        <w:rPr>
          <w:noProof/>
        </w:rPr>
        <w:t xml:space="preserve"> data. Good evidence is provided regarding sustainability</w:t>
      </w:r>
      <w:r w:rsidR="0033168A">
        <w:rPr>
          <w:noProof/>
        </w:rPr>
        <w:t>,</w:t>
      </w:r>
      <w:r w:rsidRPr="002B3058">
        <w:rPr>
          <w:noProof/>
        </w:rPr>
        <w:t xml:space="preserve"> as this issue is a major theme of the report. The assessment of gender equality also stands out</w:t>
      </w:r>
      <w:r w:rsidR="0033168A">
        <w:rPr>
          <w:noProof/>
        </w:rPr>
        <w:t>;</w:t>
      </w:r>
      <w:r w:rsidRPr="002B3058">
        <w:rPr>
          <w:noProof/>
        </w:rPr>
        <w:t xml:space="preserve"> unusually</w:t>
      </w:r>
      <w:r w:rsidR="0033168A">
        <w:rPr>
          <w:noProof/>
        </w:rPr>
        <w:t>, it</w:t>
      </w:r>
      <w:r w:rsidRPr="002B3058">
        <w:rPr>
          <w:noProof/>
        </w:rPr>
        <w:t xml:space="preserve"> reflects on the role of men.</w:t>
      </w:r>
    </w:p>
    <w:p w14:paraId="12590323" w14:textId="5BF26B4E" w:rsidR="00E57F60" w:rsidRDefault="0033168A">
      <w:pPr>
        <w:rPr>
          <w:noProof/>
        </w:rPr>
      </w:pPr>
      <w:r>
        <w:rPr>
          <w:noProof/>
        </w:rPr>
        <w:t>A</w:t>
      </w:r>
      <w:r w:rsidR="00E57F60" w:rsidRPr="002B3058">
        <w:rPr>
          <w:noProof/>
        </w:rPr>
        <w:t xml:space="preserve"> minor flaw</w:t>
      </w:r>
      <w:r>
        <w:rPr>
          <w:noProof/>
        </w:rPr>
        <w:t xml:space="preserve"> is that</w:t>
      </w:r>
      <w:r w:rsidR="00E57F60" w:rsidRPr="002B3058">
        <w:rPr>
          <w:noProof/>
        </w:rPr>
        <w:t xml:space="preserve"> the report does not sufficiently discuss the objectives of the </w:t>
      </w:r>
      <w:r w:rsidR="002D4429">
        <w:rPr>
          <w:noProof/>
        </w:rPr>
        <w:t>f</w:t>
      </w:r>
      <w:r w:rsidR="00E57F60" w:rsidRPr="002B3058">
        <w:rPr>
          <w:noProof/>
        </w:rPr>
        <w:t xml:space="preserve">und or embed them in a contextual analysis. </w:t>
      </w:r>
    </w:p>
    <w:p w14:paraId="04E4A02B" w14:textId="77777777" w:rsidR="00CB73AC" w:rsidRPr="00C04F97" w:rsidRDefault="00CB73AC" w:rsidP="00CB73AC">
      <w:pPr>
        <w:pStyle w:val="Heading2"/>
        <w:ind w:left="0" w:firstLine="0"/>
      </w:pPr>
      <w:bookmarkStart w:id="367" w:name="_Toc373303753"/>
      <w:bookmarkStart w:id="368" w:name="_Toc373304320"/>
      <w:bookmarkStart w:id="369" w:name="_Toc378059947"/>
      <w:bookmarkStart w:id="370" w:name="_Toc378060035"/>
      <w:bookmarkStart w:id="371" w:name="_Toc387675150"/>
      <w:r>
        <w:lastRenderedPageBreak/>
        <w:t>T</w:t>
      </w:r>
      <w:r w:rsidRPr="00C30982">
        <w:t xml:space="preserve">wo </w:t>
      </w:r>
      <w:r>
        <w:t>r</w:t>
      </w:r>
      <w:r w:rsidRPr="00C30982">
        <w:t xml:space="preserve">emote </w:t>
      </w:r>
      <w:r>
        <w:t>s</w:t>
      </w:r>
      <w:r w:rsidRPr="00C30982">
        <w:t xml:space="preserve">ervice </w:t>
      </w:r>
      <w:r>
        <w:t>d</w:t>
      </w:r>
      <w:r w:rsidRPr="00C30982">
        <w:t xml:space="preserve">elivery and </w:t>
      </w:r>
      <w:r>
        <w:t>c</w:t>
      </w:r>
      <w:r w:rsidRPr="00C30982">
        <w:t xml:space="preserve">ommunity </w:t>
      </w:r>
      <w:r>
        <w:t>d</w:t>
      </w:r>
      <w:r w:rsidRPr="00C30982">
        <w:t xml:space="preserve">evelopment </w:t>
      </w:r>
      <w:r>
        <w:t>p</w:t>
      </w:r>
      <w:r w:rsidRPr="00C30982">
        <w:t>rograms</w:t>
      </w:r>
      <w:r w:rsidRPr="00C04F97">
        <w:t xml:space="preserve"> in </w:t>
      </w:r>
      <w:bookmarkEnd w:id="367"/>
      <w:bookmarkEnd w:id="368"/>
      <w:bookmarkEnd w:id="369"/>
      <w:bookmarkEnd w:id="370"/>
      <w:r>
        <w:t>Papua New Guinea</w:t>
      </w:r>
      <w:bookmarkEnd w:id="371"/>
      <w:r>
        <w:t xml:space="preserve"> </w:t>
      </w:r>
    </w:p>
    <w:p w14:paraId="51E14D90" w14:textId="77777777" w:rsidR="00CB73AC" w:rsidRPr="002B3058" w:rsidRDefault="00CB73AC" w:rsidP="00CB73AC">
      <w:pPr>
        <w:rPr>
          <w:noProof/>
        </w:rPr>
      </w:pPr>
      <w:r w:rsidRPr="002B3058">
        <w:rPr>
          <w:noProof/>
        </w:rPr>
        <w:t xml:space="preserve">The Kokoda Development Program (KDP) </w:t>
      </w:r>
      <w:r>
        <w:rPr>
          <w:noProof/>
        </w:rPr>
        <w:t xml:space="preserve">(INH843) </w:t>
      </w:r>
      <w:r w:rsidRPr="002B3058">
        <w:rPr>
          <w:noProof/>
        </w:rPr>
        <w:t xml:space="preserve">and the Integrated Community Development Program (ICDP) </w:t>
      </w:r>
      <w:r>
        <w:rPr>
          <w:noProof/>
        </w:rPr>
        <w:t xml:space="preserve">(INJ153) </w:t>
      </w:r>
      <w:r w:rsidRPr="002B3058">
        <w:rPr>
          <w:noProof/>
        </w:rPr>
        <w:t xml:space="preserve">both aim to improve economic opportunities, livelihoods and basic services for remote populations of </w:t>
      </w:r>
      <w:r>
        <w:rPr>
          <w:noProof/>
        </w:rPr>
        <w:t>Papua New Guinea</w:t>
      </w:r>
      <w:r w:rsidRPr="002B3058">
        <w:rPr>
          <w:noProof/>
        </w:rPr>
        <w:t xml:space="preserve">. KDP focuses directly on improving service delivery while ICDP aims at building the capacity of government and civil society to deliver and advocate for services. The objective of the </w:t>
      </w:r>
      <w:r>
        <w:rPr>
          <w:noProof/>
        </w:rPr>
        <w:t xml:space="preserve">combined </w:t>
      </w:r>
      <w:r w:rsidRPr="002B3058">
        <w:rPr>
          <w:noProof/>
        </w:rPr>
        <w:t xml:space="preserve">mid-term review </w:t>
      </w:r>
      <w:r>
        <w:rPr>
          <w:noProof/>
        </w:rPr>
        <w:t>was</w:t>
      </w:r>
      <w:r w:rsidRPr="002B3058">
        <w:rPr>
          <w:noProof/>
        </w:rPr>
        <w:t xml:space="preserve"> to inform decisions around ongoing support to these initiatives and to future programming where remote service delivery may be required. </w:t>
      </w:r>
    </w:p>
    <w:p w14:paraId="4B697324" w14:textId="77777777" w:rsidR="00CB73AC" w:rsidRPr="002B3058" w:rsidRDefault="00CB73AC" w:rsidP="00CB73AC">
      <w:pPr>
        <w:pStyle w:val="Heading3"/>
      </w:pPr>
      <w:r w:rsidRPr="002B3058">
        <w:t xml:space="preserve">Evaluation </w:t>
      </w:r>
      <w:r>
        <w:t>r</w:t>
      </w:r>
      <w:r w:rsidRPr="002B3058">
        <w:t>eport</w:t>
      </w:r>
    </w:p>
    <w:p w14:paraId="27730026" w14:textId="77777777" w:rsidR="00CB73AC" w:rsidRPr="002B3058" w:rsidRDefault="00CB73AC" w:rsidP="00CB73AC">
      <w:pPr>
        <w:rPr>
          <w:noProof/>
        </w:rPr>
      </w:pPr>
      <w:r w:rsidRPr="002B3058">
        <w:rPr>
          <w:noProof/>
        </w:rPr>
        <w:t>This is a high</w:t>
      </w:r>
      <w:r>
        <w:rPr>
          <w:noProof/>
        </w:rPr>
        <w:t>-</w:t>
      </w:r>
      <w:r w:rsidRPr="002B3058">
        <w:rPr>
          <w:noProof/>
        </w:rPr>
        <w:t xml:space="preserve">quality </w:t>
      </w:r>
      <w:r>
        <w:rPr>
          <w:noProof/>
        </w:rPr>
        <w:t>e</w:t>
      </w:r>
      <w:r w:rsidRPr="002B3058">
        <w:rPr>
          <w:noProof/>
        </w:rPr>
        <w:t xml:space="preserve">valuation </w:t>
      </w:r>
      <w:r>
        <w:rPr>
          <w:noProof/>
        </w:rPr>
        <w:t>r</w:t>
      </w:r>
      <w:r w:rsidRPr="002B3058">
        <w:rPr>
          <w:noProof/>
        </w:rPr>
        <w:t>eport that provides a clear structure, a strong line of evidence, and clear recommendations that build on a good analysis of the theory of change of both initiatives.</w:t>
      </w:r>
    </w:p>
    <w:p w14:paraId="01D98401" w14:textId="77777777" w:rsidR="00CB73AC" w:rsidRPr="002B3058" w:rsidRDefault="00CB73AC" w:rsidP="00CB73AC">
      <w:pPr>
        <w:rPr>
          <w:noProof/>
        </w:rPr>
      </w:pPr>
      <w:r w:rsidRPr="002B3058">
        <w:rPr>
          <w:noProof/>
        </w:rPr>
        <w:t xml:space="preserve">The report is structured around the </w:t>
      </w:r>
      <w:r>
        <w:rPr>
          <w:noProof/>
        </w:rPr>
        <w:t>aid quality</w:t>
      </w:r>
      <w:r w:rsidRPr="002B3058">
        <w:rPr>
          <w:noProof/>
        </w:rPr>
        <w:t xml:space="preserve"> criteria of effectiveness, efficiency and sustainability and analyses both the contributing factors and barriers to each. The sustainability section is particularly strong</w:t>
      </w:r>
      <w:r>
        <w:rPr>
          <w:noProof/>
        </w:rPr>
        <w:t>,</w:t>
      </w:r>
      <w:r w:rsidRPr="002B3058">
        <w:rPr>
          <w:noProof/>
        </w:rPr>
        <w:t xml:space="preserve"> with a comprehensive analysis of factors influencing sustainability. Based on this, a two-pronged approach to improve sustainability outcomes is </w:t>
      </w:r>
      <w:r>
        <w:rPr>
          <w:noProof/>
        </w:rPr>
        <w:t>propos</w:t>
      </w:r>
      <w:r w:rsidRPr="002B3058">
        <w:rPr>
          <w:noProof/>
        </w:rPr>
        <w:t>ed. The report also provides a good analysis of the effects that operating in extreme</w:t>
      </w:r>
      <w:r>
        <w:rPr>
          <w:noProof/>
        </w:rPr>
        <w:t>ly</w:t>
      </w:r>
      <w:r w:rsidRPr="002B3058">
        <w:rPr>
          <w:noProof/>
        </w:rPr>
        <w:t xml:space="preserve"> remote environments ha</w:t>
      </w:r>
      <w:r>
        <w:rPr>
          <w:noProof/>
        </w:rPr>
        <w:t>ve</w:t>
      </w:r>
      <w:r w:rsidRPr="002B3058">
        <w:rPr>
          <w:noProof/>
        </w:rPr>
        <w:t xml:space="preserve"> on performance. At the end of each section </w:t>
      </w:r>
      <w:r>
        <w:rPr>
          <w:noProof/>
        </w:rPr>
        <w:t>is</w:t>
      </w:r>
      <w:r w:rsidRPr="002B3058">
        <w:rPr>
          <w:noProof/>
        </w:rPr>
        <w:t xml:space="preserve"> a set of clear recommendations directed to specific stakeholders including the program managers and AusAID. The structuring of the report also means that recommendations are grouped according to criteria.</w:t>
      </w:r>
    </w:p>
    <w:p w14:paraId="10A9D7CF" w14:textId="77777777" w:rsidR="00CB73AC" w:rsidRPr="002B3058" w:rsidRDefault="00CB73AC" w:rsidP="00CB73AC">
      <w:pPr>
        <w:rPr>
          <w:noProof/>
        </w:rPr>
      </w:pPr>
      <w:r w:rsidRPr="002B3058">
        <w:rPr>
          <w:noProof/>
        </w:rPr>
        <w:t xml:space="preserve">The brief methodological section of the report is thorough and suggests a good balance between different evaluation methods. Limitations and ways of addressing them are discussed. The findings flow logically from the evidence and analysis. Documentation is well referenced and there is good use of case studies to illustrate some of the program achievements with real-life examples. </w:t>
      </w:r>
    </w:p>
    <w:p w14:paraId="5EC8D194" w14:textId="77777777" w:rsidR="00CB73AC" w:rsidRPr="002B3058" w:rsidRDefault="00CB73AC" w:rsidP="00CB73AC">
      <w:pPr>
        <w:rPr>
          <w:noProof/>
        </w:rPr>
      </w:pPr>
      <w:r w:rsidRPr="002B3058">
        <w:rPr>
          <w:noProof/>
        </w:rPr>
        <w:t xml:space="preserve">The report provides in-depth analysis of the intervention logic of both programs and </w:t>
      </w:r>
      <w:r>
        <w:rPr>
          <w:noProof/>
        </w:rPr>
        <w:t xml:space="preserve">how it </w:t>
      </w:r>
      <w:r w:rsidRPr="002B3058">
        <w:rPr>
          <w:noProof/>
        </w:rPr>
        <w:t>compar</w:t>
      </w:r>
      <w:r>
        <w:rPr>
          <w:noProof/>
        </w:rPr>
        <w:t>es</w:t>
      </w:r>
      <w:r w:rsidRPr="002B3058">
        <w:rPr>
          <w:noProof/>
        </w:rPr>
        <w:t xml:space="preserve"> in practice. An excellent critique of the logframes of both programs is presented. Among other</w:t>
      </w:r>
      <w:r>
        <w:rPr>
          <w:noProof/>
        </w:rPr>
        <w:t xml:space="preserve"> points</w:t>
      </w:r>
      <w:r w:rsidRPr="002B3058">
        <w:rPr>
          <w:noProof/>
        </w:rPr>
        <w:t xml:space="preserve">, it </w:t>
      </w:r>
      <w:r>
        <w:rPr>
          <w:noProof/>
        </w:rPr>
        <w:t>finds</w:t>
      </w:r>
      <w:r w:rsidRPr="002B3058">
        <w:rPr>
          <w:noProof/>
        </w:rPr>
        <w:t xml:space="preserve"> that both programs are not sufficiently results</w:t>
      </w:r>
      <w:r>
        <w:rPr>
          <w:noProof/>
        </w:rPr>
        <w:t xml:space="preserve"> </w:t>
      </w:r>
      <w:r w:rsidRPr="002B3058">
        <w:rPr>
          <w:noProof/>
        </w:rPr>
        <w:t>focused but report mostly on inputs and outputs. The final section provides a comparative analysis of the different implementation modalities of the two programs and draws useful lessons.</w:t>
      </w:r>
    </w:p>
    <w:p w14:paraId="28DB7426" w14:textId="74D7CF6A" w:rsidR="00CB73AC" w:rsidRPr="002B3058" w:rsidRDefault="00CB73AC">
      <w:pPr>
        <w:rPr>
          <w:noProof/>
        </w:rPr>
      </w:pPr>
      <w:r>
        <w:rPr>
          <w:noProof/>
        </w:rPr>
        <w:t>A</w:t>
      </w:r>
      <w:r w:rsidRPr="002B3058">
        <w:rPr>
          <w:noProof/>
        </w:rPr>
        <w:t xml:space="preserve"> minor flaw</w:t>
      </w:r>
      <w:r>
        <w:rPr>
          <w:noProof/>
        </w:rPr>
        <w:t xml:space="preserve"> is that</w:t>
      </w:r>
      <w:r w:rsidRPr="002B3058">
        <w:rPr>
          <w:noProof/>
        </w:rPr>
        <w:t xml:space="preserve"> the report does not provide any financial analysis that reviews the total costs of the programs against the very small populations that are benefiting. </w:t>
      </w:r>
      <w:r>
        <w:rPr>
          <w:noProof/>
        </w:rPr>
        <w:t>Furthermore</w:t>
      </w:r>
      <w:r w:rsidRPr="002B3058">
        <w:rPr>
          <w:noProof/>
        </w:rPr>
        <w:t>, there is no detailed analysis of the stand-alone, isolated nature of the KDP program as a key issue affecting performance. The report would have benefited from factoring these elements into the analysis of</w:t>
      </w:r>
      <w:r>
        <w:rPr>
          <w:noProof/>
        </w:rPr>
        <w:t xml:space="preserve"> efficiency and effectiveness. </w:t>
      </w:r>
    </w:p>
    <w:bookmarkStart w:id="372" w:name="_Toc378060038"/>
    <w:bookmarkStart w:id="373" w:name="_Toc387675151"/>
    <w:bookmarkStart w:id="374" w:name="_Toc371447035"/>
    <w:bookmarkStart w:id="375" w:name="_Toc372723903"/>
    <w:bookmarkStart w:id="376" w:name="_Toc372631412"/>
    <w:p w14:paraId="253AFAAE" w14:textId="4B49E7A5" w:rsidR="004E3F8C" w:rsidRPr="008C7811" w:rsidRDefault="009F3022" w:rsidP="002E56D7">
      <w:pPr>
        <w:pStyle w:val="Heading1"/>
      </w:pPr>
      <w:r>
        <w:rPr>
          <w:noProof/>
        </w:rPr>
        <w:lastRenderedPageBreak/>
        <mc:AlternateContent>
          <mc:Choice Requires="wps">
            <w:drawing>
              <wp:anchor distT="0" distB="0" distL="114300" distR="114300" simplePos="0" relativeHeight="251688960" behindDoc="1" locked="0" layoutInCell="1" allowOverlap="1" wp14:anchorId="6D4883E0" wp14:editId="70E9111D">
                <wp:simplePos x="0" y="0"/>
                <wp:positionH relativeFrom="page">
                  <wp:posOffset>0</wp:posOffset>
                </wp:positionH>
                <wp:positionV relativeFrom="paragraph">
                  <wp:posOffset>-143123</wp:posOffset>
                </wp:positionV>
                <wp:extent cx="7561580" cy="1468800"/>
                <wp:effectExtent l="0" t="0" r="1270" b="0"/>
                <wp:wrapNone/>
                <wp:docPr id="295" name="Rectangle 295"/>
                <wp:cNvGraphicFramePr/>
                <a:graphic xmlns:a="http://schemas.openxmlformats.org/drawingml/2006/main">
                  <a:graphicData uri="http://schemas.microsoft.com/office/word/2010/wordprocessingShape">
                    <wps:wsp>
                      <wps:cNvSpPr/>
                      <wps:spPr>
                        <a:xfrm>
                          <a:off x="0" y="0"/>
                          <a:ext cx="7561580" cy="1468800"/>
                        </a:xfrm>
                        <a:prstGeom prst="rect">
                          <a:avLst/>
                        </a:prstGeom>
                        <a:solidFill>
                          <a:srgbClr val="1244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ED04C32" id="Rectangle 295" o:spid="_x0000_s1026" style="position:absolute;margin-left:0;margin-top:-11.25pt;width:595.4pt;height:115.6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PyAnAIAAIoFAAAOAAAAZHJzL2Uyb0RvYy54bWysVE1v2zAMvQ/YfxB0X20HSZoGdYqgRYcB&#10;RVs0HXpWZCkWIIuapMTJfv0o+aNdV+wwLAdFFMlH8pnk5dWx0eQgnFdgSlqc5ZQIw6FSZlfS78+3&#10;XxaU+MBMxTQYUdKT8PRq9fnTZWuXYgI16Eo4giDGL1tb0joEu8wyz2vRMH8GVhhUSnANCyi6XVY5&#10;1iJ6o7NJns+zFlxlHXDhPb7edEq6SvhSCh4epPQiEF1SzC2k06VzG89sdcmWO8dsrXifBvuHLBqm&#10;DAYdoW5YYGTv1B9QjeIOPMhwxqHJQErFRaoBqynyd9VsamZFqgXJ8Xakyf8/WH5/eHREVSWdXMwo&#10;MazBj/SEtDGz04LER6SotX6Jlhv76HrJ4zXWe5Suif9YCTkmWk8jreIYCMfH89m8mC2QfY66Yjpf&#10;LPJEfPbqbp0PXwU0JF5K6jCBRCc73PmAIdF0MInRPGhV3Sqtk+B222vtyIHhNy4m0+liHnNGl9/M&#10;tInGBqJbp44vWSytKybdwkmLaKfNk5DIC6Y/SZmkjhRjHMa5MKHoVDWrRBd+luNviB57OHqkXBJg&#10;RJYYf8TuAQbLDmTA7rLs7aOrSA09Oud/S6xzHj1SZDBhdG6UAfcRgMaq+sid/UBSR01kaQvVCbvG&#10;QTdO3vJbhd/tjvnwyBzOD35r3AnhAQ+poS0p9DdKanA/P3qP9tjWqKWkxXksqf+xZ05Qor8ZbPiL&#10;YjqNA5yE6ex8goJ7q9m+1Zh9cw2xHXD7WJ6u0T7o4SodNC+4OtYxKqqY4Ri7pDy4QbgO3Z7A5cPF&#10;ep3McGgtC3dmY3kEj6zGvnw+vjBn++YN2Pf3MMwuW77r4c42ehpY7wNIlRr8ldeebxz41Dj9coob&#10;5a2crF5X6OoXAAAA//8DAFBLAwQUAAYACAAAACEAqe8l1t0AAAAJAQAADwAAAGRycy9kb3ducmV2&#10;LnhtbEyPy07DMBBF90j8gzWV2LV2jEAhZFKhSrCIxIKW7t14iKP6EWK3DX+Pu4Ll6I7uPadez86y&#10;M01xCB6hWAlg5LugB98jfO5elyWwmJTXygZPCD8UYd3c3tSq0uHiP+i8TT3LJT5WCsGkNFacx86Q&#10;U3EVRvI5+wqTUymfU8/1pC653FkuhXjkTg0+Lxg10sZQd9yeHEJbktn3762dv9tdwTf3b2FPEvFu&#10;Mb88A0s0p79nuOJndGgy0yGcvI7MImSRhLCU8gHYNS6eRFY5IEhRlsCbmv83aH4BAAD//wMAUEsB&#10;Ai0AFAAGAAgAAAAhALaDOJL+AAAA4QEAABMAAAAAAAAAAAAAAAAAAAAAAFtDb250ZW50X1R5cGVz&#10;XS54bWxQSwECLQAUAAYACAAAACEAOP0h/9YAAACUAQAACwAAAAAAAAAAAAAAAAAvAQAAX3JlbHMv&#10;LnJlbHNQSwECLQAUAAYACAAAACEAGeT8gJwCAACKBQAADgAAAAAAAAAAAAAAAAAuAgAAZHJzL2Uy&#10;b0RvYy54bWxQSwECLQAUAAYACAAAACEAqe8l1t0AAAAJAQAADwAAAAAAAAAAAAAAAAD2BAAAZHJz&#10;L2Rvd25yZXYueG1sUEsFBgAAAAAEAAQA8wAAAAAGAAAAAA==&#10;" fillcolor="#124486" stroked="f" strokeweight="2pt">
                <w10:wrap anchorx="page"/>
              </v:rect>
            </w:pict>
          </mc:Fallback>
        </mc:AlternateContent>
      </w:r>
      <w:r w:rsidR="00E57F60" w:rsidRPr="008C7811">
        <w:t xml:space="preserve">Annex </w:t>
      </w:r>
      <w:r w:rsidR="00C8641F">
        <w:t>7</w:t>
      </w:r>
      <w:r w:rsidR="00E57F60" w:rsidRPr="008C7811">
        <w:t xml:space="preserve">: </w:t>
      </w:r>
      <w:r w:rsidR="00254749">
        <w:t>L</w:t>
      </w:r>
      <w:r w:rsidR="004E3F8C" w:rsidRPr="008C7811">
        <w:t>ist</w:t>
      </w:r>
      <w:bookmarkEnd w:id="372"/>
      <w:r w:rsidR="00254749">
        <w:t xml:space="preserve"> of evaluations reviewed</w:t>
      </w:r>
      <w:bookmarkEnd w:id="373"/>
    </w:p>
    <w:p w14:paraId="62AF9C5C" w14:textId="5A249A54" w:rsidR="00254749" w:rsidRDefault="00BB59AE" w:rsidP="00B93167">
      <w:pPr>
        <w:spacing w:before="0"/>
      </w:pPr>
      <w:bookmarkStart w:id="377" w:name="_Toc373303757"/>
      <w:bookmarkStart w:id="378" w:name="_Toc373304324"/>
      <w:bookmarkStart w:id="379" w:name="_Toc378059952"/>
      <w:bookmarkStart w:id="380" w:name="_Toc378060040"/>
      <w:bookmarkEnd w:id="374"/>
      <w:bookmarkEnd w:id="375"/>
      <w:r>
        <w:t>E</w:t>
      </w:r>
      <w:r w:rsidR="00254749">
        <w:t xml:space="preserve">valuations that have been published externally can be accessed through the </w:t>
      </w:r>
      <w:r w:rsidR="00254749" w:rsidRPr="00EF7AFB">
        <w:t>DFAT</w:t>
      </w:r>
      <w:r w:rsidR="00254749">
        <w:t xml:space="preserve"> aid publications webpage</w:t>
      </w:r>
      <w:r w:rsidR="00254749">
        <w:rPr>
          <w:rStyle w:val="FootnoteReference"/>
        </w:rPr>
        <w:footnoteReference w:id="55"/>
      </w:r>
      <w:r w:rsidR="00254749">
        <w:t xml:space="preserve"> or</w:t>
      </w:r>
      <w:r>
        <w:t>,</w:t>
      </w:r>
      <w:r w:rsidR="00254749">
        <w:t xml:space="preserve"> in some cases</w:t>
      </w:r>
      <w:r>
        <w:t>,</w:t>
      </w:r>
      <w:r w:rsidR="00254749">
        <w:t xml:space="preserve"> through aid country program webpages.</w:t>
      </w:r>
    </w:p>
    <w:tbl>
      <w:tblPr>
        <w:tblW w:w="10020" w:type="dxa"/>
        <w:jc w:val="center"/>
        <w:tblBorders>
          <w:top w:val="single" w:sz="4" w:space="0" w:color="31849B"/>
          <w:bottom w:val="single" w:sz="4" w:space="0" w:color="31849B"/>
          <w:insideH w:val="single" w:sz="4" w:space="0" w:color="31849B"/>
        </w:tblBorders>
        <w:tblLayout w:type="fixed"/>
        <w:tblLook w:val="04A0" w:firstRow="1" w:lastRow="0" w:firstColumn="1" w:lastColumn="0" w:noHBand="0" w:noVBand="1"/>
      </w:tblPr>
      <w:tblGrid>
        <w:gridCol w:w="1079"/>
        <w:gridCol w:w="3412"/>
        <w:gridCol w:w="1276"/>
        <w:gridCol w:w="1537"/>
        <w:gridCol w:w="1440"/>
        <w:gridCol w:w="1276"/>
      </w:tblGrid>
      <w:tr w:rsidR="00014062" w:rsidRPr="00014062" w14:paraId="3DE402D8" w14:textId="77777777" w:rsidTr="007B56B7">
        <w:trPr>
          <w:cantSplit/>
          <w:trHeight w:val="900"/>
          <w:jc w:val="center"/>
        </w:trPr>
        <w:tc>
          <w:tcPr>
            <w:tcW w:w="1079" w:type="dxa"/>
            <w:shd w:val="clear" w:color="auto" w:fill="007FAD"/>
            <w:vAlign w:val="center"/>
          </w:tcPr>
          <w:bookmarkEnd w:id="376"/>
          <w:bookmarkEnd w:id="377"/>
          <w:bookmarkEnd w:id="378"/>
          <w:bookmarkEnd w:id="379"/>
          <w:bookmarkEnd w:id="380"/>
          <w:p w14:paraId="027CBC9D" w14:textId="4821A11F" w:rsidR="00014062" w:rsidRPr="007B56B7" w:rsidRDefault="00014062" w:rsidP="007B56B7">
            <w:pPr>
              <w:pStyle w:val="TableHeading21"/>
              <w:rPr>
                <w:i w:val="0"/>
                <w:lang w:val="en-GB" w:eastAsia="en-GB"/>
              </w:rPr>
            </w:pPr>
            <w:r w:rsidRPr="007B56B7">
              <w:rPr>
                <w:i w:val="0"/>
                <w:lang w:val="en-GB" w:eastAsia="en-GB"/>
              </w:rPr>
              <w:t>Initiative number</w:t>
            </w:r>
          </w:p>
        </w:tc>
        <w:tc>
          <w:tcPr>
            <w:tcW w:w="3412" w:type="dxa"/>
            <w:shd w:val="clear" w:color="auto" w:fill="007FAD"/>
            <w:vAlign w:val="center"/>
          </w:tcPr>
          <w:p w14:paraId="065C83F8" w14:textId="2CD219A8" w:rsidR="00014062" w:rsidRPr="007B56B7" w:rsidRDefault="00014062" w:rsidP="007B56B7">
            <w:pPr>
              <w:pStyle w:val="TableHeading21"/>
              <w:rPr>
                <w:i w:val="0"/>
                <w:lang w:val="en-GB" w:eastAsia="en-GB"/>
              </w:rPr>
            </w:pPr>
            <w:r w:rsidRPr="007B56B7">
              <w:rPr>
                <w:i w:val="0"/>
                <w:lang w:val="en-GB" w:eastAsia="en-GB"/>
              </w:rPr>
              <w:t>Evaluation title</w:t>
            </w:r>
          </w:p>
        </w:tc>
        <w:tc>
          <w:tcPr>
            <w:tcW w:w="1276" w:type="dxa"/>
            <w:shd w:val="clear" w:color="auto" w:fill="007FAD"/>
            <w:vAlign w:val="center"/>
          </w:tcPr>
          <w:p w14:paraId="263F65AA" w14:textId="68CAAE55" w:rsidR="00014062" w:rsidRPr="007B56B7" w:rsidRDefault="00014062" w:rsidP="007B56B7">
            <w:pPr>
              <w:pStyle w:val="TableHeading21"/>
              <w:rPr>
                <w:i w:val="0"/>
                <w:lang w:val="en-GB" w:eastAsia="en-GB"/>
              </w:rPr>
            </w:pPr>
            <w:r w:rsidRPr="007B56B7">
              <w:rPr>
                <w:i w:val="0"/>
                <w:lang w:val="en-GB" w:eastAsia="en-GB"/>
              </w:rPr>
              <w:t>Country</w:t>
            </w:r>
          </w:p>
        </w:tc>
        <w:tc>
          <w:tcPr>
            <w:tcW w:w="1537" w:type="dxa"/>
            <w:shd w:val="clear" w:color="auto" w:fill="007FAD"/>
            <w:noWrap/>
            <w:vAlign w:val="center"/>
          </w:tcPr>
          <w:p w14:paraId="692BE771" w14:textId="031DC85F" w:rsidR="00014062" w:rsidRPr="007B56B7" w:rsidRDefault="00014062" w:rsidP="007B56B7">
            <w:pPr>
              <w:pStyle w:val="TableHeading21"/>
              <w:rPr>
                <w:i w:val="0"/>
                <w:lang w:val="en-GB" w:eastAsia="en-GB"/>
              </w:rPr>
            </w:pPr>
            <w:r w:rsidRPr="007B56B7">
              <w:rPr>
                <w:i w:val="0"/>
                <w:lang w:val="en-GB" w:eastAsia="en-GB"/>
              </w:rPr>
              <w:t>Primary sector</w:t>
            </w:r>
          </w:p>
        </w:tc>
        <w:tc>
          <w:tcPr>
            <w:tcW w:w="1440" w:type="dxa"/>
            <w:shd w:val="clear" w:color="auto" w:fill="007FAD"/>
          </w:tcPr>
          <w:p w14:paraId="545AD78E" w14:textId="6552082A" w:rsidR="00014062" w:rsidRPr="007B56B7" w:rsidRDefault="00014062" w:rsidP="007B56B7">
            <w:pPr>
              <w:pStyle w:val="TableHeading21"/>
              <w:rPr>
                <w:i w:val="0"/>
                <w:lang w:val="en-GB" w:eastAsia="en-GB"/>
              </w:rPr>
            </w:pPr>
            <w:r w:rsidRPr="007B56B7">
              <w:rPr>
                <w:i w:val="0"/>
                <w:lang w:val="en-GB" w:eastAsia="en-GB"/>
              </w:rPr>
              <w:t>Evidence and analysis assessed as credible?</w:t>
            </w:r>
          </w:p>
        </w:tc>
        <w:tc>
          <w:tcPr>
            <w:tcW w:w="1276" w:type="dxa"/>
            <w:shd w:val="clear" w:color="auto" w:fill="007FAD"/>
            <w:vAlign w:val="center"/>
          </w:tcPr>
          <w:p w14:paraId="3C0C45F1" w14:textId="29CA55AA" w:rsidR="00014062" w:rsidRPr="007B56B7" w:rsidRDefault="00014062" w:rsidP="007B56B7">
            <w:pPr>
              <w:pStyle w:val="TableHeading21"/>
              <w:rPr>
                <w:i w:val="0"/>
                <w:lang w:val="en-GB" w:eastAsia="en-GB"/>
              </w:rPr>
            </w:pPr>
            <w:r w:rsidRPr="007B56B7">
              <w:rPr>
                <w:i w:val="0"/>
                <w:lang w:val="en-GB" w:eastAsia="en-GB"/>
              </w:rPr>
              <w:t>Published on DFAT website?</w:t>
            </w:r>
          </w:p>
        </w:tc>
      </w:tr>
      <w:tr w:rsidR="00014062" w:rsidRPr="00DE1AF3" w14:paraId="1F1249C7" w14:textId="77777777" w:rsidTr="007B56B7">
        <w:trPr>
          <w:cantSplit/>
          <w:trHeight w:val="900"/>
          <w:jc w:val="center"/>
        </w:trPr>
        <w:tc>
          <w:tcPr>
            <w:tcW w:w="1079" w:type="dxa"/>
            <w:shd w:val="clear" w:color="auto" w:fill="auto"/>
            <w:vAlign w:val="center"/>
            <w:hideMark/>
          </w:tcPr>
          <w:p w14:paraId="73004EA0" w14:textId="77777777" w:rsidR="00014062" w:rsidRPr="00DE1AF3" w:rsidRDefault="00014062" w:rsidP="007B186C">
            <w:pPr>
              <w:pStyle w:val="TableText1"/>
            </w:pPr>
            <w:r w:rsidRPr="00DE1AF3">
              <w:t>INC357</w:t>
            </w:r>
          </w:p>
        </w:tc>
        <w:tc>
          <w:tcPr>
            <w:tcW w:w="3412" w:type="dxa"/>
            <w:shd w:val="clear" w:color="000000" w:fill="FFFFFF"/>
            <w:vAlign w:val="center"/>
            <w:hideMark/>
          </w:tcPr>
          <w:p w14:paraId="6DD54D67" w14:textId="77777777" w:rsidR="00014062" w:rsidRPr="00DE1AF3" w:rsidRDefault="00014062" w:rsidP="007B186C">
            <w:pPr>
              <w:pStyle w:val="TableText1"/>
            </w:pPr>
            <w:r w:rsidRPr="00DE1AF3">
              <w:t>Independent Evaluation of Agusan del Sur Malaria Control and Prevention Program</w:t>
            </w:r>
          </w:p>
        </w:tc>
        <w:tc>
          <w:tcPr>
            <w:tcW w:w="1276" w:type="dxa"/>
            <w:shd w:val="clear" w:color="auto" w:fill="auto"/>
            <w:vAlign w:val="center"/>
            <w:hideMark/>
          </w:tcPr>
          <w:p w14:paraId="2B075D3C" w14:textId="77777777" w:rsidR="00014062" w:rsidRPr="00DE1AF3" w:rsidRDefault="00014062" w:rsidP="007B186C">
            <w:pPr>
              <w:pStyle w:val="TableText1"/>
            </w:pPr>
            <w:r w:rsidRPr="00DE1AF3">
              <w:t>Philippines</w:t>
            </w:r>
          </w:p>
        </w:tc>
        <w:tc>
          <w:tcPr>
            <w:tcW w:w="1537" w:type="dxa"/>
            <w:shd w:val="clear" w:color="auto" w:fill="auto"/>
            <w:noWrap/>
            <w:vAlign w:val="center"/>
            <w:hideMark/>
          </w:tcPr>
          <w:p w14:paraId="5490812A" w14:textId="77777777" w:rsidR="00014062" w:rsidRPr="00DE1AF3" w:rsidRDefault="00014062" w:rsidP="007B186C">
            <w:pPr>
              <w:pStyle w:val="TableText1"/>
            </w:pPr>
            <w:r w:rsidRPr="00DE1AF3">
              <w:t>Health</w:t>
            </w:r>
          </w:p>
        </w:tc>
        <w:tc>
          <w:tcPr>
            <w:tcW w:w="1440" w:type="dxa"/>
            <w:vAlign w:val="center"/>
          </w:tcPr>
          <w:p w14:paraId="43678752" w14:textId="646A7FAB" w:rsidR="00014062" w:rsidRPr="00DE1AF3" w:rsidRDefault="00014062" w:rsidP="007B186C">
            <w:pPr>
              <w:pStyle w:val="TableText1"/>
            </w:pPr>
            <w:r w:rsidRPr="00DE1AF3">
              <w:t>Yes</w:t>
            </w:r>
          </w:p>
        </w:tc>
        <w:tc>
          <w:tcPr>
            <w:tcW w:w="1276" w:type="dxa"/>
            <w:vAlign w:val="center"/>
          </w:tcPr>
          <w:p w14:paraId="46B81534" w14:textId="10EBDC1A" w:rsidR="00014062" w:rsidRPr="00DE1AF3" w:rsidRDefault="00014062" w:rsidP="007B186C">
            <w:pPr>
              <w:pStyle w:val="TableText1"/>
            </w:pPr>
            <w:r w:rsidRPr="00DE1AF3">
              <w:t>Yes</w:t>
            </w:r>
          </w:p>
        </w:tc>
      </w:tr>
      <w:tr w:rsidR="00014062" w:rsidRPr="00DE1AF3" w14:paraId="41CB4FD9" w14:textId="77777777" w:rsidTr="007B56B7">
        <w:trPr>
          <w:cantSplit/>
          <w:trHeight w:val="900"/>
          <w:jc w:val="center"/>
        </w:trPr>
        <w:tc>
          <w:tcPr>
            <w:tcW w:w="1079" w:type="dxa"/>
            <w:shd w:val="clear" w:color="auto" w:fill="auto"/>
            <w:vAlign w:val="center"/>
            <w:hideMark/>
          </w:tcPr>
          <w:p w14:paraId="1BA521A0" w14:textId="77777777" w:rsidR="00014062" w:rsidRPr="00DE1AF3" w:rsidRDefault="00014062" w:rsidP="007B186C">
            <w:pPr>
              <w:pStyle w:val="TableText1"/>
            </w:pPr>
            <w:r w:rsidRPr="00DE1AF3">
              <w:t>IND982</w:t>
            </w:r>
          </w:p>
        </w:tc>
        <w:tc>
          <w:tcPr>
            <w:tcW w:w="3412" w:type="dxa"/>
            <w:shd w:val="clear" w:color="000000" w:fill="FFFFFF"/>
            <w:vAlign w:val="center"/>
            <w:hideMark/>
          </w:tcPr>
          <w:p w14:paraId="2907B1CC" w14:textId="77777777" w:rsidR="00014062" w:rsidRPr="00DE1AF3" w:rsidRDefault="00014062" w:rsidP="007B186C">
            <w:pPr>
              <w:pStyle w:val="TableText1"/>
            </w:pPr>
            <w:r w:rsidRPr="00DE1AF3">
              <w:t>Evaluation of the outcomes and sustainability of the Laos–Australia Basic Education Project (LABEP)</w:t>
            </w:r>
          </w:p>
        </w:tc>
        <w:tc>
          <w:tcPr>
            <w:tcW w:w="1276" w:type="dxa"/>
            <w:shd w:val="clear" w:color="auto" w:fill="auto"/>
            <w:noWrap/>
            <w:vAlign w:val="center"/>
            <w:hideMark/>
          </w:tcPr>
          <w:p w14:paraId="273C9B34" w14:textId="77777777" w:rsidR="00014062" w:rsidRPr="00DE1AF3" w:rsidRDefault="00014062" w:rsidP="007B186C">
            <w:pPr>
              <w:pStyle w:val="TableText1"/>
            </w:pPr>
            <w:r w:rsidRPr="00DE1AF3">
              <w:t>Laos</w:t>
            </w:r>
          </w:p>
        </w:tc>
        <w:tc>
          <w:tcPr>
            <w:tcW w:w="1537" w:type="dxa"/>
            <w:shd w:val="clear" w:color="auto" w:fill="auto"/>
            <w:noWrap/>
            <w:vAlign w:val="center"/>
            <w:hideMark/>
          </w:tcPr>
          <w:p w14:paraId="5B1AE74A" w14:textId="77777777" w:rsidR="00014062" w:rsidRPr="00DE1AF3" w:rsidRDefault="00014062" w:rsidP="007B186C">
            <w:pPr>
              <w:pStyle w:val="TableText1"/>
            </w:pPr>
            <w:r w:rsidRPr="00DE1AF3">
              <w:t>Education</w:t>
            </w:r>
          </w:p>
        </w:tc>
        <w:tc>
          <w:tcPr>
            <w:tcW w:w="1440" w:type="dxa"/>
            <w:vAlign w:val="center"/>
          </w:tcPr>
          <w:p w14:paraId="401F62AC" w14:textId="707FB5B7" w:rsidR="00014062" w:rsidRPr="00DE1AF3" w:rsidRDefault="00014062" w:rsidP="007B186C">
            <w:pPr>
              <w:pStyle w:val="TableText1"/>
            </w:pPr>
            <w:r w:rsidRPr="00DE1AF3">
              <w:t>Yes</w:t>
            </w:r>
          </w:p>
        </w:tc>
        <w:tc>
          <w:tcPr>
            <w:tcW w:w="1276" w:type="dxa"/>
            <w:vAlign w:val="center"/>
          </w:tcPr>
          <w:p w14:paraId="3227F413" w14:textId="75BF1F44" w:rsidR="00014062" w:rsidRPr="00DE1AF3" w:rsidRDefault="00014062" w:rsidP="007B186C">
            <w:pPr>
              <w:pStyle w:val="TableText1"/>
            </w:pPr>
            <w:r w:rsidRPr="00DE1AF3">
              <w:t>No</w:t>
            </w:r>
          </w:p>
        </w:tc>
      </w:tr>
      <w:tr w:rsidR="00014062" w:rsidRPr="00DE1AF3" w14:paraId="0C69D298" w14:textId="77777777" w:rsidTr="007B56B7">
        <w:trPr>
          <w:cantSplit/>
          <w:trHeight w:val="900"/>
          <w:jc w:val="center"/>
        </w:trPr>
        <w:tc>
          <w:tcPr>
            <w:tcW w:w="1079" w:type="dxa"/>
            <w:shd w:val="clear" w:color="auto" w:fill="auto"/>
            <w:noWrap/>
            <w:vAlign w:val="center"/>
            <w:hideMark/>
          </w:tcPr>
          <w:p w14:paraId="2FC31498" w14:textId="77777777" w:rsidR="00014062" w:rsidRPr="00DE1AF3" w:rsidRDefault="00014062" w:rsidP="007B186C">
            <w:pPr>
              <w:pStyle w:val="TableText1"/>
            </w:pPr>
            <w:r w:rsidRPr="00DE1AF3">
              <w:t>INE114</w:t>
            </w:r>
          </w:p>
        </w:tc>
        <w:tc>
          <w:tcPr>
            <w:tcW w:w="3412" w:type="dxa"/>
            <w:shd w:val="clear" w:color="000000" w:fill="FFFFFF"/>
            <w:vAlign w:val="center"/>
            <w:hideMark/>
          </w:tcPr>
          <w:p w14:paraId="69F9E01C" w14:textId="77777777" w:rsidR="00014062" w:rsidRPr="00DE1AF3" w:rsidRDefault="00014062" w:rsidP="007B186C">
            <w:pPr>
              <w:pStyle w:val="TableText1"/>
            </w:pPr>
            <w:r w:rsidRPr="00DE1AF3">
              <w:t>Independent Completion Review</w:t>
            </w:r>
            <w:r>
              <w:t xml:space="preserve"> of</w:t>
            </w:r>
            <w:r w:rsidRPr="00DE1AF3">
              <w:t xml:space="preserve"> Provision of Core Funding Support to the SMERU Research Institute</w:t>
            </w:r>
          </w:p>
        </w:tc>
        <w:tc>
          <w:tcPr>
            <w:tcW w:w="1276" w:type="dxa"/>
            <w:shd w:val="clear" w:color="auto" w:fill="auto"/>
            <w:noWrap/>
            <w:vAlign w:val="center"/>
            <w:hideMark/>
          </w:tcPr>
          <w:p w14:paraId="32178AA8" w14:textId="77777777" w:rsidR="00014062" w:rsidRPr="00DE1AF3" w:rsidRDefault="00014062" w:rsidP="007B186C">
            <w:pPr>
              <w:pStyle w:val="TableText1"/>
            </w:pPr>
            <w:r w:rsidRPr="00DE1AF3">
              <w:t>Indonesia</w:t>
            </w:r>
          </w:p>
        </w:tc>
        <w:tc>
          <w:tcPr>
            <w:tcW w:w="1537" w:type="dxa"/>
            <w:shd w:val="clear" w:color="auto" w:fill="auto"/>
            <w:vAlign w:val="center"/>
            <w:hideMark/>
          </w:tcPr>
          <w:p w14:paraId="4C2F2BDE" w14:textId="77777777" w:rsidR="00014062" w:rsidRPr="00DE1AF3" w:rsidRDefault="00014062" w:rsidP="007B186C">
            <w:pPr>
              <w:pStyle w:val="TableText1"/>
            </w:pPr>
            <w:r>
              <w:t>Improved government</w:t>
            </w:r>
          </w:p>
        </w:tc>
        <w:tc>
          <w:tcPr>
            <w:tcW w:w="1440" w:type="dxa"/>
            <w:vAlign w:val="center"/>
          </w:tcPr>
          <w:p w14:paraId="55F0930C" w14:textId="0FF4A07C" w:rsidR="00014062" w:rsidRPr="00DE1AF3" w:rsidRDefault="00014062" w:rsidP="007B186C">
            <w:pPr>
              <w:pStyle w:val="TableText1"/>
            </w:pPr>
            <w:r w:rsidRPr="00DE1AF3">
              <w:t>Yes</w:t>
            </w:r>
          </w:p>
        </w:tc>
        <w:tc>
          <w:tcPr>
            <w:tcW w:w="1276" w:type="dxa"/>
            <w:vAlign w:val="center"/>
          </w:tcPr>
          <w:p w14:paraId="48B2BF83" w14:textId="0F193AC7" w:rsidR="00014062" w:rsidRPr="00DE1AF3" w:rsidRDefault="00014062" w:rsidP="007B186C">
            <w:pPr>
              <w:pStyle w:val="TableText1"/>
            </w:pPr>
            <w:r w:rsidRPr="00DE1AF3">
              <w:t>Yes</w:t>
            </w:r>
          </w:p>
        </w:tc>
      </w:tr>
      <w:tr w:rsidR="00014062" w:rsidRPr="00DE1AF3" w14:paraId="273A8896" w14:textId="77777777" w:rsidTr="007B56B7">
        <w:trPr>
          <w:cantSplit/>
          <w:trHeight w:val="900"/>
          <w:jc w:val="center"/>
        </w:trPr>
        <w:tc>
          <w:tcPr>
            <w:tcW w:w="1079" w:type="dxa"/>
            <w:shd w:val="clear" w:color="auto" w:fill="auto"/>
            <w:noWrap/>
            <w:vAlign w:val="center"/>
            <w:hideMark/>
          </w:tcPr>
          <w:p w14:paraId="52C0C811" w14:textId="77777777" w:rsidR="00014062" w:rsidRPr="00DE1AF3" w:rsidRDefault="00014062" w:rsidP="007B186C">
            <w:pPr>
              <w:pStyle w:val="TableText1"/>
            </w:pPr>
            <w:r w:rsidRPr="00DE1AF3">
              <w:t>INE887 INJ788</w:t>
            </w:r>
          </w:p>
        </w:tc>
        <w:tc>
          <w:tcPr>
            <w:tcW w:w="3412" w:type="dxa"/>
            <w:shd w:val="clear" w:color="000000" w:fill="FFFFFF"/>
            <w:vAlign w:val="center"/>
            <w:hideMark/>
          </w:tcPr>
          <w:p w14:paraId="48C80C84" w14:textId="77777777" w:rsidR="00014062" w:rsidRPr="00DE1AF3" w:rsidRDefault="00014062" w:rsidP="007B186C">
            <w:pPr>
              <w:pStyle w:val="TableText1"/>
            </w:pPr>
            <w:r w:rsidRPr="00DE1AF3">
              <w:t>Independent Completion Review</w:t>
            </w:r>
            <w:r>
              <w:t xml:space="preserve"> of</w:t>
            </w:r>
            <w:r w:rsidRPr="00DE1AF3">
              <w:t xml:space="preserve"> Australian Civil Society Program Fiji</w:t>
            </w:r>
          </w:p>
        </w:tc>
        <w:tc>
          <w:tcPr>
            <w:tcW w:w="1276" w:type="dxa"/>
            <w:shd w:val="clear" w:color="auto" w:fill="auto"/>
            <w:noWrap/>
            <w:vAlign w:val="center"/>
            <w:hideMark/>
          </w:tcPr>
          <w:p w14:paraId="3D9503B6" w14:textId="77777777" w:rsidR="00014062" w:rsidRPr="00DE1AF3" w:rsidRDefault="00014062" w:rsidP="007B186C">
            <w:pPr>
              <w:pStyle w:val="TableText1"/>
            </w:pPr>
            <w:r w:rsidRPr="00DE1AF3">
              <w:t>Fiji</w:t>
            </w:r>
          </w:p>
        </w:tc>
        <w:tc>
          <w:tcPr>
            <w:tcW w:w="1537" w:type="dxa"/>
            <w:shd w:val="clear" w:color="auto" w:fill="auto"/>
            <w:vAlign w:val="center"/>
            <w:hideMark/>
          </w:tcPr>
          <w:p w14:paraId="18BC3C34" w14:textId="77777777" w:rsidR="00014062" w:rsidRPr="00DE1AF3" w:rsidRDefault="00014062" w:rsidP="007B186C">
            <w:pPr>
              <w:pStyle w:val="TableText1"/>
            </w:pPr>
            <w:r>
              <w:t>Human rights</w:t>
            </w:r>
          </w:p>
        </w:tc>
        <w:tc>
          <w:tcPr>
            <w:tcW w:w="1440" w:type="dxa"/>
            <w:vAlign w:val="center"/>
          </w:tcPr>
          <w:p w14:paraId="616F1870" w14:textId="70050FB5" w:rsidR="00014062" w:rsidRPr="00DE1AF3" w:rsidRDefault="00014062" w:rsidP="007B186C">
            <w:pPr>
              <w:pStyle w:val="TableText1"/>
            </w:pPr>
            <w:r w:rsidRPr="00DE1AF3">
              <w:t>Yes</w:t>
            </w:r>
          </w:p>
        </w:tc>
        <w:tc>
          <w:tcPr>
            <w:tcW w:w="1276" w:type="dxa"/>
            <w:vAlign w:val="center"/>
          </w:tcPr>
          <w:p w14:paraId="085E5DA0" w14:textId="09461A64" w:rsidR="00014062" w:rsidRPr="00DE1AF3" w:rsidRDefault="00014062" w:rsidP="007B186C">
            <w:pPr>
              <w:pStyle w:val="TableText1"/>
            </w:pPr>
            <w:r w:rsidRPr="00DE1AF3">
              <w:t>No</w:t>
            </w:r>
          </w:p>
        </w:tc>
      </w:tr>
      <w:tr w:rsidR="00014062" w:rsidRPr="00DE1AF3" w14:paraId="3A5BE25B" w14:textId="77777777" w:rsidTr="007B56B7">
        <w:trPr>
          <w:cantSplit/>
          <w:trHeight w:val="900"/>
          <w:jc w:val="center"/>
        </w:trPr>
        <w:tc>
          <w:tcPr>
            <w:tcW w:w="1079" w:type="dxa"/>
            <w:shd w:val="clear" w:color="auto" w:fill="auto"/>
            <w:noWrap/>
            <w:vAlign w:val="center"/>
            <w:hideMark/>
          </w:tcPr>
          <w:p w14:paraId="0B96A495" w14:textId="77777777" w:rsidR="00014062" w:rsidRPr="00DE1AF3" w:rsidRDefault="00014062" w:rsidP="007B186C">
            <w:pPr>
              <w:pStyle w:val="TableText1"/>
            </w:pPr>
            <w:r w:rsidRPr="00DE1AF3">
              <w:t>INF725</w:t>
            </w:r>
          </w:p>
        </w:tc>
        <w:tc>
          <w:tcPr>
            <w:tcW w:w="3412" w:type="dxa"/>
            <w:shd w:val="clear" w:color="000000" w:fill="FFFFFF"/>
            <w:vAlign w:val="center"/>
            <w:hideMark/>
          </w:tcPr>
          <w:p w14:paraId="2D34A38C" w14:textId="77777777" w:rsidR="00014062" w:rsidRPr="00DE1AF3" w:rsidRDefault="00014062" w:rsidP="007B186C">
            <w:pPr>
              <w:pStyle w:val="TableText1"/>
            </w:pPr>
            <w:r>
              <w:t>Evaluation</w:t>
            </w:r>
            <w:r w:rsidRPr="00DE1AF3">
              <w:t xml:space="preserve"> </w:t>
            </w:r>
            <w:r>
              <w:t xml:space="preserve">of </w:t>
            </w:r>
            <w:r w:rsidRPr="00DE1AF3">
              <w:t>Africa–Australian Development Scholarships Management Program</w:t>
            </w:r>
          </w:p>
        </w:tc>
        <w:tc>
          <w:tcPr>
            <w:tcW w:w="1276" w:type="dxa"/>
            <w:shd w:val="clear" w:color="000000" w:fill="FFFFFF"/>
            <w:noWrap/>
            <w:vAlign w:val="center"/>
            <w:hideMark/>
          </w:tcPr>
          <w:p w14:paraId="57730D45" w14:textId="77777777" w:rsidR="00014062" w:rsidRPr="00DE1AF3" w:rsidRDefault="00014062" w:rsidP="007B186C">
            <w:pPr>
              <w:pStyle w:val="TableText1"/>
            </w:pPr>
            <w:r w:rsidRPr="00DE1AF3">
              <w:t>Africa</w:t>
            </w:r>
          </w:p>
        </w:tc>
        <w:tc>
          <w:tcPr>
            <w:tcW w:w="1537" w:type="dxa"/>
            <w:shd w:val="clear" w:color="auto" w:fill="auto"/>
            <w:vAlign w:val="center"/>
            <w:hideMark/>
          </w:tcPr>
          <w:p w14:paraId="73D100FB" w14:textId="77777777" w:rsidR="00014062" w:rsidRPr="00DE1AF3" w:rsidRDefault="00014062" w:rsidP="007B186C">
            <w:pPr>
              <w:pStyle w:val="TableText1"/>
            </w:pPr>
            <w:r w:rsidRPr="00DE1AF3">
              <w:t>Education</w:t>
            </w:r>
          </w:p>
        </w:tc>
        <w:tc>
          <w:tcPr>
            <w:tcW w:w="1440" w:type="dxa"/>
            <w:vAlign w:val="center"/>
          </w:tcPr>
          <w:p w14:paraId="485B7948" w14:textId="0D38926F" w:rsidR="00014062" w:rsidRPr="00DE1AF3" w:rsidRDefault="00014062" w:rsidP="007B186C">
            <w:pPr>
              <w:pStyle w:val="TableText1"/>
            </w:pPr>
            <w:r w:rsidRPr="00DE1AF3">
              <w:t>Yes</w:t>
            </w:r>
          </w:p>
        </w:tc>
        <w:tc>
          <w:tcPr>
            <w:tcW w:w="1276" w:type="dxa"/>
            <w:vAlign w:val="center"/>
          </w:tcPr>
          <w:p w14:paraId="341F931F" w14:textId="7E095DAC" w:rsidR="00014062" w:rsidRPr="00DE1AF3" w:rsidRDefault="00014062" w:rsidP="007B186C">
            <w:pPr>
              <w:pStyle w:val="TableText1"/>
            </w:pPr>
            <w:r w:rsidRPr="00DE1AF3">
              <w:t>No</w:t>
            </w:r>
          </w:p>
        </w:tc>
      </w:tr>
      <w:tr w:rsidR="00014062" w:rsidRPr="00DE1AF3" w14:paraId="468277A7" w14:textId="77777777" w:rsidTr="007B56B7">
        <w:trPr>
          <w:cantSplit/>
          <w:trHeight w:val="900"/>
          <w:jc w:val="center"/>
        </w:trPr>
        <w:tc>
          <w:tcPr>
            <w:tcW w:w="1079" w:type="dxa"/>
            <w:shd w:val="clear" w:color="auto" w:fill="auto"/>
            <w:noWrap/>
            <w:vAlign w:val="center"/>
            <w:hideMark/>
          </w:tcPr>
          <w:p w14:paraId="72078B95" w14:textId="77777777" w:rsidR="00014062" w:rsidRPr="00DE1AF3" w:rsidRDefault="00014062" w:rsidP="007B186C">
            <w:pPr>
              <w:pStyle w:val="TableText1"/>
            </w:pPr>
            <w:r w:rsidRPr="00DE1AF3">
              <w:t>INF759</w:t>
            </w:r>
          </w:p>
        </w:tc>
        <w:tc>
          <w:tcPr>
            <w:tcW w:w="3412" w:type="dxa"/>
            <w:shd w:val="clear" w:color="000000" w:fill="FFFFFF"/>
            <w:vAlign w:val="center"/>
            <w:hideMark/>
          </w:tcPr>
          <w:p w14:paraId="2682BAC2" w14:textId="77777777" w:rsidR="00014062" w:rsidRPr="00DE1AF3" w:rsidRDefault="00014062" w:rsidP="007B186C">
            <w:pPr>
              <w:pStyle w:val="TableText1"/>
            </w:pPr>
            <w:r w:rsidRPr="00DE1AF3">
              <w:t>Independent assessment report and recommendations on possible future activities</w:t>
            </w:r>
            <w:r>
              <w:t xml:space="preserve"> for</w:t>
            </w:r>
            <w:r w:rsidRPr="00DE1AF3">
              <w:t xml:space="preserve"> Papua New Guinea Media Development Initiative 2</w:t>
            </w:r>
          </w:p>
        </w:tc>
        <w:tc>
          <w:tcPr>
            <w:tcW w:w="1276" w:type="dxa"/>
            <w:shd w:val="clear" w:color="000000" w:fill="FFFFFF"/>
            <w:noWrap/>
            <w:vAlign w:val="center"/>
            <w:hideMark/>
          </w:tcPr>
          <w:p w14:paraId="0043600C" w14:textId="77777777" w:rsidR="00014062" w:rsidRPr="00DE1AF3" w:rsidRDefault="00014062" w:rsidP="007B186C">
            <w:pPr>
              <w:pStyle w:val="TableText1"/>
            </w:pPr>
            <w:r>
              <w:t>Papua New Guinea</w:t>
            </w:r>
          </w:p>
        </w:tc>
        <w:tc>
          <w:tcPr>
            <w:tcW w:w="1537" w:type="dxa"/>
            <w:shd w:val="clear" w:color="auto" w:fill="auto"/>
            <w:vAlign w:val="center"/>
            <w:hideMark/>
          </w:tcPr>
          <w:p w14:paraId="33C86F59" w14:textId="77777777" w:rsidR="00014062" w:rsidRPr="00DE1AF3" w:rsidRDefault="00014062" w:rsidP="007B186C">
            <w:pPr>
              <w:pStyle w:val="TableText1"/>
            </w:pPr>
            <w:r>
              <w:t>Human rights</w:t>
            </w:r>
          </w:p>
        </w:tc>
        <w:tc>
          <w:tcPr>
            <w:tcW w:w="1440" w:type="dxa"/>
            <w:vAlign w:val="center"/>
          </w:tcPr>
          <w:p w14:paraId="16DFA0C2" w14:textId="4E567395" w:rsidR="00014062" w:rsidRPr="00DE1AF3" w:rsidRDefault="00014062" w:rsidP="007B186C">
            <w:pPr>
              <w:pStyle w:val="TableText1"/>
            </w:pPr>
            <w:r w:rsidRPr="00DE1AF3">
              <w:t>Yes</w:t>
            </w:r>
          </w:p>
        </w:tc>
        <w:tc>
          <w:tcPr>
            <w:tcW w:w="1276" w:type="dxa"/>
            <w:vAlign w:val="center"/>
          </w:tcPr>
          <w:p w14:paraId="2B646BA6" w14:textId="7848AB46" w:rsidR="00014062" w:rsidRPr="00DE1AF3" w:rsidRDefault="00014062" w:rsidP="007B186C">
            <w:pPr>
              <w:pStyle w:val="TableText1"/>
            </w:pPr>
            <w:r w:rsidRPr="00DE1AF3">
              <w:t>Yes</w:t>
            </w:r>
          </w:p>
        </w:tc>
      </w:tr>
      <w:tr w:rsidR="00014062" w:rsidRPr="00DE1AF3" w14:paraId="4DFF87D1" w14:textId="77777777" w:rsidTr="007B56B7">
        <w:trPr>
          <w:cantSplit/>
          <w:trHeight w:val="900"/>
          <w:jc w:val="center"/>
        </w:trPr>
        <w:tc>
          <w:tcPr>
            <w:tcW w:w="1079" w:type="dxa"/>
            <w:tcBorders>
              <w:bottom w:val="single" w:sz="4" w:space="0" w:color="31849B"/>
            </w:tcBorders>
            <w:shd w:val="clear" w:color="auto" w:fill="auto"/>
            <w:noWrap/>
            <w:vAlign w:val="center"/>
            <w:hideMark/>
          </w:tcPr>
          <w:p w14:paraId="16350BED" w14:textId="77777777" w:rsidR="00014062" w:rsidRPr="00DE1AF3" w:rsidRDefault="00014062" w:rsidP="007B186C">
            <w:pPr>
              <w:pStyle w:val="TableText1"/>
            </w:pPr>
            <w:r w:rsidRPr="00DE1AF3">
              <w:t>ING002</w:t>
            </w:r>
          </w:p>
        </w:tc>
        <w:tc>
          <w:tcPr>
            <w:tcW w:w="3412" w:type="dxa"/>
            <w:tcBorders>
              <w:bottom w:val="single" w:sz="4" w:space="0" w:color="31849B"/>
            </w:tcBorders>
            <w:shd w:val="clear" w:color="000000" w:fill="FFFFFF"/>
            <w:vAlign w:val="center"/>
            <w:hideMark/>
          </w:tcPr>
          <w:p w14:paraId="0C1736CD" w14:textId="77777777" w:rsidR="00014062" w:rsidRPr="00DE1AF3" w:rsidRDefault="00014062" w:rsidP="007B186C">
            <w:pPr>
              <w:pStyle w:val="TableText1"/>
            </w:pPr>
            <w:r>
              <w:t>I</w:t>
            </w:r>
            <w:r w:rsidRPr="00940710">
              <w:t>ndependent evaluation of AusAID’s support to rural WASH in Timor-Leste</w:t>
            </w:r>
            <w:r>
              <w:t xml:space="preserve"> through the </w:t>
            </w:r>
            <w:r w:rsidRPr="00940710">
              <w:t>Rural Water Supply and Sanitation Program (RWSSP</w:t>
            </w:r>
            <w:r>
              <w:t>/BESIK</w:t>
            </w:r>
            <w:r w:rsidRPr="00940710">
              <w:t>)</w:t>
            </w:r>
          </w:p>
        </w:tc>
        <w:tc>
          <w:tcPr>
            <w:tcW w:w="1276" w:type="dxa"/>
            <w:tcBorders>
              <w:bottom w:val="single" w:sz="4" w:space="0" w:color="31849B"/>
            </w:tcBorders>
            <w:shd w:val="clear" w:color="000000" w:fill="FFFFFF"/>
            <w:noWrap/>
            <w:vAlign w:val="center"/>
            <w:hideMark/>
          </w:tcPr>
          <w:p w14:paraId="719E16AF" w14:textId="77777777" w:rsidR="00014062" w:rsidRPr="00DE1AF3" w:rsidRDefault="00014062" w:rsidP="007B186C">
            <w:pPr>
              <w:pStyle w:val="TableText1"/>
            </w:pPr>
            <w:r w:rsidRPr="00DE1AF3">
              <w:t>Timor-Leste</w:t>
            </w:r>
          </w:p>
        </w:tc>
        <w:tc>
          <w:tcPr>
            <w:tcW w:w="1537" w:type="dxa"/>
            <w:tcBorders>
              <w:bottom w:val="single" w:sz="4" w:space="0" w:color="31849B"/>
            </w:tcBorders>
            <w:shd w:val="clear" w:color="auto" w:fill="auto"/>
            <w:vAlign w:val="center"/>
            <w:hideMark/>
          </w:tcPr>
          <w:p w14:paraId="58D92AF6" w14:textId="77777777" w:rsidR="00014062" w:rsidRPr="00DE1AF3" w:rsidRDefault="00014062" w:rsidP="007B186C">
            <w:pPr>
              <w:pStyle w:val="TableText1"/>
            </w:pPr>
            <w:r w:rsidRPr="00DE1AF3">
              <w:t>Water and sanitation</w:t>
            </w:r>
          </w:p>
        </w:tc>
        <w:tc>
          <w:tcPr>
            <w:tcW w:w="1440" w:type="dxa"/>
            <w:tcBorders>
              <w:bottom w:val="single" w:sz="4" w:space="0" w:color="31849B"/>
            </w:tcBorders>
            <w:vAlign w:val="center"/>
          </w:tcPr>
          <w:p w14:paraId="1A08E20F" w14:textId="659CEB00" w:rsidR="00014062" w:rsidRPr="00DE1AF3" w:rsidRDefault="00014062" w:rsidP="007B186C">
            <w:pPr>
              <w:pStyle w:val="TableText1"/>
            </w:pPr>
            <w:r w:rsidRPr="00DE1AF3">
              <w:t>Yes</w:t>
            </w:r>
          </w:p>
        </w:tc>
        <w:tc>
          <w:tcPr>
            <w:tcW w:w="1276" w:type="dxa"/>
            <w:tcBorders>
              <w:bottom w:val="single" w:sz="4" w:space="0" w:color="31849B"/>
            </w:tcBorders>
            <w:vAlign w:val="center"/>
          </w:tcPr>
          <w:p w14:paraId="1E521515" w14:textId="1C26DD6A" w:rsidR="00014062" w:rsidRPr="00DE1AF3" w:rsidRDefault="00014062" w:rsidP="007B186C">
            <w:pPr>
              <w:pStyle w:val="TableText1"/>
            </w:pPr>
            <w:r w:rsidRPr="00DE1AF3">
              <w:t>Yes</w:t>
            </w:r>
          </w:p>
        </w:tc>
      </w:tr>
      <w:tr w:rsidR="00014062" w:rsidRPr="00DE1AF3" w14:paraId="4CD84126" w14:textId="77777777" w:rsidTr="007B56B7">
        <w:trPr>
          <w:cantSplit/>
          <w:trHeight w:val="900"/>
          <w:jc w:val="center"/>
        </w:trPr>
        <w:tc>
          <w:tcPr>
            <w:tcW w:w="1079" w:type="dxa"/>
            <w:shd w:val="clear" w:color="auto" w:fill="auto"/>
            <w:vAlign w:val="center"/>
            <w:hideMark/>
          </w:tcPr>
          <w:p w14:paraId="5F0A37D0" w14:textId="77777777" w:rsidR="00014062" w:rsidRPr="00DE1AF3" w:rsidRDefault="00014062" w:rsidP="007B186C">
            <w:pPr>
              <w:pStyle w:val="TableText1"/>
            </w:pPr>
            <w:r w:rsidRPr="00DE1AF3">
              <w:t>ING236</w:t>
            </w:r>
          </w:p>
        </w:tc>
        <w:tc>
          <w:tcPr>
            <w:tcW w:w="3412" w:type="dxa"/>
            <w:shd w:val="clear" w:color="000000" w:fill="FFFFFF"/>
            <w:vAlign w:val="center"/>
            <w:hideMark/>
          </w:tcPr>
          <w:p w14:paraId="260C0D11" w14:textId="77777777" w:rsidR="00014062" w:rsidRPr="00DE1AF3" w:rsidRDefault="00014062" w:rsidP="007B186C">
            <w:pPr>
              <w:pStyle w:val="TableText1"/>
            </w:pPr>
            <w:r w:rsidRPr="00DE1AF3">
              <w:t>South Asia Regional Program Evaluation</w:t>
            </w:r>
            <w:r>
              <w:t xml:space="preserve"> (</w:t>
            </w:r>
            <w:r w:rsidRPr="00940710">
              <w:t>AusAID-ADB South Asia Development Partnership Facility and AusAID-World Bank Facility for Decentralisation, Local Governance and Service Delivery</w:t>
            </w:r>
            <w:r>
              <w:t>)</w:t>
            </w:r>
          </w:p>
        </w:tc>
        <w:tc>
          <w:tcPr>
            <w:tcW w:w="1276" w:type="dxa"/>
            <w:shd w:val="clear" w:color="000000" w:fill="FFFFFF"/>
            <w:vAlign w:val="center"/>
            <w:hideMark/>
          </w:tcPr>
          <w:p w14:paraId="375E0B3C" w14:textId="77777777" w:rsidR="00014062" w:rsidRPr="00DE1AF3" w:rsidRDefault="00014062" w:rsidP="007B186C">
            <w:pPr>
              <w:pStyle w:val="TableText1"/>
            </w:pPr>
            <w:r w:rsidRPr="00DE1AF3">
              <w:t>Multicountry</w:t>
            </w:r>
          </w:p>
        </w:tc>
        <w:tc>
          <w:tcPr>
            <w:tcW w:w="1537" w:type="dxa"/>
            <w:shd w:val="clear" w:color="auto" w:fill="auto"/>
            <w:vAlign w:val="center"/>
            <w:hideMark/>
          </w:tcPr>
          <w:p w14:paraId="2DE1D045" w14:textId="77777777" w:rsidR="00014062" w:rsidRPr="00DE1AF3" w:rsidRDefault="00014062" w:rsidP="007B186C">
            <w:pPr>
              <w:pStyle w:val="TableText1"/>
            </w:pPr>
            <w:r>
              <w:t>General development support</w:t>
            </w:r>
          </w:p>
        </w:tc>
        <w:tc>
          <w:tcPr>
            <w:tcW w:w="1440" w:type="dxa"/>
            <w:vAlign w:val="center"/>
          </w:tcPr>
          <w:p w14:paraId="46B6A240" w14:textId="4FF050F7" w:rsidR="00014062" w:rsidRPr="00DE1AF3" w:rsidRDefault="00014062" w:rsidP="007B186C">
            <w:pPr>
              <w:pStyle w:val="TableText1"/>
            </w:pPr>
            <w:r w:rsidRPr="00DE1AF3">
              <w:t>Yes</w:t>
            </w:r>
          </w:p>
        </w:tc>
        <w:tc>
          <w:tcPr>
            <w:tcW w:w="1276" w:type="dxa"/>
            <w:vAlign w:val="center"/>
          </w:tcPr>
          <w:p w14:paraId="4AFFA7E1" w14:textId="61D515EA" w:rsidR="00014062" w:rsidRPr="00DE1AF3" w:rsidRDefault="00014062" w:rsidP="007B186C">
            <w:pPr>
              <w:pStyle w:val="TableText1"/>
            </w:pPr>
            <w:r w:rsidRPr="00DE1AF3">
              <w:t>Yes</w:t>
            </w:r>
          </w:p>
        </w:tc>
      </w:tr>
    </w:tbl>
    <w:p w14:paraId="431B05DB" w14:textId="77777777" w:rsidR="007B186C" w:rsidRDefault="007B186C" w:rsidP="007B186C">
      <w:pPr>
        <w:spacing w:before="57" w:after="142"/>
      </w:pPr>
      <w:r>
        <w:br w:type="page"/>
      </w:r>
    </w:p>
    <w:tbl>
      <w:tblPr>
        <w:tblW w:w="10033" w:type="dxa"/>
        <w:jc w:val="center"/>
        <w:tblBorders>
          <w:top w:val="single" w:sz="4" w:space="0" w:color="31849B"/>
          <w:bottom w:val="single" w:sz="4" w:space="0" w:color="31849B"/>
          <w:insideH w:val="single" w:sz="4" w:space="0" w:color="31849B"/>
        </w:tblBorders>
        <w:tblLayout w:type="fixed"/>
        <w:tblLook w:val="04A0" w:firstRow="1" w:lastRow="0" w:firstColumn="1" w:lastColumn="0" w:noHBand="0" w:noVBand="1"/>
      </w:tblPr>
      <w:tblGrid>
        <w:gridCol w:w="1079"/>
        <w:gridCol w:w="3412"/>
        <w:gridCol w:w="14"/>
        <w:gridCol w:w="1262"/>
        <w:gridCol w:w="14"/>
        <w:gridCol w:w="1529"/>
        <w:gridCol w:w="1418"/>
        <w:gridCol w:w="16"/>
        <w:gridCol w:w="1276"/>
        <w:gridCol w:w="13"/>
      </w:tblGrid>
      <w:tr w:rsidR="00014062" w:rsidRPr="001C2D74" w14:paraId="0A9E032E" w14:textId="77777777" w:rsidTr="007B56B7">
        <w:trPr>
          <w:cantSplit/>
          <w:trHeight w:val="795"/>
          <w:jc w:val="center"/>
        </w:trPr>
        <w:tc>
          <w:tcPr>
            <w:tcW w:w="1079" w:type="dxa"/>
            <w:shd w:val="clear" w:color="auto" w:fill="007FAD"/>
            <w:vAlign w:val="center"/>
            <w:hideMark/>
          </w:tcPr>
          <w:p w14:paraId="7EBC7F2B" w14:textId="77777777" w:rsidR="00014062" w:rsidRPr="00315553" w:rsidRDefault="00014062" w:rsidP="007B186C">
            <w:pPr>
              <w:pStyle w:val="TableHeading21"/>
              <w:rPr>
                <w:i w:val="0"/>
                <w:lang w:val="en-GB" w:eastAsia="en-GB"/>
              </w:rPr>
            </w:pPr>
            <w:r w:rsidRPr="00315553">
              <w:rPr>
                <w:i w:val="0"/>
                <w:lang w:val="en-GB" w:eastAsia="en-GB"/>
              </w:rPr>
              <w:lastRenderedPageBreak/>
              <w:t xml:space="preserve">Initiative </w:t>
            </w:r>
            <w:r>
              <w:rPr>
                <w:i w:val="0"/>
                <w:lang w:val="en-GB" w:eastAsia="en-GB"/>
              </w:rPr>
              <w:t>number</w:t>
            </w:r>
          </w:p>
        </w:tc>
        <w:tc>
          <w:tcPr>
            <w:tcW w:w="3426" w:type="dxa"/>
            <w:gridSpan w:val="2"/>
            <w:shd w:val="clear" w:color="auto" w:fill="007FAD"/>
            <w:vAlign w:val="center"/>
            <w:hideMark/>
          </w:tcPr>
          <w:p w14:paraId="206781F2" w14:textId="77777777" w:rsidR="00014062" w:rsidRPr="00315553" w:rsidRDefault="00014062" w:rsidP="007B186C">
            <w:pPr>
              <w:pStyle w:val="TableHeading21"/>
              <w:rPr>
                <w:i w:val="0"/>
                <w:lang w:val="en-GB" w:eastAsia="en-GB"/>
              </w:rPr>
            </w:pPr>
            <w:r w:rsidRPr="00315553">
              <w:rPr>
                <w:i w:val="0"/>
                <w:lang w:val="en-GB" w:eastAsia="en-GB"/>
              </w:rPr>
              <w:t>Evaluation title</w:t>
            </w:r>
          </w:p>
        </w:tc>
        <w:tc>
          <w:tcPr>
            <w:tcW w:w="1276" w:type="dxa"/>
            <w:gridSpan w:val="2"/>
            <w:shd w:val="clear" w:color="auto" w:fill="007FAD"/>
            <w:vAlign w:val="center"/>
            <w:hideMark/>
          </w:tcPr>
          <w:p w14:paraId="3DF0D4FD" w14:textId="77777777" w:rsidR="00014062" w:rsidRPr="00315553" w:rsidRDefault="00014062" w:rsidP="007B186C">
            <w:pPr>
              <w:pStyle w:val="TableHeading21"/>
              <w:rPr>
                <w:i w:val="0"/>
                <w:lang w:val="en-GB" w:eastAsia="en-GB"/>
              </w:rPr>
            </w:pPr>
            <w:r w:rsidRPr="00315553">
              <w:rPr>
                <w:i w:val="0"/>
                <w:lang w:val="en-GB" w:eastAsia="en-GB"/>
              </w:rPr>
              <w:t>Country</w:t>
            </w:r>
          </w:p>
        </w:tc>
        <w:tc>
          <w:tcPr>
            <w:tcW w:w="1529" w:type="dxa"/>
            <w:shd w:val="clear" w:color="auto" w:fill="007FAD"/>
            <w:vAlign w:val="center"/>
            <w:hideMark/>
          </w:tcPr>
          <w:p w14:paraId="5B27D0F7" w14:textId="77777777" w:rsidR="00014062" w:rsidRPr="00315553" w:rsidRDefault="00014062" w:rsidP="007B186C">
            <w:pPr>
              <w:pStyle w:val="TableHeading21"/>
              <w:rPr>
                <w:i w:val="0"/>
                <w:lang w:val="en-GB" w:eastAsia="en-GB"/>
              </w:rPr>
            </w:pPr>
            <w:r w:rsidRPr="00315553">
              <w:rPr>
                <w:i w:val="0"/>
                <w:lang w:val="en-GB" w:eastAsia="en-GB"/>
              </w:rPr>
              <w:t>Primary sector</w:t>
            </w:r>
          </w:p>
        </w:tc>
        <w:tc>
          <w:tcPr>
            <w:tcW w:w="1418" w:type="dxa"/>
            <w:shd w:val="clear" w:color="auto" w:fill="007FAD"/>
          </w:tcPr>
          <w:p w14:paraId="332D182C" w14:textId="5F0F9D1C" w:rsidR="00014062" w:rsidRPr="00315553" w:rsidRDefault="00014062" w:rsidP="007B186C">
            <w:pPr>
              <w:pStyle w:val="TableHeading21"/>
              <w:rPr>
                <w:i w:val="0"/>
                <w:lang w:val="en-GB" w:eastAsia="en-GB"/>
              </w:rPr>
            </w:pPr>
            <w:r>
              <w:rPr>
                <w:i w:val="0"/>
                <w:lang w:val="en-GB" w:eastAsia="en-GB"/>
              </w:rPr>
              <w:t>Evidence and analysis assessed as credible?</w:t>
            </w:r>
          </w:p>
        </w:tc>
        <w:tc>
          <w:tcPr>
            <w:tcW w:w="1305" w:type="dxa"/>
            <w:gridSpan w:val="3"/>
            <w:shd w:val="clear" w:color="auto" w:fill="007FAD"/>
            <w:vAlign w:val="center"/>
          </w:tcPr>
          <w:p w14:paraId="21887284" w14:textId="3530FB7F" w:rsidR="00014062" w:rsidRPr="00315553" w:rsidRDefault="00014062" w:rsidP="007B186C">
            <w:pPr>
              <w:pStyle w:val="TableHeading21"/>
              <w:rPr>
                <w:i w:val="0"/>
                <w:lang w:val="en-GB" w:eastAsia="en-GB"/>
              </w:rPr>
            </w:pPr>
            <w:r w:rsidRPr="00315553">
              <w:rPr>
                <w:i w:val="0"/>
                <w:lang w:val="en-GB" w:eastAsia="en-GB"/>
              </w:rPr>
              <w:t>Published on DFAT website?</w:t>
            </w:r>
          </w:p>
        </w:tc>
      </w:tr>
      <w:tr w:rsidR="00DA5E9A" w:rsidRPr="00DE1AF3" w14:paraId="585F8365" w14:textId="77777777" w:rsidTr="007B56B7">
        <w:trPr>
          <w:gridAfter w:val="1"/>
          <w:wAfter w:w="13" w:type="dxa"/>
          <w:cantSplit/>
          <w:trHeight w:val="900"/>
          <w:jc w:val="center"/>
        </w:trPr>
        <w:tc>
          <w:tcPr>
            <w:tcW w:w="1079" w:type="dxa"/>
            <w:tcBorders>
              <w:top w:val="single" w:sz="4" w:space="0" w:color="31849B"/>
              <w:bottom w:val="single" w:sz="4" w:space="0" w:color="31849B"/>
              <w:right w:val="nil"/>
            </w:tcBorders>
            <w:shd w:val="clear" w:color="auto" w:fill="auto"/>
            <w:noWrap/>
            <w:vAlign w:val="center"/>
            <w:hideMark/>
          </w:tcPr>
          <w:p w14:paraId="0A14634B" w14:textId="77777777" w:rsidR="00DA5E9A" w:rsidRPr="00CF0A8A" w:rsidRDefault="00DA5E9A" w:rsidP="00196528">
            <w:pPr>
              <w:pStyle w:val="TableText1"/>
              <w:rPr>
                <w:lang w:val="en-GB" w:eastAsia="en-GB"/>
              </w:rPr>
            </w:pPr>
            <w:r w:rsidRPr="00CF0A8A">
              <w:rPr>
                <w:lang w:val="en-GB" w:eastAsia="en-GB"/>
              </w:rPr>
              <w:t>ING357</w:t>
            </w:r>
          </w:p>
        </w:tc>
        <w:tc>
          <w:tcPr>
            <w:tcW w:w="3412" w:type="dxa"/>
            <w:tcBorders>
              <w:top w:val="single" w:sz="4" w:space="0" w:color="31849B"/>
              <w:left w:val="nil"/>
              <w:bottom w:val="single" w:sz="4" w:space="0" w:color="31849B"/>
              <w:right w:val="nil"/>
            </w:tcBorders>
            <w:shd w:val="clear" w:color="000000" w:fill="FFFFFF"/>
            <w:vAlign w:val="center"/>
            <w:hideMark/>
          </w:tcPr>
          <w:p w14:paraId="4B31DA02" w14:textId="77777777" w:rsidR="00DA5E9A" w:rsidRPr="00CF0A8A" w:rsidRDefault="00DA5E9A" w:rsidP="00196528">
            <w:pPr>
              <w:pStyle w:val="TableText1"/>
              <w:rPr>
                <w:lang w:val="en-GB" w:eastAsia="en-GB"/>
              </w:rPr>
            </w:pPr>
            <w:r w:rsidRPr="00CF0A8A">
              <w:rPr>
                <w:lang w:val="en-GB" w:eastAsia="en-GB"/>
              </w:rPr>
              <w:t>Evaluation of Public Sector Capability Development Program (PSCDP) in Timor-Leste</w:t>
            </w:r>
          </w:p>
        </w:tc>
        <w:tc>
          <w:tcPr>
            <w:tcW w:w="1276" w:type="dxa"/>
            <w:gridSpan w:val="2"/>
            <w:tcBorders>
              <w:top w:val="single" w:sz="4" w:space="0" w:color="31849B"/>
              <w:left w:val="nil"/>
              <w:bottom w:val="single" w:sz="4" w:space="0" w:color="31849B"/>
              <w:right w:val="nil"/>
            </w:tcBorders>
            <w:shd w:val="clear" w:color="000000" w:fill="FFFFFF"/>
            <w:noWrap/>
            <w:vAlign w:val="center"/>
            <w:hideMark/>
          </w:tcPr>
          <w:p w14:paraId="52856D8B" w14:textId="77777777" w:rsidR="00DA5E9A" w:rsidRPr="00CF0A8A" w:rsidRDefault="00DA5E9A" w:rsidP="00196528">
            <w:pPr>
              <w:pStyle w:val="TableText1"/>
              <w:rPr>
                <w:lang w:val="en-GB" w:eastAsia="en-GB"/>
              </w:rPr>
            </w:pPr>
            <w:r w:rsidRPr="00CF0A8A">
              <w:rPr>
                <w:lang w:val="en-GB" w:eastAsia="en-GB"/>
              </w:rPr>
              <w:t>Timor-Leste</w:t>
            </w:r>
          </w:p>
        </w:tc>
        <w:tc>
          <w:tcPr>
            <w:tcW w:w="1543" w:type="dxa"/>
            <w:gridSpan w:val="2"/>
            <w:tcBorders>
              <w:top w:val="single" w:sz="4" w:space="0" w:color="31849B"/>
              <w:left w:val="nil"/>
              <w:bottom w:val="single" w:sz="4" w:space="0" w:color="31849B"/>
              <w:right w:val="nil"/>
            </w:tcBorders>
            <w:shd w:val="clear" w:color="auto" w:fill="auto"/>
            <w:vAlign w:val="center"/>
            <w:hideMark/>
          </w:tcPr>
          <w:p w14:paraId="63C86022" w14:textId="77777777" w:rsidR="00DA5E9A" w:rsidRPr="00CF0A8A" w:rsidRDefault="00DA5E9A" w:rsidP="00196528">
            <w:pPr>
              <w:pStyle w:val="TableText1"/>
              <w:rPr>
                <w:lang w:val="en-GB" w:eastAsia="en-GB"/>
              </w:rPr>
            </w:pPr>
            <w:r w:rsidRPr="00CF0A8A">
              <w:rPr>
                <w:lang w:val="en-GB" w:eastAsia="en-GB"/>
              </w:rPr>
              <w:t>Improved government</w:t>
            </w:r>
          </w:p>
        </w:tc>
        <w:tc>
          <w:tcPr>
            <w:tcW w:w="1434" w:type="dxa"/>
            <w:gridSpan w:val="2"/>
            <w:tcBorders>
              <w:top w:val="single" w:sz="4" w:space="0" w:color="31849B"/>
              <w:left w:val="nil"/>
              <w:bottom w:val="single" w:sz="4" w:space="0" w:color="31849B"/>
              <w:right w:val="nil"/>
            </w:tcBorders>
            <w:vAlign w:val="center"/>
          </w:tcPr>
          <w:p w14:paraId="191CF51C" w14:textId="77777777" w:rsidR="00DA5E9A" w:rsidRPr="00CF0A8A" w:rsidRDefault="00DA5E9A" w:rsidP="00196528">
            <w:pPr>
              <w:pStyle w:val="TableText1"/>
              <w:rPr>
                <w:lang w:val="en-GB" w:eastAsia="en-GB"/>
              </w:rPr>
            </w:pPr>
            <w:r w:rsidRPr="00DE1AF3">
              <w:t>Yes</w:t>
            </w:r>
          </w:p>
        </w:tc>
        <w:tc>
          <w:tcPr>
            <w:tcW w:w="1276" w:type="dxa"/>
            <w:tcBorders>
              <w:top w:val="single" w:sz="4" w:space="0" w:color="31849B"/>
              <w:left w:val="nil"/>
              <w:bottom w:val="single" w:sz="4" w:space="0" w:color="31849B"/>
            </w:tcBorders>
            <w:vAlign w:val="center"/>
          </w:tcPr>
          <w:p w14:paraId="06F3F736" w14:textId="6C94094E" w:rsidR="00DA5E9A" w:rsidRPr="00CF0A8A" w:rsidRDefault="00DA5E9A" w:rsidP="00196528">
            <w:pPr>
              <w:pStyle w:val="TableText1"/>
              <w:rPr>
                <w:lang w:val="en-GB" w:eastAsia="en-GB"/>
              </w:rPr>
            </w:pPr>
            <w:r w:rsidRPr="00CF0A8A">
              <w:rPr>
                <w:lang w:val="en-GB" w:eastAsia="en-GB"/>
              </w:rPr>
              <w:t>Yes</w:t>
            </w:r>
          </w:p>
        </w:tc>
      </w:tr>
      <w:tr w:rsidR="00014062" w:rsidRPr="00DE1AF3" w14:paraId="38FBCD4F" w14:textId="77777777" w:rsidTr="007B56B7">
        <w:trPr>
          <w:cantSplit/>
          <w:trHeight w:val="900"/>
          <w:jc w:val="center"/>
        </w:trPr>
        <w:tc>
          <w:tcPr>
            <w:tcW w:w="1079" w:type="dxa"/>
            <w:tcBorders>
              <w:top w:val="single" w:sz="4" w:space="0" w:color="31849B"/>
              <w:bottom w:val="single" w:sz="4" w:space="0" w:color="31849B"/>
              <w:right w:val="nil"/>
            </w:tcBorders>
            <w:shd w:val="clear" w:color="auto" w:fill="auto"/>
            <w:noWrap/>
            <w:vAlign w:val="center"/>
            <w:hideMark/>
          </w:tcPr>
          <w:p w14:paraId="6AECAB4A" w14:textId="77777777" w:rsidR="00014062" w:rsidRPr="00CF0A8A" w:rsidRDefault="00014062" w:rsidP="007B186C">
            <w:pPr>
              <w:pStyle w:val="TableText1"/>
              <w:rPr>
                <w:lang w:val="en-GB" w:eastAsia="en-GB"/>
              </w:rPr>
            </w:pPr>
            <w:r w:rsidRPr="00CF0A8A">
              <w:rPr>
                <w:lang w:val="en-GB" w:eastAsia="en-GB"/>
              </w:rPr>
              <w:t>ING406</w:t>
            </w:r>
          </w:p>
        </w:tc>
        <w:tc>
          <w:tcPr>
            <w:tcW w:w="3426" w:type="dxa"/>
            <w:gridSpan w:val="2"/>
            <w:tcBorders>
              <w:top w:val="single" w:sz="4" w:space="0" w:color="31849B"/>
              <w:left w:val="nil"/>
              <w:bottom w:val="single" w:sz="4" w:space="0" w:color="31849B"/>
              <w:right w:val="nil"/>
            </w:tcBorders>
            <w:shd w:val="clear" w:color="000000" w:fill="FFFFFF"/>
            <w:vAlign w:val="center"/>
            <w:hideMark/>
          </w:tcPr>
          <w:p w14:paraId="14741CD6" w14:textId="77777777" w:rsidR="00014062" w:rsidRPr="00CF0A8A" w:rsidRDefault="00014062" w:rsidP="007B186C">
            <w:pPr>
              <w:pStyle w:val="TableText1"/>
              <w:rPr>
                <w:lang w:val="en-GB" w:eastAsia="en-GB"/>
              </w:rPr>
            </w:pPr>
            <w:r w:rsidRPr="00CF0A8A">
              <w:rPr>
                <w:lang w:val="en-GB" w:eastAsia="en-GB"/>
              </w:rPr>
              <w:t>Independent Progress Review of Eastern Indonesia Road Improvement Program</w:t>
            </w:r>
          </w:p>
        </w:tc>
        <w:tc>
          <w:tcPr>
            <w:tcW w:w="1276" w:type="dxa"/>
            <w:gridSpan w:val="2"/>
            <w:tcBorders>
              <w:top w:val="single" w:sz="4" w:space="0" w:color="31849B"/>
              <w:left w:val="nil"/>
              <w:bottom w:val="single" w:sz="4" w:space="0" w:color="31849B"/>
              <w:right w:val="nil"/>
            </w:tcBorders>
            <w:shd w:val="clear" w:color="000000" w:fill="FFFFFF"/>
            <w:noWrap/>
            <w:vAlign w:val="center"/>
            <w:hideMark/>
          </w:tcPr>
          <w:p w14:paraId="4583073F" w14:textId="77777777" w:rsidR="00014062" w:rsidRPr="00CF0A8A" w:rsidRDefault="00014062" w:rsidP="007B186C">
            <w:pPr>
              <w:pStyle w:val="TableText1"/>
              <w:rPr>
                <w:lang w:val="en-GB" w:eastAsia="en-GB"/>
              </w:rPr>
            </w:pPr>
            <w:r w:rsidRPr="00CF0A8A">
              <w:rPr>
                <w:lang w:val="en-GB" w:eastAsia="en-GB"/>
              </w:rPr>
              <w:t>Indonesia</w:t>
            </w:r>
          </w:p>
        </w:tc>
        <w:tc>
          <w:tcPr>
            <w:tcW w:w="1529" w:type="dxa"/>
            <w:tcBorders>
              <w:top w:val="single" w:sz="4" w:space="0" w:color="31849B"/>
              <w:left w:val="nil"/>
              <w:bottom w:val="single" w:sz="4" w:space="0" w:color="31849B"/>
              <w:right w:val="nil"/>
            </w:tcBorders>
            <w:shd w:val="clear" w:color="auto" w:fill="auto"/>
            <w:vAlign w:val="center"/>
            <w:hideMark/>
          </w:tcPr>
          <w:p w14:paraId="4EB9DCFE" w14:textId="77777777" w:rsidR="00014062" w:rsidRPr="00CF0A8A" w:rsidRDefault="00014062" w:rsidP="007B186C">
            <w:pPr>
              <w:pStyle w:val="TableText1"/>
              <w:rPr>
                <w:lang w:val="en-GB" w:eastAsia="en-GB"/>
              </w:rPr>
            </w:pPr>
            <w:r w:rsidRPr="00CF0A8A">
              <w:rPr>
                <w:lang w:val="en-GB" w:eastAsia="en-GB"/>
              </w:rPr>
              <w:t>Infrastructure</w:t>
            </w:r>
          </w:p>
        </w:tc>
        <w:tc>
          <w:tcPr>
            <w:tcW w:w="1418" w:type="dxa"/>
            <w:tcBorders>
              <w:top w:val="single" w:sz="4" w:space="0" w:color="31849B"/>
              <w:left w:val="nil"/>
              <w:bottom w:val="single" w:sz="4" w:space="0" w:color="31849B"/>
              <w:right w:val="nil"/>
            </w:tcBorders>
            <w:vAlign w:val="center"/>
          </w:tcPr>
          <w:p w14:paraId="30AD28AB" w14:textId="5A8C0731" w:rsidR="00014062" w:rsidRPr="00CF0A8A" w:rsidRDefault="00014062" w:rsidP="007B186C">
            <w:pPr>
              <w:pStyle w:val="TableText1"/>
              <w:rPr>
                <w:lang w:val="en-GB" w:eastAsia="en-GB"/>
              </w:rPr>
            </w:pPr>
            <w:r w:rsidRPr="00CF0A8A">
              <w:rPr>
                <w:lang w:val="en-GB" w:eastAsia="en-GB"/>
              </w:rPr>
              <w:t>Yes</w:t>
            </w:r>
          </w:p>
        </w:tc>
        <w:tc>
          <w:tcPr>
            <w:tcW w:w="1305" w:type="dxa"/>
            <w:gridSpan w:val="3"/>
            <w:tcBorders>
              <w:top w:val="single" w:sz="4" w:space="0" w:color="31849B"/>
              <w:left w:val="nil"/>
              <w:bottom w:val="single" w:sz="4" w:space="0" w:color="31849B"/>
            </w:tcBorders>
            <w:vAlign w:val="center"/>
          </w:tcPr>
          <w:p w14:paraId="4B5FE5B2" w14:textId="64050C13" w:rsidR="00014062" w:rsidRPr="00CF0A8A" w:rsidRDefault="00014062" w:rsidP="007B186C">
            <w:pPr>
              <w:pStyle w:val="TableText1"/>
              <w:rPr>
                <w:lang w:val="en-GB" w:eastAsia="en-GB"/>
              </w:rPr>
            </w:pPr>
            <w:r w:rsidRPr="00CF0A8A">
              <w:rPr>
                <w:lang w:val="en-GB" w:eastAsia="en-GB"/>
              </w:rPr>
              <w:t>Yes</w:t>
            </w:r>
          </w:p>
        </w:tc>
      </w:tr>
      <w:tr w:rsidR="00014062" w:rsidRPr="00DE1AF3" w14:paraId="4C1C30CA" w14:textId="77777777" w:rsidTr="007B56B7">
        <w:trPr>
          <w:cantSplit/>
          <w:trHeight w:val="900"/>
          <w:jc w:val="center"/>
        </w:trPr>
        <w:tc>
          <w:tcPr>
            <w:tcW w:w="1079" w:type="dxa"/>
            <w:tcBorders>
              <w:bottom w:val="single" w:sz="4" w:space="0" w:color="31849B"/>
            </w:tcBorders>
            <w:shd w:val="clear" w:color="auto" w:fill="auto"/>
            <w:noWrap/>
            <w:vAlign w:val="center"/>
            <w:hideMark/>
          </w:tcPr>
          <w:p w14:paraId="2F001BE7" w14:textId="77777777" w:rsidR="00014062" w:rsidRPr="00DE1AF3" w:rsidRDefault="00014062" w:rsidP="007B186C">
            <w:pPr>
              <w:pStyle w:val="TableText1"/>
              <w:rPr>
                <w:lang w:val="en-GB" w:eastAsia="en-GB"/>
              </w:rPr>
            </w:pPr>
            <w:r w:rsidRPr="00DE1AF3">
              <w:rPr>
                <w:lang w:val="en-GB" w:eastAsia="en-GB"/>
              </w:rPr>
              <w:t>ING661</w:t>
            </w:r>
          </w:p>
        </w:tc>
        <w:tc>
          <w:tcPr>
            <w:tcW w:w="3426" w:type="dxa"/>
            <w:gridSpan w:val="2"/>
            <w:tcBorders>
              <w:bottom w:val="single" w:sz="4" w:space="0" w:color="31849B"/>
            </w:tcBorders>
            <w:shd w:val="clear" w:color="000000" w:fill="FFFFFF"/>
            <w:vAlign w:val="center"/>
            <w:hideMark/>
          </w:tcPr>
          <w:p w14:paraId="323B3C58" w14:textId="77777777" w:rsidR="00014062" w:rsidRPr="00DE1AF3" w:rsidRDefault="00014062" w:rsidP="007B186C">
            <w:pPr>
              <w:pStyle w:val="TableText1"/>
              <w:rPr>
                <w:lang w:val="en-GB" w:eastAsia="en-GB"/>
              </w:rPr>
            </w:pPr>
            <w:r>
              <w:rPr>
                <w:lang w:val="en-GB" w:eastAsia="en-GB"/>
              </w:rPr>
              <w:t>Final Evaluation Report</w:t>
            </w:r>
            <w:r w:rsidRPr="00DE1AF3">
              <w:rPr>
                <w:lang w:val="en-GB" w:eastAsia="en-GB"/>
              </w:rPr>
              <w:t xml:space="preserve"> </w:t>
            </w:r>
            <w:r>
              <w:rPr>
                <w:lang w:val="en-GB" w:eastAsia="en-GB"/>
              </w:rPr>
              <w:t xml:space="preserve">for </w:t>
            </w:r>
            <w:r w:rsidRPr="00DE1AF3">
              <w:rPr>
                <w:lang w:val="en-GB" w:eastAsia="en-GB"/>
              </w:rPr>
              <w:t xml:space="preserve">Rakhine Rural Household Livelihood Security Project (RRHLSP) </w:t>
            </w:r>
          </w:p>
        </w:tc>
        <w:tc>
          <w:tcPr>
            <w:tcW w:w="1276" w:type="dxa"/>
            <w:gridSpan w:val="2"/>
            <w:tcBorders>
              <w:bottom w:val="single" w:sz="4" w:space="0" w:color="31849B"/>
            </w:tcBorders>
            <w:shd w:val="clear" w:color="000000" w:fill="FFFFFF"/>
            <w:noWrap/>
            <w:vAlign w:val="center"/>
            <w:hideMark/>
          </w:tcPr>
          <w:p w14:paraId="2586C420" w14:textId="77777777" w:rsidR="00014062" w:rsidRPr="00DE1AF3" w:rsidRDefault="00014062" w:rsidP="007B186C">
            <w:pPr>
              <w:pStyle w:val="TableText1"/>
              <w:rPr>
                <w:lang w:val="en-GB" w:eastAsia="en-GB"/>
              </w:rPr>
            </w:pPr>
            <w:r w:rsidRPr="00DE1AF3">
              <w:rPr>
                <w:lang w:val="en-GB" w:eastAsia="en-GB"/>
              </w:rPr>
              <w:t>Myanmar</w:t>
            </w:r>
          </w:p>
        </w:tc>
        <w:tc>
          <w:tcPr>
            <w:tcW w:w="1529" w:type="dxa"/>
            <w:tcBorders>
              <w:bottom w:val="single" w:sz="4" w:space="0" w:color="31849B"/>
            </w:tcBorders>
            <w:shd w:val="clear" w:color="auto" w:fill="auto"/>
            <w:vAlign w:val="center"/>
            <w:hideMark/>
          </w:tcPr>
          <w:p w14:paraId="3E1ED664" w14:textId="77777777" w:rsidR="00014062" w:rsidRPr="00DE1AF3" w:rsidRDefault="00014062" w:rsidP="007B186C">
            <w:pPr>
              <w:pStyle w:val="TableText1"/>
              <w:rPr>
                <w:lang w:val="en-GB" w:eastAsia="en-GB"/>
              </w:rPr>
            </w:pPr>
            <w:r w:rsidRPr="00DE1AF3">
              <w:rPr>
                <w:lang w:val="en-GB" w:eastAsia="en-GB"/>
              </w:rPr>
              <w:t>Rural development and food security</w:t>
            </w:r>
          </w:p>
        </w:tc>
        <w:tc>
          <w:tcPr>
            <w:tcW w:w="1418" w:type="dxa"/>
            <w:tcBorders>
              <w:bottom w:val="single" w:sz="4" w:space="0" w:color="31849B"/>
            </w:tcBorders>
            <w:vAlign w:val="center"/>
          </w:tcPr>
          <w:p w14:paraId="1284843A" w14:textId="48FCDA29" w:rsidR="00014062" w:rsidRPr="00DE1AF3" w:rsidRDefault="00014062" w:rsidP="007B186C">
            <w:pPr>
              <w:pStyle w:val="TableText1"/>
              <w:rPr>
                <w:lang w:val="en-GB" w:eastAsia="en-GB"/>
              </w:rPr>
            </w:pPr>
            <w:r w:rsidRPr="00CF0A8A">
              <w:rPr>
                <w:lang w:val="en-GB" w:eastAsia="en-GB"/>
              </w:rPr>
              <w:t>Yes</w:t>
            </w:r>
          </w:p>
        </w:tc>
        <w:tc>
          <w:tcPr>
            <w:tcW w:w="1305" w:type="dxa"/>
            <w:gridSpan w:val="3"/>
            <w:tcBorders>
              <w:bottom w:val="single" w:sz="4" w:space="0" w:color="31849B"/>
            </w:tcBorders>
            <w:vAlign w:val="center"/>
          </w:tcPr>
          <w:p w14:paraId="4013A134" w14:textId="7DFDF3F2" w:rsidR="00014062" w:rsidRPr="00DE1AF3" w:rsidRDefault="00014062" w:rsidP="007B186C">
            <w:pPr>
              <w:pStyle w:val="TableText1"/>
              <w:rPr>
                <w:lang w:val="en-GB" w:eastAsia="en-GB"/>
              </w:rPr>
            </w:pPr>
            <w:r w:rsidRPr="00DE1AF3">
              <w:rPr>
                <w:lang w:val="en-GB" w:eastAsia="en-GB"/>
              </w:rPr>
              <w:t>No</w:t>
            </w:r>
          </w:p>
        </w:tc>
      </w:tr>
      <w:tr w:rsidR="00014062" w:rsidRPr="00DE1AF3" w14:paraId="236C228E" w14:textId="77777777" w:rsidTr="007B56B7">
        <w:trPr>
          <w:cantSplit/>
          <w:trHeight w:val="900"/>
          <w:jc w:val="center"/>
        </w:trPr>
        <w:tc>
          <w:tcPr>
            <w:tcW w:w="1079" w:type="dxa"/>
            <w:shd w:val="clear" w:color="auto" w:fill="auto"/>
            <w:vAlign w:val="center"/>
            <w:hideMark/>
          </w:tcPr>
          <w:p w14:paraId="70889A9C" w14:textId="77777777" w:rsidR="00014062" w:rsidRPr="00DE1AF3" w:rsidRDefault="00014062" w:rsidP="007B186C">
            <w:pPr>
              <w:pStyle w:val="TableText1"/>
              <w:rPr>
                <w:lang w:val="en-GB" w:eastAsia="en-GB"/>
              </w:rPr>
            </w:pPr>
            <w:r w:rsidRPr="00DE1AF3">
              <w:rPr>
                <w:lang w:val="en-GB" w:eastAsia="en-GB"/>
              </w:rPr>
              <w:t>ING723</w:t>
            </w:r>
          </w:p>
        </w:tc>
        <w:tc>
          <w:tcPr>
            <w:tcW w:w="3426" w:type="dxa"/>
            <w:gridSpan w:val="2"/>
            <w:shd w:val="clear" w:color="000000" w:fill="FFFFFF"/>
            <w:vAlign w:val="center"/>
            <w:hideMark/>
          </w:tcPr>
          <w:p w14:paraId="43A03BB9" w14:textId="77777777" w:rsidR="00014062" w:rsidRPr="00DE1AF3" w:rsidRDefault="00014062" w:rsidP="007B186C">
            <w:pPr>
              <w:pStyle w:val="TableText1"/>
              <w:rPr>
                <w:lang w:val="en-GB" w:eastAsia="en-GB"/>
              </w:rPr>
            </w:pPr>
            <w:r w:rsidRPr="00DE1AF3">
              <w:rPr>
                <w:lang w:val="en-GB" w:eastAsia="en-GB"/>
              </w:rPr>
              <w:t>ODE Evaluation of</w:t>
            </w:r>
            <w:r>
              <w:rPr>
                <w:lang w:val="en-GB" w:eastAsia="en-GB"/>
              </w:rPr>
              <w:t xml:space="preserve"> Australian</w:t>
            </w:r>
            <w:r w:rsidRPr="00DE1AF3">
              <w:rPr>
                <w:lang w:val="en-GB" w:eastAsia="en-GB"/>
              </w:rPr>
              <w:t xml:space="preserve"> Law and Justice </w:t>
            </w:r>
            <w:r>
              <w:rPr>
                <w:lang w:val="en-GB" w:eastAsia="en-GB"/>
              </w:rPr>
              <w:t>A</w:t>
            </w:r>
            <w:r w:rsidRPr="00DE1AF3">
              <w:rPr>
                <w:lang w:val="en-GB" w:eastAsia="en-GB"/>
              </w:rPr>
              <w:t>ssistance</w:t>
            </w:r>
            <w:r>
              <w:rPr>
                <w:lang w:val="en-GB" w:eastAsia="en-GB"/>
              </w:rPr>
              <w:t>:</w:t>
            </w:r>
            <w:r w:rsidRPr="00DE1AF3">
              <w:rPr>
                <w:lang w:val="en-GB" w:eastAsia="en-GB"/>
              </w:rPr>
              <w:t xml:space="preserve"> Cambodia case study</w:t>
            </w:r>
          </w:p>
        </w:tc>
        <w:tc>
          <w:tcPr>
            <w:tcW w:w="1276" w:type="dxa"/>
            <w:gridSpan w:val="2"/>
            <w:shd w:val="clear" w:color="000000" w:fill="FFFFFF"/>
            <w:noWrap/>
            <w:vAlign w:val="center"/>
            <w:hideMark/>
          </w:tcPr>
          <w:p w14:paraId="751FF501" w14:textId="77777777" w:rsidR="00014062" w:rsidRPr="00DE1AF3" w:rsidRDefault="00014062" w:rsidP="007B186C">
            <w:pPr>
              <w:pStyle w:val="TableText1"/>
              <w:rPr>
                <w:lang w:val="en-GB" w:eastAsia="en-GB"/>
              </w:rPr>
            </w:pPr>
            <w:r w:rsidRPr="00DE1AF3">
              <w:rPr>
                <w:lang w:val="en-GB" w:eastAsia="en-GB"/>
              </w:rPr>
              <w:t>Cambodia</w:t>
            </w:r>
          </w:p>
        </w:tc>
        <w:tc>
          <w:tcPr>
            <w:tcW w:w="1529" w:type="dxa"/>
            <w:shd w:val="clear" w:color="auto" w:fill="auto"/>
            <w:vAlign w:val="center"/>
            <w:hideMark/>
          </w:tcPr>
          <w:p w14:paraId="66072E88" w14:textId="77777777" w:rsidR="00014062" w:rsidRPr="00DE1AF3" w:rsidRDefault="00014062" w:rsidP="007B186C">
            <w:pPr>
              <w:pStyle w:val="TableText1"/>
              <w:rPr>
                <w:lang w:val="en-GB" w:eastAsia="en-GB"/>
              </w:rPr>
            </w:pPr>
            <w:r>
              <w:rPr>
                <w:lang w:val="en-GB" w:eastAsia="en-GB"/>
              </w:rPr>
              <w:t>Security</w:t>
            </w:r>
            <w:r w:rsidRPr="00DE1AF3">
              <w:rPr>
                <w:lang w:val="en-GB" w:eastAsia="en-GB"/>
              </w:rPr>
              <w:t xml:space="preserve"> and justice</w:t>
            </w:r>
          </w:p>
        </w:tc>
        <w:tc>
          <w:tcPr>
            <w:tcW w:w="1418" w:type="dxa"/>
            <w:vAlign w:val="center"/>
          </w:tcPr>
          <w:p w14:paraId="7AB1BF5B" w14:textId="274A3E4C" w:rsidR="00014062" w:rsidRPr="00DE1AF3" w:rsidRDefault="00014062" w:rsidP="007B186C">
            <w:pPr>
              <w:pStyle w:val="TableText1"/>
              <w:rPr>
                <w:lang w:val="en-GB" w:eastAsia="en-GB"/>
              </w:rPr>
            </w:pPr>
            <w:r w:rsidRPr="00CF0A8A">
              <w:rPr>
                <w:lang w:val="en-GB" w:eastAsia="en-GB"/>
              </w:rPr>
              <w:t>Yes</w:t>
            </w:r>
          </w:p>
        </w:tc>
        <w:tc>
          <w:tcPr>
            <w:tcW w:w="1305" w:type="dxa"/>
            <w:gridSpan w:val="3"/>
            <w:vAlign w:val="center"/>
          </w:tcPr>
          <w:p w14:paraId="3C910B52" w14:textId="00D15B8C" w:rsidR="00014062" w:rsidRPr="00DE1AF3" w:rsidRDefault="00014062" w:rsidP="007B186C">
            <w:pPr>
              <w:pStyle w:val="TableText1"/>
              <w:rPr>
                <w:lang w:val="en-GB" w:eastAsia="en-GB"/>
              </w:rPr>
            </w:pPr>
            <w:r w:rsidRPr="00DE1AF3">
              <w:rPr>
                <w:lang w:val="en-GB" w:eastAsia="en-GB"/>
              </w:rPr>
              <w:t>Yes</w:t>
            </w:r>
          </w:p>
        </w:tc>
      </w:tr>
      <w:tr w:rsidR="00014062" w:rsidRPr="00DE1AF3" w14:paraId="4C1579D0" w14:textId="77777777" w:rsidTr="007B56B7">
        <w:trPr>
          <w:cantSplit/>
          <w:trHeight w:val="900"/>
          <w:jc w:val="center"/>
        </w:trPr>
        <w:tc>
          <w:tcPr>
            <w:tcW w:w="1079" w:type="dxa"/>
            <w:shd w:val="clear" w:color="auto" w:fill="auto"/>
            <w:vAlign w:val="center"/>
            <w:hideMark/>
          </w:tcPr>
          <w:p w14:paraId="06766C4B" w14:textId="77777777" w:rsidR="00014062" w:rsidRPr="00DE1AF3" w:rsidRDefault="00014062" w:rsidP="007B186C">
            <w:pPr>
              <w:pStyle w:val="TableText1"/>
              <w:rPr>
                <w:lang w:val="en-GB" w:eastAsia="en-GB"/>
              </w:rPr>
            </w:pPr>
            <w:r w:rsidRPr="00DE1AF3">
              <w:rPr>
                <w:lang w:val="en-GB" w:eastAsia="en-GB"/>
              </w:rPr>
              <w:t>ING754</w:t>
            </w:r>
          </w:p>
        </w:tc>
        <w:tc>
          <w:tcPr>
            <w:tcW w:w="3426" w:type="dxa"/>
            <w:gridSpan w:val="2"/>
            <w:shd w:val="clear" w:color="000000" w:fill="FFFFFF"/>
            <w:vAlign w:val="center"/>
            <w:hideMark/>
          </w:tcPr>
          <w:p w14:paraId="08253066" w14:textId="77777777" w:rsidR="00014062" w:rsidRPr="00DE1AF3" w:rsidRDefault="00014062" w:rsidP="007B186C">
            <w:pPr>
              <w:pStyle w:val="TableText1"/>
              <w:rPr>
                <w:lang w:val="en-GB" w:eastAsia="en-GB"/>
              </w:rPr>
            </w:pPr>
            <w:r w:rsidRPr="00DE1AF3">
              <w:rPr>
                <w:lang w:val="en-GB" w:eastAsia="en-GB"/>
              </w:rPr>
              <w:t xml:space="preserve">Mid Term Review </w:t>
            </w:r>
            <w:r>
              <w:rPr>
                <w:lang w:val="en-GB" w:eastAsia="en-GB"/>
              </w:rPr>
              <w:t xml:space="preserve"> of </w:t>
            </w:r>
            <w:r w:rsidRPr="00DE1AF3">
              <w:rPr>
                <w:lang w:val="en-GB" w:eastAsia="en-GB"/>
              </w:rPr>
              <w:t>Cambodian Agricultural Value Chain (CAVAC) program</w:t>
            </w:r>
          </w:p>
        </w:tc>
        <w:tc>
          <w:tcPr>
            <w:tcW w:w="1276" w:type="dxa"/>
            <w:gridSpan w:val="2"/>
            <w:shd w:val="clear" w:color="000000" w:fill="FFFFFF"/>
            <w:noWrap/>
            <w:vAlign w:val="center"/>
            <w:hideMark/>
          </w:tcPr>
          <w:p w14:paraId="15BE608B" w14:textId="77777777" w:rsidR="00014062" w:rsidRPr="00DE1AF3" w:rsidRDefault="00014062" w:rsidP="007B186C">
            <w:pPr>
              <w:pStyle w:val="TableText1"/>
              <w:rPr>
                <w:lang w:val="en-GB" w:eastAsia="en-GB"/>
              </w:rPr>
            </w:pPr>
            <w:r w:rsidRPr="00DE1AF3">
              <w:rPr>
                <w:lang w:val="en-GB" w:eastAsia="en-GB"/>
              </w:rPr>
              <w:t>Cambodia</w:t>
            </w:r>
          </w:p>
        </w:tc>
        <w:tc>
          <w:tcPr>
            <w:tcW w:w="1529" w:type="dxa"/>
            <w:shd w:val="clear" w:color="auto" w:fill="auto"/>
            <w:vAlign w:val="center"/>
            <w:hideMark/>
          </w:tcPr>
          <w:p w14:paraId="438A83C5" w14:textId="77777777" w:rsidR="00014062" w:rsidRPr="00DE1AF3" w:rsidRDefault="00014062" w:rsidP="007B186C">
            <w:pPr>
              <w:pStyle w:val="TableText1"/>
              <w:rPr>
                <w:lang w:val="en-GB" w:eastAsia="en-GB"/>
              </w:rPr>
            </w:pPr>
            <w:r w:rsidRPr="00DE1AF3">
              <w:rPr>
                <w:lang w:val="en-GB" w:eastAsia="en-GB"/>
              </w:rPr>
              <w:t>Rural development and food security</w:t>
            </w:r>
          </w:p>
        </w:tc>
        <w:tc>
          <w:tcPr>
            <w:tcW w:w="1418" w:type="dxa"/>
            <w:vAlign w:val="center"/>
          </w:tcPr>
          <w:p w14:paraId="76C1E9E8" w14:textId="6644B68F" w:rsidR="00014062" w:rsidRPr="00DE1AF3" w:rsidRDefault="00014062" w:rsidP="007B186C">
            <w:pPr>
              <w:pStyle w:val="TableText1"/>
              <w:rPr>
                <w:lang w:val="en-GB" w:eastAsia="en-GB"/>
              </w:rPr>
            </w:pPr>
            <w:r w:rsidRPr="00CF0A8A">
              <w:rPr>
                <w:lang w:val="en-GB" w:eastAsia="en-GB"/>
              </w:rPr>
              <w:t>Yes</w:t>
            </w:r>
          </w:p>
        </w:tc>
        <w:tc>
          <w:tcPr>
            <w:tcW w:w="1305" w:type="dxa"/>
            <w:gridSpan w:val="3"/>
            <w:vAlign w:val="center"/>
          </w:tcPr>
          <w:p w14:paraId="33EDFD26" w14:textId="1006FA6D" w:rsidR="00014062" w:rsidRPr="00DE1AF3" w:rsidRDefault="00014062" w:rsidP="007B186C">
            <w:pPr>
              <w:pStyle w:val="TableText1"/>
              <w:rPr>
                <w:lang w:val="en-GB" w:eastAsia="en-GB"/>
              </w:rPr>
            </w:pPr>
            <w:r w:rsidRPr="00DE1AF3">
              <w:rPr>
                <w:lang w:val="en-GB" w:eastAsia="en-GB"/>
              </w:rPr>
              <w:t>Yes</w:t>
            </w:r>
          </w:p>
        </w:tc>
      </w:tr>
      <w:tr w:rsidR="00014062" w:rsidRPr="00DE1AF3" w14:paraId="4B024704" w14:textId="77777777" w:rsidTr="007B56B7">
        <w:trPr>
          <w:cantSplit/>
          <w:trHeight w:val="900"/>
          <w:jc w:val="center"/>
        </w:trPr>
        <w:tc>
          <w:tcPr>
            <w:tcW w:w="1079" w:type="dxa"/>
            <w:shd w:val="clear" w:color="auto" w:fill="auto"/>
            <w:noWrap/>
            <w:vAlign w:val="center"/>
            <w:hideMark/>
          </w:tcPr>
          <w:p w14:paraId="6EEF06B0" w14:textId="77777777" w:rsidR="00014062" w:rsidRPr="00DE1AF3" w:rsidRDefault="00014062" w:rsidP="007B186C">
            <w:pPr>
              <w:pStyle w:val="TableText1"/>
              <w:rPr>
                <w:lang w:val="en-GB" w:eastAsia="en-GB"/>
              </w:rPr>
            </w:pPr>
            <w:r w:rsidRPr="00DE1AF3">
              <w:rPr>
                <w:lang w:val="en-GB" w:eastAsia="en-GB"/>
              </w:rPr>
              <w:t>ING854</w:t>
            </w:r>
          </w:p>
        </w:tc>
        <w:tc>
          <w:tcPr>
            <w:tcW w:w="3426" w:type="dxa"/>
            <w:gridSpan w:val="2"/>
            <w:shd w:val="clear" w:color="000000" w:fill="FFFFFF"/>
            <w:vAlign w:val="center"/>
            <w:hideMark/>
          </w:tcPr>
          <w:p w14:paraId="62E07DE1" w14:textId="77777777" w:rsidR="00014062" w:rsidRPr="00DE1AF3" w:rsidRDefault="00014062" w:rsidP="007B186C">
            <w:pPr>
              <w:pStyle w:val="TableText1"/>
              <w:rPr>
                <w:lang w:val="en-GB" w:eastAsia="en-GB"/>
              </w:rPr>
            </w:pPr>
            <w:r w:rsidRPr="00DE1AF3">
              <w:rPr>
                <w:lang w:val="en-GB" w:eastAsia="en-GB"/>
              </w:rPr>
              <w:t xml:space="preserve">Independent Review of the Pacific Technical Assistance Mechanism (PACTAM) </w:t>
            </w:r>
          </w:p>
        </w:tc>
        <w:tc>
          <w:tcPr>
            <w:tcW w:w="1276" w:type="dxa"/>
            <w:gridSpan w:val="2"/>
            <w:shd w:val="clear" w:color="000000" w:fill="FFFFFF"/>
            <w:noWrap/>
            <w:vAlign w:val="center"/>
            <w:hideMark/>
          </w:tcPr>
          <w:p w14:paraId="594A08D0" w14:textId="77777777" w:rsidR="00014062" w:rsidRPr="00DE1AF3" w:rsidRDefault="00014062" w:rsidP="007B186C">
            <w:pPr>
              <w:pStyle w:val="TableText1"/>
              <w:rPr>
                <w:lang w:val="en-GB" w:eastAsia="en-GB"/>
              </w:rPr>
            </w:pPr>
            <w:r>
              <w:rPr>
                <w:lang w:val="en-GB" w:eastAsia="en-GB"/>
              </w:rPr>
              <w:t>Multicountry</w:t>
            </w:r>
          </w:p>
        </w:tc>
        <w:tc>
          <w:tcPr>
            <w:tcW w:w="1529" w:type="dxa"/>
            <w:shd w:val="clear" w:color="auto" w:fill="auto"/>
            <w:vAlign w:val="center"/>
            <w:hideMark/>
          </w:tcPr>
          <w:p w14:paraId="0840F8DF" w14:textId="77777777" w:rsidR="00014062" w:rsidRPr="00DE1AF3" w:rsidRDefault="00014062" w:rsidP="007B186C">
            <w:pPr>
              <w:pStyle w:val="TableText1"/>
              <w:rPr>
                <w:lang w:val="en-GB" w:eastAsia="en-GB"/>
              </w:rPr>
            </w:pPr>
            <w:r>
              <w:rPr>
                <w:lang w:val="en-GB" w:eastAsia="en-GB"/>
              </w:rPr>
              <w:t>Improved government</w:t>
            </w:r>
          </w:p>
        </w:tc>
        <w:tc>
          <w:tcPr>
            <w:tcW w:w="1418" w:type="dxa"/>
            <w:vAlign w:val="center"/>
          </w:tcPr>
          <w:p w14:paraId="4F697C24" w14:textId="751C7AB1" w:rsidR="00014062" w:rsidRPr="00DE1AF3" w:rsidRDefault="00014062" w:rsidP="007B186C">
            <w:pPr>
              <w:pStyle w:val="TableText1"/>
              <w:rPr>
                <w:lang w:val="en-GB" w:eastAsia="en-GB"/>
              </w:rPr>
            </w:pPr>
            <w:r w:rsidRPr="00CF0A8A">
              <w:rPr>
                <w:lang w:val="en-GB" w:eastAsia="en-GB"/>
              </w:rPr>
              <w:t>Yes</w:t>
            </w:r>
          </w:p>
        </w:tc>
        <w:tc>
          <w:tcPr>
            <w:tcW w:w="1305" w:type="dxa"/>
            <w:gridSpan w:val="3"/>
            <w:vAlign w:val="center"/>
          </w:tcPr>
          <w:p w14:paraId="3F98264E" w14:textId="08375FF9" w:rsidR="00014062" w:rsidRPr="00DE1AF3" w:rsidRDefault="00014062" w:rsidP="007B186C">
            <w:pPr>
              <w:pStyle w:val="TableText1"/>
              <w:rPr>
                <w:lang w:val="en-GB" w:eastAsia="en-GB"/>
              </w:rPr>
            </w:pPr>
            <w:r w:rsidRPr="00DE1AF3">
              <w:rPr>
                <w:lang w:val="en-GB" w:eastAsia="en-GB"/>
              </w:rPr>
              <w:t>Yes</w:t>
            </w:r>
          </w:p>
        </w:tc>
      </w:tr>
      <w:tr w:rsidR="00014062" w:rsidRPr="00DE1AF3" w14:paraId="66CC9B07" w14:textId="77777777" w:rsidTr="007B56B7">
        <w:trPr>
          <w:cantSplit/>
          <w:trHeight w:val="900"/>
          <w:jc w:val="center"/>
        </w:trPr>
        <w:tc>
          <w:tcPr>
            <w:tcW w:w="1079" w:type="dxa"/>
            <w:shd w:val="clear" w:color="auto" w:fill="auto"/>
            <w:vAlign w:val="center"/>
            <w:hideMark/>
          </w:tcPr>
          <w:p w14:paraId="316B45A3" w14:textId="77777777" w:rsidR="00014062" w:rsidRPr="00DE1AF3" w:rsidRDefault="00014062" w:rsidP="007B186C">
            <w:pPr>
              <w:pStyle w:val="TableText1"/>
              <w:rPr>
                <w:lang w:val="en-GB" w:eastAsia="en-GB"/>
              </w:rPr>
            </w:pPr>
            <w:r w:rsidRPr="00DE1AF3">
              <w:rPr>
                <w:lang w:val="en-GB" w:eastAsia="en-GB"/>
              </w:rPr>
              <w:t>ING918</w:t>
            </w:r>
          </w:p>
        </w:tc>
        <w:tc>
          <w:tcPr>
            <w:tcW w:w="3426" w:type="dxa"/>
            <w:gridSpan w:val="2"/>
            <w:shd w:val="clear" w:color="000000" w:fill="FFFFFF"/>
            <w:vAlign w:val="center"/>
            <w:hideMark/>
          </w:tcPr>
          <w:p w14:paraId="7B5B483E" w14:textId="77777777" w:rsidR="00014062" w:rsidRPr="00DE1AF3" w:rsidRDefault="00014062" w:rsidP="007B186C">
            <w:pPr>
              <w:pStyle w:val="TableText1"/>
              <w:rPr>
                <w:lang w:val="en-GB" w:eastAsia="en-GB"/>
              </w:rPr>
            </w:pPr>
            <w:r w:rsidRPr="00DE1AF3">
              <w:rPr>
                <w:lang w:val="en-GB" w:eastAsia="en-GB"/>
              </w:rPr>
              <w:t>End of Program Review of the Papua New Guinea–Australia Sexual Health Improvement Program (PASHIP)</w:t>
            </w:r>
          </w:p>
        </w:tc>
        <w:tc>
          <w:tcPr>
            <w:tcW w:w="1276" w:type="dxa"/>
            <w:gridSpan w:val="2"/>
            <w:shd w:val="clear" w:color="000000" w:fill="FFFFFF"/>
            <w:noWrap/>
            <w:vAlign w:val="center"/>
            <w:hideMark/>
          </w:tcPr>
          <w:p w14:paraId="77EF5E0B" w14:textId="77777777" w:rsidR="00014062" w:rsidRPr="00DE1AF3" w:rsidRDefault="00014062" w:rsidP="007B186C">
            <w:pPr>
              <w:pStyle w:val="TableText1"/>
              <w:rPr>
                <w:lang w:val="en-GB" w:eastAsia="en-GB"/>
              </w:rPr>
            </w:pPr>
            <w:r w:rsidRPr="00DE1AF3">
              <w:rPr>
                <w:lang w:val="en-GB" w:eastAsia="en-GB"/>
              </w:rPr>
              <w:t>P</w:t>
            </w:r>
            <w:r>
              <w:rPr>
                <w:lang w:val="en-GB" w:eastAsia="en-GB"/>
              </w:rPr>
              <w:t>apua New Guinea</w:t>
            </w:r>
          </w:p>
        </w:tc>
        <w:tc>
          <w:tcPr>
            <w:tcW w:w="1529" w:type="dxa"/>
            <w:shd w:val="clear" w:color="auto" w:fill="auto"/>
            <w:vAlign w:val="center"/>
            <w:hideMark/>
          </w:tcPr>
          <w:p w14:paraId="34F7BF03" w14:textId="77777777" w:rsidR="00014062" w:rsidRPr="00DE1AF3" w:rsidRDefault="00014062" w:rsidP="007B186C">
            <w:pPr>
              <w:pStyle w:val="TableText1"/>
              <w:rPr>
                <w:lang w:val="en-GB" w:eastAsia="en-GB"/>
              </w:rPr>
            </w:pPr>
            <w:r w:rsidRPr="00DE1AF3">
              <w:rPr>
                <w:lang w:val="en-GB" w:eastAsia="en-GB"/>
              </w:rPr>
              <w:t>Health</w:t>
            </w:r>
          </w:p>
        </w:tc>
        <w:tc>
          <w:tcPr>
            <w:tcW w:w="1418" w:type="dxa"/>
            <w:vAlign w:val="center"/>
          </w:tcPr>
          <w:p w14:paraId="68036145" w14:textId="609BC3F9" w:rsidR="00014062" w:rsidRPr="00DE1AF3" w:rsidRDefault="00014062" w:rsidP="007B186C">
            <w:pPr>
              <w:pStyle w:val="TableText1"/>
              <w:rPr>
                <w:lang w:val="en-GB" w:eastAsia="en-GB"/>
              </w:rPr>
            </w:pPr>
            <w:r w:rsidRPr="00CF0A8A">
              <w:rPr>
                <w:lang w:val="en-GB" w:eastAsia="en-GB"/>
              </w:rPr>
              <w:t>Yes</w:t>
            </w:r>
          </w:p>
        </w:tc>
        <w:tc>
          <w:tcPr>
            <w:tcW w:w="1305" w:type="dxa"/>
            <w:gridSpan w:val="3"/>
            <w:vAlign w:val="center"/>
          </w:tcPr>
          <w:p w14:paraId="1F67A90A" w14:textId="1CCC631F" w:rsidR="00014062" w:rsidRPr="00DE1AF3" w:rsidRDefault="00014062" w:rsidP="007B186C">
            <w:pPr>
              <w:pStyle w:val="TableText1"/>
              <w:rPr>
                <w:lang w:val="en-GB" w:eastAsia="en-GB"/>
              </w:rPr>
            </w:pPr>
            <w:r w:rsidRPr="00DE1AF3">
              <w:rPr>
                <w:lang w:val="en-GB" w:eastAsia="en-GB"/>
              </w:rPr>
              <w:t>Yes</w:t>
            </w:r>
          </w:p>
        </w:tc>
      </w:tr>
      <w:tr w:rsidR="00014062" w:rsidRPr="00DE1AF3" w14:paraId="766052E4" w14:textId="77777777" w:rsidTr="007B56B7">
        <w:trPr>
          <w:cantSplit/>
          <w:trHeight w:val="900"/>
          <w:jc w:val="center"/>
        </w:trPr>
        <w:tc>
          <w:tcPr>
            <w:tcW w:w="1079" w:type="dxa"/>
            <w:shd w:val="clear" w:color="auto" w:fill="auto"/>
            <w:vAlign w:val="center"/>
            <w:hideMark/>
          </w:tcPr>
          <w:p w14:paraId="526456CD" w14:textId="77777777" w:rsidR="00014062" w:rsidRPr="00DE1AF3" w:rsidRDefault="00014062" w:rsidP="007B186C">
            <w:pPr>
              <w:pStyle w:val="TableText1"/>
              <w:rPr>
                <w:lang w:val="en-GB" w:eastAsia="en-GB"/>
              </w:rPr>
            </w:pPr>
            <w:r w:rsidRPr="00DE1AF3">
              <w:rPr>
                <w:lang w:val="en-GB" w:eastAsia="en-GB"/>
              </w:rPr>
              <w:t>ING948</w:t>
            </w:r>
          </w:p>
        </w:tc>
        <w:tc>
          <w:tcPr>
            <w:tcW w:w="3426" w:type="dxa"/>
            <w:gridSpan w:val="2"/>
            <w:shd w:val="clear" w:color="000000" w:fill="FFFFFF"/>
            <w:vAlign w:val="center"/>
            <w:hideMark/>
          </w:tcPr>
          <w:p w14:paraId="6E62C897" w14:textId="77777777" w:rsidR="00014062" w:rsidRPr="00DE1AF3" w:rsidRDefault="00014062" w:rsidP="007B186C">
            <w:pPr>
              <w:pStyle w:val="TableText1"/>
              <w:rPr>
                <w:lang w:val="en-GB" w:eastAsia="en-GB"/>
              </w:rPr>
            </w:pPr>
            <w:r w:rsidRPr="00DE1AF3">
              <w:rPr>
                <w:lang w:val="en-GB" w:eastAsia="en-GB"/>
              </w:rPr>
              <w:t>Mid-Term Review of the State- and Peace-Building Fund (SPF)</w:t>
            </w:r>
          </w:p>
        </w:tc>
        <w:tc>
          <w:tcPr>
            <w:tcW w:w="1276" w:type="dxa"/>
            <w:gridSpan w:val="2"/>
            <w:shd w:val="clear" w:color="000000" w:fill="FFFFFF"/>
            <w:noWrap/>
            <w:vAlign w:val="center"/>
            <w:hideMark/>
          </w:tcPr>
          <w:p w14:paraId="5EB64C0E" w14:textId="77777777" w:rsidR="00014062" w:rsidRPr="00DE1AF3" w:rsidRDefault="00014062" w:rsidP="007B186C">
            <w:pPr>
              <w:pStyle w:val="TableText1"/>
              <w:rPr>
                <w:lang w:val="en-GB" w:eastAsia="en-GB"/>
              </w:rPr>
            </w:pPr>
            <w:r w:rsidRPr="00DE1AF3">
              <w:rPr>
                <w:lang w:val="en-GB" w:eastAsia="en-GB"/>
              </w:rPr>
              <w:t>Multicountry</w:t>
            </w:r>
          </w:p>
        </w:tc>
        <w:tc>
          <w:tcPr>
            <w:tcW w:w="1529" w:type="dxa"/>
            <w:shd w:val="clear" w:color="auto" w:fill="auto"/>
            <w:vAlign w:val="center"/>
            <w:hideMark/>
          </w:tcPr>
          <w:p w14:paraId="12909107" w14:textId="77777777" w:rsidR="00014062" w:rsidRPr="00DE1AF3" w:rsidRDefault="00014062" w:rsidP="007B186C">
            <w:pPr>
              <w:pStyle w:val="TableText1"/>
              <w:rPr>
                <w:lang w:val="en-GB" w:eastAsia="en-GB"/>
              </w:rPr>
            </w:pPr>
            <w:r w:rsidRPr="00DE1AF3">
              <w:rPr>
                <w:lang w:val="en-GB" w:eastAsia="en-GB"/>
              </w:rPr>
              <w:t xml:space="preserve">Conflict </w:t>
            </w:r>
            <w:r>
              <w:rPr>
                <w:lang w:val="en-GB" w:eastAsia="en-GB"/>
              </w:rPr>
              <w:t>prevention and resolution</w:t>
            </w:r>
          </w:p>
        </w:tc>
        <w:tc>
          <w:tcPr>
            <w:tcW w:w="1418" w:type="dxa"/>
            <w:vAlign w:val="center"/>
          </w:tcPr>
          <w:p w14:paraId="6DAC7BAE" w14:textId="52BA020B" w:rsidR="00014062" w:rsidRPr="00DE1AF3" w:rsidRDefault="00014062" w:rsidP="007B186C">
            <w:pPr>
              <w:pStyle w:val="TableText1"/>
              <w:rPr>
                <w:lang w:val="en-GB" w:eastAsia="en-GB"/>
              </w:rPr>
            </w:pPr>
            <w:r w:rsidRPr="00CF0A8A">
              <w:rPr>
                <w:lang w:val="en-GB" w:eastAsia="en-GB"/>
              </w:rPr>
              <w:t>Yes</w:t>
            </w:r>
          </w:p>
        </w:tc>
        <w:tc>
          <w:tcPr>
            <w:tcW w:w="1305" w:type="dxa"/>
            <w:gridSpan w:val="3"/>
            <w:vAlign w:val="center"/>
          </w:tcPr>
          <w:p w14:paraId="4F186826" w14:textId="64B77911" w:rsidR="00014062" w:rsidRPr="00DE1AF3" w:rsidRDefault="00014062" w:rsidP="007B186C">
            <w:pPr>
              <w:pStyle w:val="TableText1"/>
              <w:rPr>
                <w:lang w:val="en-GB" w:eastAsia="en-GB"/>
              </w:rPr>
            </w:pPr>
            <w:r w:rsidRPr="00DE1AF3">
              <w:rPr>
                <w:lang w:val="en-GB" w:eastAsia="en-GB"/>
              </w:rPr>
              <w:t>No</w:t>
            </w:r>
          </w:p>
        </w:tc>
      </w:tr>
      <w:tr w:rsidR="00014062" w:rsidRPr="00DE1AF3" w14:paraId="211DA1B0" w14:textId="77777777" w:rsidTr="007B56B7">
        <w:trPr>
          <w:cantSplit/>
          <w:trHeight w:val="900"/>
          <w:jc w:val="center"/>
        </w:trPr>
        <w:tc>
          <w:tcPr>
            <w:tcW w:w="1079" w:type="dxa"/>
            <w:shd w:val="clear" w:color="auto" w:fill="auto"/>
            <w:noWrap/>
            <w:vAlign w:val="center"/>
            <w:hideMark/>
          </w:tcPr>
          <w:p w14:paraId="6858F3E8" w14:textId="77777777" w:rsidR="00014062" w:rsidRPr="00DE1AF3" w:rsidRDefault="00014062" w:rsidP="007B186C">
            <w:pPr>
              <w:pStyle w:val="TableText1"/>
              <w:rPr>
                <w:lang w:val="en-GB" w:eastAsia="en-GB"/>
              </w:rPr>
            </w:pPr>
            <w:r w:rsidRPr="00DE1AF3">
              <w:rPr>
                <w:lang w:val="en-GB" w:eastAsia="en-GB"/>
              </w:rPr>
              <w:t>ING967</w:t>
            </w:r>
          </w:p>
        </w:tc>
        <w:tc>
          <w:tcPr>
            <w:tcW w:w="3426" w:type="dxa"/>
            <w:gridSpan w:val="2"/>
            <w:shd w:val="clear" w:color="000000" w:fill="FFFFFF"/>
            <w:vAlign w:val="center"/>
            <w:hideMark/>
          </w:tcPr>
          <w:p w14:paraId="3791E785" w14:textId="77777777" w:rsidR="00014062" w:rsidRPr="00DE1AF3" w:rsidRDefault="00014062" w:rsidP="007B186C">
            <w:pPr>
              <w:pStyle w:val="TableText1"/>
              <w:rPr>
                <w:lang w:val="en-GB" w:eastAsia="en-GB"/>
              </w:rPr>
            </w:pPr>
            <w:r>
              <w:rPr>
                <w:lang w:val="en-GB" w:eastAsia="en-GB"/>
              </w:rPr>
              <w:t>Mid-term Review</w:t>
            </w:r>
            <w:r w:rsidRPr="00DE1AF3">
              <w:rPr>
                <w:lang w:val="en-GB" w:eastAsia="en-GB"/>
              </w:rPr>
              <w:t xml:space="preserve"> </w:t>
            </w:r>
            <w:r>
              <w:rPr>
                <w:lang w:val="en-GB" w:eastAsia="en-GB"/>
              </w:rPr>
              <w:t xml:space="preserve">of </w:t>
            </w:r>
            <w:r w:rsidRPr="00DE1AF3">
              <w:rPr>
                <w:lang w:val="en-GB" w:eastAsia="en-GB"/>
              </w:rPr>
              <w:t>Implementation Support Program to P135 Phase II in Quang Ngai Province</w:t>
            </w:r>
            <w:r>
              <w:rPr>
                <w:lang w:val="en-GB" w:eastAsia="en-GB"/>
              </w:rPr>
              <w:t xml:space="preserve"> </w:t>
            </w:r>
          </w:p>
        </w:tc>
        <w:tc>
          <w:tcPr>
            <w:tcW w:w="1276" w:type="dxa"/>
            <w:gridSpan w:val="2"/>
            <w:shd w:val="clear" w:color="000000" w:fill="FFFFFF"/>
            <w:noWrap/>
            <w:vAlign w:val="center"/>
            <w:hideMark/>
          </w:tcPr>
          <w:p w14:paraId="736BA3CB" w14:textId="77777777" w:rsidR="00014062" w:rsidRPr="00DE1AF3" w:rsidRDefault="00014062" w:rsidP="007B186C">
            <w:pPr>
              <w:pStyle w:val="TableText1"/>
              <w:rPr>
                <w:lang w:val="en-GB" w:eastAsia="en-GB"/>
              </w:rPr>
            </w:pPr>
            <w:r w:rsidRPr="00DE1AF3">
              <w:rPr>
                <w:lang w:val="en-GB" w:eastAsia="en-GB"/>
              </w:rPr>
              <w:t>Vietnam</w:t>
            </w:r>
          </w:p>
        </w:tc>
        <w:tc>
          <w:tcPr>
            <w:tcW w:w="1529" w:type="dxa"/>
            <w:shd w:val="clear" w:color="auto" w:fill="auto"/>
            <w:vAlign w:val="center"/>
            <w:hideMark/>
          </w:tcPr>
          <w:p w14:paraId="037791B8" w14:textId="77777777" w:rsidR="00014062" w:rsidRPr="00DE1AF3" w:rsidRDefault="00014062" w:rsidP="007B186C">
            <w:pPr>
              <w:pStyle w:val="TableText1"/>
              <w:rPr>
                <w:lang w:val="en-GB" w:eastAsia="en-GB"/>
              </w:rPr>
            </w:pPr>
            <w:r w:rsidRPr="00DE1AF3">
              <w:rPr>
                <w:lang w:val="en-GB" w:eastAsia="en-GB"/>
              </w:rPr>
              <w:t>Rural development and food security</w:t>
            </w:r>
          </w:p>
        </w:tc>
        <w:tc>
          <w:tcPr>
            <w:tcW w:w="1418" w:type="dxa"/>
            <w:vAlign w:val="center"/>
          </w:tcPr>
          <w:p w14:paraId="7D424F57" w14:textId="44ED50FD" w:rsidR="00014062" w:rsidRPr="00DE1AF3" w:rsidRDefault="00014062" w:rsidP="007B186C">
            <w:pPr>
              <w:pStyle w:val="TableText1"/>
              <w:rPr>
                <w:lang w:val="en-GB" w:eastAsia="en-GB"/>
              </w:rPr>
            </w:pPr>
            <w:r w:rsidRPr="00CF0A8A">
              <w:rPr>
                <w:lang w:val="en-GB" w:eastAsia="en-GB"/>
              </w:rPr>
              <w:t>Yes</w:t>
            </w:r>
          </w:p>
        </w:tc>
        <w:tc>
          <w:tcPr>
            <w:tcW w:w="1305" w:type="dxa"/>
            <w:gridSpan w:val="3"/>
            <w:vAlign w:val="center"/>
          </w:tcPr>
          <w:p w14:paraId="1D1DF3C6" w14:textId="0D11C1BE" w:rsidR="00014062" w:rsidRPr="00DE1AF3" w:rsidRDefault="00014062" w:rsidP="007B186C">
            <w:pPr>
              <w:pStyle w:val="TableText1"/>
              <w:rPr>
                <w:lang w:val="en-GB" w:eastAsia="en-GB"/>
              </w:rPr>
            </w:pPr>
            <w:r w:rsidRPr="00DE1AF3">
              <w:rPr>
                <w:lang w:val="en-GB" w:eastAsia="en-GB"/>
              </w:rPr>
              <w:t>No</w:t>
            </w:r>
          </w:p>
        </w:tc>
      </w:tr>
      <w:tr w:rsidR="00014062" w:rsidRPr="00DE1AF3" w14:paraId="08D97EAD" w14:textId="77777777" w:rsidTr="007B56B7">
        <w:trPr>
          <w:cantSplit/>
          <w:trHeight w:val="900"/>
          <w:jc w:val="center"/>
        </w:trPr>
        <w:tc>
          <w:tcPr>
            <w:tcW w:w="1079" w:type="dxa"/>
            <w:shd w:val="clear" w:color="auto" w:fill="auto"/>
            <w:vAlign w:val="center"/>
            <w:hideMark/>
          </w:tcPr>
          <w:p w14:paraId="08D09D9B" w14:textId="77777777" w:rsidR="00014062" w:rsidRPr="00DE1AF3" w:rsidRDefault="00014062" w:rsidP="007B186C">
            <w:pPr>
              <w:pStyle w:val="TableText1"/>
              <w:rPr>
                <w:lang w:val="en-GB" w:eastAsia="en-GB"/>
              </w:rPr>
            </w:pPr>
            <w:r w:rsidRPr="00DE1AF3">
              <w:rPr>
                <w:lang w:val="en-GB" w:eastAsia="en-GB"/>
              </w:rPr>
              <w:t>ING982</w:t>
            </w:r>
          </w:p>
        </w:tc>
        <w:tc>
          <w:tcPr>
            <w:tcW w:w="3426" w:type="dxa"/>
            <w:gridSpan w:val="2"/>
            <w:shd w:val="clear" w:color="000000" w:fill="FFFFFF"/>
            <w:vAlign w:val="center"/>
            <w:hideMark/>
          </w:tcPr>
          <w:p w14:paraId="463AED6B" w14:textId="77777777" w:rsidR="00014062" w:rsidRPr="00DE1AF3" w:rsidRDefault="00014062" w:rsidP="007B186C">
            <w:pPr>
              <w:pStyle w:val="TableText1"/>
              <w:rPr>
                <w:lang w:val="en-GB" w:eastAsia="en-GB"/>
              </w:rPr>
            </w:pPr>
            <w:r>
              <w:rPr>
                <w:lang w:val="en-GB" w:eastAsia="en-GB"/>
              </w:rPr>
              <w:t>Independent Completion Report</w:t>
            </w:r>
            <w:r w:rsidRPr="00DE1AF3">
              <w:rPr>
                <w:lang w:val="en-GB" w:eastAsia="en-GB"/>
              </w:rPr>
              <w:t xml:space="preserve"> </w:t>
            </w:r>
            <w:r>
              <w:rPr>
                <w:lang w:val="en-GB" w:eastAsia="en-GB"/>
              </w:rPr>
              <w:t xml:space="preserve">for </w:t>
            </w:r>
            <w:r w:rsidRPr="00DE1AF3">
              <w:rPr>
                <w:lang w:val="en-GB" w:eastAsia="en-GB"/>
              </w:rPr>
              <w:t xml:space="preserve">Regional Rights Resource Team (RRRT) </w:t>
            </w:r>
          </w:p>
        </w:tc>
        <w:tc>
          <w:tcPr>
            <w:tcW w:w="1276" w:type="dxa"/>
            <w:gridSpan w:val="2"/>
            <w:shd w:val="clear" w:color="000000" w:fill="FFFFFF"/>
            <w:noWrap/>
            <w:vAlign w:val="center"/>
            <w:hideMark/>
          </w:tcPr>
          <w:p w14:paraId="5DB2FEDB" w14:textId="77777777" w:rsidR="00014062" w:rsidRPr="00DE1AF3" w:rsidRDefault="00014062" w:rsidP="007B186C">
            <w:pPr>
              <w:pStyle w:val="TableText1"/>
              <w:rPr>
                <w:lang w:val="en-GB" w:eastAsia="en-GB"/>
              </w:rPr>
            </w:pPr>
            <w:r>
              <w:rPr>
                <w:lang w:val="en-GB" w:eastAsia="en-GB"/>
              </w:rPr>
              <w:t>Multicountry</w:t>
            </w:r>
          </w:p>
        </w:tc>
        <w:tc>
          <w:tcPr>
            <w:tcW w:w="1529" w:type="dxa"/>
            <w:shd w:val="clear" w:color="auto" w:fill="auto"/>
            <w:vAlign w:val="center"/>
            <w:hideMark/>
          </w:tcPr>
          <w:p w14:paraId="36E8015C" w14:textId="77777777" w:rsidR="00014062" w:rsidRPr="00DE1AF3" w:rsidRDefault="00014062" w:rsidP="007B186C">
            <w:pPr>
              <w:pStyle w:val="TableText1"/>
              <w:rPr>
                <w:lang w:val="en-GB" w:eastAsia="en-GB"/>
              </w:rPr>
            </w:pPr>
            <w:r>
              <w:rPr>
                <w:lang w:val="en-GB" w:eastAsia="en-GB"/>
              </w:rPr>
              <w:t>Security</w:t>
            </w:r>
            <w:r w:rsidRPr="00DE1AF3">
              <w:rPr>
                <w:lang w:val="en-GB" w:eastAsia="en-GB"/>
              </w:rPr>
              <w:t xml:space="preserve"> and justice</w:t>
            </w:r>
          </w:p>
        </w:tc>
        <w:tc>
          <w:tcPr>
            <w:tcW w:w="1418" w:type="dxa"/>
            <w:vAlign w:val="center"/>
          </w:tcPr>
          <w:p w14:paraId="0F1805D9" w14:textId="5F48D073" w:rsidR="00014062" w:rsidRPr="00DE1AF3" w:rsidRDefault="00014062" w:rsidP="007B186C">
            <w:pPr>
              <w:pStyle w:val="TableText1"/>
              <w:rPr>
                <w:lang w:val="en-GB" w:eastAsia="en-GB"/>
              </w:rPr>
            </w:pPr>
            <w:r w:rsidRPr="00CF0A8A">
              <w:rPr>
                <w:lang w:val="en-GB" w:eastAsia="en-GB"/>
              </w:rPr>
              <w:t>Yes</w:t>
            </w:r>
          </w:p>
        </w:tc>
        <w:tc>
          <w:tcPr>
            <w:tcW w:w="1305" w:type="dxa"/>
            <w:gridSpan w:val="3"/>
            <w:vAlign w:val="center"/>
          </w:tcPr>
          <w:p w14:paraId="7D88EC2D" w14:textId="73EABB15" w:rsidR="00014062" w:rsidRPr="00DE1AF3" w:rsidRDefault="00014062" w:rsidP="007B186C">
            <w:pPr>
              <w:pStyle w:val="TableText1"/>
              <w:rPr>
                <w:lang w:val="en-GB" w:eastAsia="en-GB"/>
              </w:rPr>
            </w:pPr>
            <w:r w:rsidRPr="00DE1AF3">
              <w:rPr>
                <w:lang w:val="en-GB" w:eastAsia="en-GB"/>
              </w:rPr>
              <w:t>No</w:t>
            </w:r>
          </w:p>
        </w:tc>
      </w:tr>
      <w:tr w:rsidR="00014062" w:rsidRPr="00DE1AF3" w14:paraId="3558D883" w14:textId="77777777" w:rsidTr="007B56B7">
        <w:trPr>
          <w:cantSplit/>
          <w:trHeight w:val="900"/>
          <w:jc w:val="center"/>
        </w:trPr>
        <w:tc>
          <w:tcPr>
            <w:tcW w:w="1079" w:type="dxa"/>
            <w:shd w:val="clear" w:color="auto" w:fill="auto"/>
            <w:vAlign w:val="center"/>
            <w:hideMark/>
          </w:tcPr>
          <w:p w14:paraId="1ADD5DC9" w14:textId="77777777" w:rsidR="00014062" w:rsidRPr="00DE1AF3" w:rsidRDefault="00014062" w:rsidP="007B186C">
            <w:pPr>
              <w:pStyle w:val="TableText1"/>
              <w:rPr>
                <w:lang w:val="en-GB" w:eastAsia="en-GB"/>
              </w:rPr>
            </w:pPr>
            <w:r w:rsidRPr="00DE1AF3">
              <w:rPr>
                <w:lang w:val="en-GB" w:eastAsia="en-GB"/>
              </w:rPr>
              <w:t>ING997</w:t>
            </w:r>
          </w:p>
        </w:tc>
        <w:tc>
          <w:tcPr>
            <w:tcW w:w="3426" w:type="dxa"/>
            <w:gridSpan w:val="2"/>
            <w:shd w:val="clear" w:color="000000" w:fill="FFFFFF"/>
            <w:vAlign w:val="center"/>
            <w:hideMark/>
          </w:tcPr>
          <w:p w14:paraId="39639E91" w14:textId="77777777" w:rsidR="00014062" w:rsidRPr="00DE1AF3" w:rsidRDefault="00014062" w:rsidP="007B186C">
            <w:pPr>
              <w:pStyle w:val="TableText1"/>
              <w:rPr>
                <w:lang w:val="en-GB" w:eastAsia="en-GB"/>
              </w:rPr>
            </w:pPr>
            <w:r w:rsidRPr="00DE1AF3">
              <w:rPr>
                <w:lang w:val="en-GB" w:eastAsia="en-GB"/>
              </w:rPr>
              <w:t>Final Evaluation of the Three Diseases Fund</w:t>
            </w:r>
          </w:p>
        </w:tc>
        <w:tc>
          <w:tcPr>
            <w:tcW w:w="1276" w:type="dxa"/>
            <w:gridSpan w:val="2"/>
            <w:shd w:val="clear" w:color="000000" w:fill="FFFFFF"/>
            <w:noWrap/>
            <w:vAlign w:val="center"/>
            <w:hideMark/>
          </w:tcPr>
          <w:p w14:paraId="3DC70382" w14:textId="77777777" w:rsidR="00014062" w:rsidRPr="00DE1AF3" w:rsidRDefault="00014062" w:rsidP="007B186C">
            <w:pPr>
              <w:pStyle w:val="TableText1"/>
              <w:rPr>
                <w:lang w:val="en-GB" w:eastAsia="en-GB"/>
              </w:rPr>
            </w:pPr>
            <w:r w:rsidRPr="00DE1AF3">
              <w:rPr>
                <w:lang w:val="en-GB" w:eastAsia="en-GB"/>
              </w:rPr>
              <w:t>Myanmar</w:t>
            </w:r>
          </w:p>
        </w:tc>
        <w:tc>
          <w:tcPr>
            <w:tcW w:w="1529" w:type="dxa"/>
            <w:shd w:val="clear" w:color="auto" w:fill="auto"/>
            <w:vAlign w:val="center"/>
            <w:hideMark/>
          </w:tcPr>
          <w:p w14:paraId="16DE5C1C" w14:textId="77777777" w:rsidR="00014062" w:rsidRPr="00DE1AF3" w:rsidRDefault="00014062" w:rsidP="007B186C">
            <w:pPr>
              <w:pStyle w:val="TableText1"/>
              <w:rPr>
                <w:lang w:val="en-GB" w:eastAsia="en-GB"/>
              </w:rPr>
            </w:pPr>
            <w:r w:rsidRPr="00DE1AF3">
              <w:rPr>
                <w:lang w:val="en-GB" w:eastAsia="en-GB"/>
              </w:rPr>
              <w:t>Health</w:t>
            </w:r>
          </w:p>
        </w:tc>
        <w:tc>
          <w:tcPr>
            <w:tcW w:w="1418" w:type="dxa"/>
            <w:vAlign w:val="center"/>
          </w:tcPr>
          <w:p w14:paraId="04094EDB" w14:textId="0771C41E" w:rsidR="00014062" w:rsidRPr="00DE1AF3" w:rsidRDefault="00014062" w:rsidP="007B186C">
            <w:pPr>
              <w:pStyle w:val="TableText1"/>
              <w:rPr>
                <w:lang w:val="en-GB" w:eastAsia="en-GB"/>
              </w:rPr>
            </w:pPr>
            <w:r w:rsidRPr="00CF0A8A">
              <w:rPr>
                <w:lang w:val="en-GB" w:eastAsia="en-GB"/>
              </w:rPr>
              <w:t>Yes</w:t>
            </w:r>
          </w:p>
        </w:tc>
        <w:tc>
          <w:tcPr>
            <w:tcW w:w="1305" w:type="dxa"/>
            <w:gridSpan w:val="3"/>
            <w:vAlign w:val="center"/>
          </w:tcPr>
          <w:p w14:paraId="6B805564" w14:textId="27A51AFE" w:rsidR="00014062" w:rsidRPr="00DE1AF3" w:rsidRDefault="00014062" w:rsidP="007B186C">
            <w:pPr>
              <w:pStyle w:val="TableText1"/>
              <w:rPr>
                <w:lang w:val="en-GB" w:eastAsia="en-GB"/>
              </w:rPr>
            </w:pPr>
            <w:r w:rsidRPr="00DE1AF3">
              <w:rPr>
                <w:lang w:val="en-GB" w:eastAsia="en-GB"/>
              </w:rPr>
              <w:t>Yes</w:t>
            </w:r>
          </w:p>
        </w:tc>
      </w:tr>
      <w:tr w:rsidR="00014062" w:rsidRPr="00DE1AF3" w14:paraId="56B8E02D" w14:textId="77777777" w:rsidTr="007B56B7">
        <w:trPr>
          <w:cantSplit/>
          <w:trHeight w:val="900"/>
          <w:jc w:val="center"/>
        </w:trPr>
        <w:tc>
          <w:tcPr>
            <w:tcW w:w="1079" w:type="dxa"/>
            <w:shd w:val="clear" w:color="auto" w:fill="auto"/>
            <w:vAlign w:val="center"/>
            <w:hideMark/>
          </w:tcPr>
          <w:p w14:paraId="2C76E4BF" w14:textId="77777777" w:rsidR="00014062" w:rsidRPr="00DE1AF3" w:rsidRDefault="00014062" w:rsidP="007B186C">
            <w:pPr>
              <w:pStyle w:val="TableText1"/>
              <w:rPr>
                <w:lang w:val="en-GB" w:eastAsia="en-GB"/>
              </w:rPr>
            </w:pPr>
            <w:r w:rsidRPr="00DE1AF3">
              <w:rPr>
                <w:lang w:val="en-GB" w:eastAsia="en-GB"/>
              </w:rPr>
              <w:t>INH095</w:t>
            </w:r>
          </w:p>
        </w:tc>
        <w:tc>
          <w:tcPr>
            <w:tcW w:w="3426" w:type="dxa"/>
            <w:gridSpan w:val="2"/>
            <w:shd w:val="clear" w:color="000000" w:fill="FFFFFF"/>
            <w:vAlign w:val="center"/>
            <w:hideMark/>
          </w:tcPr>
          <w:p w14:paraId="68322DFB" w14:textId="77777777" w:rsidR="00014062" w:rsidRPr="00DE1AF3" w:rsidRDefault="00014062" w:rsidP="007B186C">
            <w:pPr>
              <w:pStyle w:val="TableText1"/>
              <w:rPr>
                <w:lang w:val="en-GB" w:eastAsia="en-GB"/>
              </w:rPr>
            </w:pPr>
            <w:r>
              <w:rPr>
                <w:lang w:val="en-GB" w:eastAsia="en-GB"/>
              </w:rPr>
              <w:t>Independent Completion Report</w:t>
            </w:r>
            <w:r w:rsidRPr="00DE1AF3">
              <w:rPr>
                <w:lang w:val="en-GB" w:eastAsia="en-GB"/>
              </w:rPr>
              <w:t xml:space="preserve"> </w:t>
            </w:r>
            <w:r>
              <w:rPr>
                <w:lang w:val="en-GB" w:eastAsia="en-GB"/>
              </w:rPr>
              <w:t xml:space="preserve">for </w:t>
            </w:r>
            <w:r w:rsidRPr="00DE1AF3">
              <w:rPr>
                <w:lang w:val="en-GB" w:eastAsia="en-GB"/>
              </w:rPr>
              <w:t>Laos–Australian Scholarships Program</w:t>
            </w:r>
            <w:r>
              <w:rPr>
                <w:lang w:val="en-GB" w:eastAsia="en-GB"/>
              </w:rPr>
              <w:t xml:space="preserve"> </w:t>
            </w:r>
          </w:p>
        </w:tc>
        <w:tc>
          <w:tcPr>
            <w:tcW w:w="1276" w:type="dxa"/>
            <w:gridSpan w:val="2"/>
            <w:shd w:val="clear" w:color="000000" w:fill="FFFFFF"/>
            <w:noWrap/>
            <w:vAlign w:val="center"/>
            <w:hideMark/>
          </w:tcPr>
          <w:p w14:paraId="681AD1AB" w14:textId="77777777" w:rsidR="00014062" w:rsidRPr="00DE1AF3" w:rsidRDefault="00014062" w:rsidP="007B186C">
            <w:pPr>
              <w:pStyle w:val="TableText1"/>
              <w:rPr>
                <w:lang w:val="en-GB" w:eastAsia="en-GB"/>
              </w:rPr>
            </w:pPr>
            <w:r w:rsidRPr="00DE1AF3">
              <w:rPr>
                <w:lang w:val="en-GB" w:eastAsia="en-GB"/>
              </w:rPr>
              <w:t>Laos</w:t>
            </w:r>
          </w:p>
        </w:tc>
        <w:tc>
          <w:tcPr>
            <w:tcW w:w="1529" w:type="dxa"/>
            <w:shd w:val="clear" w:color="auto" w:fill="auto"/>
            <w:vAlign w:val="center"/>
            <w:hideMark/>
          </w:tcPr>
          <w:p w14:paraId="67EA8501" w14:textId="77777777" w:rsidR="00014062" w:rsidRPr="00DE1AF3" w:rsidRDefault="00014062" w:rsidP="007B186C">
            <w:pPr>
              <w:pStyle w:val="TableText1"/>
              <w:rPr>
                <w:lang w:val="en-GB" w:eastAsia="en-GB"/>
              </w:rPr>
            </w:pPr>
            <w:r w:rsidRPr="00DE1AF3">
              <w:rPr>
                <w:lang w:val="en-GB" w:eastAsia="en-GB"/>
              </w:rPr>
              <w:t>Education</w:t>
            </w:r>
          </w:p>
        </w:tc>
        <w:tc>
          <w:tcPr>
            <w:tcW w:w="1418" w:type="dxa"/>
            <w:vAlign w:val="center"/>
          </w:tcPr>
          <w:p w14:paraId="762311FE" w14:textId="327D5B70" w:rsidR="00014062" w:rsidRPr="00DE1AF3" w:rsidRDefault="00014062" w:rsidP="007B186C">
            <w:pPr>
              <w:pStyle w:val="TableText1"/>
              <w:rPr>
                <w:lang w:val="en-GB" w:eastAsia="en-GB"/>
              </w:rPr>
            </w:pPr>
            <w:r w:rsidRPr="00CF0A8A">
              <w:rPr>
                <w:lang w:val="en-GB" w:eastAsia="en-GB"/>
              </w:rPr>
              <w:t>Yes</w:t>
            </w:r>
          </w:p>
        </w:tc>
        <w:tc>
          <w:tcPr>
            <w:tcW w:w="1305" w:type="dxa"/>
            <w:gridSpan w:val="3"/>
            <w:vAlign w:val="center"/>
          </w:tcPr>
          <w:p w14:paraId="2AFD692E" w14:textId="7422CD18" w:rsidR="00014062" w:rsidRPr="00DE1AF3" w:rsidRDefault="00014062" w:rsidP="007B186C">
            <w:pPr>
              <w:pStyle w:val="TableText1"/>
              <w:rPr>
                <w:lang w:val="en-GB" w:eastAsia="en-GB"/>
              </w:rPr>
            </w:pPr>
            <w:r w:rsidRPr="00DE1AF3">
              <w:rPr>
                <w:lang w:val="en-GB" w:eastAsia="en-GB"/>
              </w:rPr>
              <w:t>No</w:t>
            </w:r>
          </w:p>
        </w:tc>
      </w:tr>
      <w:tr w:rsidR="00014062" w:rsidRPr="00DE1AF3" w14:paraId="4E5F0A10" w14:textId="77777777" w:rsidTr="007B56B7">
        <w:trPr>
          <w:cantSplit/>
          <w:trHeight w:val="900"/>
          <w:jc w:val="center"/>
        </w:trPr>
        <w:tc>
          <w:tcPr>
            <w:tcW w:w="1079" w:type="dxa"/>
            <w:shd w:val="clear" w:color="auto" w:fill="auto"/>
            <w:vAlign w:val="center"/>
            <w:hideMark/>
          </w:tcPr>
          <w:p w14:paraId="0D7D0FB8" w14:textId="77777777" w:rsidR="00014062" w:rsidRPr="00DE1AF3" w:rsidRDefault="00014062" w:rsidP="007B186C">
            <w:pPr>
              <w:pStyle w:val="TableText1"/>
              <w:rPr>
                <w:lang w:val="en-GB" w:eastAsia="en-GB"/>
              </w:rPr>
            </w:pPr>
            <w:r w:rsidRPr="00DE1AF3">
              <w:rPr>
                <w:lang w:val="en-GB" w:eastAsia="en-GB"/>
              </w:rPr>
              <w:t>INH274</w:t>
            </w:r>
          </w:p>
        </w:tc>
        <w:tc>
          <w:tcPr>
            <w:tcW w:w="3426" w:type="dxa"/>
            <w:gridSpan w:val="2"/>
            <w:shd w:val="clear" w:color="000000" w:fill="FFFFFF"/>
            <w:vAlign w:val="center"/>
            <w:hideMark/>
          </w:tcPr>
          <w:p w14:paraId="11D0B281" w14:textId="77777777" w:rsidR="00014062" w:rsidRPr="00DE1AF3" w:rsidRDefault="00014062" w:rsidP="007B186C">
            <w:pPr>
              <w:pStyle w:val="TableText1"/>
              <w:rPr>
                <w:lang w:val="en-GB" w:eastAsia="en-GB"/>
              </w:rPr>
            </w:pPr>
            <w:r>
              <w:rPr>
                <w:lang w:val="en-GB" w:eastAsia="en-GB"/>
              </w:rPr>
              <w:t>Independent Completion Report for</w:t>
            </w:r>
            <w:r w:rsidRPr="00DE1AF3">
              <w:rPr>
                <w:lang w:val="en-GB" w:eastAsia="en-GB"/>
              </w:rPr>
              <w:t xml:space="preserve"> Challenging the Frontiers of Poverty Reduction (CFPR) Phase II</w:t>
            </w:r>
            <w:r>
              <w:rPr>
                <w:lang w:val="en-GB" w:eastAsia="en-GB"/>
              </w:rPr>
              <w:t xml:space="preserve"> </w:t>
            </w:r>
          </w:p>
        </w:tc>
        <w:tc>
          <w:tcPr>
            <w:tcW w:w="1276" w:type="dxa"/>
            <w:gridSpan w:val="2"/>
            <w:shd w:val="clear" w:color="000000" w:fill="FFFFFF"/>
            <w:noWrap/>
            <w:vAlign w:val="center"/>
            <w:hideMark/>
          </w:tcPr>
          <w:p w14:paraId="0E5CBC3C" w14:textId="77777777" w:rsidR="00014062" w:rsidRPr="00DE1AF3" w:rsidRDefault="00014062" w:rsidP="007B186C">
            <w:pPr>
              <w:pStyle w:val="TableText1"/>
              <w:rPr>
                <w:lang w:val="en-GB" w:eastAsia="en-GB"/>
              </w:rPr>
            </w:pPr>
            <w:r w:rsidRPr="00DE1AF3">
              <w:rPr>
                <w:lang w:val="en-GB" w:eastAsia="en-GB"/>
              </w:rPr>
              <w:t>Bangladesh</w:t>
            </w:r>
          </w:p>
        </w:tc>
        <w:tc>
          <w:tcPr>
            <w:tcW w:w="1529" w:type="dxa"/>
            <w:shd w:val="clear" w:color="auto" w:fill="auto"/>
            <w:vAlign w:val="center"/>
            <w:hideMark/>
          </w:tcPr>
          <w:p w14:paraId="16ADF436" w14:textId="77777777" w:rsidR="00014062" w:rsidRPr="00DE1AF3" w:rsidRDefault="00014062" w:rsidP="007B186C">
            <w:pPr>
              <w:pStyle w:val="TableText1"/>
              <w:rPr>
                <w:lang w:val="en-GB" w:eastAsia="en-GB"/>
              </w:rPr>
            </w:pPr>
            <w:r w:rsidRPr="00DE1AF3">
              <w:rPr>
                <w:lang w:val="en-GB" w:eastAsia="en-GB"/>
              </w:rPr>
              <w:t>Rural development and food security</w:t>
            </w:r>
          </w:p>
        </w:tc>
        <w:tc>
          <w:tcPr>
            <w:tcW w:w="1418" w:type="dxa"/>
            <w:vAlign w:val="center"/>
          </w:tcPr>
          <w:p w14:paraId="64F34522" w14:textId="0E29956F" w:rsidR="00014062" w:rsidRPr="00DE1AF3" w:rsidRDefault="00014062" w:rsidP="007B186C">
            <w:pPr>
              <w:pStyle w:val="TableText1"/>
              <w:rPr>
                <w:lang w:val="en-GB" w:eastAsia="en-GB"/>
              </w:rPr>
            </w:pPr>
            <w:r w:rsidRPr="00CF0A8A">
              <w:rPr>
                <w:lang w:val="en-GB" w:eastAsia="en-GB"/>
              </w:rPr>
              <w:t>Yes</w:t>
            </w:r>
          </w:p>
        </w:tc>
        <w:tc>
          <w:tcPr>
            <w:tcW w:w="1305" w:type="dxa"/>
            <w:gridSpan w:val="3"/>
            <w:vAlign w:val="center"/>
          </w:tcPr>
          <w:p w14:paraId="2A7E67C0" w14:textId="3A763C47" w:rsidR="00014062" w:rsidRPr="00DE1AF3" w:rsidRDefault="00014062" w:rsidP="007B186C">
            <w:pPr>
              <w:pStyle w:val="TableText1"/>
              <w:rPr>
                <w:lang w:val="en-GB" w:eastAsia="en-GB"/>
              </w:rPr>
            </w:pPr>
            <w:r w:rsidRPr="00DE1AF3">
              <w:rPr>
                <w:lang w:val="en-GB" w:eastAsia="en-GB"/>
              </w:rPr>
              <w:t>No</w:t>
            </w:r>
          </w:p>
        </w:tc>
      </w:tr>
    </w:tbl>
    <w:p w14:paraId="39A7F676" w14:textId="0F986220" w:rsidR="007B186C" w:rsidRDefault="007B186C" w:rsidP="007B186C">
      <w:pPr>
        <w:spacing w:before="57" w:after="142"/>
      </w:pPr>
    </w:p>
    <w:tbl>
      <w:tblPr>
        <w:tblW w:w="10033" w:type="dxa"/>
        <w:jc w:val="center"/>
        <w:tblBorders>
          <w:top w:val="single" w:sz="4" w:space="0" w:color="31849B"/>
          <w:bottom w:val="single" w:sz="4" w:space="0" w:color="31849B"/>
          <w:insideH w:val="single" w:sz="4" w:space="0" w:color="31849B"/>
        </w:tblBorders>
        <w:tblLayout w:type="fixed"/>
        <w:tblLook w:val="04A0" w:firstRow="1" w:lastRow="0" w:firstColumn="1" w:lastColumn="0" w:noHBand="0" w:noVBand="1"/>
      </w:tblPr>
      <w:tblGrid>
        <w:gridCol w:w="1073"/>
        <w:gridCol w:w="3432"/>
        <w:gridCol w:w="32"/>
        <w:gridCol w:w="1214"/>
        <w:gridCol w:w="1559"/>
        <w:gridCol w:w="1418"/>
        <w:gridCol w:w="1292"/>
        <w:gridCol w:w="13"/>
      </w:tblGrid>
      <w:tr w:rsidR="00014062" w:rsidRPr="001C2D74" w14:paraId="43AF88D3" w14:textId="77777777" w:rsidTr="009841B9">
        <w:trPr>
          <w:gridAfter w:val="1"/>
          <w:wAfter w:w="13" w:type="dxa"/>
          <w:cantSplit/>
          <w:trHeight w:val="795"/>
          <w:jc w:val="center"/>
        </w:trPr>
        <w:tc>
          <w:tcPr>
            <w:tcW w:w="1073" w:type="dxa"/>
            <w:shd w:val="clear" w:color="auto" w:fill="007FAD"/>
            <w:vAlign w:val="center"/>
            <w:hideMark/>
          </w:tcPr>
          <w:p w14:paraId="7BA6D013" w14:textId="77777777" w:rsidR="00014062" w:rsidRPr="00315553" w:rsidRDefault="00014062" w:rsidP="007B186C">
            <w:pPr>
              <w:pStyle w:val="TableHeading21"/>
              <w:rPr>
                <w:i w:val="0"/>
                <w:lang w:val="en-GB" w:eastAsia="en-GB"/>
              </w:rPr>
            </w:pPr>
            <w:r w:rsidRPr="00315553">
              <w:rPr>
                <w:i w:val="0"/>
                <w:lang w:val="en-GB" w:eastAsia="en-GB"/>
              </w:rPr>
              <w:lastRenderedPageBreak/>
              <w:t xml:space="preserve">Initiative </w:t>
            </w:r>
            <w:r>
              <w:rPr>
                <w:i w:val="0"/>
                <w:lang w:val="en-GB" w:eastAsia="en-GB"/>
              </w:rPr>
              <w:t>number</w:t>
            </w:r>
          </w:p>
        </w:tc>
        <w:tc>
          <w:tcPr>
            <w:tcW w:w="3464" w:type="dxa"/>
            <w:gridSpan w:val="2"/>
            <w:shd w:val="clear" w:color="auto" w:fill="007FAD"/>
            <w:vAlign w:val="center"/>
            <w:hideMark/>
          </w:tcPr>
          <w:p w14:paraId="4989667B" w14:textId="77777777" w:rsidR="00014062" w:rsidRPr="00315553" w:rsidRDefault="00014062" w:rsidP="007B186C">
            <w:pPr>
              <w:pStyle w:val="TableHeading21"/>
              <w:rPr>
                <w:i w:val="0"/>
                <w:lang w:val="en-GB" w:eastAsia="en-GB"/>
              </w:rPr>
            </w:pPr>
            <w:r w:rsidRPr="00315553">
              <w:rPr>
                <w:i w:val="0"/>
                <w:lang w:val="en-GB" w:eastAsia="en-GB"/>
              </w:rPr>
              <w:t>Evaluation title</w:t>
            </w:r>
          </w:p>
        </w:tc>
        <w:tc>
          <w:tcPr>
            <w:tcW w:w="1214" w:type="dxa"/>
            <w:shd w:val="clear" w:color="auto" w:fill="007FAD"/>
            <w:vAlign w:val="center"/>
            <w:hideMark/>
          </w:tcPr>
          <w:p w14:paraId="372D6702" w14:textId="77777777" w:rsidR="00014062" w:rsidRPr="00315553" w:rsidRDefault="00014062" w:rsidP="007B186C">
            <w:pPr>
              <w:pStyle w:val="TableHeading21"/>
              <w:rPr>
                <w:i w:val="0"/>
                <w:lang w:val="en-GB" w:eastAsia="en-GB"/>
              </w:rPr>
            </w:pPr>
            <w:r w:rsidRPr="00315553">
              <w:rPr>
                <w:i w:val="0"/>
                <w:lang w:val="en-GB" w:eastAsia="en-GB"/>
              </w:rPr>
              <w:t>Country</w:t>
            </w:r>
          </w:p>
        </w:tc>
        <w:tc>
          <w:tcPr>
            <w:tcW w:w="1559" w:type="dxa"/>
            <w:shd w:val="clear" w:color="auto" w:fill="007FAD"/>
            <w:vAlign w:val="center"/>
            <w:hideMark/>
          </w:tcPr>
          <w:p w14:paraId="63D587E6" w14:textId="77777777" w:rsidR="00014062" w:rsidRPr="00315553" w:rsidRDefault="00014062" w:rsidP="007B186C">
            <w:pPr>
              <w:pStyle w:val="TableHeading21"/>
              <w:rPr>
                <w:i w:val="0"/>
                <w:lang w:val="en-GB" w:eastAsia="en-GB"/>
              </w:rPr>
            </w:pPr>
            <w:r w:rsidRPr="00315553">
              <w:rPr>
                <w:i w:val="0"/>
                <w:lang w:val="en-GB" w:eastAsia="en-GB"/>
              </w:rPr>
              <w:t>Primary sector</w:t>
            </w:r>
          </w:p>
        </w:tc>
        <w:tc>
          <w:tcPr>
            <w:tcW w:w="1418" w:type="dxa"/>
            <w:shd w:val="clear" w:color="auto" w:fill="007FAD"/>
          </w:tcPr>
          <w:p w14:paraId="61CF1795" w14:textId="1DE9FC70" w:rsidR="00014062" w:rsidRPr="00315553" w:rsidRDefault="00014062" w:rsidP="007B186C">
            <w:pPr>
              <w:pStyle w:val="TableHeading21"/>
              <w:rPr>
                <w:i w:val="0"/>
                <w:lang w:val="en-GB" w:eastAsia="en-GB"/>
              </w:rPr>
            </w:pPr>
            <w:r>
              <w:rPr>
                <w:i w:val="0"/>
                <w:lang w:val="en-GB" w:eastAsia="en-GB"/>
              </w:rPr>
              <w:t>Evidence and analysis assessed as credible?</w:t>
            </w:r>
          </w:p>
        </w:tc>
        <w:tc>
          <w:tcPr>
            <w:tcW w:w="1292" w:type="dxa"/>
            <w:shd w:val="clear" w:color="auto" w:fill="007FAD"/>
            <w:vAlign w:val="center"/>
          </w:tcPr>
          <w:p w14:paraId="11CB6A09" w14:textId="11075831" w:rsidR="00014062" w:rsidRPr="00315553" w:rsidRDefault="00014062" w:rsidP="007B186C">
            <w:pPr>
              <w:pStyle w:val="TableHeading21"/>
              <w:rPr>
                <w:i w:val="0"/>
                <w:lang w:val="en-GB" w:eastAsia="en-GB"/>
              </w:rPr>
            </w:pPr>
            <w:r w:rsidRPr="00315553">
              <w:rPr>
                <w:i w:val="0"/>
                <w:lang w:val="en-GB" w:eastAsia="en-GB"/>
              </w:rPr>
              <w:t>Published on DFAT website?</w:t>
            </w:r>
          </w:p>
        </w:tc>
      </w:tr>
      <w:tr w:rsidR="00DA5E9A" w:rsidRPr="00DE1AF3" w14:paraId="1A6DEE1F" w14:textId="77777777" w:rsidTr="009841B9">
        <w:trPr>
          <w:cantSplit/>
          <w:trHeight w:val="900"/>
          <w:jc w:val="center"/>
        </w:trPr>
        <w:tc>
          <w:tcPr>
            <w:tcW w:w="1073" w:type="dxa"/>
            <w:shd w:val="clear" w:color="auto" w:fill="auto"/>
            <w:noWrap/>
            <w:vAlign w:val="center"/>
            <w:hideMark/>
          </w:tcPr>
          <w:p w14:paraId="1A0F081E" w14:textId="77777777" w:rsidR="00DA5E9A" w:rsidRPr="00DE1AF3" w:rsidRDefault="00DA5E9A" w:rsidP="00196528">
            <w:pPr>
              <w:pStyle w:val="TableText1"/>
              <w:rPr>
                <w:lang w:val="en-GB" w:eastAsia="en-GB"/>
              </w:rPr>
            </w:pPr>
            <w:r w:rsidRPr="00DE1AF3">
              <w:rPr>
                <w:lang w:val="en-GB" w:eastAsia="en-GB"/>
              </w:rPr>
              <w:t>INH361</w:t>
            </w:r>
          </w:p>
        </w:tc>
        <w:tc>
          <w:tcPr>
            <w:tcW w:w="3432" w:type="dxa"/>
            <w:shd w:val="clear" w:color="000000" w:fill="FFFFFF"/>
            <w:vAlign w:val="center"/>
            <w:hideMark/>
          </w:tcPr>
          <w:p w14:paraId="4DB722FE" w14:textId="77777777" w:rsidR="00DA5E9A" w:rsidRPr="00DE1AF3" w:rsidRDefault="00DA5E9A" w:rsidP="00196528">
            <w:pPr>
              <w:pStyle w:val="TableText1"/>
              <w:rPr>
                <w:lang w:val="en-GB" w:eastAsia="en-GB"/>
              </w:rPr>
            </w:pPr>
            <w:r w:rsidRPr="00782FD3">
              <w:rPr>
                <w:lang w:val="en-GB" w:eastAsia="en-GB"/>
              </w:rPr>
              <w:t>Independent Progress Review of</w:t>
            </w:r>
            <w:r>
              <w:rPr>
                <w:lang w:val="en-GB" w:eastAsia="en-GB"/>
              </w:rPr>
              <w:t xml:space="preserve"> </w:t>
            </w:r>
            <w:r w:rsidRPr="00DE1AF3">
              <w:rPr>
                <w:lang w:val="en-GB" w:eastAsia="en-GB"/>
              </w:rPr>
              <w:t>Support for Education Sector Development in Aceh (SEDIA)</w:t>
            </w:r>
          </w:p>
        </w:tc>
        <w:tc>
          <w:tcPr>
            <w:tcW w:w="1246" w:type="dxa"/>
            <w:gridSpan w:val="2"/>
            <w:shd w:val="clear" w:color="000000" w:fill="FFFFFF"/>
            <w:noWrap/>
            <w:vAlign w:val="center"/>
            <w:hideMark/>
          </w:tcPr>
          <w:p w14:paraId="05C637AE" w14:textId="77777777" w:rsidR="00DA5E9A" w:rsidRPr="00DE1AF3" w:rsidRDefault="00DA5E9A" w:rsidP="00196528">
            <w:pPr>
              <w:pStyle w:val="TableText1"/>
              <w:rPr>
                <w:lang w:val="en-GB" w:eastAsia="en-GB"/>
              </w:rPr>
            </w:pPr>
            <w:r w:rsidRPr="00DE1AF3">
              <w:rPr>
                <w:lang w:val="en-GB" w:eastAsia="en-GB"/>
              </w:rPr>
              <w:t>Indonesia</w:t>
            </w:r>
          </w:p>
        </w:tc>
        <w:tc>
          <w:tcPr>
            <w:tcW w:w="1559" w:type="dxa"/>
            <w:shd w:val="clear" w:color="auto" w:fill="auto"/>
            <w:vAlign w:val="center"/>
            <w:hideMark/>
          </w:tcPr>
          <w:p w14:paraId="2052B3AD" w14:textId="77777777" w:rsidR="00DA5E9A" w:rsidRPr="00DE1AF3" w:rsidRDefault="00DA5E9A" w:rsidP="00196528">
            <w:pPr>
              <w:pStyle w:val="TableText1"/>
              <w:rPr>
                <w:lang w:val="en-GB" w:eastAsia="en-GB"/>
              </w:rPr>
            </w:pPr>
            <w:r w:rsidRPr="00DE1AF3">
              <w:rPr>
                <w:lang w:val="en-GB" w:eastAsia="en-GB"/>
              </w:rPr>
              <w:t>Education</w:t>
            </w:r>
          </w:p>
        </w:tc>
        <w:tc>
          <w:tcPr>
            <w:tcW w:w="1418" w:type="dxa"/>
            <w:vAlign w:val="center"/>
          </w:tcPr>
          <w:p w14:paraId="1FC3C6CC" w14:textId="77777777" w:rsidR="00DA5E9A" w:rsidRPr="00DE1AF3" w:rsidRDefault="00DA5E9A" w:rsidP="00196528">
            <w:pPr>
              <w:pStyle w:val="TableText1"/>
              <w:rPr>
                <w:lang w:val="en-GB" w:eastAsia="en-GB"/>
              </w:rPr>
            </w:pPr>
            <w:r w:rsidRPr="00CF0A8A">
              <w:rPr>
                <w:lang w:val="en-GB" w:eastAsia="en-GB"/>
              </w:rPr>
              <w:t>Yes</w:t>
            </w:r>
          </w:p>
        </w:tc>
        <w:tc>
          <w:tcPr>
            <w:tcW w:w="1305" w:type="dxa"/>
            <w:gridSpan w:val="2"/>
            <w:vAlign w:val="center"/>
          </w:tcPr>
          <w:p w14:paraId="34AE3682" w14:textId="77777777" w:rsidR="00DA5E9A" w:rsidRPr="00DE1AF3" w:rsidRDefault="00DA5E9A" w:rsidP="00196528">
            <w:pPr>
              <w:pStyle w:val="TableText1"/>
              <w:rPr>
                <w:lang w:val="en-GB" w:eastAsia="en-GB"/>
              </w:rPr>
            </w:pPr>
            <w:r w:rsidRPr="00DE1AF3">
              <w:rPr>
                <w:lang w:val="en-GB" w:eastAsia="en-GB"/>
              </w:rPr>
              <w:t>No</w:t>
            </w:r>
          </w:p>
        </w:tc>
      </w:tr>
      <w:tr w:rsidR="00DA5E9A" w:rsidRPr="00DE1AF3" w14:paraId="44CB59CA" w14:textId="77777777" w:rsidTr="009841B9">
        <w:trPr>
          <w:cantSplit/>
          <w:trHeight w:val="900"/>
          <w:jc w:val="center"/>
        </w:trPr>
        <w:tc>
          <w:tcPr>
            <w:tcW w:w="1073" w:type="dxa"/>
            <w:shd w:val="clear" w:color="auto" w:fill="auto"/>
            <w:noWrap/>
            <w:vAlign w:val="center"/>
            <w:hideMark/>
          </w:tcPr>
          <w:p w14:paraId="6D533945" w14:textId="77777777" w:rsidR="00DA5E9A" w:rsidRPr="00DE1AF3" w:rsidRDefault="00DA5E9A" w:rsidP="00196528">
            <w:pPr>
              <w:pStyle w:val="TableText1"/>
              <w:rPr>
                <w:lang w:val="en-GB" w:eastAsia="en-GB"/>
              </w:rPr>
            </w:pPr>
            <w:r w:rsidRPr="00DE1AF3">
              <w:rPr>
                <w:lang w:val="en-GB" w:eastAsia="en-GB"/>
              </w:rPr>
              <w:t>INH436</w:t>
            </w:r>
          </w:p>
        </w:tc>
        <w:tc>
          <w:tcPr>
            <w:tcW w:w="3432" w:type="dxa"/>
            <w:shd w:val="clear" w:color="000000" w:fill="FFFFFF"/>
            <w:vAlign w:val="center"/>
            <w:hideMark/>
          </w:tcPr>
          <w:p w14:paraId="2CC90DD8" w14:textId="77777777" w:rsidR="00DA5E9A" w:rsidRPr="00DE1AF3" w:rsidRDefault="00DA5E9A" w:rsidP="00196528">
            <w:pPr>
              <w:pStyle w:val="TableText1"/>
              <w:rPr>
                <w:lang w:val="en-GB" w:eastAsia="en-GB"/>
              </w:rPr>
            </w:pPr>
            <w:r w:rsidRPr="00DE1AF3">
              <w:rPr>
                <w:lang w:val="en-GB" w:eastAsia="en-GB"/>
              </w:rPr>
              <w:t>Independent Progress Review of Australia-UNICEF Education Assistance to Papua and Papua Barat</w:t>
            </w:r>
          </w:p>
        </w:tc>
        <w:tc>
          <w:tcPr>
            <w:tcW w:w="1246" w:type="dxa"/>
            <w:gridSpan w:val="2"/>
            <w:shd w:val="clear" w:color="000000" w:fill="FFFFFF"/>
            <w:noWrap/>
            <w:vAlign w:val="center"/>
            <w:hideMark/>
          </w:tcPr>
          <w:p w14:paraId="3824E206" w14:textId="77777777" w:rsidR="00DA5E9A" w:rsidRPr="00DE1AF3" w:rsidRDefault="00DA5E9A" w:rsidP="00196528">
            <w:pPr>
              <w:pStyle w:val="TableText1"/>
              <w:rPr>
                <w:lang w:val="en-GB" w:eastAsia="en-GB"/>
              </w:rPr>
            </w:pPr>
            <w:r w:rsidRPr="00DE1AF3">
              <w:rPr>
                <w:lang w:val="en-GB" w:eastAsia="en-GB"/>
              </w:rPr>
              <w:t>Indonesia</w:t>
            </w:r>
          </w:p>
        </w:tc>
        <w:tc>
          <w:tcPr>
            <w:tcW w:w="1559" w:type="dxa"/>
            <w:shd w:val="clear" w:color="auto" w:fill="auto"/>
            <w:vAlign w:val="center"/>
            <w:hideMark/>
          </w:tcPr>
          <w:p w14:paraId="79FFCFC0" w14:textId="77777777" w:rsidR="00DA5E9A" w:rsidRPr="00DE1AF3" w:rsidRDefault="00DA5E9A" w:rsidP="00196528">
            <w:pPr>
              <w:pStyle w:val="TableText1"/>
              <w:rPr>
                <w:lang w:val="en-GB" w:eastAsia="en-GB"/>
              </w:rPr>
            </w:pPr>
            <w:r w:rsidRPr="00DE1AF3">
              <w:rPr>
                <w:lang w:val="en-GB" w:eastAsia="en-GB"/>
              </w:rPr>
              <w:t>Education</w:t>
            </w:r>
          </w:p>
        </w:tc>
        <w:tc>
          <w:tcPr>
            <w:tcW w:w="1418" w:type="dxa"/>
            <w:vAlign w:val="center"/>
          </w:tcPr>
          <w:p w14:paraId="65D1F534" w14:textId="77777777" w:rsidR="00DA5E9A" w:rsidRPr="00DE1AF3" w:rsidRDefault="00DA5E9A" w:rsidP="00196528">
            <w:pPr>
              <w:pStyle w:val="TableText1"/>
              <w:rPr>
                <w:lang w:val="en-GB" w:eastAsia="en-GB"/>
              </w:rPr>
            </w:pPr>
            <w:r w:rsidRPr="00CF0A8A">
              <w:rPr>
                <w:lang w:val="en-GB" w:eastAsia="en-GB"/>
              </w:rPr>
              <w:t>Yes</w:t>
            </w:r>
          </w:p>
        </w:tc>
        <w:tc>
          <w:tcPr>
            <w:tcW w:w="1305" w:type="dxa"/>
            <w:gridSpan w:val="2"/>
            <w:vAlign w:val="center"/>
          </w:tcPr>
          <w:p w14:paraId="42B8C0DB" w14:textId="77777777" w:rsidR="00DA5E9A" w:rsidRPr="00DE1AF3" w:rsidRDefault="00DA5E9A" w:rsidP="00196528">
            <w:pPr>
              <w:pStyle w:val="TableText1"/>
              <w:rPr>
                <w:lang w:val="en-GB" w:eastAsia="en-GB"/>
              </w:rPr>
            </w:pPr>
            <w:r w:rsidRPr="00DE1AF3">
              <w:rPr>
                <w:lang w:val="en-GB" w:eastAsia="en-GB"/>
              </w:rPr>
              <w:t>No</w:t>
            </w:r>
          </w:p>
        </w:tc>
      </w:tr>
      <w:tr w:rsidR="00014062" w:rsidRPr="00DE1AF3" w14:paraId="4DC6DCB2" w14:textId="77777777" w:rsidTr="009841B9">
        <w:trPr>
          <w:gridAfter w:val="1"/>
          <w:wAfter w:w="13" w:type="dxa"/>
          <w:cantSplit/>
          <w:trHeight w:val="900"/>
          <w:jc w:val="center"/>
        </w:trPr>
        <w:tc>
          <w:tcPr>
            <w:tcW w:w="1073" w:type="dxa"/>
            <w:shd w:val="clear" w:color="auto" w:fill="auto"/>
            <w:noWrap/>
            <w:vAlign w:val="center"/>
            <w:hideMark/>
          </w:tcPr>
          <w:p w14:paraId="4020F147" w14:textId="77777777" w:rsidR="00014062" w:rsidRPr="00DE1AF3" w:rsidRDefault="00014062" w:rsidP="007B186C">
            <w:pPr>
              <w:pStyle w:val="TableText1"/>
              <w:rPr>
                <w:lang w:val="en-GB" w:eastAsia="en-GB"/>
              </w:rPr>
            </w:pPr>
            <w:r w:rsidRPr="00DE1AF3">
              <w:rPr>
                <w:lang w:val="en-GB" w:eastAsia="en-GB"/>
              </w:rPr>
              <w:t>INH497</w:t>
            </w:r>
          </w:p>
        </w:tc>
        <w:tc>
          <w:tcPr>
            <w:tcW w:w="3464" w:type="dxa"/>
            <w:gridSpan w:val="2"/>
            <w:shd w:val="clear" w:color="000000" w:fill="FFFFFF"/>
            <w:vAlign w:val="center"/>
            <w:hideMark/>
          </w:tcPr>
          <w:p w14:paraId="4AD4F67A" w14:textId="730764EE" w:rsidR="00014062" w:rsidRPr="00DE1AF3" w:rsidRDefault="00014062" w:rsidP="007B186C">
            <w:pPr>
              <w:pStyle w:val="TableText1"/>
              <w:rPr>
                <w:lang w:val="en-GB" w:eastAsia="en-GB"/>
              </w:rPr>
            </w:pPr>
            <w:r>
              <w:rPr>
                <w:lang w:val="en-GB" w:eastAsia="en-GB"/>
              </w:rPr>
              <w:t xml:space="preserve">Independent Completion Report for </w:t>
            </w:r>
            <w:r w:rsidRPr="00DE1AF3">
              <w:rPr>
                <w:lang w:val="en-GB" w:eastAsia="en-GB"/>
              </w:rPr>
              <w:t>Timor–Leste Asian Development Bank Infrastructure Project Management/</w:t>
            </w:r>
            <w:r w:rsidR="00DA5E9A">
              <w:rPr>
                <w:lang w:val="en-GB" w:eastAsia="en-GB"/>
              </w:rPr>
              <w:t xml:space="preserve"> </w:t>
            </w:r>
            <w:r w:rsidRPr="00DE1AF3">
              <w:rPr>
                <w:lang w:val="en-GB" w:eastAsia="en-GB"/>
              </w:rPr>
              <w:t>Infrastructure Technical Assistance</w:t>
            </w:r>
          </w:p>
        </w:tc>
        <w:tc>
          <w:tcPr>
            <w:tcW w:w="1214" w:type="dxa"/>
            <w:shd w:val="clear" w:color="000000" w:fill="FFFFFF"/>
            <w:noWrap/>
            <w:vAlign w:val="center"/>
            <w:hideMark/>
          </w:tcPr>
          <w:p w14:paraId="67007D4F" w14:textId="77777777" w:rsidR="00014062" w:rsidRPr="00DE1AF3" w:rsidRDefault="00014062" w:rsidP="007B186C">
            <w:pPr>
              <w:pStyle w:val="TableText1"/>
              <w:rPr>
                <w:lang w:val="en-GB" w:eastAsia="en-GB"/>
              </w:rPr>
            </w:pPr>
            <w:r w:rsidRPr="00DE1AF3">
              <w:rPr>
                <w:lang w:val="en-GB" w:eastAsia="en-GB"/>
              </w:rPr>
              <w:t>Timor-Leste</w:t>
            </w:r>
          </w:p>
        </w:tc>
        <w:tc>
          <w:tcPr>
            <w:tcW w:w="1559" w:type="dxa"/>
            <w:shd w:val="clear" w:color="auto" w:fill="auto"/>
            <w:vAlign w:val="center"/>
            <w:hideMark/>
          </w:tcPr>
          <w:p w14:paraId="18D43B7C" w14:textId="77777777" w:rsidR="00014062" w:rsidRPr="00DE1AF3" w:rsidRDefault="00014062" w:rsidP="007B186C">
            <w:pPr>
              <w:pStyle w:val="TableText1"/>
              <w:rPr>
                <w:lang w:val="en-GB" w:eastAsia="en-GB"/>
              </w:rPr>
            </w:pPr>
            <w:r w:rsidRPr="00DE1AF3">
              <w:rPr>
                <w:lang w:val="en-GB" w:eastAsia="en-GB"/>
              </w:rPr>
              <w:t>Infrastructure</w:t>
            </w:r>
          </w:p>
        </w:tc>
        <w:tc>
          <w:tcPr>
            <w:tcW w:w="1418" w:type="dxa"/>
            <w:vAlign w:val="center"/>
          </w:tcPr>
          <w:p w14:paraId="084CA2FE" w14:textId="444DC577" w:rsidR="00014062" w:rsidRPr="00DE1AF3" w:rsidRDefault="00014062" w:rsidP="007B186C">
            <w:pPr>
              <w:pStyle w:val="TableText1"/>
              <w:rPr>
                <w:lang w:val="en-GB" w:eastAsia="en-GB"/>
              </w:rPr>
            </w:pPr>
            <w:r w:rsidRPr="00CF0A8A">
              <w:rPr>
                <w:lang w:val="en-GB" w:eastAsia="en-GB"/>
              </w:rPr>
              <w:t>Yes</w:t>
            </w:r>
          </w:p>
        </w:tc>
        <w:tc>
          <w:tcPr>
            <w:tcW w:w="1292" w:type="dxa"/>
            <w:vAlign w:val="center"/>
          </w:tcPr>
          <w:p w14:paraId="20FABA39" w14:textId="60C8896A" w:rsidR="00014062" w:rsidRPr="00DE1AF3" w:rsidRDefault="00014062" w:rsidP="007B186C">
            <w:pPr>
              <w:pStyle w:val="TableText1"/>
              <w:rPr>
                <w:lang w:val="en-GB" w:eastAsia="en-GB"/>
              </w:rPr>
            </w:pPr>
            <w:r w:rsidRPr="00DE1AF3">
              <w:rPr>
                <w:lang w:val="en-GB" w:eastAsia="en-GB"/>
              </w:rPr>
              <w:t>Yes</w:t>
            </w:r>
          </w:p>
        </w:tc>
      </w:tr>
      <w:tr w:rsidR="00014062" w:rsidRPr="00DE1AF3" w14:paraId="3457E6B5" w14:textId="77777777" w:rsidTr="009841B9">
        <w:trPr>
          <w:gridAfter w:val="1"/>
          <w:wAfter w:w="13" w:type="dxa"/>
          <w:cantSplit/>
          <w:trHeight w:val="900"/>
          <w:jc w:val="center"/>
        </w:trPr>
        <w:tc>
          <w:tcPr>
            <w:tcW w:w="1073" w:type="dxa"/>
            <w:shd w:val="clear" w:color="auto" w:fill="auto"/>
            <w:noWrap/>
            <w:vAlign w:val="center"/>
            <w:hideMark/>
          </w:tcPr>
          <w:p w14:paraId="610D7726" w14:textId="77777777" w:rsidR="00014062" w:rsidRPr="00DE1AF3" w:rsidRDefault="00014062" w:rsidP="007B186C">
            <w:pPr>
              <w:pStyle w:val="TableText1"/>
              <w:rPr>
                <w:lang w:val="en-GB" w:eastAsia="en-GB"/>
              </w:rPr>
            </w:pPr>
            <w:r w:rsidRPr="00DE1AF3">
              <w:rPr>
                <w:lang w:val="en-GB" w:eastAsia="en-GB"/>
              </w:rPr>
              <w:t>INH528</w:t>
            </w:r>
          </w:p>
        </w:tc>
        <w:tc>
          <w:tcPr>
            <w:tcW w:w="3464" w:type="dxa"/>
            <w:gridSpan w:val="2"/>
            <w:shd w:val="clear" w:color="000000" w:fill="FFFFFF"/>
            <w:vAlign w:val="center"/>
            <w:hideMark/>
          </w:tcPr>
          <w:p w14:paraId="5CA0C884" w14:textId="77777777" w:rsidR="00014062" w:rsidRPr="00DE1AF3" w:rsidRDefault="00014062" w:rsidP="007B186C">
            <w:pPr>
              <w:pStyle w:val="TableText1"/>
              <w:rPr>
                <w:lang w:val="en-GB" w:eastAsia="en-GB"/>
              </w:rPr>
            </w:pPr>
            <w:r w:rsidRPr="00DE1AF3">
              <w:rPr>
                <w:lang w:val="en-GB" w:eastAsia="en-GB"/>
              </w:rPr>
              <w:t xml:space="preserve">Independent Progress Report </w:t>
            </w:r>
            <w:r>
              <w:rPr>
                <w:lang w:val="en-GB" w:eastAsia="en-GB"/>
              </w:rPr>
              <w:t xml:space="preserve">for </w:t>
            </w:r>
            <w:r w:rsidRPr="00DE1AF3">
              <w:rPr>
                <w:lang w:val="en-GB" w:eastAsia="en-GB"/>
              </w:rPr>
              <w:t>Pacific Leadership Program</w:t>
            </w:r>
          </w:p>
        </w:tc>
        <w:tc>
          <w:tcPr>
            <w:tcW w:w="1214" w:type="dxa"/>
            <w:shd w:val="clear" w:color="000000" w:fill="FFFFFF"/>
            <w:noWrap/>
            <w:vAlign w:val="center"/>
            <w:hideMark/>
          </w:tcPr>
          <w:p w14:paraId="1F395662" w14:textId="77777777" w:rsidR="00014062" w:rsidRPr="00DE1AF3" w:rsidRDefault="00014062" w:rsidP="007B186C">
            <w:pPr>
              <w:pStyle w:val="TableText1"/>
              <w:rPr>
                <w:lang w:val="en-GB" w:eastAsia="en-GB"/>
              </w:rPr>
            </w:pPr>
            <w:r w:rsidRPr="00DE1AF3">
              <w:rPr>
                <w:lang w:val="en-GB" w:eastAsia="en-GB"/>
              </w:rPr>
              <w:t>Pacific</w:t>
            </w:r>
          </w:p>
        </w:tc>
        <w:tc>
          <w:tcPr>
            <w:tcW w:w="1559" w:type="dxa"/>
            <w:shd w:val="clear" w:color="auto" w:fill="auto"/>
            <w:vAlign w:val="center"/>
            <w:hideMark/>
          </w:tcPr>
          <w:p w14:paraId="75B3ACB0" w14:textId="77777777" w:rsidR="00014062" w:rsidRPr="00DE1AF3" w:rsidRDefault="00014062" w:rsidP="007B186C">
            <w:pPr>
              <w:pStyle w:val="TableText1"/>
              <w:rPr>
                <w:lang w:val="en-GB" w:eastAsia="en-GB"/>
              </w:rPr>
            </w:pPr>
            <w:r>
              <w:rPr>
                <w:lang w:val="en-GB" w:eastAsia="en-GB"/>
              </w:rPr>
              <w:t>Improved government</w:t>
            </w:r>
          </w:p>
        </w:tc>
        <w:tc>
          <w:tcPr>
            <w:tcW w:w="1418" w:type="dxa"/>
            <w:vAlign w:val="center"/>
          </w:tcPr>
          <w:p w14:paraId="7D4B89A8" w14:textId="769D3427" w:rsidR="00014062" w:rsidRPr="00DE1AF3" w:rsidRDefault="00014062" w:rsidP="007B186C">
            <w:pPr>
              <w:pStyle w:val="TableText1"/>
              <w:rPr>
                <w:lang w:val="en-GB" w:eastAsia="en-GB"/>
              </w:rPr>
            </w:pPr>
            <w:r w:rsidRPr="00CF0A8A">
              <w:rPr>
                <w:lang w:val="en-GB" w:eastAsia="en-GB"/>
              </w:rPr>
              <w:t>Yes</w:t>
            </w:r>
          </w:p>
        </w:tc>
        <w:tc>
          <w:tcPr>
            <w:tcW w:w="1292" w:type="dxa"/>
            <w:vAlign w:val="center"/>
          </w:tcPr>
          <w:p w14:paraId="08F4D9E5" w14:textId="7F15AAEF" w:rsidR="00014062" w:rsidRPr="00DE1AF3" w:rsidRDefault="00014062" w:rsidP="007B186C">
            <w:pPr>
              <w:pStyle w:val="TableText1"/>
              <w:rPr>
                <w:lang w:val="en-GB" w:eastAsia="en-GB"/>
              </w:rPr>
            </w:pPr>
            <w:r w:rsidRPr="00DE1AF3">
              <w:rPr>
                <w:lang w:val="en-GB" w:eastAsia="en-GB"/>
              </w:rPr>
              <w:t>Yes</w:t>
            </w:r>
          </w:p>
        </w:tc>
      </w:tr>
      <w:tr w:rsidR="00014062" w:rsidRPr="00DE1AF3" w14:paraId="2B33D4D2" w14:textId="77777777" w:rsidTr="009841B9">
        <w:trPr>
          <w:gridAfter w:val="1"/>
          <w:wAfter w:w="13" w:type="dxa"/>
          <w:cantSplit/>
          <w:trHeight w:val="900"/>
          <w:jc w:val="center"/>
        </w:trPr>
        <w:tc>
          <w:tcPr>
            <w:tcW w:w="1073" w:type="dxa"/>
            <w:shd w:val="clear" w:color="auto" w:fill="auto"/>
            <w:noWrap/>
            <w:vAlign w:val="center"/>
            <w:hideMark/>
          </w:tcPr>
          <w:p w14:paraId="2B3A704B" w14:textId="77777777" w:rsidR="00014062" w:rsidRPr="00DE1AF3" w:rsidRDefault="00014062" w:rsidP="007B186C">
            <w:pPr>
              <w:pStyle w:val="TableText1"/>
              <w:rPr>
                <w:lang w:val="en-GB" w:eastAsia="en-GB"/>
              </w:rPr>
            </w:pPr>
            <w:r w:rsidRPr="00DE1AF3">
              <w:rPr>
                <w:lang w:val="en-GB" w:eastAsia="en-GB"/>
              </w:rPr>
              <w:t>INH602</w:t>
            </w:r>
          </w:p>
        </w:tc>
        <w:tc>
          <w:tcPr>
            <w:tcW w:w="3464" w:type="dxa"/>
            <w:gridSpan w:val="2"/>
            <w:shd w:val="clear" w:color="000000" w:fill="FFFFFF"/>
            <w:vAlign w:val="center"/>
            <w:hideMark/>
          </w:tcPr>
          <w:p w14:paraId="7BF2AC1C" w14:textId="77777777" w:rsidR="00014062" w:rsidRPr="00DE1AF3" w:rsidRDefault="00014062" w:rsidP="007B186C">
            <w:pPr>
              <w:pStyle w:val="TableText1"/>
              <w:rPr>
                <w:lang w:val="en-GB" w:eastAsia="en-GB"/>
              </w:rPr>
            </w:pPr>
            <w:r w:rsidRPr="00DE1AF3">
              <w:rPr>
                <w:lang w:val="en-GB" w:eastAsia="en-GB"/>
              </w:rPr>
              <w:t>Mid Term Evaluation of the School Sector Reform Program</w:t>
            </w:r>
          </w:p>
        </w:tc>
        <w:tc>
          <w:tcPr>
            <w:tcW w:w="1214" w:type="dxa"/>
            <w:shd w:val="clear" w:color="000000" w:fill="FFFFFF"/>
            <w:noWrap/>
            <w:vAlign w:val="center"/>
            <w:hideMark/>
          </w:tcPr>
          <w:p w14:paraId="27C19739" w14:textId="77777777" w:rsidR="00014062" w:rsidRPr="00DE1AF3" w:rsidRDefault="00014062" w:rsidP="007B186C">
            <w:pPr>
              <w:pStyle w:val="TableText1"/>
              <w:rPr>
                <w:lang w:val="en-GB" w:eastAsia="en-GB"/>
              </w:rPr>
            </w:pPr>
            <w:r w:rsidRPr="00DE1AF3">
              <w:rPr>
                <w:lang w:val="en-GB" w:eastAsia="en-GB"/>
              </w:rPr>
              <w:t>Nepal</w:t>
            </w:r>
          </w:p>
        </w:tc>
        <w:tc>
          <w:tcPr>
            <w:tcW w:w="1559" w:type="dxa"/>
            <w:shd w:val="clear" w:color="auto" w:fill="auto"/>
            <w:vAlign w:val="center"/>
            <w:hideMark/>
          </w:tcPr>
          <w:p w14:paraId="48D33282" w14:textId="77777777" w:rsidR="00014062" w:rsidRPr="00DE1AF3" w:rsidRDefault="00014062" w:rsidP="007B186C">
            <w:pPr>
              <w:pStyle w:val="TableText1"/>
              <w:rPr>
                <w:lang w:val="en-GB" w:eastAsia="en-GB"/>
              </w:rPr>
            </w:pPr>
            <w:r w:rsidRPr="00DE1AF3">
              <w:rPr>
                <w:lang w:val="en-GB" w:eastAsia="en-GB"/>
              </w:rPr>
              <w:t>Education</w:t>
            </w:r>
          </w:p>
        </w:tc>
        <w:tc>
          <w:tcPr>
            <w:tcW w:w="1418" w:type="dxa"/>
            <w:vAlign w:val="center"/>
          </w:tcPr>
          <w:p w14:paraId="7E8E741C" w14:textId="07E6B8C7" w:rsidR="00014062" w:rsidRPr="00DE1AF3" w:rsidRDefault="00014062" w:rsidP="007B186C">
            <w:pPr>
              <w:pStyle w:val="TableText1"/>
              <w:rPr>
                <w:lang w:val="en-GB" w:eastAsia="en-GB"/>
              </w:rPr>
            </w:pPr>
            <w:r w:rsidRPr="00CF0A8A">
              <w:rPr>
                <w:lang w:val="en-GB" w:eastAsia="en-GB"/>
              </w:rPr>
              <w:t>Yes</w:t>
            </w:r>
          </w:p>
        </w:tc>
        <w:tc>
          <w:tcPr>
            <w:tcW w:w="1292" w:type="dxa"/>
            <w:vAlign w:val="center"/>
          </w:tcPr>
          <w:p w14:paraId="69458608" w14:textId="55ECF561" w:rsidR="00014062" w:rsidRPr="00DE1AF3" w:rsidRDefault="00014062" w:rsidP="007B186C">
            <w:pPr>
              <w:pStyle w:val="TableText1"/>
              <w:rPr>
                <w:lang w:val="en-GB" w:eastAsia="en-GB"/>
              </w:rPr>
            </w:pPr>
            <w:r w:rsidRPr="00DE1AF3">
              <w:rPr>
                <w:lang w:val="en-GB" w:eastAsia="en-GB"/>
              </w:rPr>
              <w:t>Yes</w:t>
            </w:r>
          </w:p>
        </w:tc>
      </w:tr>
      <w:tr w:rsidR="00014062" w:rsidRPr="00DE1AF3" w14:paraId="7857FAD9" w14:textId="77777777" w:rsidTr="009841B9">
        <w:trPr>
          <w:gridAfter w:val="1"/>
          <w:wAfter w:w="13" w:type="dxa"/>
          <w:cantSplit/>
          <w:trHeight w:val="900"/>
          <w:jc w:val="center"/>
        </w:trPr>
        <w:tc>
          <w:tcPr>
            <w:tcW w:w="1073" w:type="dxa"/>
            <w:shd w:val="clear" w:color="auto" w:fill="auto"/>
            <w:vAlign w:val="center"/>
            <w:hideMark/>
          </w:tcPr>
          <w:p w14:paraId="7E78560D" w14:textId="77777777" w:rsidR="00014062" w:rsidRPr="00DE1AF3" w:rsidRDefault="00014062" w:rsidP="007B186C">
            <w:pPr>
              <w:pStyle w:val="TableText1"/>
              <w:rPr>
                <w:lang w:val="en-GB" w:eastAsia="en-GB"/>
              </w:rPr>
            </w:pPr>
            <w:r w:rsidRPr="00DE1AF3">
              <w:rPr>
                <w:lang w:val="en-GB" w:eastAsia="en-GB"/>
              </w:rPr>
              <w:t>INH843 INI153</w:t>
            </w:r>
          </w:p>
        </w:tc>
        <w:tc>
          <w:tcPr>
            <w:tcW w:w="3464" w:type="dxa"/>
            <w:gridSpan w:val="2"/>
            <w:shd w:val="clear" w:color="000000" w:fill="FFFFFF"/>
            <w:vAlign w:val="center"/>
            <w:hideMark/>
          </w:tcPr>
          <w:p w14:paraId="698A21CA" w14:textId="77777777" w:rsidR="00014062" w:rsidRPr="00DE1AF3" w:rsidRDefault="00014062" w:rsidP="007B186C">
            <w:pPr>
              <w:pStyle w:val="TableText1"/>
              <w:rPr>
                <w:lang w:val="en-GB" w:eastAsia="en-GB"/>
              </w:rPr>
            </w:pPr>
            <w:r w:rsidRPr="00DE1AF3">
              <w:rPr>
                <w:lang w:val="en-GB" w:eastAsia="en-GB"/>
              </w:rPr>
              <w:t>Independent Review of two remote service delivery and community development programs in Papua New Guinea</w:t>
            </w:r>
          </w:p>
        </w:tc>
        <w:tc>
          <w:tcPr>
            <w:tcW w:w="1214" w:type="dxa"/>
            <w:shd w:val="clear" w:color="000000" w:fill="FFFFFF"/>
            <w:noWrap/>
            <w:vAlign w:val="center"/>
            <w:hideMark/>
          </w:tcPr>
          <w:p w14:paraId="733F1FF7" w14:textId="77777777" w:rsidR="00014062" w:rsidRPr="00DE1AF3" w:rsidRDefault="00014062" w:rsidP="007B186C">
            <w:pPr>
              <w:pStyle w:val="TableText1"/>
              <w:rPr>
                <w:lang w:val="en-GB" w:eastAsia="en-GB"/>
              </w:rPr>
            </w:pPr>
            <w:r>
              <w:rPr>
                <w:lang w:val="en-GB" w:eastAsia="en-GB"/>
              </w:rPr>
              <w:t>Papua New Guinea</w:t>
            </w:r>
          </w:p>
        </w:tc>
        <w:tc>
          <w:tcPr>
            <w:tcW w:w="1559" w:type="dxa"/>
            <w:shd w:val="clear" w:color="auto" w:fill="auto"/>
            <w:vAlign w:val="center"/>
            <w:hideMark/>
          </w:tcPr>
          <w:p w14:paraId="57BA41E9" w14:textId="77777777" w:rsidR="00014062" w:rsidRPr="00DE1AF3" w:rsidRDefault="00014062" w:rsidP="007B186C">
            <w:pPr>
              <w:pStyle w:val="TableText1"/>
              <w:rPr>
                <w:lang w:val="en-GB" w:eastAsia="en-GB"/>
              </w:rPr>
            </w:pPr>
            <w:r w:rsidRPr="00DE1AF3">
              <w:rPr>
                <w:lang w:val="en-GB" w:eastAsia="en-GB"/>
              </w:rPr>
              <w:t>Environment and natural resource management</w:t>
            </w:r>
          </w:p>
        </w:tc>
        <w:tc>
          <w:tcPr>
            <w:tcW w:w="1418" w:type="dxa"/>
            <w:vAlign w:val="center"/>
          </w:tcPr>
          <w:p w14:paraId="114C692F" w14:textId="394B6078" w:rsidR="00014062" w:rsidRPr="00DE1AF3" w:rsidRDefault="00014062" w:rsidP="007B186C">
            <w:pPr>
              <w:pStyle w:val="TableText1"/>
              <w:rPr>
                <w:lang w:val="en-GB" w:eastAsia="en-GB"/>
              </w:rPr>
            </w:pPr>
            <w:r w:rsidRPr="00CF0A8A">
              <w:rPr>
                <w:lang w:val="en-GB" w:eastAsia="en-GB"/>
              </w:rPr>
              <w:t>Yes</w:t>
            </w:r>
          </w:p>
        </w:tc>
        <w:tc>
          <w:tcPr>
            <w:tcW w:w="1292" w:type="dxa"/>
            <w:vAlign w:val="center"/>
          </w:tcPr>
          <w:p w14:paraId="1F7F792A" w14:textId="3A094943" w:rsidR="00014062" w:rsidRPr="00DE1AF3" w:rsidRDefault="00014062" w:rsidP="007B186C">
            <w:pPr>
              <w:pStyle w:val="TableText1"/>
              <w:rPr>
                <w:lang w:val="en-GB" w:eastAsia="en-GB"/>
              </w:rPr>
            </w:pPr>
            <w:r w:rsidRPr="00DE1AF3">
              <w:rPr>
                <w:lang w:val="en-GB" w:eastAsia="en-GB"/>
              </w:rPr>
              <w:t>No</w:t>
            </w:r>
          </w:p>
        </w:tc>
      </w:tr>
      <w:tr w:rsidR="00014062" w:rsidRPr="00DE1AF3" w14:paraId="0672BBA7" w14:textId="77777777" w:rsidTr="009841B9">
        <w:trPr>
          <w:gridAfter w:val="1"/>
          <w:wAfter w:w="13" w:type="dxa"/>
          <w:cantSplit/>
          <w:trHeight w:val="900"/>
          <w:jc w:val="center"/>
        </w:trPr>
        <w:tc>
          <w:tcPr>
            <w:tcW w:w="1073" w:type="dxa"/>
            <w:shd w:val="clear" w:color="auto" w:fill="auto"/>
            <w:noWrap/>
            <w:vAlign w:val="center"/>
            <w:hideMark/>
          </w:tcPr>
          <w:p w14:paraId="623F58AE" w14:textId="77777777" w:rsidR="00014062" w:rsidRPr="00DE1AF3" w:rsidRDefault="00014062" w:rsidP="007B186C">
            <w:pPr>
              <w:pStyle w:val="TableText1"/>
              <w:rPr>
                <w:lang w:val="en-GB" w:eastAsia="en-GB"/>
              </w:rPr>
            </w:pPr>
            <w:r w:rsidRPr="00DE1AF3">
              <w:rPr>
                <w:lang w:val="en-GB" w:eastAsia="en-GB"/>
              </w:rPr>
              <w:t>INH</w:t>
            </w:r>
            <w:r>
              <w:rPr>
                <w:lang w:val="en-GB" w:eastAsia="en-GB"/>
              </w:rPr>
              <w:t>1</w:t>
            </w:r>
            <w:r w:rsidRPr="00DE1AF3">
              <w:rPr>
                <w:lang w:val="en-GB" w:eastAsia="en-GB"/>
              </w:rPr>
              <w:t>57</w:t>
            </w:r>
          </w:p>
        </w:tc>
        <w:tc>
          <w:tcPr>
            <w:tcW w:w="3464" w:type="dxa"/>
            <w:gridSpan w:val="2"/>
            <w:shd w:val="clear" w:color="000000" w:fill="FFFFFF"/>
            <w:vAlign w:val="center"/>
            <w:hideMark/>
          </w:tcPr>
          <w:p w14:paraId="333A032C" w14:textId="77777777" w:rsidR="00014062" w:rsidRPr="00DE1AF3" w:rsidRDefault="00014062" w:rsidP="007B186C">
            <w:pPr>
              <w:pStyle w:val="TableText1"/>
              <w:rPr>
                <w:lang w:val="en-GB" w:eastAsia="en-GB"/>
              </w:rPr>
            </w:pPr>
            <w:r>
              <w:rPr>
                <w:lang w:val="en-GB" w:eastAsia="en-GB"/>
              </w:rPr>
              <w:t xml:space="preserve">Independent Progress Report for </w:t>
            </w:r>
            <w:r w:rsidRPr="00DE1AF3">
              <w:rPr>
                <w:lang w:val="en-GB" w:eastAsia="en-GB"/>
              </w:rPr>
              <w:t>ASEAN Australia Development Cooperation Program Phase II</w:t>
            </w:r>
          </w:p>
        </w:tc>
        <w:tc>
          <w:tcPr>
            <w:tcW w:w="1214" w:type="dxa"/>
            <w:shd w:val="clear" w:color="000000" w:fill="FFFFFF"/>
            <w:noWrap/>
            <w:vAlign w:val="center"/>
            <w:hideMark/>
          </w:tcPr>
          <w:p w14:paraId="53988168" w14:textId="77777777" w:rsidR="00014062" w:rsidRPr="00DE1AF3" w:rsidRDefault="00014062" w:rsidP="007B186C">
            <w:pPr>
              <w:pStyle w:val="TableText1"/>
              <w:rPr>
                <w:lang w:val="en-GB" w:eastAsia="en-GB"/>
              </w:rPr>
            </w:pPr>
            <w:r>
              <w:rPr>
                <w:lang w:val="en-GB" w:eastAsia="en-GB"/>
              </w:rPr>
              <w:t>Multicountry</w:t>
            </w:r>
          </w:p>
        </w:tc>
        <w:tc>
          <w:tcPr>
            <w:tcW w:w="1559" w:type="dxa"/>
            <w:shd w:val="clear" w:color="auto" w:fill="auto"/>
            <w:vAlign w:val="center"/>
            <w:hideMark/>
          </w:tcPr>
          <w:p w14:paraId="1CA94521" w14:textId="77777777" w:rsidR="00014062" w:rsidRPr="00DE1AF3" w:rsidRDefault="00014062" w:rsidP="007B186C">
            <w:pPr>
              <w:pStyle w:val="TableText1"/>
              <w:rPr>
                <w:lang w:val="en-GB" w:eastAsia="en-GB"/>
              </w:rPr>
            </w:pPr>
            <w:r>
              <w:rPr>
                <w:lang w:val="en-GB" w:eastAsia="en-GB"/>
              </w:rPr>
              <w:t>Improved government</w:t>
            </w:r>
          </w:p>
        </w:tc>
        <w:tc>
          <w:tcPr>
            <w:tcW w:w="1418" w:type="dxa"/>
            <w:vAlign w:val="center"/>
          </w:tcPr>
          <w:p w14:paraId="33CC17FE" w14:textId="1BC09B96" w:rsidR="00014062" w:rsidRPr="00DE1AF3" w:rsidRDefault="00014062" w:rsidP="007B186C">
            <w:pPr>
              <w:pStyle w:val="TableText1"/>
              <w:rPr>
                <w:lang w:val="en-GB" w:eastAsia="en-GB"/>
              </w:rPr>
            </w:pPr>
            <w:r w:rsidRPr="00CF0A8A">
              <w:rPr>
                <w:lang w:val="en-GB" w:eastAsia="en-GB"/>
              </w:rPr>
              <w:t>Yes</w:t>
            </w:r>
          </w:p>
        </w:tc>
        <w:tc>
          <w:tcPr>
            <w:tcW w:w="1292" w:type="dxa"/>
            <w:vAlign w:val="center"/>
          </w:tcPr>
          <w:p w14:paraId="24CDCE5E" w14:textId="3B6BDB62" w:rsidR="00014062" w:rsidRPr="00DE1AF3" w:rsidRDefault="00014062" w:rsidP="007B186C">
            <w:pPr>
              <w:pStyle w:val="TableText1"/>
              <w:rPr>
                <w:lang w:val="en-GB" w:eastAsia="en-GB"/>
              </w:rPr>
            </w:pPr>
            <w:r w:rsidRPr="00DE1AF3">
              <w:rPr>
                <w:lang w:val="en-GB" w:eastAsia="en-GB"/>
              </w:rPr>
              <w:t>Yes</w:t>
            </w:r>
          </w:p>
        </w:tc>
      </w:tr>
      <w:tr w:rsidR="00014062" w:rsidRPr="00DE1AF3" w14:paraId="3073A8EB" w14:textId="77777777" w:rsidTr="009841B9">
        <w:trPr>
          <w:gridAfter w:val="1"/>
          <w:wAfter w:w="13" w:type="dxa"/>
          <w:cantSplit/>
          <w:trHeight w:val="900"/>
          <w:jc w:val="center"/>
        </w:trPr>
        <w:tc>
          <w:tcPr>
            <w:tcW w:w="1073" w:type="dxa"/>
            <w:shd w:val="clear" w:color="auto" w:fill="auto"/>
            <w:noWrap/>
            <w:vAlign w:val="center"/>
            <w:hideMark/>
          </w:tcPr>
          <w:p w14:paraId="7A959E6D" w14:textId="77777777" w:rsidR="00014062" w:rsidRPr="00DE1AF3" w:rsidRDefault="00014062" w:rsidP="007B186C">
            <w:pPr>
              <w:pStyle w:val="TableText1"/>
              <w:rPr>
                <w:lang w:val="en-GB" w:eastAsia="en-GB"/>
              </w:rPr>
            </w:pPr>
            <w:r w:rsidRPr="00DE1AF3">
              <w:rPr>
                <w:lang w:val="en-GB" w:eastAsia="en-GB"/>
              </w:rPr>
              <w:t>INH947</w:t>
            </w:r>
          </w:p>
        </w:tc>
        <w:tc>
          <w:tcPr>
            <w:tcW w:w="3464" w:type="dxa"/>
            <w:gridSpan w:val="2"/>
            <w:shd w:val="clear" w:color="000000" w:fill="FFFFFF"/>
            <w:vAlign w:val="center"/>
            <w:hideMark/>
          </w:tcPr>
          <w:p w14:paraId="58EBB49B" w14:textId="77777777" w:rsidR="00014062" w:rsidRPr="00DE1AF3" w:rsidRDefault="00014062" w:rsidP="007B186C">
            <w:pPr>
              <w:pStyle w:val="TableText1"/>
              <w:rPr>
                <w:lang w:val="en-GB" w:eastAsia="en-GB"/>
              </w:rPr>
            </w:pPr>
            <w:r>
              <w:rPr>
                <w:lang w:val="en-GB" w:eastAsia="en-GB"/>
              </w:rPr>
              <w:t xml:space="preserve">Evaluation of </w:t>
            </w:r>
            <w:r w:rsidRPr="00DE1AF3">
              <w:rPr>
                <w:lang w:val="en-GB" w:eastAsia="en-GB"/>
              </w:rPr>
              <w:t>Education for Children in Areas Affected by Armed Conflict—Mindanao Philippines</w:t>
            </w:r>
          </w:p>
        </w:tc>
        <w:tc>
          <w:tcPr>
            <w:tcW w:w="1214" w:type="dxa"/>
            <w:shd w:val="clear" w:color="000000" w:fill="FFFFFF"/>
            <w:noWrap/>
            <w:vAlign w:val="center"/>
            <w:hideMark/>
          </w:tcPr>
          <w:p w14:paraId="657C85A2" w14:textId="77777777" w:rsidR="00014062" w:rsidRPr="00DE1AF3" w:rsidRDefault="00014062" w:rsidP="007B186C">
            <w:pPr>
              <w:pStyle w:val="TableText1"/>
              <w:rPr>
                <w:lang w:val="en-GB" w:eastAsia="en-GB"/>
              </w:rPr>
            </w:pPr>
            <w:r w:rsidRPr="00DE1AF3">
              <w:rPr>
                <w:lang w:val="en-GB" w:eastAsia="en-GB"/>
              </w:rPr>
              <w:t>Philippines</w:t>
            </w:r>
          </w:p>
        </w:tc>
        <w:tc>
          <w:tcPr>
            <w:tcW w:w="1559" w:type="dxa"/>
            <w:shd w:val="clear" w:color="auto" w:fill="auto"/>
            <w:vAlign w:val="center"/>
            <w:hideMark/>
          </w:tcPr>
          <w:p w14:paraId="751F8432" w14:textId="77777777" w:rsidR="00014062" w:rsidRPr="00DE1AF3" w:rsidRDefault="00014062" w:rsidP="007B186C">
            <w:pPr>
              <w:pStyle w:val="TableText1"/>
              <w:rPr>
                <w:lang w:val="en-GB" w:eastAsia="en-GB"/>
              </w:rPr>
            </w:pPr>
            <w:r w:rsidRPr="00DE1AF3">
              <w:rPr>
                <w:lang w:val="en-GB" w:eastAsia="en-GB"/>
              </w:rPr>
              <w:t>Education</w:t>
            </w:r>
          </w:p>
        </w:tc>
        <w:tc>
          <w:tcPr>
            <w:tcW w:w="1418" w:type="dxa"/>
            <w:vAlign w:val="center"/>
          </w:tcPr>
          <w:p w14:paraId="0AC7AF42" w14:textId="471D819D" w:rsidR="00014062" w:rsidRPr="00DE1AF3" w:rsidRDefault="00014062" w:rsidP="007B186C">
            <w:pPr>
              <w:pStyle w:val="TableText1"/>
              <w:rPr>
                <w:lang w:val="en-GB" w:eastAsia="en-GB"/>
              </w:rPr>
            </w:pPr>
            <w:r w:rsidRPr="00CF0A8A">
              <w:rPr>
                <w:lang w:val="en-GB" w:eastAsia="en-GB"/>
              </w:rPr>
              <w:t>Yes</w:t>
            </w:r>
          </w:p>
        </w:tc>
        <w:tc>
          <w:tcPr>
            <w:tcW w:w="1292" w:type="dxa"/>
            <w:vAlign w:val="center"/>
          </w:tcPr>
          <w:p w14:paraId="551F6507" w14:textId="37C13980" w:rsidR="00014062" w:rsidRPr="00DE1AF3" w:rsidRDefault="00014062" w:rsidP="007B186C">
            <w:pPr>
              <w:pStyle w:val="TableText1"/>
              <w:rPr>
                <w:lang w:val="en-GB" w:eastAsia="en-GB"/>
              </w:rPr>
            </w:pPr>
            <w:r w:rsidRPr="00DE1AF3">
              <w:rPr>
                <w:lang w:val="en-GB" w:eastAsia="en-GB"/>
              </w:rPr>
              <w:t>No</w:t>
            </w:r>
          </w:p>
        </w:tc>
      </w:tr>
      <w:tr w:rsidR="00014062" w:rsidRPr="00DE1AF3" w14:paraId="1100F4D5" w14:textId="77777777" w:rsidTr="009841B9">
        <w:trPr>
          <w:gridAfter w:val="1"/>
          <w:wAfter w:w="13" w:type="dxa"/>
          <w:cantSplit/>
          <w:trHeight w:val="900"/>
          <w:jc w:val="center"/>
        </w:trPr>
        <w:tc>
          <w:tcPr>
            <w:tcW w:w="1073" w:type="dxa"/>
            <w:shd w:val="clear" w:color="auto" w:fill="auto"/>
            <w:vAlign w:val="center"/>
            <w:hideMark/>
          </w:tcPr>
          <w:p w14:paraId="6023FE02" w14:textId="77777777" w:rsidR="00014062" w:rsidRPr="00DE1AF3" w:rsidRDefault="00014062" w:rsidP="007B186C">
            <w:pPr>
              <w:pStyle w:val="TableText1"/>
              <w:rPr>
                <w:lang w:val="en-GB" w:eastAsia="en-GB"/>
              </w:rPr>
            </w:pPr>
            <w:r w:rsidRPr="00DE1AF3">
              <w:rPr>
                <w:lang w:val="en-GB" w:eastAsia="en-GB"/>
              </w:rPr>
              <w:t>INI035</w:t>
            </w:r>
          </w:p>
        </w:tc>
        <w:tc>
          <w:tcPr>
            <w:tcW w:w="3464" w:type="dxa"/>
            <w:gridSpan w:val="2"/>
            <w:shd w:val="clear" w:color="000000" w:fill="FFFFFF"/>
            <w:vAlign w:val="center"/>
            <w:hideMark/>
          </w:tcPr>
          <w:p w14:paraId="5FD48D3C" w14:textId="77777777" w:rsidR="00014062" w:rsidRPr="00DE1AF3" w:rsidRDefault="00014062" w:rsidP="007B186C">
            <w:pPr>
              <w:pStyle w:val="TableText1"/>
              <w:rPr>
                <w:lang w:val="en-GB" w:eastAsia="en-GB"/>
              </w:rPr>
            </w:pPr>
            <w:r w:rsidRPr="00DE1AF3">
              <w:rPr>
                <w:lang w:val="en-GB" w:eastAsia="en-GB"/>
              </w:rPr>
              <w:t>External review of the Indonesia Project</w:t>
            </w:r>
          </w:p>
        </w:tc>
        <w:tc>
          <w:tcPr>
            <w:tcW w:w="1214" w:type="dxa"/>
            <w:shd w:val="clear" w:color="000000" w:fill="FFFFFF"/>
            <w:vAlign w:val="center"/>
            <w:hideMark/>
          </w:tcPr>
          <w:p w14:paraId="783B0FF5" w14:textId="77777777" w:rsidR="00014062" w:rsidRPr="00DE1AF3" w:rsidRDefault="00014062" w:rsidP="007B186C">
            <w:pPr>
              <w:pStyle w:val="TableText1"/>
              <w:rPr>
                <w:lang w:val="en-GB" w:eastAsia="en-GB"/>
              </w:rPr>
            </w:pPr>
            <w:r w:rsidRPr="00DE1AF3">
              <w:rPr>
                <w:lang w:val="en-GB" w:eastAsia="en-GB"/>
              </w:rPr>
              <w:t>Indonesia</w:t>
            </w:r>
          </w:p>
        </w:tc>
        <w:tc>
          <w:tcPr>
            <w:tcW w:w="1559" w:type="dxa"/>
            <w:shd w:val="clear" w:color="auto" w:fill="auto"/>
            <w:vAlign w:val="center"/>
            <w:hideMark/>
          </w:tcPr>
          <w:p w14:paraId="0CE0300E" w14:textId="77777777" w:rsidR="00014062" w:rsidRPr="00DE1AF3" w:rsidRDefault="00014062" w:rsidP="007B186C">
            <w:pPr>
              <w:pStyle w:val="TableText1"/>
              <w:rPr>
                <w:lang w:val="en-GB" w:eastAsia="en-GB"/>
              </w:rPr>
            </w:pPr>
            <w:r w:rsidRPr="00DE1AF3">
              <w:rPr>
                <w:lang w:val="en-GB" w:eastAsia="en-GB"/>
              </w:rPr>
              <w:t>Education</w:t>
            </w:r>
          </w:p>
        </w:tc>
        <w:tc>
          <w:tcPr>
            <w:tcW w:w="1418" w:type="dxa"/>
            <w:vAlign w:val="center"/>
          </w:tcPr>
          <w:p w14:paraId="3EA4ADBD" w14:textId="52023FBF" w:rsidR="00014062" w:rsidRPr="00DE1AF3" w:rsidRDefault="00014062" w:rsidP="007B186C">
            <w:pPr>
              <w:pStyle w:val="TableText1"/>
              <w:rPr>
                <w:lang w:val="en-GB" w:eastAsia="en-GB"/>
              </w:rPr>
            </w:pPr>
            <w:r w:rsidRPr="00CF0A8A">
              <w:rPr>
                <w:lang w:val="en-GB" w:eastAsia="en-GB"/>
              </w:rPr>
              <w:t>Yes</w:t>
            </w:r>
          </w:p>
        </w:tc>
        <w:tc>
          <w:tcPr>
            <w:tcW w:w="1292" w:type="dxa"/>
            <w:vAlign w:val="center"/>
          </w:tcPr>
          <w:p w14:paraId="0FA03AEB" w14:textId="299B1C98" w:rsidR="00014062" w:rsidRPr="00DE1AF3" w:rsidRDefault="00014062" w:rsidP="007B186C">
            <w:pPr>
              <w:pStyle w:val="TableText1"/>
              <w:rPr>
                <w:lang w:val="en-GB" w:eastAsia="en-GB"/>
              </w:rPr>
            </w:pPr>
            <w:r w:rsidRPr="00DE1AF3">
              <w:rPr>
                <w:lang w:val="en-GB" w:eastAsia="en-GB"/>
              </w:rPr>
              <w:t>No</w:t>
            </w:r>
          </w:p>
        </w:tc>
      </w:tr>
      <w:tr w:rsidR="00014062" w:rsidRPr="00DE1AF3" w14:paraId="796CB8E9" w14:textId="77777777" w:rsidTr="009841B9">
        <w:trPr>
          <w:gridAfter w:val="1"/>
          <w:wAfter w:w="13" w:type="dxa"/>
          <w:cantSplit/>
          <w:trHeight w:val="900"/>
          <w:jc w:val="center"/>
        </w:trPr>
        <w:tc>
          <w:tcPr>
            <w:tcW w:w="1073" w:type="dxa"/>
            <w:shd w:val="clear" w:color="auto" w:fill="auto"/>
            <w:vAlign w:val="center"/>
            <w:hideMark/>
          </w:tcPr>
          <w:p w14:paraId="6CBD5057" w14:textId="77777777" w:rsidR="00014062" w:rsidRPr="00DE1AF3" w:rsidRDefault="00014062" w:rsidP="007B186C">
            <w:pPr>
              <w:pStyle w:val="TableText1"/>
              <w:rPr>
                <w:lang w:val="en-GB" w:eastAsia="en-GB"/>
              </w:rPr>
            </w:pPr>
            <w:r w:rsidRPr="00DE1AF3">
              <w:rPr>
                <w:lang w:val="en-GB" w:eastAsia="en-GB"/>
              </w:rPr>
              <w:t>INI171</w:t>
            </w:r>
          </w:p>
        </w:tc>
        <w:tc>
          <w:tcPr>
            <w:tcW w:w="3464" w:type="dxa"/>
            <w:gridSpan w:val="2"/>
            <w:shd w:val="clear" w:color="000000" w:fill="FFFFFF"/>
            <w:vAlign w:val="center"/>
            <w:hideMark/>
          </w:tcPr>
          <w:p w14:paraId="35C005F4" w14:textId="77777777" w:rsidR="00014062" w:rsidRPr="00DE1AF3" w:rsidRDefault="00014062" w:rsidP="007B186C">
            <w:pPr>
              <w:pStyle w:val="TableText1"/>
              <w:rPr>
                <w:lang w:val="en-GB" w:eastAsia="en-GB"/>
              </w:rPr>
            </w:pPr>
            <w:r>
              <w:rPr>
                <w:lang w:val="en-GB" w:eastAsia="en-GB"/>
              </w:rPr>
              <w:t xml:space="preserve">Independent Progress Report for </w:t>
            </w:r>
            <w:r w:rsidRPr="00DE1AF3">
              <w:rPr>
                <w:lang w:val="en-GB" w:eastAsia="en-GB"/>
              </w:rPr>
              <w:t>Provincial Road Management Facility (PRMF)</w:t>
            </w:r>
          </w:p>
        </w:tc>
        <w:tc>
          <w:tcPr>
            <w:tcW w:w="1214" w:type="dxa"/>
            <w:shd w:val="clear" w:color="000000" w:fill="FFFFFF"/>
            <w:noWrap/>
            <w:vAlign w:val="center"/>
            <w:hideMark/>
          </w:tcPr>
          <w:p w14:paraId="22B12E25" w14:textId="77777777" w:rsidR="00014062" w:rsidRPr="00DE1AF3" w:rsidRDefault="00014062" w:rsidP="007B186C">
            <w:pPr>
              <w:pStyle w:val="TableText1"/>
              <w:rPr>
                <w:lang w:val="en-GB" w:eastAsia="en-GB"/>
              </w:rPr>
            </w:pPr>
            <w:r w:rsidRPr="00DE1AF3">
              <w:rPr>
                <w:lang w:val="en-GB" w:eastAsia="en-GB"/>
              </w:rPr>
              <w:t>Philippines</w:t>
            </w:r>
          </w:p>
        </w:tc>
        <w:tc>
          <w:tcPr>
            <w:tcW w:w="1559" w:type="dxa"/>
            <w:shd w:val="clear" w:color="auto" w:fill="auto"/>
            <w:vAlign w:val="center"/>
            <w:hideMark/>
          </w:tcPr>
          <w:p w14:paraId="02440661" w14:textId="77777777" w:rsidR="00014062" w:rsidRPr="00DE1AF3" w:rsidRDefault="00014062" w:rsidP="007B186C">
            <w:pPr>
              <w:pStyle w:val="TableText1"/>
              <w:rPr>
                <w:lang w:val="en-GB" w:eastAsia="en-GB"/>
              </w:rPr>
            </w:pPr>
            <w:r w:rsidRPr="00DE1AF3">
              <w:rPr>
                <w:lang w:val="en-GB" w:eastAsia="en-GB"/>
              </w:rPr>
              <w:t>Infrastructure</w:t>
            </w:r>
          </w:p>
        </w:tc>
        <w:tc>
          <w:tcPr>
            <w:tcW w:w="1418" w:type="dxa"/>
            <w:vAlign w:val="center"/>
          </w:tcPr>
          <w:p w14:paraId="6AD5BA5A" w14:textId="3B5468D0" w:rsidR="00014062" w:rsidRPr="00DE1AF3" w:rsidRDefault="00014062" w:rsidP="007B186C">
            <w:pPr>
              <w:pStyle w:val="TableText1"/>
              <w:rPr>
                <w:lang w:val="en-GB" w:eastAsia="en-GB"/>
              </w:rPr>
            </w:pPr>
            <w:r w:rsidRPr="00CF0A8A">
              <w:rPr>
                <w:lang w:val="en-GB" w:eastAsia="en-GB"/>
              </w:rPr>
              <w:t>Yes</w:t>
            </w:r>
          </w:p>
        </w:tc>
        <w:tc>
          <w:tcPr>
            <w:tcW w:w="1292" w:type="dxa"/>
            <w:vAlign w:val="center"/>
          </w:tcPr>
          <w:p w14:paraId="06B56EEA" w14:textId="4EAA002E" w:rsidR="00014062" w:rsidRPr="00DE1AF3" w:rsidRDefault="00014062" w:rsidP="007B186C">
            <w:pPr>
              <w:pStyle w:val="TableText1"/>
              <w:rPr>
                <w:lang w:val="en-GB" w:eastAsia="en-GB"/>
              </w:rPr>
            </w:pPr>
            <w:r w:rsidRPr="00DE1AF3">
              <w:rPr>
                <w:lang w:val="en-GB" w:eastAsia="en-GB"/>
              </w:rPr>
              <w:t>Yes</w:t>
            </w:r>
          </w:p>
        </w:tc>
      </w:tr>
      <w:tr w:rsidR="00014062" w:rsidRPr="00DE1AF3" w14:paraId="7FC75E42" w14:textId="77777777" w:rsidTr="009841B9">
        <w:trPr>
          <w:gridAfter w:val="1"/>
          <w:wAfter w:w="13" w:type="dxa"/>
          <w:cantSplit/>
          <w:trHeight w:val="900"/>
          <w:jc w:val="center"/>
        </w:trPr>
        <w:tc>
          <w:tcPr>
            <w:tcW w:w="1073" w:type="dxa"/>
            <w:shd w:val="clear" w:color="auto" w:fill="auto"/>
            <w:noWrap/>
            <w:vAlign w:val="center"/>
            <w:hideMark/>
          </w:tcPr>
          <w:p w14:paraId="5AFEB26D" w14:textId="77777777" w:rsidR="00014062" w:rsidRPr="00DE1AF3" w:rsidRDefault="00014062" w:rsidP="007B186C">
            <w:pPr>
              <w:pStyle w:val="TableText1"/>
              <w:rPr>
                <w:lang w:val="en-GB" w:eastAsia="en-GB"/>
              </w:rPr>
            </w:pPr>
            <w:r w:rsidRPr="00DE1AF3">
              <w:rPr>
                <w:lang w:val="en-GB" w:eastAsia="en-GB"/>
              </w:rPr>
              <w:t>INI194</w:t>
            </w:r>
          </w:p>
        </w:tc>
        <w:tc>
          <w:tcPr>
            <w:tcW w:w="3464" w:type="dxa"/>
            <w:gridSpan w:val="2"/>
            <w:shd w:val="clear" w:color="000000" w:fill="FFFFFF"/>
            <w:vAlign w:val="center"/>
            <w:hideMark/>
          </w:tcPr>
          <w:p w14:paraId="780FF0D0" w14:textId="77777777" w:rsidR="00014062" w:rsidRPr="00DE1AF3" w:rsidRDefault="00014062" w:rsidP="007B186C">
            <w:pPr>
              <w:pStyle w:val="TableText1"/>
              <w:rPr>
                <w:lang w:val="en-GB" w:eastAsia="en-GB"/>
              </w:rPr>
            </w:pPr>
            <w:r>
              <w:rPr>
                <w:lang w:val="en-GB" w:eastAsia="en-GB"/>
              </w:rPr>
              <w:t xml:space="preserve">Independent Progress Report for </w:t>
            </w:r>
            <w:r w:rsidRPr="00DE1AF3">
              <w:rPr>
                <w:lang w:val="en-GB" w:eastAsia="en-GB"/>
              </w:rPr>
              <w:t xml:space="preserve">PNG–Australia Law &amp; Justice Partnership </w:t>
            </w:r>
          </w:p>
        </w:tc>
        <w:tc>
          <w:tcPr>
            <w:tcW w:w="1214" w:type="dxa"/>
            <w:shd w:val="clear" w:color="000000" w:fill="FFFFFF"/>
            <w:noWrap/>
            <w:vAlign w:val="center"/>
            <w:hideMark/>
          </w:tcPr>
          <w:p w14:paraId="16964703" w14:textId="77777777" w:rsidR="00014062" w:rsidRPr="00DE1AF3" w:rsidRDefault="00014062" w:rsidP="007B186C">
            <w:pPr>
              <w:pStyle w:val="TableText1"/>
              <w:rPr>
                <w:lang w:val="en-GB" w:eastAsia="en-GB"/>
              </w:rPr>
            </w:pPr>
            <w:r>
              <w:rPr>
                <w:lang w:val="en-GB" w:eastAsia="en-GB"/>
              </w:rPr>
              <w:t>Papua New Guinea</w:t>
            </w:r>
          </w:p>
        </w:tc>
        <w:tc>
          <w:tcPr>
            <w:tcW w:w="1559" w:type="dxa"/>
            <w:shd w:val="clear" w:color="auto" w:fill="auto"/>
            <w:vAlign w:val="center"/>
            <w:hideMark/>
          </w:tcPr>
          <w:p w14:paraId="1E2F03B3" w14:textId="77777777" w:rsidR="00014062" w:rsidRPr="00DE1AF3" w:rsidRDefault="00014062" w:rsidP="007B186C">
            <w:pPr>
              <w:pStyle w:val="TableText1"/>
              <w:rPr>
                <w:lang w:val="en-GB" w:eastAsia="en-GB"/>
              </w:rPr>
            </w:pPr>
            <w:r>
              <w:rPr>
                <w:lang w:val="en-GB" w:eastAsia="en-GB"/>
              </w:rPr>
              <w:t xml:space="preserve">Security </w:t>
            </w:r>
            <w:r w:rsidRPr="00DE1AF3">
              <w:rPr>
                <w:lang w:val="en-GB" w:eastAsia="en-GB"/>
              </w:rPr>
              <w:t>and justice</w:t>
            </w:r>
          </w:p>
        </w:tc>
        <w:tc>
          <w:tcPr>
            <w:tcW w:w="1418" w:type="dxa"/>
            <w:vAlign w:val="center"/>
          </w:tcPr>
          <w:p w14:paraId="522118B4" w14:textId="3045D904" w:rsidR="00014062" w:rsidRPr="00DE1AF3" w:rsidRDefault="00014062" w:rsidP="007B186C">
            <w:pPr>
              <w:pStyle w:val="TableText1"/>
              <w:rPr>
                <w:lang w:val="en-GB" w:eastAsia="en-GB"/>
              </w:rPr>
            </w:pPr>
            <w:r w:rsidRPr="00CF0A8A">
              <w:rPr>
                <w:lang w:val="en-GB" w:eastAsia="en-GB"/>
              </w:rPr>
              <w:t>Yes</w:t>
            </w:r>
          </w:p>
        </w:tc>
        <w:tc>
          <w:tcPr>
            <w:tcW w:w="1292" w:type="dxa"/>
            <w:vAlign w:val="center"/>
          </w:tcPr>
          <w:p w14:paraId="0CADBA0E" w14:textId="245B0024" w:rsidR="00014062" w:rsidRPr="00DE1AF3" w:rsidRDefault="00014062" w:rsidP="007B186C">
            <w:pPr>
              <w:pStyle w:val="TableText1"/>
              <w:rPr>
                <w:lang w:val="en-GB" w:eastAsia="en-GB"/>
              </w:rPr>
            </w:pPr>
            <w:r w:rsidRPr="00DE1AF3">
              <w:rPr>
                <w:lang w:val="en-GB" w:eastAsia="en-GB"/>
              </w:rPr>
              <w:t>Yes</w:t>
            </w:r>
          </w:p>
        </w:tc>
      </w:tr>
      <w:tr w:rsidR="00014062" w:rsidRPr="00DE1AF3" w14:paraId="179D43B1" w14:textId="77777777" w:rsidTr="009841B9">
        <w:trPr>
          <w:gridAfter w:val="1"/>
          <w:wAfter w:w="13" w:type="dxa"/>
          <w:cantSplit/>
          <w:trHeight w:val="900"/>
          <w:jc w:val="center"/>
        </w:trPr>
        <w:tc>
          <w:tcPr>
            <w:tcW w:w="1073" w:type="dxa"/>
            <w:shd w:val="clear" w:color="auto" w:fill="auto"/>
            <w:noWrap/>
            <w:vAlign w:val="center"/>
            <w:hideMark/>
          </w:tcPr>
          <w:p w14:paraId="1E780C81" w14:textId="77777777" w:rsidR="00014062" w:rsidRPr="00DE1AF3" w:rsidRDefault="00014062" w:rsidP="007B186C">
            <w:pPr>
              <w:pStyle w:val="TableText1"/>
              <w:rPr>
                <w:lang w:val="en-GB" w:eastAsia="en-GB"/>
              </w:rPr>
            </w:pPr>
            <w:r w:rsidRPr="00DE1AF3">
              <w:rPr>
                <w:lang w:val="en-GB" w:eastAsia="en-GB"/>
              </w:rPr>
              <w:t>INI311</w:t>
            </w:r>
          </w:p>
        </w:tc>
        <w:tc>
          <w:tcPr>
            <w:tcW w:w="3464" w:type="dxa"/>
            <w:gridSpan w:val="2"/>
            <w:shd w:val="clear" w:color="000000" w:fill="FFFFFF"/>
            <w:vAlign w:val="center"/>
            <w:hideMark/>
          </w:tcPr>
          <w:p w14:paraId="7E84745F" w14:textId="77777777" w:rsidR="00014062" w:rsidRPr="00DE1AF3" w:rsidRDefault="00014062" w:rsidP="007B186C">
            <w:pPr>
              <w:pStyle w:val="TableText1"/>
              <w:rPr>
                <w:lang w:val="en-GB" w:eastAsia="en-GB"/>
              </w:rPr>
            </w:pPr>
            <w:r w:rsidRPr="00DE1AF3">
              <w:rPr>
                <w:lang w:val="en-GB" w:eastAsia="en-GB"/>
              </w:rPr>
              <w:t>Mid Term Review of the Vanuatu Kastom Governance Partnership Program</w:t>
            </w:r>
          </w:p>
        </w:tc>
        <w:tc>
          <w:tcPr>
            <w:tcW w:w="1214" w:type="dxa"/>
            <w:shd w:val="clear" w:color="000000" w:fill="FFFFFF"/>
            <w:noWrap/>
            <w:vAlign w:val="center"/>
            <w:hideMark/>
          </w:tcPr>
          <w:p w14:paraId="3A71539A" w14:textId="77777777" w:rsidR="00014062" w:rsidRPr="00DE1AF3" w:rsidRDefault="00014062" w:rsidP="007B186C">
            <w:pPr>
              <w:pStyle w:val="TableText1"/>
              <w:rPr>
                <w:lang w:val="en-GB" w:eastAsia="en-GB"/>
              </w:rPr>
            </w:pPr>
            <w:r w:rsidRPr="00DE1AF3">
              <w:rPr>
                <w:lang w:val="en-GB" w:eastAsia="en-GB"/>
              </w:rPr>
              <w:t>Vanuatu</w:t>
            </w:r>
          </w:p>
        </w:tc>
        <w:tc>
          <w:tcPr>
            <w:tcW w:w="1559" w:type="dxa"/>
            <w:shd w:val="clear" w:color="auto" w:fill="auto"/>
            <w:vAlign w:val="center"/>
            <w:hideMark/>
          </w:tcPr>
          <w:p w14:paraId="28A114C9" w14:textId="77777777" w:rsidR="00014062" w:rsidRPr="00DE1AF3" w:rsidRDefault="00014062" w:rsidP="007B186C">
            <w:pPr>
              <w:pStyle w:val="TableText1"/>
              <w:rPr>
                <w:lang w:val="en-GB" w:eastAsia="en-GB"/>
              </w:rPr>
            </w:pPr>
            <w:r>
              <w:rPr>
                <w:lang w:val="en-GB" w:eastAsia="en-GB"/>
              </w:rPr>
              <w:t>Improved government</w:t>
            </w:r>
          </w:p>
        </w:tc>
        <w:tc>
          <w:tcPr>
            <w:tcW w:w="1418" w:type="dxa"/>
            <w:vAlign w:val="center"/>
          </w:tcPr>
          <w:p w14:paraId="35707E26" w14:textId="02A3460C" w:rsidR="00014062" w:rsidRPr="00DE1AF3" w:rsidRDefault="00014062" w:rsidP="007B186C">
            <w:pPr>
              <w:pStyle w:val="TableText1"/>
              <w:rPr>
                <w:lang w:val="en-GB" w:eastAsia="en-GB"/>
              </w:rPr>
            </w:pPr>
            <w:r w:rsidRPr="00CF0A8A">
              <w:rPr>
                <w:lang w:val="en-GB" w:eastAsia="en-GB"/>
              </w:rPr>
              <w:t>Yes</w:t>
            </w:r>
          </w:p>
        </w:tc>
        <w:tc>
          <w:tcPr>
            <w:tcW w:w="1292" w:type="dxa"/>
            <w:vAlign w:val="center"/>
          </w:tcPr>
          <w:p w14:paraId="46A734B1" w14:textId="5ABD90FF" w:rsidR="00014062" w:rsidRPr="00DE1AF3" w:rsidRDefault="00014062" w:rsidP="007B186C">
            <w:pPr>
              <w:pStyle w:val="TableText1"/>
              <w:rPr>
                <w:lang w:val="en-GB" w:eastAsia="en-GB"/>
              </w:rPr>
            </w:pPr>
            <w:r w:rsidRPr="00DE1AF3">
              <w:rPr>
                <w:lang w:val="en-GB" w:eastAsia="en-GB"/>
              </w:rPr>
              <w:t>No</w:t>
            </w:r>
          </w:p>
        </w:tc>
      </w:tr>
      <w:tr w:rsidR="00014062" w:rsidRPr="00DE1AF3" w14:paraId="53C91CA8" w14:textId="77777777" w:rsidTr="009841B9">
        <w:trPr>
          <w:gridAfter w:val="1"/>
          <w:wAfter w:w="13" w:type="dxa"/>
          <w:cantSplit/>
          <w:trHeight w:val="900"/>
          <w:jc w:val="center"/>
        </w:trPr>
        <w:tc>
          <w:tcPr>
            <w:tcW w:w="1073" w:type="dxa"/>
            <w:shd w:val="clear" w:color="auto" w:fill="auto"/>
            <w:noWrap/>
            <w:vAlign w:val="center"/>
            <w:hideMark/>
          </w:tcPr>
          <w:p w14:paraId="073AAB88" w14:textId="77777777" w:rsidR="00014062" w:rsidRPr="00DE1AF3" w:rsidRDefault="00014062" w:rsidP="007B186C">
            <w:pPr>
              <w:pStyle w:val="TableText1"/>
              <w:rPr>
                <w:lang w:val="en-GB" w:eastAsia="en-GB"/>
              </w:rPr>
            </w:pPr>
            <w:r w:rsidRPr="00DE1AF3">
              <w:rPr>
                <w:lang w:val="en-GB" w:eastAsia="en-GB"/>
              </w:rPr>
              <w:t>INI355</w:t>
            </w:r>
          </w:p>
        </w:tc>
        <w:tc>
          <w:tcPr>
            <w:tcW w:w="3464" w:type="dxa"/>
            <w:gridSpan w:val="2"/>
            <w:shd w:val="clear" w:color="000000" w:fill="FFFFFF"/>
            <w:vAlign w:val="center"/>
            <w:hideMark/>
          </w:tcPr>
          <w:p w14:paraId="6F5DCF16" w14:textId="63F92876" w:rsidR="00014062" w:rsidRPr="00DE1AF3" w:rsidRDefault="00014062" w:rsidP="00DA5E9A">
            <w:pPr>
              <w:pStyle w:val="TableText1"/>
              <w:rPr>
                <w:lang w:val="en-GB" w:eastAsia="en-GB"/>
              </w:rPr>
            </w:pPr>
            <w:r>
              <w:rPr>
                <w:lang w:val="en-GB" w:eastAsia="en-GB"/>
              </w:rPr>
              <w:t xml:space="preserve">Independent Progress Report for </w:t>
            </w:r>
            <w:r w:rsidRPr="00DE1AF3">
              <w:rPr>
                <w:lang w:val="en-GB" w:eastAsia="en-GB"/>
              </w:rPr>
              <w:t xml:space="preserve">Local Governance Innovations for Communities in Aceh, Phase II (LOGICA2) </w:t>
            </w:r>
          </w:p>
        </w:tc>
        <w:tc>
          <w:tcPr>
            <w:tcW w:w="1214" w:type="dxa"/>
            <w:shd w:val="clear" w:color="000000" w:fill="FFFFFF"/>
            <w:noWrap/>
            <w:vAlign w:val="center"/>
            <w:hideMark/>
          </w:tcPr>
          <w:p w14:paraId="7CDE5FDF" w14:textId="77777777" w:rsidR="00014062" w:rsidRPr="00DE1AF3" w:rsidRDefault="00014062" w:rsidP="007B186C">
            <w:pPr>
              <w:pStyle w:val="TableText1"/>
              <w:rPr>
                <w:lang w:val="en-GB" w:eastAsia="en-GB"/>
              </w:rPr>
            </w:pPr>
            <w:r w:rsidRPr="00DE1AF3">
              <w:rPr>
                <w:lang w:val="en-GB" w:eastAsia="en-GB"/>
              </w:rPr>
              <w:t>Indonesia</w:t>
            </w:r>
          </w:p>
        </w:tc>
        <w:tc>
          <w:tcPr>
            <w:tcW w:w="1559" w:type="dxa"/>
            <w:shd w:val="clear" w:color="auto" w:fill="auto"/>
            <w:vAlign w:val="center"/>
            <w:hideMark/>
          </w:tcPr>
          <w:p w14:paraId="7A10E8F7" w14:textId="77777777" w:rsidR="00014062" w:rsidRPr="00DE1AF3" w:rsidRDefault="00014062" w:rsidP="007B186C">
            <w:pPr>
              <w:pStyle w:val="TableText1"/>
              <w:rPr>
                <w:lang w:val="en-GB" w:eastAsia="en-GB"/>
              </w:rPr>
            </w:pPr>
            <w:r>
              <w:rPr>
                <w:lang w:val="en-GB" w:eastAsia="en-GB"/>
              </w:rPr>
              <w:t>Improved government</w:t>
            </w:r>
          </w:p>
        </w:tc>
        <w:tc>
          <w:tcPr>
            <w:tcW w:w="1418" w:type="dxa"/>
            <w:vAlign w:val="center"/>
          </w:tcPr>
          <w:p w14:paraId="343C2B5E" w14:textId="4CC2FACC" w:rsidR="00014062" w:rsidRPr="00DE1AF3" w:rsidRDefault="00014062" w:rsidP="007B186C">
            <w:pPr>
              <w:pStyle w:val="TableText1"/>
              <w:rPr>
                <w:lang w:val="en-GB" w:eastAsia="en-GB"/>
              </w:rPr>
            </w:pPr>
            <w:r w:rsidRPr="00CF0A8A">
              <w:rPr>
                <w:lang w:val="en-GB" w:eastAsia="en-GB"/>
              </w:rPr>
              <w:t>Yes</w:t>
            </w:r>
          </w:p>
        </w:tc>
        <w:tc>
          <w:tcPr>
            <w:tcW w:w="1292" w:type="dxa"/>
            <w:vAlign w:val="center"/>
          </w:tcPr>
          <w:p w14:paraId="75C64EC7" w14:textId="37A446C8" w:rsidR="00014062" w:rsidRPr="00DE1AF3" w:rsidRDefault="00014062" w:rsidP="007B186C">
            <w:pPr>
              <w:pStyle w:val="TableText1"/>
              <w:rPr>
                <w:lang w:val="en-GB" w:eastAsia="en-GB"/>
              </w:rPr>
            </w:pPr>
            <w:r w:rsidRPr="00DE1AF3">
              <w:rPr>
                <w:lang w:val="en-GB" w:eastAsia="en-GB"/>
              </w:rPr>
              <w:t>Yes</w:t>
            </w:r>
          </w:p>
        </w:tc>
      </w:tr>
    </w:tbl>
    <w:p w14:paraId="6847FEFC" w14:textId="77777777" w:rsidR="007B186C" w:rsidRDefault="007B186C" w:rsidP="007B186C">
      <w:pPr>
        <w:spacing w:before="57" w:after="142"/>
      </w:pPr>
      <w:r>
        <w:br w:type="page"/>
      </w:r>
    </w:p>
    <w:tbl>
      <w:tblPr>
        <w:tblW w:w="10069" w:type="dxa"/>
        <w:jc w:val="center"/>
        <w:tblBorders>
          <w:top w:val="single" w:sz="4" w:space="0" w:color="31849B"/>
          <w:bottom w:val="single" w:sz="4" w:space="0" w:color="31849B"/>
          <w:insideH w:val="single" w:sz="4" w:space="0" w:color="31849B"/>
        </w:tblBorders>
        <w:tblLayout w:type="fixed"/>
        <w:tblLook w:val="04A0" w:firstRow="1" w:lastRow="0" w:firstColumn="1" w:lastColumn="0" w:noHBand="0" w:noVBand="1"/>
      </w:tblPr>
      <w:tblGrid>
        <w:gridCol w:w="1136"/>
        <w:gridCol w:w="3499"/>
        <w:gridCol w:w="1249"/>
        <w:gridCol w:w="27"/>
        <w:gridCol w:w="1464"/>
        <w:gridCol w:w="1513"/>
        <w:gridCol w:w="1181"/>
      </w:tblGrid>
      <w:tr w:rsidR="00014062" w:rsidRPr="001C2D74" w14:paraId="54B8C217" w14:textId="77777777" w:rsidTr="009841B9">
        <w:trPr>
          <w:cantSplit/>
          <w:trHeight w:val="795"/>
          <w:jc w:val="center"/>
        </w:trPr>
        <w:tc>
          <w:tcPr>
            <w:tcW w:w="1136" w:type="dxa"/>
            <w:shd w:val="clear" w:color="auto" w:fill="007FAD"/>
            <w:vAlign w:val="center"/>
            <w:hideMark/>
          </w:tcPr>
          <w:p w14:paraId="2D0DFB11" w14:textId="77777777" w:rsidR="00014062" w:rsidRPr="00315553" w:rsidRDefault="00014062" w:rsidP="007B186C">
            <w:pPr>
              <w:pStyle w:val="TableHeading21"/>
              <w:rPr>
                <w:i w:val="0"/>
                <w:lang w:val="en-GB" w:eastAsia="en-GB"/>
              </w:rPr>
            </w:pPr>
            <w:r w:rsidRPr="00315553">
              <w:rPr>
                <w:i w:val="0"/>
                <w:lang w:val="en-GB" w:eastAsia="en-GB"/>
              </w:rPr>
              <w:lastRenderedPageBreak/>
              <w:t xml:space="preserve">Initiative </w:t>
            </w:r>
            <w:r>
              <w:rPr>
                <w:i w:val="0"/>
                <w:lang w:val="en-GB" w:eastAsia="en-GB"/>
              </w:rPr>
              <w:t>number</w:t>
            </w:r>
          </w:p>
        </w:tc>
        <w:tc>
          <w:tcPr>
            <w:tcW w:w="3499" w:type="dxa"/>
            <w:shd w:val="clear" w:color="auto" w:fill="007FAD"/>
            <w:vAlign w:val="center"/>
            <w:hideMark/>
          </w:tcPr>
          <w:p w14:paraId="0C6575C6" w14:textId="77777777" w:rsidR="00014062" w:rsidRPr="00315553" w:rsidRDefault="00014062" w:rsidP="007B186C">
            <w:pPr>
              <w:pStyle w:val="TableHeading21"/>
              <w:rPr>
                <w:i w:val="0"/>
                <w:lang w:val="en-GB" w:eastAsia="en-GB"/>
              </w:rPr>
            </w:pPr>
            <w:r w:rsidRPr="00315553">
              <w:rPr>
                <w:i w:val="0"/>
                <w:lang w:val="en-GB" w:eastAsia="en-GB"/>
              </w:rPr>
              <w:t>Evaluation title</w:t>
            </w:r>
          </w:p>
        </w:tc>
        <w:tc>
          <w:tcPr>
            <w:tcW w:w="1276" w:type="dxa"/>
            <w:gridSpan w:val="2"/>
            <w:shd w:val="clear" w:color="auto" w:fill="007FAD"/>
            <w:vAlign w:val="center"/>
            <w:hideMark/>
          </w:tcPr>
          <w:p w14:paraId="2B63E20E" w14:textId="77777777" w:rsidR="00014062" w:rsidRPr="00315553" w:rsidRDefault="00014062" w:rsidP="007B186C">
            <w:pPr>
              <w:pStyle w:val="TableHeading21"/>
              <w:rPr>
                <w:i w:val="0"/>
                <w:lang w:val="en-GB" w:eastAsia="en-GB"/>
              </w:rPr>
            </w:pPr>
            <w:r w:rsidRPr="00315553">
              <w:rPr>
                <w:i w:val="0"/>
                <w:lang w:val="en-GB" w:eastAsia="en-GB"/>
              </w:rPr>
              <w:t>Country</w:t>
            </w:r>
          </w:p>
        </w:tc>
        <w:tc>
          <w:tcPr>
            <w:tcW w:w="1464" w:type="dxa"/>
            <w:shd w:val="clear" w:color="auto" w:fill="007FAD"/>
            <w:vAlign w:val="center"/>
            <w:hideMark/>
          </w:tcPr>
          <w:p w14:paraId="31E4049C" w14:textId="77777777" w:rsidR="00014062" w:rsidRPr="00315553" w:rsidRDefault="00014062" w:rsidP="007B186C">
            <w:pPr>
              <w:pStyle w:val="TableHeading21"/>
              <w:rPr>
                <w:i w:val="0"/>
                <w:lang w:val="en-GB" w:eastAsia="en-GB"/>
              </w:rPr>
            </w:pPr>
            <w:r w:rsidRPr="00315553">
              <w:rPr>
                <w:i w:val="0"/>
                <w:lang w:val="en-GB" w:eastAsia="en-GB"/>
              </w:rPr>
              <w:t>Primary sector</w:t>
            </w:r>
          </w:p>
        </w:tc>
        <w:tc>
          <w:tcPr>
            <w:tcW w:w="1513" w:type="dxa"/>
            <w:shd w:val="clear" w:color="auto" w:fill="007FAD"/>
          </w:tcPr>
          <w:p w14:paraId="3A3FD260" w14:textId="69D00F01" w:rsidR="00014062" w:rsidRPr="00315553" w:rsidRDefault="00014062" w:rsidP="007B186C">
            <w:pPr>
              <w:pStyle w:val="TableHeading21"/>
              <w:rPr>
                <w:i w:val="0"/>
                <w:lang w:val="en-GB" w:eastAsia="en-GB"/>
              </w:rPr>
            </w:pPr>
            <w:r>
              <w:rPr>
                <w:i w:val="0"/>
                <w:lang w:val="en-GB" w:eastAsia="en-GB"/>
              </w:rPr>
              <w:t>Evidence and analysis assessed as credible?</w:t>
            </w:r>
          </w:p>
        </w:tc>
        <w:tc>
          <w:tcPr>
            <w:tcW w:w="1181" w:type="dxa"/>
            <w:shd w:val="clear" w:color="auto" w:fill="007FAD"/>
            <w:vAlign w:val="center"/>
          </w:tcPr>
          <w:p w14:paraId="1391A021" w14:textId="4F6D96D2" w:rsidR="00014062" w:rsidRPr="00315553" w:rsidRDefault="00014062" w:rsidP="007B186C">
            <w:pPr>
              <w:pStyle w:val="TableHeading21"/>
              <w:rPr>
                <w:i w:val="0"/>
                <w:lang w:val="en-GB" w:eastAsia="en-GB"/>
              </w:rPr>
            </w:pPr>
            <w:r w:rsidRPr="00315553">
              <w:rPr>
                <w:i w:val="0"/>
                <w:lang w:val="en-GB" w:eastAsia="en-GB"/>
              </w:rPr>
              <w:t>Published on DFAT website?</w:t>
            </w:r>
          </w:p>
        </w:tc>
      </w:tr>
      <w:tr w:rsidR="00DA5E9A" w:rsidRPr="00DE1AF3" w14:paraId="54119B1D" w14:textId="77777777" w:rsidTr="009841B9">
        <w:trPr>
          <w:cantSplit/>
          <w:trHeight w:val="900"/>
          <w:jc w:val="center"/>
        </w:trPr>
        <w:tc>
          <w:tcPr>
            <w:tcW w:w="1136" w:type="dxa"/>
            <w:shd w:val="clear" w:color="auto" w:fill="auto"/>
            <w:noWrap/>
            <w:vAlign w:val="center"/>
            <w:hideMark/>
          </w:tcPr>
          <w:p w14:paraId="269B85F7" w14:textId="77777777" w:rsidR="00DA5E9A" w:rsidRPr="00DE1AF3" w:rsidRDefault="00DA5E9A" w:rsidP="00196528">
            <w:pPr>
              <w:pStyle w:val="TableText1"/>
              <w:rPr>
                <w:lang w:val="en-GB" w:eastAsia="en-GB"/>
              </w:rPr>
            </w:pPr>
            <w:r w:rsidRPr="00DE1AF3">
              <w:rPr>
                <w:lang w:val="en-GB" w:eastAsia="en-GB"/>
              </w:rPr>
              <w:t>INI422</w:t>
            </w:r>
          </w:p>
        </w:tc>
        <w:tc>
          <w:tcPr>
            <w:tcW w:w="3499" w:type="dxa"/>
            <w:shd w:val="clear" w:color="000000" w:fill="FFFFFF"/>
            <w:vAlign w:val="center"/>
            <w:hideMark/>
          </w:tcPr>
          <w:p w14:paraId="376F1B50" w14:textId="77777777" w:rsidR="00DA5E9A" w:rsidRPr="00DE1AF3" w:rsidRDefault="00DA5E9A" w:rsidP="00196528">
            <w:pPr>
              <w:pStyle w:val="TableText1"/>
              <w:rPr>
                <w:lang w:val="en-GB" w:eastAsia="en-GB"/>
              </w:rPr>
            </w:pPr>
            <w:r w:rsidRPr="00DE1AF3">
              <w:rPr>
                <w:lang w:val="en-GB" w:eastAsia="en-GB"/>
              </w:rPr>
              <w:t xml:space="preserve">Independent Progress Review </w:t>
            </w:r>
            <w:r>
              <w:rPr>
                <w:lang w:val="en-GB" w:eastAsia="en-GB"/>
              </w:rPr>
              <w:t xml:space="preserve">of the </w:t>
            </w:r>
            <w:r w:rsidRPr="00DE1AF3">
              <w:rPr>
                <w:lang w:val="en-GB" w:eastAsia="en-GB"/>
              </w:rPr>
              <w:t>Australia Indonesia Facility for Disaster Reduction</w:t>
            </w:r>
          </w:p>
        </w:tc>
        <w:tc>
          <w:tcPr>
            <w:tcW w:w="1249" w:type="dxa"/>
            <w:shd w:val="clear" w:color="000000" w:fill="FFFFFF"/>
            <w:noWrap/>
            <w:vAlign w:val="center"/>
            <w:hideMark/>
          </w:tcPr>
          <w:p w14:paraId="3C77A9F3" w14:textId="77777777" w:rsidR="00DA5E9A" w:rsidRPr="00DE1AF3" w:rsidRDefault="00DA5E9A" w:rsidP="00196528">
            <w:pPr>
              <w:pStyle w:val="TableText1"/>
              <w:rPr>
                <w:lang w:val="en-GB" w:eastAsia="en-GB"/>
              </w:rPr>
            </w:pPr>
            <w:r w:rsidRPr="00DE1AF3">
              <w:rPr>
                <w:lang w:val="en-GB" w:eastAsia="en-GB"/>
              </w:rPr>
              <w:t>Indonesia</w:t>
            </w:r>
          </w:p>
        </w:tc>
        <w:tc>
          <w:tcPr>
            <w:tcW w:w="1491" w:type="dxa"/>
            <w:gridSpan w:val="2"/>
            <w:shd w:val="clear" w:color="auto" w:fill="auto"/>
            <w:vAlign w:val="center"/>
            <w:hideMark/>
          </w:tcPr>
          <w:p w14:paraId="55BF999B" w14:textId="77777777" w:rsidR="00DA5E9A" w:rsidRPr="00DE1AF3" w:rsidRDefault="00DA5E9A" w:rsidP="00196528">
            <w:pPr>
              <w:pStyle w:val="TableText1"/>
              <w:rPr>
                <w:lang w:val="en-GB" w:eastAsia="en-GB"/>
              </w:rPr>
            </w:pPr>
            <w:r w:rsidRPr="00DE1AF3">
              <w:rPr>
                <w:lang w:val="en-GB" w:eastAsia="en-GB"/>
              </w:rPr>
              <w:t>Humanitarian</w:t>
            </w:r>
            <w:r>
              <w:rPr>
                <w:lang w:val="en-GB" w:eastAsia="en-GB"/>
              </w:rPr>
              <w:t xml:space="preserve"> response</w:t>
            </w:r>
          </w:p>
        </w:tc>
        <w:tc>
          <w:tcPr>
            <w:tcW w:w="1513" w:type="dxa"/>
            <w:vAlign w:val="center"/>
          </w:tcPr>
          <w:p w14:paraId="3274B058" w14:textId="77777777" w:rsidR="00DA5E9A" w:rsidRPr="00DE1AF3" w:rsidRDefault="00DA5E9A" w:rsidP="00196528">
            <w:pPr>
              <w:pStyle w:val="TableText1"/>
              <w:rPr>
                <w:lang w:val="en-GB" w:eastAsia="en-GB"/>
              </w:rPr>
            </w:pPr>
            <w:r w:rsidRPr="00CF0A8A">
              <w:rPr>
                <w:lang w:val="en-GB" w:eastAsia="en-GB"/>
              </w:rPr>
              <w:t>Yes</w:t>
            </w:r>
          </w:p>
        </w:tc>
        <w:tc>
          <w:tcPr>
            <w:tcW w:w="1181" w:type="dxa"/>
            <w:vAlign w:val="center"/>
          </w:tcPr>
          <w:p w14:paraId="419DDC10" w14:textId="77777777" w:rsidR="00DA5E9A" w:rsidRPr="00DE1AF3" w:rsidRDefault="00DA5E9A" w:rsidP="00196528">
            <w:pPr>
              <w:pStyle w:val="TableText1"/>
              <w:rPr>
                <w:lang w:val="en-GB" w:eastAsia="en-GB"/>
              </w:rPr>
            </w:pPr>
            <w:r w:rsidRPr="00DE1AF3">
              <w:rPr>
                <w:lang w:val="en-GB" w:eastAsia="en-GB"/>
              </w:rPr>
              <w:t>No</w:t>
            </w:r>
          </w:p>
        </w:tc>
      </w:tr>
      <w:tr w:rsidR="00DA5E9A" w:rsidRPr="00DE1AF3" w14:paraId="27CC1ACD" w14:textId="77777777" w:rsidTr="009841B9">
        <w:trPr>
          <w:cantSplit/>
          <w:trHeight w:val="900"/>
          <w:jc w:val="center"/>
        </w:trPr>
        <w:tc>
          <w:tcPr>
            <w:tcW w:w="1136" w:type="dxa"/>
            <w:shd w:val="clear" w:color="auto" w:fill="auto"/>
            <w:noWrap/>
            <w:vAlign w:val="center"/>
            <w:hideMark/>
          </w:tcPr>
          <w:p w14:paraId="1BFA7F89" w14:textId="77777777" w:rsidR="00DA5E9A" w:rsidRPr="00DE1AF3" w:rsidRDefault="00DA5E9A" w:rsidP="00196528">
            <w:pPr>
              <w:pStyle w:val="TableText1"/>
              <w:rPr>
                <w:lang w:val="en-GB" w:eastAsia="en-GB"/>
              </w:rPr>
            </w:pPr>
            <w:r w:rsidRPr="00DE1AF3">
              <w:rPr>
                <w:lang w:val="en-GB" w:eastAsia="en-GB"/>
              </w:rPr>
              <w:t>INI426</w:t>
            </w:r>
          </w:p>
        </w:tc>
        <w:tc>
          <w:tcPr>
            <w:tcW w:w="3499" w:type="dxa"/>
            <w:shd w:val="clear" w:color="000000" w:fill="FFFFFF"/>
            <w:vAlign w:val="center"/>
            <w:hideMark/>
          </w:tcPr>
          <w:p w14:paraId="73FB5F71" w14:textId="77777777" w:rsidR="00DA5E9A" w:rsidRPr="00DE1AF3" w:rsidRDefault="00DA5E9A" w:rsidP="00196528">
            <w:pPr>
              <w:pStyle w:val="TableText1"/>
              <w:rPr>
                <w:lang w:val="en-GB" w:eastAsia="en-GB"/>
              </w:rPr>
            </w:pPr>
            <w:r w:rsidRPr="00DE1AF3">
              <w:rPr>
                <w:lang w:val="en-GB" w:eastAsia="en-GB"/>
              </w:rPr>
              <w:t xml:space="preserve">Independent Evaluation of Lessons Learned from </w:t>
            </w:r>
            <w:r>
              <w:rPr>
                <w:lang w:val="en-GB" w:eastAsia="en-GB"/>
              </w:rPr>
              <w:t xml:space="preserve">UN </w:t>
            </w:r>
            <w:r w:rsidRPr="00DE1AF3">
              <w:rPr>
                <w:lang w:val="en-GB" w:eastAsia="en-GB"/>
              </w:rPr>
              <w:t>Delivering as One</w:t>
            </w:r>
          </w:p>
        </w:tc>
        <w:tc>
          <w:tcPr>
            <w:tcW w:w="1249" w:type="dxa"/>
            <w:shd w:val="clear" w:color="000000" w:fill="FFFFFF"/>
            <w:noWrap/>
            <w:vAlign w:val="center"/>
            <w:hideMark/>
          </w:tcPr>
          <w:p w14:paraId="0D89667E" w14:textId="77777777" w:rsidR="00DA5E9A" w:rsidRPr="00DE1AF3" w:rsidRDefault="00DA5E9A" w:rsidP="00196528">
            <w:pPr>
              <w:pStyle w:val="TableText1"/>
              <w:rPr>
                <w:lang w:val="en-GB" w:eastAsia="en-GB"/>
              </w:rPr>
            </w:pPr>
            <w:r>
              <w:rPr>
                <w:lang w:val="en-GB" w:eastAsia="en-GB"/>
              </w:rPr>
              <w:t>Multicountry</w:t>
            </w:r>
          </w:p>
        </w:tc>
        <w:tc>
          <w:tcPr>
            <w:tcW w:w="1491" w:type="dxa"/>
            <w:gridSpan w:val="2"/>
            <w:shd w:val="clear" w:color="auto" w:fill="auto"/>
            <w:vAlign w:val="center"/>
            <w:hideMark/>
          </w:tcPr>
          <w:p w14:paraId="6B2DAD96" w14:textId="77777777" w:rsidR="00DA5E9A" w:rsidRPr="00DE1AF3" w:rsidRDefault="00DA5E9A" w:rsidP="00196528">
            <w:pPr>
              <w:pStyle w:val="TableText1"/>
              <w:rPr>
                <w:lang w:val="en-GB" w:eastAsia="en-GB"/>
              </w:rPr>
            </w:pPr>
            <w:r>
              <w:rPr>
                <w:lang w:val="en-GB" w:eastAsia="en-GB"/>
              </w:rPr>
              <w:t>General development support</w:t>
            </w:r>
          </w:p>
        </w:tc>
        <w:tc>
          <w:tcPr>
            <w:tcW w:w="1513" w:type="dxa"/>
            <w:vAlign w:val="center"/>
          </w:tcPr>
          <w:p w14:paraId="52694E13" w14:textId="77777777" w:rsidR="00DA5E9A" w:rsidRPr="00DE1AF3" w:rsidRDefault="00DA5E9A" w:rsidP="00196528">
            <w:pPr>
              <w:pStyle w:val="TableText1"/>
              <w:rPr>
                <w:lang w:val="en-GB" w:eastAsia="en-GB"/>
              </w:rPr>
            </w:pPr>
            <w:r w:rsidRPr="00CF0A8A">
              <w:rPr>
                <w:lang w:val="en-GB" w:eastAsia="en-GB"/>
              </w:rPr>
              <w:t>Yes</w:t>
            </w:r>
          </w:p>
        </w:tc>
        <w:tc>
          <w:tcPr>
            <w:tcW w:w="1181" w:type="dxa"/>
            <w:vAlign w:val="center"/>
          </w:tcPr>
          <w:p w14:paraId="2CE50F09" w14:textId="77777777" w:rsidR="00DA5E9A" w:rsidRPr="00DE1AF3" w:rsidRDefault="00DA5E9A" w:rsidP="00196528">
            <w:pPr>
              <w:pStyle w:val="TableText1"/>
              <w:rPr>
                <w:lang w:val="en-GB" w:eastAsia="en-GB"/>
              </w:rPr>
            </w:pPr>
            <w:r w:rsidRPr="00DE1AF3">
              <w:rPr>
                <w:lang w:val="en-GB" w:eastAsia="en-GB"/>
              </w:rPr>
              <w:t>No</w:t>
            </w:r>
          </w:p>
        </w:tc>
      </w:tr>
      <w:tr w:rsidR="00DA5E9A" w:rsidRPr="00DE1AF3" w14:paraId="08B30EF8" w14:textId="77777777" w:rsidTr="009841B9">
        <w:trPr>
          <w:cantSplit/>
          <w:trHeight w:val="900"/>
          <w:jc w:val="center"/>
        </w:trPr>
        <w:tc>
          <w:tcPr>
            <w:tcW w:w="1136" w:type="dxa"/>
            <w:shd w:val="clear" w:color="auto" w:fill="auto"/>
            <w:noWrap/>
            <w:vAlign w:val="center"/>
            <w:hideMark/>
          </w:tcPr>
          <w:p w14:paraId="1C1C541E" w14:textId="77777777" w:rsidR="00DA5E9A" w:rsidRPr="00DE1AF3" w:rsidRDefault="00DA5E9A" w:rsidP="00196528">
            <w:pPr>
              <w:pStyle w:val="TableText1"/>
              <w:rPr>
                <w:lang w:val="en-GB" w:eastAsia="en-GB"/>
              </w:rPr>
            </w:pPr>
            <w:r w:rsidRPr="00DE1AF3">
              <w:rPr>
                <w:lang w:val="en-GB" w:eastAsia="en-GB"/>
              </w:rPr>
              <w:t>INI510</w:t>
            </w:r>
          </w:p>
        </w:tc>
        <w:tc>
          <w:tcPr>
            <w:tcW w:w="3499" w:type="dxa"/>
            <w:shd w:val="clear" w:color="000000" w:fill="FFFFFF"/>
            <w:vAlign w:val="center"/>
            <w:hideMark/>
          </w:tcPr>
          <w:p w14:paraId="05D3CAAF" w14:textId="77777777" w:rsidR="00DA5E9A" w:rsidRPr="00DE1AF3" w:rsidRDefault="00DA5E9A" w:rsidP="00196528">
            <w:pPr>
              <w:pStyle w:val="TableText1"/>
              <w:rPr>
                <w:lang w:val="en-GB" w:eastAsia="en-GB"/>
              </w:rPr>
            </w:pPr>
            <w:r w:rsidRPr="00DE1AF3">
              <w:rPr>
                <w:lang w:val="en-GB" w:eastAsia="en-GB"/>
              </w:rPr>
              <w:t>Review of the Afghanistan Reconstruction Trust Fund</w:t>
            </w:r>
          </w:p>
        </w:tc>
        <w:tc>
          <w:tcPr>
            <w:tcW w:w="1249" w:type="dxa"/>
            <w:shd w:val="clear" w:color="000000" w:fill="FFFFFF"/>
            <w:noWrap/>
            <w:vAlign w:val="center"/>
            <w:hideMark/>
          </w:tcPr>
          <w:p w14:paraId="29134F80" w14:textId="77777777" w:rsidR="00DA5E9A" w:rsidRPr="00DE1AF3" w:rsidRDefault="00DA5E9A" w:rsidP="00196528">
            <w:pPr>
              <w:pStyle w:val="TableText1"/>
              <w:rPr>
                <w:lang w:val="en-GB" w:eastAsia="en-GB"/>
              </w:rPr>
            </w:pPr>
            <w:r w:rsidRPr="00DE1AF3">
              <w:rPr>
                <w:lang w:val="en-GB" w:eastAsia="en-GB"/>
              </w:rPr>
              <w:t>Afghanistan</w:t>
            </w:r>
          </w:p>
        </w:tc>
        <w:tc>
          <w:tcPr>
            <w:tcW w:w="1491" w:type="dxa"/>
            <w:gridSpan w:val="2"/>
            <w:shd w:val="clear" w:color="auto" w:fill="auto"/>
            <w:vAlign w:val="center"/>
            <w:hideMark/>
          </w:tcPr>
          <w:p w14:paraId="64DDB69E" w14:textId="77777777" w:rsidR="00DA5E9A" w:rsidRPr="00DE1AF3" w:rsidRDefault="00DA5E9A" w:rsidP="00196528">
            <w:pPr>
              <w:pStyle w:val="TableText1"/>
              <w:rPr>
                <w:lang w:val="en-GB" w:eastAsia="en-GB"/>
              </w:rPr>
            </w:pPr>
            <w:r>
              <w:rPr>
                <w:lang w:val="en-GB" w:eastAsia="en-GB"/>
              </w:rPr>
              <w:t>General development support</w:t>
            </w:r>
          </w:p>
        </w:tc>
        <w:tc>
          <w:tcPr>
            <w:tcW w:w="1513" w:type="dxa"/>
            <w:vAlign w:val="center"/>
          </w:tcPr>
          <w:p w14:paraId="28B3B26D" w14:textId="77777777" w:rsidR="00DA5E9A" w:rsidRPr="00DE1AF3" w:rsidRDefault="00DA5E9A" w:rsidP="00196528">
            <w:pPr>
              <w:pStyle w:val="TableText1"/>
              <w:rPr>
                <w:lang w:val="en-GB" w:eastAsia="en-GB"/>
              </w:rPr>
            </w:pPr>
            <w:r w:rsidRPr="00CF0A8A">
              <w:rPr>
                <w:lang w:val="en-GB" w:eastAsia="en-GB"/>
              </w:rPr>
              <w:t>Yes</w:t>
            </w:r>
          </w:p>
        </w:tc>
        <w:tc>
          <w:tcPr>
            <w:tcW w:w="1181" w:type="dxa"/>
            <w:vAlign w:val="center"/>
          </w:tcPr>
          <w:p w14:paraId="10D0D013" w14:textId="77777777" w:rsidR="00DA5E9A" w:rsidRPr="00DE1AF3" w:rsidRDefault="00DA5E9A" w:rsidP="00196528">
            <w:pPr>
              <w:pStyle w:val="TableText1"/>
              <w:rPr>
                <w:lang w:val="en-GB" w:eastAsia="en-GB"/>
              </w:rPr>
            </w:pPr>
            <w:r w:rsidRPr="00DE1AF3">
              <w:rPr>
                <w:lang w:val="en-GB" w:eastAsia="en-GB"/>
              </w:rPr>
              <w:t>Yes</w:t>
            </w:r>
          </w:p>
        </w:tc>
      </w:tr>
      <w:tr w:rsidR="00014062" w:rsidRPr="00DE1AF3" w14:paraId="5A7C39EA" w14:textId="77777777" w:rsidTr="009841B9">
        <w:trPr>
          <w:cantSplit/>
          <w:trHeight w:val="900"/>
          <w:jc w:val="center"/>
        </w:trPr>
        <w:tc>
          <w:tcPr>
            <w:tcW w:w="1136" w:type="dxa"/>
            <w:shd w:val="clear" w:color="auto" w:fill="auto"/>
            <w:vAlign w:val="center"/>
            <w:hideMark/>
          </w:tcPr>
          <w:p w14:paraId="4EFADDB9" w14:textId="77777777" w:rsidR="00014062" w:rsidRPr="00DE1AF3" w:rsidRDefault="00014062" w:rsidP="007B186C">
            <w:pPr>
              <w:pStyle w:val="TableText1"/>
              <w:rPr>
                <w:lang w:val="en-GB" w:eastAsia="en-GB"/>
              </w:rPr>
            </w:pPr>
            <w:r w:rsidRPr="00DE1AF3">
              <w:rPr>
                <w:lang w:val="en-GB" w:eastAsia="en-GB"/>
              </w:rPr>
              <w:t>INI592</w:t>
            </w:r>
          </w:p>
        </w:tc>
        <w:tc>
          <w:tcPr>
            <w:tcW w:w="3499" w:type="dxa"/>
            <w:shd w:val="clear" w:color="000000" w:fill="FFFFFF"/>
            <w:vAlign w:val="center"/>
            <w:hideMark/>
          </w:tcPr>
          <w:p w14:paraId="0918D53B" w14:textId="77777777" w:rsidR="00014062" w:rsidRPr="00DE1AF3" w:rsidRDefault="00014062" w:rsidP="007B186C">
            <w:pPr>
              <w:pStyle w:val="TableText1"/>
              <w:rPr>
                <w:lang w:val="en-GB" w:eastAsia="en-GB"/>
              </w:rPr>
            </w:pPr>
            <w:r w:rsidRPr="00DE1AF3">
              <w:rPr>
                <w:lang w:val="en-GB" w:eastAsia="en-GB"/>
              </w:rPr>
              <w:t xml:space="preserve">Independent Completion Review </w:t>
            </w:r>
            <w:r>
              <w:rPr>
                <w:lang w:val="en-GB" w:eastAsia="en-GB"/>
              </w:rPr>
              <w:t xml:space="preserve">of the </w:t>
            </w:r>
            <w:r w:rsidRPr="00DE1AF3">
              <w:rPr>
                <w:lang w:val="en-GB" w:eastAsia="en-GB"/>
              </w:rPr>
              <w:t>Civil Society Water, Sanitation and Hygiene Fund</w:t>
            </w:r>
          </w:p>
        </w:tc>
        <w:tc>
          <w:tcPr>
            <w:tcW w:w="1276" w:type="dxa"/>
            <w:gridSpan w:val="2"/>
            <w:shd w:val="clear" w:color="000000" w:fill="FFFFFF"/>
            <w:noWrap/>
            <w:vAlign w:val="center"/>
            <w:hideMark/>
          </w:tcPr>
          <w:p w14:paraId="18B8F5CD" w14:textId="77777777" w:rsidR="00014062" w:rsidRPr="00DE1AF3" w:rsidRDefault="00014062" w:rsidP="007B186C">
            <w:pPr>
              <w:pStyle w:val="TableText1"/>
              <w:rPr>
                <w:lang w:val="en-GB" w:eastAsia="en-GB"/>
              </w:rPr>
            </w:pPr>
            <w:r w:rsidRPr="00DE1AF3">
              <w:rPr>
                <w:lang w:val="en-GB" w:eastAsia="en-GB"/>
              </w:rPr>
              <w:t>Multicountry</w:t>
            </w:r>
          </w:p>
        </w:tc>
        <w:tc>
          <w:tcPr>
            <w:tcW w:w="1464" w:type="dxa"/>
            <w:shd w:val="clear" w:color="auto" w:fill="auto"/>
            <w:vAlign w:val="center"/>
            <w:hideMark/>
          </w:tcPr>
          <w:p w14:paraId="0ABA8A40" w14:textId="77777777" w:rsidR="00014062" w:rsidRPr="00DE1AF3" w:rsidRDefault="00014062" w:rsidP="007B186C">
            <w:pPr>
              <w:pStyle w:val="TableText1"/>
              <w:rPr>
                <w:lang w:val="en-GB" w:eastAsia="en-GB"/>
              </w:rPr>
            </w:pPr>
            <w:r w:rsidRPr="00DE1AF3">
              <w:rPr>
                <w:lang w:val="en-GB" w:eastAsia="en-GB"/>
              </w:rPr>
              <w:t>Water and sanitation</w:t>
            </w:r>
          </w:p>
        </w:tc>
        <w:tc>
          <w:tcPr>
            <w:tcW w:w="1513" w:type="dxa"/>
            <w:vAlign w:val="center"/>
          </w:tcPr>
          <w:p w14:paraId="0876BC82" w14:textId="35F80869" w:rsidR="00014062" w:rsidRPr="00DE1AF3" w:rsidRDefault="00014062" w:rsidP="007B186C">
            <w:pPr>
              <w:pStyle w:val="TableText1"/>
              <w:rPr>
                <w:lang w:val="en-GB" w:eastAsia="en-GB"/>
              </w:rPr>
            </w:pPr>
            <w:r w:rsidRPr="00CF0A8A">
              <w:rPr>
                <w:lang w:val="en-GB" w:eastAsia="en-GB"/>
              </w:rPr>
              <w:t>Yes</w:t>
            </w:r>
          </w:p>
        </w:tc>
        <w:tc>
          <w:tcPr>
            <w:tcW w:w="1181" w:type="dxa"/>
            <w:vAlign w:val="center"/>
          </w:tcPr>
          <w:p w14:paraId="31566562" w14:textId="3D768FC8" w:rsidR="00014062" w:rsidRPr="00DE1AF3" w:rsidRDefault="00014062" w:rsidP="007B186C">
            <w:pPr>
              <w:pStyle w:val="TableText1"/>
              <w:rPr>
                <w:lang w:val="en-GB" w:eastAsia="en-GB"/>
              </w:rPr>
            </w:pPr>
            <w:r w:rsidRPr="00DE1AF3">
              <w:rPr>
                <w:lang w:val="en-GB" w:eastAsia="en-GB"/>
              </w:rPr>
              <w:t>Yes</w:t>
            </w:r>
          </w:p>
        </w:tc>
      </w:tr>
      <w:tr w:rsidR="00014062" w:rsidRPr="00DE1AF3" w14:paraId="7C944C45" w14:textId="77777777" w:rsidTr="009841B9">
        <w:trPr>
          <w:cantSplit/>
          <w:trHeight w:val="900"/>
          <w:jc w:val="center"/>
        </w:trPr>
        <w:tc>
          <w:tcPr>
            <w:tcW w:w="1136" w:type="dxa"/>
            <w:shd w:val="clear" w:color="auto" w:fill="auto"/>
            <w:vAlign w:val="center"/>
            <w:hideMark/>
          </w:tcPr>
          <w:p w14:paraId="6AC6B3A0" w14:textId="77777777" w:rsidR="00014062" w:rsidRPr="00DE1AF3" w:rsidRDefault="00014062" w:rsidP="007B186C">
            <w:pPr>
              <w:pStyle w:val="TableText1"/>
              <w:rPr>
                <w:lang w:val="en-GB" w:eastAsia="en-GB"/>
              </w:rPr>
            </w:pPr>
            <w:r>
              <w:rPr>
                <w:lang w:val="en-GB" w:eastAsia="en-GB"/>
              </w:rPr>
              <w:t>INI632</w:t>
            </w:r>
          </w:p>
        </w:tc>
        <w:tc>
          <w:tcPr>
            <w:tcW w:w="3499" w:type="dxa"/>
            <w:shd w:val="clear" w:color="000000" w:fill="FFFFFF"/>
            <w:vAlign w:val="center"/>
            <w:hideMark/>
          </w:tcPr>
          <w:p w14:paraId="63E5F75C" w14:textId="77777777" w:rsidR="00014062" w:rsidRPr="00DE1AF3" w:rsidRDefault="00014062" w:rsidP="007B186C">
            <w:pPr>
              <w:pStyle w:val="TableText1"/>
              <w:rPr>
                <w:lang w:val="en-GB" w:eastAsia="en-GB"/>
              </w:rPr>
            </w:pPr>
            <w:r w:rsidRPr="00DE1AF3">
              <w:rPr>
                <w:lang w:val="en-GB" w:eastAsia="en-GB"/>
              </w:rPr>
              <w:t xml:space="preserve">Mid Term Review of </w:t>
            </w:r>
            <w:r>
              <w:rPr>
                <w:lang w:val="en-GB" w:eastAsia="en-GB"/>
              </w:rPr>
              <w:t xml:space="preserve">the </w:t>
            </w:r>
            <w:r w:rsidRPr="00DE1AF3">
              <w:rPr>
                <w:lang w:val="en-GB" w:eastAsia="en-GB"/>
              </w:rPr>
              <w:t>Australia–WB Philippines Development Trust Fund</w:t>
            </w:r>
          </w:p>
        </w:tc>
        <w:tc>
          <w:tcPr>
            <w:tcW w:w="1276" w:type="dxa"/>
            <w:gridSpan w:val="2"/>
            <w:shd w:val="clear" w:color="000000" w:fill="FFFFFF"/>
            <w:noWrap/>
            <w:vAlign w:val="center"/>
            <w:hideMark/>
          </w:tcPr>
          <w:p w14:paraId="084F7664" w14:textId="77777777" w:rsidR="00014062" w:rsidRPr="00DE1AF3" w:rsidRDefault="00014062" w:rsidP="007B186C">
            <w:pPr>
              <w:pStyle w:val="TableText1"/>
              <w:rPr>
                <w:lang w:val="en-GB" w:eastAsia="en-GB"/>
              </w:rPr>
            </w:pPr>
            <w:r w:rsidRPr="00DE1AF3">
              <w:rPr>
                <w:lang w:val="en-GB" w:eastAsia="en-GB"/>
              </w:rPr>
              <w:t>Philippines</w:t>
            </w:r>
          </w:p>
        </w:tc>
        <w:tc>
          <w:tcPr>
            <w:tcW w:w="1464" w:type="dxa"/>
            <w:shd w:val="clear" w:color="auto" w:fill="auto"/>
            <w:vAlign w:val="center"/>
            <w:hideMark/>
          </w:tcPr>
          <w:p w14:paraId="6B7D985E" w14:textId="77777777" w:rsidR="00014062" w:rsidRPr="00DE1AF3" w:rsidRDefault="00014062" w:rsidP="007B186C">
            <w:pPr>
              <w:pStyle w:val="TableText1"/>
              <w:rPr>
                <w:lang w:val="en-GB" w:eastAsia="en-GB"/>
              </w:rPr>
            </w:pPr>
            <w:r>
              <w:rPr>
                <w:lang w:val="en-GB" w:eastAsia="en-GB"/>
              </w:rPr>
              <w:t>General development support</w:t>
            </w:r>
          </w:p>
        </w:tc>
        <w:tc>
          <w:tcPr>
            <w:tcW w:w="1513" w:type="dxa"/>
            <w:vAlign w:val="center"/>
          </w:tcPr>
          <w:p w14:paraId="4EA3BDB5" w14:textId="076772E6" w:rsidR="00014062" w:rsidRPr="00DE1AF3" w:rsidRDefault="00014062" w:rsidP="007B186C">
            <w:pPr>
              <w:pStyle w:val="TableText1"/>
              <w:rPr>
                <w:lang w:val="en-GB" w:eastAsia="en-GB"/>
              </w:rPr>
            </w:pPr>
            <w:r w:rsidRPr="00CF0A8A">
              <w:rPr>
                <w:lang w:val="en-GB" w:eastAsia="en-GB"/>
              </w:rPr>
              <w:t>Yes</w:t>
            </w:r>
          </w:p>
        </w:tc>
        <w:tc>
          <w:tcPr>
            <w:tcW w:w="1181" w:type="dxa"/>
            <w:vAlign w:val="center"/>
          </w:tcPr>
          <w:p w14:paraId="4C4B3746" w14:textId="4E2A7A54" w:rsidR="00014062" w:rsidRPr="00DE1AF3" w:rsidRDefault="00014062" w:rsidP="007B186C">
            <w:pPr>
              <w:pStyle w:val="TableText1"/>
              <w:rPr>
                <w:lang w:val="en-GB" w:eastAsia="en-GB"/>
              </w:rPr>
            </w:pPr>
            <w:r w:rsidRPr="00DE1AF3">
              <w:rPr>
                <w:lang w:val="en-GB" w:eastAsia="en-GB"/>
              </w:rPr>
              <w:t>Yes</w:t>
            </w:r>
          </w:p>
        </w:tc>
      </w:tr>
      <w:tr w:rsidR="00014062" w:rsidRPr="00DE1AF3" w14:paraId="1C8414A1" w14:textId="77777777" w:rsidTr="009841B9">
        <w:trPr>
          <w:cantSplit/>
          <w:trHeight w:val="900"/>
          <w:jc w:val="center"/>
        </w:trPr>
        <w:tc>
          <w:tcPr>
            <w:tcW w:w="1136" w:type="dxa"/>
            <w:shd w:val="clear" w:color="auto" w:fill="auto"/>
            <w:vAlign w:val="center"/>
            <w:hideMark/>
          </w:tcPr>
          <w:p w14:paraId="603EFD15" w14:textId="77777777" w:rsidR="00014062" w:rsidRPr="00DE1AF3" w:rsidRDefault="00014062" w:rsidP="007B186C">
            <w:pPr>
              <w:pStyle w:val="TableText1"/>
              <w:rPr>
                <w:lang w:val="en-GB" w:eastAsia="en-GB"/>
              </w:rPr>
            </w:pPr>
            <w:r w:rsidRPr="00DE1AF3">
              <w:rPr>
                <w:lang w:val="en-GB" w:eastAsia="en-GB"/>
              </w:rPr>
              <w:t>INI661</w:t>
            </w:r>
          </w:p>
        </w:tc>
        <w:tc>
          <w:tcPr>
            <w:tcW w:w="3499" w:type="dxa"/>
            <w:shd w:val="clear" w:color="000000" w:fill="FFFFFF"/>
            <w:vAlign w:val="center"/>
            <w:hideMark/>
          </w:tcPr>
          <w:p w14:paraId="6B7FFECB" w14:textId="77777777" w:rsidR="00014062" w:rsidRPr="00DE1AF3" w:rsidRDefault="00014062" w:rsidP="007B186C">
            <w:pPr>
              <w:pStyle w:val="TableText1"/>
              <w:rPr>
                <w:lang w:val="en-GB" w:eastAsia="en-GB"/>
              </w:rPr>
            </w:pPr>
            <w:r w:rsidRPr="00DE1AF3">
              <w:rPr>
                <w:lang w:val="en-GB" w:eastAsia="en-GB"/>
              </w:rPr>
              <w:t xml:space="preserve">Independent Review </w:t>
            </w:r>
            <w:r>
              <w:rPr>
                <w:lang w:val="en-GB" w:eastAsia="en-GB"/>
              </w:rPr>
              <w:t xml:space="preserve">of the </w:t>
            </w:r>
            <w:r w:rsidRPr="00DE1AF3">
              <w:rPr>
                <w:lang w:val="en-GB" w:eastAsia="en-GB"/>
              </w:rPr>
              <w:t>SIG-RAMSI Public Sector Improvement Program (PSIP) Year 4</w:t>
            </w:r>
          </w:p>
        </w:tc>
        <w:tc>
          <w:tcPr>
            <w:tcW w:w="1276" w:type="dxa"/>
            <w:gridSpan w:val="2"/>
            <w:shd w:val="clear" w:color="000000" w:fill="FFFFFF"/>
            <w:noWrap/>
            <w:vAlign w:val="center"/>
            <w:hideMark/>
          </w:tcPr>
          <w:p w14:paraId="285EAEBA" w14:textId="77777777" w:rsidR="00014062" w:rsidRPr="00DE1AF3" w:rsidRDefault="00014062" w:rsidP="007B186C">
            <w:pPr>
              <w:pStyle w:val="TableText1"/>
              <w:rPr>
                <w:lang w:val="en-GB" w:eastAsia="en-GB"/>
              </w:rPr>
            </w:pPr>
            <w:r w:rsidRPr="00DE1AF3">
              <w:rPr>
                <w:lang w:val="en-GB" w:eastAsia="en-GB"/>
              </w:rPr>
              <w:t>Solomon Islands</w:t>
            </w:r>
          </w:p>
        </w:tc>
        <w:tc>
          <w:tcPr>
            <w:tcW w:w="1464" w:type="dxa"/>
            <w:shd w:val="clear" w:color="auto" w:fill="auto"/>
            <w:vAlign w:val="center"/>
            <w:hideMark/>
          </w:tcPr>
          <w:p w14:paraId="5361EE82" w14:textId="77777777" w:rsidR="00014062" w:rsidRPr="00DE1AF3" w:rsidRDefault="00014062" w:rsidP="007B186C">
            <w:pPr>
              <w:pStyle w:val="TableText1"/>
              <w:rPr>
                <w:lang w:val="en-GB" w:eastAsia="en-GB"/>
              </w:rPr>
            </w:pPr>
            <w:r>
              <w:rPr>
                <w:lang w:val="en-GB" w:eastAsia="en-GB"/>
              </w:rPr>
              <w:t>Improved government</w:t>
            </w:r>
          </w:p>
        </w:tc>
        <w:tc>
          <w:tcPr>
            <w:tcW w:w="1513" w:type="dxa"/>
            <w:vAlign w:val="center"/>
          </w:tcPr>
          <w:p w14:paraId="0EBCB01B" w14:textId="26AF915C" w:rsidR="00014062" w:rsidRPr="00DE1AF3" w:rsidRDefault="00014062" w:rsidP="007B186C">
            <w:pPr>
              <w:pStyle w:val="TableText1"/>
              <w:rPr>
                <w:lang w:val="en-GB" w:eastAsia="en-GB"/>
              </w:rPr>
            </w:pPr>
            <w:r w:rsidRPr="00CF0A8A">
              <w:rPr>
                <w:lang w:val="en-GB" w:eastAsia="en-GB"/>
              </w:rPr>
              <w:t>Yes</w:t>
            </w:r>
          </w:p>
        </w:tc>
        <w:tc>
          <w:tcPr>
            <w:tcW w:w="1181" w:type="dxa"/>
            <w:vAlign w:val="center"/>
          </w:tcPr>
          <w:p w14:paraId="6F07E25E" w14:textId="7AB1B6BF" w:rsidR="00014062" w:rsidRPr="00DE1AF3" w:rsidRDefault="00014062" w:rsidP="007B186C">
            <w:pPr>
              <w:pStyle w:val="TableText1"/>
              <w:rPr>
                <w:lang w:val="en-GB" w:eastAsia="en-GB"/>
              </w:rPr>
            </w:pPr>
            <w:r w:rsidRPr="00DE1AF3">
              <w:rPr>
                <w:lang w:val="en-GB" w:eastAsia="en-GB"/>
              </w:rPr>
              <w:t>No</w:t>
            </w:r>
          </w:p>
        </w:tc>
      </w:tr>
      <w:tr w:rsidR="00014062" w:rsidRPr="00DE1AF3" w14:paraId="172F6ACB" w14:textId="77777777" w:rsidTr="009841B9">
        <w:trPr>
          <w:cantSplit/>
          <w:trHeight w:val="900"/>
          <w:jc w:val="center"/>
        </w:trPr>
        <w:tc>
          <w:tcPr>
            <w:tcW w:w="1136" w:type="dxa"/>
            <w:shd w:val="clear" w:color="auto" w:fill="auto"/>
            <w:vAlign w:val="center"/>
            <w:hideMark/>
          </w:tcPr>
          <w:p w14:paraId="12182E4C" w14:textId="77777777" w:rsidR="00014062" w:rsidRPr="00DE1AF3" w:rsidRDefault="00014062" w:rsidP="007B186C">
            <w:pPr>
              <w:pStyle w:val="TableText1"/>
              <w:rPr>
                <w:lang w:val="en-GB" w:eastAsia="en-GB"/>
              </w:rPr>
            </w:pPr>
            <w:r w:rsidRPr="00DE1AF3">
              <w:rPr>
                <w:lang w:val="en-GB" w:eastAsia="en-GB"/>
              </w:rPr>
              <w:t>INI674</w:t>
            </w:r>
          </w:p>
        </w:tc>
        <w:tc>
          <w:tcPr>
            <w:tcW w:w="3499" w:type="dxa"/>
            <w:shd w:val="clear" w:color="000000" w:fill="FFFFFF"/>
            <w:vAlign w:val="center"/>
            <w:hideMark/>
          </w:tcPr>
          <w:p w14:paraId="44B4C9DD" w14:textId="77777777" w:rsidR="00014062" w:rsidRPr="00DE1AF3" w:rsidRDefault="00014062" w:rsidP="007B186C">
            <w:pPr>
              <w:pStyle w:val="TableText1"/>
              <w:rPr>
                <w:lang w:val="en-GB" w:eastAsia="en-GB"/>
              </w:rPr>
            </w:pPr>
            <w:r w:rsidRPr="00DE1AF3">
              <w:rPr>
                <w:lang w:val="en-GB" w:eastAsia="en-GB"/>
              </w:rPr>
              <w:t>Independent Progress Review</w:t>
            </w:r>
            <w:r>
              <w:rPr>
                <w:lang w:val="en-GB" w:eastAsia="en-GB"/>
              </w:rPr>
              <w:t xml:space="preserve"> of the</w:t>
            </w:r>
            <w:r w:rsidRPr="00DE1AF3">
              <w:rPr>
                <w:lang w:val="en-GB" w:eastAsia="en-GB"/>
              </w:rPr>
              <w:t xml:space="preserve"> Solomon Islands Media Assistance Scheme Phase 3</w:t>
            </w:r>
          </w:p>
        </w:tc>
        <w:tc>
          <w:tcPr>
            <w:tcW w:w="1276" w:type="dxa"/>
            <w:gridSpan w:val="2"/>
            <w:shd w:val="clear" w:color="000000" w:fill="FFFFFF"/>
            <w:noWrap/>
            <w:vAlign w:val="center"/>
            <w:hideMark/>
          </w:tcPr>
          <w:p w14:paraId="66B0FC39" w14:textId="77777777" w:rsidR="00014062" w:rsidRPr="00DE1AF3" w:rsidRDefault="00014062" w:rsidP="007B186C">
            <w:pPr>
              <w:pStyle w:val="TableText1"/>
              <w:rPr>
                <w:lang w:val="en-GB" w:eastAsia="en-GB"/>
              </w:rPr>
            </w:pPr>
            <w:r w:rsidRPr="00DE1AF3">
              <w:rPr>
                <w:lang w:val="en-GB" w:eastAsia="en-GB"/>
              </w:rPr>
              <w:t>Solomon Islands</w:t>
            </w:r>
          </w:p>
        </w:tc>
        <w:tc>
          <w:tcPr>
            <w:tcW w:w="1464" w:type="dxa"/>
            <w:shd w:val="clear" w:color="auto" w:fill="auto"/>
            <w:vAlign w:val="center"/>
            <w:hideMark/>
          </w:tcPr>
          <w:p w14:paraId="2EC907DA" w14:textId="77777777" w:rsidR="00014062" w:rsidRPr="00DE1AF3" w:rsidRDefault="00014062" w:rsidP="007B186C">
            <w:pPr>
              <w:pStyle w:val="TableText1"/>
              <w:rPr>
                <w:lang w:val="en-GB" w:eastAsia="en-GB"/>
              </w:rPr>
            </w:pPr>
            <w:r>
              <w:rPr>
                <w:lang w:val="en-GB" w:eastAsia="en-GB"/>
              </w:rPr>
              <w:t>Human rights</w:t>
            </w:r>
          </w:p>
        </w:tc>
        <w:tc>
          <w:tcPr>
            <w:tcW w:w="1513" w:type="dxa"/>
            <w:vAlign w:val="center"/>
          </w:tcPr>
          <w:p w14:paraId="1D274EFC" w14:textId="38684BEA" w:rsidR="00014062" w:rsidRPr="00DE1AF3" w:rsidRDefault="00014062" w:rsidP="007B186C">
            <w:pPr>
              <w:pStyle w:val="TableText1"/>
              <w:rPr>
                <w:lang w:val="en-GB" w:eastAsia="en-GB"/>
              </w:rPr>
            </w:pPr>
            <w:r w:rsidRPr="00CF0A8A">
              <w:rPr>
                <w:lang w:val="en-GB" w:eastAsia="en-GB"/>
              </w:rPr>
              <w:t>Yes</w:t>
            </w:r>
          </w:p>
        </w:tc>
        <w:tc>
          <w:tcPr>
            <w:tcW w:w="1181" w:type="dxa"/>
            <w:vAlign w:val="center"/>
          </w:tcPr>
          <w:p w14:paraId="713EF44F" w14:textId="77BCB2E1" w:rsidR="00014062" w:rsidRPr="00DE1AF3" w:rsidRDefault="00014062" w:rsidP="007B186C">
            <w:pPr>
              <w:pStyle w:val="TableText1"/>
              <w:rPr>
                <w:lang w:val="en-GB" w:eastAsia="en-GB"/>
              </w:rPr>
            </w:pPr>
            <w:r w:rsidRPr="00DE1AF3">
              <w:rPr>
                <w:lang w:val="en-GB" w:eastAsia="en-GB"/>
              </w:rPr>
              <w:t>No</w:t>
            </w:r>
          </w:p>
        </w:tc>
      </w:tr>
      <w:tr w:rsidR="00014062" w:rsidRPr="00DE1AF3" w14:paraId="12E75799" w14:textId="77777777" w:rsidTr="009841B9">
        <w:trPr>
          <w:cantSplit/>
          <w:trHeight w:val="900"/>
          <w:jc w:val="center"/>
        </w:trPr>
        <w:tc>
          <w:tcPr>
            <w:tcW w:w="1136" w:type="dxa"/>
            <w:shd w:val="clear" w:color="auto" w:fill="auto"/>
            <w:vAlign w:val="center"/>
            <w:hideMark/>
          </w:tcPr>
          <w:p w14:paraId="1120BD66" w14:textId="77777777" w:rsidR="00014062" w:rsidRPr="00DE1AF3" w:rsidRDefault="00014062" w:rsidP="007B186C">
            <w:pPr>
              <w:pStyle w:val="TableText1"/>
              <w:rPr>
                <w:lang w:val="en-GB" w:eastAsia="en-GB"/>
              </w:rPr>
            </w:pPr>
            <w:r w:rsidRPr="00DE1AF3">
              <w:rPr>
                <w:lang w:val="en-GB" w:eastAsia="en-GB"/>
              </w:rPr>
              <w:t>INI865</w:t>
            </w:r>
          </w:p>
        </w:tc>
        <w:tc>
          <w:tcPr>
            <w:tcW w:w="3499" w:type="dxa"/>
            <w:shd w:val="clear" w:color="000000" w:fill="FFFFFF"/>
            <w:vAlign w:val="center"/>
            <w:hideMark/>
          </w:tcPr>
          <w:p w14:paraId="300EA8C1" w14:textId="77777777" w:rsidR="00014062" w:rsidRPr="00DE1AF3" w:rsidRDefault="00014062" w:rsidP="007B186C">
            <w:pPr>
              <w:pStyle w:val="TableText1"/>
              <w:rPr>
                <w:lang w:val="en-GB" w:eastAsia="en-GB"/>
              </w:rPr>
            </w:pPr>
            <w:r w:rsidRPr="00DE1AF3">
              <w:rPr>
                <w:lang w:val="en-GB" w:eastAsia="en-GB"/>
              </w:rPr>
              <w:t xml:space="preserve">Independent Mid Term Review </w:t>
            </w:r>
            <w:r>
              <w:rPr>
                <w:lang w:val="en-GB" w:eastAsia="en-GB"/>
              </w:rPr>
              <w:t xml:space="preserve">of the </w:t>
            </w:r>
            <w:r w:rsidRPr="00DE1AF3">
              <w:rPr>
                <w:lang w:val="en-GB" w:eastAsia="en-GB"/>
              </w:rPr>
              <w:t xml:space="preserve">Australian Community Rehabilitation Program Phase 3 </w:t>
            </w:r>
          </w:p>
        </w:tc>
        <w:tc>
          <w:tcPr>
            <w:tcW w:w="1276" w:type="dxa"/>
            <w:gridSpan w:val="2"/>
            <w:shd w:val="clear" w:color="000000" w:fill="FFFFFF"/>
            <w:noWrap/>
            <w:vAlign w:val="center"/>
            <w:hideMark/>
          </w:tcPr>
          <w:p w14:paraId="3D6CBE84" w14:textId="77777777" w:rsidR="00014062" w:rsidRPr="00DE1AF3" w:rsidRDefault="00014062" w:rsidP="007B186C">
            <w:pPr>
              <w:pStyle w:val="TableText1"/>
              <w:rPr>
                <w:lang w:val="en-GB" w:eastAsia="en-GB"/>
              </w:rPr>
            </w:pPr>
            <w:r w:rsidRPr="00DE1AF3">
              <w:rPr>
                <w:lang w:val="en-GB" w:eastAsia="en-GB"/>
              </w:rPr>
              <w:t>Sri Lanka</w:t>
            </w:r>
          </w:p>
        </w:tc>
        <w:tc>
          <w:tcPr>
            <w:tcW w:w="1464" w:type="dxa"/>
            <w:shd w:val="clear" w:color="auto" w:fill="auto"/>
            <w:vAlign w:val="center"/>
            <w:hideMark/>
          </w:tcPr>
          <w:p w14:paraId="0FD5B5F5" w14:textId="77777777" w:rsidR="00014062" w:rsidRPr="00DE1AF3" w:rsidRDefault="00014062" w:rsidP="007B186C">
            <w:pPr>
              <w:pStyle w:val="TableText1"/>
              <w:rPr>
                <w:lang w:val="en-GB" w:eastAsia="en-GB"/>
              </w:rPr>
            </w:pPr>
            <w:r w:rsidRPr="00DE1AF3">
              <w:rPr>
                <w:lang w:val="en-GB" w:eastAsia="en-GB"/>
              </w:rPr>
              <w:t>Humanitarian</w:t>
            </w:r>
            <w:r>
              <w:rPr>
                <w:lang w:val="en-GB" w:eastAsia="en-GB"/>
              </w:rPr>
              <w:t xml:space="preserve"> response</w:t>
            </w:r>
          </w:p>
        </w:tc>
        <w:tc>
          <w:tcPr>
            <w:tcW w:w="1513" w:type="dxa"/>
            <w:vAlign w:val="center"/>
          </w:tcPr>
          <w:p w14:paraId="1947B9C3" w14:textId="14353384" w:rsidR="00014062" w:rsidRPr="00DE1AF3" w:rsidRDefault="00014062" w:rsidP="007B186C">
            <w:pPr>
              <w:pStyle w:val="TableText1"/>
              <w:rPr>
                <w:lang w:val="en-GB" w:eastAsia="en-GB"/>
              </w:rPr>
            </w:pPr>
            <w:r w:rsidRPr="00CF0A8A">
              <w:rPr>
                <w:lang w:val="en-GB" w:eastAsia="en-GB"/>
              </w:rPr>
              <w:t>Yes</w:t>
            </w:r>
          </w:p>
        </w:tc>
        <w:tc>
          <w:tcPr>
            <w:tcW w:w="1181" w:type="dxa"/>
            <w:vAlign w:val="center"/>
          </w:tcPr>
          <w:p w14:paraId="14B22FFA" w14:textId="080DECF2" w:rsidR="00014062" w:rsidRPr="00DE1AF3" w:rsidRDefault="00014062" w:rsidP="007B186C">
            <w:pPr>
              <w:pStyle w:val="TableText1"/>
              <w:rPr>
                <w:lang w:val="en-GB" w:eastAsia="en-GB"/>
              </w:rPr>
            </w:pPr>
            <w:r w:rsidRPr="00DE1AF3">
              <w:rPr>
                <w:lang w:val="en-GB" w:eastAsia="en-GB"/>
              </w:rPr>
              <w:t>Yes</w:t>
            </w:r>
          </w:p>
        </w:tc>
      </w:tr>
      <w:tr w:rsidR="00014062" w:rsidRPr="00DE1AF3" w14:paraId="10253AE3" w14:textId="77777777" w:rsidTr="009841B9">
        <w:trPr>
          <w:cantSplit/>
          <w:trHeight w:val="900"/>
          <w:jc w:val="center"/>
        </w:trPr>
        <w:tc>
          <w:tcPr>
            <w:tcW w:w="1136" w:type="dxa"/>
            <w:shd w:val="clear" w:color="auto" w:fill="auto"/>
            <w:vAlign w:val="center"/>
            <w:hideMark/>
          </w:tcPr>
          <w:p w14:paraId="501850E3" w14:textId="77777777" w:rsidR="00014062" w:rsidRPr="00DE1AF3" w:rsidRDefault="00014062" w:rsidP="007B186C">
            <w:pPr>
              <w:pStyle w:val="TableText1"/>
              <w:rPr>
                <w:lang w:val="en-GB" w:eastAsia="en-GB"/>
              </w:rPr>
            </w:pPr>
            <w:r w:rsidRPr="00DE1AF3">
              <w:rPr>
                <w:lang w:val="en-GB" w:eastAsia="en-GB"/>
              </w:rPr>
              <w:t>INI903</w:t>
            </w:r>
          </w:p>
        </w:tc>
        <w:tc>
          <w:tcPr>
            <w:tcW w:w="3499" w:type="dxa"/>
            <w:shd w:val="clear" w:color="000000" w:fill="FFFFFF"/>
            <w:vAlign w:val="center"/>
            <w:hideMark/>
          </w:tcPr>
          <w:p w14:paraId="4FE3F92B" w14:textId="77777777" w:rsidR="00014062" w:rsidRPr="00DE1AF3" w:rsidRDefault="00014062" w:rsidP="007B186C">
            <w:pPr>
              <w:pStyle w:val="TableText1"/>
              <w:rPr>
                <w:lang w:val="en-GB" w:eastAsia="en-GB"/>
              </w:rPr>
            </w:pPr>
            <w:r w:rsidRPr="00DE1AF3">
              <w:rPr>
                <w:lang w:val="en-GB" w:eastAsia="en-GB"/>
              </w:rPr>
              <w:t>Independent Progress Review of the PNG–Australia Economic and Public Sector Program (EPSP)</w:t>
            </w:r>
          </w:p>
        </w:tc>
        <w:tc>
          <w:tcPr>
            <w:tcW w:w="1276" w:type="dxa"/>
            <w:gridSpan w:val="2"/>
            <w:shd w:val="clear" w:color="000000" w:fill="FFFFFF"/>
            <w:vAlign w:val="center"/>
            <w:hideMark/>
          </w:tcPr>
          <w:p w14:paraId="77DAC541" w14:textId="77777777" w:rsidR="00014062" w:rsidRPr="00DE1AF3" w:rsidRDefault="00014062" w:rsidP="007B186C">
            <w:pPr>
              <w:pStyle w:val="TableText1"/>
              <w:rPr>
                <w:lang w:val="en-GB" w:eastAsia="en-GB"/>
              </w:rPr>
            </w:pPr>
            <w:r>
              <w:rPr>
                <w:lang w:val="en-GB" w:eastAsia="en-GB"/>
              </w:rPr>
              <w:t>Papua New Guinea</w:t>
            </w:r>
          </w:p>
        </w:tc>
        <w:tc>
          <w:tcPr>
            <w:tcW w:w="1464" w:type="dxa"/>
            <w:shd w:val="clear" w:color="auto" w:fill="auto"/>
            <w:vAlign w:val="center"/>
            <w:hideMark/>
          </w:tcPr>
          <w:p w14:paraId="1ECE3844" w14:textId="77777777" w:rsidR="00014062" w:rsidRPr="00DE1AF3" w:rsidRDefault="00014062" w:rsidP="007B186C">
            <w:pPr>
              <w:pStyle w:val="TableText1"/>
              <w:rPr>
                <w:lang w:val="en-GB" w:eastAsia="en-GB"/>
              </w:rPr>
            </w:pPr>
            <w:r>
              <w:rPr>
                <w:lang w:val="en-GB" w:eastAsia="en-GB"/>
              </w:rPr>
              <w:t>Improved government</w:t>
            </w:r>
          </w:p>
        </w:tc>
        <w:tc>
          <w:tcPr>
            <w:tcW w:w="1513" w:type="dxa"/>
            <w:vAlign w:val="center"/>
          </w:tcPr>
          <w:p w14:paraId="078E6319" w14:textId="58060AD2" w:rsidR="00014062" w:rsidRPr="00DE1AF3" w:rsidRDefault="00014062" w:rsidP="007B186C">
            <w:pPr>
              <w:pStyle w:val="TableText1"/>
              <w:rPr>
                <w:lang w:val="en-GB" w:eastAsia="en-GB"/>
              </w:rPr>
            </w:pPr>
            <w:r w:rsidRPr="00CF0A8A">
              <w:rPr>
                <w:lang w:val="en-GB" w:eastAsia="en-GB"/>
              </w:rPr>
              <w:t>Yes</w:t>
            </w:r>
          </w:p>
        </w:tc>
        <w:tc>
          <w:tcPr>
            <w:tcW w:w="1181" w:type="dxa"/>
            <w:vAlign w:val="center"/>
          </w:tcPr>
          <w:p w14:paraId="68514086" w14:textId="6FAE2A01" w:rsidR="00014062" w:rsidRPr="00DE1AF3" w:rsidRDefault="00014062" w:rsidP="007B186C">
            <w:pPr>
              <w:pStyle w:val="TableText1"/>
              <w:rPr>
                <w:lang w:val="en-GB" w:eastAsia="en-GB"/>
              </w:rPr>
            </w:pPr>
            <w:r w:rsidRPr="00DE1AF3">
              <w:rPr>
                <w:lang w:val="en-GB" w:eastAsia="en-GB"/>
              </w:rPr>
              <w:t>No</w:t>
            </w:r>
          </w:p>
        </w:tc>
      </w:tr>
      <w:tr w:rsidR="00014062" w:rsidRPr="00DE1AF3" w14:paraId="70B97CB7" w14:textId="77777777" w:rsidTr="009841B9">
        <w:trPr>
          <w:cantSplit/>
          <w:trHeight w:val="900"/>
          <w:jc w:val="center"/>
        </w:trPr>
        <w:tc>
          <w:tcPr>
            <w:tcW w:w="1136" w:type="dxa"/>
            <w:shd w:val="clear" w:color="auto" w:fill="auto"/>
            <w:noWrap/>
            <w:vAlign w:val="center"/>
            <w:hideMark/>
          </w:tcPr>
          <w:p w14:paraId="7F50C0A5" w14:textId="77777777" w:rsidR="00014062" w:rsidRPr="00DE1AF3" w:rsidRDefault="00014062" w:rsidP="007B186C">
            <w:pPr>
              <w:pStyle w:val="TableText1"/>
              <w:rPr>
                <w:lang w:val="en-GB" w:eastAsia="en-GB"/>
              </w:rPr>
            </w:pPr>
            <w:r w:rsidRPr="00DE1AF3">
              <w:rPr>
                <w:lang w:val="en-GB" w:eastAsia="en-GB"/>
              </w:rPr>
              <w:t>INI941</w:t>
            </w:r>
          </w:p>
        </w:tc>
        <w:tc>
          <w:tcPr>
            <w:tcW w:w="3499" w:type="dxa"/>
            <w:shd w:val="clear" w:color="000000" w:fill="FFFFFF"/>
            <w:vAlign w:val="center"/>
            <w:hideMark/>
          </w:tcPr>
          <w:p w14:paraId="57FB8442" w14:textId="77777777" w:rsidR="00014062" w:rsidRPr="00DE1AF3" w:rsidRDefault="00014062" w:rsidP="007B186C">
            <w:pPr>
              <w:pStyle w:val="TableText1"/>
              <w:rPr>
                <w:lang w:val="en-GB" w:eastAsia="en-GB"/>
              </w:rPr>
            </w:pPr>
            <w:r w:rsidRPr="00DE1AF3">
              <w:rPr>
                <w:lang w:val="en-GB" w:eastAsia="en-GB"/>
              </w:rPr>
              <w:t>Mid Term Review of AusAID NGO Cooperation Program Partnership Agreements</w:t>
            </w:r>
          </w:p>
        </w:tc>
        <w:tc>
          <w:tcPr>
            <w:tcW w:w="1276" w:type="dxa"/>
            <w:gridSpan w:val="2"/>
            <w:shd w:val="clear" w:color="000000" w:fill="FFFFFF"/>
            <w:noWrap/>
            <w:vAlign w:val="center"/>
            <w:hideMark/>
          </w:tcPr>
          <w:p w14:paraId="670DBDA7" w14:textId="77777777" w:rsidR="00014062" w:rsidRPr="00DE1AF3" w:rsidRDefault="00014062" w:rsidP="007B186C">
            <w:pPr>
              <w:pStyle w:val="TableText1"/>
              <w:rPr>
                <w:lang w:val="en-GB" w:eastAsia="en-GB"/>
              </w:rPr>
            </w:pPr>
            <w:r w:rsidRPr="00DE1AF3">
              <w:rPr>
                <w:lang w:val="en-GB" w:eastAsia="en-GB"/>
              </w:rPr>
              <w:t>Multicountry</w:t>
            </w:r>
          </w:p>
        </w:tc>
        <w:tc>
          <w:tcPr>
            <w:tcW w:w="1464" w:type="dxa"/>
            <w:shd w:val="clear" w:color="auto" w:fill="auto"/>
            <w:vAlign w:val="center"/>
            <w:hideMark/>
          </w:tcPr>
          <w:p w14:paraId="15319C2B" w14:textId="77777777" w:rsidR="00014062" w:rsidRPr="00DE1AF3" w:rsidRDefault="00014062" w:rsidP="007B186C">
            <w:pPr>
              <w:pStyle w:val="TableText1"/>
              <w:rPr>
                <w:lang w:val="en-GB" w:eastAsia="en-GB"/>
              </w:rPr>
            </w:pPr>
            <w:r>
              <w:rPr>
                <w:lang w:val="en-GB" w:eastAsia="en-GB"/>
              </w:rPr>
              <w:t>Human rights</w:t>
            </w:r>
          </w:p>
        </w:tc>
        <w:tc>
          <w:tcPr>
            <w:tcW w:w="1513" w:type="dxa"/>
            <w:vAlign w:val="center"/>
          </w:tcPr>
          <w:p w14:paraId="4EF281B4" w14:textId="7AD9F925" w:rsidR="00014062" w:rsidRPr="00DE1AF3" w:rsidRDefault="00014062" w:rsidP="007B186C">
            <w:pPr>
              <w:pStyle w:val="TableText1"/>
              <w:rPr>
                <w:lang w:val="en-GB" w:eastAsia="en-GB"/>
              </w:rPr>
            </w:pPr>
            <w:r w:rsidRPr="00CF0A8A">
              <w:rPr>
                <w:lang w:val="en-GB" w:eastAsia="en-GB"/>
              </w:rPr>
              <w:t>Yes</w:t>
            </w:r>
          </w:p>
        </w:tc>
        <w:tc>
          <w:tcPr>
            <w:tcW w:w="1181" w:type="dxa"/>
            <w:vAlign w:val="center"/>
          </w:tcPr>
          <w:p w14:paraId="2B40D1B3" w14:textId="7C7C7DC9" w:rsidR="00014062" w:rsidRPr="00DE1AF3" w:rsidRDefault="00014062" w:rsidP="007B186C">
            <w:pPr>
              <w:pStyle w:val="TableText1"/>
              <w:rPr>
                <w:lang w:val="en-GB" w:eastAsia="en-GB"/>
              </w:rPr>
            </w:pPr>
            <w:r w:rsidRPr="00DE1AF3">
              <w:rPr>
                <w:lang w:val="en-GB" w:eastAsia="en-GB"/>
              </w:rPr>
              <w:t>Yes</w:t>
            </w:r>
          </w:p>
        </w:tc>
      </w:tr>
      <w:tr w:rsidR="00014062" w:rsidRPr="00DE1AF3" w14:paraId="53664A36" w14:textId="77777777" w:rsidTr="009841B9">
        <w:trPr>
          <w:cantSplit/>
          <w:trHeight w:val="900"/>
          <w:jc w:val="center"/>
        </w:trPr>
        <w:tc>
          <w:tcPr>
            <w:tcW w:w="1136" w:type="dxa"/>
            <w:shd w:val="clear" w:color="auto" w:fill="auto"/>
            <w:vAlign w:val="center"/>
            <w:hideMark/>
          </w:tcPr>
          <w:p w14:paraId="16F27DA2" w14:textId="77777777" w:rsidR="00014062" w:rsidRPr="00DE1AF3" w:rsidRDefault="00014062" w:rsidP="007B186C">
            <w:pPr>
              <w:pStyle w:val="TableText1"/>
              <w:rPr>
                <w:lang w:val="en-GB" w:eastAsia="en-GB"/>
              </w:rPr>
            </w:pPr>
            <w:r w:rsidRPr="00DE1AF3">
              <w:rPr>
                <w:lang w:val="en-GB" w:eastAsia="en-GB"/>
              </w:rPr>
              <w:t>INJ052</w:t>
            </w:r>
          </w:p>
        </w:tc>
        <w:tc>
          <w:tcPr>
            <w:tcW w:w="3499" w:type="dxa"/>
            <w:shd w:val="clear" w:color="000000" w:fill="FFFFFF"/>
            <w:vAlign w:val="center"/>
            <w:hideMark/>
          </w:tcPr>
          <w:p w14:paraId="6FCA5AC8" w14:textId="77777777" w:rsidR="00014062" w:rsidRPr="00DE1AF3" w:rsidRDefault="00014062" w:rsidP="007B186C">
            <w:pPr>
              <w:pStyle w:val="TableText1"/>
              <w:rPr>
                <w:lang w:val="en-GB" w:eastAsia="en-GB"/>
              </w:rPr>
            </w:pPr>
            <w:r w:rsidRPr="00DE1AF3">
              <w:rPr>
                <w:lang w:val="en-GB" w:eastAsia="en-GB"/>
              </w:rPr>
              <w:t>Independent Review of the Tonga Sector Consolidation Project (TSCP)</w:t>
            </w:r>
          </w:p>
        </w:tc>
        <w:tc>
          <w:tcPr>
            <w:tcW w:w="1276" w:type="dxa"/>
            <w:gridSpan w:val="2"/>
            <w:shd w:val="clear" w:color="000000" w:fill="FFFFFF"/>
            <w:noWrap/>
            <w:vAlign w:val="center"/>
            <w:hideMark/>
          </w:tcPr>
          <w:p w14:paraId="4109ADEE" w14:textId="77777777" w:rsidR="00014062" w:rsidRPr="00DE1AF3" w:rsidRDefault="00014062" w:rsidP="007B186C">
            <w:pPr>
              <w:pStyle w:val="TableText1"/>
              <w:rPr>
                <w:lang w:val="en-GB" w:eastAsia="en-GB"/>
              </w:rPr>
            </w:pPr>
            <w:r w:rsidRPr="00DE1AF3">
              <w:rPr>
                <w:lang w:val="en-GB" w:eastAsia="en-GB"/>
              </w:rPr>
              <w:t>Tonga</w:t>
            </w:r>
          </w:p>
        </w:tc>
        <w:tc>
          <w:tcPr>
            <w:tcW w:w="1464" w:type="dxa"/>
            <w:shd w:val="clear" w:color="auto" w:fill="auto"/>
            <w:vAlign w:val="center"/>
            <w:hideMark/>
          </w:tcPr>
          <w:p w14:paraId="2B62664B" w14:textId="77777777" w:rsidR="00014062" w:rsidRPr="00DE1AF3" w:rsidRDefault="00014062" w:rsidP="007B186C">
            <w:pPr>
              <w:pStyle w:val="TableText1"/>
              <w:rPr>
                <w:lang w:val="en-GB" w:eastAsia="en-GB"/>
              </w:rPr>
            </w:pPr>
            <w:r w:rsidRPr="00DE1AF3">
              <w:rPr>
                <w:lang w:val="en-GB" w:eastAsia="en-GB"/>
              </w:rPr>
              <w:t>Infrastructure</w:t>
            </w:r>
          </w:p>
        </w:tc>
        <w:tc>
          <w:tcPr>
            <w:tcW w:w="1513" w:type="dxa"/>
            <w:vAlign w:val="center"/>
          </w:tcPr>
          <w:p w14:paraId="266C9A24" w14:textId="1737FF00" w:rsidR="00014062" w:rsidRPr="00DE1AF3" w:rsidRDefault="00014062" w:rsidP="007B186C">
            <w:pPr>
              <w:pStyle w:val="TableText1"/>
              <w:rPr>
                <w:lang w:val="en-GB" w:eastAsia="en-GB"/>
              </w:rPr>
            </w:pPr>
            <w:r w:rsidRPr="00CF0A8A">
              <w:rPr>
                <w:lang w:val="en-GB" w:eastAsia="en-GB"/>
              </w:rPr>
              <w:t>Yes</w:t>
            </w:r>
          </w:p>
        </w:tc>
        <w:tc>
          <w:tcPr>
            <w:tcW w:w="1181" w:type="dxa"/>
            <w:vAlign w:val="center"/>
          </w:tcPr>
          <w:p w14:paraId="78FB151F" w14:textId="4866AFA1" w:rsidR="00014062" w:rsidRPr="00DE1AF3" w:rsidRDefault="00014062" w:rsidP="007B186C">
            <w:pPr>
              <w:pStyle w:val="TableText1"/>
              <w:rPr>
                <w:lang w:val="en-GB" w:eastAsia="en-GB"/>
              </w:rPr>
            </w:pPr>
            <w:r w:rsidRPr="00DE1AF3">
              <w:rPr>
                <w:lang w:val="en-GB" w:eastAsia="en-GB"/>
              </w:rPr>
              <w:t>No</w:t>
            </w:r>
          </w:p>
        </w:tc>
      </w:tr>
      <w:tr w:rsidR="00014062" w:rsidRPr="00DE1AF3" w14:paraId="2C57647F" w14:textId="77777777" w:rsidTr="009841B9">
        <w:trPr>
          <w:cantSplit/>
          <w:trHeight w:val="900"/>
          <w:jc w:val="center"/>
        </w:trPr>
        <w:tc>
          <w:tcPr>
            <w:tcW w:w="1136" w:type="dxa"/>
            <w:shd w:val="clear" w:color="auto" w:fill="auto"/>
            <w:noWrap/>
            <w:vAlign w:val="center"/>
            <w:hideMark/>
          </w:tcPr>
          <w:p w14:paraId="1639CE84" w14:textId="77777777" w:rsidR="00014062" w:rsidRPr="00DE1AF3" w:rsidRDefault="00014062" w:rsidP="007B186C">
            <w:pPr>
              <w:pStyle w:val="TableText1"/>
              <w:rPr>
                <w:lang w:val="en-GB" w:eastAsia="en-GB"/>
              </w:rPr>
            </w:pPr>
            <w:r w:rsidRPr="00DE1AF3">
              <w:rPr>
                <w:lang w:val="en-GB" w:eastAsia="en-GB"/>
              </w:rPr>
              <w:t>INJ124</w:t>
            </w:r>
          </w:p>
        </w:tc>
        <w:tc>
          <w:tcPr>
            <w:tcW w:w="3499" w:type="dxa"/>
            <w:shd w:val="clear" w:color="000000" w:fill="FFFFFF"/>
            <w:vAlign w:val="center"/>
            <w:hideMark/>
          </w:tcPr>
          <w:p w14:paraId="42B449B6" w14:textId="77777777" w:rsidR="00014062" w:rsidRPr="00DE1AF3" w:rsidRDefault="00014062" w:rsidP="007B186C">
            <w:pPr>
              <w:pStyle w:val="TableText1"/>
              <w:rPr>
                <w:lang w:val="en-GB" w:eastAsia="en-GB"/>
              </w:rPr>
            </w:pPr>
            <w:r>
              <w:rPr>
                <w:lang w:val="en-GB" w:eastAsia="en-GB"/>
              </w:rPr>
              <w:t xml:space="preserve">Independent Completion Report for the </w:t>
            </w:r>
            <w:r w:rsidRPr="00DE1AF3">
              <w:rPr>
                <w:lang w:val="en-GB" w:eastAsia="en-GB"/>
              </w:rPr>
              <w:t>Padang Pariaman Health Facility Reconstruction Program</w:t>
            </w:r>
          </w:p>
        </w:tc>
        <w:tc>
          <w:tcPr>
            <w:tcW w:w="1276" w:type="dxa"/>
            <w:gridSpan w:val="2"/>
            <w:shd w:val="clear" w:color="000000" w:fill="FFFFFF"/>
            <w:noWrap/>
            <w:vAlign w:val="center"/>
            <w:hideMark/>
          </w:tcPr>
          <w:p w14:paraId="197CA7F5" w14:textId="77777777" w:rsidR="00014062" w:rsidRPr="00DE1AF3" w:rsidRDefault="00014062" w:rsidP="007B186C">
            <w:pPr>
              <w:pStyle w:val="TableText1"/>
              <w:rPr>
                <w:lang w:val="en-GB" w:eastAsia="en-GB"/>
              </w:rPr>
            </w:pPr>
            <w:r w:rsidRPr="00DE1AF3">
              <w:rPr>
                <w:lang w:val="en-GB" w:eastAsia="en-GB"/>
              </w:rPr>
              <w:t>Indonesia</w:t>
            </w:r>
          </w:p>
        </w:tc>
        <w:tc>
          <w:tcPr>
            <w:tcW w:w="1464" w:type="dxa"/>
            <w:shd w:val="clear" w:color="auto" w:fill="auto"/>
            <w:vAlign w:val="center"/>
            <w:hideMark/>
          </w:tcPr>
          <w:p w14:paraId="5E441780" w14:textId="77777777" w:rsidR="00014062" w:rsidRPr="00DE1AF3" w:rsidRDefault="00014062" w:rsidP="007B186C">
            <w:pPr>
              <w:pStyle w:val="TableText1"/>
              <w:rPr>
                <w:lang w:val="en-GB" w:eastAsia="en-GB"/>
              </w:rPr>
            </w:pPr>
            <w:r w:rsidRPr="00DE1AF3">
              <w:rPr>
                <w:lang w:val="en-GB" w:eastAsia="en-GB"/>
              </w:rPr>
              <w:t>Health</w:t>
            </w:r>
          </w:p>
        </w:tc>
        <w:tc>
          <w:tcPr>
            <w:tcW w:w="1513" w:type="dxa"/>
            <w:vAlign w:val="center"/>
          </w:tcPr>
          <w:p w14:paraId="641B4321" w14:textId="5A3E4E88" w:rsidR="00014062" w:rsidRPr="00DE1AF3" w:rsidRDefault="00014062" w:rsidP="007B186C">
            <w:pPr>
              <w:pStyle w:val="TableText1"/>
              <w:rPr>
                <w:lang w:val="en-GB" w:eastAsia="en-GB"/>
              </w:rPr>
            </w:pPr>
            <w:r w:rsidRPr="00CF0A8A">
              <w:rPr>
                <w:lang w:val="en-GB" w:eastAsia="en-GB"/>
              </w:rPr>
              <w:t>Yes</w:t>
            </w:r>
          </w:p>
        </w:tc>
        <w:tc>
          <w:tcPr>
            <w:tcW w:w="1181" w:type="dxa"/>
            <w:vAlign w:val="center"/>
          </w:tcPr>
          <w:p w14:paraId="75467DDC" w14:textId="2F622B13" w:rsidR="00014062" w:rsidRPr="00DE1AF3" w:rsidRDefault="00014062" w:rsidP="007B186C">
            <w:pPr>
              <w:pStyle w:val="TableText1"/>
              <w:rPr>
                <w:lang w:val="en-GB" w:eastAsia="en-GB"/>
              </w:rPr>
            </w:pPr>
            <w:r w:rsidRPr="00DE1AF3">
              <w:rPr>
                <w:lang w:val="en-GB" w:eastAsia="en-GB"/>
              </w:rPr>
              <w:t>Yes</w:t>
            </w:r>
          </w:p>
        </w:tc>
      </w:tr>
      <w:tr w:rsidR="00014062" w:rsidRPr="00DE1AF3" w14:paraId="178B4B53" w14:textId="77777777" w:rsidTr="009841B9">
        <w:trPr>
          <w:cantSplit/>
          <w:trHeight w:val="900"/>
          <w:jc w:val="center"/>
        </w:trPr>
        <w:tc>
          <w:tcPr>
            <w:tcW w:w="1136" w:type="dxa"/>
            <w:shd w:val="clear" w:color="auto" w:fill="auto"/>
            <w:vAlign w:val="center"/>
            <w:hideMark/>
          </w:tcPr>
          <w:p w14:paraId="2FB7347A" w14:textId="77777777" w:rsidR="00014062" w:rsidRPr="00DE1AF3" w:rsidRDefault="00014062" w:rsidP="007B186C">
            <w:pPr>
              <w:pStyle w:val="TableText1"/>
              <w:rPr>
                <w:lang w:val="en-GB" w:eastAsia="en-GB"/>
              </w:rPr>
            </w:pPr>
            <w:r w:rsidRPr="00DE1AF3">
              <w:rPr>
                <w:lang w:val="en-GB" w:eastAsia="en-GB"/>
              </w:rPr>
              <w:t>INJ135</w:t>
            </w:r>
          </w:p>
        </w:tc>
        <w:tc>
          <w:tcPr>
            <w:tcW w:w="3499" w:type="dxa"/>
            <w:shd w:val="clear" w:color="000000" w:fill="FFFFFF"/>
            <w:vAlign w:val="center"/>
            <w:hideMark/>
          </w:tcPr>
          <w:p w14:paraId="22650C15" w14:textId="77777777" w:rsidR="00014062" w:rsidRPr="00DE1AF3" w:rsidRDefault="00014062" w:rsidP="007B186C">
            <w:pPr>
              <w:pStyle w:val="TableText1"/>
              <w:rPr>
                <w:lang w:val="en-GB" w:eastAsia="en-GB"/>
              </w:rPr>
            </w:pPr>
            <w:r w:rsidRPr="00DE1AF3">
              <w:rPr>
                <w:lang w:val="en-GB" w:eastAsia="en-GB"/>
              </w:rPr>
              <w:t xml:space="preserve">Interim Review </w:t>
            </w:r>
            <w:r>
              <w:rPr>
                <w:lang w:val="en-GB" w:eastAsia="en-GB"/>
              </w:rPr>
              <w:t xml:space="preserve">of the </w:t>
            </w:r>
            <w:r w:rsidRPr="00DE1AF3">
              <w:rPr>
                <w:lang w:val="en-GB" w:eastAsia="en-GB"/>
              </w:rPr>
              <w:t xml:space="preserve">Livelihoods and Food Security Trust Fund </w:t>
            </w:r>
          </w:p>
        </w:tc>
        <w:tc>
          <w:tcPr>
            <w:tcW w:w="1276" w:type="dxa"/>
            <w:gridSpan w:val="2"/>
            <w:shd w:val="clear" w:color="000000" w:fill="FFFFFF"/>
            <w:vAlign w:val="center"/>
            <w:hideMark/>
          </w:tcPr>
          <w:p w14:paraId="198D3A5A" w14:textId="77777777" w:rsidR="00014062" w:rsidRPr="00DE1AF3" w:rsidRDefault="00014062" w:rsidP="007B186C">
            <w:pPr>
              <w:pStyle w:val="TableText1"/>
              <w:rPr>
                <w:lang w:val="en-GB" w:eastAsia="en-GB"/>
              </w:rPr>
            </w:pPr>
            <w:r w:rsidRPr="00DE1AF3">
              <w:rPr>
                <w:lang w:val="en-GB" w:eastAsia="en-GB"/>
              </w:rPr>
              <w:t>Myanmar</w:t>
            </w:r>
          </w:p>
        </w:tc>
        <w:tc>
          <w:tcPr>
            <w:tcW w:w="1464" w:type="dxa"/>
            <w:shd w:val="clear" w:color="auto" w:fill="auto"/>
            <w:vAlign w:val="center"/>
            <w:hideMark/>
          </w:tcPr>
          <w:p w14:paraId="5A04556D" w14:textId="77777777" w:rsidR="00014062" w:rsidRPr="00DE1AF3" w:rsidRDefault="00014062" w:rsidP="007B186C">
            <w:pPr>
              <w:pStyle w:val="TableText1"/>
              <w:rPr>
                <w:lang w:val="en-GB" w:eastAsia="en-GB"/>
              </w:rPr>
            </w:pPr>
            <w:r w:rsidRPr="00DE1AF3">
              <w:rPr>
                <w:lang w:val="en-GB" w:eastAsia="en-GB"/>
              </w:rPr>
              <w:t>Rural development and food security</w:t>
            </w:r>
          </w:p>
        </w:tc>
        <w:tc>
          <w:tcPr>
            <w:tcW w:w="1513" w:type="dxa"/>
            <w:vAlign w:val="center"/>
          </w:tcPr>
          <w:p w14:paraId="4DC05860" w14:textId="2357A5B4" w:rsidR="00014062" w:rsidRPr="00DE1AF3" w:rsidRDefault="00014062" w:rsidP="007B186C">
            <w:pPr>
              <w:pStyle w:val="TableText1"/>
              <w:rPr>
                <w:lang w:val="en-GB" w:eastAsia="en-GB"/>
              </w:rPr>
            </w:pPr>
            <w:r w:rsidRPr="00CF0A8A">
              <w:rPr>
                <w:lang w:val="en-GB" w:eastAsia="en-GB"/>
              </w:rPr>
              <w:t>Yes</w:t>
            </w:r>
          </w:p>
        </w:tc>
        <w:tc>
          <w:tcPr>
            <w:tcW w:w="1181" w:type="dxa"/>
            <w:vAlign w:val="center"/>
          </w:tcPr>
          <w:p w14:paraId="734E226B" w14:textId="04EB30EB" w:rsidR="00014062" w:rsidRPr="00DE1AF3" w:rsidRDefault="00014062" w:rsidP="007B186C">
            <w:pPr>
              <w:pStyle w:val="TableText1"/>
              <w:rPr>
                <w:lang w:val="en-GB" w:eastAsia="en-GB"/>
              </w:rPr>
            </w:pPr>
            <w:r w:rsidRPr="00DE1AF3">
              <w:rPr>
                <w:lang w:val="en-GB" w:eastAsia="en-GB"/>
              </w:rPr>
              <w:t>Yes</w:t>
            </w:r>
          </w:p>
        </w:tc>
      </w:tr>
      <w:tr w:rsidR="00014062" w:rsidRPr="00DE1AF3" w14:paraId="5B629E07" w14:textId="77777777" w:rsidTr="009841B9">
        <w:trPr>
          <w:cantSplit/>
          <w:trHeight w:val="900"/>
          <w:jc w:val="center"/>
        </w:trPr>
        <w:tc>
          <w:tcPr>
            <w:tcW w:w="1136" w:type="dxa"/>
            <w:shd w:val="clear" w:color="auto" w:fill="auto"/>
            <w:vAlign w:val="center"/>
            <w:hideMark/>
          </w:tcPr>
          <w:p w14:paraId="55D56A92" w14:textId="77777777" w:rsidR="00014062" w:rsidRPr="00DE1AF3" w:rsidRDefault="00014062" w:rsidP="007B186C">
            <w:pPr>
              <w:pStyle w:val="TableText1"/>
              <w:rPr>
                <w:lang w:val="en-GB" w:eastAsia="en-GB"/>
              </w:rPr>
            </w:pPr>
            <w:r w:rsidRPr="00DE1AF3">
              <w:rPr>
                <w:lang w:val="en-GB" w:eastAsia="en-GB"/>
              </w:rPr>
              <w:t>INJ152</w:t>
            </w:r>
          </w:p>
        </w:tc>
        <w:tc>
          <w:tcPr>
            <w:tcW w:w="3499" w:type="dxa"/>
            <w:shd w:val="clear" w:color="000000" w:fill="FFFFFF"/>
            <w:vAlign w:val="center"/>
            <w:hideMark/>
          </w:tcPr>
          <w:p w14:paraId="77663E73" w14:textId="77777777" w:rsidR="00014062" w:rsidRPr="00DE1AF3" w:rsidRDefault="00014062" w:rsidP="007B186C">
            <w:pPr>
              <w:pStyle w:val="TableText1"/>
              <w:rPr>
                <w:lang w:val="en-GB" w:eastAsia="en-GB"/>
              </w:rPr>
            </w:pPr>
            <w:r>
              <w:rPr>
                <w:lang w:val="en-GB" w:eastAsia="en-GB"/>
              </w:rPr>
              <w:t xml:space="preserve">Independent Progress Report for </w:t>
            </w:r>
            <w:r w:rsidRPr="00DE1AF3">
              <w:rPr>
                <w:lang w:val="en-GB" w:eastAsia="en-GB"/>
              </w:rPr>
              <w:t>Solomon Islands Clean Water &amp; Sanitation Program</w:t>
            </w:r>
          </w:p>
        </w:tc>
        <w:tc>
          <w:tcPr>
            <w:tcW w:w="1276" w:type="dxa"/>
            <w:gridSpan w:val="2"/>
            <w:shd w:val="clear" w:color="000000" w:fill="FFFFFF"/>
            <w:noWrap/>
            <w:vAlign w:val="center"/>
            <w:hideMark/>
          </w:tcPr>
          <w:p w14:paraId="2876B2B2" w14:textId="77777777" w:rsidR="00014062" w:rsidRPr="00DE1AF3" w:rsidRDefault="00014062" w:rsidP="007B186C">
            <w:pPr>
              <w:pStyle w:val="TableText1"/>
              <w:rPr>
                <w:lang w:val="en-GB" w:eastAsia="en-GB"/>
              </w:rPr>
            </w:pPr>
            <w:r w:rsidRPr="00DE1AF3">
              <w:rPr>
                <w:lang w:val="en-GB" w:eastAsia="en-GB"/>
              </w:rPr>
              <w:t>Solomon Islands</w:t>
            </w:r>
          </w:p>
        </w:tc>
        <w:tc>
          <w:tcPr>
            <w:tcW w:w="1464" w:type="dxa"/>
            <w:shd w:val="clear" w:color="auto" w:fill="auto"/>
            <w:vAlign w:val="center"/>
            <w:hideMark/>
          </w:tcPr>
          <w:p w14:paraId="6CB2264F" w14:textId="77777777" w:rsidR="00014062" w:rsidRPr="00DE1AF3" w:rsidRDefault="00014062" w:rsidP="007B186C">
            <w:pPr>
              <w:pStyle w:val="TableText1"/>
              <w:rPr>
                <w:lang w:val="en-GB" w:eastAsia="en-GB"/>
              </w:rPr>
            </w:pPr>
            <w:r w:rsidRPr="00DE1AF3">
              <w:rPr>
                <w:lang w:val="en-GB" w:eastAsia="en-GB"/>
              </w:rPr>
              <w:t>Water and sanitation</w:t>
            </w:r>
          </w:p>
        </w:tc>
        <w:tc>
          <w:tcPr>
            <w:tcW w:w="1513" w:type="dxa"/>
            <w:vAlign w:val="center"/>
          </w:tcPr>
          <w:p w14:paraId="32C16FDD" w14:textId="747CAC40" w:rsidR="00014062" w:rsidRPr="00DE1AF3" w:rsidRDefault="00014062" w:rsidP="007B186C">
            <w:pPr>
              <w:pStyle w:val="TableText1"/>
              <w:rPr>
                <w:lang w:val="en-GB" w:eastAsia="en-GB"/>
              </w:rPr>
            </w:pPr>
            <w:r w:rsidRPr="00CF0A8A">
              <w:rPr>
                <w:lang w:val="en-GB" w:eastAsia="en-GB"/>
              </w:rPr>
              <w:t>Yes</w:t>
            </w:r>
          </w:p>
        </w:tc>
        <w:tc>
          <w:tcPr>
            <w:tcW w:w="1181" w:type="dxa"/>
            <w:vAlign w:val="center"/>
          </w:tcPr>
          <w:p w14:paraId="0974A821" w14:textId="670B2CC5" w:rsidR="00014062" w:rsidRPr="00DE1AF3" w:rsidRDefault="00014062" w:rsidP="007B186C">
            <w:pPr>
              <w:pStyle w:val="TableText1"/>
              <w:rPr>
                <w:lang w:val="en-GB" w:eastAsia="en-GB"/>
              </w:rPr>
            </w:pPr>
            <w:r w:rsidRPr="00DE1AF3">
              <w:rPr>
                <w:lang w:val="en-GB" w:eastAsia="en-GB"/>
              </w:rPr>
              <w:t>No</w:t>
            </w:r>
          </w:p>
        </w:tc>
      </w:tr>
    </w:tbl>
    <w:p w14:paraId="318812BA" w14:textId="77777777" w:rsidR="00014062" w:rsidRDefault="00014062" w:rsidP="007B186C">
      <w:pPr>
        <w:spacing w:before="57" w:after="142"/>
      </w:pPr>
    </w:p>
    <w:tbl>
      <w:tblPr>
        <w:tblW w:w="10023" w:type="dxa"/>
        <w:tblInd w:w="-320" w:type="dxa"/>
        <w:tblBorders>
          <w:top w:val="single" w:sz="4" w:space="0" w:color="31849B"/>
          <w:bottom w:val="single" w:sz="4" w:space="0" w:color="31849B"/>
          <w:insideH w:val="single" w:sz="4" w:space="0" w:color="31849B"/>
        </w:tblBorders>
        <w:tblLayout w:type="fixed"/>
        <w:tblLook w:val="04A0" w:firstRow="1" w:lastRow="0" w:firstColumn="1" w:lastColumn="0" w:noHBand="0" w:noVBand="1"/>
      </w:tblPr>
      <w:tblGrid>
        <w:gridCol w:w="1136"/>
        <w:gridCol w:w="3545"/>
        <w:gridCol w:w="1134"/>
        <w:gridCol w:w="1559"/>
        <w:gridCol w:w="1418"/>
        <w:gridCol w:w="28"/>
        <w:gridCol w:w="1106"/>
        <w:gridCol w:w="97"/>
      </w:tblGrid>
      <w:tr w:rsidR="00196528" w:rsidRPr="001C2D74" w14:paraId="7695C685" w14:textId="77777777" w:rsidTr="007B56B7">
        <w:trPr>
          <w:cantSplit/>
          <w:trHeight w:val="795"/>
        </w:trPr>
        <w:tc>
          <w:tcPr>
            <w:tcW w:w="1136" w:type="dxa"/>
            <w:tcBorders>
              <w:bottom w:val="single" w:sz="4" w:space="0" w:color="31849B"/>
            </w:tcBorders>
            <w:shd w:val="clear" w:color="auto" w:fill="007FAD"/>
            <w:vAlign w:val="center"/>
            <w:hideMark/>
          </w:tcPr>
          <w:p w14:paraId="6B47A167" w14:textId="77777777" w:rsidR="00196528" w:rsidRPr="00315553" w:rsidRDefault="00196528" w:rsidP="00196528">
            <w:pPr>
              <w:pStyle w:val="TableHeading21"/>
              <w:rPr>
                <w:i w:val="0"/>
                <w:lang w:val="en-GB" w:eastAsia="en-GB"/>
              </w:rPr>
            </w:pPr>
            <w:r w:rsidRPr="00315553">
              <w:rPr>
                <w:i w:val="0"/>
                <w:lang w:val="en-GB" w:eastAsia="en-GB"/>
              </w:rPr>
              <w:t xml:space="preserve">Initiative </w:t>
            </w:r>
            <w:r>
              <w:rPr>
                <w:i w:val="0"/>
                <w:lang w:val="en-GB" w:eastAsia="en-GB"/>
              </w:rPr>
              <w:t>number</w:t>
            </w:r>
          </w:p>
        </w:tc>
        <w:tc>
          <w:tcPr>
            <w:tcW w:w="3545" w:type="dxa"/>
            <w:tcBorders>
              <w:bottom w:val="single" w:sz="4" w:space="0" w:color="31849B"/>
            </w:tcBorders>
            <w:shd w:val="clear" w:color="auto" w:fill="007FAD"/>
            <w:vAlign w:val="center"/>
            <w:hideMark/>
          </w:tcPr>
          <w:p w14:paraId="3607C9EE" w14:textId="77777777" w:rsidR="00196528" w:rsidRPr="00315553" w:rsidRDefault="00196528" w:rsidP="00196528">
            <w:pPr>
              <w:pStyle w:val="TableHeading21"/>
              <w:rPr>
                <w:i w:val="0"/>
                <w:lang w:val="en-GB" w:eastAsia="en-GB"/>
              </w:rPr>
            </w:pPr>
            <w:r w:rsidRPr="00315553">
              <w:rPr>
                <w:i w:val="0"/>
                <w:lang w:val="en-GB" w:eastAsia="en-GB"/>
              </w:rPr>
              <w:t>Evaluation title</w:t>
            </w:r>
          </w:p>
        </w:tc>
        <w:tc>
          <w:tcPr>
            <w:tcW w:w="1134" w:type="dxa"/>
            <w:tcBorders>
              <w:bottom w:val="single" w:sz="4" w:space="0" w:color="31849B"/>
            </w:tcBorders>
            <w:shd w:val="clear" w:color="auto" w:fill="007FAD"/>
            <w:vAlign w:val="center"/>
            <w:hideMark/>
          </w:tcPr>
          <w:p w14:paraId="63DA7D4F" w14:textId="77777777" w:rsidR="00196528" w:rsidRPr="00315553" w:rsidRDefault="00196528" w:rsidP="00196528">
            <w:pPr>
              <w:pStyle w:val="TableHeading21"/>
              <w:rPr>
                <w:i w:val="0"/>
                <w:lang w:val="en-GB" w:eastAsia="en-GB"/>
              </w:rPr>
            </w:pPr>
            <w:r w:rsidRPr="00315553">
              <w:rPr>
                <w:i w:val="0"/>
                <w:lang w:val="en-GB" w:eastAsia="en-GB"/>
              </w:rPr>
              <w:t>Country</w:t>
            </w:r>
          </w:p>
        </w:tc>
        <w:tc>
          <w:tcPr>
            <w:tcW w:w="1559" w:type="dxa"/>
            <w:tcBorders>
              <w:bottom w:val="single" w:sz="4" w:space="0" w:color="31849B"/>
            </w:tcBorders>
            <w:shd w:val="clear" w:color="auto" w:fill="007FAD"/>
            <w:vAlign w:val="center"/>
            <w:hideMark/>
          </w:tcPr>
          <w:p w14:paraId="50063556" w14:textId="77777777" w:rsidR="00196528" w:rsidRPr="00315553" w:rsidRDefault="00196528" w:rsidP="00196528">
            <w:pPr>
              <w:pStyle w:val="TableHeading21"/>
              <w:rPr>
                <w:i w:val="0"/>
                <w:lang w:val="en-GB" w:eastAsia="en-GB"/>
              </w:rPr>
            </w:pPr>
            <w:r w:rsidRPr="00315553">
              <w:rPr>
                <w:i w:val="0"/>
                <w:lang w:val="en-GB" w:eastAsia="en-GB"/>
              </w:rPr>
              <w:t>Primary sector</w:t>
            </w:r>
          </w:p>
        </w:tc>
        <w:tc>
          <w:tcPr>
            <w:tcW w:w="1446" w:type="dxa"/>
            <w:gridSpan w:val="2"/>
            <w:tcBorders>
              <w:bottom w:val="single" w:sz="4" w:space="0" w:color="31849B"/>
            </w:tcBorders>
            <w:shd w:val="clear" w:color="auto" w:fill="007FAD"/>
          </w:tcPr>
          <w:p w14:paraId="193904D4" w14:textId="77777777" w:rsidR="00196528" w:rsidRPr="00315553" w:rsidRDefault="00196528" w:rsidP="00196528">
            <w:pPr>
              <w:pStyle w:val="TableHeading21"/>
              <w:rPr>
                <w:i w:val="0"/>
                <w:lang w:val="en-GB" w:eastAsia="en-GB"/>
              </w:rPr>
            </w:pPr>
            <w:r>
              <w:rPr>
                <w:i w:val="0"/>
                <w:lang w:val="en-GB" w:eastAsia="en-GB"/>
              </w:rPr>
              <w:t>Evidence and analysis assessed as credible?</w:t>
            </w:r>
          </w:p>
        </w:tc>
        <w:tc>
          <w:tcPr>
            <w:tcW w:w="1203" w:type="dxa"/>
            <w:gridSpan w:val="2"/>
            <w:tcBorders>
              <w:bottom w:val="single" w:sz="4" w:space="0" w:color="31849B"/>
            </w:tcBorders>
            <w:shd w:val="clear" w:color="auto" w:fill="007FAD"/>
            <w:vAlign w:val="center"/>
          </w:tcPr>
          <w:p w14:paraId="3B7AF1A9" w14:textId="77777777" w:rsidR="00196528" w:rsidRPr="00315553" w:rsidRDefault="00196528" w:rsidP="00196528">
            <w:pPr>
              <w:pStyle w:val="TableHeading21"/>
              <w:rPr>
                <w:i w:val="0"/>
                <w:lang w:val="en-GB" w:eastAsia="en-GB"/>
              </w:rPr>
            </w:pPr>
            <w:r w:rsidRPr="00315553">
              <w:rPr>
                <w:i w:val="0"/>
                <w:lang w:val="en-GB" w:eastAsia="en-GB"/>
              </w:rPr>
              <w:t>Published on DFAT website?</w:t>
            </w:r>
          </w:p>
        </w:tc>
      </w:tr>
      <w:tr w:rsidR="007B37E5" w:rsidRPr="007B56B7" w14:paraId="3EFADB8A" w14:textId="77777777" w:rsidTr="007B56B7">
        <w:trPr>
          <w:cantSplit/>
          <w:trHeight w:val="795"/>
        </w:trPr>
        <w:tc>
          <w:tcPr>
            <w:tcW w:w="1136" w:type="dxa"/>
            <w:tcBorders>
              <w:top w:val="single" w:sz="4" w:space="0" w:color="31849B"/>
              <w:bottom w:val="single" w:sz="4" w:space="0" w:color="31849B"/>
              <w:right w:val="nil"/>
            </w:tcBorders>
            <w:shd w:val="clear" w:color="auto" w:fill="auto"/>
            <w:vAlign w:val="center"/>
            <w:hideMark/>
          </w:tcPr>
          <w:p w14:paraId="70E15E7C" w14:textId="77777777" w:rsidR="007B37E5" w:rsidRPr="00196528" w:rsidRDefault="007B37E5" w:rsidP="007B56B7">
            <w:pPr>
              <w:pStyle w:val="TableText1"/>
              <w:rPr>
                <w:lang w:val="en-GB" w:eastAsia="en-GB"/>
              </w:rPr>
            </w:pPr>
            <w:r w:rsidRPr="00196528">
              <w:rPr>
                <w:lang w:val="en-GB" w:eastAsia="en-GB"/>
              </w:rPr>
              <w:t>INJ189</w:t>
            </w:r>
          </w:p>
        </w:tc>
        <w:tc>
          <w:tcPr>
            <w:tcW w:w="3545" w:type="dxa"/>
            <w:tcBorders>
              <w:top w:val="single" w:sz="4" w:space="0" w:color="31849B"/>
              <w:left w:val="nil"/>
              <w:bottom w:val="single" w:sz="4" w:space="0" w:color="31849B"/>
              <w:right w:val="nil"/>
            </w:tcBorders>
            <w:shd w:val="clear" w:color="auto" w:fill="auto"/>
            <w:vAlign w:val="center"/>
            <w:hideMark/>
          </w:tcPr>
          <w:p w14:paraId="10F2A047" w14:textId="77777777" w:rsidR="007B37E5" w:rsidRPr="00196528" w:rsidRDefault="007B37E5" w:rsidP="007B56B7">
            <w:pPr>
              <w:pStyle w:val="TableText1"/>
              <w:rPr>
                <w:lang w:val="en-GB" w:eastAsia="en-GB"/>
              </w:rPr>
            </w:pPr>
            <w:r w:rsidRPr="00196528">
              <w:rPr>
                <w:lang w:val="en-GB" w:eastAsia="en-GB"/>
              </w:rPr>
              <w:t>Independent Completion Report for Zimbabwe NGO Food and Water Initiative</w:t>
            </w:r>
          </w:p>
        </w:tc>
        <w:tc>
          <w:tcPr>
            <w:tcW w:w="1134" w:type="dxa"/>
            <w:tcBorders>
              <w:top w:val="single" w:sz="4" w:space="0" w:color="31849B"/>
              <w:left w:val="nil"/>
              <w:bottom w:val="single" w:sz="4" w:space="0" w:color="31849B"/>
              <w:right w:val="nil"/>
            </w:tcBorders>
            <w:shd w:val="clear" w:color="auto" w:fill="auto"/>
            <w:vAlign w:val="center"/>
            <w:hideMark/>
          </w:tcPr>
          <w:p w14:paraId="46FB868E" w14:textId="77777777" w:rsidR="007B37E5" w:rsidRPr="00196528" w:rsidRDefault="007B37E5" w:rsidP="007B56B7">
            <w:pPr>
              <w:pStyle w:val="TableText1"/>
              <w:rPr>
                <w:lang w:val="en-GB" w:eastAsia="en-GB"/>
              </w:rPr>
            </w:pPr>
            <w:r w:rsidRPr="00196528">
              <w:rPr>
                <w:lang w:val="en-GB" w:eastAsia="en-GB"/>
              </w:rPr>
              <w:t>Zimbabwe</w:t>
            </w:r>
          </w:p>
        </w:tc>
        <w:tc>
          <w:tcPr>
            <w:tcW w:w="1559" w:type="dxa"/>
            <w:tcBorders>
              <w:top w:val="single" w:sz="4" w:space="0" w:color="31849B"/>
              <w:left w:val="nil"/>
              <w:bottom w:val="single" w:sz="4" w:space="0" w:color="31849B"/>
              <w:right w:val="nil"/>
            </w:tcBorders>
            <w:shd w:val="clear" w:color="auto" w:fill="auto"/>
            <w:vAlign w:val="center"/>
            <w:hideMark/>
          </w:tcPr>
          <w:p w14:paraId="3A65C95B" w14:textId="77777777" w:rsidR="007B37E5" w:rsidRPr="00196528" w:rsidRDefault="007B37E5" w:rsidP="007B56B7">
            <w:pPr>
              <w:pStyle w:val="TableText1"/>
              <w:rPr>
                <w:lang w:val="en-GB" w:eastAsia="en-GB"/>
              </w:rPr>
            </w:pPr>
            <w:r w:rsidRPr="00196528">
              <w:rPr>
                <w:lang w:val="en-GB" w:eastAsia="en-GB"/>
              </w:rPr>
              <w:t>Water and sanitation</w:t>
            </w:r>
          </w:p>
        </w:tc>
        <w:tc>
          <w:tcPr>
            <w:tcW w:w="1446" w:type="dxa"/>
            <w:gridSpan w:val="2"/>
            <w:tcBorders>
              <w:top w:val="single" w:sz="4" w:space="0" w:color="31849B"/>
              <w:left w:val="nil"/>
              <w:bottom w:val="single" w:sz="4" w:space="0" w:color="31849B"/>
              <w:right w:val="nil"/>
            </w:tcBorders>
            <w:shd w:val="clear" w:color="auto" w:fill="auto"/>
            <w:vAlign w:val="center"/>
          </w:tcPr>
          <w:p w14:paraId="6DEA84BE" w14:textId="5BB856F3" w:rsidR="007B37E5" w:rsidRPr="00196528" w:rsidRDefault="007B37E5" w:rsidP="007B56B7">
            <w:pPr>
              <w:pStyle w:val="TableText1"/>
              <w:rPr>
                <w:lang w:val="en-GB" w:eastAsia="en-GB"/>
              </w:rPr>
            </w:pPr>
            <w:r w:rsidRPr="00CF0A8A">
              <w:rPr>
                <w:lang w:val="en-GB" w:eastAsia="en-GB"/>
              </w:rPr>
              <w:t>Yes</w:t>
            </w:r>
          </w:p>
        </w:tc>
        <w:tc>
          <w:tcPr>
            <w:tcW w:w="1203" w:type="dxa"/>
            <w:gridSpan w:val="2"/>
            <w:tcBorders>
              <w:top w:val="single" w:sz="4" w:space="0" w:color="31849B"/>
              <w:left w:val="nil"/>
              <w:bottom w:val="single" w:sz="4" w:space="0" w:color="31849B"/>
            </w:tcBorders>
            <w:shd w:val="clear" w:color="auto" w:fill="auto"/>
            <w:vAlign w:val="center"/>
          </w:tcPr>
          <w:p w14:paraId="58F36150" w14:textId="77777777" w:rsidR="007B37E5" w:rsidRPr="00196528" w:rsidRDefault="007B37E5" w:rsidP="007B56B7">
            <w:pPr>
              <w:pStyle w:val="TableText1"/>
              <w:rPr>
                <w:lang w:val="en-GB" w:eastAsia="en-GB"/>
              </w:rPr>
            </w:pPr>
            <w:r w:rsidRPr="00196528">
              <w:rPr>
                <w:lang w:val="en-GB" w:eastAsia="en-GB"/>
              </w:rPr>
              <w:t>No</w:t>
            </w:r>
          </w:p>
        </w:tc>
      </w:tr>
      <w:tr w:rsidR="007B37E5" w:rsidRPr="007B56B7" w14:paraId="55236CC6" w14:textId="77777777" w:rsidTr="007B56B7">
        <w:trPr>
          <w:cantSplit/>
          <w:trHeight w:val="795"/>
        </w:trPr>
        <w:tc>
          <w:tcPr>
            <w:tcW w:w="1136" w:type="dxa"/>
            <w:tcBorders>
              <w:top w:val="single" w:sz="4" w:space="0" w:color="31849B"/>
              <w:bottom w:val="single" w:sz="4" w:space="0" w:color="31849B"/>
              <w:right w:val="nil"/>
            </w:tcBorders>
            <w:shd w:val="clear" w:color="auto" w:fill="auto"/>
            <w:vAlign w:val="center"/>
            <w:hideMark/>
          </w:tcPr>
          <w:p w14:paraId="07235CCD" w14:textId="77777777" w:rsidR="007B37E5" w:rsidRPr="00196528" w:rsidRDefault="007B37E5" w:rsidP="007B56B7">
            <w:pPr>
              <w:pStyle w:val="TableText1"/>
              <w:rPr>
                <w:lang w:val="en-GB" w:eastAsia="en-GB"/>
              </w:rPr>
            </w:pPr>
            <w:r w:rsidRPr="00196528">
              <w:rPr>
                <w:lang w:val="en-GB" w:eastAsia="en-GB"/>
              </w:rPr>
              <w:t>INJ197</w:t>
            </w:r>
          </w:p>
        </w:tc>
        <w:tc>
          <w:tcPr>
            <w:tcW w:w="3545" w:type="dxa"/>
            <w:tcBorders>
              <w:top w:val="single" w:sz="4" w:space="0" w:color="31849B"/>
              <w:left w:val="nil"/>
              <w:bottom w:val="single" w:sz="4" w:space="0" w:color="31849B"/>
              <w:right w:val="nil"/>
            </w:tcBorders>
            <w:shd w:val="clear" w:color="auto" w:fill="auto"/>
            <w:vAlign w:val="center"/>
            <w:hideMark/>
          </w:tcPr>
          <w:p w14:paraId="72ABDD7E" w14:textId="77777777" w:rsidR="007B37E5" w:rsidRPr="00196528" w:rsidRDefault="007B37E5" w:rsidP="007B56B7">
            <w:pPr>
              <w:pStyle w:val="TableText1"/>
              <w:rPr>
                <w:lang w:val="en-GB" w:eastAsia="en-GB"/>
              </w:rPr>
            </w:pPr>
            <w:r w:rsidRPr="00196528">
              <w:rPr>
                <w:lang w:val="en-GB" w:eastAsia="en-GB"/>
              </w:rPr>
              <w:t>Final Annual Performance Assessment 2011</w:t>
            </w:r>
            <w:r w:rsidRPr="007B56B7">
              <w:footnoteReference w:id="56"/>
            </w:r>
            <w:r w:rsidRPr="00196528">
              <w:rPr>
                <w:lang w:val="en-GB" w:eastAsia="en-GB"/>
              </w:rPr>
              <w:t xml:space="preserve"> for Kiribati Technical Vocational Education and Training Sector Strengthening Program Phase I </w:t>
            </w:r>
          </w:p>
        </w:tc>
        <w:tc>
          <w:tcPr>
            <w:tcW w:w="1134" w:type="dxa"/>
            <w:tcBorders>
              <w:top w:val="single" w:sz="4" w:space="0" w:color="31849B"/>
              <w:left w:val="nil"/>
              <w:bottom w:val="single" w:sz="4" w:space="0" w:color="31849B"/>
              <w:right w:val="nil"/>
            </w:tcBorders>
            <w:shd w:val="clear" w:color="auto" w:fill="auto"/>
            <w:vAlign w:val="center"/>
            <w:hideMark/>
          </w:tcPr>
          <w:p w14:paraId="465D0D61" w14:textId="77777777" w:rsidR="007B37E5" w:rsidRPr="00196528" w:rsidRDefault="007B37E5" w:rsidP="007B56B7">
            <w:pPr>
              <w:pStyle w:val="TableText1"/>
              <w:rPr>
                <w:lang w:val="en-GB" w:eastAsia="en-GB"/>
              </w:rPr>
            </w:pPr>
            <w:r w:rsidRPr="00196528">
              <w:rPr>
                <w:lang w:val="en-GB" w:eastAsia="en-GB"/>
              </w:rPr>
              <w:t>Kiribati</w:t>
            </w:r>
          </w:p>
        </w:tc>
        <w:tc>
          <w:tcPr>
            <w:tcW w:w="1559" w:type="dxa"/>
            <w:tcBorders>
              <w:top w:val="single" w:sz="4" w:space="0" w:color="31849B"/>
              <w:left w:val="nil"/>
              <w:bottom w:val="single" w:sz="4" w:space="0" w:color="31849B"/>
              <w:right w:val="nil"/>
            </w:tcBorders>
            <w:shd w:val="clear" w:color="auto" w:fill="auto"/>
            <w:vAlign w:val="center"/>
            <w:hideMark/>
          </w:tcPr>
          <w:p w14:paraId="7AD71D93" w14:textId="77777777" w:rsidR="007B37E5" w:rsidRPr="00196528" w:rsidRDefault="007B37E5" w:rsidP="007B56B7">
            <w:pPr>
              <w:pStyle w:val="TableText1"/>
              <w:rPr>
                <w:lang w:val="en-GB" w:eastAsia="en-GB"/>
              </w:rPr>
            </w:pPr>
            <w:r w:rsidRPr="00196528">
              <w:rPr>
                <w:lang w:val="en-GB" w:eastAsia="en-GB"/>
              </w:rPr>
              <w:t>Business, finance and trade</w:t>
            </w:r>
          </w:p>
        </w:tc>
        <w:tc>
          <w:tcPr>
            <w:tcW w:w="1446" w:type="dxa"/>
            <w:gridSpan w:val="2"/>
            <w:tcBorders>
              <w:top w:val="single" w:sz="4" w:space="0" w:color="31849B"/>
              <w:left w:val="nil"/>
              <w:bottom w:val="single" w:sz="4" w:space="0" w:color="31849B"/>
              <w:right w:val="nil"/>
            </w:tcBorders>
            <w:shd w:val="clear" w:color="auto" w:fill="auto"/>
            <w:vAlign w:val="center"/>
          </w:tcPr>
          <w:p w14:paraId="29967A5A" w14:textId="1253DE8C" w:rsidR="007B37E5" w:rsidRPr="00196528" w:rsidRDefault="007B37E5" w:rsidP="007B56B7">
            <w:pPr>
              <w:pStyle w:val="TableText1"/>
              <w:rPr>
                <w:lang w:val="en-GB" w:eastAsia="en-GB"/>
              </w:rPr>
            </w:pPr>
            <w:r w:rsidRPr="00CF0A8A">
              <w:rPr>
                <w:lang w:val="en-GB" w:eastAsia="en-GB"/>
              </w:rPr>
              <w:t>Yes</w:t>
            </w:r>
          </w:p>
        </w:tc>
        <w:tc>
          <w:tcPr>
            <w:tcW w:w="1203" w:type="dxa"/>
            <w:gridSpan w:val="2"/>
            <w:tcBorders>
              <w:top w:val="single" w:sz="4" w:space="0" w:color="31849B"/>
              <w:left w:val="nil"/>
              <w:bottom w:val="single" w:sz="4" w:space="0" w:color="31849B"/>
            </w:tcBorders>
            <w:shd w:val="clear" w:color="auto" w:fill="auto"/>
            <w:vAlign w:val="center"/>
          </w:tcPr>
          <w:p w14:paraId="0CE0A265" w14:textId="77777777" w:rsidR="007B37E5" w:rsidRPr="00196528" w:rsidRDefault="007B37E5" w:rsidP="007B56B7">
            <w:pPr>
              <w:pStyle w:val="TableText1"/>
              <w:rPr>
                <w:lang w:val="en-GB" w:eastAsia="en-GB"/>
              </w:rPr>
            </w:pPr>
            <w:r w:rsidRPr="00196528">
              <w:rPr>
                <w:lang w:val="en-GB" w:eastAsia="en-GB"/>
              </w:rPr>
              <w:t>Yes</w:t>
            </w:r>
          </w:p>
        </w:tc>
      </w:tr>
      <w:tr w:rsidR="007B37E5" w:rsidRPr="007B56B7" w14:paraId="4EC2F820" w14:textId="77777777" w:rsidTr="007B56B7">
        <w:trPr>
          <w:cantSplit/>
          <w:trHeight w:val="795"/>
        </w:trPr>
        <w:tc>
          <w:tcPr>
            <w:tcW w:w="1136" w:type="dxa"/>
            <w:tcBorders>
              <w:top w:val="single" w:sz="4" w:space="0" w:color="31849B"/>
              <w:bottom w:val="single" w:sz="4" w:space="0" w:color="31849B"/>
              <w:right w:val="nil"/>
            </w:tcBorders>
            <w:shd w:val="clear" w:color="auto" w:fill="auto"/>
            <w:vAlign w:val="center"/>
            <w:hideMark/>
          </w:tcPr>
          <w:p w14:paraId="674F1A67" w14:textId="77777777" w:rsidR="007B37E5" w:rsidRPr="00196528" w:rsidRDefault="007B37E5" w:rsidP="007B56B7">
            <w:pPr>
              <w:pStyle w:val="TableText1"/>
              <w:rPr>
                <w:lang w:val="en-GB" w:eastAsia="en-GB"/>
              </w:rPr>
            </w:pPr>
            <w:r w:rsidRPr="00196528">
              <w:rPr>
                <w:lang w:val="en-GB" w:eastAsia="en-GB"/>
              </w:rPr>
              <w:t>INJ235</w:t>
            </w:r>
          </w:p>
        </w:tc>
        <w:tc>
          <w:tcPr>
            <w:tcW w:w="3545" w:type="dxa"/>
            <w:tcBorders>
              <w:top w:val="single" w:sz="4" w:space="0" w:color="31849B"/>
              <w:left w:val="nil"/>
              <w:bottom w:val="single" w:sz="4" w:space="0" w:color="31849B"/>
              <w:right w:val="nil"/>
            </w:tcBorders>
            <w:shd w:val="clear" w:color="auto" w:fill="auto"/>
            <w:vAlign w:val="center"/>
            <w:hideMark/>
          </w:tcPr>
          <w:p w14:paraId="60B4DDA6" w14:textId="77777777" w:rsidR="007B37E5" w:rsidRPr="00196528" w:rsidRDefault="007B37E5" w:rsidP="007B56B7">
            <w:pPr>
              <w:pStyle w:val="TableText1"/>
              <w:rPr>
                <w:lang w:val="en-GB" w:eastAsia="en-GB"/>
              </w:rPr>
            </w:pPr>
            <w:r w:rsidRPr="00196528">
              <w:rPr>
                <w:lang w:val="en-GB" w:eastAsia="en-GB"/>
              </w:rPr>
              <w:t xml:space="preserve">Independent Progress Review of Education in Emergencies Capacity Building </w:t>
            </w:r>
          </w:p>
        </w:tc>
        <w:tc>
          <w:tcPr>
            <w:tcW w:w="1134" w:type="dxa"/>
            <w:tcBorders>
              <w:top w:val="single" w:sz="4" w:space="0" w:color="31849B"/>
              <w:left w:val="nil"/>
              <w:bottom w:val="single" w:sz="4" w:space="0" w:color="31849B"/>
              <w:right w:val="nil"/>
            </w:tcBorders>
            <w:shd w:val="clear" w:color="auto" w:fill="auto"/>
            <w:vAlign w:val="center"/>
            <w:hideMark/>
          </w:tcPr>
          <w:p w14:paraId="15A8094A" w14:textId="77777777" w:rsidR="007B37E5" w:rsidRPr="00196528" w:rsidRDefault="007B37E5" w:rsidP="007B56B7">
            <w:pPr>
              <w:pStyle w:val="TableText1"/>
              <w:rPr>
                <w:lang w:val="en-GB" w:eastAsia="en-GB"/>
              </w:rPr>
            </w:pPr>
            <w:r w:rsidRPr="00196528">
              <w:rPr>
                <w:lang w:val="en-GB" w:eastAsia="en-GB"/>
              </w:rPr>
              <w:t>Multicountry</w:t>
            </w:r>
          </w:p>
        </w:tc>
        <w:tc>
          <w:tcPr>
            <w:tcW w:w="1559" w:type="dxa"/>
            <w:tcBorders>
              <w:top w:val="single" w:sz="4" w:space="0" w:color="31849B"/>
              <w:left w:val="nil"/>
              <w:bottom w:val="single" w:sz="4" w:space="0" w:color="31849B"/>
              <w:right w:val="nil"/>
            </w:tcBorders>
            <w:shd w:val="clear" w:color="auto" w:fill="auto"/>
            <w:vAlign w:val="center"/>
            <w:hideMark/>
          </w:tcPr>
          <w:p w14:paraId="6A792982" w14:textId="77777777" w:rsidR="007B37E5" w:rsidRPr="00196528" w:rsidRDefault="007B37E5" w:rsidP="007B56B7">
            <w:pPr>
              <w:pStyle w:val="TableText1"/>
              <w:rPr>
                <w:lang w:val="en-GB" w:eastAsia="en-GB"/>
              </w:rPr>
            </w:pPr>
            <w:r w:rsidRPr="00196528">
              <w:rPr>
                <w:lang w:val="en-GB" w:eastAsia="en-GB"/>
              </w:rPr>
              <w:t>Education</w:t>
            </w:r>
          </w:p>
        </w:tc>
        <w:tc>
          <w:tcPr>
            <w:tcW w:w="1446" w:type="dxa"/>
            <w:gridSpan w:val="2"/>
            <w:tcBorders>
              <w:top w:val="single" w:sz="4" w:space="0" w:color="31849B"/>
              <w:left w:val="nil"/>
              <w:bottom w:val="single" w:sz="4" w:space="0" w:color="31849B"/>
              <w:right w:val="nil"/>
            </w:tcBorders>
            <w:shd w:val="clear" w:color="auto" w:fill="auto"/>
            <w:vAlign w:val="center"/>
          </w:tcPr>
          <w:p w14:paraId="453A40F6" w14:textId="66E6590B" w:rsidR="007B37E5" w:rsidRPr="00196528" w:rsidRDefault="007B37E5" w:rsidP="007B56B7">
            <w:pPr>
              <w:pStyle w:val="TableText1"/>
              <w:rPr>
                <w:lang w:val="en-GB" w:eastAsia="en-GB"/>
              </w:rPr>
            </w:pPr>
            <w:r w:rsidRPr="00CF0A8A">
              <w:rPr>
                <w:lang w:val="en-GB" w:eastAsia="en-GB"/>
              </w:rPr>
              <w:t>Yes</w:t>
            </w:r>
          </w:p>
        </w:tc>
        <w:tc>
          <w:tcPr>
            <w:tcW w:w="1203" w:type="dxa"/>
            <w:gridSpan w:val="2"/>
            <w:tcBorders>
              <w:top w:val="single" w:sz="4" w:space="0" w:color="31849B"/>
              <w:left w:val="nil"/>
              <w:bottom w:val="single" w:sz="4" w:space="0" w:color="31849B"/>
            </w:tcBorders>
            <w:shd w:val="clear" w:color="auto" w:fill="auto"/>
            <w:vAlign w:val="center"/>
          </w:tcPr>
          <w:p w14:paraId="66DAE3F3" w14:textId="77777777" w:rsidR="007B37E5" w:rsidRPr="00196528" w:rsidRDefault="007B37E5" w:rsidP="007B56B7">
            <w:pPr>
              <w:pStyle w:val="TableText1"/>
              <w:rPr>
                <w:lang w:val="en-GB" w:eastAsia="en-GB"/>
              </w:rPr>
            </w:pPr>
            <w:r w:rsidRPr="00196528">
              <w:rPr>
                <w:lang w:val="en-GB" w:eastAsia="en-GB"/>
              </w:rPr>
              <w:t>No</w:t>
            </w:r>
          </w:p>
        </w:tc>
      </w:tr>
      <w:tr w:rsidR="007B37E5" w:rsidRPr="00DE1AF3" w14:paraId="557741FE" w14:textId="77777777" w:rsidTr="007B56B7">
        <w:trPr>
          <w:gridAfter w:val="1"/>
          <w:wAfter w:w="97" w:type="dxa"/>
          <w:cantSplit/>
          <w:trHeight w:val="900"/>
        </w:trPr>
        <w:tc>
          <w:tcPr>
            <w:tcW w:w="1136" w:type="dxa"/>
            <w:shd w:val="clear" w:color="auto" w:fill="auto"/>
            <w:noWrap/>
            <w:vAlign w:val="center"/>
            <w:hideMark/>
          </w:tcPr>
          <w:p w14:paraId="15E4D2CD" w14:textId="77777777" w:rsidR="00196528" w:rsidRPr="00DE1AF3" w:rsidRDefault="00196528" w:rsidP="00196528">
            <w:pPr>
              <w:pStyle w:val="TableText1"/>
              <w:rPr>
                <w:lang w:val="en-GB" w:eastAsia="en-GB"/>
              </w:rPr>
            </w:pPr>
            <w:r w:rsidRPr="00DE1AF3">
              <w:rPr>
                <w:lang w:val="en-GB" w:eastAsia="en-GB"/>
              </w:rPr>
              <w:t>INJ241 INJ398 INI309</w:t>
            </w:r>
          </w:p>
        </w:tc>
        <w:tc>
          <w:tcPr>
            <w:tcW w:w="3545" w:type="dxa"/>
            <w:shd w:val="clear" w:color="000000" w:fill="FFFFFF"/>
            <w:vAlign w:val="center"/>
            <w:hideMark/>
          </w:tcPr>
          <w:p w14:paraId="0677BEF2" w14:textId="77777777" w:rsidR="00196528" w:rsidRPr="00DE1AF3" w:rsidRDefault="00196528" w:rsidP="00196528">
            <w:pPr>
              <w:pStyle w:val="TableText1"/>
              <w:rPr>
                <w:lang w:val="en-GB" w:eastAsia="en-GB"/>
              </w:rPr>
            </w:pPr>
            <w:r w:rsidRPr="00DE1AF3">
              <w:rPr>
                <w:lang w:val="en-GB" w:eastAsia="en-GB"/>
              </w:rPr>
              <w:t>Independent Review of Two AusAID Funded UNICEF Projects on Child Survival and Nutrition and Maternal Health in Nepal</w:t>
            </w:r>
          </w:p>
        </w:tc>
        <w:tc>
          <w:tcPr>
            <w:tcW w:w="1134" w:type="dxa"/>
            <w:shd w:val="clear" w:color="000000" w:fill="FFFFFF"/>
            <w:noWrap/>
            <w:vAlign w:val="center"/>
            <w:hideMark/>
          </w:tcPr>
          <w:p w14:paraId="3AE4ED6E" w14:textId="77777777" w:rsidR="00196528" w:rsidRPr="00DE1AF3" w:rsidRDefault="00196528" w:rsidP="00196528">
            <w:pPr>
              <w:pStyle w:val="TableText1"/>
              <w:rPr>
                <w:lang w:val="en-GB" w:eastAsia="en-GB"/>
              </w:rPr>
            </w:pPr>
            <w:r w:rsidRPr="00DE1AF3">
              <w:rPr>
                <w:lang w:val="en-GB" w:eastAsia="en-GB"/>
              </w:rPr>
              <w:t>Nepal</w:t>
            </w:r>
          </w:p>
        </w:tc>
        <w:tc>
          <w:tcPr>
            <w:tcW w:w="1559" w:type="dxa"/>
            <w:shd w:val="clear" w:color="auto" w:fill="auto"/>
            <w:vAlign w:val="center"/>
            <w:hideMark/>
          </w:tcPr>
          <w:p w14:paraId="7B75728B" w14:textId="77777777" w:rsidR="00196528" w:rsidRPr="00DE1AF3" w:rsidRDefault="00196528" w:rsidP="00196528">
            <w:pPr>
              <w:pStyle w:val="TableText1"/>
              <w:rPr>
                <w:lang w:val="en-GB" w:eastAsia="en-GB"/>
              </w:rPr>
            </w:pPr>
            <w:r w:rsidRPr="00DE1AF3">
              <w:rPr>
                <w:lang w:val="en-GB" w:eastAsia="en-GB"/>
              </w:rPr>
              <w:t>Health</w:t>
            </w:r>
          </w:p>
        </w:tc>
        <w:tc>
          <w:tcPr>
            <w:tcW w:w="1418" w:type="dxa"/>
            <w:vAlign w:val="center"/>
          </w:tcPr>
          <w:p w14:paraId="63B839AD" w14:textId="77777777" w:rsidR="00196528" w:rsidRPr="00DE1AF3" w:rsidRDefault="00196528" w:rsidP="00196528">
            <w:pPr>
              <w:pStyle w:val="TableText1"/>
              <w:rPr>
                <w:lang w:val="en-GB" w:eastAsia="en-GB"/>
              </w:rPr>
            </w:pPr>
            <w:r w:rsidRPr="00CF0A8A">
              <w:rPr>
                <w:lang w:val="en-GB" w:eastAsia="en-GB"/>
              </w:rPr>
              <w:t>Yes</w:t>
            </w:r>
          </w:p>
        </w:tc>
        <w:tc>
          <w:tcPr>
            <w:tcW w:w="1134" w:type="dxa"/>
            <w:gridSpan w:val="2"/>
            <w:vAlign w:val="center"/>
          </w:tcPr>
          <w:p w14:paraId="2D89935E" w14:textId="77777777" w:rsidR="00196528" w:rsidRPr="00DE1AF3" w:rsidRDefault="00196528" w:rsidP="00196528">
            <w:pPr>
              <w:pStyle w:val="TableText1"/>
              <w:rPr>
                <w:lang w:val="en-GB" w:eastAsia="en-GB"/>
              </w:rPr>
            </w:pPr>
            <w:r w:rsidRPr="00DE1AF3">
              <w:rPr>
                <w:lang w:val="en-GB" w:eastAsia="en-GB"/>
              </w:rPr>
              <w:t>Yes</w:t>
            </w:r>
          </w:p>
        </w:tc>
      </w:tr>
      <w:tr w:rsidR="007B37E5" w:rsidRPr="00DE1AF3" w14:paraId="74D08058" w14:textId="77777777" w:rsidTr="007B56B7">
        <w:trPr>
          <w:gridAfter w:val="1"/>
          <w:wAfter w:w="97" w:type="dxa"/>
          <w:cantSplit/>
          <w:trHeight w:val="900"/>
        </w:trPr>
        <w:tc>
          <w:tcPr>
            <w:tcW w:w="1136" w:type="dxa"/>
            <w:shd w:val="clear" w:color="auto" w:fill="auto"/>
            <w:vAlign w:val="center"/>
            <w:hideMark/>
          </w:tcPr>
          <w:p w14:paraId="6E524F82" w14:textId="77777777" w:rsidR="00196528" w:rsidRPr="00DE1AF3" w:rsidRDefault="00196528" w:rsidP="00196528">
            <w:pPr>
              <w:pStyle w:val="TableText1"/>
              <w:rPr>
                <w:lang w:val="en-GB" w:eastAsia="en-GB"/>
              </w:rPr>
            </w:pPr>
            <w:r w:rsidRPr="00DE1AF3">
              <w:rPr>
                <w:lang w:val="en-GB" w:eastAsia="en-GB"/>
              </w:rPr>
              <w:t>INJ244</w:t>
            </w:r>
          </w:p>
        </w:tc>
        <w:tc>
          <w:tcPr>
            <w:tcW w:w="3545" w:type="dxa"/>
            <w:shd w:val="clear" w:color="000000" w:fill="FFFFFF"/>
            <w:vAlign w:val="center"/>
            <w:hideMark/>
          </w:tcPr>
          <w:p w14:paraId="66C1261C" w14:textId="77777777" w:rsidR="00196528" w:rsidRPr="00DE1AF3" w:rsidRDefault="00196528" w:rsidP="00196528">
            <w:pPr>
              <w:pStyle w:val="TableText1"/>
              <w:rPr>
                <w:lang w:val="en-GB" w:eastAsia="en-GB"/>
              </w:rPr>
            </w:pPr>
            <w:r w:rsidRPr="00DE1AF3">
              <w:rPr>
                <w:lang w:val="en-GB" w:eastAsia="en-GB"/>
              </w:rPr>
              <w:t>Independent Progress Review of Partnership for Knowledge-Based Poverty Reduction (PKPR)</w:t>
            </w:r>
          </w:p>
        </w:tc>
        <w:tc>
          <w:tcPr>
            <w:tcW w:w="1134" w:type="dxa"/>
            <w:shd w:val="clear" w:color="000000" w:fill="FFFFFF"/>
            <w:noWrap/>
            <w:vAlign w:val="center"/>
            <w:hideMark/>
          </w:tcPr>
          <w:p w14:paraId="1ADFF1FE" w14:textId="77777777" w:rsidR="00196528" w:rsidRPr="00DE1AF3" w:rsidRDefault="00196528" w:rsidP="00196528">
            <w:pPr>
              <w:pStyle w:val="TableText1"/>
              <w:rPr>
                <w:lang w:val="en-GB" w:eastAsia="en-GB"/>
              </w:rPr>
            </w:pPr>
            <w:r w:rsidRPr="00DE1AF3">
              <w:rPr>
                <w:lang w:val="en-GB" w:eastAsia="en-GB"/>
              </w:rPr>
              <w:t>Indonesia</w:t>
            </w:r>
          </w:p>
        </w:tc>
        <w:tc>
          <w:tcPr>
            <w:tcW w:w="1559" w:type="dxa"/>
            <w:shd w:val="clear" w:color="auto" w:fill="auto"/>
            <w:vAlign w:val="center"/>
            <w:hideMark/>
          </w:tcPr>
          <w:p w14:paraId="1C534D61" w14:textId="77777777" w:rsidR="00196528" w:rsidRPr="00DE1AF3" w:rsidRDefault="00196528" w:rsidP="00196528">
            <w:pPr>
              <w:pStyle w:val="TableText1"/>
              <w:rPr>
                <w:lang w:val="en-GB" w:eastAsia="en-GB"/>
              </w:rPr>
            </w:pPr>
            <w:r>
              <w:rPr>
                <w:lang w:val="en-GB" w:eastAsia="en-GB"/>
              </w:rPr>
              <w:t>Improved government</w:t>
            </w:r>
          </w:p>
        </w:tc>
        <w:tc>
          <w:tcPr>
            <w:tcW w:w="1418" w:type="dxa"/>
            <w:vAlign w:val="center"/>
          </w:tcPr>
          <w:p w14:paraId="42CC4D3E" w14:textId="77777777" w:rsidR="00196528" w:rsidRPr="00DE1AF3" w:rsidRDefault="00196528" w:rsidP="00196528">
            <w:pPr>
              <w:pStyle w:val="TableText1"/>
              <w:rPr>
                <w:lang w:val="en-GB" w:eastAsia="en-GB"/>
              </w:rPr>
            </w:pPr>
            <w:r w:rsidRPr="00CF0A8A">
              <w:rPr>
                <w:lang w:val="en-GB" w:eastAsia="en-GB"/>
              </w:rPr>
              <w:t>Yes</w:t>
            </w:r>
          </w:p>
        </w:tc>
        <w:tc>
          <w:tcPr>
            <w:tcW w:w="1134" w:type="dxa"/>
            <w:gridSpan w:val="2"/>
            <w:vAlign w:val="center"/>
          </w:tcPr>
          <w:p w14:paraId="32BC168C" w14:textId="77777777" w:rsidR="00196528" w:rsidRPr="00DE1AF3" w:rsidRDefault="00196528" w:rsidP="00196528">
            <w:pPr>
              <w:pStyle w:val="TableText1"/>
              <w:rPr>
                <w:lang w:val="en-GB" w:eastAsia="en-GB"/>
              </w:rPr>
            </w:pPr>
            <w:r w:rsidRPr="00DE1AF3">
              <w:rPr>
                <w:lang w:val="en-GB" w:eastAsia="en-GB"/>
              </w:rPr>
              <w:t>Yes</w:t>
            </w:r>
          </w:p>
        </w:tc>
      </w:tr>
      <w:tr w:rsidR="007B37E5" w:rsidRPr="00DE1AF3" w14:paraId="1F11D56A" w14:textId="77777777" w:rsidTr="007B56B7">
        <w:trPr>
          <w:gridAfter w:val="1"/>
          <w:wAfter w:w="97" w:type="dxa"/>
          <w:cantSplit/>
          <w:trHeight w:val="900"/>
        </w:trPr>
        <w:tc>
          <w:tcPr>
            <w:tcW w:w="1136" w:type="dxa"/>
            <w:shd w:val="clear" w:color="auto" w:fill="auto"/>
            <w:vAlign w:val="center"/>
            <w:hideMark/>
          </w:tcPr>
          <w:p w14:paraId="13909FD9" w14:textId="77777777" w:rsidR="00196528" w:rsidRPr="00DE1AF3" w:rsidRDefault="00196528" w:rsidP="00196528">
            <w:pPr>
              <w:pStyle w:val="TableText1"/>
              <w:rPr>
                <w:lang w:val="en-GB" w:eastAsia="en-GB"/>
              </w:rPr>
            </w:pPr>
            <w:r w:rsidRPr="00DE1AF3">
              <w:rPr>
                <w:lang w:val="en-GB" w:eastAsia="en-GB"/>
              </w:rPr>
              <w:t>INJ251 ING400</w:t>
            </w:r>
          </w:p>
        </w:tc>
        <w:tc>
          <w:tcPr>
            <w:tcW w:w="3545" w:type="dxa"/>
            <w:shd w:val="clear" w:color="000000" w:fill="FFFFFF"/>
            <w:vAlign w:val="center"/>
            <w:hideMark/>
          </w:tcPr>
          <w:p w14:paraId="2E50F3F7" w14:textId="77777777" w:rsidR="00196528" w:rsidRPr="00DE1AF3" w:rsidRDefault="00196528" w:rsidP="00196528">
            <w:pPr>
              <w:pStyle w:val="TableText1"/>
              <w:rPr>
                <w:lang w:val="en-GB" w:eastAsia="en-GB"/>
              </w:rPr>
            </w:pPr>
            <w:r w:rsidRPr="00DE1AF3">
              <w:rPr>
                <w:lang w:val="en-GB" w:eastAsia="en-GB"/>
              </w:rPr>
              <w:t>Independent Progress Review of the UN Joint Program on Maternal and Neonatal Mortality Reduction</w:t>
            </w:r>
          </w:p>
        </w:tc>
        <w:tc>
          <w:tcPr>
            <w:tcW w:w="1134" w:type="dxa"/>
            <w:shd w:val="clear" w:color="000000" w:fill="FFFFFF"/>
            <w:vAlign w:val="center"/>
            <w:hideMark/>
          </w:tcPr>
          <w:p w14:paraId="72AC240B" w14:textId="77777777" w:rsidR="00196528" w:rsidRPr="00DE1AF3" w:rsidRDefault="00196528" w:rsidP="00196528">
            <w:pPr>
              <w:pStyle w:val="TableText1"/>
              <w:rPr>
                <w:lang w:val="en-GB" w:eastAsia="en-GB"/>
              </w:rPr>
            </w:pPr>
            <w:r w:rsidRPr="00DE1AF3">
              <w:rPr>
                <w:lang w:val="en-GB" w:eastAsia="en-GB"/>
              </w:rPr>
              <w:t>Philippines</w:t>
            </w:r>
          </w:p>
        </w:tc>
        <w:tc>
          <w:tcPr>
            <w:tcW w:w="1559" w:type="dxa"/>
            <w:shd w:val="clear" w:color="auto" w:fill="auto"/>
            <w:vAlign w:val="center"/>
            <w:hideMark/>
          </w:tcPr>
          <w:p w14:paraId="50EFA79E" w14:textId="77777777" w:rsidR="00196528" w:rsidRPr="00DE1AF3" w:rsidRDefault="00196528" w:rsidP="00196528">
            <w:pPr>
              <w:pStyle w:val="TableText1"/>
              <w:rPr>
                <w:lang w:val="en-GB" w:eastAsia="en-GB"/>
              </w:rPr>
            </w:pPr>
            <w:r w:rsidRPr="00DE1AF3">
              <w:rPr>
                <w:lang w:val="en-GB" w:eastAsia="en-GB"/>
              </w:rPr>
              <w:t>Health</w:t>
            </w:r>
          </w:p>
        </w:tc>
        <w:tc>
          <w:tcPr>
            <w:tcW w:w="1418" w:type="dxa"/>
            <w:vAlign w:val="center"/>
          </w:tcPr>
          <w:p w14:paraId="14FE285A" w14:textId="77777777" w:rsidR="00196528" w:rsidRPr="00DE1AF3" w:rsidRDefault="00196528" w:rsidP="00196528">
            <w:pPr>
              <w:pStyle w:val="TableText1"/>
              <w:rPr>
                <w:lang w:val="en-GB" w:eastAsia="en-GB"/>
              </w:rPr>
            </w:pPr>
            <w:r w:rsidRPr="00CF0A8A">
              <w:rPr>
                <w:lang w:val="en-GB" w:eastAsia="en-GB"/>
              </w:rPr>
              <w:t>Yes</w:t>
            </w:r>
          </w:p>
        </w:tc>
        <w:tc>
          <w:tcPr>
            <w:tcW w:w="1134" w:type="dxa"/>
            <w:gridSpan w:val="2"/>
            <w:vAlign w:val="center"/>
          </w:tcPr>
          <w:p w14:paraId="755EB0E6" w14:textId="77777777" w:rsidR="00196528" w:rsidRPr="00DE1AF3" w:rsidRDefault="00196528" w:rsidP="00196528">
            <w:pPr>
              <w:pStyle w:val="TableText1"/>
              <w:rPr>
                <w:lang w:val="en-GB" w:eastAsia="en-GB"/>
              </w:rPr>
            </w:pPr>
            <w:r w:rsidRPr="00DE1AF3">
              <w:rPr>
                <w:lang w:val="en-GB" w:eastAsia="en-GB"/>
              </w:rPr>
              <w:t>Yes</w:t>
            </w:r>
          </w:p>
        </w:tc>
      </w:tr>
      <w:tr w:rsidR="007B37E5" w:rsidRPr="00DE1AF3" w14:paraId="5FB896BC" w14:textId="77777777" w:rsidTr="007B56B7">
        <w:trPr>
          <w:gridAfter w:val="1"/>
          <w:wAfter w:w="97" w:type="dxa"/>
          <w:cantSplit/>
          <w:trHeight w:val="900"/>
        </w:trPr>
        <w:tc>
          <w:tcPr>
            <w:tcW w:w="1136" w:type="dxa"/>
            <w:shd w:val="clear" w:color="auto" w:fill="auto"/>
            <w:vAlign w:val="center"/>
            <w:hideMark/>
          </w:tcPr>
          <w:p w14:paraId="67518419" w14:textId="77777777" w:rsidR="00196528" w:rsidRPr="00DE1AF3" w:rsidRDefault="00196528" w:rsidP="00196528">
            <w:pPr>
              <w:pStyle w:val="TableText1"/>
              <w:rPr>
                <w:lang w:val="en-GB" w:eastAsia="en-GB"/>
              </w:rPr>
            </w:pPr>
            <w:r w:rsidRPr="00DE1AF3">
              <w:rPr>
                <w:lang w:val="en-GB" w:eastAsia="en-GB"/>
              </w:rPr>
              <w:t>INJ321</w:t>
            </w:r>
          </w:p>
        </w:tc>
        <w:tc>
          <w:tcPr>
            <w:tcW w:w="3545" w:type="dxa"/>
            <w:shd w:val="clear" w:color="000000" w:fill="FFFFFF"/>
            <w:vAlign w:val="center"/>
            <w:hideMark/>
          </w:tcPr>
          <w:p w14:paraId="3D45B0AA" w14:textId="77777777" w:rsidR="00196528" w:rsidRPr="00DE1AF3" w:rsidRDefault="00196528" w:rsidP="00196528">
            <w:pPr>
              <w:pStyle w:val="TableText1"/>
              <w:rPr>
                <w:lang w:val="en-GB" w:eastAsia="en-GB"/>
              </w:rPr>
            </w:pPr>
            <w:r w:rsidRPr="00DE1AF3">
              <w:rPr>
                <w:lang w:val="en-GB" w:eastAsia="en-GB"/>
              </w:rPr>
              <w:t xml:space="preserve">Independent Review of AusAID’s Support to the UN in PNG through the UN Country Fund </w:t>
            </w:r>
          </w:p>
        </w:tc>
        <w:tc>
          <w:tcPr>
            <w:tcW w:w="1134" w:type="dxa"/>
            <w:shd w:val="clear" w:color="000000" w:fill="FFFFFF"/>
            <w:noWrap/>
            <w:vAlign w:val="center"/>
            <w:hideMark/>
          </w:tcPr>
          <w:p w14:paraId="35972DB8" w14:textId="77777777" w:rsidR="00196528" w:rsidRPr="00DE1AF3" w:rsidRDefault="00196528" w:rsidP="00196528">
            <w:pPr>
              <w:pStyle w:val="TableText1"/>
              <w:rPr>
                <w:lang w:val="en-GB" w:eastAsia="en-GB"/>
              </w:rPr>
            </w:pPr>
            <w:r>
              <w:rPr>
                <w:lang w:val="en-GB" w:eastAsia="en-GB"/>
              </w:rPr>
              <w:t>Papua New Guinea</w:t>
            </w:r>
          </w:p>
        </w:tc>
        <w:tc>
          <w:tcPr>
            <w:tcW w:w="1559" w:type="dxa"/>
            <w:shd w:val="clear" w:color="auto" w:fill="auto"/>
            <w:vAlign w:val="center"/>
            <w:hideMark/>
          </w:tcPr>
          <w:p w14:paraId="03C1BC05" w14:textId="77777777" w:rsidR="00196528" w:rsidRPr="00DE1AF3" w:rsidRDefault="00196528" w:rsidP="00196528">
            <w:pPr>
              <w:pStyle w:val="TableText1"/>
              <w:rPr>
                <w:lang w:val="en-GB" w:eastAsia="en-GB"/>
              </w:rPr>
            </w:pPr>
            <w:r>
              <w:rPr>
                <w:lang w:val="en-GB" w:eastAsia="en-GB"/>
              </w:rPr>
              <w:t>General development support</w:t>
            </w:r>
          </w:p>
        </w:tc>
        <w:tc>
          <w:tcPr>
            <w:tcW w:w="1418" w:type="dxa"/>
            <w:vAlign w:val="center"/>
          </w:tcPr>
          <w:p w14:paraId="3A56CCEE" w14:textId="77777777" w:rsidR="00196528" w:rsidRPr="00DE1AF3" w:rsidRDefault="00196528" w:rsidP="00196528">
            <w:pPr>
              <w:pStyle w:val="TableText1"/>
              <w:rPr>
                <w:lang w:val="en-GB" w:eastAsia="en-GB"/>
              </w:rPr>
            </w:pPr>
            <w:r w:rsidRPr="00CF0A8A">
              <w:rPr>
                <w:lang w:val="en-GB" w:eastAsia="en-GB"/>
              </w:rPr>
              <w:t>Yes</w:t>
            </w:r>
          </w:p>
        </w:tc>
        <w:tc>
          <w:tcPr>
            <w:tcW w:w="1134" w:type="dxa"/>
            <w:gridSpan w:val="2"/>
            <w:vAlign w:val="center"/>
          </w:tcPr>
          <w:p w14:paraId="2F009A62" w14:textId="77777777" w:rsidR="00196528" w:rsidRPr="00DE1AF3" w:rsidRDefault="00196528" w:rsidP="00196528">
            <w:pPr>
              <w:pStyle w:val="TableText1"/>
              <w:rPr>
                <w:lang w:val="en-GB" w:eastAsia="en-GB"/>
              </w:rPr>
            </w:pPr>
            <w:r w:rsidRPr="00DE1AF3">
              <w:rPr>
                <w:lang w:val="en-GB" w:eastAsia="en-GB"/>
              </w:rPr>
              <w:t>Yes</w:t>
            </w:r>
          </w:p>
        </w:tc>
      </w:tr>
      <w:tr w:rsidR="007B37E5" w:rsidRPr="00DE1AF3" w14:paraId="4F9E371E" w14:textId="77777777" w:rsidTr="007B56B7">
        <w:trPr>
          <w:gridAfter w:val="1"/>
          <w:wAfter w:w="97" w:type="dxa"/>
          <w:cantSplit/>
          <w:trHeight w:val="900"/>
        </w:trPr>
        <w:tc>
          <w:tcPr>
            <w:tcW w:w="1136" w:type="dxa"/>
            <w:shd w:val="clear" w:color="auto" w:fill="auto"/>
            <w:noWrap/>
            <w:vAlign w:val="center"/>
            <w:hideMark/>
          </w:tcPr>
          <w:p w14:paraId="466394F8" w14:textId="77777777" w:rsidR="00196528" w:rsidRPr="00DE1AF3" w:rsidRDefault="00196528" w:rsidP="00196528">
            <w:pPr>
              <w:pStyle w:val="TableText1"/>
              <w:rPr>
                <w:lang w:val="en-GB" w:eastAsia="en-GB"/>
              </w:rPr>
            </w:pPr>
            <w:r w:rsidRPr="00DE1AF3">
              <w:rPr>
                <w:lang w:val="en-GB" w:eastAsia="en-GB"/>
              </w:rPr>
              <w:t>INJ344</w:t>
            </w:r>
          </w:p>
        </w:tc>
        <w:tc>
          <w:tcPr>
            <w:tcW w:w="3545" w:type="dxa"/>
            <w:shd w:val="clear" w:color="000000" w:fill="FFFFFF"/>
            <w:vAlign w:val="center"/>
            <w:hideMark/>
          </w:tcPr>
          <w:p w14:paraId="7556C515" w14:textId="77777777" w:rsidR="00196528" w:rsidRPr="00DE1AF3" w:rsidRDefault="00196528" w:rsidP="00196528">
            <w:pPr>
              <w:pStyle w:val="TableText1"/>
              <w:rPr>
                <w:lang w:val="en-GB" w:eastAsia="en-GB"/>
              </w:rPr>
            </w:pPr>
            <w:r w:rsidRPr="00DE1AF3">
              <w:rPr>
                <w:lang w:val="en-GB" w:eastAsia="en-GB"/>
              </w:rPr>
              <w:t>Independent Review of Australia Africa Community Grants Scheme</w:t>
            </w:r>
          </w:p>
        </w:tc>
        <w:tc>
          <w:tcPr>
            <w:tcW w:w="1134" w:type="dxa"/>
            <w:shd w:val="clear" w:color="000000" w:fill="FFFFFF"/>
            <w:noWrap/>
            <w:vAlign w:val="center"/>
            <w:hideMark/>
          </w:tcPr>
          <w:p w14:paraId="1CD3B26A" w14:textId="77777777" w:rsidR="00196528" w:rsidRPr="00DE1AF3" w:rsidRDefault="00196528" w:rsidP="00196528">
            <w:pPr>
              <w:pStyle w:val="TableText1"/>
              <w:rPr>
                <w:lang w:val="en-GB" w:eastAsia="en-GB"/>
              </w:rPr>
            </w:pPr>
            <w:r>
              <w:rPr>
                <w:lang w:val="en-GB" w:eastAsia="en-GB"/>
              </w:rPr>
              <w:t>Multicountry</w:t>
            </w:r>
          </w:p>
        </w:tc>
        <w:tc>
          <w:tcPr>
            <w:tcW w:w="1559" w:type="dxa"/>
            <w:shd w:val="clear" w:color="auto" w:fill="auto"/>
            <w:vAlign w:val="center"/>
            <w:hideMark/>
          </w:tcPr>
          <w:p w14:paraId="007042AF" w14:textId="77777777" w:rsidR="00196528" w:rsidRPr="00DE1AF3" w:rsidRDefault="00196528" w:rsidP="00196528">
            <w:pPr>
              <w:pStyle w:val="TableText1"/>
              <w:rPr>
                <w:lang w:val="en-GB" w:eastAsia="en-GB"/>
              </w:rPr>
            </w:pPr>
            <w:r>
              <w:rPr>
                <w:lang w:val="en-GB" w:eastAsia="en-GB"/>
              </w:rPr>
              <w:t>General development support</w:t>
            </w:r>
          </w:p>
        </w:tc>
        <w:tc>
          <w:tcPr>
            <w:tcW w:w="1418" w:type="dxa"/>
            <w:vAlign w:val="center"/>
          </w:tcPr>
          <w:p w14:paraId="6DBAF38F" w14:textId="77777777" w:rsidR="00196528" w:rsidRPr="00DE1AF3" w:rsidRDefault="00196528" w:rsidP="00196528">
            <w:pPr>
              <w:pStyle w:val="TableText1"/>
              <w:rPr>
                <w:lang w:val="en-GB" w:eastAsia="en-GB"/>
              </w:rPr>
            </w:pPr>
            <w:r w:rsidRPr="00CF0A8A">
              <w:rPr>
                <w:lang w:val="en-GB" w:eastAsia="en-GB"/>
              </w:rPr>
              <w:t>Yes</w:t>
            </w:r>
          </w:p>
        </w:tc>
        <w:tc>
          <w:tcPr>
            <w:tcW w:w="1134" w:type="dxa"/>
            <w:gridSpan w:val="2"/>
            <w:vAlign w:val="center"/>
          </w:tcPr>
          <w:p w14:paraId="381EB9CD" w14:textId="77777777" w:rsidR="00196528" w:rsidRPr="00DE1AF3" w:rsidRDefault="00196528" w:rsidP="00196528">
            <w:pPr>
              <w:pStyle w:val="TableText1"/>
              <w:rPr>
                <w:lang w:val="en-GB" w:eastAsia="en-GB"/>
              </w:rPr>
            </w:pPr>
            <w:r w:rsidRPr="00DE1AF3">
              <w:rPr>
                <w:lang w:val="en-GB" w:eastAsia="en-GB"/>
              </w:rPr>
              <w:t>No</w:t>
            </w:r>
          </w:p>
        </w:tc>
      </w:tr>
      <w:tr w:rsidR="007B37E5" w:rsidRPr="00DE1AF3" w14:paraId="584BAAED" w14:textId="77777777" w:rsidTr="007B56B7">
        <w:trPr>
          <w:gridAfter w:val="1"/>
          <w:wAfter w:w="97" w:type="dxa"/>
          <w:cantSplit/>
          <w:trHeight w:val="900"/>
        </w:trPr>
        <w:tc>
          <w:tcPr>
            <w:tcW w:w="1136" w:type="dxa"/>
            <w:shd w:val="clear" w:color="auto" w:fill="auto"/>
            <w:noWrap/>
            <w:vAlign w:val="center"/>
            <w:hideMark/>
          </w:tcPr>
          <w:p w14:paraId="338D04EE" w14:textId="77777777" w:rsidR="00196528" w:rsidRPr="00DE1AF3" w:rsidRDefault="00196528" w:rsidP="00196528">
            <w:pPr>
              <w:pStyle w:val="TableText1"/>
              <w:rPr>
                <w:lang w:val="en-GB" w:eastAsia="en-GB"/>
              </w:rPr>
            </w:pPr>
            <w:r w:rsidRPr="00DE1AF3">
              <w:rPr>
                <w:lang w:val="en-GB" w:eastAsia="en-GB"/>
              </w:rPr>
              <w:t>INJ371</w:t>
            </w:r>
          </w:p>
        </w:tc>
        <w:tc>
          <w:tcPr>
            <w:tcW w:w="3545" w:type="dxa"/>
            <w:shd w:val="clear" w:color="000000" w:fill="FFFFFF"/>
            <w:vAlign w:val="center"/>
            <w:hideMark/>
          </w:tcPr>
          <w:p w14:paraId="4402F334" w14:textId="77777777" w:rsidR="00196528" w:rsidRPr="00DE1AF3" w:rsidRDefault="00196528" w:rsidP="00196528">
            <w:pPr>
              <w:pStyle w:val="TableText1"/>
              <w:rPr>
                <w:lang w:val="en-GB" w:eastAsia="en-GB"/>
              </w:rPr>
            </w:pPr>
            <w:r w:rsidRPr="00DE1AF3">
              <w:rPr>
                <w:lang w:val="en-GB" w:eastAsia="en-GB"/>
              </w:rPr>
              <w:t>Final Evaluation of Timor-Leste</w:t>
            </w:r>
            <w:r>
              <w:rPr>
                <w:lang w:val="en-GB" w:eastAsia="en-GB"/>
              </w:rPr>
              <w:t xml:space="preserve"> </w:t>
            </w:r>
            <w:r w:rsidRPr="00DE1AF3">
              <w:rPr>
                <w:lang w:val="en-GB" w:eastAsia="en-GB"/>
              </w:rPr>
              <w:t>Investment Budget Execution Support for Rural Infrastructure Development and Employment Generation</w:t>
            </w:r>
          </w:p>
        </w:tc>
        <w:tc>
          <w:tcPr>
            <w:tcW w:w="1134" w:type="dxa"/>
            <w:shd w:val="clear" w:color="000000" w:fill="FFFFFF"/>
            <w:noWrap/>
            <w:vAlign w:val="center"/>
            <w:hideMark/>
          </w:tcPr>
          <w:p w14:paraId="4038FC70" w14:textId="77777777" w:rsidR="00196528" w:rsidRPr="00DE1AF3" w:rsidRDefault="00196528" w:rsidP="00196528">
            <w:pPr>
              <w:pStyle w:val="TableText1"/>
              <w:rPr>
                <w:lang w:val="en-GB" w:eastAsia="en-GB"/>
              </w:rPr>
            </w:pPr>
            <w:r w:rsidRPr="00DE1AF3">
              <w:rPr>
                <w:lang w:val="en-GB" w:eastAsia="en-GB"/>
              </w:rPr>
              <w:t>Timor-Leste</w:t>
            </w:r>
          </w:p>
        </w:tc>
        <w:tc>
          <w:tcPr>
            <w:tcW w:w="1559" w:type="dxa"/>
            <w:shd w:val="clear" w:color="auto" w:fill="auto"/>
            <w:vAlign w:val="center"/>
            <w:hideMark/>
          </w:tcPr>
          <w:p w14:paraId="653939C4" w14:textId="77777777" w:rsidR="00196528" w:rsidRPr="00DE1AF3" w:rsidRDefault="00196528" w:rsidP="00196528">
            <w:pPr>
              <w:pStyle w:val="TableText1"/>
              <w:rPr>
                <w:lang w:val="en-GB" w:eastAsia="en-GB"/>
              </w:rPr>
            </w:pPr>
            <w:r w:rsidRPr="00DE1AF3">
              <w:rPr>
                <w:lang w:val="en-GB" w:eastAsia="en-GB"/>
              </w:rPr>
              <w:t>Infrastructure</w:t>
            </w:r>
          </w:p>
        </w:tc>
        <w:tc>
          <w:tcPr>
            <w:tcW w:w="1418" w:type="dxa"/>
            <w:vAlign w:val="center"/>
          </w:tcPr>
          <w:p w14:paraId="5F69EF50" w14:textId="77777777" w:rsidR="00196528" w:rsidRPr="00DE1AF3" w:rsidRDefault="00196528" w:rsidP="00196528">
            <w:pPr>
              <w:pStyle w:val="TableText1"/>
              <w:rPr>
                <w:lang w:val="en-GB" w:eastAsia="en-GB"/>
              </w:rPr>
            </w:pPr>
            <w:r w:rsidRPr="00CF0A8A">
              <w:rPr>
                <w:lang w:val="en-GB" w:eastAsia="en-GB"/>
              </w:rPr>
              <w:t>Yes</w:t>
            </w:r>
          </w:p>
        </w:tc>
        <w:tc>
          <w:tcPr>
            <w:tcW w:w="1134" w:type="dxa"/>
            <w:gridSpan w:val="2"/>
            <w:vAlign w:val="center"/>
          </w:tcPr>
          <w:p w14:paraId="7E0ECB77" w14:textId="77777777" w:rsidR="00196528" w:rsidRPr="00DE1AF3" w:rsidRDefault="00196528" w:rsidP="00196528">
            <w:pPr>
              <w:pStyle w:val="TableText1"/>
              <w:rPr>
                <w:lang w:val="en-GB" w:eastAsia="en-GB"/>
              </w:rPr>
            </w:pPr>
            <w:r w:rsidRPr="00DE1AF3">
              <w:rPr>
                <w:lang w:val="en-GB" w:eastAsia="en-GB"/>
              </w:rPr>
              <w:t>Yes</w:t>
            </w:r>
          </w:p>
        </w:tc>
      </w:tr>
      <w:tr w:rsidR="007B37E5" w:rsidRPr="00DE1AF3" w14:paraId="5970BA25" w14:textId="77777777" w:rsidTr="007B56B7">
        <w:trPr>
          <w:gridAfter w:val="1"/>
          <w:wAfter w:w="97" w:type="dxa"/>
          <w:cantSplit/>
          <w:trHeight w:val="900"/>
        </w:trPr>
        <w:tc>
          <w:tcPr>
            <w:tcW w:w="1136" w:type="dxa"/>
            <w:shd w:val="clear" w:color="auto" w:fill="auto"/>
            <w:vAlign w:val="center"/>
            <w:hideMark/>
          </w:tcPr>
          <w:p w14:paraId="6459CD43" w14:textId="77777777" w:rsidR="00196528" w:rsidRPr="00DE1AF3" w:rsidRDefault="00196528" w:rsidP="00196528">
            <w:pPr>
              <w:pStyle w:val="TableText1"/>
              <w:rPr>
                <w:lang w:val="en-GB" w:eastAsia="en-GB"/>
              </w:rPr>
            </w:pPr>
            <w:r w:rsidRPr="00DE1AF3">
              <w:rPr>
                <w:lang w:val="en-GB" w:eastAsia="en-GB"/>
              </w:rPr>
              <w:t>INJ632</w:t>
            </w:r>
          </w:p>
        </w:tc>
        <w:tc>
          <w:tcPr>
            <w:tcW w:w="3545" w:type="dxa"/>
            <w:shd w:val="clear" w:color="000000" w:fill="FFFFFF"/>
            <w:vAlign w:val="center"/>
            <w:hideMark/>
          </w:tcPr>
          <w:p w14:paraId="64245FF3" w14:textId="77777777" w:rsidR="00196528" w:rsidRPr="00DE1AF3" w:rsidRDefault="00196528" w:rsidP="00196528">
            <w:pPr>
              <w:pStyle w:val="TableText1"/>
              <w:rPr>
                <w:lang w:val="en-GB" w:eastAsia="en-GB"/>
              </w:rPr>
            </w:pPr>
            <w:r w:rsidRPr="00DE1AF3">
              <w:rPr>
                <w:lang w:val="en-GB" w:eastAsia="en-GB"/>
              </w:rPr>
              <w:t>Independent Progress Review of the Australia Indonesia Electoral Support Program 2011–15</w:t>
            </w:r>
          </w:p>
        </w:tc>
        <w:tc>
          <w:tcPr>
            <w:tcW w:w="1134" w:type="dxa"/>
            <w:shd w:val="clear" w:color="000000" w:fill="FFFFFF"/>
            <w:noWrap/>
            <w:vAlign w:val="center"/>
            <w:hideMark/>
          </w:tcPr>
          <w:p w14:paraId="6281DA99" w14:textId="77777777" w:rsidR="00196528" w:rsidRPr="00DE1AF3" w:rsidRDefault="00196528" w:rsidP="00196528">
            <w:pPr>
              <w:pStyle w:val="TableText1"/>
              <w:rPr>
                <w:lang w:val="en-GB" w:eastAsia="en-GB"/>
              </w:rPr>
            </w:pPr>
            <w:r w:rsidRPr="00DE1AF3">
              <w:rPr>
                <w:lang w:val="en-GB" w:eastAsia="en-GB"/>
              </w:rPr>
              <w:t>Indonesia</w:t>
            </w:r>
          </w:p>
        </w:tc>
        <w:tc>
          <w:tcPr>
            <w:tcW w:w="1559" w:type="dxa"/>
            <w:shd w:val="clear" w:color="auto" w:fill="auto"/>
            <w:vAlign w:val="center"/>
            <w:hideMark/>
          </w:tcPr>
          <w:p w14:paraId="2AABF9F2" w14:textId="77777777" w:rsidR="00196528" w:rsidRPr="00DE1AF3" w:rsidRDefault="00196528" w:rsidP="00196528">
            <w:pPr>
              <w:pStyle w:val="TableText1"/>
              <w:rPr>
                <w:lang w:val="en-GB" w:eastAsia="en-GB"/>
              </w:rPr>
            </w:pPr>
            <w:r w:rsidRPr="00DE1AF3">
              <w:rPr>
                <w:lang w:val="en-GB" w:eastAsia="en-GB"/>
              </w:rPr>
              <w:t>Human rights</w:t>
            </w:r>
          </w:p>
        </w:tc>
        <w:tc>
          <w:tcPr>
            <w:tcW w:w="1418" w:type="dxa"/>
            <w:vAlign w:val="center"/>
          </w:tcPr>
          <w:p w14:paraId="22A09501" w14:textId="77777777" w:rsidR="00196528" w:rsidRPr="00DE1AF3" w:rsidRDefault="00196528" w:rsidP="00196528">
            <w:pPr>
              <w:pStyle w:val="TableText1"/>
              <w:rPr>
                <w:lang w:val="en-GB" w:eastAsia="en-GB"/>
              </w:rPr>
            </w:pPr>
            <w:r w:rsidRPr="00CF0A8A">
              <w:rPr>
                <w:lang w:val="en-GB" w:eastAsia="en-GB"/>
              </w:rPr>
              <w:t>Yes</w:t>
            </w:r>
          </w:p>
        </w:tc>
        <w:tc>
          <w:tcPr>
            <w:tcW w:w="1134" w:type="dxa"/>
            <w:gridSpan w:val="2"/>
            <w:vAlign w:val="center"/>
          </w:tcPr>
          <w:p w14:paraId="058103E9" w14:textId="77777777" w:rsidR="00196528" w:rsidRPr="00DE1AF3" w:rsidRDefault="00196528" w:rsidP="00196528">
            <w:pPr>
              <w:pStyle w:val="TableText1"/>
              <w:rPr>
                <w:lang w:val="en-GB" w:eastAsia="en-GB"/>
              </w:rPr>
            </w:pPr>
            <w:r w:rsidRPr="00DE1AF3">
              <w:rPr>
                <w:lang w:val="en-GB" w:eastAsia="en-GB"/>
              </w:rPr>
              <w:t>No</w:t>
            </w:r>
          </w:p>
        </w:tc>
      </w:tr>
      <w:tr w:rsidR="007B37E5" w:rsidRPr="00DE1AF3" w14:paraId="172DF099" w14:textId="77777777" w:rsidTr="007B56B7">
        <w:trPr>
          <w:gridAfter w:val="1"/>
          <w:wAfter w:w="97" w:type="dxa"/>
          <w:cantSplit/>
          <w:trHeight w:val="900"/>
        </w:trPr>
        <w:tc>
          <w:tcPr>
            <w:tcW w:w="1136" w:type="dxa"/>
            <w:shd w:val="clear" w:color="auto" w:fill="auto"/>
            <w:vAlign w:val="center"/>
            <w:hideMark/>
          </w:tcPr>
          <w:p w14:paraId="59FB4774" w14:textId="77777777" w:rsidR="00196528" w:rsidRPr="00DE1AF3" w:rsidRDefault="00196528" w:rsidP="00196528">
            <w:pPr>
              <w:pStyle w:val="TableText1"/>
              <w:rPr>
                <w:lang w:val="en-GB" w:eastAsia="en-GB"/>
              </w:rPr>
            </w:pPr>
            <w:r w:rsidRPr="00DE1AF3">
              <w:rPr>
                <w:lang w:val="en-GB" w:eastAsia="en-GB"/>
              </w:rPr>
              <w:t>INJ657</w:t>
            </w:r>
          </w:p>
        </w:tc>
        <w:tc>
          <w:tcPr>
            <w:tcW w:w="3545" w:type="dxa"/>
            <w:shd w:val="clear" w:color="000000" w:fill="FFFFFF"/>
            <w:vAlign w:val="center"/>
            <w:hideMark/>
          </w:tcPr>
          <w:p w14:paraId="17F10256" w14:textId="77777777" w:rsidR="00196528" w:rsidRPr="00DE1AF3" w:rsidRDefault="00196528" w:rsidP="00196528">
            <w:pPr>
              <w:pStyle w:val="TableText1"/>
              <w:rPr>
                <w:lang w:val="en-GB" w:eastAsia="en-GB"/>
              </w:rPr>
            </w:pPr>
            <w:r w:rsidRPr="00DE1AF3">
              <w:rPr>
                <w:lang w:val="en-GB" w:eastAsia="en-GB"/>
              </w:rPr>
              <w:t xml:space="preserve">Mid Term Review of Partnership agreement between AusAID and Australian Red Cross </w:t>
            </w:r>
          </w:p>
        </w:tc>
        <w:tc>
          <w:tcPr>
            <w:tcW w:w="1134" w:type="dxa"/>
            <w:shd w:val="clear" w:color="000000" w:fill="FFFFFF"/>
            <w:vAlign w:val="center"/>
            <w:hideMark/>
          </w:tcPr>
          <w:p w14:paraId="13F364E0" w14:textId="77777777" w:rsidR="00196528" w:rsidRPr="00DE1AF3" w:rsidRDefault="00196528" w:rsidP="00196528">
            <w:pPr>
              <w:pStyle w:val="TableText1"/>
              <w:rPr>
                <w:lang w:val="en-GB" w:eastAsia="en-GB"/>
              </w:rPr>
            </w:pPr>
            <w:r>
              <w:rPr>
                <w:lang w:val="en-GB" w:eastAsia="en-GB"/>
              </w:rPr>
              <w:t>Multicountry</w:t>
            </w:r>
          </w:p>
        </w:tc>
        <w:tc>
          <w:tcPr>
            <w:tcW w:w="1559" w:type="dxa"/>
            <w:shd w:val="clear" w:color="auto" w:fill="auto"/>
            <w:vAlign w:val="center"/>
            <w:hideMark/>
          </w:tcPr>
          <w:p w14:paraId="7B71B1B9" w14:textId="77777777" w:rsidR="00196528" w:rsidRPr="00DE1AF3" w:rsidRDefault="00196528" w:rsidP="00196528">
            <w:pPr>
              <w:pStyle w:val="TableText1"/>
              <w:rPr>
                <w:lang w:val="en-GB" w:eastAsia="en-GB"/>
              </w:rPr>
            </w:pPr>
            <w:r w:rsidRPr="00DE1AF3">
              <w:rPr>
                <w:lang w:val="en-GB" w:eastAsia="en-GB"/>
              </w:rPr>
              <w:t>Humanitarian</w:t>
            </w:r>
            <w:r>
              <w:rPr>
                <w:lang w:val="en-GB" w:eastAsia="en-GB"/>
              </w:rPr>
              <w:t xml:space="preserve"> response</w:t>
            </w:r>
          </w:p>
        </w:tc>
        <w:tc>
          <w:tcPr>
            <w:tcW w:w="1418" w:type="dxa"/>
            <w:vAlign w:val="center"/>
          </w:tcPr>
          <w:p w14:paraId="53BC09EE" w14:textId="77777777" w:rsidR="00196528" w:rsidRPr="00DE1AF3" w:rsidRDefault="00196528" w:rsidP="00196528">
            <w:pPr>
              <w:pStyle w:val="TableText1"/>
              <w:rPr>
                <w:lang w:val="en-GB" w:eastAsia="en-GB"/>
              </w:rPr>
            </w:pPr>
            <w:r w:rsidRPr="00CF0A8A">
              <w:rPr>
                <w:lang w:val="en-GB" w:eastAsia="en-GB"/>
              </w:rPr>
              <w:t>Yes</w:t>
            </w:r>
          </w:p>
        </w:tc>
        <w:tc>
          <w:tcPr>
            <w:tcW w:w="1134" w:type="dxa"/>
            <w:gridSpan w:val="2"/>
            <w:vAlign w:val="center"/>
          </w:tcPr>
          <w:p w14:paraId="6FD5D5BC" w14:textId="77777777" w:rsidR="00196528" w:rsidRPr="00DE1AF3" w:rsidRDefault="00196528" w:rsidP="00196528">
            <w:pPr>
              <w:pStyle w:val="TableText1"/>
              <w:rPr>
                <w:lang w:val="en-GB" w:eastAsia="en-GB"/>
              </w:rPr>
            </w:pPr>
            <w:r w:rsidRPr="00DE1AF3">
              <w:rPr>
                <w:lang w:val="en-GB" w:eastAsia="en-GB"/>
              </w:rPr>
              <w:t>Yes</w:t>
            </w:r>
          </w:p>
        </w:tc>
      </w:tr>
      <w:tr w:rsidR="007B37E5" w:rsidRPr="00DE1AF3" w14:paraId="381CF10F" w14:textId="77777777" w:rsidTr="007B56B7">
        <w:trPr>
          <w:gridAfter w:val="1"/>
          <w:wAfter w:w="97" w:type="dxa"/>
          <w:cantSplit/>
          <w:trHeight w:val="900"/>
        </w:trPr>
        <w:tc>
          <w:tcPr>
            <w:tcW w:w="1136" w:type="dxa"/>
            <w:shd w:val="clear" w:color="auto" w:fill="auto"/>
            <w:noWrap/>
            <w:vAlign w:val="center"/>
            <w:hideMark/>
          </w:tcPr>
          <w:p w14:paraId="2D691D2F" w14:textId="77777777" w:rsidR="00196528" w:rsidRPr="00DE1AF3" w:rsidRDefault="00196528" w:rsidP="00196528">
            <w:pPr>
              <w:pStyle w:val="TableText1"/>
              <w:rPr>
                <w:lang w:val="en-GB" w:eastAsia="en-GB"/>
              </w:rPr>
            </w:pPr>
            <w:r w:rsidRPr="00DE1AF3">
              <w:rPr>
                <w:lang w:val="en-GB" w:eastAsia="en-GB"/>
              </w:rPr>
              <w:t>INJ675</w:t>
            </w:r>
          </w:p>
        </w:tc>
        <w:tc>
          <w:tcPr>
            <w:tcW w:w="3545" w:type="dxa"/>
            <w:shd w:val="clear" w:color="000000" w:fill="FFFFFF"/>
            <w:vAlign w:val="center"/>
            <w:hideMark/>
          </w:tcPr>
          <w:p w14:paraId="349153D7" w14:textId="77777777" w:rsidR="00196528" w:rsidRPr="00DE1AF3" w:rsidRDefault="00196528" w:rsidP="00196528">
            <w:pPr>
              <w:pStyle w:val="TableText1"/>
              <w:rPr>
                <w:lang w:val="en-GB" w:eastAsia="en-GB"/>
              </w:rPr>
            </w:pPr>
            <w:r>
              <w:rPr>
                <w:lang w:val="en-GB" w:eastAsia="en-GB"/>
              </w:rPr>
              <w:t>Independent Progress Report</w:t>
            </w:r>
            <w:r w:rsidRPr="00DE1AF3">
              <w:rPr>
                <w:lang w:val="en-GB" w:eastAsia="en-GB"/>
              </w:rPr>
              <w:t xml:space="preserve"> </w:t>
            </w:r>
            <w:r>
              <w:rPr>
                <w:lang w:val="en-GB" w:eastAsia="en-GB"/>
              </w:rPr>
              <w:t xml:space="preserve">for the </w:t>
            </w:r>
            <w:r w:rsidRPr="00DE1AF3">
              <w:rPr>
                <w:lang w:val="en-GB" w:eastAsia="en-GB"/>
              </w:rPr>
              <w:t>Vanuatu Australia Police Project</w:t>
            </w:r>
            <w:r>
              <w:rPr>
                <w:lang w:val="en-GB" w:eastAsia="en-GB"/>
              </w:rPr>
              <w:t xml:space="preserve"> </w:t>
            </w:r>
          </w:p>
        </w:tc>
        <w:tc>
          <w:tcPr>
            <w:tcW w:w="1134" w:type="dxa"/>
            <w:shd w:val="clear" w:color="000000" w:fill="FFFFFF"/>
            <w:noWrap/>
            <w:vAlign w:val="center"/>
            <w:hideMark/>
          </w:tcPr>
          <w:p w14:paraId="464A28AF" w14:textId="77777777" w:rsidR="00196528" w:rsidRPr="00DE1AF3" w:rsidRDefault="00196528" w:rsidP="00196528">
            <w:pPr>
              <w:pStyle w:val="TableText1"/>
              <w:rPr>
                <w:lang w:val="en-GB" w:eastAsia="en-GB"/>
              </w:rPr>
            </w:pPr>
            <w:r w:rsidRPr="00DE1AF3">
              <w:rPr>
                <w:lang w:val="en-GB" w:eastAsia="en-GB"/>
              </w:rPr>
              <w:t>Vanuatu</w:t>
            </w:r>
          </w:p>
        </w:tc>
        <w:tc>
          <w:tcPr>
            <w:tcW w:w="1559" w:type="dxa"/>
            <w:shd w:val="clear" w:color="auto" w:fill="auto"/>
            <w:vAlign w:val="center"/>
            <w:hideMark/>
          </w:tcPr>
          <w:p w14:paraId="2607A9A7" w14:textId="77777777" w:rsidR="00196528" w:rsidRPr="00DE1AF3" w:rsidRDefault="00196528" w:rsidP="00196528">
            <w:pPr>
              <w:pStyle w:val="TableText1"/>
              <w:rPr>
                <w:lang w:val="en-GB" w:eastAsia="en-GB"/>
              </w:rPr>
            </w:pPr>
            <w:r>
              <w:rPr>
                <w:lang w:val="en-GB" w:eastAsia="en-GB"/>
              </w:rPr>
              <w:t xml:space="preserve">Security </w:t>
            </w:r>
            <w:r w:rsidRPr="00DE1AF3">
              <w:rPr>
                <w:lang w:val="en-GB" w:eastAsia="en-GB"/>
              </w:rPr>
              <w:t>and justice</w:t>
            </w:r>
          </w:p>
        </w:tc>
        <w:tc>
          <w:tcPr>
            <w:tcW w:w="1418" w:type="dxa"/>
            <w:vAlign w:val="center"/>
          </w:tcPr>
          <w:p w14:paraId="0F042A9C" w14:textId="77777777" w:rsidR="00196528" w:rsidRPr="00DE1AF3" w:rsidRDefault="00196528" w:rsidP="00196528">
            <w:pPr>
              <w:pStyle w:val="TableText1"/>
              <w:rPr>
                <w:lang w:val="en-GB" w:eastAsia="en-GB"/>
              </w:rPr>
            </w:pPr>
            <w:r w:rsidRPr="00CF0A8A">
              <w:rPr>
                <w:lang w:val="en-GB" w:eastAsia="en-GB"/>
              </w:rPr>
              <w:t>Yes</w:t>
            </w:r>
          </w:p>
        </w:tc>
        <w:tc>
          <w:tcPr>
            <w:tcW w:w="1134" w:type="dxa"/>
            <w:gridSpan w:val="2"/>
            <w:vAlign w:val="center"/>
          </w:tcPr>
          <w:p w14:paraId="2DE36C54" w14:textId="77777777" w:rsidR="00196528" w:rsidRPr="00DE1AF3" w:rsidRDefault="00196528" w:rsidP="00196528">
            <w:pPr>
              <w:pStyle w:val="TableText1"/>
              <w:rPr>
                <w:lang w:val="en-GB" w:eastAsia="en-GB"/>
              </w:rPr>
            </w:pPr>
            <w:r w:rsidRPr="00DE1AF3">
              <w:rPr>
                <w:lang w:val="en-GB" w:eastAsia="en-GB"/>
              </w:rPr>
              <w:t>No</w:t>
            </w:r>
          </w:p>
        </w:tc>
      </w:tr>
    </w:tbl>
    <w:p w14:paraId="61BBDBF3" w14:textId="77777777" w:rsidR="007B37E5" w:rsidRDefault="007B37E5"/>
    <w:p w14:paraId="0BB62443" w14:textId="77777777" w:rsidR="007B37E5" w:rsidRDefault="007B37E5"/>
    <w:tbl>
      <w:tblPr>
        <w:tblW w:w="9926" w:type="dxa"/>
        <w:tblInd w:w="-320" w:type="dxa"/>
        <w:tblBorders>
          <w:top w:val="single" w:sz="4" w:space="0" w:color="31849B"/>
          <w:bottom w:val="single" w:sz="4" w:space="0" w:color="31849B"/>
          <w:insideH w:val="single" w:sz="4" w:space="0" w:color="31849B"/>
        </w:tblBorders>
        <w:tblLayout w:type="fixed"/>
        <w:tblLook w:val="04A0" w:firstRow="1" w:lastRow="0" w:firstColumn="1" w:lastColumn="0" w:noHBand="0" w:noVBand="1"/>
      </w:tblPr>
      <w:tblGrid>
        <w:gridCol w:w="1136"/>
        <w:gridCol w:w="3403"/>
        <w:gridCol w:w="1276"/>
        <w:gridCol w:w="1417"/>
        <w:gridCol w:w="1418"/>
        <w:gridCol w:w="1276"/>
      </w:tblGrid>
      <w:tr w:rsidR="007B37E5" w:rsidRPr="007B56B7" w14:paraId="1C1396E5" w14:textId="77777777" w:rsidTr="009841B9">
        <w:trPr>
          <w:cantSplit/>
          <w:trHeight w:val="900"/>
        </w:trPr>
        <w:tc>
          <w:tcPr>
            <w:tcW w:w="1136" w:type="dxa"/>
            <w:tcBorders>
              <w:top w:val="single" w:sz="4" w:space="0" w:color="31849B"/>
              <w:bottom w:val="single" w:sz="4" w:space="0" w:color="31849B"/>
              <w:right w:val="single" w:sz="4" w:space="0" w:color="31849B"/>
            </w:tcBorders>
            <w:shd w:val="clear" w:color="auto" w:fill="007FAD"/>
            <w:vAlign w:val="center"/>
            <w:hideMark/>
          </w:tcPr>
          <w:p w14:paraId="0AF7109A" w14:textId="77777777" w:rsidR="007B37E5" w:rsidRPr="007B37E5" w:rsidRDefault="007B37E5" w:rsidP="007B56B7">
            <w:pPr>
              <w:pStyle w:val="TableHeading21"/>
              <w:rPr>
                <w:i w:val="0"/>
                <w:lang w:val="en-GB" w:eastAsia="en-GB"/>
              </w:rPr>
            </w:pPr>
            <w:r w:rsidRPr="007B37E5">
              <w:rPr>
                <w:i w:val="0"/>
                <w:lang w:val="en-GB" w:eastAsia="en-GB"/>
              </w:rPr>
              <w:lastRenderedPageBreak/>
              <w:t>Initiative number</w:t>
            </w:r>
          </w:p>
        </w:tc>
        <w:tc>
          <w:tcPr>
            <w:tcW w:w="3403" w:type="dxa"/>
            <w:tcBorders>
              <w:top w:val="single" w:sz="4" w:space="0" w:color="31849B"/>
              <w:bottom w:val="single" w:sz="4" w:space="0" w:color="31849B"/>
              <w:right w:val="single" w:sz="4" w:space="0" w:color="31849B"/>
            </w:tcBorders>
            <w:shd w:val="clear" w:color="auto" w:fill="007FAD"/>
            <w:vAlign w:val="center"/>
            <w:hideMark/>
          </w:tcPr>
          <w:p w14:paraId="4344A210" w14:textId="77777777" w:rsidR="007B37E5" w:rsidRPr="007B37E5" w:rsidRDefault="007B37E5" w:rsidP="007B56B7">
            <w:pPr>
              <w:pStyle w:val="TableHeading21"/>
              <w:rPr>
                <w:i w:val="0"/>
                <w:lang w:val="en-GB" w:eastAsia="en-GB"/>
              </w:rPr>
            </w:pPr>
            <w:r w:rsidRPr="007B37E5">
              <w:rPr>
                <w:i w:val="0"/>
                <w:lang w:val="en-GB" w:eastAsia="en-GB"/>
              </w:rPr>
              <w:t>Evaluation title</w:t>
            </w:r>
          </w:p>
        </w:tc>
        <w:tc>
          <w:tcPr>
            <w:tcW w:w="1276" w:type="dxa"/>
            <w:tcBorders>
              <w:top w:val="single" w:sz="4" w:space="0" w:color="31849B"/>
              <w:bottom w:val="single" w:sz="4" w:space="0" w:color="31849B"/>
              <w:right w:val="single" w:sz="4" w:space="0" w:color="31849B"/>
            </w:tcBorders>
            <w:shd w:val="clear" w:color="auto" w:fill="007FAD"/>
            <w:noWrap/>
            <w:vAlign w:val="center"/>
            <w:hideMark/>
          </w:tcPr>
          <w:p w14:paraId="3B0A098B" w14:textId="77777777" w:rsidR="007B37E5" w:rsidRPr="007B37E5" w:rsidRDefault="007B37E5" w:rsidP="007B56B7">
            <w:pPr>
              <w:pStyle w:val="TableHeading21"/>
              <w:rPr>
                <w:i w:val="0"/>
                <w:lang w:val="en-GB" w:eastAsia="en-GB"/>
              </w:rPr>
            </w:pPr>
            <w:r w:rsidRPr="007B37E5">
              <w:rPr>
                <w:i w:val="0"/>
                <w:lang w:val="en-GB" w:eastAsia="en-GB"/>
              </w:rPr>
              <w:t>Country</w:t>
            </w:r>
          </w:p>
        </w:tc>
        <w:tc>
          <w:tcPr>
            <w:tcW w:w="1417" w:type="dxa"/>
            <w:tcBorders>
              <w:top w:val="single" w:sz="4" w:space="0" w:color="31849B"/>
              <w:bottom w:val="single" w:sz="4" w:space="0" w:color="31849B"/>
              <w:right w:val="single" w:sz="4" w:space="0" w:color="31849B"/>
            </w:tcBorders>
            <w:shd w:val="clear" w:color="auto" w:fill="007FAD"/>
            <w:vAlign w:val="center"/>
            <w:hideMark/>
          </w:tcPr>
          <w:p w14:paraId="0B1CE926" w14:textId="77777777" w:rsidR="007B37E5" w:rsidRPr="007B37E5" w:rsidRDefault="007B37E5" w:rsidP="007B56B7">
            <w:pPr>
              <w:pStyle w:val="TableHeading21"/>
              <w:rPr>
                <w:i w:val="0"/>
                <w:lang w:val="en-GB" w:eastAsia="en-GB"/>
              </w:rPr>
            </w:pPr>
            <w:r w:rsidRPr="007B37E5">
              <w:rPr>
                <w:i w:val="0"/>
                <w:lang w:val="en-GB" w:eastAsia="en-GB"/>
              </w:rPr>
              <w:t>Primary sector</w:t>
            </w:r>
          </w:p>
        </w:tc>
        <w:tc>
          <w:tcPr>
            <w:tcW w:w="1418" w:type="dxa"/>
            <w:tcBorders>
              <w:top w:val="single" w:sz="4" w:space="0" w:color="31849B"/>
              <w:bottom w:val="single" w:sz="4" w:space="0" w:color="31849B"/>
              <w:right w:val="single" w:sz="4" w:space="0" w:color="31849B"/>
            </w:tcBorders>
            <w:shd w:val="clear" w:color="auto" w:fill="007FAD"/>
            <w:vAlign w:val="center"/>
          </w:tcPr>
          <w:p w14:paraId="6F290D80" w14:textId="77777777" w:rsidR="007B37E5" w:rsidRPr="007B37E5" w:rsidRDefault="007B37E5" w:rsidP="007B56B7">
            <w:pPr>
              <w:pStyle w:val="TableHeading21"/>
              <w:rPr>
                <w:i w:val="0"/>
                <w:lang w:val="en-GB" w:eastAsia="en-GB"/>
              </w:rPr>
            </w:pPr>
            <w:r w:rsidRPr="007B37E5">
              <w:rPr>
                <w:i w:val="0"/>
                <w:lang w:val="en-GB" w:eastAsia="en-GB"/>
              </w:rPr>
              <w:t>Evidence and analysis assessed as credible?</w:t>
            </w:r>
          </w:p>
        </w:tc>
        <w:tc>
          <w:tcPr>
            <w:tcW w:w="1276" w:type="dxa"/>
            <w:tcBorders>
              <w:top w:val="single" w:sz="4" w:space="0" w:color="31849B"/>
              <w:bottom w:val="single" w:sz="4" w:space="0" w:color="31849B"/>
            </w:tcBorders>
            <w:shd w:val="clear" w:color="auto" w:fill="007FAD"/>
            <w:vAlign w:val="center"/>
          </w:tcPr>
          <w:p w14:paraId="14F7D845" w14:textId="77777777" w:rsidR="007B37E5" w:rsidRPr="007B37E5" w:rsidRDefault="007B37E5" w:rsidP="007B56B7">
            <w:pPr>
              <w:pStyle w:val="TableHeading21"/>
              <w:rPr>
                <w:i w:val="0"/>
                <w:lang w:val="en-GB" w:eastAsia="en-GB"/>
              </w:rPr>
            </w:pPr>
            <w:r w:rsidRPr="007B37E5">
              <w:rPr>
                <w:i w:val="0"/>
                <w:lang w:val="en-GB" w:eastAsia="en-GB"/>
              </w:rPr>
              <w:t>Published on DFAT website?</w:t>
            </w:r>
          </w:p>
        </w:tc>
      </w:tr>
      <w:tr w:rsidR="007B37E5" w:rsidRPr="00DE1AF3" w14:paraId="5659B46F" w14:textId="77777777" w:rsidTr="009841B9">
        <w:trPr>
          <w:cantSplit/>
          <w:trHeight w:val="900"/>
        </w:trPr>
        <w:tc>
          <w:tcPr>
            <w:tcW w:w="1136" w:type="dxa"/>
            <w:shd w:val="clear" w:color="auto" w:fill="auto"/>
            <w:vAlign w:val="center"/>
            <w:hideMark/>
          </w:tcPr>
          <w:p w14:paraId="6B125BC9" w14:textId="77777777" w:rsidR="007B37E5" w:rsidRPr="00DE1AF3" w:rsidRDefault="007B37E5" w:rsidP="007B37E5">
            <w:pPr>
              <w:pStyle w:val="TableText1"/>
              <w:rPr>
                <w:lang w:val="en-GB" w:eastAsia="en-GB"/>
              </w:rPr>
            </w:pPr>
            <w:r w:rsidRPr="00DE1AF3">
              <w:rPr>
                <w:lang w:val="en-GB" w:eastAsia="en-GB"/>
              </w:rPr>
              <w:t>INJ691</w:t>
            </w:r>
          </w:p>
        </w:tc>
        <w:tc>
          <w:tcPr>
            <w:tcW w:w="3403" w:type="dxa"/>
            <w:shd w:val="clear" w:color="000000" w:fill="FFFFFF"/>
            <w:vAlign w:val="center"/>
            <w:hideMark/>
          </w:tcPr>
          <w:p w14:paraId="3A583065" w14:textId="77777777" w:rsidR="007B37E5" w:rsidRPr="00DE1AF3" w:rsidRDefault="007B37E5" w:rsidP="007B37E5">
            <w:pPr>
              <w:pStyle w:val="TableText1"/>
              <w:rPr>
                <w:lang w:val="en-GB" w:eastAsia="en-GB"/>
              </w:rPr>
            </w:pPr>
            <w:r w:rsidRPr="00DE1AF3">
              <w:rPr>
                <w:lang w:val="en-GB" w:eastAsia="en-GB"/>
              </w:rPr>
              <w:t>Mid Term Independent Review of the RedR Australia and AusAID Partnership Agreement</w:t>
            </w:r>
          </w:p>
        </w:tc>
        <w:tc>
          <w:tcPr>
            <w:tcW w:w="1276" w:type="dxa"/>
            <w:shd w:val="clear" w:color="000000" w:fill="FFFFFF"/>
            <w:noWrap/>
            <w:vAlign w:val="center"/>
            <w:hideMark/>
          </w:tcPr>
          <w:p w14:paraId="64456EA0" w14:textId="77777777" w:rsidR="007B37E5" w:rsidRPr="00DE1AF3" w:rsidRDefault="007B37E5" w:rsidP="007B37E5">
            <w:pPr>
              <w:pStyle w:val="TableText1"/>
              <w:rPr>
                <w:lang w:val="en-GB" w:eastAsia="en-GB"/>
              </w:rPr>
            </w:pPr>
            <w:r w:rsidRPr="00DE1AF3">
              <w:rPr>
                <w:lang w:val="en-GB" w:eastAsia="en-GB"/>
              </w:rPr>
              <w:t>Multicountry</w:t>
            </w:r>
          </w:p>
        </w:tc>
        <w:tc>
          <w:tcPr>
            <w:tcW w:w="1417" w:type="dxa"/>
            <w:shd w:val="clear" w:color="auto" w:fill="auto"/>
            <w:vAlign w:val="center"/>
            <w:hideMark/>
          </w:tcPr>
          <w:p w14:paraId="56B1EB75" w14:textId="77777777" w:rsidR="007B37E5" w:rsidRPr="00DE1AF3" w:rsidRDefault="007B37E5" w:rsidP="007B37E5">
            <w:pPr>
              <w:pStyle w:val="TableText1"/>
              <w:rPr>
                <w:lang w:val="en-GB" w:eastAsia="en-GB"/>
              </w:rPr>
            </w:pPr>
            <w:r w:rsidRPr="00DE1AF3">
              <w:rPr>
                <w:lang w:val="en-GB" w:eastAsia="en-GB"/>
              </w:rPr>
              <w:t>Humanitarian</w:t>
            </w:r>
            <w:r>
              <w:rPr>
                <w:lang w:val="en-GB" w:eastAsia="en-GB"/>
              </w:rPr>
              <w:t xml:space="preserve"> response</w:t>
            </w:r>
          </w:p>
        </w:tc>
        <w:tc>
          <w:tcPr>
            <w:tcW w:w="1418" w:type="dxa"/>
            <w:vAlign w:val="center"/>
          </w:tcPr>
          <w:p w14:paraId="02A2C099" w14:textId="77777777" w:rsidR="007B37E5" w:rsidRPr="00DE1AF3" w:rsidRDefault="007B37E5" w:rsidP="007B37E5">
            <w:pPr>
              <w:pStyle w:val="TableText1"/>
              <w:rPr>
                <w:lang w:val="en-GB" w:eastAsia="en-GB"/>
              </w:rPr>
            </w:pPr>
            <w:r w:rsidRPr="00CF0A8A">
              <w:rPr>
                <w:lang w:val="en-GB" w:eastAsia="en-GB"/>
              </w:rPr>
              <w:t>Yes</w:t>
            </w:r>
          </w:p>
        </w:tc>
        <w:tc>
          <w:tcPr>
            <w:tcW w:w="1276" w:type="dxa"/>
            <w:vAlign w:val="center"/>
          </w:tcPr>
          <w:p w14:paraId="38C35FEF" w14:textId="77777777" w:rsidR="007B37E5" w:rsidRPr="00DE1AF3" w:rsidRDefault="007B37E5" w:rsidP="007B37E5">
            <w:pPr>
              <w:pStyle w:val="TableText1"/>
              <w:rPr>
                <w:lang w:val="en-GB" w:eastAsia="en-GB"/>
              </w:rPr>
            </w:pPr>
            <w:r w:rsidRPr="00DE1AF3">
              <w:rPr>
                <w:lang w:val="en-GB" w:eastAsia="en-GB"/>
              </w:rPr>
              <w:t>Yes</w:t>
            </w:r>
          </w:p>
        </w:tc>
      </w:tr>
      <w:tr w:rsidR="007B37E5" w:rsidRPr="00DE1AF3" w14:paraId="49C9DCE8" w14:textId="77777777" w:rsidTr="009841B9">
        <w:trPr>
          <w:cantSplit/>
          <w:trHeight w:val="900"/>
        </w:trPr>
        <w:tc>
          <w:tcPr>
            <w:tcW w:w="1136" w:type="dxa"/>
            <w:shd w:val="clear" w:color="auto" w:fill="auto"/>
            <w:vAlign w:val="center"/>
            <w:hideMark/>
          </w:tcPr>
          <w:p w14:paraId="542D3952" w14:textId="77777777" w:rsidR="00196528" w:rsidRPr="00DE1AF3" w:rsidRDefault="00196528" w:rsidP="00196528">
            <w:pPr>
              <w:pStyle w:val="TableText1"/>
              <w:rPr>
                <w:lang w:val="en-GB" w:eastAsia="en-GB"/>
              </w:rPr>
            </w:pPr>
            <w:r w:rsidRPr="00DE1AF3">
              <w:rPr>
                <w:lang w:val="en-GB" w:eastAsia="en-GB"/>
              </w:rPr>
              <w:t>INJ746</w:t>
            </w:r>
          </w:p>
        </w:tc>
        <w:tc>
          <w:tcPr>
            <w:tcW w:w="3403" w:type="dxa"/>
            <w:shd w:val="clear" w:color="000000" w:fill="FFFFFF"/>
            <w:vAlign w:val="center"/>
            <w:hideMark/>
          </w:tcPr>
          <w:p w14:paraId="65FCDF25" w14:textId="77777777" w:rsidR="00196528" w:rsidRPr="00DE1AF3" w:rsidRDefault="00196528" w:rsidP="00196528">
            <w:pPr>
              <w:pStyle w:val="TableText1"/>
              <w:rPr>
                <w:lang w:val="en-GB" w:eastAsia="en-GB"/>
              </w:rPr>
            </w:pPr>
            <w:r w:rsidRPr="00DE1AF3">
              <w:rPr>
                <w:lang w:val="en-GB" w:eastAsia="en-GB"/>
              </w:rPr>
              <w:t>Independent External Review of the Secretariat of the Pacific Community (SPC)</w:t>
            </w:r>
          </w:p>
        </w:tc>
        <w:tc>
          <w:tcPr>
            <w:tcW w:w="1276" w:type="dxa"/>
            <w:shd w:val="clear" w:color="000000" w:fill="FFFFFF"/>
            <w:noWrap/>
            <w:vAlign w:val="center"/>
            <w:hideMark/>
          </w:tcPr>
          <w:p w14:paraId="31097EE9" w14:textId="77777777" w:rsidR="00196528" w:rsidRPr="00DE1AF3" w:rsidRDefault="00196528" w:rsidP="00196528">
            <w:pPr>
              <w:pStyle w:val="TableText1"/>
              <w:rPr>
                <w:lang w:val="en-GB" w:eastAsia="en-GB"/>
              </w:rPr>
            </w:pPr>
            <w:r>
              <w:rPr>
                <w:lang w:val="en-GB" w:eastAsia="en-GB"/>
              </w:rPr>
              <w:t>Multicountry</w:t>
            </w:r>
          </w:p>
        </w:tc>
        <w:tc>
          <w:tcPr>
            <w:tcW w:w="1417" w:type="dxa"/>
            <w:shd w:val="clear" w:color="auto" w:fill="auto"/>
            <w:vAlign w:val="center"/>
            <w:hideMark/>
          </w:tcPr>
          <w:p w14:paraId="54567CC5" w14:textId="77777777" w:rsidR="00196528" w:rsidRPr="00DE1AF3" w:rsidRDefault="00196528" w:rsidP="00196528">
            <w:pPr>
              <w:pStyle w:val="TableText1"/>
              <w:rPr>
                <w:lang w:val="en-GB" w:eastAsia="en-GB"/>
              </w:rPr>
            </w:pPr>
            <w:r>
              <w:rPr>
                <w:lang w:val="en-GB" w:eastAsia="en-GB"/>
              </w:rPr>
              <w:t>General development support</w:t>
            </w:r>
          </w:p>
        </w:tc>
        <w:tc>
          <w:tcPr>
            <w:tcW w:w="1418" w:type="dxa"/>
            <w:vAlign w:val="center"/>
          </w:tcPr>
          <w:p w14:paraId="14FD8063" w14:textId="77777777" w:rsidR="00196528" w:rsidRPr="00DE1AF3" w:rsidRDefault="00196528" w:rsidP="00196528">
            <w:pPr>
              <w:pStyle w:val="TableText1"/>
              <w:rPr>
                <w:lang w:val="en-GB" w:eastAsia="en-GB"/>
              </w:rPr>
            </w:pPr>
            <w:r w:rsidRPr="00CF0A8A">
              <w:rPr>
                <w:lang w:val="en-GB" w:eastAsia="en-GB"/>
              </w:rPr>
              <w:t>Yes</w:t>
            </w:r>
          </w:p>
        </w:tc>
        <w:tc>
          <w:tcPr>
            <w:tcW w:w="1276" w:type="dxa"/>
            <w:vAlign w:val="center"/>
          </w:tcPr>
          <w:p w14:paraId="5C33223E" w14:textId="77777777" w:rsidR="00196528" w:rsidRPr="00DE1AF3" w:rsidRDefault="00196528" w:rsidP="00196528">
            <w:pPr>
              <w:pStyle w:val="TableText1"/>
              <w:rPr>
                <w:lang w:val="en-GB" w:eastAsia="en-GB"/>
              </w:rPr>
            </w:pPr>
            <w:r w:rsidRPr="00DE1AF3">
              <w:rPr>
                <w:lang w:val="en-GB" w:eastAsia="en-GB"/>
              </w:rPr>
              <w:t>Yes</w:t>
            </w:r>
          </w:p>
        </w:tc>
      </w:tr>
      <w:tr w:rsidR="007B37E5" w:rsidRPr="00DE1AF3" w14:paraId="1873A21F" w14:textId="77777777" w:rsidTr="009841B9">
        <w:trPr>
          <w:cantSplit/>
          <w:trHeight w:val="900"/>
        </w:trPr>
        <w:tc>
          <w:tcPr>
            <w:tcW w:w="1136" w:type="dxa"/>
            <w:tcBorders>
              <w:bottom w:val="single" w:sz="4" w:space="0" w:color="31849B"/>
            </w:tcBorders>
            <w:shd w:val="clear" w:color="auto" w:fill="auto"/>
            <w:vAlign w:val="center"/>
            <w:hideMark/>
          </w:tcPr>
          <w:p w14:paraId="3D394D68" w14:textId="77777777" w:rsidR="00196528" w:rsidRPr="00DE1AF3" w:rsidRDefault="00196528" w:rsidP="00196528">
            <w:pPr>
              <w:pStyle w:val="TableText1"/>
              <w:rPr>
                <w:lang w:val="en-GB" w:eastAsia="en-GB"/>
              </w:rPr>
            </w:pPr>
            <w:r w:rsidRPr="00DE1AF3">
              <w:rPr>
                <w:lang w:val="en-GB" w:eastAsia="en-GB"/>
              </w:rPr>
              <w:t>INJ794</w:t>
            </w:r>
          </w:p>
        </w:tc>
        <w:tc>
          <w:tcPr>
            <w:tcW w:w="3403" w:type="dxa"/>
            <w:tcBorders>
              <w:bottom w:val="single" w:sz="4" w:space="0" w:color="31849B"/>
            </w:tcBorders>
            <w:shd w:val="clear" w:color="000000" w:fill="FFFFFF"/>
            <w:vAlign w:val="center"/>
            <w:hideMark/>
          </w:tcPr>
          <w:p w14:paraId="5A5B65EC" w14:textId="77777777" w:rsidR="00196528" w:rsidRPr="00DE1AF3" w:rsidRDefault="00196528" w:rsidP="00196528">
            <w:pPr>
              <w:pStyle w:val="TableText1"/>
              <w:rPr>
                <w:lang w:val="en-GB" w:eastAsia="en-GB"/>
              </w:rPr>
            </w:pPr>
            <w:r w:rsidRPr="00DE1AF3">
              <w:rPr>
                <w:lang w:val="en-GB" w:eastAsia="en-GB"/>
              </w:rPr>
              <w:t xml:space="preserve">Independent Review of MTV Exit Asia III </w:t>
            </w:r>
          </w:p>
        </w:tc>
        <w:tc>
          <w:tcPr>
            <w:tcW w:w="1276" w:type="dxa"/>
            <w:tcBorders>
              <w:bottom w:val="single" w:sz="4" w:space="0" w:color="31849B"/>
            </w:tcBorders>
            <w:shd w:val="clear" w:color="000000" w:fill="FFFFFF"/>
            <w:vAlign w:val="center"/>
            <w:hideMark/>
          </w:tcPr>
          <w:p w14:paraId="7F61F216" w14:textId="77777777" w:rsidR="00196528" w:rsidRPr="00DE1AF3" w:rsidRDefault="00196528" w:rsidP="00196528">
            <w:pPr>
              <w:pStyle w:val="TableText1"/>
              <w:rPr>
                <w:lang w:val="en-GB" w:eastAsia="en-GB"/>
              </w:rPr>
            </w:pPr>
            <w:r w:rsidRPr="00DE1AF3">
              <w:rPr>
                <w:lang w:val="en-GB" w:eastAsia="en-GB"/>
              </w:rPr>
              <w:t>Multicountry</w:t>
            </w:r>
          </w:p>
        </w:tc>
        <w:tc>
          <w:tcPr>
            <w:tcW w:w="1417" w:type="dxa"/>
            <w:tcBorders>
              <w:bottom w:val="single" w:sz="4" w:space="0" w:color="31849B"/>
            </w:tcBorders>
            <w:shd w:val="clear" w:color="auto" w:fill="auto"/>
            <w:vAlign w:val="center"/>
            <w:hideMark/>
          </w:tcPr>
          <w:p w14:paraId="6B9130A6" w14:textId="77777777" w:rsidR="00196528" w:rsidRPr="00DE1AF3" w:rsidRDefault="00196528" w:rsidP="00196528">
            <w:pPr>
              <w:pStyle w:val="TableText1"/>
              <w:rPr>
                <w:lang w:val="en-GB" w:eastAsia="en-GB"/>
              </w:rPr>
            </w:pPr>
            <w:r>
              <w:rPr>
                <w:lang w:val="en-GB" w:eastAsia="en-GB"/>
              </w:rPr>
              <w:t>Human rights</w:t>
            </w:r>
          </w:p>
        </w:tc>
        <w:tc>
          <w:tcPr>
            <w:tcW w:w="1418" w:type="dxa"/>
            <w:tcBorders>
              <w:bottom w:val="single" w:sz="4" w:space="0" w:color="31849B"/>
            </w:tcBorders>
            <w:vAlign w:val="center"/>
          </w:tcPr>
          <w:p w14:paraId="3C04377B" w14:textId="77777777" w:rsidR="00196528" w:rsidRPr="00DE1AF3" w:rsidRDefault="00196528" w:rsidP="00196528">
            <w:pPr>
              <w:pStyle w:val="TableText1"/>
              <w:rPr>
                <w:lang w:val="en-GB" w:eastAsia="en-GB"/>
              </w:rPr>
            </w:pPr>
            <w:r w:rsidRPr="00CF0A8A">
              <w:rPr>
                <w:lang w:val="en-GB" w:eastAsia="en-GB"/>
              </w:rPr>
              <w:t>Yes</w:t>
            </w:r>
          </w:p>
        </w:tc>
        <w:tc>
          <w:tcPr>
            <w:tcW w:w="1276" w:type="dxa"/>
            <w:tcBorders>
              <w:bottom w:val="single" w:sz="4" w:space="0" w:color="31849B"/>
            </w:tcBorders>
            <w:vAlign w:val="center"/>
          </w:tcPr>
          <w:p w14:paraId="08D1482C" w14:textId="77777777" w:rsidR="00196528" w:rsidRPr="00DE1AF3" w:rsidRDefault="00196528" w:rsidP="00196528">
            <w:pPr>
              <w:pStyle w:val="TableText1"/>
              <w:rPr>
                <w:lang w:val="en-GB" w:eastAsia="en-GB"/>
              </w:rPr>
            </w:pPr>
            <w:r w:rsidRPr="00DE1AF3">
              <w:rPr>
                <w:lang w:val="en-GB" w:eastAsia="en-GB"/>
              </w:rPr>
              <w:t>Yes</w:t>
            </w:r>
          </w:p>
        </w:tc>
      </w:tr>
      <w:tr w:rsidR="007B37E5" w:rsidRPr="00DE1AF3" w14:paraId="2E778A06" w14:textId="77777777" w:rsidTr="009841B9">
        <w:trPr>
          <w:cantSplit/>
          <w:trHeight w:val="900"/>
        </w:trPr>
        <w:tc>
          <w:tcPr>
            <w:tcW w:w="1136" w:type="dxa"/>
            <w:tcBorders>
              <w:bottom w:val="nil"/>
            </w:tcBorders>
            <w:shd w:val="clear" w:color="auto" w:fill="auto"/>
            <w:vAlign w:val="center"/>
            <w:hideMark/>
          </w:tcPr>
          <w:p w14:paraId="7504244E" w14:textId="77777777" w:rsidR="00196528" w:rsidRPr="00DE1AF3" w:rsidRDefault="00196528" w:rsidP="00196528">
            <w:pPr>
              <w:pStyle w:val="TableText1"/>
              <w:rPr>
                <w:lang w:val="en-GB" w:eastAsia="en-GB"/>
              </w:rPr>
            </w:pPr>
            <w:r w:rsidRPr="00DE1AF3">
              <w:rPr>
                <w:lang w:val="en-GB" w:eastAsia="en-GB"/>
              </w:rPr>
              <w:t>INK299</w:t>
            </w:r>
          </w:p>
        </w:tc>
        <w:tc>
          <w:tcPr>
            <w:tcW w:w="3403" w:type="dxa"/>
            <w:tcBorders>
              <w:bottom w:val="nil"/>
            </w:tcBorders>
            <w:shd w:val="clear" w:color="000000" w:fill="FFFFFF"/>
            <w:vAlign w:val="center"/>
            <w:hideMark/>
          </w:tcPr>
          <w:p w14:paraId="3AF1A9CA" w14:textId="77777777" w:rsidR="00196528" w:rsidRPr="00DE1AF3" w:rsidRDefault="00196528" w:rsidP="00196528">
            <w:pPr>
              <w:pStyle w:val="TableText1"/>
              <w:rPr>
                <w:lang w:val="en-GB" w:eastAsia="en-GB"/>
              </w:rPr>
            </w:pPr>
            <w:r w:rsidRPr="00DE1AF3">
              <w:rPr>
                <w:lang w:val="en-GB" w:eastAsia="en-GB"/>
              </w:rPr>
              <w:t>Review of the Pacific Islands Forum Secretariat (PIFS)</w:t>
            </w:r>
          </w:p>
        </w:tc>
        <w:tc>
          <w:tcPr>
            <w:tcW w:w="1276" w:type="dxa"/>
            <w:tcBorders>
              <w:bottom w:val="nil"/>
            </w:tcBorders>
            <w:shd w:val="clear" w:color="000000" w:fill="FFFFFF"/>
            <w:noWrap/>
            <w:vAlign w:val="center"/>
            <w:hideMark/>
          </w:tcPr>
          <w:p w14:paraId="640B81F9" w14:textId="77777777" w:rsidR="00196528" w:rsidRPr="00DE1AF3" w:rsidRDefault="00196528" w:rsidP="00196528">
            <w:pPr>
              <w:pStyle w:val="TableText1"/>
              <w:rPr>
                <w:lang w:val="en-GB" w:eastAsia="en-GB"/>
              </w:rPr>
            </w:pPr>
            <w:r w:rsidRPr="00DE1AF3">
              <w:rPr>
                <w:lang w:val="en-GB" w:eastAsia="en-GB"/>
              </w:rPr>
              <w:t>Multicountry</w:t>
            </w:r>
          </w:p>
        </w:tc>
        <w:tc>
          <w:tcPr>
            <w:tcW w:w="1417" w:type="dxa"/>
            <w:tcBorders>
              <w:bottom w:val="nil"/>
            </w:tcBorders>
            <w:shd w:val="clear" w:color="auto" w:fill="auto"/>
            <w:vAlign w:val="center"/>
            <w:hideMark/>
          </w:tcPr>
          <w:p w14:paraId="28861443" w14:textId="77777777" w:rsidR="00196528" w:rsidRPr="00DE1AF3" w:rsidRDefault="00196528" w:rsidP="00196528">
            <w:pPr>
              <w:pStyle w:val="TableText1"/>
              <w:rPr>
                <w:lang w:val="en-GB" w:eastAsia="en-GB"/>
              </w:rPr>
            </w:pPr>
            <w:r>
              <w:rPr>
                <w:lang w:val="en-GB" w:eastAsia="en-GB"/>
              </w:rPr>
              <w:t>Improved government</w:t>
            </w:r>
          </w:p>
        </w:tc>
        <w:tc>
          <w:tcPr>
            <w:tcW w:w="1418" w:type="dxa"/>
            <w:tcBorders>
              <w:bottom w:val="nil"/>
            </w:tcBorders>
            <w:vAlign w:val="center"/>
          </w:tcPr>
          <w:p w14:paraId="3AC409E9" w14:textId="77777777" w:rsidR="00196528" w:rsidRPr="00DE1AF3" w:rsidRDefault="00196528" w:rsidP="00196528">
            <w:pPr>
              <w:pStyle w:val="TableText1"/>
              <w:rPr>
                <w:lang w:val="en-GB" w:eastAsia="en-GB"/>
              </w:rPr>
            </w:pPr>
            <w:r w:rsidRPr="00CF0A8A">
              <w:rPr>
                <w:lang w:val="en-GB" w:eastAsia="en-GB"/>
              </w:rPr>
              <w:t>Yes</w:t>
            </w:r>
          </w:p>
        </w:tc>
        <w:tc>
          <w:tcPr>
            <w:tcW w:w="1276" w:type="dxa"/>
            <w:tcBorders>
              <w:bottom w:val="nil"/>
            </w:tcBorders>
            <w:vAlign w:val="center"/>
          </w:tcPr>
          <w:p w14:paraId="0DBCF2A2" w14:textId="77777777" w:rsidR="00196528" w:rsidRPr="00DE1AF3" w:rsidRDefault="00196528" w:rsidP="00196528">
            <w:pPr>
              <w:pStyle w:val="TableText1"/>
              <w:rPr>
                <w:lang w:val="en-GB" w:eastAsia="en-GB"/>
              </w:rPr>
            </w:pPr>
            <w:r w:rsidRPr="00DE1AF3">
              <w:rPr>
                <w:lang w:val="en-GB" w:eastAsia="en-GB"/>
              </w:rPr>
              <w:t>No</w:t>
            </w:r>
          </w:p>
        </w:tc>
      </w:tr>
      <w:tr w:rsidR="00F5351E" w:rsidRPr="00DE1AF3" w14:paraId="48275B17" w14:textId="77777777" w:rsidTr="009841B9">
        <w:trPr>
          <w:cantSplit/>
          <w:trHeight w:val="900"/>
        </w:trPr>
        <w:tc>
          <w:tcPr>
            <w:tcW w:w="1136" w:type="dxa"/>
            <w:tcBorders>
              <w:bottom w:val="nil"/>
            </w:tcBorders>
            <w:shd w:val="clear" w:color="auto" w:fill="auto"/>
            <w:vAlign w:val="center"/>
          </w:tcPr>
          <w:p w14:paraId="62A073C4" w14:textId="0FABAF40" w:rsidR="00F5351E" w:rsidRPr="00DE1AF3" w:rsidRDefault="00F5351E" w:rsidP="00F5351E">
            <w:pPr>
              <w:pStyle w:val="TableText1"/>
              <w:rPr>
                <w:lang w:val="en-GB" w:eastAsia="en-GB"/>
              </w:rPr>
            </w:pPr>
            <w:r w:rsidRPr="00867894">
              <w:rPr>
                <w:lang w:val="en-GB" w:eastAsia="en-GB"/>
              </w:rPr>
              <w:t>INK557</w:t>
            </w:r>
          </w:p>
        </w:tc>
        <w:tc>
          <w:tcPr>
            <w:tcW w:w="3403" w:type="dxa"/>
            <w:tcBorders>
              <w:bottom w:val="nil"/>
            </w:tcBorders>
            <w:shd w:val="clear" w:color="000000" w:fill="FFFFFF"/>
            <w:vAlign w:val="center"/>
          </w:tcPr>
          <w:p w14:paraId="40861758" w14:textId="486EE00C" w:rsidR="00F5351E" w:rsidRPr="00DE1AF3" w:rsidRDefault="00F5351E" w:rsidP="00F5351E">
            <w:pPr>
              <w:pStyle w:val="TableText1"/>
              <w:rPr>
                <w:lang w:val="en-GB" w:eastAsia="en-GB"/>
              </w:rPr>
            </w:pPr>
            <w:r>
              <w:rPr>
                <w:lang w:val="en-GB" w:eastAsia="en-GB"/>
              </w:rPr>
              <w:t xml:space="preserve">Mid Term Review of </w:t>
            </w:r>
            <w:r w:rsidRPr="00867894">
              <w:rPr>
                <w:lang w:val="en-GB" w:eastAsia="en-GB"/>
              </w:rPr>
              <w:t>Strengthening Food Security for Rural Livelihood Program</w:t>
            </w:r>
          </w:p>
        </w:tc>
        <w:tc>
          <w:tcPr>
            <w:tcW w:w="1276" w:type="dxa"/>
            <w:tcBorders>
              <w:bottom w:val="nil"/>
            </w:tcBorders>
            <w:shd w:val="clear" w:color="000000" w:fill="FFFFFF"/>
            <w:noWrap/>
            <w:vAlign w:val="center"/>
          </w:tcPr>
          <w:p w14:paraId="733A6F72" w14:textId="6096163B" w:rsidR="00F5351E" w:rsidRPr="00DE1AF3" w:rsidRDefault="00F5351E" w:rsidP="00F5351E">
            <w:pPr>
              <w:pStyle w:val="TableText1"/>
              <w:rPr>
                <w:lang w:val="en-GB" w:eastAsia="en-GB"/>
              </w:rPr>
            </w:pPr>
            <w:r w:rsidRPr="00867894">
              <w:rPr>
                <w:lang w:val="en-GB" w:eastAsia="en-GB"/>
              </w:rPr>
              <w:t>Solomon Islands</w:t>
            </w:r>
          </w:p>
        </w:tc>
        <w:tc>
          <w:tcPr>
            <w:tcW w:w="1417" w:type="dxa"/>
            <w:tcBorders>
              <w:bottom w:val="nil"/>
            </w:tcBorders>
            <w:shd w:val="clear" w:color="auto" w:fill="auto"/>
            <w:vAlign w:val="center"/>
          </w:tcPr>
          <w:p w14:paraId="23D25882" w14:textId="78DFC885" w:rsidR="00F5351E" w:rsidRDefault="00F5351E" w:rsidP="00F5351E">
            <w:pPr>
              <w:pStyle w:val="TableText1"/>
              <w:rPr>
                <w:lang w:val="en-GB" w:eastAsia="en-GB"/>
              </w:rPr>
            </w:pPr>
            <w:r w:rsidRPr="00867894">
              <w:rPr>
                <w:lang w:val="en-GB" w:eastAsia="en-GB"/>
              </w:rPr>
              <w:t>Rural development and food security</w:t>
            </w:r>
          </w:p>
        </w:tc>
        <w:tc>
          <w:tcPr>
            <w:tcW w:w="1418" w:type="dxa"/>
            <w:tcBorders>
              <w:bottom w:val="nil"/>
            </w:tcBorders>
            <w:vAlign w:val="center"/>
          </w:tcPr>
          <w:p w14:paraId="579A42E0" w14:textId="3C1C9685" w:rsidR="00F5351E" w:rsidRPr="00CF0A8A" w:rsidRDefault="00F5351E" w:rsidP="00F5351E">
            <w:pPr>
              <w:pStyle w:val="TableText1"/>
              <w:rPr>
                <w:lang w:val="en-GB" w:eastAsia="en-GB"/>
              </w:rPr>
            </w:pPr>
            <w:r w:rsidRPr="00867894">
              <w:rPr>
                <w:lang w:val="en-GB" w:eastAsia="en-GB"/>
              </w:rPr>
              <w:t>No</w:t>
            </w:r>
          </w:p>
        </w:tc>
        <w:tc>
          <w:tcPr>
            <w:tcW w:w="1276" w:type="dxa"/>
            <w:tcBorders>
              <w:bottom w:val="nil"/>
            </w:tcBorders>
            <w:vAlign w:val="center"/>
          </w:tcPr>
          <w:p w14:paraId="5404686F" w14:textId="2FC73E11" w:rsidR="00F5351E" w:rsidRPr="00DE1AF3" w:rsidRDefault="00F5351E" w:rsidP="00F5351E">
            <w:pPr>
              <w:pStyle w:val="TableText1"/>
              <w:rPr>
                <w:lang w:val="en-GB" w:eastAsia="en-GB"/>
              </w:rPr>
            </w:pPr>
            <w:r w:rsidRPr="00867894">
              <w:rPr>
                <w:lang w:val="en-GB" w:eastAsia="en-GB"/>
              </w:rPr>
              <w:t>No</w:t>
            </w:r>
          </w:p>
        </w:tc>
      </w:tr>
      <w:tr w:rsidR="00F5351E" w:rsidRPr="00DE1AF3" w14:paraId="2878224E" w14:textId="77777777" w:rsidTr="009841B9">
        <w:trPr>
          <w:cantSplit/>
          <w:trHeight w:val="900"/>
        </w:trPr>
        <w:tc>
          <w:tcPr>
            <w:tcW w:w="1136" w:type="dxa"/>
            <w:tcBorders>
              <w:bottom w:val="nil"/>
            </w:tcBorders>
            <w:shd w:val="clear" w:color="auto" w:fill="auto"/>
            <w:vAlign w:val="center"/>
          </w:tcPr>
          <w:p w14:paraId="15902C2E" w14:textId="09A4CC2D" w:rsidR="00F5351E" w:rsidRPr="00DE1AF3" w:rsidRDefault="00F5351E" w:rsidP="00F5351E">
            <w:pPr>
              <w:pStyle w:val="TableText1"/>
              <w:rPr>
                <w:lang w:val="en-GB" w:eastAsia="en-GB"/>
              </w:rPr>
            </w:pPr>
            <w:r w:rsidRPr="00867894">
              <w:rPr>
                <w:lang w:val="en-GB" w:eastAsia="en-GB"/>
              </w:rPr>
              <w:t>INJ526 INJ194</w:t>
            </w:r>
          </w:p>
        </w:tc>
        <w:tc>
          <w:tcPr>
            <w:tcW w:w="3403" w:type="dxa"/>
            <w:tcBorders>
              <w:bottom w:val="nil"/>
            </w:tcBorders>
            <w:shd w:val="clear" w:color="000000" w:fill="FFFFFF"/>
            <w:vAlign w:val="center"/>
          </w:tcPr>
          <w:p w14:paraId="56FB9AB4" w14:textId="12397E17" w:rsidR="00F5351E" w:rsidRPr="00DE1AF3" w:rsidRDefault="00F5351E" w:rsidP="00F5351E">
            <w:pPr>
              <w:pStyle w:val="TableText1"/>
              <w:rPr>
                <w:lang w:val="en-GB" w:eastAsia="en-GB"/>
              </w:rPr>
            </w:pPr>
            <w:r>
              <w:rPr>
                <w:lang w:val="en-GB" w:eastAsia="en-GB"/>
              </w:rPr>
              <w:t xml:space="preserve">Independent Completion Report for </w:t>
            </w:r>
            <w:r w:rsidRPr="00867894">
              <w:rPr>
                <w:lang w:val="en-GB" w:eastAsia="en-GB"/>
              </w:rPr>
              <w:t>Burma Program WASH Activities</w:t>
            </w:r>
          </w:p>
        </w:tc>
        <w:tc>
          <w:tcPr>
            <w:tcW w:w="1276" w:type="dxa"/>
            <w:tcBorders>
              <w:bottom w:val="nil"/>
            </w:tcBorders>
            <w:shd w:val="clear" w:color="000000" w:fill="FFFFFF"/>
            <w:noWrap/>
            <w:vAlign w:val="center"/>
          </w:tcPr>
          <w:p w14:paraId="0D6ADBDD" w14:textId="42A7047C" w:rsidR="00F5351E" w:rsidRPr="00DE1AF3" w:rsidRDefault="00F5351E" w:rsidP="00F5351E">
            <w:pPr>
              <w:pStyle w:val="TableText1"/>
              <w:rPr>
                <w:lang w:val="en-GB" w:eastAsia="en-GB"/>
              </w:rPr>
            </w:pPr>
            <w:r w:rsidRPr="00867894">
              <w:rPr>
                <w:lang w:val="en-GB" w:eastAsia="en-GB"/>
              </w:rPr>
              <w:t>Myanmar</w:t>
            </w:r>
          </w:p>
        </w:tc>
        <w:tc>
          <w:tcPr>
            <w:tcW w:w="1417" w:type="dxa"/>
            <w:tcBorders>
              <w:bottom w:val="nil"/>
            </w:tcBorders>
            <w:shd w:val="clear" w:color="auto" w:fill="auto"/>
            <w:vAlign w:val="center"/>
          </w:tcPr>
          <w:p w14:paraId="5781530C" w14:textId="1C63D181" w:rsidR="00F5351E" w:rsidRDefault="00F5351E" w:rsidP="00F5351E">
            <w:pPr>
              <w:pStyle w:val="TableText1"/>
              <w:rPr>
                <w:lang w:val="en-GB" w:eastAsia="en-GB"/>
              </w:rPr>
            </w:pPr>
            <w:r w:rsidRPr="00867894">
              <w:rPr>
                <w:lang w:val="en-GB" w:eastAsia="en-GB"/>
              </w:rPr>
              <w:t>Water and sanitation</w:t>
            </w:r>
          </w:p>
        </w:tc>
        <w:tc>
          <w:tcPr>
            <w:tcW w:w="1418" w:type="dxa"/>
            <w:tcBorders>
              <w:bottom w:val="nil"/>
            </w:tcBorders>
            <w:vAlign w:val="center"/>
          </w:tcPr>
          <w:p w14:paraId="175BE22E" w14:textId="3C690E24" w:rsidR="00F5351E" w:rsidRPr="00CF0A8A" w:rsidRDefault="00F5351E" w:rsidP="00F5351E">
            <w:pPr>
              <w:pStyle w:val="TableText1"/>
              <w:rPr>
                <w:lang w:val="en-GB" w:eastAsia="en-GB"/>
              </w:rPr>
            </w:pPr>
            <w:r w:rsidRPr="00867894">
              <w:rPr>
                <w:lang w:val="en-GB" w:eastAsia="en-GB"/>
              </w:rPr>
              <w:t>No</w:t>
            </w:r>
          </w:p>
        </w:tc>
        <w:tc>
          <w:tcPr>
            <w:tcW w:w="1276" w:type="dxa"/>
            <w:tcBorders>
              <w:bottom w:val="nil"/>
            </w:tcBorders>
            <w:vAlign w:val="center"/>
          </w:tcPr>
          <w:p w14:paraId="3B00CAFD" w14:textId="25505179" w:rsidR="00F5351E" w:rsidRPr="00DE1AF3" w:rsidRDefault="00F5351E" w:rsidP="00F5351E">
            <w:pPr>
              <w:pStyle w:val="TableText1"/>
              <w:rPr>
                <w:lang w:val="en-GB" w:eastAsia="en-GB"/>
              </w:rPr>
            </w:pPr>
            <w:r w:rsidRPr="00867894">
              <w:rPr>
                <w:lang w:val="en-GB" w:eastAsia="en-GB"/>
              </w:rPr>
              <w:t>No</w:t>
            </w:r>
          </w:p>
        </w:tc>
      </w:tr>
      <w:tr w:rsidR="00F5351E" w:rsidRPr="00DE1AF3" w14:paraId="552371FE" w14:textId="77777777" w:rsidTr="009841B9">
        <w:trPr>
          <w:cantSplit/>
          <w:trHeight w:val="900"/>
        </w:trPr>
        <w:tc>
          <w:tcPr>
            <w:tcW w:w="1136" w:type="dxa"/>
            <w:tcBorders>
              <w:bottom w:val="nil"/>
            </w:tcBorders>
            <w:shd w:val="clear" w:color="auto" w:fill="auto"/>
            <w:vAlign w:val="center"/>
          </w:tcPr>
          <w:p w14:paraId="174630B1" w14:textId="155252FF" w:rsidR="00F5351E" w:rsidRPr="00DE1AF3" w:rsidRDefault="00F5351E" w:rsidP="00F5351E">
            <w:pPr>
              <w:pStyle w:val="TableText1"/>
              <w:rPr>
                <w:lang w:val="en-GB" w:eastAsia="en-GB"/>
              </w:rPr>
            </w:pPr>
            <w:r w:rsidRPr="00867894">
              <w:rPr>
                <w:lang w:val="en-GB" w:eastAsia="en-GB"/>
              </w:rPr>
              <w:t>INI568</w:t>
            </w:r>
          </w:p>
        </w:tc>
        <w:tc>
          <w:tcPr>
            <w:tcW w:w="3403" w:type="dxa"/>
            <w:tcBorders>
              <w:bottom w:val="nil"/>
            </w:tcBorders>
            <w:shd w:val="clear" w:color="000000" w:fill="FFFFFF"/>
            <w:vAlign w:val="center"/>
          </w:tcPr>
          <w:p w14:paraId="7AC6B3F7" w14:textId="1246B16B" w:rsidR="00F5351E" w:rsidRPr="00DE1AF3" w:rsidRDefault="00F5351E" w:rsidP="00F5351E">
            <w:pPr>
              <w:pStyle w:val="TableText1"/>
              <w:rPr>
                <w:lang w:val="en-GB" w:eastAsia="en-GB"/>
              </w:rPr>
            </w:pPr>
            <w:r>
              <w:rPr>
                <w:lang w:val="en-GB" w:eastAsia="en-GB"/>
              </w:rPr>
              <w:t>Independent Completion Report for Prevention and Control of Avian and Human Pandemic Influenza in Myanmar (Phase II)</w:t>
            </w:r>
          </w:p>
        </w:tc>
        <w:tc>
          <w:tcPr>
            <w:tcW w:w="1276" w:type="dxa"/>
            <w:tcBorders>
              <w:bottom w:val="nil"/>
            </w:tcBorders>
            <w:shd w:val="clear" w:color="000000" w:fill="FFFFFF"/>
            <w:noWrap/>
            <w:vAlign w:val="center"/>
          </w:tcPr>
          <w:p w14:paraId="33F2F761" w14:textId="3D1112DD" w:rsidR="00F5351E" w:rsidRPr="00DE1AF3" w:rsidRDefault="00F5351E" w:rsidP="00F5351E">
            <w:pPr>
              <w:pStyle w:val="TableText1"/>
              <w:rPr>
                <w:lang w:val="en-GB" w:eastAsia="en-GB"/>
              </w:rPr>
            </w:pPr>
            <w:r w:rsidRPr="00867894">
              <w:rPr>
                <w:lang w:val="en-GB" w:eastAsia="en-GB"/>
              </w:rPr>
              <w:t>Myanmar</w:t>
            </w:r>
          </w:p>
        </w:tc>
        <w:tc>
          <w:tcPr>
            <w:tcW w:w="1417" w:type="dxa"/>
            <w:tcBorders>
              <w:bottom w:val="nil"/>
            </w:tcBorders>
            <w:shd w:val="clear" w:color="auto" w:fill="auto"/>
            <w:vAlign w:val="center"/>
          </w:tcPr>
          <w:p w14:paraId="0B090667" w14:textId="530D7C94" w:rsidR="00F5351E" w:rsidRDefault="00F5351E" w:rsidP="00F5351E">
            <w:pPr>
              <w:pStyle w:val="TableText1"/>
              <w:rPr>
                <w:lang w:val="en-GB" w:eastAsia="en-GB"/>
              </w:rPr>
            </w:pPr>
            <w:r w:rsidRPr="00867894">
              <w:rPr>
                <w:lang w:val="en-GB" w:eastAsia="en-GB"/>
              </w:rPr>
              <w:t>Health</w:t>
            </w:r>
          </w:p>
        </w:tc>
        <w:tc>
          <w:tcPr>
            <w:tcW w:w="1418" w:type="dxa"/>
            <w:tcBorders>
              <w:bottom w:val="nil"/>
            </w:tcBorders>
            <w:vAlign w:val="center"/>
          </w:tcPr>
          <w:p w14:paraId="74475FCD" w14:textId="477120DE" w:rsidR="00F5351E" w:rsidRPr="00CF0A8A" w:rsidRDefault="00F5351E" w:rsidP="00F5351E">
            <w:pPr>
              <w:pStyle w:val="TableText1"/>
              <w:rPr>
                <w:lang w:val="en-GB" w:eastAsia="en-GB"/>
              </w:rPr>
            </w:pPr>
            <w:r w:rsidRPr="00867894">
              <w:rPr>
                <w:lang w:val="en-GB" w:eastAsia="en-GB"/>
              </w:rPr>
              <w:t>No</w:t>
            </w:r>
          </w:p>
        </w:tc>
        <w:tc>
          <w:tcPr>
            <w:tcW w:w="1276" w:type="dxa"/>
            <w:tcBorders>
              <w:bottom w:val="nil"/>
            </w:tcBorders>
            <w:vAlign w:val="center"/>
          </w:tcPr>
          <w:p w14:paraId="71333920" w14:textId="5A06BC17" w:rsidR="00F5351E" w:rsidRPr="00DE1AF3" w:rsidRDefault="00F5351E" w:rsidP="00F5351E">
            <w:pPr>
              <w:pStyle w:val="TableText1"/>
              <w:rPr>
                <w:lang w:val="en-GB" w:eastAsia="en-GB"/>
              </w:rPr>
            </w:pPr>
            <w:r w:rsidRPr="00867894">
              <w:rPr>
                <w:lang w:val="en-GB" w:eastAsia="en-GB"/>
              </w:rPr>
              <w:t>No</w:t>
            </w:r>
          </w:p>
        </w:tc>
      </w:tr>
      <w:tr w:rsidR="00F5351E" w:rsidRPr="00DE1AF3" w14:paraId="31F2B8B7" w14:textId="77777777" w:rsidTr="009841B9">
        <w:trPr>
          <w:cantSplit/>
          <w:trHeight w:val="900"/>
        </w:trPr>
        <w:tc>
          <w:tcPr>
            <w:tcW w:w="1136" w:type="dxa"/>
            <w:tcBorders>
              <w:bottom w:val="nil"/>
            </w:tcBorders>
            <w:shd w:val="clear" w:color="auto" w:fill="auto"/>
            <w:vAlign w:val="center"/>
          </w:tcPr>
          <w:p w14:paraId="16CAC504" w14:textId="4F6A9738" w:rsidR="00F5351E" w:rsidRPr="00DE1AF3" w:rsidRDefault="00F5351E" w:rsidP="00F5351E">
            <w:pPr>
              <w:pStyle w:val="TableText1"/>
              <w:rPr>
                <w:lang w:val="en-GB" w:eastAsia="en-GB"/>
              </w:rPr>
            </w:pPr>
            <w:r w:rsidRPr="00867894">
              <w:rPr>
                <w:lang w:val="en-GB" w:eastAsia="en-GB"/>
              </w:rPr>
              <w:t>INH284</w:t>
            </w:r>
          </w:p>
        </w:tc>
        <w:tc>
          <w:tcPr>
            <w:tcW w:w="3403" w:type="dxa"/>
            <w:tcBorders>
              <w:bottom w:val="nil"/>
            </w:tcBorders>
            <w:shd w:val="clear" w:color="000000" w:fill="FFFFFF"/>
            <w:vAlign w:val="center"/>
          </w:tcPr>
          <w:p w14:paraId="7BF4EF29" w14:textId="47382984" w:rsidR="00F5351E" w:rsidRPr="00DE1AF3" w:rsidRDefault="00F5351E" w:rsidP="00F5351E">
            <w:pPr>
              <w:pStyle w:val="TableText1"/>
              <w:rPr>
                <w:lang w:val="en-GB" w:eastAsia="en-GB"/>
              </w:rPr>
            </w:pPr>
            <w:r w:rsidRPr="00FF53AF">
              <w:rPr>
                <w:lang w:val="en-GB" w:eastAsia="en-GB"/>
              </w:rPr>
              <w:t>Review of the Australia Awards Program,  Cambodia</w:t>
            </w:r>
          </w:p>
        </w:tc>
        <w:tc>
          <w:tcPr>
            <w:tcW w:w="1276" w:type="dxa"/>
            <w:tcBorders>
              <w:bottom w:val="nil"/>
            </w:tcBorders>
            <w:shd w:val="clear" w:color="000000" w:fill="FFFFFF"/>
            <w:noWrap/>
            <w:vAlign w:val="center"/>
          </w:tcPr>
          <w:p w14:paraId="7E87E762" w14:textId="509D958D" w:rsidR="00F5351E" w:rsidRPr="00DE1AF3" w:rsidRDefault="00F5351E" w:rsidP="00F5351E">
            <w:pPr>
              <w:pStyle w:val="TableText1"/>
              <w:rPr>
                <w:lang w:val="en-GB" w:eastAsia="en-GB"/>
              </w:rPr>
            </w:pPr>
            <w:r w:rsidRPr="00867894">
              <w:rPr>
                <w:lang w:val="en-GB" w:eastAsia="en-GB"/>
              </w:rPr>
              <w:t>Cambodia</w:t>
            </w:r>
          </w:p>
        </w:tc>
        <w:tc>
          <w:tcPr>
            <w:tcW w:w="1417" w:type="dxa"/>
            <w:tcBorders>
              <w:bottom w:val="nil"/>
            </w:tcBorders>
            <w:shd w:val="clear" w:color="auto" w:fill="auto"/>
            <w:vAlign w:val="center"/>
          </w:tcPr>
          <w:p w14:paraId="3EC4A598" w14:textId="487F31F1" w:rsidR="00F5351E" w:rsidRDefault="00F5351E" w:rsidP="00F5351E">
            <w:pPr>
              <w:pStyle w:val="TableText1"/>
              <w:rPr>
                <w:lang w:val="en-GB" w:eastAsia="en-GB"/>
              </w:rPr>
            </w:pPr>
            <w:r w:rsidRPr="00867894">
              <w:rPr>
                <w:lang w:val="en-GB" w:eastAsia="en-GB"/>
              </w:rPr>
              <w:t>Education</w:t>
            </w:r>
          </w:p>
        </w:tc>
        <w:tc>
          <w:tcPr>
            <w:tcW w:w="1418" w:type="dxa"/>
            <w:tcBorders>
              <w:bottom w:val="nil"/>
            </w:tcBorders>
            <w:vAlign w:val="center"/>
          </w:tcPr>
          <w:p w14:paraId="19118FF6" w14:textId="52ABBDB8" w:rsidR="00F5351E" w:rsidRPr="00CF0A8A" w:rsidRDefault="00F5351E" w:rsidP="00F5351E">
            <w:pPr>
              <w:pStyle w:val="TableText1"/>
              <w:rPr>
                <w:lang w:val="en-GB" w:eastAsia="en-GB"/>
              </w:rPr>
            </w:pPr>
            <w:r w:rsidRPr="00867894">
              <w:rPr>
                <w:lang w:val="en-GB" w:eastAsia="en-GB"/>
              </w:rPr>
              <w:t>No</w:t>
            </w:r>
          </w:p>
        </w:tc>
        <w:tc>
          <w:tcPr>
            <w:tcW w:w="1276" w:type="dxa"/>
            <w:tcBorders>
              <w:bottom w:val="nil"/>
            </w:tcBorders>
            <w:vAlign w:val="center"/>
          </w:tcPr>
          <w:p w14:paraId="51CC9EBE" w14:textId="219A2D83" w:rsidR="00F5351E" w:rsidRPr="00DE1AF3" w:rsidRDefault="00F5351E" w:rsidP="00F5351E">
            <w:pPr>
              <w:pStyle w:val="TableText1"/>
              <w:rPr>
                <w:lang w:val="en-GB" w:eastAsia="en-GB"/>
              </w:rPr>
            </w:pPr>
            <w:r w:rsidRPr="00867894">
              <w:rPr>
                <w:lang w:val="en-GB" w:eastAsia="en-GB"/>
              </w:rPr>
              <w:t>Yes</w:t>
            </w:r>
          </w:p>
        </w:tc>
      </w:tr>
      <w:tr w:rsidR="00F5351E" w:rsidRPr="00DE1AF3" w14:paraId="44CE7788" w14:textId="77777777" w:rsidTr="009841B9">
        <w:trPr>
          <w:cantSplit/>
          <w:trHeight w:val="900"/>
        </w:trPr>
        <w:tc>
          <w:tcPr>
            <w:tcW w:w="1136" w:type="dxa"/>
            <w:tcBorders>
              <w:bottom w:val="nil"/>
            </w:tcBorders>
            <w:shd w:val="clear" w:color="auto" w:fill="auto"/>
            <w:vAlign w:val="center"/>
          </w:tcPr>
          <w:p w14:paraId="33D7B73D" w14:textId="32D0C31F" w:rsidR="00F5351E" w:rsidRPr="00DE1AF3" w:rsidRDefault="00F5351E" w:rsidP="00F5351E">
            <w:pPr>
              <w:pStyle w:val="TableText1"/>
              <w:rPr>
                <w:lang w:val="en-GB" w:eastAsia="en-GB"/>
              </w:rPr>
            </w:pPr>
            <w:r w:rsidRPr="00867894">
              <w:rPr>
                <w:lang w:val="en-GB" w:eastAsia="en-GB"/>
              </w:rPr>
              <w:t>INI660</w:t>
            </w:r>
          </w:p>
        </w:tc>
        <w:tc>
          <w:tcPr>
            <w:tcW w:w="3403" w:type="dxa"/>
            <w:tcBorders>
              <w:bottom w:val="nil"/>
            </w:tcBorders>
            <w:shd w:val="clear" w:color="000000" w:fill="FFFFFF"/>
            <w:vAlign w:val="center"/>
          </w:tcPr>
          <w:p w14:paraId="759D7819" w14:textId="0DDA4F83" w:rsidR="00F5351E" w:rsidRPr="00DE1AF3" w:rsidRDefault="00F5351E" w:rsidP="00F5351E">
            <w:pPr>
              <w:pStyle w:val="TableText1"/>
              <w:rPr>
                <w:lang w:val="en-GB" w:eastAsia="en-GB"/>
              </w:rPr>
            </w:pPr>
            <w:r w:rsidRPr="00FF53AF">
              <w:rPr>
                <w:lang w:val="en-GB" w:eastAsia="en-GB"/>
              </w:rPr>
              <w:t>Mid Term Review of Financial and Economic Management Strengthening Program</w:t>
            </w:r>
          </w:p>
        </w:tc>
        <w:tc>
          <w:tcPr>
            <w:tcW w:w="1276" w:type="dxa"/>
            <w:tcBorders>
              <w:bottom w:val="nil"/>
            </w:tcBorders>
            <w:shd w:val="clear" w:color="000000" w:fill="FFFFFF"/>
            <w:noWrap/>
            <w:vAlign w:val="center"/>
          </w:tcPr>
          <w:p w14:paraId="3515483A" w14:textId="0B290080" w:rsidR="00F5351E" w:rsidRPr="00DE1AF3" w:rsidRDefault="00F5351E" w:rsidP="00F5351E">
            <w:pPr>
              <w:pStyle w:val="TableText1"/>
              <w:rPr>
                <w:lang w:val="en-GB" w:eastAsia="en-GB"/>
              </w:rPr>
            </w:pPr>
            <w:r w:rsidRPr="00867894">
              <w:rPr>
                <w:lang w:val="en-GB" w:eastAsia="en-GB"/>
              </w:rPr>
              <w:t>Solomon Islands</w:t>
            </w:r>
          </w:p>
        </w:tc>
        <w:tc>
          <w:tcPr>
            <w:tcW w:w="1417" w:type="dxa"/>
            <w:tcBorders>
              <w:bottom w:val="nil"/>
            </w:tcBorders>
            <w:shd w:val="clear" w:color="auto" w:fill="auto"/>
            <w:vAlign w:val="center"/>
          </w:tcPr>
          <w:p w14:paraId="0C809757" w14:textId="3F04F2E9" w:rsidR="00F5351E" w:rsidRDefault="00F5351E" w:rsidP="00F5351E">
            <w:pPr>
              <w:pStyle w:val="TableText1"/>
              <w:rPr>
                <w:lang w:val="en-GB" w:eastAsia="en-GB"/>
              </w:rPr>
            </w:pPr>
            <w:r w:rsidRPr="00867894">
              <w:rPr>
                <w:lang w:val="en-GB" w:eastAsia="en-GB"/>
              </w:rPr>
              <w:t>Governance</w:t>
            </w:r>
          </w:p>
        </w:tc>
        <w:tc>
          <w:tcPr>
            <w:tcW w:w="1418" w:type="dxa"/>
            <w:tcBorders>
              <w:bottom w:val="nil"/>
            </w:tcBorders>
            <w:vAlign w:val="center"/>
          </w:tcPr>
          <w:p w14:paraId="3C3A95E9" w14:textId="3BE7A844" w:rsidR="00F5351E" w:rsidRPr="00CF0A8A" w:rsidRDefault="00F5351E" w:rsidP="00F5351E">
            <w:pPr>
              <w:pStyle w:val="TableText1"/>
              <w:rPr>
                <w:lang w:val="en-GB" w:eastAsia="en-GB"/>
              </w:rPr>
            </w:pPr>
            <w:r w:rsidRPr="00867894">
              <w:rPr>
                <w:lang w:val="en-GB" w:eastAsia="en-GB"/>
              </w:rPr>
              <w:t>No</w:t>
            </w:r>
          </w:p>
        </w:tc>
        <w:tc>
          <w:tcPr>
            <w:tcW w:w="1276" w:type="dxa"/>
            <w:tcBorders>
              <w:bottom w:val="nil"/>
            </w:tcBorders>
            <w:vAlign w:val="center"/>
          </w:tcPr>
          <w:p w14:paraId="2E95D30D" w14:textId="412F0774" w:rsidR="00F5351E" w:rsidRPr="00DE1AF3" w:rsidRDefault="00F5351E" w:rsidP="00F5351E">
            <w:pPr>
              <w:pStyle w:val="TableText1"/>
              <w:rPr>
                <w:lang w:val="en-GB" w:eastAsia="en-GB"/>
              </w:rPr>
            </w:pPr>
            <w:r w:rsidRPr="00867894">
              <w:rPr>
                <w:lang w:val="en-GB" w:eastAsia="en-GB"/>
              </w:rPr>
              <w:t>No</w:t>
            </w:r>
          </w:p>
        </w:tc>
      </w:tr>
      <w:tr w:rsidR="00F5351E" w:rsidRPr="00DE1AF3" w14:paraId="54F6B776" w14:textId="77777777" w:rsidTr="009841B9">
        <w:trPr>
          <w:cantSplit/>
          <w:trHeight w:val="900"/>
        </w:trPr>
        <w:tc>
          <w:tcPr>
            <w:tcW w:w="1136" w:type="dxa"/>
            <w:tcBorders>
              <w:bottom w:val="nil"/>
            </w:tcBorders>
            <w:shd w:val="clear" w:color="auto" w:fill="auto"/>
            <w:vAlign w:val="center"/>
          </w:tcPr>
          <w:p w14:paraId="7B8B0759" w14:textId="443DC34F" w:rsidR="00F5351E" w:rsidRPr="00DE1AF3" w:rsidRDefault="00F5351E" w:rsidP="00F5351E">
            <w:pPr>
              <w:pStyle w:val="TableText1"/>
              <w:rPr>
                <w:lang w:val="en-GB" w:eastAsia="en-GB"/>
              </w:rPr>
            </w:pPr>
            <w:r w:rsidRPr="00867894">
              <w:rPr>
                <w:lang w:val="en-GB" w:eastAsia="en-GB"/>
              </w:rPr>
              <w:t xml:space="preserve">ING833 </w:t>
            </w:r>
          </w:p>
        </w:tc>
        <w:tc>
          <w:tcPr>
            <w:tcW w:w="3403" w:type="dxa"/>
            <w:tcBorders>
              <w:bottom w:val="nil"/>
            </w:tcBorders>
            <w:shd w:val="clear" w:color="000000" w:fill="FFFFFF"/>
            <w:vAlign w:val="center"/>
          </w:tcPr>
          <w:p w14:paraId="1FA5D506" w14:textId="107A8332" w:rsidR="00F5351E" w:rsidRPr="00DE1AF3" w:rsidRDefault="00F5351E" w:rsidP="00F5351E">
            <w:pPr>
              <w:pStyle w:val="TableText1"/>
              <w:rPr>
                <w:lang w:val="en-GB" w:eastAsia="en-GB"/>
              </w:rPr>
            </w:pPr>
            <w:r w:rsidRPr="00FF53AF">
              <w:rPr>
                <w:lang w:val="en-GB" w:eastAsia="en-GB"/>
              </w:rPr>
              <w:t>Focused evaluation of Micro Enterprise Development Program</w:t>
            </w:r>
          </w:p>
        </w:tc>
        <w:tc>
          <w:tcPr>
            <w:tcW w:w="1276" w:type="dxa"/>
            <w:tcBorders>
              <w:bottom w:val="nil"/>
            </w:tcBorders>
            <w:shd w:val="clear" w:color="000000" w:fill="FFFFFF"/>
            <w:noWrap/>
            <w:vAlign w:val="center"/>
          </w:tcPr>
          <w:p w14:paraId="37EA0C0A" w14:textId="4707D24E" w:rsidR="00F5351E" w:rsidRPr="00DE1AF3" w:rsidRDefault="00F5351E" w:rsidP="00F5351E">
            <w:pPr>
              <w:pStyle w:val="TableText1"/>
              <w:rPr>
                <w:lang w:val="en-GB" w:eastAsia="en-GB"/>
              </w:rPr>
            </w:pPr>
            <w:r w:rsidRPr="00867894">
              <w:rPr>
                <w:lang w:val="en-GB" w:eastAsia="en-GB"/>
              </w:rPr>
              <w:t>Nepal</w:t>
            </w:r>
          </w:p>
        </w:tc>
        <w:tc>
          <w:tcPr>
            <w:tcW w:w="1417" w:type="dxa"/>
            <w:tcBorders>
              <w:bottom w:val="nil"/>
            </w:tcBorders>
            <w:shd w:val="clear" w:color="auto" w:fill="auto"/>
            <w:vAlign w:val="center"/>
          </w:tcPr>
          <w:p w14:paraId="28DCB2B4" w14:textId="121BDC92" w:rsidR="00F5351E" w:rsidRDefault="00F5351E" w:rsidP="00F5351E">
            <w:pPr>
              <w:pStyle w:val="TableText1"/>
              <w:rPr>
                <w:lang w:val="en-GB" w:eastAsia="en-GB"/>
              </w:rPr>
            </w:pPr>
            <w:r w:rsidRPr="007B56B7">
              <w:rPr>
                <w:lang w:val="en-GB" w:eastAsia="en-GB"/>
              </w:rPr>
              <w:t>Business, finance and trade</w:t>
            </w:r>
          </w:p>
        </w:tc>
        <w:tc>
          <w:tcPr>
            <w:tcW w:w="1418" w:type="dxa"/>
            <w:tcBorders>
              <w:bottom w:val="nil"/>
            </w:tcBorders>
            <w:vAlign w:val="center"/>
          </w:tcPr>
          <w:p w14:paraId="35C0596A" w14:textId="51E98589" w:rsidR="00F5351E" w:rsidRPr="00CF0A8A" w:rsidRDefault="00F5351E" w:rsidP="00F5351E">
            <w:pPr>
              <w:pStyle w:val="TableText1"/>
              <w:rPr>
                <w:lang w:val="en-GB" w:eastAsia="en-GB"/>
              </w:rPr>
            </w:pPr>
            <w:r w:rsidRPr="00867894">
              <w:rPr>
                <w:lang w:val="en-GB" w:eastAsia="en-GB"/>
              </w:rPr>
              <w:t>No</w:t>
            </w:r>
          </w:p>
        </w:tc>
        <w:tc>
          <w:tcPr>
            <w:tcW w:w="1276" w:type="dxa"/>
            <w:tcBorders>
              <w:bottom w:val="nil"/>
            </w:tcBorders>
            <w:vAlign w:val="center"/>
          </w:tcPr>
          <w:p w14:paraId="2F330FED" w14:textId="06B4B0F7" w:rsidR="00F5351E" w:rsidRPr="00DE1AF3" w:rsidRDefault="00F5351E" w:rsidP="00F5351E">
            <w:pPr>
              <w:pStyle w:val="TableText1"/>
              <w:rPr>
                <w:lang w:val="en-GB" w:eastAsia="en-GB"/>
              </w:rPr>
            </w:pPr>
            <w:r w:rsidRPr="00867894">
              <w:rPr>
                <w:lang w:val="en-GB" w:eastAsia="en-GB"/>
              </w:rPr>
              <w:t>Yes</w:t>
            </w:r>
          </w:p>
        </w:tc>
      </w:tr>
      <w:tr w:rsidR="00F5351E" w:rsidRPr="00DE1AF3" w14:paraId="6A659220" w14:textId="77777777" w:rsidTr="009841B9">
        <w:trPr>
          <w:cantSplit/>
          <w:trHeight w:val="900"/>
        </w:trPr>
        <w:tc>
          <w:tcPr>
            <w:tcW w:w="1136" w:type="dxa"/>
            <w:tcBorders>
              <w:bottom w:val="nil"/>
            </w:tcBorders>
            <w:shd w:val="clear" w:color="auto" w:fill="auto"/>
            <w:vAlign w:val="center"/>
          </w:tcPr>
          <w:p w14:paraId="775C4A2B" w14:textId="5CF59F30" w:rsidR="00F5351E" w:rsidRPr="00DE1AF3" w:rsidRDefault="00F5351E" w:rsidP="00F5351E">
            <w:pPr>
              <w:pStyle w:val="TableText1"/>
              <w:rPr>
                <w:lang w:val="en-GB" w:eastAsia="en-GB"/>
              </w:rPr>
            </w:pPr>
            <w:r w:rsidRPr="00867894">
              <w:rPr>
                <w:lang w:val="en-GB" w:eastAsia="en-GB"/>
              </w:rPr>
              <w:t>ING953</w:t>
            </w:r>
          </w:p>
        </w:tc>
        <w:tc>
          <w:tcPr>
            <w:tcW w:w="3403" w:type="dxa"/>
            <w:tcBorders>
              <w:bottom w:val="nil"/>
            </w:tcBorders>
            <w:shd w:val="clear" w:color="000000" w:fill="FFFFFF"/>
            <w:vAlign w:val="center"/>
          </w:tcPr>
          <w:p w14:paraId="2A964C2F" w14:textId="55E8DBC3" w:rsidR="00F5351E" w:rsidRPr="00DE1AF3" w:rsidRDefault="00F5351E" w:rsidP="00F5351E">
            <w:pPr>
              <w:pStyle w:val="TableText1"/>
              <w:rPr>
                <w:lang w:val="en-GB" w:eastAsia="en-GB"/>
              </w:rPr>
            </w:pPr>
            <w:r w:rsidRPr="00FF53AF">
              <w:rPr>
                <w:lang w:val="en-GB" w:eastAsia="en-GB"/>
              </w:rPr>
              <w:t>Independent Review of Tingim Laip Phase II</w:t>
            </w:r>
          </w:p>
        </w:tc>
        <w:tc>
          <w:tcPr>
            <w:tcW w:w="1276" w:type="dxa"/>
            <w:tcBorders>
              <w:bottom w:val="nil"/>
            </w:tcBorders>
            <w:shd w:val="clear" w:color="000000" w:fill="FFFFFF"/>
            <w:noWrap/>
            <w:vAlign w:val="center"/>
          </w:tcPr>
          <w:p w14:paraId="62F56497" w14:textId="6143B42F" w:rsidR="00F5351E" w:rsidRPr="00DE1AF3" w:rsidRDefault="00F5351E" w:rsidP="00F5351E">
            <w:pPr>
              <w:pStyle w:val="TableText1"/>
              <w:rPr>
                <w:lang w:val="en-GB" w:eastAsia="en-GB"/>
              </w:rPr>
            </w:pPr>
            <w:r w:rsidRPr="00FF53AF">
              <w:rPr>
                <w:lang w:val="en-GB" w:eastAsia="en-GB"/>
              </w:rPr>
              <w:t>Papua New Guinea</w:t>
            </w:r>
          </w:p>
        </w:tc>
        <w:tc>
          <w:tcPr>
            <w:tcW w:w="1417" w:type="dxa"/>
            <w:tcBorders>
              <w:bottom w:val="nil"/>
            </w:tcBorders>
            <w:shd w:val="clear" w:color="auto" w:fill="auto"/>
            <w:vAlign w:val="center"/>
          </w:tcPr>
          <w:p w14:paraId="7B20D390" w14:textId="7D6461F0" w:rsidR="00F5351E" w:rsidRDefault="00F5351E" w:rsidP="00F5351E">
            <w:pPr>
              <w:pStyle w:val="TableText1"/>
              <w:rPr>
                <w:lang w:val="en-GB" w:eastAsia="en-GB"/>
              </w:rPr>
            </w:pPr>
            <w:r w:rsidRPr="00867894">
              <w:rPr>
                <w:lang w:val="en-GB" w:eastAsia="en-GB"/>
              </w:rPr>
              <w:t>Health</w:t>
            </w:r>
          </w:p>
        </w:tc>
        <w:tc>
          <w:tcPr>
            <w:tcW w:w="1418" w:type="dxa"/>
            <w:tcBorders>
              <w:bottom w:val="nil"/>
            </w:tcBorders>
            <w:vAlign w:val="center"/>
          </w:tcPr>
          <w:p w14:paraId="35612BEE" w14:textId="0F0E1F7D" w:rsidR="00F5351E" w:rsidRPr="00CF0A8A" w:rsidRDefault="00F5351E" w:rsidP="00F5351E">
            <w:pPr>
              <w:pStyle w:val="TableText1"/>
              <w:rPr>
                <w:lang w:val="en-GB" w:eastAsia="en-GB"/>
              </w:rPr>
            </w:pPr>
            <w:r w:rsidRPr="00867894">
              <w:rPr>
                <w:lang w:val="en-GB" w:eastAsia="en-GB"/>
              </w:rPr>
              <w:t>No</w:t>
            </w:r>
          </w:p>
        </w:tc>
        <w:tc>
          <w:tcPr>
            <w:tcW w:w="1276" w:type="dxa"/>
            <w:tcBorders>
              <w:bottom w:val="nil"/>
            </w:tcBorders>
            <w:vAlign w:val="center"/>
          </w:tcPr>
          <w:p w14:paraId="6BDF2399" w14:textId="2BDAB615" w:rsidR="00F5351E" w:rsidRPr="00DE1AF3" w:rsidRDefault="00F5351E" w:rsidP="00F5351E">
            <w:pPr>
              <w:pStyle w:val="TableText1"/>
              <w:rPr>
                <w:lang w:val="en-GB" w:eastAsia="en-GB"/>
              </w:rPr>
            </w:pPr>
            <w:r w:rsidRPr="00867894">
              <w:rPr>
                <w:lang w:val="en-GB" w:eastAsia="en-GB"/>
              </w:rPr>
              <w:t>Yes</w:t>
            </w:r>
          </w:p>
        </w:tc>
      </w:tr>
      <w:tr w:rsidR="00F5351E" w:rsidRPr="00DE1AF3" w14:paraId="23D80077" w14:textId="77777777" w:rsidTr="009841B9">
        <w:trPr>
          <w:cantSplit/>
          <w:trHeight w:val="900"/>
        </w:trPr>
        <w:tc>
          <w:tcPr>
            <w:tcW w:w="1136" w:type="dxa"/>
            <w:tcBorders>
              <w:bottom w:val="nil"/>
            </w:tcBorders>
            <w:shd w:val="clear" w:color="auto" w:fill="auto"/>
            <w:vAlign w:val="center"/>
          </w:tcPr>
          <w:p w14:paraId="2FF670B9" w14:textId="00881BE6" w:rsidR="00F5351E" w:rsidRPr="00DE1AF3" w:rsidRDefault="00F5351E" w:rsidP="00F5351E">
            <w:pPr>
              <w:pStyle w:val="TableText1"/>
              <w:rPr>
                <w:lang w:val="en-GB" w:eastAsia="en-GB"/>
              </w:rPr>
            </w:pPr>
            <w:r w:rsidRPr="00867894">
              <w:rPr>
                <w:lang w:val="en-GB" w:eastAsia="en-GB"/>
              </w:rPr>
              <w:t>INJ828</w:t>
            </w:r>
          </w:p>
        </w:tc>
        <w:tc>
          <w:tcPr>
            <w:tcW w:w="3403" w:type="dxa"/>
            <w:tcBorders>
              <w:bottom w:val="nil"/>
            </w:tcBorders>
            <w:shd w:val="clear" w:color="000000" w:fill="FFFFFF"/>
            <w:vAlign w:val="center"/>
          </w:tcPr>
          <w:p w14:paraId="1C4F339D" w14:textId="00A2F8FC" w:rsidR="00F5351E" w:rsidRPr="00DE1AF3" w:rsidRDefault="00F5351E" w:rsidP="00F5351E">
            <w:pPr>
              <w:pStyle w:val="TableText1"/>
              <w:rPr>
                <w:lang w:val="en-GB" w:eastAsia="en-GB"/>
              </w:rPr>
            </w:pPr>
            <w:r w:rsidRPr="00FF53AF">
              <w:rPr>
                <w:lang w:val="en-GB" w:eastAsia="en-GB"/>
              </w:rPr>
              <w:t>Mid Term Evaluation of Support to Conflict-Affected People through Housing in Sri Lanka</w:t>
            </w:r>
          </w:p>
        </w:tc>
        <w:tc>
          <w:tcPr>
            <w:tcW w:w="1276" w:type="dxa"/>
            <w:tcBorders>
              <w:bottom w:val="nil"/>
            </w:tcBorders>
            <w:shd w:val="clear" w:color="000000" w:fill="FFFFFF"/>
            <w:noWrap/>
            <w:vAlign w:val="center"/>
          </w:tcPr>
          <w:p w14:paraId="257BCFAD" w14:textId="07369865" w:rsidR="00F5351E" w:rsidRPr="00DE1AF3" w:rsidRDefault="00F5351E" w:rsidP="00F5351E">
            <w:pPr>
              <w:pStyle w:val="TableText1"/>
              <w:rPr>
                <w:lang w:val="en-GB" w:eastAsia="en-GB"/>
              </w:rPr>
            </w:pPr>
            <w:r w:rsidRPr="00CF091D">
              <w:rPr>
                <w:lang w:val="en-GB" w:eastAsia="en-GB"/>
              </w:rPr>
              <w:t>Sri Lanka</w:t>
            </w:r>
          </w:p>
        </w:tc>
        <w:tc>
          <w:tcPr>
            <w:tcW w:w="1417" w:type="dxa"/>
            <w:tcBorders>
              <w:bottom w:val="nil"/>
            </w:tcBorders>
            <w:shd w:val="clear" w:color="auto" w:fill="auto"/>
            <w:vAlign w:val="center"/>
          </w:tcPr>
          <w:p w14:paraId="19DAD7D2" w14:textId="5481062F" w:rsidR="00F5351E" w:rsidRDefault="00F5351E" w:rsidP="00F5351E">
            <w:pPr>
              <w:pStyle w:val="TableText1"/>
              <w:rPr>
                <w:lang w:val="en-GB" w:eastAsia="en-GB"/>
              </w:rPr>
            </w:pPr>
            <w:r w:rsidRPr="00CF091D">
              <w:rPr>
                <w:lang w:val="en-GB" w:eastAsia="en-GB"/>
              </w:rPr>
              <w:t>Humanitarian</w:t>
            </w:r>
            <w:r w:rsidRPr="007B56B7">
              <w:rPr>
                <w:lang w:val="en-GB" w:eastAsia="en-GB"/>
              </w:rPr>
              <w:t xml:space="preserve"> response</w:t>
            </w:r>
          </w:p>
        </w:tc>
        <w:tc>
          <w:tcPr>
            <w:tcW w:w="1418" w:type="dxa"/>
            <w:tcBorders>
              <w:bottom w:val="nil"/>
            </w:tcBorders>
            <w:vAlign w:val="center"/>
          </w:tcPr>
          <w:p w14:paraId="7B966110" w14:textId="74D72012" w:rsidR="00F5351E" w:rsidRPr="00CF0A8A" w:rsidRDefault="00F5351E" w:rsidP="00F5351E">
            <w:pPr>
              <w:pStyle w:val="TableText1"/>
              <w:rPr>
                <w:lang w:val="en-GB" w:eastAsia="en-GB"/>
              </w:rPr>
            </w:pPr>
            <w:r w:rsidRPr="00867894">
              <w:rPr>
                <w:lang w:val="en-GB" w:eastAsia="en-GB"/>
              </w:rPr>
              <w:t>No</w:t>
            </w:r>
          </w:p>
        </w:tc>
        <w:tc>
          <w:tcPr>
            <w:tcW w:w="1276" w:type="dxa"/>
            <w:tcBorders>
              <w:bottom w:val="nil"/>
            </w:tcBorders>
            <w:vAlign w:val="center"/>
          </w:tcPr>
          <w:p w14:paraId="5316917B" w14:textId="7BF641F4" w:rsidR="00F5351E" w:rsidRPr="00DE1AF3" w:rsidRDefault="00F5351E" w:rsidP="00F5351E">
            <w:pPr>
              <w:pStyle w:val="TableText1"/>
              <w:rPr>
                <w:lang w:val="en-GB" w:eastAsia="en-GB"/>
              </w:rPr>
            </w:pPr>
            <w:r w:rsidRPr="00867894">
              <w:rPr>
                <w:lang w:val="en-GB" w:eastAsia="en-GB"/>
              </w:rPr>
              <w:t>No</w:t>
            </w:r>
          </w:p>
        </w:tc>
      </w:tr>
      <w:tr w:rsidR="00F5351E" w:rsidRPr="00DE1AF3" w14:paraId="44B50393" w14:textId="77777777" w:rsidTr="0039767A">
        <w:trPr>
          <w:cantSplit/>
          <w:trHeight w:val="900"/>
        </w:trPr>
        <w:tc>
          <w:tcPr>
            <w:tcW w:w="1136" w:type="dxa"/>
            <w:tcBorders>
              <w:bottom w:val="single" w:sz="4" w:space="0" w:color="31849B"/>
            </w:tcBorders>
            <w:shd w:val="clear" w:color="auto" w:fill="auto"/>
            <w:vAlign w:val="center"/>
          </w:tcPr>
          <w:p w14:paraId="4CA7EC26" w14:textId="314D31BE" w:rsidR="00F5351E" w:rsidRPr="00DE1AF3" w:rsidRDefault="00F5351E" w:rsidP="00F5351E">
            <w:pPr>
              <w:pStyle w:val="TableText1"/>
              <w:rPr>
                <w:lang w:val="en-GB" w:eastAsia="en-GB"/>
              </w:rPr>
            </w:pPr>
            <w:r w:rsidRPr="00867894">
              <w:rPr>
                <w:lang w:val="en-GB" w:eastAsia="en-GB"/>
              </w:rPr>
              <w:t>INI767</w:t>
            </w:r>
          </w:p>
        </w:tc>
        <w:tc>
          <w:tcPr>
            <w:tcW w:w="3403" w:type="dxa"/>
            <w:tcBorders>
              <w:bottom w:val="single" w:sz="4" w:space="0" w:color="31849B"/>
            </w:tcBorders>
            <w:shd w:val="clear" w:color="000000" w:fill="FFFFFF"/>
            <w:vAlign w:val="center"/>
          </w:tcPr>
          <w:p w14:paraId="611B5D39" w14:textId="797A027D" w:rsidR="00F5351E" w:rsidRPr="00DE1AF3" w:rsidRDefault="00F5351E" w:rsidP="00F5351E">
            <w:pPr>
              <w:pStyle w:val="TableText1"/>
              <w:rPr>
                <w:lang w:val="en-GB" w:eastAsia="en-GB"/>
              </w:rPr>
            </w:pPr>
            <w:r w:rsidRPr="00FF53AF">
              <w:rPr>
                <w:lang w:val="en-GB" w:eastAsia="en-GB"/>
              </w:rPr>
              <w:t>Mid Term Review of Strongim Gavman Program</w:t>
            </w:r>
          </w:p>
        </w:tc>
        <w:tc>
          <w:tcPr>
            <w:tcW w:w="1276" w:type="dxa"/>
            <w:tcBorders>
              <w:bottom w:val="single" w:sz="4" w:space="0" w:color="31849B"/>
            </w:tcBorders>
            <w:shd w:val="clear" w:color="000000" w:fill="FFFFFF"/>
            <w:noWrap/>
            <w:vAlign w:val="center"/>
          </w:tcPr>
          <w:p w14:paraId="71D4315D" w14:textId="58BE65A7" w:rsidR="00F5351E" w:rsidRPr="00DE1AF3" w:rsidRDefault="00F5351E" w:rsidP="00F5351E">
            <w:pPr>
              <w:pStyle w:val="TableText1"/>
              <w:rPr>
                <w:lang w:val="en-GB" w:eastAsia="en-GB"/>
              </w:rPr>
            </w:pPr>
            <w:r>
              <w:rPr>
                <w:lang w:val="en-GB" w:eastAsia="en-GB"/>
              </w:rPr>
              <w:t>Papua New Guinea</w:t>
            </w:r>
          </w:p>
        </w:tc>
        <w:tc>
          <w:tcPr>
            <w:tcW w:w="1417" w:type="dxa"/>
            <w:tcBorders>
              <w:bottom w:val="single" w:sz="4" w:space="0" w:color="31849B"/>
            </w:tcBorders>
            <w:shd w:val="clear" w:color="auto" w:fill="auto"/>
            <w:vAlign w:val="center"/>
          </w:tcPr>
          <w:p w14:paraId="7476BEEF" w14:textId="1B4E9568" w:rsidR="00F5351E" w:rsidRDefault="00F5351E" w:rsidP="00F5351E">
            <w:pPr>
              <w:pStyle w:val="TableText1"/>
              <w:rPr>
                <w:lang w:val="en-GB" w:eastAsia="en-GB"/>
              </w:rPr>
            </w:pPr>
            <w:r>
              <w:rPr>
                <w:lang w:val="en-GB" w:eastAsia="en-GB"/>
              </w:rPr>
              <w:t>Improved government</w:t>
            </w:r>
          </w:p>
        </w:tc>
        <w:tc>
          <w:tcPr>
            <w:tcW w:w="1418" w:type="dxa"/>
            <w:tcBorders>
              <w:bottom w:val="single" w:sz="4" w:space="0" w:color="31849B"/>
            </w:tcBorders>
            <w:vAlign w:val="center"/>
          </w:tcPr>
          <w:p w14:paraId="0A87C44C" w14:textId="30C6732D" w:rsidR="00F5351E" w:rsidRPr="00CF0A8A" w:rsidRDefault="00F5351E" w:rsidP="00F5351E">
            <w:pPr>
              <w:pStyle w:val="TableText1"/>
              <w:rPr>
                <w:lang w:val="en-GB" w:eastAsia="en-GB"/>
              </w:rPr>
            </w:pPr>
            <w:r w:rsidRPr="00867894">
              <w:rPr>
                <w:lang w:val="en-GB" w:eastAsia="en-GB"/>
              </w:rPr>
              <w:t>No</w:t>
            </w:r>
          </w:p>
        </w:tc>
        <w:tc>
          <w:tcPr>
            <w:tcW w:w="1276" w:type="dxa"/>
            <w:tcBorders>
              <w:bottom w:val="single" w:sz="4" w:space="0" w:color="31849B"/>
            </w:tcBorders>
            <w:vAlign w:val="center"/>
          </w:tcPr>
          <w:p w14:paraId="158259A0" w14:textId="483D4842" w:rsidR="00F5351E" w:rsidRPr="00DE1AF3" w:rsidRDefault="00F5351E" w:rsidP="00F5351E">
            <w:pPr>
              <w:pStyle w:val="TableText1"/>
              <w:rPr>
                <w:lang w:val="en-GB" w:eastAsia="en-GB"/>
              </w:rPr>
            </w:pPr>
            <w:r w:rsidRPr="00867894">
              <w:rPr>
                <w:lang w:val="en-GB" w:eastAsia="en-GB"/>
              </w:rPr>
              <w:t>Yes</w:t>
            </w:r>
          </w:p>
        </w:tc>
      </w:tr>
      <w:tr w:rsidR="00F5351E" w:rsidRPr="00DE1AF3" w14:paraId="4CE62088" w14:textId="77777777" w:rsidTr="0039767A">
        <w:trPr>
          <w:cantSplit/>
          <w:trHeight w:val="900"/>
        </w:trPr>
        <w:tc>
          <w:tcPr>
            <w:tcW w:w="1136" w:type="dxa"/>
            <w:tcBorders>
              <w:bottom w:val="single" w:sz="4" w:space="0" w:color="007C92"/>
            </w:tcBorders>
            <w:shd w:val="clear" w:color="auto" w:fill="auto"/>
            <w:vAlign w:val="center"/>
          </w:tcPr>
          <w:p w14:paraId="48B447B6" w14:textId="7209EDAE" w:rsidR="00F5351E" w:rsidRPr="00DE1AF3" w:rsidRDefault="00F5351E" w:rsidP="00F5351E">
            <w:pPr>
              <w:pStyle w:val="TableText1"/>
              <w:rPr>
                <w:lang w:val="en-GB" w:eastAsia="en-GB"/>
              </w:rPr>
            </w:pPr>
            <w:r w:rsidRPr="00867894">
              <w:rPr>
                <w:lang w:val="en-GB" w:eastAsia="en-GB"/>
              </w:rPr>
              <w:t>INI954</w:t>
            </w:r>
          </w:p>
        </w:tc>
        <w:tc>
          <w:tcPr>
            <w:tcW w:w="3403" w:type="dxa"/>
            <w:tcBorders>
              <w:bottom w:val="single" w:sz="4" w:space="0" w:color="007C92"/>
            </w:tcBorders>
            <w:shd w:val="clear" w:color="000000" w:fill="FFFFFF"/>
            <w:vAlign w:val="center"/>
          </w:tcPr>
          <w:p w14:paraId="472FDBF8" w14:textId="01F02706" w:rsidR="00F5351E" w:rsidRPr="00DE1AF3" w:rsidRDefault="00F5351E" w:rsidP="00F5351E">
            <w:pPr>
              <w:pStyle w:val="TableText1"/>
              <w:rPr>
                <w:lang w:val="en-GB" w:eastAsia="en-GB"/>
              </w:rPr>
            </w:pPr>
            <w:r w:rsidRPr="00F02F92">
              <w:rPr>
                <w:lang w:val="en-GB" w:eastAsia="en-GB"/>
              </w:rPr>
              <w:t xml:space="preserve">Independent Progress Review of Tonga Technical and Vocational Education and Training (TVET) Support Program </w:t>
            </w:r>
          </w:p>
        </w:tc>
        <w:tc>
          <w:tcPr>
            <w:tcW w:w="1276" w:type="dxa"/>
            <w:tcBorders>
              <w:bottom w:val="single" w:sz="4" w:space="0" w:color="007C92"/>
            </w:tcBorders>
            <w:shd w:val="clear" w:color="000000" w:fill="FFFFFF"/>
            <w:noWrap/>
            <w:vAlign w:val="center"/>
          </w:tcPr>
          <w:p w14:paraId="1216A48B" w14:textId="7515B990" w:rsidR="00F5351E" w:rsidRPr="00DE1AF3" w:rsidRDefault="00F5351E" w:rsidP="00F5351E">
            <w:pPr>
              <w:pStyle w:val="TableText1"/>
              <w:rPr>
                <w:lang w:val="en-GB" w:eastAsia="en-GB"/>
              </w:rPr>
            </w:pPr>
            <w:r w:rsidRPr="00F02F92">
              <w:rPr>
                <w:lang w:val="en-GB" w:eastAsia="en-GB"/>
              </w:rPr>
              <w:t>Tonga</w:t>
            </w:r>
          </w:p>
        </w:tc>
        <w:tc>
          <w:tcPr>
            <w:tcW w:w="1417" w:type="dxa"/>
            <w:tcBorders>
              <w:bottom w:val="single" w:sz="4" w:space="0" w:color="007C92"/>
            </w:tcBorders>
            <w:shd w:val="clear" w:color="auto" w:fill="auto"/>
            <w:vAlign w:val="center"/>
          </w:tcPr>
          <w:p w14:paraId="09B32E1C" w14:textId="5D7CC5D8" w:rsidR="00F5351E" w:rsidRDefault="00F5351E" w:rsidP="00F5351E">
            <w:pPr>
              <w:pStyle w:val="TableText1"/>
              <w:rPr>
                <w:lang w:val="en-GB" w:eastAsia="en-GB"/>
              </w:rPr>
            </w:pPr>
            <w:r>
              <w:rPr>
                <w:lang w:val="en-GB" w:eastAsia="en-GB"/>
              </w:rPr>
              <w:t>Education</w:t>
            </w:r>
          </w:p>
        </w:tc>
        <w:tc>
          <w:tcPr>
            <w:tcW w:w="1418" w:type="dxa"/>
            <w:tcBorders>
              <w:bottom w:val="single" w:sz="4" w:space="0" w:color="007C92"/>
            </w:tcBorders>
            <w:vAlign w:val="center"/>
          </w:tcPr>
          <w:p w14:paraId="39FC91D5" w14:textId="16BEDC0B" w:rsidR="00F5351E" w:rsidRPr="00CF0A8A" w:rsidRDefault="00F5351E" w:rsidP="00F5351E">
            <w:pPr>
              <w:pStyle w:val="TableText1"/>
              <w:rPr>
                <w:lang w:val="en-GB" w:eastAsia="en-GB"/>
              </w:rPr>
            </w:pPr>
            <w:r w:rsidRPr="00867894">
              <w:rPr>
                <w:lang w:val="en-GB" w:eastAsia="en-GB"/>
              </w:rPr>
              <w:t>No</w:t>
            </w:r>
          </w:p>
        </w:tc>
        <w:tc>
          <w:tcPr>
            <w:tcW w:w="1276" w:type="dxa"/>
            <w:tcBorders>
              <w:bottom w:val="single" w:sz="4" w:space="0" w:color="007C92"/>
            </w:tcBorders>
            <w:vAlign w:val="center"/>
          </w:tcPr>
          <w:p w14:paraId="297371EB" w14:textId="330C4D0A" w:rsidR="00F5351E" w:rsidRPr="00DE1AF3" w:rsidRDefault="00F5351E" w:rsidP="00F5351E">
            <w:pPr>
              <w:pStyle w:val="TableText1"/>
              <w:rPr>
                <w:lang w:val="en-GB" w:eastAsia="en-GB"/>
              </w:rPr>
            </w:pPr>
            <w:r w:rsidRPr="00867894">
              <w:rPr>
                <w:lang w:val="en-GB" w:eastAsia="en-GB"/>
              </w:rPr>
              <w:t>Yes</w:t>
            </w:r>
          </w:p>
        </w:tc>
      </w:tr>
    </w:tbl>
    <w:tbl>
      <w:tblPr>
        <w:tblpPr w:leftFromText="180" w:rightFromText="180" w:vertAnchor="text" w:tblpXSpec="center" w:tblpY="1"/>
        <w:tblOverlap w:val="never"/>
        <w:tblW w:w="10031" w:type="dxa"/>
        <w:tblBorders>
          <w:top w:val="single" w:sz="4" w:space="0" w:color="31849B"/>
          <w:bottom w:val="single" w:sz="4" w:space="0" w:color="31849B"/>
          <w:insideH w:val="single" w:sz="4" w:space="0" w:color="31849B"/>
        </w:tblBorders>
        <w:tblLayout w:type="fixed"/>
        <w:tblLook w:val="04A0" w:firstRow="1" w:lastRow="0" w:firstColumn="1" w:lastColumn="0" w:noHBand="0" w:noVBand="1"/>
      </w:tblPr>
      <w:tblGrid>
        <w:gridCol w:w="1242"/>
        <w:gridCol w:w="3402"/>
        <w:gridCol w:w="1276"/>
        <w:gridCol w:w="1418"/>
        <w:gridCol w:w="1417"/>
        <w:gridCol w:w="1276"/>
      </w:tblGrid>
      <w:tr w:rsidR="00F5351E" w:rsidRPr="00F5351E" w14:paraId="22FA8262" w14:textId="77777777" w:rsidTr="00EC2BBF">
        <w:trPr>
          <w:cantSplit/>
          <w:trHeight w:val="900"/>
        </w:trPr>
        <w:tc>
          <w:tcPr>
            <w:tcW w:w="1242" w:type="dxa"/>
            <w:tcBorders>
              <w:top w:val="single" w:sz="4" w:space="0" w:color="31849B"/>
              <w:bottom w:val="single" w:sz="4" w:space="0" w:color="31849B"/>
              <w:right w:val="nil"/>
            </w:tcBorders>
            <w:shd w:val="clear" w:color="auto" w:fill="007FAD"/>
            <w:vAlign w:val="center"/>
            <w:hideMark/>
          </w:tcPr>
          <w:p w14:paraId="7179F6E3" w14:textId="781127C8" w:rsidR="00F5351E" w:rsidRPr="00F5351E" w:rsidRDefault="00F5351E" w:rsidP="00F5351E">
            <w:pPr>
              <w:pStyle w:val="TableHeading21"/>
              <w:rPr>
                <w:i w:val="0"/>
                <w:lang w:val="en-GB" w:eastAsia="en-GB"/>
              </w:rPr>
            </w:pPr>
            <w:r w:rsidRPr="007B37E5">
              <w:rPr>
                <w:i w:val="0"/>
                <w:lang w:val="en-GB" w:eastAsia="en-GB"/>
              </w:rPr>
              <w:lastRenderedPageBreak/>
              <w:t>Initiative number</w:t>
            </w:r>
          </w:p>
        </w:tc>
        <w:tc>
          <w:tcPr>
            <w:tcW w:w="3402" w:type="dxa"/>
            <w:tcBorders>
              <w:top w:val="single" w:sz="4" w:space="0" w:color="31849B"/>
              <w:left w:val="nil"/>
              <w:bottom w:val="single" w:sz="4" w:space="0" w:color="31849B"/>
              <w:right w:val="nil"/>
            </w:tcBorders>
            <w:shd w:val="clear" w:color="auto" w:fill="007FAD"/>
            <w:vAlign w:val="center"/>
            <w:hideMark/>
          </w:tcPr>
          <w:p w14:paraId="6F015148" w14:textId="5F41CA41" w:rsidR="00F5351E" w:rsidRPr="00F5351E" w:rsidRDefault="00F5351E" w:rsidP="00F5351E">
            <w:pPr>
              <w:pStyle w:val="TableHeading21"/>
              <w:rPr>
                <w:i w:val="0"/>
                <w:lang w:val="en-GB" w:eastAsia="en-GB"/>
              </w:rPr>
            </w:pPr>
            <w:r w:rsidRPr="007B37E5">
              <w:rPr>
                <w:i w:val="0"/>
                <w:lang w:val="en-GB" w:eastAsia="en-GB"/>
              </w:rPr>
              <w:t>Evaluation title</w:t>
            </w:r>
          </w:p>
        </w:tc>
        <w:tc>
          <w:tcPr>
            <w:tcW w:w="1276" w:type="dxa"/>
            <w:tcBorders>
              <w:top w:val="single" w:sz="4" w:space="0" w:color="31849B"/>
              <w:left w:val="nil"/>
              <w:bottom w:val="single" w:sz="4" w:space="0" w:color="31849B"/>
              <w:right w:val="nil"/>
            </w:tcBorders>
            <w:shd w:val="clear" w:color="auto" w:fill="007FAD"/>
            <w:noWrap/>
            <w:vAlign w:val="center"/>
            <w:hideMark/>
          </w:tcPr>
          <w:p w14:paraId="209829E0" w14:textId="64521197" w:rsidR="00F5351E" w:rsidRPr="00F5351E" w:rsidRDefault="00F5351E" w:rsidP="00F5351E">
            <w:pPr>
              <w:pStyle w:val="TableHeading21"/>
              <w:rPr>
                <w:i w:val="0"/>
                <w:lang w:val="en-GB" w:eastAsia="en-GB"/>
              </w:rPr>
            </w:pPr>
            <w:r w:rsidRPr="007B37E5">
              <w:rPr>
                <w:i w:val="0"/>
                <w:lang w:val="en-GB" w:eastAsia="en-GB"/>
              </w:rPr>
              <w:t>Country</w:t>
            </w:r>
          </w:p>
        </w:tc>
        <w:tc>
          <w:tcPr>
            <w:tcW w:w="1418" w:type="dxa"/>
            <w:tcBorders>
              <w:top w:val="single" w:sz="4" w:space="0" w:color="31849B"/>
              <w:left w:val="nil"/>
              <w:bottom w:val="single" w:sz="4" w:space="0" w:color="31849B"/>
              <w:right w:val="nil"/>
            </w:tcBorders>
            <w:shd w:val="clear" w:color="auto" w:fill="007FAD"/>
            <w:vAlign w:val="center"/>
            <w:hideMark/>
          </w:tcPr>
          <w:p w14:paraId="088B2D73" w14:textId="45D56151" w:rsidR="00F5351E" w:rsidRPr="00F5351E" w:rsidRDefault="00F5351E" w:rsidP="00F5351E">
            <w:pPr>
              <w:pStyle w:val="TableHeading21"/>
              <w:rPr>
                <w:i w:val="0"/>
                <w:lang w:val="en-GB" w:eastAsia="en-GB"/>
              </w:rPr>
            </w:pPr>
            <w:r w:rsidRPr="007B37E5">
              <w:rPr>
                <w:i w:val="0"/>
                <w:lang w:val="en-GB" w:eastAsia="en-GB"/>
              </w:rPr>
              <w:t>Primary sector</w:t>
            </w:r>
          </w:p>
        </w:tc>
        <w:tc>
          <w:tcPr>
            <w:tcW w:w="1417" w:type="dxa"/>
            <w:tcBorders>
              <w:top w:val="single" w:sz="4" w:space="0" w:color="31849B"/>
              <w:left w:val="nil"/>
              <w:bottom w:val="single" w:sz="4" w:space="0" w:color="31849B"/>
            </w:tcBorders>
            <w:shd w:val="clear" w:color="auto" w:fill="007FAD"/>
            <w:vAlign w:val="center"/>
          </w:tcPr>
          <w:p w14:paraId="5E5B5BA8" w14:textId="66C1FEA5" w:rsidR="00F5351E" w:rsidRPr="00F5351E" w:rsidRDefault="00F5351E" w:rsidP="00F5351E">
            <w:pPr>
              <w:pStyle w:val="TableHeading21"/>
              <w:rPr>
                <w:i w:val="0"/>
                <w:lang w:val="en-GB" w:eastAsia="en-GB"/>
              </w:rPr>
            </w:pPr>
            <w:r w:rsidRPr="007B37E5">
              <w:rPr>
                <w:i w:val="0"/>
                <w:lang w:val="en-GB" w:eastAsia="en-GB"/>
              </w:rPr>
              <w:t>Evidence and analysis assessed as credible?</w:t>
            </w:r>
          </w:p>
        </w:tc>
        <w:tc>
          <w:tcPr>
            <w:tcW w:w="1276" w:type="dxa"/>
            <w:tcBorders>
              <w:top w:val="single" w:sz="4" w:space="0" w:color="31849B"/>
              <w:left w:val="nil"/>
              <w:bottom w:val="single" w:sz="4" w:space="0" w:color="31849B"/>
            </w:tcBorders>
            <w:shd w:val="clear" w:color="auto" w:fill="007FAD"/>
            <w:vAlign w:val="center"/>
          </w:tcPr>
          <w:p w14:paraId="71D835C9" w14:textId="79E320FD" w:rsidR="00F5351E" w:rsidRPr="00F5351E" w:rsidRDefault="00F5351E" w:rsidP="00F5351E">
            <w:pPr>
              <w:pStyle w:val="TableHeading21"/>
              <w:rPr>
                <w:i w:val="0"/>
                <w:lang w:val="en-GB" w:eastAsia="en-GB"/>
              </w:rPr>
            </w:pPr>
            <w:r w:rsidRPr="007B37E5">
              <w:rPr>
                <w:i w:val="0"/>
                <w:lang w:val="en-GB" w:eastAsia="en-GB"/>
              </w:rPr>
              <w:t>Published on DFAT website?</w:t>
            </w:r>
          </w:p>
        </w:tc>
      </w:tr>
      <w:tr w:rsidR="00F5351E" w:rsidRPr="00867894" w14:paraId="63334976" w14:textId="77777777" w:rsidTr="00EC2BBF">
        <w:trPr>
          <w:cantSplit/>
          <w:trHeight w:val="900"/>
        </w:trPr>
        <w:tc>
          <w:tcPr>
            <w:tcW w:w="1242" w:type="dxa"/>
            <w:tcBorders>
              <w:top w:val="single" w:sz="4" w:space="0" w:color="31849B"/>
              <w:bottom w:val="single" w:sz="4" w:space="0" w:color="31849B"/>
              <w:right w:val="nil"/>
            </w:tcBorders>
            <w:shd w:val="clear" w:color="auto" w:fill="auto"/>
            <w:vAlign w:val="center"/>
          </w:tcPr>
          <w:p w14:paraId="006D34B8" w14:textId="2FFFD461" w:rsidR="00F5351E" w:rsidRPr="00867894" w:rsidRDefault="00F5351E" w:rsidP="00F5351E">
            <w:pPr>
              <w:pStyle w:val="Tabletext0"/>
              <w:rPr>
                <w:lang w:val="en-GB" w:eastAsia="en-GB"/>
              </w:rPr>
            </w:pPr>
            <w:r w:rsidRPr="00867894">
              <w:rPr>
                <w:lang w:val="en-GB" w:eastAsia="en-GB"/>
              </w:rPr>
              <w:t>INJ137</w:t>
            </w:r>
          </w:p>
        </w:tc>
        <w:tc>
          <w:tcPr>
            <w:tcW w:w="3402" w:type="dxa"/>
            <w:tcBorders>
              <w:top w:val="single" w:sz="4" w:space="0" w:color="31849B"/>
              <w:left w:val="nil"/>
              <w:bottom w:val="single" w:sz="4" w:space="0" w:color="31849B"/>
              <w:right w:val="nil"/>
            </w:tcBorders>
            <w:shd w:val="clear" w:color="000000" w:fill="FFFFFF"/>
            <w:vAlign w:val="center"/>
          </w:tcPr>
          <w:p w14:paraId="788C1470" w14:textId="0483662F" w:rsidR="00F5351E" w:rsidRPr="00F02F92" w:rsidRDefault="00F5351E" w:rsidP="00F5351E">
            <w:pPr>
              <w:pStyle w:val="Tabletext0"/>
              <w:rPr>
                <w:lang w:val="en-GB" w:eastAsia="en-GB"/>
              </w:rPr>
            </w:pPr>
            <w:r w:rsidRPr="00F02F92">
              <w:rPr>
                <w:lang w:val="en-GB" w:eastAsia="en-GB"/>
              </w:rPr>
              <w:t xml:space="preserve">Independent Progress Review of Australia Indonesia Partnership for Justice </w:t>
            </w:r>
          </w:p>
        </w:tc>
        <w:tc>
          <w:tcPr>
            <w:tcW w:w="1276" w:type="dxa"/>
            <w:tcBorders>
              <w:top w:val="single" w:sz="4" w:space="0" w:color="31849B"/>
              <w:left w:val="nil"/>
              <w:bottom w:val="single" w:sz="4" w:space="0" w:color="31849B"/>
              <w:right w:val="nil"/>
            </w:tcBorders>
            <w:shd w:val="clear" w:color="000000" w:fill="FFFFFF"/>
            <w:noWrap/>
            <w:vAlign w:val="center"/>
          </w:tcPr>
          <w:p w14:paraId="30F9033A" w14:textId="3FF3BD7D" w:rsidR="00F5351E" w:rsidRPr="00867894" w:rsidRDefault="00F5351E" w:rsidP="00F5351E">
            <w:pPr>
              <w:pStyle w:val="Tabletext0"/>
              <w:rPr>
                <w:lang w:val="en-GB" w:eastAsia="en-GB"/>
              </w:rPr>
            </w:pPr>
            <w:r w:rsidRPr="00867894">
              <w:rPr>
                <w:lang w:val="en-GB" w:eastAsia="en-GB"/>
              </w:rPr>
              <w:t>Indonesia</w:t>
            </w:r>
          </w:p>
        </w:tc>
        <w:tc>
          <w:tcPr>
            <w:tcW w:w="1418" w:type="dxa"/>
            <w:tcBorders>
              <w:top w:val="single" w:sz="4" w:space="0" w:color="31849B"/>
              <w:left w:val="nil"/>
              <w:bottom w:val="single" w:sz="4" w:space="0" w:color="31849B"/>
              <w:right w:val="nil"/>
            </w:tcBorders>
            <w:shd w:val="clear" w:color="auto" w:fill="auto"/>
            <w:vAlign w:val="center"/>
          </w:tcPr>
          <w:p w14:paraId="5BFD94B8" w14:textId="04B948E5" w:rsidR="00F5351E" w:rsidRDefault="00F5351E" w:rsidP="00F5351E">
            <w:pPr>
              <w:pStyle w:val="Tabletext0"/>
              <w:rPr>
                <w:lang w:val="en-GB" w:eastAsia="en-GB"/>
              </w:rPr>
            </w:pPr>
            <w:r>
              <w:rPr>
                <w:lang w:val="en-GB" w:eastAsia="en-GB"/>
              </w:rPr>
              <w:t xml:space="preserve">Security </w:t>
            </w:r>
            <w:r w:rsidRPr="00DE1AF3">
              <w:rPr>
                <w:lang w:val="en-GB" w:eastAsia="en-GB"/>
              </w:rPr>
              <w:t>and justice</w:t>
            </w:r>
          </w:p>
        </w:tc>
        <w:tc>
          <w:tcPr>
            <w:tcW w:w="1417" w:type="dxa"/>
            <w:tcBorders>
              <w:top w:val="single" w:sz="4" w:space="0" w:color="31849B"/>
              <w:left w:val="nil"/>
              <w:bottom w:val="single" w:sz="4" w:space="0" w:color="31849B"/>
            </w:tcBorders>
            <w:vAlign w:val="center"/>
          </w:tcPr>
          <w:p w14:paraId="2A3F5014" w14:textId="532E1C8F" w:rsidR="00F5351E" w:rsidRPr="00867894" w:rsidRDefault="00F5351E" w:rsidP="00F5351E">
            <w:pPr>
              <w:pStyle w:val="Tabletext0"/>
              <w:rPr>
                <w:lang w:val="en-GB" w:eastAsia="en-GB"/>
              </w:rPr>
            </w:pPr>
            <w:r w:rsidRPr="00867894">
              <w:rPr>
                <w:lang w:val="en-GB" w:eastAsia="en-GB"/>
              </w:rPr>
              <w:t>No</w:t>
            </w:r>
          </w:p>
        </w:tc>
        <w:tc>
          <w:tcPr>
            <w:tcW w:w="1276" w:type="dxa"/>
            <w:tcBorders>
              <w:top w:val="single" w:sz="4" w:space="0" w:color="31849B"/>
              <w:left w:val="nil"/>
              <w:bottom w:val="single" w:sz="4" w:space="0" w:color="31849B"/>
            </w:tcBorders>
            <w:vAlign w:val="center"/>
          </w:tcPr>
          <w:p w14:paraId="59EFE50F" w14:textId="2B0A6999" w:rsidR="00F5351E" w:rsidRPr="00867894" w:rsidRDefault="00F5351E" w:rsidP="00F5351E">
            <w:pPr>
              <w:pStyle w:val="Tabletext0"/>
              <w:rPr>
                <w:lang w:val="en-GB" w:eastAsia="en-GB"/>
              </w:rPr>
            </w:pPr>
            <w:r w:rsidRPr="00867894">
              <w:rPr>
                <w:lang w:val="en-GB" w:eastAsia="en-GB"/>
              </w:rPr>
              <w:t>Yes</w:t>
            </w:r>
          </w:p>
        </w:tc>
      </w:tr>
      <w:tr w:rsidR="00CF091D" w:rsidRPr="00867894" w14:paraId="256A0124" w14:textId="77777777" w:rsidTr="00EC2BBF">
        <w:trPr>
          <w:cantSplit/>
          <w:trHeight w:val="900"/>
        </w:trPr>
        <w:tc>
          <w:tcPr>
            <w:tcW w:w="1242" w:type="dxa"/>
            <w:tcBorders>
              <w:top w:val="single" w:sz="4" w:space="0" w:color="31849B"/>
              <w:bottom w:val="single" w:sz="4" w:space="0" w:color="31849B"/>
              <w:right w:val="nil"/>
            </w:tcBorders>
            <w:shd w:val="clear" w:color="auto" w:fill="auto"/>
            <w:vAlign w:val="center"/>
            <w:hideMark/>
          </w:tcPr>
          <w:p w14:paraId="6E309162" w14:textId="77777777" w:rsidR="00CF091D" w:rsidRPr="00867894" w:rsidRDefault="00CF091D" w:rsidP="00CF091D">
            <w:pPr>
              <w:pStyle w:val="Tabletext0"/>
              <w:rPr>
                <w:color w:val="E36C0A" w:themeColor="accent6" w:themeShade="BF"/>
                <w:lang w:val="en-GB" w:eastAsia="en-GB"/>
              </w:rPr>
            </w:pPr>
            <w:r w:rsidRPr="00867894">
              <w:rPr>
                <w:lang w:val="en-GB" w:eastAsia="en-GB"/>
              </w:rPr>
              <w:t>INI220</w:t>
            </w:r>
          </w:p>
        </w:tc>
        <w:tc>
          <w:tcPr>
            <w:tcW w:w="3402" w:type="dxa"/>
            <w:tcBorders>
              <w:top w:val="single" w:sz="4" w:space="0" w:color="31849B"/>
              <w:left w:val="nil"/>
              <w:bottom w:val="single" w:sz="4" w:space="0" w:color="31849B"/>
              <w:right w:val="nil"/>
            </w:tcBorders>
            <w:shd w:val="clear" w:color="000000" w:fill="FFFFFF"/>
            <w:vAlign w:val="center"/>
            <w:hideMark/>
          </w:tcPr>
          <w:p w14:paraId="58465755" w14:textId="02ED9565" w:rsidR="00CF091D" w:rsidRPr="00F02F92" w:rsidRDefault="00F02F92" w:rsidP="00CF091D">
            <w:pPr>
              <w:pStyle w:val="Tabletext0"/>
              <w:rPr>
                <w:color w:val="E36C0A" w:themeColor="accent6" w:themeShade="BF"/>
                <w:lang w:val="en-GB" w:eastAsia="en-GB"/>
              </w:rPr>
            </w:pPr>
            <w:r w:rsidRPr="00F02F92">
              <w:rPr>
                <w:lang w:val="en-GB" w:eastAsia="en-GB"/>
              </w:rPr>
              <w:t xml:space="preserve">Evaluation of </w:t>
            </w:r>
            <w:r w:rsidR="00CF091D" w:rsidRPr="00F02F92">
              <w:rPr>
                <w:lang w:val="en-GB" w:eastAsia="en-GB"/>
              </w:rPr>
              <w:t>Australia’s Support to Agriculture in Papua New Guinea</w:t>
            </w:r>
          </w:p>
        </w:tc>
        <w:tc>
          <w:tcPr>
            <w:tcW w:w="1276" w:type="dxa"/>
            <w:tcBorders>
              <w:top w:val="single" w:sz="4" w:space="0" w:color="31849B"/>
              <w:left w:val="nil"/>
              <w:bottom w:val="single" w:sz="4" w:space="0" w:color="31849B"/>
              <w:right w:val="nil"/>
            </w:tcBorders>
            <w:shd w:val="clear" w:color="000000" w:fill="FFFFFF"/>
            <w:noWrap/>
            <w:vAlign w:val="center"/>
            <w:hideMark/>
          </w:tcPr>
          <w:p w14:paraId="1D9145F3" w14:textId="6A617C30" w:rsidR="00CF091D" w:rsidRPr="00867894" w:rsidRDefault="00CF091D" w:rsidP="00CF091D">
            <w:pPr>
              <w:pStyle w:val="Tabletext0"/>
              <w:rPr>
                <w:color w:val="E36C0A" w:themeColor="accent6" w:themeShade="BF"/>
                <w:lang w:val="en-GB" w:eastAsia="en-GB"/>
              </w:rPr>
            </w:pPr>
            <w:r>
              <w:rPr>
                <w:lang w:val="en-GB" w:eastAsia="en-GB"/>
              </w:rPr>
              <w:t>Papua New Guinea</w:t>
            </w:r>
          </w:p>
        </w:tc>
        <w:tc>
          <w:tcPr>
            <w:tcW w:w="1418" w:type="dxa"/>
            <w:tcBorders>
              <w:top w:val="single" w:sz="4" w:space="0" w:color="31849B"/>
              <w:left w:val="nil"/>
              <w:bottom w:val="single" w:sz="4" w:space="0" w:color="31849B"/>
              <w:right w:val="nil"/>
            </w:tcBorders>
            <w:shd w:val="clear" w:color="auto" w:fill="auto"/>
            <w:vAlign w:val="center"/>
            <w:hideMark/>
          </w:tcPr>
          <w:p w14:paraId="69354E98" w14:textId="32298E67" w:rsidR="00CF091D" w:rsidRPr="00867894" w:rsidRDefault="007B56B7" w:rsidP="00CF091D">
            <w:pPr>
              <w:pStyle w:val="Tabletext0"/>
              <w:rPr>
                <w:color w:val="E36C0A" w:themeColor="accent6" w:themeShade="BF"/>
                <w:lang w:val="en-GB" w:eastAsia="en-GB"/>
              </w:rPr>
            </w:pPr>
            <w:r>
              <w:rPr>
                <w:lang w:val="en-GB" w:eastAsia="en-GB"/>
              </w:rPr>
              <w:t>Food security and rural development</w:t>
            </w:r>
          </w:p>
        </w:tc>
        <w:tc>
          <w:tcPr>
            <w:tcW w:w="1417" w:type="dxa"/>
            <w:tcBorders>
              <w:top w:val="single" w:sz="4" w:space="0" w:color="31849B"/>
              <w:left w:val="nil"/>
              <w:bottom w:val="single" w:sz="4" w:space="0" w:color="31849B"/>
            </w:tcBorders>
            <w:vAlign w:val="center"/>
          </w:tcPr>
          <w:p w14:paraId="3D151CD2" w14:textId="77777777" w:rsidR="00CF091D" w:rsidRPr="00867894" w:rsidRDefault="00CF091D" w:rsidP="00CF091D">
            <w:pPr>
              <w:pStyle w:val="Tabletext0"/>
              <w:rPr>
                <w:color w:val="E36C0A" w:themeColor="accent6" w:themeShade="BF"/>
                <w:lang w:val="en-GB" w:eastAsia="en-GB"/>
              </w:rPr>
            </w:pPr>
            <w:r w:rsidRPr="00867894">
              <w:rPr>
                <w:lang w:val="en-GB" w:eastAsia="en-GB"/>
              </w:rPr>
              <w:t>No</w:t>
            </w:r>
          </w:p>
        </w:tc>
        <w:tc>
          <w:tcPr>
            <w:tcW w:w="1276" w:type="dxa"/>
            <w:tcBorders>
              <w:top w:val="single" w:sz="4" w:space="0" w:color="31849B"/>
              <w:left w:val="nil"/>
              <w:bottom w:val="single" w:sz="4" w:space="0" w:color="31849B"/>
            </w:tcBorders>
            <w:vAlign w:val="center"/>
          </w:tcPr>
          <w:p w14:paraId="6DFF8AF0" w14:textId="77777777" w:rsidR="00CF091D" w:rsidRPr="00867894" w:rsidRDefault="00CF091D" w:rsidP="00CF091D">
            <w:pPr>
              <w:pStyle w:val="Tabletext0"/>
              <w:rPr>
                <w:color w:val="E36C0A" w:themeColor="accent6" w:themeShade="BF"/>
                <w:lang w:val="en-GB" w:eastAsia="en-GB"/>
              </w:rPr>
            </w:pPr>
            <w:r w:rsidRPr="00867894">
              <w:rPr>
                <w:lang w:val="en-GB" w:eastAsia="en-GB"/>
              </w:rPr>
              <w:t>No</w:t>
            </w:r>
          </w:p>
        </w:tc>
      </w:tr>
      <w:tr w:rsidR="00CF091D" w:rsidRPr="00867894" w14:paraId="7CE7A133" w14:textId="77777777" w:rsidTr="00EC2BBF">
        <w:trPr>
          <w:cantSplit/>
          <w:trHeight w:val="900"/>
        </w:trPr>
        <w:tc>
          <w:tcPr>
            <w:tcW w:w="1242" w:type="dxa"/>
            <w:tcBorders>
              <w:top w:val="single" w:sz="4" w:space="0" w:color="31849B"/>
              <w:bottom w:val="single" w:sz="4" w:space="0" w:color="31849B"/>
              <w:right w:val="nil"/>
            </w:tcBorders>
            <w:shd w:val="clear" w:color="auto" w:fill="auto"/>
            <w:vAlign w:val="center"/>
            <w:hideMark/>
          </w:tcPr>
          <w:p w14:paraId="3C34AD2A" w14:textId="77777777" w:rsidR="00CF091D" w:rsidRPr="00867894" w:rsidRDefault="00CF091D" w:rsidP="00CF091D">
            <w:pPr>
              <w:pStyle w:val="Tabletext0"/>
              <w:rPr>
                <w:color w:val="E36C0A" w:themeColor="accent6" w:themeShade="BF"/>
                <w:lang w:val="en-GB" w:eastAsia="en-GB"/>
              </w:rPr>
            </w:pPr>
            <w:r w:rsidRPr="00867894">
              <w:rPr>
                <w:lang w:val="en-GB" w:eastAsia="en-GB"/>
              </w:rPr>
              <w:t>INH487</w:t>
            </w:r>
          </w:p>
        </w:tc>
        <w:tc>
          <w:tcPr>
            <w:tcW w:w="3402" w:type="dxa"/>
            <w:tcBorders>
              <w:top w:val="single" w:sz="4" w:space="0" w:color="31849B"/>
              <w:left w:val="nil"/>
              <w:bottom w:val="single" w:sz="4" w:space="0" w:color="31849B"/>
              <w:right w:val="nil"/>
            </w:tcBorders>
            <w:shd w:val="clear" w:color="000000" w:fill="FFFFFF"/>
            <w:vAlign w:val="center"/>
            <w:hideMark/>
          </w:tcPr>
          <w:p w14:paraId="4BE3ECDD" w14:textId="0D22E76E" w:rsidR="00F02F92" w:rsidRPr="006C0D92" w:rsidRDefault="00F02F92" w:rsidP="00F5351E">
            <w:pPr>
              <w:pStyle w:val="Tabletext0"/>
              <w:rPr>
                <w:color w:val="E36C0A" w:themeColor="accent6" w:themeShade="BF"/>
                <w:highlight w:val="yellow"/>
                <w:lang w:val="en-GB" w:eastAsia="en-GB"/>
              </w:rPr>
            </w:pPr>
            <w:r w:rsidRPr="00F02F92">
              <w:rPr>
                <w:lang w:val="en-GB" w:eastAsia="en-GB"/>
              </w:rPr>
              <w:t>Independent Completion Review of AusAID Timor-Leste Justice Sector Support Facility</w:t>
            </w:r>
          </w:p>
        </w:tc>
        <w:tc>
          <w:tcPr>
            <w:tcW w:w="1276" w:type="dxa"/>
            <w:tcBorders>
              <w:top w:val="single" w:sz="4" w:space="0" w:color="31849B"/>
              <w:left w:val="nil"/>
              <w:bottom w:val="single" w:sz="4" w:space="0" w:color="31849B"/>
              <w:right w:val="nil"/>
            </w:tcBorders>
            <w:shd w:val="clear" w:color="000000" w:fill="FFFFFF"/>
            <w:noWrap/>
            <w:vAlign w:val="center"/>
            <w:hideMark/>
          </w:tcPr>
          <w:p w14:paraId="0202B481" w14:textId="77777777" w:rsidR="00CF091D" w:rsidRPr="00867894" w:rsidRDefault="00CF091D" w:rsidP="00CF091D">
            <w:pPr>
              <w:pStyle w:val="Tabletext0"/>
              <w:rPr>
                <w:color w:val="E36C0A" w:themeColor="accent6" w:themeShade="BF"/>
                <w:lang w:val="en-GB" w:eastAsia="en-GB"/>
              </w:rPr>
            </w:pPr>
            <w:r w:rsidRPr="00867894">
              <w:rPr>
                <w:lang w:val="en-GB" w:eastAsia="en-GB"/>
              </w:rPr>
              <w:t>Timor-Leste</w:t>
            </w:r>
          </w:p>
        </w:tc>
        <w:tc>
          <w:tcPr>
            <w:tcW w:w="1418" w:type="dxa"/>
            <w:tcBorders>
              <w:top w:val="single" w:sz="4" w:space="0" w:color="31849B"/>
              <w:left w:val="nil"/>
              <w:bottom w:val="single" w:sz="4" w:space="0" w:color="31849B"/>
              <w:right w:val="nil"/>
            </w:tcBorders>
            <w:shd w:val="clear" w:color="auto" w:fill="auto"/>
            <w:vAlign w:val="center"/>
            <w:hideMark/>
          </w:tcPr>
          <w:p w14:paraId="3CD360A7" w14:textId="324D3CEA" w:rsidR="00CF091D" w:rsidRPr="00867894" w:rsidRDefault="00CF091D" w:rsidP="00CF091D">
            <w:pPr>
              <w:pStyle w:val="Tabletext0"/>
              <w:rPr>
                <w:color w:val="E36C0A" w:themeColor="accent6" w:themeShade="BF"/>
                <w:lang w:val="en-GB" w:eastAsia="en-GB"/>
              </w:rPr>
            </w:pPr>
            <w:r>
              <w:rPr>
                <w:lang w:val="en-GB" w:eastAsia="en-GB"/>
              </w:rPr>
              <w:t xml:space="preserve">Security </w:t>
            </w:r>
            <w:r w:rsidRPr="00DE1AF3">
              <w:rPr>
                <w:lang w:val="en-GB" w:eastAsia="en-GB"/>
              </w:rPr>
              <w:t>and justice</w:t>
            </w:r>
          </w:p>
        </w:tc>
        <w:tc>
          <w:tcPr>
            <w:tcW w:w="1417" w:type="dxa"/>
            <w:tcBorders>
              <w:top w:val="single" w:sz="4" w:space="0" w:color="31849B"/>
              <w:left w:val="nil"/>
              <w:bottom w:val="single" w:sz="4" w:space="0" w:color="31849B"/>
            </w:tcBorders>
            <w:vAlign w:val="center"/>
          </w:tcPr>
          <w:p w14:paraId="142FAB75" w14:textId="77777777" w:rsidR="00CF091D" w:rsidRPr="00867894" w:rsidRDefault="00CF091D" w:rsidP="00CF091D">
            <w:pPr>
              <w:pStyle w:val="Tabletext0"/>
              <w:rPr>
                <w:color w:val="E36C0A" w:themeColor="accent6" w:themeShade="BF"/>
                <w:lang w:val="en-GB" w:eastAsia="en-GB"/>
              </w:rPr>
            </w:pPr>
            <w:r w:rsidRPr="00867894">
              <w:rPr>
                <w:lang w:val="en-GB" w:eastAsia="en-GB"/>
              </w:rPr>
              <w:t>No</w:t>
            </w:r>
          </w:p>
        </w:tc>
        <w:tc>
          <w:tcPr>
            <w:tcW w:w="1276" w:type="dxa"/>
            <w:tcBorders>
              <w:top w:val="single" w:sz="4" w:space="0" w:color="31849B"/>
              <w:left w:val="nil"/>
              <w:bottom w:val="single" w:sz="4" w:space="0" w:color="31849B"/>
            </w:tcBorders>
            <w:vAlign w:val="center"/>
          </w:tcPr>
          <w:p w14:paraId="03D1683F" w14:textId="77777777" w:rsidR="00CF091D" w:rsidRPr="00867894" w:rsidRDefault="00CF091D" w:rsidP="00CF091D">
            <w:pPr>
              <w:pStyle w:val="Tabletext0"/>
              <w:rPr>
                <w:color w:val="E36C0A" w:themeColor="accent6" w:themeShade="BF"/>
                <w:lang w:val="en-GB" w:eastAsia="en-GB"/>
              </w:rPr>
            </w:pPr>
            <w:r w:rsidRPr="00867894">
              <w:rPr>
                <w:lang w:val="en-GB" w:eastAsia="en-GB"/>
              </w:rPr>
              <w:t>Yes</w:t>
            </w:r>
          </w:p>
        </w:tc>
      </w:tr>
      <w:tr w:rsidR="00CF091D" w:rsidRPr="00867894" w14:paraId="3C82A237" w14:textId="77777777" w:rsidTr="00EC2BBF">
        <w:trPr>
          <w:cantSplit/>
          <w:trHeight w:val="900"/>
        </w:trPr>
        <w:tc>
          <w:tcPr>
            <w:tcW w:w="1242" w:type="dxa"/>
            <w:tcBorders>
              <w:top w:val="single" w:sz="4" w:space="0" w:color="31849B"/>
              <w:bottom w:val="single" w:sz="4" w:space="0" w:color="31849B"/>
              <w:right w:val="nil"/>
            </w:tcBorders>
            <w:shd w:val="clear" w:color="auto" w:fill="auto"/>
            <w:vAlign w:val="center"/>
            <w:hideMark/>
          </w:tcPr>
          <w:p w14:paraId="6C548198" w14:textId="77777777" w:rsidR="00CF091D" w:rsidRPr="00867894" w:rsidRDefault="00CF091D" w:rsidP="00CF091D">
            <w:pPr>
              <w:pStyle w:val="Tabletext0"/>
              <w:rPr>
                <w:color w:val="E36C0A" w:themeColor="accent6" w:themeShade="BF"/>
                <w:lang w:val="en-GB" w:eastAsia="en-GB"/>
              </w:rPr>
            </w:pPr>
            <w:r w:rsidRPr="00867894">
              <w:rPr>
                <w:lang w:val="en-GB" w:eastAsia="en-GB"/>
              </w:rPr>
              <w:t>INI651</w:t>
            </w:r>
          </w:p>
        </w:tc>
        <w:tc>
          <w:tcPr>
            <w:tcW w:w="3402" w:type="dxa"/>
            <w:tcBorders>
              <w:top w:val="single" w:sz="4" w:space="0" w:color="31849B"/>
              <w:left w:val="nil"/>
              <w:bottom w:val="single" w:sz="4" w:space="0" w:color="31849B"/>
              <w:right w:val="nil"/>
            </w:tcBorders>
            <w:shd w:val="clear" w:color="000000" w:fill="FFFFFF"/>
            <w:vAlign w:val="center"/>
            <w:hideMark/>
          </w:tcPr>
          <w:p w14:paraId="00FC8E65" w14:textId="49E443FD" w:rsidR="00CF091D" w:rsidRPr="006C0D92" w:rsidRDefault="007B56B7" w:rsidP="00CF091D">
            <w:pPr>
              <w:pStyle w:val="Tabletext0"/>
              <w:rPr>
                <w:color w:val="E36C0A" w:themeColor="accent6" w:themeShade="BF"/>
                <w:highlight w:val="yellow"/>
                <w:lang w:val="en-GB" w:eastAsia="en-GB"/>
              </w:rPr>
            </w:pPr>
            <w:r w:rsidRPr="00F02F92">
              <w:rPr>
                <w:lang w:val="en-GB" w:eastAsia="en-GB"/>
              </w:rPr>
              <w:t xml:space="preserve">Mid Term Review of Mekong River Commission </w:t>
            </w:r>
            <w:r w:rsidR="00CF091D" w:rsidRPr="00F02F92">
              <w:rPr>
                <w:lang w:val="en-GB" w:eastAsia="en-GB"/>
              </w:rPr>
              <w:t>Integrated Capacity Building Program 2009–11</w:t>
            </w:r>
          </w:p>
        </w:tc>
        <w:tc>
          <w:tcPr>
            <w:tcW w:w="1276" w:type="dxa"/>
            <w:tcBorders>
              <w:top w:val="single" w:sz="4" w:space="0" w:color="31849B"/>
              <w:left w:val="nil"/>
              <w:bottom w:val="single" w:sz="4" w:space="0" w:color="31849B"/>
              <w:right w:val="nil"/>
            </w:tcBorders>
            <w:shd w:val="clear" w:color="000000" w:fill="FFFFFF"/>
            <w:noWrap/>
            <w:vAlign w:val="center"/>
            <w:hideMark/>
          </w:tcPr>
          <w:p w14:paraId="73EF7B00" w14:textId="02C6DA15" w:rsidR="00CF091D" w:rsidRPr="00867894" w:rsidRDefault="00CF091D" w:rsidP="00CF091D">
            <w:pPr>
              <w:pStyle w:val="Tabletext0"/>
              <w:rPr>
                <w:color w:val="E36C0A" w:themeColor="accent6" w:themeShade="BF"/>
                <w:lang w:val="en-GB" w:eastAsia="en-GB"/>
              </w:rPr>
            </w:pPr>
            <w:r w:rsidRPr="00867894">
              <w:rPr>
                <w:lang w:val="en-GB" w:eastAsia="en-GB"/>
              </w:rPr>
              <w:t>Multicountry</w:t>
            </w:r>
          </w:p>
        </w:tc>
        <w:tc>
          <w:tcPr>
            <w:tcW w:w="1418" w:type="dxa"/>
            <w:tcBorders>
              <w:top w:val="single" w:sz="4" w:space="0" w:color="31849B"/>
              <w:left w:val="nil"/>
              <w:bottom w:val="single" w:sz="4" w:space="0" w:color="31849B"/>
              <w:right w:val="nil"/>
            </w:tcBorders>
            <w:shd w:val="clear" w:color="auto" w:fill="auto"/>
            <w:vAlign w:val="center"/>
            <w:hideMark/>
          </w:tcPr>
          <w:p w14:paraId="454EA5B0" w14:textId="4E28A8D2" w:rsidR="00CF091D" w:rsidRPr="00867894" w:rsidRDefault="007B56B7" w:rsidP="00CF091D">
            <w:pPr>
              <w:pStyle w:val="Tabletext0"/>
              <w:rPr>
                <w:color w:val="E36C0A" w:themeColor="accent6" w:themeShade="BF"/>
                <w:lang w:val="en-GB" w:eastAsia="en-GB"/>
              </w:rPr>
            </w:pPr>
            <w:r>
              <w:rPr>
                <w:lang w:val="en-GB" w:eastAsia="en-GB"/>
              </w:rPr>
              <w:t>Water and sanitation</w:t>
            </w:r>
          </w:p>
        </w:tc>
        <w:tc>
          <w:tcPr>
            <w:tcW w:w="1417" w:type="dxa"/>
            <w:tcBorders>
              <w:top w:val="single" w:sz="4" w:space="0" w:color="31849B"/>
              <w:left w:val="nil"/>
              <w:bottom w:val="single" w:sz="4" w:space="0" w:color="31849B"/>
            </w:tcBorders>
            <w:vAlign w:val="center"/>
          </w:tcPr>
          <w:p w14:paraId="75372B86" w14:textId="77777777" w:rsidR="00CF091D" w:rsidRPr="00867894" w:rsidRDefault="00CF091D" w:rsidP="00CF091D">
            <w:pPr>
              <w:pStyle w:val="Tabletext0"/>
              <w:rPr>
                <w:color w:val="E36C0A" w:themeColor="accent6" w:themeShade="BF"/>
                <w:lang w:val="en-GB" w:eastAsia="en-GB"/>
              </w:rPr>
            </w:pPr>
            <w:r w:rsidRPr="00867894">
              <w:rPr>
                <w:lang w:val="en-GB" w:eastAsia="en-GB"/>
              </w:rPr>
              <w:t>No</w:t>
            </w:r>
          </w:p>
        </w:tc>
        <w:tc>
          <w:tcPr>
            <w:tcW w:w="1276" w:type="dxa"/>
            <w:tcBorders>
              <w:top w:val="single" w:sz="4" w:space="0" w:color="31849B"/>
              <w:left w:val="nil"/>
              <w:bottom w:val="single" w:sz="4" w:space="0" w:color="31849B"/>
            </w:tcBorders>
            <w:vAlign w:val="center"/>
          </w:tcPr>
          <w:p w14:paraId="608DA4AB" w14:textId="77777777" w:rsidR="00CF091D" w:rsidRPr="00867894" w:rsidRDefault="00CF091D" w:rsidP="00CF091D">
            <w:pPr>
              <w:pStyle w:val="Tabletext0"/>
              <w:rPr>
                <w:color w:val="E36C0A" w:themeColor="accent6" w:themeShade="BF"/>
                <w:lang w:val="en-GB" w:eastAsia="en-GB"/>
              </w:rPr>
            </w:pPr>
            <w:r w:rsidRPr="00867894">
              <w:rPr>
                <w:lang w:val="en-GB" w:eastAsia="en-GB"/>
              </w:rPr>
              <w:t>No</w:t>
            </w:r>
          </w:p>
        </w:tc>
      </w:tr>
      <w:tr w:rsidR="00CF091D" w:rsidRPr="00867894" w14:paraId="1137BCCC" w14:textId="77777777" w:rsidTr="00EC2BBF">
        <w:trPr>
          <w:cantSplit/>
          <w:trHeight w:val="900"/>
        </w:trPr>
        <w:tc>
          <w:tcPr>
            <w:tcW w:w="1242" w:type="dxa"/>
            <w:tcBorders>
              <w:top w:val="single" w:sz="4" w:space="0" w:color="31849B"/>
              <w:bottom w:val="single" w:sz="4" w:space="0" w:color="31849B"/>
              <w:right w:val="nil"/>
            </w:tcBorders>
            <w:shd w:val="clear" w:color="auto" w:fill="auto"/>
            <w:vAlign w:val="center"/>
            <w:hideMark/>
          </w:tcPr>
          <w:p w14:paraId="70ACAB83" w14:textId="77777777" w:rsidR="00CF091D" w:rsidRPr="00867894" w:rsidRDefault="00CF091D" w:rsidP="00CF091D">
            <w:pPr>
              <w:pStyle w:val="Tabletext0"/>
              <w:rPr>
                <w:color w:val="E36C0A" w:themeColor="accent6" w:themeShade="BF"/>
                <w:lang w:val="en-GB" w:eastAsia="en-GB"/>
              </w:rPr>
            </w:pPr>
            <w:r w:rsidRPr="00867894">
              <w:rPr>
                <w:lang w:val="en-GB" w:eastAsia="en-GB"/>
              </w:rPr>
              <w:t>IND653</w:t>
            </w:r>
          </w:p>
        </w:tc>
        <w:tc>
          <w:tcPr>
            <w:tcW w:w="3402" w:type="dxa"/>
            <w:tcBorders>
              <w:top w:val="single" w:sz="4" w:space="0" w:color="31849B"/>
              <w:left w:val="nil"/>
              <w:bottom w:val="single" w:sz="4" w:space="0" w:color="31849B"/>
              <w:right w:val="nil"/>
            </w:tcBorders>
            <w:shd w:val="clear" w:color="000000" w:fill="FFFFFF"/>
            <w:vAlign w:val="center"/>
            <w:hideMark/>
          </w:tcPr>
          <w:p w14:paraId="2B3CB5DB" w14:textId="131CFFAF" w:rsidR="00CF091D" w:rsidRPr="006C0D92" w:rsidRDefault="00F02F92" w:rsidP="00F02F92">
            <w:pPr>
              <w:pStyle w:val="Tabletext0"/>
              <w:rPr>
                <w:color w:val="E36C0A" w:themeColor="accent6" w:themeShade="BF"/>
                <w:highlight w:val="yellow"/>
                <w:lang w:val="en-GB" w:eastAsia="en-GB"/>
              </w:rPr>
            </w:pPr>
            <w:r w:rsidRPr="00F02F92">
              <w:rPr>
                <w:lang w:val="en-GB" w:eastAsia="en-GB"/>
              </w:rPr>
              <w:t>Independent Completion Review of t</w:t>
            </w:r>
            <w:r w:rsidR="00CF091D" w:rsidRPr="00F02F92">
              <w:rPr>
                <w:lang w:val="en-GB" w:eastAsia="en-GB"/>
              </w:rPr>
              <w:t>he Centre for Democratic Institutions</w:t>
            </w:r>
          </w:p>
        </w:tc>
        <w:tc>
          <w:tcPr>
            <w:tcW w:w="1276" w:type="dxa"/>
            <w:tcBorders>
              <w:top w:val="single" w:sz="4" w:space="0" w:color="31849B"/>
              <w:left w:val="nil"/>
              <w:bottom w:val="single" w:sz="4" w:space="0" w:color="31849B"/>
              <w:right w:val="nil"/>
            </w:tcBorders>
            <w:shd w:val="clear" w:color="000000" w:fill="FFFFFF"/>
            <w:noWrap/>
            <w:vAlign w:val="center"/>
            <w:hideMark/>
          </w:tcPr>
          <w:p w14:paraId="53195060" w14:textId="77777777" w:rsidR="00CF091D" w:rsidRPr="00867894" w:rsidRDefault="00CF091D" w:rsidP="00CF091D">
            <w:pPr>
              <w:pStyle w:val="Tabletext0"/>
              <w:rPr>
                <w:color w:val="E36C0A" w:themeColor="accent6" w:themeShade="BF"/>
                <w:lang w:val="en-GB" w:eastAsia="en-GB"/>
              </w:rPr>
            </w:pPr>
            <w:r w:rsidRPr="00867894">
              <w:rPr>
                <w:lang w:val="en-GB" w:eastAsia="en-GB"/>
              </w:rPr>
              <w:t>Multicountry</w:t>
            </w:r>
          </w:p>
        </w:tc>
        <w:tc>
          <w:tcPr>
            <w:tcW w:w="1418" w:type="dxa"/>
            <w:tcBorders>
              <w:top w:val="single" w:sz="4" w:space="0" w:color="31849B"/>
              <w:left w:val="nil"/>
              <w:bottom w:val="single" w:sz="4" w:space="0" w:color="31849B"/>
              <w:right w:val="nil"/>
            </w:tcBorders>
            <w:shd w:val="clear" w:color="auto" w:fill="auto"/>
            <w:vAlign w:val="center"/>
            <w:hideMark/>
          </w:tcPr>
          <w:p w14:paraId="0D2D4719" w14:textId="77777777" w:rsidR="00CF091D" w:rsidRPr="00867894" w:rsidRDefault="00CF091D" w:rsidP="00CF091D">
            <w:pPr>
              <w:pStyle w:val="Tabletext0"/>
              <w:rPr>
                <w:color w:val="E36C0A" w:themeColor="accent6" w:themeShade="BF"/>
                <w:lang w:val="en-GB" w:eastAsia="en-GB"/>
              </w:rPr>
            </w:pPr>
            <w:r w:rsidRPr="00867894">
              <w:rPr>
                <w:lang w:val="en-GB" w:eastAsia="en-GB"/>
              </w:rPr>
              <w:t>Human rights</w:t>
            </w:r>
          </w:p>
        </w:tc>
        <w:tc>
          <w:tcPr>
            <w:tcW w:w="1417" w:type="dxa"/>
            <w:tcBorders>
              <w:top w:val="single" w:sz="4" w:space="0" w:color="31849B"/>
              <w:left w:val="nil"/>
              <w:bottom w:val="single" w:sz="4" w:space="0" w:color="31849B"/>
            </w:tcBorders>
            <w:vAlign w:val="center"/>
          </w:tcPr>
          <w:p w14:paraId="1D0D43DB" w14:textId="77777777" w:rsidR="00CF091D" w:rsidRPr="00867894" w:rsidRDefault="00CF091D" w:rsidP="00CF091D">
            <w:pPr>
              <w:pStyle w:val="Tabletext0"/>
              <w:rPr>
                <w:color w:val="E36C0A" w:themeColor="accent6" w:themeShade="BF"/>
                <w:lang w:val="en-GB" w:eastAsia="en-GB"/>
              </w:rPr>
            </w:pPr>
            <w:r w:rsidRPr="00867894">
              <w:rPr>
                <w:lang w:val="en-GB" w:eastAsia="en-GB"/>
              </w:rPr>
              <w:t>No</w:t>
            </w:r>
          </w:p>
        </w:tc>
        <w:tc>
          <w:tcPr>
            <w:tcW w:w="1276" w:type="dxa"/>
            <w:tcBorders>
              <w:top w:val="single" w:sz="4" w:space="0" w:color="31849B"/>
              <w:left w:val="nil"/>
              <w:bottom w:val="single" w:sz="4" w:space="0" w:color="31849B"/>
            </w:tcBorders>
            <w:vAlign w:val="center"/>
          </w:tcPr>
          <w:p w14:paraId="20F0DDC3" w14:textId="77777777" w:rsidR="00CF091D" w:rsidRPr="00867894" w:rsidRDefault="00CF091D" w:rsidP="00CF091D">
            <w:pPr>
              <w:pStyle w:val="Tabletext0"/>
              <w:rPr>
                <w:color w:val="E36C0A" w:themeColor="accent6" w:themeShade="BF"/>
                <w:lang w:val="en-GB" w:eastAsia="en-GB"/>
              </w:rPr>
            </w:pPr>
            <w:r w:rsidRPr="00867894">
              <w:rPr>
                <w:lang w:val="en-GB" w:eastAsia="en-GB"/>
              </w:rPr>
              <w:t>No</w:t>
            </w:r>
          </w:p>
        </w:tc>
      </w:tr>
      <w:tr w:rsidR="00CF091D" w:rsidRPr="00867894" w14:paraId="3339F85A" w14:textId="77777777" w:rsidTr="00EC2BBF">
        <w:trPr>
          <w:cantSplit/>
          <w:trHeight w:val="900"/>
        </w:trPr>
        <w:tc>
          <w:tcPr>
            <w:tcW w:w="1242" w:type="dxa"/>
            <w:tcBorders>
              <w:top w:val="single" w:sz="4" w:space="0" w:color="31849B"/>
              <w:bottom w:val="single" w:sz="4" w:space="0" w:color="31849B"/>
              <w:right w:val="nil"/>
            </w:tcBorders>
            <w:shd w:val="clear" w:color="auto" w:fill="auto"/>
            <w:vAlign w:val="center"/>
            <w:hideMark/>
          </w:tcPr>
          <w:p w14:paraId="456E786D" w14:textId="77777777" w:rsidR="00CF091D" w:rsidRPr="00867894" w:rsidRDefault="00CF091D" w:rsidP="00CF091D">
            <w:pPr>
              <w:pStyle w:val="Tabletext0"/>
              <w:rPr>
                <w:color w:val="E36C0A" w:themeColor="accent6" w:themeShade="BF"/>
                <w:lang w:val="en-GB" w:eastAsia="en-GB"/>
              </w:rPr>
            </w:pPr>
            <w:r w:rsidRPr="00867894">
              <w:rPr>
                <w:lang w:val="en-GB" w:eastAsia="en-GB"/>
              </w:rPr>
              <w:t>ING522</w:t>
            </w:r>
          </w:p>
        </w:tc>
        <w:tc>
          <w:tcPr>
            <w:tcW w:w="3402" w:type="dxa"/>
            <w:tcBorders>
              <w:top w:val="single" w:sz="4" w:space="0" w:color="31849B"/>
              <w:left w:val="nil"/>
              <w:bottom w:val="single" w:sz="4" w:space="0" w:color="31849B"/>
              <w:right w:val="nil"/>
            </w:tcBorders>
            <w:shd w:val="clear" w:color="000000" w:fill="FFFFFF"/>
            <w:vAlign w:val="center"/>
            <w:hideMark/>
          </w:tcPr>
          <w:p w14:paraId="3A0EC471" w14:textId="7935E5A8" w:rsidR="00F02F92" w:rsidRPr="00F02F92" w:rsidRDefault="00F02F92" w:rsidP="00CF091D">
            <w:pPr>
              <w:pStyle w:val="Tabletext0"/>
              <w:rPr>
                <w:lang w:val="en-GB" w:eastAsia="en-GB"/>
              </w:rPr>
            </w:pPr>
            <w:r w:rsidRPr="00F02F92">
              <w:rPr>
                <w:lang w:val="en-GB" w:eastAsia="en-GB"/>
              </w:rPr>
              <w:t>Independent Completion Report for Australia China Environment Development Partnership</w:t>
            </w:r>
          </w:p>
        </w:tc>
        <w:tc>
          <w:tcPr>
            <w:tcW w:w="1276" w:type="dxa"/>
            <w:tcBorders>
              <w:top w:val="single" w:sz="4" w:space="0" w:color="31849B"/>
              <w:left w:val="nil"/>
              <w:bottom w:val="single" w:sz="4" w:space="0" w:color="31849B"/>
              <w:right w:val="nil"/>
            </w:tcBorders>
            <w:shd w:val="clear" w:color="000000" w:fill="FFFFFF"/>
            <w:noWrap/>
            <w:vAlign w:val="center"/>
            <w:hideMark/>
          </w:tcPr>
          <w:p w14:paraId="6392EA88" w14:textId="77777777" w:rsidR="00CF091D" w:rsidRPr="00867894" w:rsidRDefault="00CF091D" w:rsidP="00CF091D">
            <w:pPr>
              <w:pStyle w:val="Tabletext0"/>
              <w:rPr>
                <w:color w:val="E36C0A" w:themeColor="accent6" w:themeShade="BF"/>
                <w:lang w:val="en-GB" w:eastAsia="en-GB"/>
              </w:rPr>
            </w:pPr>
            <w:r w:rsidRPr="00867894">
              <w:rPr>
                <w:lang w:val="en-GB" w:eastAsia="en-GB"/>
              </w:rPr>
              <w:t>China</w:t>
            </w:r>
          </w:p>
        </w:tc>
        <w:tc>
          <w:tcPr>
            <w:tcW w:w="1418" w:type="dxa"/>
            <w:tcBorders>
              <w:top w:val="single" w:sz="4" w:space="0" w:color="31849B"/>
              <w:left w:val="nil"/>
              <w:bottom w:val="single" w:sz="4" w:space="0" w:color="31849B"/>
              <w:right w:val="nil"/>
            </w:tcBorders>
            <w:shd w:val="clear" w:color="auto" w:fill="auto"/>
            <w:vAlign w:val="center"/>
            <w:hideMark/>
          </w:tcPr>
          <w:p w14:paraId="163C4830" w14:textId="77777777" w:rsidR="00CF091D" w:rsidRPr="00867894" w:rsidRDefault="00CF091D" w:rsidP="00CF091D">
            <w:pPr>
              <w:pStyle w:val="Tabletext0"/>
              <w:rPr>
                <w:color w:val="E36C0A" w:themeColor="accent6" w:themeShade="BF"/>
                <w:lang w:val="en-GB" w:eastAsia="en-GB"/>
              </w:rPr>
            </w:pPr>
            <w:r w:rsidRPr="00867894">
              <w:rPr>
                <w:lang w:val="en-GB" w:eastAsia="en-GB"/>
              </w:rPr>
              <w:t>Environment and natural resource management</w:t>
            </w:r>
          </w:p>
        </w:tc>
        <w:tc>
          <w:tcPr>
            <w:tcW w:w="1417" w:type="dxa"/>
            <w:tcBorders>
              <w:top w:val="single" w:sz="4" w:space="0" w:color="31849B"/>
              <w:left w:val="nil"/>
              <w:bottom w:val="single" w:sz="4" w:space="0" w:color="31849B"/>
            </w:tcBorders>
            <w:vAlign w:val="center"/>
          </w:tcPr>
          <w:p w14:paraId="21AA18AE" w14:textId="77777777" w:rsidR="00CF091D" w:rsidRPr="00867894" w:rsidRDefault="00CF091D" w:rsidP="00CF091D">
            <w:pPr>
              <w:pStyle w:val="Tabletext0"/>
              <w:rPr>
                <w:color w:val="E36C0A" w:themeColor="accent6" w:themeShade="BF"/>
                <w:szCs w:val="16"/>
                <w:lang w:val="en-GB" w:eastAsia="en-GB"/>
              </w:rPr>
            </w:pPr>
            <w:r w:rsidRPr="00867894">
              <w:rPr>
                <w:lang w:val="en-GB" w:eastAsia="en-GB"/>
              </w:rPr>
              <w:t>No</w:t>
            </w:r>
          </w:p>
        </w:tc>
        <w:tc>
          <w:tcPr>
            <w:tcW w:w="1276" w:type="dxa"/>
            <w:tcBorders>
              <w:top w:val="single" w:sz="4" w:space="0" w:color="31849B"/>
              <w:left w:val="nil"/>
              <w:bottom w:val="single" w:sz="4" w:space="0" w:color="31849B"/>
            </w:tcBorders>
            <w:vAlign w:val="center"/>
          </w:tcPr>
          <w:p w14:paraId="15818A61" w14:textId="77777777" w:rsidR="00CF091D" w:rsidRPr="00867894" w:rsidRDefault="00CF091D" w:rsidP="00CF091D">
            <w:pPr>
              <w:pStyle w:val="Tabletext0"/>
              <w:rPr>
                <w:color w:val="E36C0A" w:themeColor="accent6" w:themeShade="BF"/>
                <w:lang w:val="en-GB" w:eastAsia="en-GB"/>
              </w:rPr>
            </w:pPr>
            <w:r w:rsidRPr="00867894">
              <w:rPr>
                <w:lang w:val="en-GB" w:eastAsia="en-GB"/>
              </w:rPr>
              <w:t>No</w:t>
            </w:r>
          </w:p>
        </w:tc>
      </w:tr>
      <w:tr w:rsidR="00CF091D" w:rsidRPr="00867894" w14:paraId="0D4092A3" w14:textId="77777777" w:rsidTr="00EC2BBF">
        <w:trPr>
          <w:cantSplit/>
          <w:trHeight w:val="900"/>
        </w:trPr>
        <w:tc>
          <w:tcPr>
            <w:tcW w:w="1242" w:type="dxa"/>
            <w:tcBorders>
              <w:top w:val="single" w:sz="4" w:space="0" w:color="31849B"/>
              <w:bottom w:val="single" w:sz="4" w:space="0" w:color="31849B"/>
              <w:right w:val="nil"/>
            </w:tcBorders>
            <w:shd w:val="clear" w:color="auto" w:fill="auto"/>
            <w:vAlign w:val="center"/>
            <w:hideMark/>
          </w:tcPr>
          <w:p w14:paraId="7B417C00" w14:textId="77777777" w:rsidR="00CF091D" w:rsidRPr="00867894" w:rsidRDefault="00CF091D" w:rsidP="00CF091D">
            <w:pPr>
              <w:pStyle w:val="Tabletext0"/>
              <w:rPr>
                <w:color w:val="E36C0A" w:themeColor="accent6" w:themeShade="BF"/>
                <w:lang w:val="en-GB" w:eastAsia="en-GB"/>
              </w:rPr>
            </w:pPr>
            <w:r w:rsidRPr="00867894">
              <w:rPr>
                <w:lang w:val="en-GB" w:eastAsia="en-GB"/>
              </w:rPr>
              <w:t>INH459</w:t>
            </w:r>
          </w:p>
        </w:tc>
        <w:tc>
          <w:tcPr>
            <w:tcW w:w="3402" w:type="dxa"/>
            <w:tcBorders>
              <w:top w:val="single" w:sz="4" w:space="0" w:color="31849B"/>
              <w:left w:val="nil"/>
              <w:bottom w:val="single" w:sz="4" w:space="0" w:color="31849B"/>
              <w:right w:val="nil"/>
            </w:tcBorders>
            <w:shd w:val="clear" w:color="000000" w:fill="FFFFFF"/>
            <w:vAlign w:val="center"/>
            <w:hideMark/>
          </w:tcPr>
          <w:p w14:paraId="1A3F14AC" w14:textId="33C8DEEF" w:rsidR="00F02F92" w:rsidRPr="006C0D92" w:rsidRDefault="00F02F92" w:rsidP="00CE180F">
            <w:pPr>
              <w:pStyle w:val="Tabletext0"/>
              <w:rPr>
                <w:color w:val="E36C0A" w:themeColor="accent6" w:themeShade="BF"/>
                <w:highlight w:val="yellow"/>
                <w:lang w:val="en-GB" w:eastAsia="en-GB"/>
              </w:rPr>
            </w:pPr>
            <w:r w:rsidRPr="00CE180F">
              <w:rPr>
                <w:lang w:val="en-GB" w:eastAsia="en-GB"/>
              </w:rPr>
              <w:t xml:space="preserve">Final Evaluation of Youth Employment Promotion Programme </w:t>
            </w:r>
          </w:p>
        </w:tc>
        <w:tc>
          <w:tcPr>
            <w:tcW w:w="1276" w:type="dxa"/>
            <w:tcBorders>
              <w:top w:val="single" w:sz="4" w:space="0" w:color="31849B"/>
              <w:left w:val="nil"/>
              <w:bottom w:val="single" w:sz="4" w:space="0" w:color="31849B"/>
              <w:right w:val="nil"/>
            </w:tcBorders>
            <w:shd w:val="clear" w:color="000000" w:fill="FFFFFF"/>
            <w:noWrap/>
            <w:vAlign w:val="center"/>
            <w:hideMark/>
          </w:tcPr>
          <w:p w14:paraId="0108C9F4" w14:textId="77777777" w:rsidR="00CF091D" w:rsidRPr="00867894" w:rsidRDefault="00CF091D" w:rsidP="00CF091D">
            <w:pPr>
              <w:pStyle w:val="Tabletext0"/>
              <w:rPr>
                <w:color w:val="E36C0A" w:themeColor="accent6" w:themeShade="BF"/>
                <w:lang w:val="en-GB" w:eastAsia="en-GB"/>
              </w:rPr>
            </w:pPr>
            <w:r w:rsidRPr="00867894">
              <w:rPr>
                <w:lang w:val="en-GB" w:eastAsia="en-GB"/>
              </w:rPr>
              <w:t>Timor-Leste</w:t>
            </w:r>
          </w:p>
        </w:tc>
        <w:tc>
          <w:tcPr>
            <w:tcW w:w="1418" w:type="dxa"/>
            <w:tcBorders>
              <w:top w:val="single" w:sz="4" w:space="0" w:color="31849B"/>
              <w:left w:val="nil"/>
              <w:bottom w:val="single" w:sz="4" w:space="0" w:color="31849B"/>
              <w:right w:val="nil"/>
            </w:tcBorders>
            <w:shd w:val="clear" w:color="auto" w:fill="auto"/>
            <w:vAlign w:val="center"/>
            <w:hideMark/>
          </w:tcPr>
          <w:p w14:paraId="49384359" w14:textId="3ACB6549" w:rsidR="00CF091D" w:rsidRPr="00867894" w:rsidRDefault="007B56B7" w:rsidP="00CF091D">
            <w:pPr>
              <w:pStyle w:val="Tabletext0"/>
              <w:rPr>
                <w:color w:val="E36C0A" w:themeColor="accent6" w:themeShade="BF"/>
                <w:lang w:val="en-GB" w:eastAsia="en-GB"/>
              </w:rPr>
            </w:pPr>
            <w:r>
              <w:rPr>
                <w:lang w:val="en-GB" w:eastAsia="en-GB"/>
              </w:rPr>
              <w:t>Education</w:t>
            </w:r>
          </w:p>
        </w:tc>
        <w:tc>
          <w:tcPr>
            <w:tcW w:w="1417" w:type="dxa"/>
            <w:tcBorders>
              <w:top w:val="single" w:sz="4" w:space="0" w:color="31849B"/>
              <w:left w:val="nil"/>
              <w:bottom w:val="single" w:sz="4" w:space="0" w:color="31849B"/>
            </w:tcBorders>
            <w:vAlign w:val="center"/>
          </w:tcPr>
          <w:p w14:paraId="0E7C7F88" w14:textId="77777777" w:rsidR="00CF091D" w:rsidRPr="00867894" w:rsidRDefault="00CF091D" w:rsidP="00CF091D">
            <w:pPr>
              <w:pStyle w:val="Tabletext0"/>
              <w:rPr>
                <w:color w:val="E36C0A" w:themeColor="accent6" w:themeShade="BF"/>
                <w:lang w:val="en-GB" w:eastAsia="en-GB"/>
              </w:rPr>
            </w:pPr>
            <w:r w:rsidRPr="00867894">
              <w:rPr>
                <w:lang w:val="en-GB" w:eastAsia="en-GB"/>
              </w:rPr>
              <w:t>No</w:t>
            </w:r>
          </w:p>
        </w:tc>
        <w:tc>
          <w:tcPr>
            <w:tcW w:w="1276" w:type="dxa"/>
            <w:tcBorders>
              <w:top w:val="single" w:sz="4" w:space="0" w:color="31849B"/>
              <w:left w:val="nil"/>
              <w:bottom w:val="single" w:sz="4" w:space="0" w:color="31849B"/>
            </w:tcBorders>
            <w:vAlign w:val="center"/>
          </w:tcPr>
          <w:p w14:paraId="59354D4F" w14:textId="77777777" w:rsidR="00CF091D" w:rsidRPr="00867894" w:rsidRDefault="00CF091D" w:rsidP="00CF091D">
            <w:pPr>
              <w:pStyle w:val="Tabletext0"/>
              <w:rPr>
                <w:color w:val="E36C0A" w:themeColor="accent6" w:themeShade="BF"/>
                <w:lang w:val="en-GB" w:eastAsia="en-GB"/>
              </w:rPr>
            </w:pPr>
            <w:r w:rsidRPr="00867894">
              <w:rPr>
                <w:lang w:val="en-GB" w:eastAsia="en-GB"/>
              </w:rPr>
              <w:t>No</w:t>
            </w:r>
          </w:p>
        </w:tc>
      </w:tr>
      <w:tr w:rsidR="00CF091D" w:rsidRPr="00867894" w14:paraId="13BC9E68" w14:textId="77777777" w:rsidTr="00EC2BBF">
        <w:trPr>
          <w:cantSplit/>
          <w:trHeight w:val="900"/>
        </w:trPr>
        <w:tc>
          <w:tcPr>
            <w:tcW w:w="1242" w:type="dxa"/>
            <w:tcBorders>
              <w:top w:val="single" w:sz="4" w:space="0" w:color="31849B"/>
              <w:bottom w:val="single" w:sz="4" w:space="0" w:color="31849B"/>
              <w:right w:val="nil"/>
            </w:tcBorders>
            <w:shd w:val="clear" w:color="auto" w:fill="auto"/>
            <w:vAlign w:val="center"/>
            <w:hideMark/>
          </w:tcPr>
          <w:p w14:paraId="7927940C" w14:textId="77777777" w:rsidR="00CF091D" w:rsidRPr="00867894" w:rsidRDefault="00CF091D" w:rsidP="00CF091D">
            <w:pPr>
              <w:pStyle w:val="Tabletext0"/>
              <w:rPr>
                <w:color w:val="E36C0A" w:themeColor="accent6" w:themeShade="BF"/>
                <w:lang w:val="en-GB" w:eastAsia="en-GB"/>
              </w:rPr>
            </w:pPr>
            <w:r w:rsidRPr="00867894">
              <w:rPr>
                <w:lang w:val="en-GB" w:eastAsia="en-GB"/>
              </w:rPr>
              <w:t>INJ823</w:t>
            </w:r>
          </w:p>
        </w:tc>
        <w:tc>
          <w:tcPr>
            <w:tcW w:w="3402" w:type="dxa"/>
            <w:tcBorders>
              <w:top w:val="single" w:sz="4" w:space="0" w:color="31849B"/>
              <w:left w:val="nil"/>
              <w:bottom w:val="single" w:sz="4" w:space="0" w:color="31849B"/>
              <w:right w:val="nil"/>
            </w:tcBorders>
            <w:shd w:val="clear" w:color="000000" w:fill="FFFFFF"/>
            <w:vAlign w:val="center"/>
            <w:hideMark/>
          </w:tcPr>
          <w:p w14:paraId="7E677D14" w14:textId="7BF2B017" w:rsidR="00CF091D" w:rsidRPr="006C0D92" w:rsidRDefault="00CE180F" w:rsidP="00CF091D">
            <w:pPr>
              <w:pStyle w:val="Tabletext0"/>
              <w:rPr>
                <w:color w:val="E36C0A" w:themeColor="accent6" w:themeShade="BF"/>
                <w:highlight w:val="yellow"/>
                <w:lang w:val="en-GB" w:eastAsia="en-GB"/>
              </w:rPr>
            </w:pPr>
            <w:r w:rsidRPr="00CE180F">
              <w:rPr>
                <w:lang w:val="en-GB" w:eastAsia="en-GB"/>
              </w:rPr>
              <w:t xml:space="preserve">Independent Progress Review of </w:t>
            </w:r>
            <w:r w:rsidR="00CF091D" w:rsidRPr="00CE180F">
              <w:rPr>
                <w:lang w:val="en-GB" w:eastAsia="en-GB"/>
              </w:rPr>
              <w:t>Australia’s Support to the Government of Indonesia Tim Bantuan Tata Kelola Pemerintahan</w:t>
            </w:r>
            <w:r w:rsidR="00CF091D" w:rsidRPr="006C0D92">
              <w:rPr>
                <w:highlight w:val="yellow"/>
                <w:lang w:val="en-GB" w:eastAsia="en-GB"/>
              </w:rPr>
              <w:t xml:space="preserve"> </w:t>
            </w:r>
          </w:p>
        </w:tc>
        <w:tc>
          <w:tcPr>
            <w:tcW w:w="1276" w:type="dxa"/>
            <w:tcBorders>
              <w:top w:val="single" w:sz="4" w:space="0" w:color="31849B"/>
              <w:left w:val="nil"/>
              <w:bottom w:val="single" w:sz="4" w:space="0" w:color="31849B"/>
              <w:right w:val="nil"/>
            </w:tcBorders>
            <w:shd w:val="clear" w:color="000000" w:fill="FFFFFF"/>
            <w:noWrap/>
            <w:vAlign w:val="center"/>
            <w:hideMark/>
          </w:tcPr>
          <w:p w14:paraId="633657AF" w14:textId="77777777" w:rsidR="00CF091D" w:rsidRPr="00867894" w:rsidRDefault="00CF091D" w:rsidP="00CF091D">
            <w:pPr>
              <w:pStyle w:val="Tabletext0"/>
              <w:rPr>
                <w:color w:val="E36C0A" w:themeColor="accent6" w:themeShade="BF"/>
                <w:lang w:val="en-GB" w:eastAsia="en-GB"/>
              </w:rPr>
            </w:pPr>
            <w:r w:rsidRPr="00867894">
              <w:rPr>
                <w:lang w:val="en-GB" w:eastAsia="en-GB"/>
              </w:rPr>
              <w:t>Indonesia</w:t>
            </w:r>
          </w:p>
        </w:tc>
        <w:tc>
          <w:tcPr>
            <w:tcW w:w="1418" w:type="dxa"/>
            <w:tcBorders>
              <w:top w:val="single" w:sz="4" w:space="0" w:color="31849B"/>
              <w:left w:val="nil"/>
              <w:bottom w:val="single" w:sz="4" w:space="0" w:color="31849B"/>
              <w:right w:val="nil"/>
            </w:tcBorders>
            <w:shd w:val="clear" w:color="auto" w:fill="auto"/>
            <w:vAlign w:val="center"/>
            <w:hideMark/>
          </w:tcPr>
          <w:p w14:paraId="36CEB24F" w14:textId="765A691C" w:rsidR="00CF091D" w:rsidRPr="00867894" w:rsidRDefault="00CF091D" w:rsidP="00CF091D">
            <w:pPr>
              <w:pStyle w:val="Tabletext0"/>
              <w:rPr>
                <w:color w:val="E36C0A" w:themeColor="accent6" w:themeShade="BF"/>
                <w:lang w:val="en-GB" w:eastAsia="en-GB"/>
              </w:rPr>
            </w:pPr>
            <w:r>
              <w:rPr>
                <w:lang w:val="en-GB" w:eastAsia="en-GB"/>
              </w:rPr>
              <w:t>Improved government</w:t>
            </w:r>
          </w:p>
        </w:tc>
        <w:tc>
          <w:tcPr>
            <w:tcW w:w="1417" w:type="dxa"/>
            <w:tcBorders>
              <w:top w:val="single" w:sz="4" w:space="0" w:color="31849B"/>
              <w:left w:val="nil"/>
              <w:bottom w:val="single" w:sz="4" w:space="0" w:color="31849B"/>
            </w:tcBorders>
            <w:vAlign w:val="center"/>
          </w:tcPr>
          <w:p w14:paraId="329B6375" w14:textId="77777777" w:rsidR="00CF091D" w:rsidRPr="00867894" w:rsidRDefault="00CF091D" w:rsidP="00CF091D">
            <w:pPr>
              <w:pStyle w:val="Tabletext0"/>
              <w:rPr>
                <w:color w:val="E36C0A" w:themeColor="accent6" w:themeShade="BF"/>
                <w:lang w:val="en-GB" w:eastAsia="en-GB"/>
              </w:rPr>
            </w:pPr>
            <w:r w:rsidRPr="00867894">
              <w:rPr>
                <w:lang w:val="en-GB" w:eastAsia="en-GB"/>
              </w:rPr>
              <w:t>No</w:t>
            </w:r>
          </w:p>
        </w:tc>
        <w:tc>
          <w:tcPr>
            <w:tcW w:w="1276" w:type="dxa"/>
            <w:tcBorders>
              <w:top w:val="single" w:sz="4" w:space="0" w:color="31849B"/>
              <w:left w:val="nil"/>
              <w:bottom w:val="single" w:sz="4" w:space="0" w:color="31849B"/>
            </w:tcBorders>
            <w:vAlign w:val="center"/>
          </w:tcPr>
          <w:p w14:paraId="0E43426B" w14:textId="77777777" w:rsidR="00CF091D" w:rsidRPr="00867894" w:rsidRDefault="00CF091D" w:rsidP="00CF091D">
            <w:pPr>
              <w:pStyle w:val="Tabletext0"/>
              <w:rPr>
                <w:color w:val="E36C0A" w:themeColor="accent6" w:themeShade="BF"/>
                <w:lang w:val="en-GB" w:eastAsia="en-GB"/>
              </w:rPr>
            </w:pPr>
            <w:r w:rsidRPr="00867894">
              <w:rPr>
                <w:lang w:val="en-GB" w:eastAsia="en-GB"/>
              </w:rPr>
              <w:t>No</w:t>
            </w:r>
          </w:p>
        </w:tc>
      </w:tr>
      <w:tr w:rsidR="00CF091D" w:rsidRPr="00867894" w14:paraId="3525525B" w14:textId="77777777" w:rsidTr="00EC2BBF">
        <w:trPr>
          <w:cantSplit/>
          <w:trHeight w:val="900"/>
        </w:trPr>
        <w:tc>
          <w:tcPr>
            <w:tcW w:w="1242" w:type="dxa"/>
            <w:tcBorders>
              <w:top w:val="single" w:sz="4" w:space="0" w:color="31849B"/>
              <w:bottom w:val="single" w:sz="4" w:space="0" w:color="31849B"/>
              <w:right w:val="nil"/>
            </w:tcBorders>
            <w:shd w:val="clear" w:color="auto" w:fill="auto"/>
            <w:vAlign w:val="center"/>
            <w:hideMark/>
          </w:tcPr>
          <w:p w14:paraId="5229186D" w14:textId="3EB41704" w:rsidR="00CF091D" w:rsidRPr="00867894" w:rsidRDefault="00CF091D" w:rsidP="00C83FC5">
            <w:pPr>
              <w:pStyle w:val="Tabletext0"/>
              <w:rPr>
                <w:color w:val="E36C0A" w:themeColor="accent6" w:themeShade="BF"/>
                <w:lang w:val="en-GB" w:eastAsia="en-GB"/>
              </w:rPr>
            </w:pPr>
            <w:r w:rsidRPr="00867894">
              <w:rPr>
                <w:lang w:val="en-GB" w:eastAsia="en-GB"/>
              </w:rPr>
              <w:t>INI6</w:t>
            </w:r>
            <w:r w:rsidR="00C83FC5">
              <w:rPr>
                <w:lang w:val="en-GB" w:eastAsia="en-GB"/>
              </w:rPr>
              <w:t>6</w:t>
            </w:r>
            <w:r w:rsidRPr="00867894">
              <w:rPr>
                <w:lang w:val="en-GB" w:eastAsia="en-GB"/>
              </w:rPr>
              <w:t>1</w:t>
            </w:r>
          </w:p>
        </w:tc>
        <w:tc>
          <w:tcPr>
            <w:tcW w:w="3402" w:type="dxa"/>
            <w:tcBorders>
              <w:top w:val="single" w:sz="4" w:space="0" w:color="31849B"/>
              <w:left w:val="nil"/>
              <w:bottom w:val="single" w:sz="4" w:space="0" w:color="31849B"/>
              <w:right w:val="nil"/>
            </w:tcBorders>
            <w:shd w:val="clear" w:color="000000" w:fill="FFFFFF"/>
            <w:vAlign w:val="center"/>
            <w:hideMark/>
          </w:tcPr>
          <w:p w14:paraId="0D9ADC47" w14:textId="3FCD2C54" w:rsidR="00CF091D" w:rsidRPr="006C0D92" w:rsidRDefault="00C83FC5" w:rsidP="00CF091D">
            <w:pPr>
              <w:pStyle w:val="Tabletext0"/>
              <w:rPr>
                <w:color w:val="E36C0A" w:themeColor="accent6" w:themeShade="BF"/>
                <w:highlight w:val="yellow"/>
                <w:lang w:val="en-GB" w:eastAsia="en-GB"/>
              </w:rPr>
            </w:pPr>
            <w:r w:rsidRPr="00C83FC5">
              <w:rPr>
                <w:lang w:val="en-GB" w:eastAsia="en-GB"/>
              </w:rPr>
              <w:t xml:space="preserve">Independent Progress Reprot for </w:t>
            </w:r>
            <w:r w:rsidR="00CF091D" w:rsidRPr="00C83FC5">
              <w:rPr>
                <w:lang w:val="en-GB" w:eastAsia="en-GB"/>
              </w:rPr>
              <w:t>Solomon Islands Electoral System</w:t>
            </w:r>
          </w:p>
        </w:tc>
        <w:tc>
          <w:tcPr>
            <w:tcW w:w="1276" w:type="dxa"/>
            <w:tcBorders>
              <w:top w:val="single" w:sz="4" w:space="0" w:color="31849B"/>
              <w:left w:val="nil"/>
              <w:bottom w:val="single" w:sz="4" w:space="0" w:color="31849B"/>
              <w:right w:val="nil"/>
            </w:tcBorders>
            <w:shd w:val="clear" w:color="000000" w:fill="FFFFFF"/>
            <w:noWrap/>
            <w:vAlign w:val="center"/>
            <w:hideMark/>
          </w:tcPr>
          <w:p w14:paraId="090138A2" w14:textId="77777777" w:rsidR="00CF091D" w:rsidRPr="00867894" w:rsidRDefault="00CF091D" w:rsidP="00CF091D">
            <w:pPr>
              <w:pStyle w:val="Tabletext0"/>
              <w:rPr>
                <w:color w:val="E36C0A" w:themeColor="accent6" w:themeShade="BF"/>
                <w:lang w:val="en-GB" w:eastAsia="en-GB"/>
              </w:rPr>
            </w:pPr>
            <w:r w:rsidRPr="00867894">
              <w:rPr>
                <w:lang w:val="en-GB" w:eastAsia="en-GB"/>
              </w:rPr>
              <w:t>Solomon Islands</w:t>
            </w:r>
          </w:p>
        </w:tc>
        <w:tc>
          <w:tcPr>
            <w:tcW w:w="1418" w:type="dxa"/>
            <w:tcBorders>
              <w:top w:val="single" w:sz="4" w:space="0" w:color="31849B"/>
              <w:left w:val="nil"/>
              <w:bottom w:val="single" w:sz="4" w:space="0" w:color="31849B"/>
              <w:right w:val="nil"/>
            </w:tcBorders>
            <w:shd w:val="clear" w:color="auto" w:fill="auto"/>
            <w:vAlign w:val="center"/>
            <w:hideMark/>
          </w:tcPr>
          <w:p w14:paraId="0EE6521B" w14:textId="77777777" w:rsidR="00CF091D" w:rsidRPr="00867894" w:rsidRDefault="00CF091D" w:rsidP="00CF091D">
            <w:pPr>
              <w:pStyle w:val="Tabletext0"/>
              <w:rPr>
                <w:color w:val="E36C0A" w:themeColor="accent6" w:themeShade="BF"/>
                <w:lang w:val="en-GB" w:eastAsia="en-GB"/>
              </w:rPr>
            </w:pPr>
            <w:r w:rsidRPr="00867894">
              <w:rPr>
                <w:lang w:val="en-GB" w:eastAsia="en-GB"/>
              </w:rPr>
              <w:t>Human rights</w:t>
            </w:r>
          </w:p>
        </w:tc>
        <w:tc>
          <w:tcPr>
            <w:tcW w:w="1417" w:type="dxa"/>
            <w:tcBorders>
              <w:top w:val="single" w:sz="4" w:space="0" w:color="31849B"/>
              <w:left w:val="nil"/>
              <w:bottom w:val="single" w:sz="4" w:space="0" w:color="31849B"/>
            </w:tcBorders>
            <w:vAlign w:val="center"/>
          </w:tcPr>
          <w:p w14:paraId="34E89294" w14:textId="77777777" w:rsidR="00CF091D" w:rsidRPr="00867894" w:rsidRDefault="00CF091D" w:rsidP="00CF091D">
            <w:pPr>
              <w:pStyle w:val="Tabletext0"/>
              <w:rPr>
                <w:color w:val="E36C0A" w:themeColor="accent6" w:themeShade="BF"/>
                <w:lang w:val="en-GB" w:eastAsia="en-GB"/>
              </w:rPr>
            </w:pPr>
            <w:r w:rsidRPr="00867894">
              <w:rPr>
                <w:lang w:val="en-GB" w:eastAsia="en-GB"/>
              </w:rPr>
              <w:t>No</w:t>
            </w:r>
          </w:p>
        </w:tc>
        <w:tc>
          <w:tcPr>
            <w:tcW w:w="1276" w:type="dxa"/>
            <w:tcBorders>
              <w:top w:val="single" w:sz="4" w:space="0" w:color="31849B"/>
              <w:left w:val="nil"/>
              <w:bottom w:val="single" w:sz="4" w:space="0" w:color="31849B"/>
            </w:tcBorders>
            <w:vAlign w:val="center"/>
          </w:tcPr>
          <w:p w14:paraId="594BF727" w14:textId="77777777" w:rsidR="00CF091D" w:rsidRPr="00867894" w:rsidRDefault="00CF091D" w:rsidP="00CF091D">
            <w:pPr>
              <w:pStyle w:val="Tabletext0"/>
              <w:rPr>
                <w:rFonts w:eastAsia="Calibri"/>
                <w:color w:val="E36C0A" w:themeColor="accent6" w:themeShade="BF"/>
                <w:lang w:val="en-GB" w:eastAsia="en-GB"/>
              </w:rPr>
            </w:pPr>
            <w:r w:rsidRPr="00867894">
              <w:rPr>
                <w:lang w:val="en-GB" w:eastAsia="en-GB"/>
              </w:rPr>
              <w:t>No</w:t>
            </w:r>
          </w:p>
        </w:tc>
      </w:tr>
      <w:tr w:rsidR="00CF091D" w:rsidRPr="00867894" w14:paraId="5828B8E7" w14:textId="77777777" w:rsidTr="00EC2BBF">
        <w:trPr>
          <w:cantSplit/>
          <w:trHeight w:val="900"/>
        </w:trPr>
        <w:tc>
          <w:tcPr>
            <w:tcW w:w="1242" w:type="dxa"/>
            <w:tcBorders>
              <w:top w:val="single" w:sz="4" w:space="0" w:color="31849B"/>
              <w:bottom w:val="single" w:sz="4" w:space="0" w:color="31849B"/>
              <w:right w:val="nil"/>
            </w:tcBorders>
            <w:shd w:val="clear" w:color="auto" w:fill="auto"/>
            <w:vAlign w:val="center"/>
            <w:hideMark/>
          </w:tcPr>
          <w:p w14:paraId="361ACB2B" w14:textId="77777777" w:rsidR="00CF091D" w:rsidRPr="00867894" w:rsidRDefault="00CF091D" w:rsidP="00CF091D">
            <w:pPr>
              <w:pStyle w:val="Tabletext0"/>
              <w:rPr>
                <w:color w:val="E36C0A" w:themeColor="accent6" w:themeShade="BF"/>
                <w:lang w:val="en-GB" w:eastAsia="en-GB"/>
              </w:rPr>
            </w:pPr>
            <w:r w:rsidRPr="00867894">
              <w:rPr>
                <w:lang w:val="en-GB" w:eastAsia="en-GB"/>
              </w:rPr>
              <w:t>INH074</w:t>
            </w:r>
          </w:p>
        </w:tc>
        <w:tc>
          <w:tcPr>
            <w:tcW w:w="3402" w:type="dxa"/>
            <w:tcBorders>
              <w:top w:val="single" w:sz="4" w:space="0" w:color="31849B"/>
              <w:left w:val="nil"/>
              <w:bottom w:val="single" w:sz="4" w:space="0" w:color="31849B"/>
              <w:right w:val="nil"/>
            </w:tcBorders>
            <w:shd w:val="clear" w:color="000000" w:fill="FFFFFF"/>
            <w:vAlign w:val="center"/>
            <w:hideMark/>
          </w:tcPr>
          <w:p w14:paraId="3CF1140D" w14:textId="15A3DBE8" w:rsidR="00CF091D" w:rsidRPr="00CE180F" w:rsidRDefault="00CE180F" w:rsidP="00CE180F">
            <w:pPr>
              <w:pStyle w:val="Tabletext0"/>
              <w:rPr>
                <w:color w:val="E36C0A" w:themeColor="accent6" w:themeShade="BF"/>
                <w:lang w:val="en-GB" w:eastAsia="en-GB"/>
              </w:rPr>
            </w:pPr>
            <w:r w:rsidRPr="00CE180F">
              <w:rPr>
                <w:lang w:val="en-GB" w:eastAsia="en-GB"/>
              </w:rPr>
              <w:t>Mid Term Review of  Vois Blong Yumi</w:t>
            </w:r>
            <w:r w:rsidRPr="00CE180F">
              <w:rPr>
                <w:rFonts w:ascii="Arial" w:hAnsi="Arial" w:cs="Arial"/>
                <w:lang w:val="en-GB" w:eastAsia="en-GB"/>
              </w:rPr>
              <w:t>—</w:t>
            </w:r>
            <w:r w:rsidR="00CF091D" w:rsidRPr="00CE180F">
              <w:rPr>
                <w:lang w:val="en-GB" w:eastAsia="en-GB"/>
              </w:rPr>
              <w:t xml:space="preserve">Vanuatu Media Strengthening </w:t>
            </w:r>
          </w:p>
        </w:tc>
        <w:tc>
          <w:tcPr>
            <w:tcW w:w="1276" w:type="dxa"/>
            <w:tcBorders>
              <w:top w:val="single" w:sz="4" w:space="0" w:color="31849B"/>
              <w:left w:val="nil"/>
              <w:bottom w:val="single" w:sz="4" w:space="0" w:color="31849B"/>
              <w:right w:val="nil"/>
            </w:tcBorders>
            <w:shd w:val="clear" w:color="000000" w:fill="FFFFFF"/>
            <w:noWrap/>
            <w:vAlign w:val="center"/>
            <w:hideMark/>
          </w:tcPr>
          <w:p w14:paraId="079B11FD" w14:textId="77777777" w:rsidR="00CF091D" w:rsidRPr="00CE180F" w:rsidRDefault="00CF091D" w:rsidP="00CF091D">
            <w:pPr>
              <w:pStyle w:val="Tabletext0"/>
              <w:rPr>
                <w:color w:val="E36C0A" w:themeColor="accent6" w:themeShade="BF"/>
                <w:lang w:val="en-GB" w:eastAsia="en-GB"/>
              </w:rPr>
            </w:pPr>
            <w:r w:rsidRPr="00CE180F">
              <w:rPr>
                <w:lang w:val="en-GB" w:eastAsia="en-GB"/>
              </w:rPr>
              <w:t>Vanuatu</w:t>
            </w:r>
          </w:p>
        </w:tc>
        <w:tc>
          <w:tcPr>
            <w:tcW w:w="1418" w:type="dxa"/>
            <w:tcBorders>
              <w:top w:val="single" w:sz="4" w:space="0" w:color="31849B"/>
              <w:left w:val="nil"/>
              <w:bottom w:val="single" w:sz="4" w:space="0" w:color="31849B"/>
              <w:right w:val="nil"/>
            </w:tcBorders>
            <w:shd w:val="clear" w:color="auto" w:fill="auto"/>
            <w:vAlign w:val="center"/>
            <w:hideMark/>
          </w:tcPr>
          <w:p w14:paraId="630DD386" w14:textId="4043B21F" w:rsidR="00CF091D" w:rsidRPr="00867894" w:rsidRDefault="007B56B7" w:rsidP="00CF091D">
            <w:pPr>
              <w:pStyle w:val="Tabletext0"/>
              <w:rPr>
                <w:color w:val="E36C0A" w:themeColor="accent6" w:themeShade="BF"/>
                <w:lang w:val="en-GB" w:eastAsia="en-GB"/>
              </w:rPr>
            </w:pPr>
            <w:r>
              <w:rPr>
                <w:lang w:val="en-GB" w:eastAsia="en-GB"/>
              </w:rPr>
              <w:t>Human rights</w:t>
            </w:r>
          </w:p>
        </w:tc>
        <w:tc>
          <w:tcPr>
            <w:tcW w:w="1417" w:type="dxa"/>
            <w:tcBorders>
              <w:top w:val="single" w:sz="4" w:space="0" w:color="31849B"/>
              <w:left w:val="nil"/>
              <w:bottom w:val="single" w:sz="4" w:space="0" w:color="31849B"/>
            </w:tcBorders>
            <w:vAlign w:val="center"/>
          </w:tcPr>
          <w:p w14:paraId="2478B9DC" w14:textId="77777777" w:rsidR="00CF091D" w:rsidRPr="00867894" w:rsidRDefault="00CF091D" w:rsidP="00CF091D">
            <w:pPr>
              <w:pStyle w:val="Tabletext0"/>
              <w:rPr>
                <w:color w:val="E36C0A" w:themeColor="accent6" w:themeShade="BF"/>
                <w:lang w:val="en-GB" w:eastAsia="en-GB"/>
              </w:rPr>
            </w:pPr>
            <w:r w:rsidRPr="00867894">
              <w:rPr>
                <w:lang w:val="en-GB" w:eastAsia="en-GB"/>
              </w:rPr>
              <w:t>No</w:t>
            </w:r>
          </w:p>
        </w:tc>
        <w:tc>
          <w:tcPr>
            <w:tcW w:w="1276" w:type="dxa"/>
            <w:tcBorders>
              <w:top w:val="single" w:sz="4" w:space="0" w:color="31849B"/>
              <w:left w:val="nil"/>
              <w:bottom w:val="single" w:sz="4" w:space="0" w:color="31849B"/>
            </w:tcBorders>
            <w:vAlign w:val="center"/>
          </w:tcPr>
          <w:p w14:paraId="467F0244" w14:textId="77777777" w:rsidR="00CF091D" w:rsidRPr="00867894" w:rsidRDefault="00CF091D" w:rsidP="00CF091D">
            <w:pPr>
              <w:pStyle w:val="Tabletext0"/>
              <w:rPr>
                <w:color w:val="E36C0A" w:themeColor="accent6" w:themeShade="BF"/>
                <w:lang w:val="en-GB" w:eastAsia="en-GB"/>
              </w:rPr>
            </w:pPr>
            <w:r w:rsidRPr="00867894">
              <w:rPr>
                <w:lang w:val="en-GB" w:eastAsia="en-GB"/>
              </w:rPr>
              <w:t>No</w:t>
            </w:r>
          </w:p>
        </w:tc>
      </w:tr>
      <w:tr w:rsidR="00CF091D" w:rsidRPr="00867894" w14:paraId="4B885808" w14:textId="77777777" w:rsidTr="00EC2BBF">
        <w:trPr>
          <w:cantSplit/>
          <w:trHeight w:val="900"/>
        </w:trPr>
        <w:tc>
          <w:tcPr>
            <w:tcW w:w="1242" w:type="dxa"/>
            <w:tcBorders>
              <w:top w:val="single" w:sz="4" w:space="0" w:color="31849B"/>
              <w:bottom w:val="single" w:sz="4" w:space="0" w:color="31849B"/>
              <w:right w:val="nil"/>
            </w:tcBorders>
            <w:shd w:val="clear" w:color="auto" w:fill="auto"/>
            <w:vAlign w:val="center"/>
            <w:hideMark/>
          </w:tcPr>
          <w:p w14:paraId="28DD7B0E" w14:textId="77777777" w:rsidR="00F02F92" w:rsidRDefault="00CF091D" w:rsidP="00F02F92">
            <w:pPr>
              <w:pStyle w:val="Tabletext0"/>
              <w:rPr>
                <w:lang w:val="en-GB" w:eastAsia="en-GB"/>
              </w:rPr>
            </w:pPr>
            <w:r w:rsidRPr="00867894">
              <w:rPr>
                <w:lang w:val="en-GB" w:eastAsia="en-GB"/>
              </w:rPr>
              <w:t xml:space="preserve">INI691 </w:t>
            </w:r>
          </w:p>
          <w:p w14:paraId="798B0189" w14:textId="01C08048" w:rsidR="00CF091D" w:rsidRPr="00867894" w:rsidRDefault="00CF091D" w:rsidP="00F02F92">
            <w:pPr>
              <w:pStyle w:val="Tabletext0"/>
              <w:rPr>
                <w:color w:val="E36C0A" w:themeColor="accent6" w:themeShade="BF"/>
                <w:lang w:val="en-GB" w:eastAsia="en-GB"/>
              </w:rPr>
            </w:pPr>
            <w:r w:rsidRPr="00867894">
              <w:rPr>
                <w:lang w:val="en-GB" w:eastAsia="en-GB"/>
              </w:rPr>
              <w:t>INH466</w:t>
            </w:r>
          </w:p>
        </w:tc>
        <w:tc>
          <w:tcPr>
            <w:tcW w:w="3402" w:type="dxa"/>
            <w:tcBorders>
              <w:top w:val="single" w:sz="4" w:space="0" w:color="31849B"/>
              <w:left w:val="nil"/>
              <w:bottom w:val="single" w:sz="4" w:space="0" w:color="31849B"/>
              <w:right w:val="nil"/>
            </w:tcBorders>
            <w:shd w:val="clear" w:color="000000" w:fill="FFFFFF"/>
            <w:vAlign w:val="center"/>
            <w:hideMark/>
          </w:tcPr>
          <w:p w14:paraId="76EC94DB" w14:textId="77777777" w:rsidR="00CE180F" w:rsidRPr="00CE180F" w:rsidRDefault="00CE180F" w:rsidP="00CE180F">
            <w:pPr>
              <w:pStyle w:val="Tabletext0"/>
              <w:rPr>
                <w:lang w:val="en-GB" w:eastAsia="en-GB"/>
              </w:rPr>
            </w:pPr>
            <w:r w:rsidRPr="00CE180F">
              <w:rPr>
                <w:lang w:val="en-GB" w:eastAsia="en-GB"/>
              </w:rPr>
              <w:t>Independent Evaluation of the</w:t>
            </w:r>
          </w:p>
          <w:p w14:paraId="6D178CC4" w14:textId="77777777" w:rsidR="00CE180F" w:rsidRPr="00CE180F" w:rsidRDefault="00CE180F" w:rsidP="00CE180F">
            <w:pPr>
              <w:pStyle w:val="Tabletext0"/>
              <w:rPr>
                <w:lang w:val="en-GB" w:eastAsia="en-GB"/>
              </w:rPr>
            </w:pPr>
            <w:r w:rsidRPr="00CE180F">
              <w:rPr>
                <w:lang w:val="en-GB" w:eastAsia="en-GB"/>
              </w:rPr>
              <w:t>Infrastructure Partnerships Program and</w:t>
            </w:r>
          </w:p>
          <w:p w14:paraId="64C6E93E" w14:textId="3B803B1B" w:rsidR="00CF091D" w:rsidRPr="006C0D92" w:rsidRDefault="00CE180F" w:rsidP="00CE180F">
            <w:pPr>
              <w:pStyle w:val="Tabletext0"/>
              <w:rPr>
                <w:color w:val="E36C0A" w:themeColor="accent6" w:themeShade="BF"/>
                <w:highlight w:val="yellow"/>
                <w:lang w:val="en-GB" w:eastAsia="en-GB"/>
              </w:rPr>
            </w:pPr>
            <w:r w:rsidRPr="00CE180F">
              <w:rPr>
                <w:lang w:val="en-GB" w:eastAsia="en-GB"/>
              </w:rPr>
              <w:t>the Water and Sanitation Initiative Global Program</w:t>
            </w:r>
            <w:r w:rsidR="00CF091D" w:rsidRPr="006C0D92">
              <w:rPr>
                <w:highlight w:val="yellow"/>
                <w:lang w:val="en-GB" w:eastAsia="en-GB"/>
              </w:rPr>
              <w:t xml:space="preserve"> </w:t>
            </w:r>
          </w:p>
        </w:tc>
        <w:tc>
          <w:tcPr>
            <w:tcW w:w="1276" w:type="dxa"/>
            <w:tcBorders>
              <w:top w:val="single" w:sz="4" w:space="0" w:color="31849B"/>
              <w:left w:val="nil"/>
              <w:bottom w:val="single" w:sz="4" w:space="0" w:color="31849B"/>
              <w:right w:val="nil"/>
            </w:tcBorders>
            <w:shd w:val="clear" w:color="000000" w:fill="FFFFFF"/>
            <w:noWrap/>
            <w:vAlign w:val="center"/>
            <w:hideMark/>
          </w:tcPr>
          <w:p w14:paraId="3DEECEC2" w14:textId="77777777" w:rsidR="00CF091D" w:rsidRPr="00867894" w:rsidRDefault="00CF091D" w:rsidP="00CF091D">
            <w:pPr>
              <w:pStyle w:val="Tabletext0"/>
              <w:rPr>
                <w:rFonts w:eastAsia="Calibri"/>
                <w:color w:val="E36C0A" w:themeColor="accent6" w:themeShade="BF"/>
                <w:szCs w:val="22"/>
                <w:lang w:val="en-GB" w:eastAsia="en-GB"/>
              </w:rPr>
            </w:pPr>
            <w:r w:rsidRPr="00867894">
              <w:rPr>
                <w:lang w:val="en-GB" w:eastAsia="en-GB"/>
              </w:rPr>
              <w:t>Multicountry</w:t>
            </w:r>
          </w:p>
        </w:tc>
        <w:tc>
          <w:tcPr>
            <w:tcW w:w="1418" w:type="dxa"/>
            <w:tcBorders>
              <w:top w:val="single" w:sz="4" w:space="0" w:color="31849B"/>
              <w:left w:val="nil"/>
              <w:bottom w:val="single" w:sz="4" w:space="0" w:color="31849B"/>
              <w:right w:val="nil"/>
            </w:tcBorders>
            <w:shd w:val="clear" w:color="auto" w:fill="auto"/>
            <w:vAlign w:val="center"/>
            <w:hideMark/>
          </w:tcPr>
          <w:p w14:paraId="0D7EBD26" w14:textId="77777777" w:rsidR="00CF091D" w:rsidRPr="00867894" w:rsidRDefault="00CF091D" w:rsidP="00CF091D">
            <w:pPr>
              <w:pStyle w:val="Tabletext0"/>
              <w:rPr>
                <w:color w:val="E36C0A" w:themeColor="accent6" w:themeShade="BF"/>
                <w:lang w:val="en-GB" w:eastAsia="en-GB"/>
              </w:rPr>
            </w:pPr>
            <w:r w:rsidRPr="00867894">
              <w:rPr>
                <w:lang w:val="en-GB" w:eastAsia="en-GB"/>
              </w:rPr>
              <w:t>Water and sanitation</w:t>
            </w:r>
          </w:p>
        </w:tc>
        <w:tc>
          <w:tcPr>
            <w:tcW w:w="1417" w:type="dxa"/>
            <w:tcBorders>
              <w:top w:val="single" w:sz="4" w:space="0" w:color="31849B"/>
              <w:left w:val="nil"/>
              <w:bottom w:val="single" w:sz="4" w:space="0" w:color="31849B"/>
            </w:tcBorders>
            <w:vAlign w:val="center"/>
          </w:tcPr>
          <w:p w14:paraId="522B1805" w14:textId="77777777" w:rsidR="00CF091D" w:rsidRPr="00867894" w:rsidRDefault="00CF091D" w:rsidP="00CF091D">
            <w:pPr>
              <w:pStyle w:val="Tabletext0"/>
              <w:rPr>
                <w:color w:val="E36C0A" w:themeColor="accent6" w:themeShade="BF"/>
                <w:lang w:val="en-GB" w:eastAsia="en-GB"/>
              </w:rPr>
            </w:pPr>
            <w:r w:rsidRPr="00867894">
              <w:rPr>
                <w:lang w:val="en-GB" w:eastAsia="en-GB"/>
              </w:rPr>
              <w:t>No</w:t>
            </w:r>
          </w:p>
        </w:tc>
        <w:tc>
          <w:tcPr>
            <w:tcW w:w="1276" w:type="dxa"/>
            <w:tcBorders>
              <w:top w:val="single" w:sz="4" w:space="0" w:color="31849B"/>
              <w:left w:val="nil"/>
              <w:bottom w:val="single" w:sz="4" w:space="0" w:color="31849B"/>
            </w:tcBorders>
            <w:vAlign w:val="center"/>
          </w:tcPr>
          <w:p w14:paraId="5A456104" w14:textId="77777777" w:rsidR="00CF091D" w:rsidRPr="00867894" w:rsidRDefault="00CF091D" w:rsidP="00CF091D">
            <w:pPr>
              <w:pStyle w:val="Tabletext0"/>
              <w:rPr>
                <w:color w:val="E36C0A" w:themeColor="accent6" w:themeShade="BF"/>
                <w:lang w:val="en-GB" w:eastAsia="en-GB"/>
              </w:rPr>
            </w:pPr>
            <w:r w:rsidRPr="00867894">
              <w:rPr>
                <w:lang w:val="en-GB" w:eastAsia="en-GB"/>
              </w:rPr>
              <w:t>Yes</w:t>
            </w:r>
          </w:p>
        </w:tc>
      </w:tr>
      <w:tr w:rsidR="00CF091D" w:rsidRPr="00867894" w14:paraId="4A254F55" w14:textId="77777777" w:rsidTr="00EC2BBF">
        <w:trPr>
          <w:cantSplit/>
          <w:trHeight w:val="900"/>
        </w:trPr>
        <w:tc>
          <w:tcPr>
            <w:tcW w:w="1242" w:type="dxa"/>
            <w:tcBorders>
              <w:top w:val="single" w:sz="4" w:space="0" w:color="31849B"/>
              <w:bottom w:val="single" w:sz="4" w:space="0" w:color="31849B"/>
              <w:right w:val="nil"/>
            </w:tcBorders>
            <w:shd w:val="clear" w:color="auto" w:fill="auto"/>
            <w:vAlign w:val="center"/>
            <w:hideMark/>
          </w:tcPr>
          <w:p w14:paraId="66457D5D" w14:textId="77777777" w:rsidR="00CF091D" w:rsidRPr="00867894" w:rsidRDefault="00CF091D" w:rsidP="00CF091D">
            <w:pPr>
              <w:pStyle w:val="Tabletext0"/>
              <w:rPr>
                <w:color w:val="E36C0A" w:themeColor="accent6" w:themeShade="BF"/>
                <w:lang w:val="en-GB" w:eastAsia="en-GB"/>
              </w:rPr>
            </w:pPr>
            <w:r w:rsidRPr="00867894">
              <w:rPr>
                <w:lang w:val="en-GB" w:eastAsia="en-GB"/>
              </w:rPr>
              <w:t>INI307</w:t>
            </w:r>
          </w:p>
        </w:tc>
        <w:tc>
          <w:tcPr>
            <w:tcW w:w="3402" w:type="dxa"/>
            <w:tcBorders>
              <w:top w:val="single" w:sz="4" w:space="0" w:color="31849B"/>
              <w:left w:val="nil"/>
              <w:bottom w:val="single" w:sz="4" w:space="0" w:color="31849B"/>
              <w:right w:val="nil"/>
            </w:tcBorders>
            <w:shd w:val="clear" w:color="000000" w:fill="FFFFFF"/>
            <w:vAlign w:val="center"/>
            <w:hideMark/>
          </w:tcPr>
          <w:p w14:paraId="12E74D74" w14:textId="2A44E0A6" w:rsidR="00CE180F" w:rsidRPr="006C0D92" w:rsidRDefault="00CE180F" w:rsidP="00CF091D">
            <w:pPr>
              <w:pStyle w:val="Tabletext0"/>
              <w:rPr>
                <w:color w:val="E36C0A" w:themeColor="accent6" w:themeShade="BF"/>
                <w:highlight w:val="yellow"/>
                <w:lang w:val="en-GB" w:eastAsia="en-GB"/>
              </w:rPr>
            </w:pPr>
            <w:r w:rsidRPr="00CE180F">
              <w:rPr>
                <w:lang w:val="en-GB" w:eastAsia="en-GB"/>
              </w:rPr>
              <w:t>Mid-Term Review of the Vanuatu Church Partnership Program</w:t>
            </w:r>
          </w:p>
        </w:tc>
        <w:tc>
          <w:tcPr>
            <w:tcW w:w="1276" w:type="dxa"/>
            <w:tcBorders>
              <w:top w:val="single" w:sz="4" w:space="0" w:color="31849B"/>
              <w:left w:val="nil"/>
              <w:bottom w:val="single" w:sz="4" w:space="0" w:color="31849B"/>
              <w:right w:val="nil"/>
            </w:tcBorders>
            <w:shd w:val="clear" w:color="000000" w:fill="FFFFFF"/>
            <w:noWrap/>
            <w:vAlign w:val="center"/>
            <w:hideMark/>
          </w:tcPr>
          <w:p w14:paraId="4E93077F" w14:textId="77777777" w:rsidR="00CF091D" w:rsidRPr="00867894" w:rsidRDefault="00CF091D" w:rsidP="00CF091D">
            <w:pPr>
              <w:pStyle w:val="Tabletext0"/>
              <w:rPr>
                <w:color w:val="E36C0A" w:themeColor="accent6" w:themeShade="BF"/>
                <w:lang w:val="en-GB" w:eastAsia="en-GB"/>
              </w:rPr>
            </w:pPr>
            <w:r w:rsidRPr="00867894">
              <w:rPr>
                <w:lang w:val="en-GB" w:eastAsia="en-GB"/>
              </w:rPr>
              <w:t>Vanuatu</w:t>
            </w:r>
          </w:p>
        </w:tc>
        <w:tc>
          <w:tcPr>
            <w:tcW w:w="1418" w:type="dxa"/>
            <w:tcBorders>
              <w:top w:val="single" w:sz="4" w:space="0" w:color="31849B"/>
              <w:left w:val="nil"/>
              <w:bottom w:val="single" w:sz="4" w:space="0" w:color="31849B"/>
              <w:right w:val="nil"/>
            </w:tcBorders>
            <w:shd w:val="clear" w:color="auto" w:fill="auto"/>
            <w:vAlign w:val="center"/>
            <w:hideMark/>
          </w:tcPr>
          <w:p w14:paraId="7993815A" w14:textId="4E660EB2" w:rsidR="00CF091D" w:rsidRPr="00867894" w:rsidRDefault="007B56B7" w:rsidP="00CF091D">
            <w:pPr>
              <w:pStyle w:val="Tabletext0"/>
              <w:rPr>
                <w:color w:val="E36C0A" w:themeColor="accent6" w:themeShade="BF"/>
                <w:lang w:val="en-GB" w:eastAsia="en-GB"/>
              </w:rPr>
            </w:pPr>
            <w:r>
              <w:rPr>
                <w:lang w:val="en-GB" w:eastAsia="en-GB"/>
              </w:rPr>
              <w:t>Human rights</w:t>
            </w:r>
          </w:p>
        </w:tc>
        <w:tc>
          <w:tcPr>
            <w:tcW w:w="1417" w:type="dxa"/>
            <w:tcBorders>
              <w:top w:val="single" w:sz="4" w:space="0" w:color="31849B"/>
              <w:left w:val="nil"/>
              <w:bottom w:val="single" w:sz="4" w:space="0" w:color="31849B"/>
            </w:tcBorders>
            <w:vAlign w:val="center"/>
          </w:tcPr>
          <w:p w14:paraId="2AD66151" w14:textId="77777777" w:rsidR="00CF091D" w:rsidRPr="00867894" w:rsidRDefault="00CF091D" w:rsidP="00CF091D">
            <w:pPr>
              <w:pStyle w:val="Tabletext0"/>
              <w:rPr>
                <w:color w:val="E36C0A" w:themeColor="accent6" w:themeShade="BF"/>
                <w:lang w:val="en-GB" w:eastAsia="en-GB"/>
              </w:rPr>
            </w:pPr>
            <w:r w:rsidRPr="00867894">
              <w:rPr>
                <w:lang w:val="en-GB" w:eastAsia="en-GB"/>
              </w:rPr>
              <w:t>No</w:t>
            </w:r>
          </w:p>
        </w:tc>
        <w:tc>
          <w:tcPr>
            <w:tcW w:w="1276" w:type="dxa"/>
            <w:tcBorders>
              <w:top w:val="single" w:sz="4" w:space="0" w:color="31849B"/>
              <w:left w:val="nil"/>
              <w:bottom w:val="single" w:sz="4" w:space="0" w:color="31849B"/>
            </w:tcBorders>
            <w:vAlign w:val="center"/>
          </w:tcPr>
          <w:p w14:paraId="7D60316B" w14:textId="77777777" w:rsidR="00CF091D" w:rsidRPr="00867894" w:rsidRDefault="00CF091D" w:rsidP="00CF091D">
            <w:pPr>
              <w:pStyle w:val="Tabletext0"/>
              <w:rPr>
                <w:color w:val="E36C0A" w:themeColor="accent6" w:themeShade="BF"/>
                <w:lang w:val="en-GB" w:eastAsia="en-GB"/>
              </w:rPr>
            </w:pPr>
            <w:r w:rsidRPr="00867894">
              <w:rPr>
                <w:lang w:val="en-GB" w:eastAsia="en-GB"/>
              </w:rPr>
              <w:t>No</w:t>
            </w:r>
          </w:p>
        </w:tc>
      </w:tr>
      <w:tr w:rsidR="00CF091D" w:rsidRPr="00867894" w14:paraId="64C98AA3" w14:textId="77777777" w:rsidTr="00EC2BBF">
        <w:trPr>
          <w:cantSplit/>
          <w:trHeight w:val="900"/>
        </w:trPr>
        <w:tc>
          <w:tcPr>
            <w:tcW w:w="1242" w:type="dxa"/>
            <w:tcBorders>
              <w:top w:val="single" w:sz="4" w:space="0" w:color="31849B"/>
              <w:bottom w:val="single" w:sz="4" w:space="0" w:color="31849B"/>
              <w:right w:val="nil"/>
            </w:tcBorders>
            <w:shd w:val="clear" w:color="auto" w:fill="auto"/>
            <w:vAlign w:val="center"/>
            <w:hideMark/>
          </w:tcPr>
          <w:p w14:paraId="49ADB12A" w14:textId="77777777" w:rsidR="00CF091D" w:rsidRPr="00867894" w:rsidRDefault="00CF091D" w:rsidP="00CF091D">
            <w:pPr>
              <w:pStyle w:val="Tabletext0"/>
              <w:rPr>
                <w:color w:val="E36C0A" w:themeColor="accent6" w:themeShade="BF"/>
                <w:lang w:val="en-GB" w:eastAsia="en-GB"/>
              </w:rPr>
            </w:pPr>
            <w:r w:rsidRPr="00867894">
              <w:rPr>
                <w:lang w:val="en-GB" w:eastAsia="en-GB"/>
              </w:rPr>
              <w:t>INI988</w:t>
            </w:r>
          </w:p>
        </w:tc>
        <w:tc>
          <w:tcPr>
            <w:tcW w:w="3402" w:type="dxa"/>
            <w:tcBorders>
              <w:top w:val="single" w:sz="4" w:space="0" w:color="31849B"/>
              <w:left w:val="nil"/>
              <w:bottom w:val="single" w:sz="4" w:space="0" w:color="31849B"/>
              <w:right w:val="nil"/>
            </w:tcBorders>
            <w:shd w:val="clear" w:color="000000" w:fill="FFFFFF"/>
            <w:vAlign w:val="center"/>
            <w:hideMark/>
          </w:tcPr>
          <w:p w14:paraId="27728714" w14:textId="264BD52E" w:rsidR="00CF091D" w:rsidRPr="00CE180F" w:rsidRDefault="00CE180F" w:rsidP="00CE180F">
            <w:pPr>
              <w:pStyle w:val="Tabletext0"/>
              <w:rPr>
                <w:color w:val="E36C0A" w:themeColor="accent6" w:themeShade="BF"/>
                <w:lang w:val="en-GB" w:eastAsia="en-GB"/>
              </w:rPr>
            </w:pPr>
            <w:r w:rsidRPr="00CE180F">
              <w:rPr>
                <w:lang w:val="en-GB" w:eastAsia="en-GB"/>
              </w:rPr>
              <w:t xml:space="preserve">Independent Review of the </w:t>
            </w:r>
            <w:r w:rsidR="00CF091D" w:rsidRPr="00CE180F">
              <w:rPr>
                <w:lang w:val="en-GB" w:eastAsia="en-GB"/>
              </w:rPr>
              <w:t xml:space="preserve">Commonwealth Local Government </w:t>
            </w:r>
            <w:r w:rsidRPr="00CE180F">
              <w:rPr>
                <w:lang w:val="en-GB" w:eastAsia="en-GB"/>
              </w:rPr>
              <w:t>Forum Good Practice Scheme</w:t>
            </w:r>
            <w:r w:rsidR="00CF091D" w:rsidRPr="00CE180F">
              <w:rPr>
                <w:rFonts w:ascii="Arial" w:hAnsi="Arial" w:cs="Arial"/>
                <w:lang w:val="en-GB" w:eastAsia="en-GB"/>
              </w:rPr>
              <w:t>—</w:t>
            </w:r>
            <w:r w:rsidR="00CF091D" w:rsidRPr="00CE180F">
              <w:rPr>
                <w:lang w:val="en-GB" w:eastAsia="en-GB"/>
              </w:rPr>
              <w:t>Phase II</w:t>
            </w:r>
          </w:p>
        </w:tc>
        <w:tc>
          <w:tcPr>
            <w:tcW w:w="1276" w:type="dxa"/>
            <w:tcBorders>
              <w:top w:val="single" w:sz="4" w:space="0" w:color="31849B"/>
              <w:left w:val="nil"/>
              <w:bottom w:val="single" w:sz="4" w:space="0" w:color="31849B"/>
              <w:right w:val="nil"/>
            </w:tcBorders>
            <w:shd w:val="clear" w:color="000000" w:fill="FFFFFF"/>
            <w:noWrap/>
            <w:vAlign w:val="center"/>
            <w:hideMark/>
          </w:tcPr>
          <w:p w14:paraId="6FB4D68A" w14:textId="6D36E203" w:rsidR="00CF091D" w:rsidRPr="00867894" w:rsidRDefault="00CF091D" w:rsidP="00CF091D">
            <w:pPr>
              <w:pStyle w:val="Tabletext0"/>
              <w:rPr>
                <w:color w:val="E36C0A" w:themeColor="accent6" w:themeShade="BF"/>
                <w:lang w:val="en-GB" w:eastAsia="en-GB"/>
              </w:rPr>
            </w:pPr>
            <w:r>
              <w:rPr>
                <w:lang w:val="en-GB" w:eastAsia="en-GB"/>
              </w:rPr>
              <w:t>Papua New Guinea</w:t>
            </w:r>
          </w:p>
        </w:tc>
        <w:tc>
          <w:tcPr>
            <w:tcW w:w="1418" w:type="dxa"/>
            <w:tcBorders>
              <w:top w:val="single" w:sz="4" w:space="0" w:color="31849B"/>
              <w:left w:val="nil"/>
              <w:bottom w:val="single" w:sz="4" w:space="0" w:color="31849B"/>
              <w:right w:val="nil"/>
            </w:tcBorders>
            <w:shd w:val="clear" w:color="auto" w:fill="auto"/>
            <w:vAlign w:val="center"/>
            <w:hideMark/>
          </w:tcPr>
          <w:p w14:paraId="079768E4" w14:textId="45304080" w:rsidR="00CF091D" w:rsidRPr="00867894" w:rsidRDefault="00CF091D" w:rsidP="00CF091D">
            <w:pPr>
              <w:pStyle w:val="Tabletext0"/>
              <w:rPr>
                <w:color w:val="E36C0A" w:themeColor="accent6" w:themeShade="BF"/>
                <w:lang w:val="en-GB" w:eastAsia="en-GB"/>
              </w:rPr>
            </w:pPr>
            <w:r>
              <w:rPr>
                <w:lang w:val="en-GB" w:eastAsia="en-GB"/>
              </w:rPr>
              <w:t>Improved g</w:t>
            </w:r>
            <w:r w:rsidRPr="00867894">
              <w:rPr>
                <w:lang w:val="en-GB" w:eastAsia="en-GB"/>
              </w:rPr>
              <w:t>overn</w:t>
            </w:r>
            <w:r>
              <w:rPr>
                <w:lang w:val="en-GB" w:eastAsia="en-GB"/>
              </w:rPr>
              <w:t>ment</w:t>
            </w:r>
          </w:p>
        </w:tc>
        <w:tc>
          <w:tcPr>
            <w:tcW w:w="1417" w:type="dxa"/>
            <w:tcBorders>
              <w:top w:val="single" w:sz="4" w:space="0" w:color="31849B"/>
              <w:left w:val="nil"/>
              <w:bottom w:val="single" w:sz="4" w:space="0" w:color="31849B"/>
            </w:tcBorders>
            <w:vAlign w:val="center"/>
          </w:tcPr>
          <w:p w14:paraId="569FB6F0" w14:textId="77777777" w:rsidR="00CF091D" w:rsidRPr="00867894" w:rsidRDefault="00CF091D" w:rsidP="00CF091D">
            <w:pPr>
              <w:pStyle w:val="Tabletext0"/>
              <w:rPr>
                <w:color w:val="E36C0A" w:themeColor="accent6" w:themeShade="BF"/>
                <w:lang w:val="en-GB" w:eastAsia="en-GB"/>
              </w:rPr>
            </w:pPr>
            <w:r w:rsidRPr="00867894">
              <w:rPr>
                <w:lang w:val="en-GB" w:eastAsia="en-GB"/>
              </w:rPr>
              <w:t>No</w:t>
            </w:r>
          </w:p>
        </w:tc>
        <w:tc>
          <w:tcPr>
            <w:tcW w:w="1276" w:type="dxa"/>
            <w:tcBorders>
              <w:top w:val="single" w:sz="4" w:space="0" w:color="31849B"/>
              <w:left w:val="nil"/>
              <w:bottom w:val="single" w:sz="4" w:space="0" w:color="31849B"/>
            </w:tcBorders>
            <w:vAlign w:val="center"/>
          </w:tcPr>
          <w:p w14:paraId="4839F34C" w14:textId="77777777" w:rsidR="00CF091D" w:rsidRPr="00867894" w:rsidRDefault="00CF091D" w:rsidP="00CF091D">
            <w:pPr>
              <w:pStyle w:val="Tabletext0"/>
              <w:rPr>
                <w:color w:val="E36C0A" w:themeColor="accent6" w:themeShade="BF"/>
                <w:lang w:val="en-GB" w:eastAsia="en-GB"/>
              </w:rPr>
            </w:pPr>
            <w:r w:rsidRPr="00867894">
              <w:rPr>
                <w:lang w:val="en-GB" w:eastAsia="en-GB"/>
              </w:rPr>
              <w:t>No</w:t>
            </w:r>
          </w:p>
        </w:tc>
      </w:tr>
    </w:tbl>
    <w:p w14:paraId="32FB7233" w14:textId="77777777" w:rsidR="003B596E" w:rsidRDefault="003B596E" w:rsidP="003B596E">
      <w:pPr>
        <w:spacing w:before="0" w:after="0" w:line="240" w:lineRule="auto"/>
      </w:pPr>
    </w:p>
    <w:p w14:paraId="0249498A" w14:textId="77777777" w:rsidR="007B186C" w:rsidRDefault="007B186C">
      <w:pPr>
        <w:spacing w:before="0" w:after="0" w:line="240" w:lineRule="auto"/>
      </w:pPr>
    </w:p>
    <w:sectPr w:rsidR="007B186C" w:rsidSect="00B768CA">
      <w:footerReference w:type="first" r:id="rId42"/>
      <w:footnotePr>
        <w:numRestart w:val="eachSect"/>
      </w:footnotePr>
      <w:type w:val="oddPage"/>
      <w:pgSz w:w="11901" w:h="16817" w:code="9"/>
      <w:pgMar w:top="1440" w:right="1440" w:bottom="1440" w:left="1440" w:header="578" w:footer="578" w:gutter="0"/>
      <w:cols w:space="720"/>
      <w:docGrid w:linePitch="28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9F2A2D" w15:done="0"/>
  <w15:commentEx w15:paraId="6C03C0FC" w15:done="0"/>
  <w15:commentEx w15:paraId="6240D950" w15:done="0"/>
  <w15:commentEx w15:paraId="63D3878C" w15:done="0"/>
  <w15:commentEx w15:paraId="5EED8CEF" w15:done="0"/>
  <w15:commentEx w15:paraId="08D24C05" w15:done="0"/>
  <w15:commentEx w15:paraId="5BAF536D" w15:paraIdParent="08D24C05" w15:done="0"/>
  <w15:commentEx w15:paraId="5664B131" w15:done="0"/>
  <w15:commentEx w15:paraId="493D41C5" w15:done="0"/>
  <w15:commentEx w15:paraId="1B8CE4FB" w15:done="0"/>
  <w15:commentEx w15:paraId="13649284" w15:paraIdParent="1B8CE4FB" w15:done="0"/>
  <w15:commentEx w15:paraId="66CDA65B" w15:done="0"/>
  <w15:commentEx w15:paraId="42793BB1" w15:paraIdParent="66CDA65B" w15:done="0"/>
  <w15:commentEx w15:paraId="4A93EA01" w15:done="0"/>
  <w15:commentEx w15:paraId="63F97879" w15:done="0"/>
  <w15:commentEx w15:paraId="79F7F7CF" w15:done="0"/>
  <w15:commentEx w15:paraId="11456D7D" w15:done="0"/>
  <w15:commentEx w15:paraId="7A2003E7" w15:done="0"/>
  <w15:commentEx w15:paraId="50B500E0" w15:done="0"/>
  <w15:commentEx w15:paraId="7418FAC7" w15:done="0"/>
  <w15:commentEx w15:paraId="1393409F" w15:done="0"/>
  <w15:commentEx w15:paraId="1AB716C7" w15:done="0"/>
  <w15:commentEx w15:paraId="31E64901" w15:done="0"/>
  <w15:commentEx w15:paraId="0CAE472C" w15:done="0"/>
  <w15:commentEx w15:paraId="7D32806A" w15:done="0"/>
  <w15:commentEx w15:paraId="1331D62C" w15:done="0"/>
  <w15:commentEx w15:paraId="2B5F83E6" w15:paraIdParent="1331D62C" w15:done="0"/>
  <w15:commentEx w15:paraId="673D5048" w15:done="0"/>
  <w15:commentEx w15:paraId="7C58607F" w15:done="0"/>
  <w15:commentEx w15:paraId="3991A3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0850D" w14:textId="77777777" w:rsidR="00147362" w:rsidRDefault="00147362">
      <w:pPr>
        <w:spacing w:after="0"/>
      </w:pPr>
      <w:r>
        <w:separator/>
      </w:r>
    </w:p>
  </w:endnote>
  <w:endnote w:type="continuationSeparator" w:id="0">
    <w:p w14:paraId="0B2C1CA0" w14:textId="77777777" w:rsidR="00147362" w:rsidRDefault="00147362">
      <w:pPr>
        <w:spacing w:after="0"/>
      </w:pPr>
      <w:r>
        <w:continuationSeparator/>
      </w:r>
    </w:p>
  </w:endnote>
  <w:endnote w:type="continuationNotice" w:id="1">
    <w:p w14:paraId="21EBCC35" w14:textId="77777777" w:rsidR="00147362" w:rsidRDefault="001473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etaSerif-Book">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oundersGrotesk-Regular">
    <w:altName w:val="Founders Grotesk Regular"/>
    <w:panose1 w:val="00000000000000000000"/>
    <w:charset w:val="4D"/>
    <w:family w:val="auto"/>
    <w:notTrueType/>
    <w:pitch w:val="default"/>
    <w:sig w:usb0="00000003" w:usb1="00000000" w:usb2="00000000" w:usb3="00000000" w:csb0="00000001" w:csb1="00000000"/>
  </w:font>
  <w:font w:name="Gotham-Book">
    <w:panose1 w:val="00000000000000000000"/>
    <w:charset w:val="00"/>
    <w:family w:val="auto"/>
    <w:notTrueType/>
    <w:pitch w:val="default"/>
    <w:sig w:usb0="00000003" w:usb1="00000000" w:usb2="00000000" w:usb3="00000000" w:csb0="00000001" w:csb1="00000000"/>
  </w:font>
  <w:font w:name="Gotham-Bold">
    <w:charset w:val="00"/>
    <w:family w:val="auto"/>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Trade Gothic LT Std">
    <w:altName w:val="Franklin Gothic Book"/>
    <w:panose1 w:val="00000000000000000000"/>
    <w:charset w:val="00"/>
    <w:family w:val="swiss"/>
    <w:notTrueType/>
    <w:pitch w:val="default"/>
    <w:sig w:usb0="00000003" w:usb1="00000000" w:usb2="00000000" w:usb3="00000000" w:csb0="00000001" w:csb1="00000000"/>
  </w:font>
  <w:font w:name="Helvetica 55 Roman">
    <w:altName w:val="Franklin Gothic Book"/>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0CA9C" w14:textId="77777777" w:rsidR="00C04FFC" w:rsidRDefault="00C04F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1FA04" w14:textId="77777777" w:rsidR="00C04FFC" w:rsidRDefault="00C04F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75355" w14:textId="77777777" w:rsidR="00C04FFC" w:rsidRDefault="00C04F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251F3" w14:textId="77777777" w:rsidR="00147362" w:rsidRDefault="00147362" w:rsidP="00D547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xc</w:t>
    </w:r>
    <w:r>
      <w:rPr>
        <w:rStyle w:val="PageNumber"/>
      </w:rPr>
      <w:fldChar w:fldCharType="end"/>
    </w:r>
  </w:p>
  <w:p w14:paraId="14CC7843" w14:textId="2DBE68A9" w:rsidR="00147362" w:rsidRDefault="00147362" w:rsidP="00D54780">
    <w:pPr>
      <w:pStyle w:val="Footer"/>
      <w:ind w:right="360"/>
      <w:jc w:val="center"/>
    </w:pPr>
  </w:p>
  <w:p w14:paraId="032E6B06" w14:textId="77777777" w:rsidR="00147362" w:rsidRDefault="0014736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454867"/>
      <w:docPartObj>
        <w:docPartGallery w:val="Page Numbers (Bottom of Page)"/>
        <w:docPartUnique/>
      </w:docPartObj>
    </w:sdtPr>
    <w:sdtEndPr>
      <w:rPr>
        <w:noProof/>
      </w:rPr>
    </w:sdtEndPr>
    <w:sdtContent>
      <w:p w14:paraId="200C0217" w14:textId="5CC5A526" w:rsidR="00147362" w:rsidRDefault="00147362">
        <w:pPr>
          <w:pStyle w:val="Footer"/>
          <w:jc w:val="center"/>
        </w:pPr>
        <w:r>
          <w:fldChar w:fldCharType="begin"/>
        </w:r>
        <w:r>
          <w:instrText xml:space="preserve"> PAGE   \* MERGEFORMAT </w:instrText>
        </w:r>
        <w:r>
          <w:fldChar w:fldCharType="separate"/>
        </w:r>
        <w:r w:rsidR="007C3830">
          <w:rPr>
            <w:noProof/>
          </w:rPr>
          <w:t>iii</w:t>
        </w:r>
        <w:r>
          <w:rPr>
            <w:noProof/>
          </w:rPr>
          <w:fldChar w:fldCharType="end"/>
        </w:r>
      </w:p>
    </w:sdtContent>
  </w:sdt>
  <w:p w14:paraId="45BFF111" w14:textId="653E3F37" w:rsidR="00147362" w:rsidRDefault="00147362" w:rsidP="00F65C7D">
    <w:pPr>
      <w:pStyle w:val="Footer"/>
      <w:tabs>
        <w:tab w:val="center" w:pos="4513"/>
        <w:tab w:val="right" w:pos="902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F2613" w14:textId="357BD634" w:rsidR="00147362" w:rsidRDefault="00147362">
    <w:pPr>
      <w:pStyle w:val="Footer"/>
      <w:jc w:val="center"/>
    </w:pPr>
  </w:p>
  <w:p w14:paraId="6C9470EE" w14:textId="77777777" w:rsidR="00147362" w:rsidRDefault="00147362" w:rsidP="00204A85">
    <w:pPr>
      <w:pStyle w:val="Footer"/>
      <w:tabs>
        <w:tab w:val="center" w:pos="4513"/>
      </w:tabs>
      <w:jc w:val="right"/>
    </w:pPr>
    <w:r>
      <w:tab/>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381517"/>
      <w:docPartObj>
        <w:docPartGallery w:val="Page Numbers (Bottom of Page)"/>
        <w:docPartUnique/>
      </w:docPartObj>
    </w:sdtPr>
    <w:sdtEndPr>
      <w:rPr>
        <w:noProof/>
      </w:rPr>
    </w:sdtEndPr>
    <w:sdtContent>
      <w:p w14:paraId="1932A134" w14:textId="77777777" w:rsidR="00147362" w:rsidRDefault="00147362">
        <w:pPr>
          <w:pStyle w:val="Footer"/>
          <w:jc w:val="center"/>
        </w:pPr>
        <w:r>
          <w:fldChar w:fldCharType="begin"/>
        </w:r>
        <w:r>
          <w:instrText xml:space="preserve"> PAGE   \* MERGEFORMAT </w:instrText>
        </w:r>
        <w:r>
          <w:fldChar w:fldCharType="separate"/>
        </w:r>
        <w:r w:rsidR="007C3830">
          <w:rPr>
            <w:noProof/>
          </w:rPr>
          <w:t>96</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CAF58" w14:textId="77777777" w:rsidR="00147362" w:rsidRDefault="00147362">
    <w:pPr>
      <w:pStyle w:val="Footer"/>
      <w:jc w:val="center"/>
    </w:pPr>
  </w:p>
  <w:p w14:paraId="2A6FA4D4" w14:textId="77777777" w:rsidR="00147362" w:rsidRDefault="00147362" w:rsidP="005A72C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0F94D" w14:textId="77777777" w:rsidR="00147362" w:rsidRDefault="00147362">
      <w:pPr>
        <w:spacing w:after="0"/>
      </w:pPr>
      <w:r>
        <w:separator/>
      </w:r>
    </w:p>
  </w:footnote>
  <w:footnote w:type="continuationSeparator" w:id="0">
    <w:p w14:paraId="040C7F96" w14:textId="77777777" w:rsidR="00147362" w:rsidRDefault="00147362">
      <w:pPr>
        <w:spacing w:after="0"/>
      </w:pPr>
      <w:r>
        <w:continuationSeparator/>
      </w:r>
    </w:p>
  </w:footnote>
  <w:footnote w:type="continuationNotice" w:id="1">
    <w:p w14:paraId="55D2E771" w14:textId="77777777" w:rsidR="00147362" w:rsidRDefault="00147362">
      <w:pPr>
        <w:spacing w:before="0" w:after="0" w:line="240" w:lineRule="auto"/>
      </w:pPr>
    </w:p>
  </w:footnote>
  <w:footnote w:id="2">
    <w:p w14:paraId="2CA14C66" w14:textId="2C39CAB6" w:rsidR="00147362" w:rsidRPr="00C22AAC" w:rsidRDefault="00147362" w:rsidP="00F47B40">
      <w:pPr>
        <w:pStyle w:val="FootnoteText1"/>
        <w:rPr>
          <w:rStyle w:val="footnotetextChar0"/>
        </w:rPr>
      </w:pPr>
      <w:r w:rsidRPr="004D13CC">
        <w:rPr>
          <w:rStyle w:val="FootnoteReference"/>
        </w:rPr>
        <w:footnoteRef/>
      </w:r>
      <w:r w:rsidRPr="0037634F">
        <w:tab/>
      </w:r>
      <w:r w:rsidRPr="00C22AAC">
        <w:rPr>
          <w:rStyle w:val="footnotetextChar0"/>
        </w:rPr>
        <w:t>At the time the reviewed evaluations were completed, and during the first part of this review, most of the Australian aid program was administered by AusAID, an executive agency. AusAID was integrated into the Department of Foreign Affairs and Trade (DFAT) in November 2013.</w:t>
      </w:r>
    </w:p>
  </w:footnote>
  <w:footnote w:id="3">
    <w:p w14:paraId="42FCA737" w14:textId="40226C87" w:rsidR="00147362" w:rsidRDefault="00147362" w:rsidP="00F47B40">
      <w:pPr>
        <w:pStyle w:val="FootnoteText1"/>
      </w:pPr>
      <w:r w:rsidRPr="004D13CC">
        <w:rPr>
          <w:rStyle w:val="FootnoteReference"/>
        </w:rPr>
        <w:footnoteRef/>
      </w:r>
      <w:r w:rsidRPr="0037634F">
        <w:tab/>
      </w:r>
      <w:r w:rsidRPr="00C22AAC">
        <w:rPr>
          <w:rStyle w:val="footnotetextChar0"/>
        </w:rPr>
        <w:t>Renamed Contracting and Aid Management Division (ACD) in February 2014.</w:t>
      </w:r>
    </w:p>
  </w:footnote>
  <w:footnote w:id="4">
    <w:p w14:paraId="71A7D1BA" w14:textId="04829735" w:rsidR="00147362" w:rsidRDefault="00147362" w:rsidP="00F47B40">
      <w:pPr>
        <w:pStyle w:val="FootnoteText1"/>
      </w:pPr>
      <w:r w:rsidRPr="004D13CC">
        <w:rPr>
          <w:rStyle w:val="FootnoteReference"/>
        </w:rPr>
        <w:footnoteRef/>
      </w:r>
      <w:r w:rsidRPr="00380EAE">
        <w:tab/>
      </w:r>
      <w:r>
        <w:t xml:space="preserve">DFAT defines independent evaluations as evaluations that are led by a person or team external to the program area where there is no undue influence exercised over the evaluation process or findings. </w:t>
      </w:r>
    </w:p>
  </w:footnote>
  <w:footnote w:id="5">
    <w:p w14:paraId="4E25CA39" w14:textId="20EF7E3C" w:rsidR="00147362" w:rsidRPr="00F47B40" w:rsidRDefault="00147362" w:rsidP="00F47B40">
      <w:pPr>
        <w:pStyle w:val="FootnoteText1"/>
      </w:pPr>
      <w:r w:rsidRPr="004D13CC">
        <w:rPr>
          <w:rStyle w:val="FootnoteReference"/>
        </w:rPr>
        <w:footnoteRef/>
      </w:r>
      <w:r w:rsidRPr="0037634F">
        <w:tab/>
      </w:r>
      <w:r w:rsidRPr="00F47B40">
        <w:t xml:space="preserve">The date on the final evaluation report falls between 1 January and 31 December 2012. </w:t>
      </w:r>
    </w:p>
  </w:footnote>
  <w:footnote w:id="6">
    <w:p w14:paraId="1ACBDE13" w14:textId="3D866E6B" w:rsidR="00147362" w:rsidRPr="00F47B40" w:rsidRDefault="00147362" w:rsidP="00F47B40">
      <w:pPr>
        <w:pStyle w:val="FootnoteText1"/>
        <w:rPr>
          <w:rStyle w:val="footnotetextChar0"/>
        </w:rPr>
      </w:pPr>
      <w:r w:rsidRPr="004D13CC">
        <w:rPr>
          <w:rStyle w:val="FootnoteReference"/>
        </w:rPr>
        <w:footnoteRef/>
      </w:r>
      <w:r w:rsidRPr="00F47B40">
        <w:rPr>
          <w:rStyle w:val="footnotetextChar0"/>
        </w:rPr>
        <w:tab/>
        <w:t xml:space="preserve">The initiative-level independent evaluation support function sat with the Program Effectiveness and Performance Division until February 2014, when it moved to ODE. At the same time, the Program Effectiveness and Performance Division was renamed Contracting and Aid Management Division. By that time the preparation of this report was in its final stages. </w:t>
      </w:r>
    </w:p>
  </w:footnote>
  <w:footnote w:id="7">
    <w:p w14:paraId="4190E65F" w14:textId="77777777" w:rsidR="00147362" w:rsidRPr="00F47B40" w:rsidRDefault="00147362" w:rsidP="00213DC9">
      <w:pPr>
        <w:pStyle w:val="FootnoteText1"/>
        <w:rPr>
          <w:rStyle w:val="footnotetextChar0"/>
        </w:rPr>
      </w:pPr>
      <w:r w:rsidRPr="004D13CC">
        <w:rPr>
          <w:rStyle w:val="FootnoteReference"/>
        </w:rPr>
        <w:footnoteRef/>
      </w:r>
      <w:r w:rsidRPr="0037634F">
        <w:tab/>
      </w:r>
      <w:r w:rsidRPr="00F47B40">
        <w:rPr>
          <w:rStyle w:val="footnotetextChar0"/>
        </w:rPr>
        <w:t xml:space="preserve">In 2012–13 approximately 68 per cent of all aid funding administered by the former AusAID was monitored. The types of initiatives that are not monitored are administrative support activities, Australian Civilian Corp deployments, and humanitarian assistance and emergency response where the duration is less than 12 months. Multilateral core funding is covered by other quality processes, and direct appropriations to other government departments are not covered. </w:t>
      </w:r>
    </w:p>
  </w:footnote>
  <w:footnote w:id="8">
    <w:p w14:paraId="723AAE76" w14:textId="4C336DC0" w:rsidR="00147362" w:rsidRPr="00F47B40" w:rsidRDefault="00147362" w:rsidP="00F47B40">
      <w:pPr>
        <w:pStyle w:val="FootnoteText1"/>
        <w:rPr>
          <w:rStyle w:val="footnotetextChar0"/>
        </w:rPr>
      </w:pPr>
      <w:r w:rsidRPr="004D13CC">
        <w:rPr>
          <w:rStyle w:val="FootnoteReference"/>
        </w:rPr>
        <w:footnoteRef/>
      </w:r>
      <w:r w:rsidRPr="0037634F">
        <w:tab/>
      </w:r>
      <w:r w:rsidRPr="00F47B40">
        <w:rPr>
          <w:rStyle w:val="footnotetextChar0"/>
        </w:rPr>
        <w:t xml:space="preserve">The full rating scale is 1 = very poor quality, 2 = poor quality, 3 = less than adequate quality, 4 = adequate quality, 5 = very good quality, and 6 = very high quality. </w:t>
      </w:r>
    </w:p>
  </w:footnote>
  <w:footnote w:id="9">
    <w:p w14:paraId="5043DC01" w14:textId="3E028995" w:rsidR="00147362" w:rsidRPr="00F47B40" w:rsidRDefault="00147362" w:rsidP="00F47B40">
      <w:pPr>
        <w:pStyle w:val="FootnoteText1"/>
        <w:rPr>
          <w:rStyle w:val="footnotetextChar0"/>
        </w:rPr>
      </w:pPr>
      <w:r w:rsidRPr="004D13CC">
        <w:rPr>
          <w:rStyle w:val="FootnoteReference"/>
        </w:rPr>
        <w:footnoteRef/>
      </w:r>
      <w:r w:rsidRPr="0037634F">
        <w:tab/>
      </w:r>
      <w:r w:rsidRPr="00F47B40">
        <w:rPr>
          <w:rStyle w:val="footnotetextChar0"/>
        </w:rPr>
        <w:t xml:space="preserve">In the 2011–12 financial year there were 588 monitored initiatives, with an average duration of 5.3 years. At least one evaluation was required </w:t>
      </w:r>
      <w:r>
        <w:rPr>
          <w:rStyle w:val="footnotetextChar0"/>
        </w:rPr>
        <w:t>during the life of</w:t>
      </w:r>
      <w:r w:rsidRPr="00F47B40">
        <w:rPr>
          <w:rStyle w:val="footnotetextChar0"/>
        </w:rPr>
        <w:t xml:space="preserve"> every initiative so, assuming an even split of evaluations per year, it was expected that 111 initiatives would be evaluated in 2012. </w:t>
      </w:r>
    </w:p>
  </w:footnote>
  <w:footnote w:id="10">
    <w:p w14:paraId="565BE502" w14:textId="3D4BA660" w:rsidR="00147362" w:rsidRPr="00F47B40" w:rsidRDefault="00147362" w:rsidP="00F47B40">
      <w:pPr>
        <w:pStyle w:val="FootnoteText1"/>
        <w:rPr>
          <w:rStyle w:val="footnotetextChar0"/>
        </w:rPr>
      </w:pPr>
      <w:r w:rsidRPr="004D13CC">
        <w:rPr>
          <w:rStyle w:val="FootnoteReference"/>
        </w:rPr>
        <w:footnoteRef/>
      </w:r>
      <w:r w:rsidRPr="0037634F">
        <w:tab/>
      </w:r>
      <w:r w:rsidRPr="00F47B40">
        <w:rPr>
          <w:rStyle w:val="footnotetextChar0"/>
        </w:rPr>
        <w:t xml:space="preserve">The country/regional programs are the Philippines, Africa, Indonesia, Timor-Leste, Vanuatu, Pacific Regional, Samoa and Fiji. </w:t>
      </w:r>
    </w:p>
  </w:footnote>
  <w:footnote w:id="11">
    <w:p w14:paraId="1E6D64FB" w14:textId="07F5F469" w:rsidR="00147362" w:rsidRPr="005728EA" w:rsidRDefault="00147362" w:rsidP="00183E13">
      <w:pPr>
        <w:pStyle w:val="FootnoteText1"/>
      </w:pPr>
      <w:r w:rsidRPr="004D13CC">
        <w:rPr>
          <w:rStyle w:val="FootnoteReference"/>
        </w:rPr>
        <w:footnoteRef/>
      </w:r>
      <w:r w:rsidRPr="00773273">
        <w:tab/>
      </w:r>
      <w:r w:rsidRPr="005728EA">
        <w:t>Some of the 94 initiatives may be only partially covered, as some evaluations covered only selected activities within an initiative.</w:t>
      </w:r>
    </w:p>
  </w:footnote>
  <w:footnote w:id="12">
    <w:p w14:paraId="65C7B032" w14:textId="15EC4E68" w:rsidR="00147362" w:rsidRPr="00C638C2" w:rsidRDefault="00147362" w:rsidP="00183E13">
      <w:pPr>
        <w:pStyle w:val="FootnoteText1"/>
      </w:pPr>
      <w:r w:rsidRPr="004D13CC">
        <w:rPr>
          <w:rStyle w:val="FootnoteReference"/>
        </w:rPr>
        <w:footnoteRef/>
      </w:r>
      <w:r w:rsidRPr="00773273">
        <w:tab/>
        <w:t>Based on financial approval value over the life of the initiative under Financial M</w:t>
      </w:r>
      <w:r w:rsidRPr="00C638C2">
        <w:t>anagement and Accountability Regulations 9 and 10.</w:t>
      </w:r>
    </w:p>
  </w:footnote>
  <w:footnote w:id="13">
    <w:p w14:paraId="38BF6527" w14:textId="44764F73" w:rsidR="00147362" w:rsidRPr="00C638C2" w:rsidRDefault="00147362" w:rsidP="00183E13">
      <w:pPr>
        <w:pStyle w:val="FootnoteText1"/>
      </w:pPr>
      <w:r w:rsidRPr="004D13CC">
        <w:rPr>
          <w:rStyle w:val="FootnoteReference"/>
        </w:rPr>
        <w:footnoteRef/>
      </w:r>
      <w:r w:rsidRPr="00773273">
        <w:tab/>
        <w:t>Only the small mineral resources and mining sector ($14 million expenditure in 2011–12) is not covered.</w:t>
      </w:r>
    </w:p>
  </w:footnote>
  <w:footnote w:id="14">
    <w:p w14:paraId="21984DBB" w14:textId="77FF54B4" w:rsidR="00147362" w:rsidRPr="00126E56" w:rsidRDefault="00147362" w:rsidP="00183E13">
      <w:pPr>
        <w:pStyle w:val="FootnoteText1"/>
      </w:pPr>
      <w:r w:rsidRPr="004D13CC">
        <w:rPr>
          <w:rStyle w:val="FootnoteReference"/>
        </w:rPr>
        <w:footnoteRef/>
      </w:r>
      <w:r w:rsidRPr="00773273">
        <w:tab/>
      </w:r>
      <w:r w:rsidRPr="00183E13">
        <w:t>Australia’s International Development Assistance Program 2013–14. Direct comparison between the value/expenditure of the Australian aid program and the 94 evaluated initiatives is difficult because the available figures for the former are for expenditure in a single year, whereas the available figures for the 94 evaluated initiatives are for total investment value over the life of the initiative (covering multiple years). The comparison presented here is indicative rather than definitive.</w:t>
      </w:r>
    </w:p>
  </w:footnote>
  <w:footnote w:id="15">
    <w:p w14:paraId="6AEABA20" w14:textId="52C3B2FD" w:rsidR="00147362" w:rsidRPr="005728EA" w:rsidRDefault="00147362" w:rsidP="00183E13">
      <w:pPr>
        <w:pStyle w:val="FootnoteText1"/>
      </w:pPr>
      <w:r w:rsidRPr="004D13CC">
        <w:rPr>
          <w:rStyle w:val="FootnoteReference"/>
        </w:rPr>
        <w:footnoteRef/>
      </w:r>
      <w:r w:rsidRPr="00773273">
        <w:tab/>
      </w:r>
      <w:r w:rsidRPr="00183E13">
        <w:t>Australia’s international development assistance—Statistical summary 2011–12, p</w:t>
      </w:r>
      <w:r w:rsidRPr="00126E56">
        <w:t xml:space="preserve">. </w:t>
      </w:r>
      <w:r w:rsidRPr="005728EA">
        <w:t>5.</w:t>
      </w:r>
    </w:p>
  </w:footnote>
  <w:footnote w:id="16">
    <w:p w14:paraId="4DCDF40C" w14:textId="47F6A36F" w:rsidR="00147362" w:rsidRPr="00663075" w:rsidRDefault="00147362" w:rsidP="00183E13">
      <w:pPr>
        <w:pStyle w:val="FootnoteText1"/>
      </w:pPr>
      <w:r w:rsidRPr="004D13CC">
        <w:rPr>
          <w:rStyle w:val="FootnoteReference"/>
        </w:rPr>
        <w:footnoteRef/>
      </w:r>
      <w:r w:rsidRPr="0037634F">
        <w:tab/>
      </w:r>
      <w:r w:rsidRPr="00663075">
        <w:t xml:space="preserve">The pool did not include any evaluations for initiatives in Latin America, the Caribbean or the Middle East, although the evaluations of global or multicountry initiatives may have covered some of the Australian aid program’s small amount of aid expenditure in these regions. </w:t>
      </w:r>
    </w:p>
  </w:footnote>
  <w:footnote w:id="17">
    <w:p w14:paraId="49F34A7F" w14:textId="138474C0" w:rsidR="00147362" w:rsidRPr="00663075" w:rsidRDefault="00147362" w:rsidP="00183E13">
      <w:pPr>
        <w:pStyle w:val="FootnoteText1"/>
      </w:pPr>
      <w:r w:rsidRPr="004D13CC">
        <w:rPr>
          <w:rStyle w:val="FootnoteReference"/>
        </w:rPr>
        <w:footnoteRef/>
      </w:r>
      <w:r w:rsidRPr="0037634F">
        <w:tab/>
      </w:r>
      <w:r w:rsidRPr="00663075">
        <w:t>Based on financial approval value over the life of the initiative under Financial Management and Accountability Regulations 9 and 10.</w:t>
      </w:r>
    </w:p>
  </w:footnote>
  <w:footnote w:id="18">
    <w:p w14:paraId="1466E469" w14:textId="28FC754B" w:rsidR="00147362" w:rsidRPr="004B3E67" w:rsidRDefault="00147362" w:rsidP="00183E13">
      <w:pPr>
        <w:pStyle w:val="FootnoteText1"/>
      </w:pPr>
      <w:r w:rsidRPr="004D13CC">
        <w:rPr>
          <w:rStyle w:val="FootnoteReference"/>
        </w:rPr>
        <w:footnoteRef/>
      </w:r>
      <w:r w:rsidRPr="0037634F">
        <w:tab/>
      </w:r>
      <w:r>
        <w:t xml:space="preserve">The two ex-post evaluations were for </w:t>
      </w:r>
      <w:r w:rsidRPr="004C6F4F">
        <w:t>the Agusan Del Sur Malaria Control and Prevention Project Community Trust Fund</w:t>
      </w:r>
      <w:r>
        <w:t xml:space="preserve"> in the Philippines, and the </w:t>
      </w:r>
      <w:r w:rsidRPr="003E7895">
        <w:t>Laos</w:t>
      </w:r>
      <w:r>
        <w:t>–</w:t>
      </w:r>
      <w:r w:rsidRPr="003E7895">
        <w:t>Australia Basic Education Project</w:t>
      </w:r>
      <w:r>
        <w:t xml:space="preserve"> (1999–2007). See Annex 6 for further information on these initiatives and their evaluations.</w:t>
      </w:r>
    </w:p>
  </w:footnote>
  <w:footnote w:id="19">
    <w:p w14:paraId="4A554651" w14:textId="2601B19E" w:rsidR="00147362" w:rsidRPr="00973470" w:rsidRDefault="00147362" w:rsidP="00183E13">
      <w:pPr>
        <w:pStyle w:val="FootnoteText1"/>
      </w:pPr>
      <w:r w:rsidRPr="004D13CC">
        <w:rPr>
          <w:rStyle w:val="FootnoteReference"/>
        </w:rPr>
        <w:footnoteRef/>
      </w:r>
      <w:r w:rsidRPr="0037634F">
        <w:tab/>
      </w:r>
      <w:r>
        <w:t>These ‘cluster’ evaluations are marked in the evaluation list in Annex 6.</w:t>
      </w:r>
    </w:p>
  </w:footnote>
  <w:footnote w:id="20">
    <w:p w14:paraId="447777C7" w14:textId="6D76DE16" w:rsidR="00147362" w:rsidRPr="005C741C" w:rsidRDefault="00147362" w:rsidP="00183E13">
      <w:pPr>
        <w:pStyle w:val="FootnoteText1"/>
      </w:pPr>
      <w:r w:rsidRPr="004D13CC">
        <w:rPr>
          <w:rStyle w:val="FootnoteReference"/>
        </w:rPr>
        <w:footnoteRef/>
      </w:r>
      <w:r w:rsidRPr="0037634F">
        <w:tab/>
      </w:r>
      <w:r>
        <w:t>A significant level of association was found, with a correlation coefficient of 0.53 between initiative value and evaluation cost.</w:t>
      </w:r>
    </w:p>
  </w:footnote>
  <w:footnote w:id="21">
    <w:p w14:paraId="363AEBC7" w14:textId="41997AC1" w:rsidR="00147362" w:rsidRDefault="00147362" w:rsidP="00183E13">
      <w:pPr>
        <w:pStyle w:val="FootnoteText1"/>
      </w:pPr>
      <w:r w:rsidRPr="004D13CC">
        <w:rPr>
          <w:rStyle w:val="FootnoteReference"/>
        </w:rPr>
        <w:footnoteRef/>
      </w:r>
      <w:r w:rsidRPr="0037634F">
        <w:tab/>
      </w:r>
      <w:r w:rsidRPr="00170ED3">
        <w:t xml:space="preserve">Cost details were available for 26 </w:t>
      </w:r>
      <w:r>
        <w:t>independent progress report</w:t>
      </w:r>
      <w:r w:rsidRPr="00170ED3">
        <w:t xml:space="preserve">s and 12 </w:t>
      </w:r>
      <w:r>
        <w:t>independent completion report</w:t>
      </w:r>
      <w:r w:rsidRPr="00170ED3">
        <w:t>s.</w:t>
      </w:r>
    </w:p>
  </w:footnote>
  <w:footnote w:id="22">
    <w:p w14:paraId="0D740D02" w14:textId="3AED3496" w:rsidR="00147362" w:rsidRDefault="00147362" w:rsidP="00183E13">
      <w:pPr>
        <w:pStyle w:val="FootnoteText1"/>
      </w:pPr>
      <w:r>
        <w:rPr>
          <w:rStyle w:val="FootnoteReference"/>
        </w:rPr>
        <w:footnoteRef/>
      </w:r>
      <w:r>
        <w:tab/>
        <w:t>Used in some independent evaluations but not in ‘quality at implementation’ performance reporting.</w:t>
      </w:r>
    </w:p>
  </w:footnote>
  <w:footnote w:id="23">
    <w:p w14:paraId="3823C5CB" w14:textId="0AEE8359" w:rsidR="00147362" w:rsidRDefault="00147362" w:rsidP="00183E13">
      <w:pPr>
        <w:pStyle w:val="FootnoteText1"/>
      </w:pPr>
      <w:r>
        <w:rPr>
          <w:rStyle w:val="FootnoteReference"/>
        </w:rPr>
        <w:footnoteRef/>
      </w:r>
      <w:r>
        <w:tab/>
        <w:t>Under the evaluation guidance in place in early 2012, assessments were also sometimes made against an additional analysis and learning criterion. This review did not consider those assessments, as analysis and learning is not considered a core quality criterion and has since been dropped.</w:t>
      </w:r>
    </w:p>
  </w:footnote>
  <w:footnote w:id="24">
    <w:p w14:paraId="4F67BBD6" w14:textId="44FA8C65" w:rsidR="00147362" w:rsidRDefault="00147362" w:rsidP="00183E13">
      <w:pPr>
        <w:pStyle w:val="FootnoteText1"/>
      </w:pPr>
      <w:r>
        <w:rPr>
          <w:rStyle w:val="FootnoteReference"/>
        </w:rPr>
        <w:footnoteRef/>
      </w:r>
      <w:r>
        <w:tab/>
        <w:t>Evaluations that used a ratings system that was not comparable to the DFAT system were counted as ‘not rated’ for the purposes of this review.</w:t>
      </w:r>
    </w:p>
  </w:footnote>
  <w:footnote w:id="25">
    <w:p w14:paraId="599DD855" w14:textId="46333B6F" w:rsidR="00147362" w:rsidRPr="0025426B" w:rsidRDefault="00147362" w:rsidP="00183E13">
      <w:pPr>
        <w:pStyle w:val="FootnoteText1"/>
      </w:pPr>
      <w:r>
        <w:rPr>
          <w:rStyle w:val="FootnoteReference"/>
        </w:rPr>
        <w:footnoteRef/>
      </w:r>
      <w:r>
        <w:tab/>
      </w:r>
      <w:r w:rsidRPr="0025426B">
        <w:t>The robustness of the evaluators’ numerical ratings against the standard M&amp;E criterion was not considered in this review; however, the review does consider the evaluation’s assessment of the adequacy and use of the initiative’s M&amp;E system under general evaluation quality standard criterion 5.</w:t>
      </w:r>
    </w:p>
  </w:footnote>
  <w:footnote w:id="26">
    <w:p w14:paraId="17811BAF" w14:textId="2A492D66" w:rsidR="00147362" w:rsidRPr="0025426B" w:rsidRDefault="00147362" w:rsidP="00183E13">
      <w:pPr>
        <w:pStyle w:val="FootnoteText1"/>
      </w:pPr>
      <w:r>
        <w:rPr>
          <w:rStyle w:val="FootnoteReference"/>
        </w:rPr>
        <w:footnoteRef/>
      </w:r>
      <w:r>
        <w:tab/>
      </w:r>
      <w:r w:rsidRPr="0025426B">
        <w:t>‘Not assessable’ was recorded where there was insufficient information in the evaluation report to make a judgment. Where the report did not address a particular criterion because it was not (or did not appear to be) included in the scope of the evaluation, no assessment was made. There were two other cases where a criterion could not be assessed for other reasons: one evaluation (INI691) covered 13 different trust funds and assessing intervention logic for all was unfeasible; the terms of reference for the other evaluation (INI426) were not available and the scope of the evaluation could not be assessed based on the information in the evaluation report alone.</w:t>
      </w:r>
    </w:p>
  </w:footnote>
  <w:footnote w:id="27">
    <w:p w14:paraId="4F0FC424" w14:textId="0264E1E3" w:rsidR="00147362" w:rsidRDefault="00147362" w:rsidP="00183E13">
      <w:pPr>
        <w:pStyle w:val="FootnoteText1"/>
      </w:pPr>
      <w:r>
        <w:rPr>
          <w:rStyle w:val="FootnoteReference"/>
        </w:rPr>
        <w:footnoteRef/>
      </w:r>
      <w:r>
        <w:tab/>
        <w:t xml:space="preserve">To be selected as a good-practice example, an evaluation document had to meet the following minimum standards. For the terms of reference, criterion 1 (evaluation purpose) was assessed as good quality; for the evaluation plans, criterion 4 (evaluation methodology) was assessed as good quality; for the evaluation reports, all criteria were assessed as adequate quality or better. </w:t>
      </w:r>
      <w:r w:rsidRPr="00F80AB2">
        <w:t xml:space="preserve">We </w:t>
      </w:r>
      <w:r>
        <w:t>sought</w:t>
      </w:r>
      <w:r w:rsidRPr="00F80AB2">
        <w:t xml:space="preserve"> </w:t>
      </w:r>
      <w:r>
        <w:t xml:space="preserve">to </w:t>
      </w:r>
      <w:r w:rsidRPr="00F80AB2">
        <w:t xml:space="preserve">identify at least one evaluation that illustrated good practice across </w:t>
      </w:r>
      <w:r>
        <w:t>the</w:t>
      </w:r>
      <w:r w:rsidRPr="00F80AB2">
        <w:t xml:space="preserve"> evaluation report, </w:t>
      </w:r>
      <w:r>
        <w:t>terms of reference</w:t>
      </w:r>
      <w:r w:rsidRPr="00F80AB2">
        <w:t xml:space="preserve"> and </w:t>
      </w:r>
      <w:r>
        <w:t>evaluation plan. T</w:t>
      </w:r>
      <w:r w:rsidRPr="00F80AB2">
        <w:t xml:space="preserve">his required us to be flexible in our application of </w:t>
      </w:r>
      <w:r>
        <w:t>the evaluation report criteria.</w:t>
      </w:r>
    </w:p>
  </w:footnote>
  <w:footnote w:id="28">
    <w:p w14:paraId="2AE4826E" w14:textId="733A8340" w:rsidR="00147362" w:rsidRPr="00BB057F" w:rsidRDefault="00147362" w:rsidP="00183E13">
      <w:pPr>
        <w:pStyle w:val="FootnoteText1"/>
      </w:pPr>
      <w:r w:rsidRPr="00BB057F">
        <w:rPr>
          <w:rStyle w:val="FootnoteReference"/>
        </w:rPr>
        <w:footnoteRef/>
      </w:r>
      <w:r>
        <w:tab/>
        <w:t>These seven</w:t>
      </w:r>
      <w:r w:rsidRPr="00BB057F">
        <w:t xml:space="preserve"> sub-criteria were</w:t>
      </w:r>
      <w:r>
        <w:t xml:space="preserve"> </w:t>
      </w:r>
      <w:r w:rsidRPr="00BB057F">
        <w:t>equally weighted.</w:t>
      </w:r>
      <w:r>
        <w:t xml:space="preserve"> An evaluation had to be found adequate or better for the majority of these sub-criteria to be rated adequate overall for credibility of evidence and analysis. </w:t>
      </w:r>
      <w:r w:rsidRPr="00BB057F">
        <w:t xml:space="preserve">A limitation of this method is that an evaluation report may fail to address </w:t>
      </w:r>
      <w:r>
        <w:t xml:space="preserve">important </w:t>
      </w:r>
      <w:r w:rsidRPr="00BB057F">
        <w:t>sub-criteri</w:t>
      </w:r>
      <w:r>
        <w:t>a</w:t>
      </w:r>
      <w:r w:rsidRPr="00BB057F">
        <w:t xml:space="preserve"> yet still be assessed as adequate.</w:t>
      </w:r>
      <w:r>
        <w:t xml:space="preserve"> (It is worth noting that this means that </w:t>
      </w:r>
      <w:r w:rsidRPr="00827FAC">
        <w:t xml:space="preserve">credibility of evidence and analysis </w:t>
      </w:r>
      <w:r>
        <w:t>could</w:t>
      </w:r>
      <w:r w:rsidRPr="00827FAC">
        <w:t xml:space="preserve"> in some cases </w:t>
      </w:r>
      <w:r>
        <w:t xml:space="preserve">be </w:t>
      </w:r>
      <w:r w:rsidRPr="00827FAC">
        <w:t>assessed as adequ</w:t>
      </w:r>
      <w:r w:rsidRPr="008B07F4">
        <w:t xml:space="preserve">ate even while the methodology </w:t>
      </w:r>
      <w:r>
        <w:t>wa</w:t>
      </w:r>
      <w:r w:rsidRPr="00827FAC">
        <w:t>s assessed as inadequate.</w:t>
      </w:r>
      <w:r>
        <w:t xml:space="preserve"> </w:t>
      </w:r>
      <w:r w:rsidRPr="00E412BC">
        <w:t>This</w:t>
      </w:r>
      <w:r>
        <w:t xml:space="preserve"> wa</w:t>
      </w:r>
      <w:r w:rsidRPr="00E412BC">
        <w:t>s possible because</w:t>
      </w:r>
      <w:r>
        <w:t>,</w:t>
      </w:r>
      <w:r w:rsidRPr="00E412BC">
        <w:t xml:space="preserve"> </w:t>
      </w:r>
      <w:r>
        <w:t>even if some aspects of</w:t>
      </w:r>
      <w:r w:rsidRPr="00E412BC">
        <w:t xml:space="preserve"> </w:t>
      </w:r>
      <w:r>
        <w:t xml:space="preserve">the </w:t>
      </w:r>
      <w:r w:rsidRPr="00E412BC">
        <w:t xml:space="preserve">evaluation methodology were </w:t>
      </w:r>
      <w:r>
        <w:t>unsatisfactory</w:t>
      </w:r>
      <w:r w:rsidRPr="00E412BC">
        <w:t>, the logic and flow of argument from findings to conclusions in the evaluation, and hence its credibility, could still be satisfactory</w:t>
      </w:r>
      <w:r>
        <w:t>.</w:t>
      </w:r>
      <w:r w:rsidRPr="00827FAC">
        <w:t>)</w:t>
      </w:r>
      <w:r>
        <w:t xml:space="preserve"> The credibility or robustness of any ratings awarded by the evaluator was not considered under this criterion; this is examined separately in section </w:t>
      </w:r>
      <w:r>
        <w:fldChar w:fldCharType="begin"/>
      </w:r>
      <w:r>
        <w:instrText xml:space="preserve"> REF _Ref379185363 \r \h  \* MERGEFORMAT </w:instrText>
      </w:r>
      <w:r>
        <w:fldChar w:fldCharType="separate"/>
      </w:r>
      <w:r>
        <w:t>4.3</w:t>
      </w:r>
      <w:r>
        <w:fldChar w:fldCharType="end"/>
      </w:r>
      <w:r>
        <w:t>.</w:t>
      </w:r>
    </w:p>
  </w:footnote>
  <w:footnote w:id="29">
    <w:p w14:paraId="1B6C7846" w14:textId="5DE3E97E" w:rsidR="00147362" w:rsidRPr="00644EAD" w:rsidRDefault="00147362" w:rsidP="00183E13">
      <w:pPr>
        <w:pStyle w:val="FootnoteText1"/>
      </w:pPr>
      <w:r>
        <w:rPr>
          <w:rStyle w:val="FootnoteReference"/>
        </w:rPr>
        <w:footnoteRef/>
      </w:r>
      <w:r>
        <w:tab/>
        <w:t xml:space="preserve">M. </w:t>
      </w:r>
      <w:r w:rsidRPr="00644EAD">
        <w:t xml:space="preserve">Hageboeck, M. Frumkin &amp; </w:t>
      </w:r>
      <w:r>
        <w:t xml:space="preserve">S. </w:t>
      </w:r>
      <w:r w:rsidRPr="00644EAD">
        <w:t xml:space="preserve">Monschein (2013). </w:t>
      </w:r>
      <w:r w:rsidRPr="0025426B">
        <w:rPr>
          <w:i/>
        </w:rPr>
        <w:t>Meta-Evaluation of quality and coverage of USAID evaluations 2009–2012</w:t>
      </w:r>
      <w:r w:rsidRPr="00644EAD">
        <w:t>, Management Systems International under subcontract to DevTech Systems, Inc.</w:t>
      </w:r>
      <w:r>
        <w:t xml:space="preserve"> Cited in USAID (2013), </w:t>
      </w:r>
      <w:r w:rsidRPr="0025426B">
        <w:rPr>
          <w:i/>
        </w:rPr>
        <w:t>Discussion note on complexity-aware monitoring</w:t>
      </w:r>
      <w:r>
        <w:t>.</w:t>
      </w:r>
    </w:p>
  </w:footnote>
  <w:footnote w:id="30">
    <w:p w14:paraId="2B4EE5C1" w14:textId="2368057E" w:rsidR="00147362" w:rsidRDefault="00147362" w:rsidP="00183E13">
      <w:pPr>
        <w:pStyle w:val="FootnoteText1"/>
      </w:pPr>
      <w:r>
        <w:rPr>
          <w:rStyle w:val="FootnoteReference"/>
        </w:rPr>
        <w:footnoteRef/>
      </w:r>
      <w:r>
        <w:tab/>
        <w:t>There were also three cases where the terms of reference were not available, so it was not clear whether the evaluators were asked to assess initiative impact.</w:t>
      </w:r>
    </w:p>
  </w:footnote>
  <w:footnote w:id="31">
    <w:p w14:paraId="0CD0EC2B" w14:textId="009E846A" w:rsidR="00147362" w:rsidRPr="00832D6D" w:rsidRDefault="00147362" w:rsidP="00183E13">
      <w:pPr>
        <w:pStyle w:val="FootnoteText1"/>
      </w:pPr>
      <w:r w:rsidRPr="00832D6D">
        <w:rPr>
          <w:rStyle w:val="FootnoteReference"/>
        </w:rPr>
        <w:footnoteRef/>
      </w:r>
      <w:r w:rsidRPr="00832D6D">
        <w:t xml:space="preserve"> </w:t>
      </w:r>
      <w:r>
        <w:tab/>
      </w:r>
      <w:r w:rsidRPr="00832D6D">
        <w:t>Cases where it was not possible to assess whether the rating was too low or too high because the evidence presented was too weak to justify any rating</w:t>
      </w:r>
      <w:r>
        <w:t>.</w:t>
      </w:r>
    </w:p>
  </w:footnote>
  <w:footnote w:id="32">
    <w:p w14:paraId="4600D2EF" w14:textId="5861229A" w:rsidR="00147362" w:rsidRDefault="00147362" w:rsidP="00183E13">
      <w:pPr>
        <w:pStyle w:val="FootnoteText1"/>
      </w:pPr>
      <w:r>
        <w:rPr>
          <w:rStyle w:val="FootnoteReference"/>
        </w:rPr>
        <w:footnoteRef/>
      </w:r>
      <w:r>
        <w:tab/>
      </w:r>
      <w:r w:rsidRPr="00F77B24">
        <w:t>See Annex 2 for</w:t>
      </w:r>
      <w:r>
        <w:t xml:space="preserve"> details of our selection method.</w:t>
      </w:r>
    </w:p>
  </w:footnote>
  <w:footnote w:id="33">
    <w:p w14:paraId="28A90633" w14:textId="0C07396D" w:rsidR="00147362" w:rsidRPr="00B05E40" w:rsidRDefault="00147362" w:rsidP="00183E13">
      <w:pPr>
        <w:pStyle w:val="FootnoteText1"/>
      </w:pPr>
      <w:r>
        <w:rPr>
          <w:rStyle w:val="FootnoteReference"/>
        </w:rPr>
        <w:footnoteRef/>
      </w:r>
      <w:r>
        <w:tab/>
        <w:t>The first step of the analysis confirmed that t</w:t>
      </w:r>
      <w:r w:rsidRPr="00B41283">
        <w:t xml:space="preserve">he </w:t>
      </w:r>
      <w:r w:rsidRPr="000011B2">
        <w:t xml:space="preserve">overall level of association between </w:t>
      </w:r>
      <w:r>
        <w:t>findings for ‘</w:t>
      </w:r>
      <w:r w:rsidRPr="000011B2">
        <w:t>credibility of evidence and analysis</w:t>
      </w:r>
      <w:r>
        <w:t>’</w:t>
      </w:r>
      <w:r w:rsidRPr="000011B2">
        <w:t xml:space="preserve"> and</w:t>
      </w:r>
      <w:r>
        <w:t xml:space="preserve"> </w:t>
      </w:r>
      <w:r w:rsidRPr="000011B2">
        <w:t>sector was significant in statistical terms</w:t>
      </w:r>
      <w:r>
        <w:rPr>
          <w:rFonts w:ascii="Arial" w:hAnsi="Arial" w:cs="Arial"/>
        </w:rPr>
        <w:t>—</w:t>
      </w:r>
      <w:r>
        <w:t>i.e. some of the variability in one can be accounted for by the other</w:t>
      </w:r>
      <w:r w:rsidRPr="00B41283">
        <w:t>. Association</w:t>
      </w:r>
      <w:r>
        <w:t xml:space="preserve"> was tested using a chi-squared statistic that measures the probability of ratings scores for different categories of data (in this case sectors) being drawn from the same population. The chi-squared test for independence indicated a significant probability that there is a statistical difference between sectors (chi-squared = 80, p = 0.04 where significance is indicated by a value of 0.05 or less).</w:t>
      </w:r>
    </w:p>
  </w:footnote>
  <w:footnote w:id="34">
    <w:p w14:paraId="775F912A" w14:textId="0C32B336" w:rsidR="00147362" w:rsidRDefault="00147362" w:rsidP="00183E13">
      <w:pPr>
        <w:pStyle w:val="FootnoteText1"/>
      </w:pPr>
      <w:r>
        <w:rPr>
          <w:rStyle w:val="FootnoteReference"/>
        </w:rPr>
        <w:footnoteRef/>
      </w:r>
      <w:r>
        <w:tab/>
        <w:t xml:space="preserve">As discussed in section </w:t>
      </w:r>
      <w:r>
        <w:fldChar w:fldCharType="begin"/>
      </w:r>
      <w:r>
        <w:instrText xml:space="preserve"> REF _Ref380416188 \r \h  \* MERGEFORMAT </w:instrText>
      </w:r>
      <w:r>
        <w:fldChar w:fldCharType="separate"/>
      </w:r>
      <w:r>
        <w:t>5.3</w:t>
      </w:r>
      <w:r>
        <w:fldChar w:fldCharType="end"/>
      </w:r>
      <w:r>
        <w:t>, we did not have enough evaluation budget data to determine correlations with evaluation quality.</w:t>
      </w:r>
    </w:p>
  </w:footnote>
  <w:footnote w:id="35">
    <w:p w14:paraId="2850F2C4" w14:textId="376046B9" w:rsidR="00147362" w:rsidRDefault="00147362" w:rsidP="00183E13">
      <w:pPr>
        <w:pStyle w:val="FootnoteText1"/>
      </w:pPr>
      <w:r>
        <w:rPr>
          <w:rStyle w:val="FootnoteReference"/>
        </w:rPr>
        <w:footnoteRef/>
      </w:r>
      <w:r>
        <w:tab/>
        <w:t>Length of evaluation, number of fieldwork days and evaluation team size were used as proxy indicators for evaluation resourcing in the absence of reliable evaluation cost data for the partner-led joint evaluations. See section 3.2.</w:t>
      </w:r>
    </w:p>
  </w:footnote>
  <w:footnote w:id="36">
    <w:p w14:paraId="447E2271" w14:textId="08A46159" w:rsidR="00147362" w:rsidRPr="00AF1AE6" w:rsidRDefault="00147362" w:rsidP="00183E13">
      <w:pPr>
        <w:pStyle w:val="FootnoteText1"/>
      </w:pPr>
      <w:r w:rsidRPr="0025426B">
        <w:rPr>
          <w:rStyle w:val="FootnoteReference"/>
        </w:rPr>
        <w:footnoteRef/>
      </w:r>
      <w:r w:rsidRPr="00AF1AE6">
        <w:tab/>
        <w:t>Of the two measures, the correlation was marginally stronger between evaluation quality and number of fieldwork days (correlation coefficient of 0.36), than between quality and overall length of the evaluation (correlation coefficient of 0.30). The number of total days recorded for an evaluation may be a less reliable measure, as there are sometimes delays or breaks in the evaluation work that can extend the total amount of time used. Other aspects of time use in evaluations, such as analysis or write-up time, could not be analysed as insufficient data was available. Positive correlations (mostly weaker) were also found for the majority of the other evaluation quality criteria.</w:t>
      </w:r>
    </w:p>
  </w:footnote>
  <w:footnote w:id="37">
    <w:p w14:paraId="35FC2FB4" w14:textId="5AE97D07" w:rsidR="00147362" w:rsidRDefault="00147362" w:rsidP="00183E13">
      <w:pPr>
        <w:pStyle w:val="FootnoteText1"/>
      </w:pPr>
      <w:r>
        <w:rPr>
          <w:rStyle w:val="FootnoteReference"/>
        </w:rPr>
        <w:footnoteRef/>
      </w:r>
      <w:r>
        <w:t xml:space="preserve"> </w:t>
      </w:r>
      <w:r>
        <w:tab/>
        <w:t>Information on their level of participation was not consistently available.</w:t>
      </w:r>
    </w:p>
  </w:footnote>
  <w:footnote w:id="38">
    <w:p w14:paraId="26BEE063" w14:textId="08ED0364" w:rsidR="00147362" w:rsidRDefault="00147362" w:rsidP="00183E13">
      <w:pPr>
        <w:pStyle w:val="FootnoteText1"/>
      </w:pPr>
      <w:r>
        <w:rPr>
          <w:rStyle w:val="FootnoteReference"/>
        </w:rPr>
        <w:footnoteRef/>
      </w:r>
      <w:r>
        <w:t xml:space="preserve"> </w:t>
      </w:r>
      <w:r>
        <w:tab/>
        <w:t>This difference was found to be statistically significant. It was significant at the 90% level using a chi-squared test (i.e. there is only a 1 in 10 possibility that this difference was due to chance).</w:t>
      </w:r>
    </w:p>
  </w:footnote>
  <w:footnote w:id="39">
    <w:p w14:paraId="03B30132" w14:textId="07A7C529" w:rsidR="00147362" w:rsidRDefault="00147362" w:rsidP="00183E13">
      <w:pPr>
        <w:pStyle w:val="FootnoteText1"/>
      </w:pPr>
      <w:r>
        <w:rPr>
          <w:rStyle w:val="FootnoteReference"/>
        </w:rPr>
        <w:footnoteRef/>
      </w:r>
      <w:r>
        <w:tab/>
        <w:t xml:space="preserve">Guideline: Independence in AusAID evaluations (internal document). </w:t>
      </w:r>
    </w:p>
  </w:footnote>
  <w:footnote w:id="40">
    <w:p w14:paraId="3D9784E5" w14:textId="77777777" w:rsidR="00147362" w:rsidRPr="000F2448" w:rsidRDefault="00147362" w:rsidP="004511CB">
      <w:pPr>
        <w:pStyle w:val="FootnoteText1"/>
      </w:pPr>
      <w:r w:rsidRPr="00465E68">
        <w:rPr>
          <w:rStyle w:val="FootnoteReference"/>
        </w:rPr>
        <w:footnoteRef/>
      </w:r>
      <w:r w:rsidRPr="000F2448">
        <w:t xml:space="preserve"> </w:t>
      </w:r>
      <w:r>
        <w:tab/>
      </w:r>
      <w:r w:rsidRPr="000F2448">
        <w:t>A ‘monitored’ initiative is where the expected Australian Government funding over the life of the initiative is greater than $3 million</w:t>
      </w:r>
      <w:r>
        <w:t>,</w:t>
      </w:r>
      <w:r w:rsidRPr="000F2448">
        <w:t xml:space="preserve"> </w:t>
      </w:r>
      <w:r w:rsidRPr="000F2448">
        <w:rPr>
          <w:i/>
        </w:rPr>
        <w:t xml:space="preserve">or </w:t>
      </w:r>
      <w:r w:rsidRPr="000F2448">
        <w:t>the value is less than $3 million but the initiative is significant to country or corporate strategies or key relationships with other development partners</w:t>
      </w:r>
      <w:r>
        <w:t>,</w:t>
      </w:r>
      <w:r w:rsidRPr="000F2448">
        <w:t xml:space="preserve"> including other government agencies.</w:t>
      </w:r>
    </w:p>
  </w:footnote>
  <w:footnote w:id="41">
    <w:p w14:paraId="78D221BA" w14:textId="77777777" w:rsidR="00147362" w:rsidRPr="000F2448" w:rsidRDefault="00147362" w:rsidP="004511CB">
      <w:pPr>
        <w:pStyle w:val="FootnoteText1"/>
      </w:pPr>
      <w:r w:rsidRPr="00465E68">
        <w:rPr>
          <w:rStyle w:val="FootnoteReference"/>
        </w:rPr>
        <w:footnoteRef/>
      </w:r>
      <w:r w:rsidRPr="00465E68">
        <w:rPr>
          <w:rStyle w:val="FootnoteReference"/>
        </w:rPr>
        <w:t xml:space="preserve"> </w:t>
      </w:r>
      <w:r>
        <w:tab/>
      </w:r>
      <w:r w:rsidRPr="00364B53">
        <w:rPr>
          <w:rStyle w:val="footnotetextChar0"/>
          <w:rFonts w:eastAsia="Calibri"/>
        </w:rPr>
        <w:t>ODE will work with AusAID’s Whole of Government Branch as it works to apply uniform standards to ODA managed by other government agencies.</w:t>
      </w:r>
    </w:p>
  </w:footnote>
  <w:footnote w:id="42">
    <w:p w14:paraId="3064C2EC" w14:textId="77777777" w:rsidR="00147362" w:rsidRPr="00364B53" w:rsidRDefault="00147362" w:rsidP="004511CB">
      <w:pPr>
        <w:pStyle w:val="FootnoteText1"/>
        <w:rPr>
          <w:rStyle w:val="footnotetextChar0"/>
          <w:rFonts w:eastAsia="Calibri"/>
        </w:rPr>
      </w:pPr>
      <w:r w:rsidRPr="00465E68">
        <w:rPr>
          <w:rStyle w:val="FootnoteReference"/>
        </w:rPr>
        <w:footnoteRef/>
      </w:r>
      <w:r w:rsidRPr="00465E68">
        <w:rPr>
          <w:rStyle w:val="FootnoteReference"/>
        </w:rPr>
        <w:t xml:space="preserve"> </w:t>
      </w:r>
      <w:r>
        <w:tab/>
      </w:r>
      <w:r w:rsidRPr="00364B53">
        <w:rPr>
          <w:rStyle w:val="footnotetextChar0"/>
          <w:rFonts w:eastAsia="Calibri"/>
        </w:rPr>
        <w:t xml:space="preserve">Patricia Rogers, </w:t>
      </w:r>
      <w:r w:rsidRPr="00702E0A">
        <w:rPr>
          <w:rStyle w:val="footnotetextChar0"/>
          <w:rFonts w:eastAsia="Calibri"/>
        </w:rPr>
        <w:t>Meta-evaluation of AusAID’s technical review process</w:t>
      </w:r>
      <w:r w:rsidRPr="00364B53">
        <w:rPr>
          <w:rStyle w:val="footnotetextChar0"/>
          <w:rFonts w:eastAsia="Calibri"/>
        </w:rPr>
        <w:t>, RMIT University, April 2011.</w:t>
      </w:r>
    </w:p>
  </w:footnote>
  <w:footnote w:id="43">
    <w:p w14:paraId="2496B639" w14:textId="77777777" w:rsidR="00147362" w:rsidRPr="00364B53" w:rsidRDefault="00147362" w:rsidP="004511CB">
      <w:pPr>
        <w:pStyle w:val="FootnoteText1"/>
        <w:rPr>
          <w:rStyle w:val="footnotetextChar0"/>
          <w:rFonts w:eastAsia="Calibri"/>
        </w:rPr>
      </w:pPr>
      <w:r w:rsidRPr="00465E68">
        <w:rPr>
          <w:rStyle w:val="FootnoteReference"/>
        </w:rPr>
        <w:footnoteRef/>
      </w:r>
      <w:r w:rsidRPr="000F2448">
        <w:t xml:space="preserve"> </w:t>
      </w:r>
      <w:r>
        <w:tab/>
      </w:r>
      <w:r w:rsidRPr="00364B53">
        <w:rPr>
          <w:rStyle w:val="footnotetextChar0"/>
          <w:rFonts w:eastAsia="Calibri"/>
        </w:rPr>
        <w:t xml:space="preserve">Commissioned in support of the </w:t>
      </w:r>
      <w:r w:rsidRPr="00AD6A55">
        <w:rPr>
          <w:rStyle w:val="footnotetextChar0"/>
          <w:rFonts w:eastAsia="Calibri"/>
        </w:rPr>
        <w:t>Independent review of aid effectiveness</w:t>
      </w:r>
      <w:r w:rsidRPr="00364B53">
        <w:rPr>
          <w:rStyle w:val="footnotetextChar0"/>
          <w:rFonts w:eastAsia="Calibri"/>
        </w:rPr>
        <w:t>. This study reviewed evaluations from a four-year period from July 2006 to June 2010.</w:t>
      </w:r>
    </w:p>
  </w:footnote>
  <w:footnote w:id="44">
    <w:p w14:paraId="44D95E0E" w14:textId="77777777" w:rsidR="00147362" w:rsidRPr="00364B53" w:rsidRDefault="00147362" w:rsidP="004511CB">
      <w:pPr>
        <w:pStyle w:val="FootnoteText1"/>
        <w:rPr>
          <w:rStyle w:val="footnotetextChar0"/>
          <w:rFonts w:eastAsia="Calibri"/>
        </w:rPr>
      </w:pPr>
      <w:r w:rsidRPr="005774E5">
        <w:rPr>
          <w:rStyle w:val="FootnoteReference"/>
        </w:rPr>
        <w:footnoteRef/>
      </w:r>
      <w:r w:rsidRPr="005774E5">
        <w:rPr>
          <w:rStyle w:val="FootnoteReference"/>
        </w:rPr>
        <w:t xml:space="preserve"> </w:t>
      </w:r>
      <w:r>
        <w:tab/>
      </w:r>
      <w:r w:rsidRPr="00364B53">
        <w:rPr>
          <w:rStyle w:val="footnotetextChar0"/>
          <w:rFonts w:eastAsia="Calibri"/>
        </w:rPr>
        <w:t>In the 2011–12 financial year there were 588 monitored initiatives with an average duration of 5.3 years. Every initiative is required to undertake an evaluation at least once over its life. So, assuming an even split of evaluations per year, approximately 110–111 evaluations would be expected in 2012.</w:t>
      </w:r>
    </w:p>
  </w:footnote>
  <w:footnote w:id="45">
    <w:p w14:paraId="61FA2583" w14:textId="77777777" w:rsidR="00147362" w:rsidRPr="00364B53" w:rsidRDefault="00147362" w:rsidP="004511CB">
      <w:pPr>
        <w:pStyle w:val="FootnoteText1"/>
        <w:rPr>
          <w:rStyle w:val="footnotetextChar0"/>
          <w:rFonts w:eastAsia="Calibri"/>
        </w:rPr>
      </w:pPr>
      <w:r w:rsidRPr="005774E5">
        <w:rPr>
          <w:rStyle w:val="FootnoteReference"/>
        </w:rPr>
        <w:footnoteRef/>
      </w:r>
      <w:r w:rsidRPr="005774E5">
        <w:rPr>
          <w:rStyle w:val="FootnoteReference"/>
        </w:rPr>
        <w:t xml:space="preserve"> </w:t>
      </w:r>
      <w:r>
        <w:tab/>
      </w:r>
      <w:r w:rsidRPr="00364B53">
        <w:rPr>
          <w:rStyle w:val="footnotetextChar0"/>
          <w:rFonts w:eastAsia="Calibri"/>
        </w:rPr>
        <w:t>Since the Bazeley study, which covered the 2006–2010 financial years, no financial year stocktakes of completed evaluations have been undertaken.</w:t>
      </w:r>
    </w:p>
  </w:footnote>
  <w:footnote w:id="46">
    <w:p w14:paraId="547DF80B" w14:textId="77777777" w:rsidR="00147362" w:rsidRPr="007602B6" w:rsidRDefault="00147362" w:rsidP="004511CB">
      <w:pPr>
        <w:pStyle w:val="FootnoteText1"/>
        <w:rPr>
          <w:rStyle w:val="footnotetextChar0"/>
          <w:rFonts w:eastAsia="Calibri"/>
        </w:rPr>
      </w:pPr>
      <w:r w:rsidRPr="005774E5">
        <w:rPr>
          <w:rStyle w:val="FootnoteReference"/>
        </w:rPr>
        <w:footnoteRef/>
      </w:r>
      <w:r w:rsidRPr="000F2448">
        <w:t xml:space="preserve"> </w:t>
      </w:r>
      <w:r>
        <w:tab/>
      </w:r>
      <w:r w:rsidRPr="007602B6">
        <w:rPr>
          <w:rStyle w:val="footnotetextChar0"/>
          <w:rFonts w:eastAsia="Calibri"/>
        </w:rPr>
        <w:t xml:space="preserve">‘Independent evaluations’ is hereafter used in these </w:t>
      </w:r>
      <w:r>
        <w:rPr>
          <w:rStyle w:val="footnotetextChar0"/>
          <w:rFonts w:eastAsia="Calibri"/>
        </w:rPr>
        <w:t>t</w:t>
      </w:r>
      <w:r w:rsidRPr="007602B6">
        <w:rPr>
          <w:rStyle w:val="footnotetextChar0"/>
          <w:rFonts w:eastAsia="Calibri"/>
        </w:rPr>
        <w:t xml:space="preserve">erms of </w:t>
      </w:r>
      <w:r>
        <w:rPr>
          <w:rStyle w:val="footnotetextChar0"/>
          <w:rFonts w:eastAsia="Calibri"/>
        </w:rPr>
        <w:t>r</w:t>
      </w:r>
      <w:r w:rsidRPr="007602B6">
        <w:rPr>
          <w:rStyle w:val="footnotetextChar0"/>
          <w:rFonts w:eastAsia="Calibri"/>
        </w:rPr>
        <w:t>eference to mean initiative-level independent evaluations.</w:t>
      </w:r>
    </w:p>
  </w:footnote>
  <w:footnote w:id="47">
    <w:p w14:paraId="7FA19595" w14:textId="77777777" w:rsidR="00147362" w:rsidRPr="005B01D1" w:rsidRDefault="00147362" w:rsidP="004511CB">
      <w:pPr>
        <w:pStyle w:val="FootnoteText1"/>
        <w:rPr>
          <w:rStyle w:val="footnotetextChar0"/>
          <w:rFonts w:eastAsia="Calibri"/>
        </w:rPr>
      </w:pPr>
      <w:r>
        <w:rPr>
          <w:rStyle w:val="FootnoteReference"/>
        </w:rPr>
        <w:footnoteRef/>
      </w:r>
      <w:r>
        <w:t xml:space="preserve"> </w:t>
      </w:r>
      <w:r>
        <w:tab/>
      </w:r>
      <w:r w:rsidRPr="005B01D1">
        <w:rPr>
          <w:rStyle w:val="footnotetextChar0"/>
          <w:rFonts w:eastAsia="Calibri"/>
        </w:rPr>
        <w:t>This question was dropped. The question had assumed that a high number of the evaluation reports under review would provide numerical ratings for quality. However, the quality review revealed that only 40 per cent of evaluations provided any numerical ratings, so the question was no longer relevant.</w:t>
      </w:r>
    </w:p>
  </w:footnote>
  <w:footnote w:id="48">
    <w:p w14:paraId="74F4824A" w14:textId="77777777" w:rsidR="00147362" w:rsidRPr="007602B6" w:rsidRDefault="00147362" w:rsidP="004511CB">
      <w:pPr>
        <w:pStyle w:val="FootnoteText1"/>
        <w:rPr>
          <w:rStyle w:val="footnotetextChar0"/>
          <w:rFonts w:eastAsia="Calibri"/>
        </w:rPr>
      </w:pPr>
      <w:r w:rsidRPr="005774E5">
        <w:rPr>
          <w:rStyle w:val="FootnoteReference"/>
        </w:rPr>
        <w:footnoteRef/>
      </w:r>
      <w:r w:rsidRPr="005774E5">
        <w:rPr>
          <w:rStyle w:val="FootnoteReference"/>
        </w:rPr>
        <w:t xml:space="preserve"> </w:t>
      </w:r>
      <w:r>
        <w:rPr>
          <w:rStyle w:val="FootnoteReference"/>
          <w:sz w:val="20"/>
        </w:rPr>
        <w:tab/>
      </w:r>
      <w:r w:rsidRPr="007602B6">
        <w:rPr>
          <w:rStyle w:val="footnotetextChar0"/>
          <w:rFonts w:eastAsia="Calibri"/>
        </w:rPr>
        <w:t xml:space="preserve">For example, the ALNAP pro forma: </w:t>
      </w:r>
      <w:hyperlink r:id="rId1" w:history="1">
        <w:r w:rsidRPr="007602B6">
          <w:rPr>
            <w:rStyle w:val="footnotetextChar0"/>
            <w:rFonts w:eastAsia="Calibri"/>
          </w:rPr>
          <w:t>www.alnap.org/pool/files/QualityProforma05.pdf</w:t>
        </w:r>
      </w:hyperlink>
      <w:r w:rsidRPr="007602B6">
        <w:rPr>
          <w:rStyle w:val="footnotetextChar0"/>
          <w:rFonts w:eastAsia="Calibri"/>
        </w:rPr>
        <w:t>.</w:t>
      </w:r>
    </w:p>
  </w:footnote>
  <w:footnote w:id="49">
    <w:p w14:paraId="21488422" w14:textId="0D1919B4" w:rsidR="00147362" w:rsidRDefault="00147362" w:rsidP="0025426B">
      <w:pPr>
        <w:pStyle w:val="FootnoteText1"/>
      </w:pPr>
      <w:r>
        <w:rPr>
          <w:rStyle w:val="FootnoteReference"/>
        </w:rPr>
        <w:footnoteRef/>
      </w:r>
      <w:r>
        <w:tab/>
        <w:t xml:space="preserve">L. Spencer, J Ritchie, J. Lewis, and L. Dillon (2003) </w:t>
      </w:r>
      <w:r w:rsidRPr="0025426B">
        <w:rPr>
          <w:i/>
        </w:rPr>
        <w:t>Quality in qualitative evaluation: a framework for assessing research evidence</w:t>
      </w:r>
      <w:r>
        <w:t>, Government Chief Social Researcher’s Office, Cabinet Office, UK; DFID (2012) Quality Assurance: Template for entry, Evaluation Department, UK ; DFID (2012) and Quality Assurance: Template for Exit, Evaluation Department, UK; UNICEF (2010) UNICEF-Adapted UNEG Quality Checklist for Evaluation Terms of Reference, July, Evaluation Office, UNICEF, New York; UNICEF (2013) Global Evaluation Reports Oversight System, January, Evaluation Office, UNICEF, New York.</w:t>
      </w:r>
    </w:p>
  </w:footnote>
  <w:footnote w:id="50">
    <w:p w14:paraId="7601D541" w14:textId="1433E342" w:rsidR="00147362" w:rsidRDefault="00147362" w:rsidP="0025426B">
      <w:pPr>
        <w:pStyle w:val="FootnoteText1"/>
      </w:pPr>
      <w:r>
        <w:rPr>
          <w:rStyle w:val="FootnoteReference"/>
        </w:rPr>
        <w:footnoteRef/>
      </w:r>
      <w:r>
        <w:tab/>
        <w:t xml:space="preserve">The robustness of the evaluators’ numerical ratings against the standard M&amp;E criterion was not considered in this review; however, the review does consider the evaluation’s assessment of the adequacy and use of the initiative’s M&amp;E system under </w:t>
      </w:r>
      <w:r w:rsidRPr="00D618B1">
        <w:t>general evaluation quality standard</w:t>
      </w:r>
      <w:r>
        <w:t xml:space="preserve"> criterion 5.</w:t>
      </w:r>
    </w:p>
  </w:footnote>
  <w:footnote w:id="51">
    <w:p w14:paraId="3F5F14B3" w14:textId="7B788B88" w:rsidR="00147362" w:rsidRPr="005A180E" w:rsidRDefault="00147362" w:rsidP="0025426B">
      <w:pPr>
        <w:pStyle w:val="FootnoteText1"/>
        <w:rPr>
          <w:rStyle w:val="footnotetextChar0"/>
        </w:rPr>
      </w:pPr>
      <w:r w:rsidRPr="00C36A9B">
        <w:rPr>
          <w:rStyle w:val="footnotetextChar0"/>
          <w:vertAlign w:val="superscript"/>
        </w:rPr>
        <w:footnoteRef/>
      </w:r>
      <w:r w:rsidRPr="00C36A9B">
        <w:rPr>
          <w:rStyle w:val="footnotetextChar0"/>
        </w:rPr>
        <w:tab/>
        <w:t xml:space="preserve">‘Not assessable’ was recorded where there was insufficient information in the evaluation report to make a </w:t>
      </w:r>
      <w:r w:rsidRPr="005A180E">
        <w:rPr>
          <w:rStyle w:val="footnotetextChar0"/>
        </w:rPr>
        <w:t xml:space="preserve">judgment. Where the report did not address a particular criterion because it was not (or did not appear to be) included in the scope of the evaluation, no assessment was made. There were two other cases where a criterion could not be assessed for other reasons: one evaluation (INI691) covered 13 different trust funds and assessing </w:t>
      </w:r>
      <w:r w:rsidRPr="0025426B">
        <w:rPr>
          <w:rStyle w:val="footnotetextChar0"/>
        </w:rPr>
        <w:t>intervention logic</w:t>
      </w:r>
      <w:r w:rsidRPr="005A180E">
        <w:rPr>
          <w:rStyle w:val="footnotetextChar0"/>
        </w:rPr>
        <w:t xml:space="preserve"> for all was unfeasible; the terms of reference for the other evaluation (INI426) were not available and the </w:t>
      </w:r>
      <w:r w:rsidRPr="0025426B">
        <w:rPr>
          <w:rStyle w:val="footnotetextChar0"/>
        </w:rPr>
        <w:t>scope of the evaluation</w:t>
      </w:r>
      <w:r w:rsidRPr="005A180E">
        <w:rPr>
          <w:rStyle w:val="footnotetextChar0"/>
        </w:rPr>
        <w:t xml:space="preserve"> could not be assessed based on the information in the evaluation report alone.</w:t>
      </w:r>
    </w:p>
  </w:footnote>
  <w:footnote w:id="52">
    <w:p w14:paraId="3DA9FB0F" w14:textId="26CA1A87" w:rsidR="00147362" w:rsidRDefault="00147362" w:rsidP="00F47B40">
      <w:pPr>
        <w:pStyle w:val="FootnoteText1"/>
      </w:pPr>
      <w:r>
        <w:rPr>
          <w:rStyle w:val="FootnoteReference"/>
        </w:rPr>
        <w:footnoteRef/>
      </w:r>
      <w:r>
        <w:t xml:space="preserve"> </w:t>
      </w:r>
      <w:r>
        <w:tab/>
        <w:t xml:space="preserve">Sectors with fewer than five evaluations have been omitted from this table, to discourage comparisons based on a very small sub-sample. These sectors are Business, finance and trade, Environment and natural resource management, and Conflict prevention and resolution. </w:t>
      </w:r>
    </w:p>
  </w:footnote>
  <w:footnote w:id="53">
    <w:p w14:paraId="5820D24F" w14:textId="6EB13A18" w:rsidR="00147362" w:rsidRPr="00F47B40" w:rsidRDefault="00147362" w:rsidP="0025426B">
      <w:pPr>
        <w:pStyle w:val="FootnoteText1"/>
      </w:pPr>
      <w:r>
        <w:rPr>
          <w:rStyle w:val="FootnoteReference"/>
        </w:rPr>
        <w:footnoteRef/>
      </w:r>
      <w:r>
        <w:tab/>
        <w:t xml:space="preserve">The full DFAT Aid Monitoring and Evaluation Standards can be accessed at: </w:t>
      </w:r>
      <w:hyperlink r:id="rId2" w:history="1">
        <w:r w:rsidRPr="00032599">
          <w:rPr>
            <w:rStyle w:val="Hyperlink"/>
            <w:szCs w:val="21"/>
          </w:rPr>
          <w:t>http://aid.dfat.gov.au/Publications/Pages/monitoring-evaluation-standards.aspx</w:t>
        </w:r>
      </w:hyperlink>
    </w:p>
  </w:footnote>
  <w:footnote w:id="54">
    <w:p w14:paraId="7E30FB82" w14:textId="71B4C660" w:rsidR="00147362" w:rsidRPr="00F47B40" w:rsidRDefault="00147362" w:rsidP="0025426B">
      <w:pPr>
        <w:pStyle w:val="FootnoteText1"/>
      </w:pPr>
      <w:r w:rsidRPr="0025426B">
        <w:rPr>
          <w:rStyle w:val="FootnoteReference"/>
        </w:rPr>
        <w:footnoteRef/>
      </w:r>
      <w:r w:rsidRPr="009C17CC">
        <w:rPr>
          <w:rStyle w:val="FootnoteReference"/>
        </w:rPr>
        <w:t xml:space="preserve"> </w:t>
      </w:r>
      <w:r w:rsidRPr="00F47B40">
        <w:tab/>
        <w:t>Developmental evaluation is used in highly complex situations, or in programs that are in the early stages of innovation. See Gamble (2008) A Developmental Evaluation Primer. JW McConnell Family Foundation.</w:t>
      </w:r>
    </w:p>
  </w:footnote>
  <w:footnote w:id="55">
    <w:p w14:paraId="382DB020" w14:textId="77777777" w:rsidR="00147362" w:rsidRPr="00F47B40" w:rsidRDefault="00147362" w:rsidP="0025426B">
      <w:pPr>
        <w:pStyle w:val="FootnoteText1"/>
      </w:pPr>
      <w:r w:rsidRPr="009C17CC">
        <w:rPr>
          <w:rStyle w:val="FootnoteReference"/>
        </w:rPr>
        <w:footnoteRef/>
      </w:r>
      <w:r w:rsidRPr="009C17CC">
        <w:rPr>
          <w:rStyle w:val="FootnoteReference"/>
        </w:rPr>
        <w:t xml:space="preserve"> </w:t>
      </w:r>
      <w:r w:rsidRPr="00F47B40">
        <w:rPr>
          <w:rStyle w:val="footnotetextChar0"/>
        </w:rPr>
        <w:tab/>
        <w:t xml:space="preserve">The DFAT aid publications webpage is currently located at: </w:t>
      </w:r>
      <w:hyperlink r:id="rId3" w:history="1">
        <w:r w:rsidRPr="00F47B40">
          <w:rPr>
            <w:rStyle w:val="footnotetextChar0"/>
          </w:rPr>
          <w:t>http://aid.dfat.gov.au/Publications/Pages/List.aspx?publicationcategory=Evaluation%20Reports</w:t>
        </w:r>
      </w:hyperlink>
      <w:r w:rsidRPr="00F47B40">
        <w:t xml:space="preserve">. </w:t>
      </w:r>
    </w:p>
  </w:footnote>
  <w:footnote w:id="56">
    <w:p w14:paraId="051D7897" w14:textId="77777777" w:rsidR="00147362" w:rsidRDefault="00147362" w:rsidP="00196528">
      <w:pPr>
        <w:pStyle w:val="FootnoteText"/>
      </w:pPr>
      <w:r>
        <w:rPr>
          <w:rStyle w:val="FootnoteReference"/>
        </w:rPr>
        <w:footnoteRef/>
      </w:r>
      <w:r>
        <w:t xml:space="preserve"> C</w:t>
      </w:r>
      <w:r>
        <w:rPr>
          <w:lang w:val="en-GB" w:eastAsia="en-GB"/>
        </w:rPr>
        <w:t>ompleted in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3011B" w14:textId="77777777" w:rsidR="00C04FFC" w:rsidRDefault="00C04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04976" w14:textId="77777777" w:rsidR="00C04FFC" w:rsidRDefault="00C04F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6DC8E" w14:textId="77777777" w:rsidR="00C04FFC" w:rsidRDefault="00C04F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03B96" w14:textId="77777777" w:rsidR="00147362" w:rsidRDefault="007C3830">
    <w:pPr>
      <w:pStyle w:val="Header"/>
    </w:pPr>
    <w:r>
      <w:fldChar w:fldCharType="begin"/>
    </w:r>
    <w:r>
      <w:instrText xml:space="preserve"> FILENAME   \* MERGEFORMAT </w:instrText>
    </w:r>
    <w:r>
      <w:fldChar w:fldCharType="separate"/>
    </w:r>
    <w:r w:rsidR="00147362">
      <w:rPr>
        <w:noProof/>
      </w:rPr>
      <w:t>Quality of Australian aid operational evaluations - FINAL.docx</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4A19E" w14:textId="77777777" w:rsidR="00147362" w:rsidRPr="00F3602E" w:rsidRDefault="00147362" w:rsidP="00F3602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1D674" w14:textId="77777777" w:rsidR="00147362" w:rsidRPr="00F3602E" w:rsidRDefault="00147362" w:rsidP="00F36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C09001B"/>
    <w:lvl w:ilvl="0">
      <w:start w:val="1"/>
      <w:numFmt w:val="lowerRoman"/>
      <w:pStyle w:val="Numberlist2"/>
      <w:lvlText w:val="%1."/>
      <w:lvlJc w:val="right"/>
      <w:pPr>
        <w:ind w:left="926" w:hanging="360"/>
      </w:pPr>
    </w:lvl>
  </w:abstractNum>
  <w:abstractNum w:abstractNumId="1">
    <w:nsid w:val="FFFFFF7F"/>
    <w:multiLevelType w:val="singleLevel"/>
    <w:tmpl w:val="815641AE"/>
    <w:lvl w:ilvl="0">
      <w:start w:val="1"/>
      <w:numFmt w:val="decimal"/>
      <w:pStyle w:val="NumberList3"/>
      <w:lvlText w:val="%1."/>
      <w:lvlJc w:val="left"/>
      <w:pPr>
        <w:tabs>
          <w:tab w:val="num" w:pos="643"/>
        </w:tabs>
        <w:ind w:left="643" w:hanging="360"/>
      </w:pPr>
    </w:lvl>
  </w:abstractNum>
  <w:abstractNum w:abstractNumId="2">
    <w:nsid w:val="00056976"/>
    <w:multiLevelType w:val="hybridMultilevel"/>
    <w:tmpl w:val="3AD8C940"/>
    <w:lvl w:ilvl="0" w:tplc="43B2909A">
      <w:start w:val="1"/>
      <w:numFmt w:val="decimal"/>
      <w:pStyle w:val="BoxListNumber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06971CA"/>
    <w:multiLevelType w:val="hybridMultilevel"/>
    <w:tmpl w:val="04B61190"/>
    <w:lvl w:ilvl="0" w:tplc="FD181C7A">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06E1813"/>
    <w:multiLevelType w:val="hybridMultilevel"/>
    <w:tmpl w:val="BD281A4A"/>
    <w:lvl w:ilvl="0" w:tplc="0C09000F">
      <w:start w:val="1"/>
      <w:numFmt w:val="decimal"/>
      <w:lvlText w:val="%1."/>
      <w:lvlJc w:val="left"/>
      <w:pPr>
        <w:tabs>
          <w:tab w:val="num" w:pos="360"/>
        </w:tabs>
        <w:ind w:left="360" w:hanging="360"/>
      </w:pPr>
      <w:rPr>
        <w:rFonts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20D66F2"/>
    <w:multiLevelType w:val="hybridMultilevel"/>
    <w:tmpl w:val="6BB8E278"/>
    <w:lvl w:ilvl="0" w:tplc="FA564518">
      <w:start w:val="1"/>
      <w:numFmt w:val="lowerLetter"/>
      <w:pStyle w:val="TableListNumber2"/>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nsid w:val="03D94539"/>
    <w:multiLevelType w:val="hybridMultilevel"/>
    <w:tmpl w:val="22463E60"/>
    <w:lvl w:ilvl="0" w:tplc="A8FC52A6">
      <w:start w:val="1"/>
      <w:numFmt w:val="lowerLetter"/>
      <w:pStyle w:val="BoxListNumber2"/>
      <w:lvlText w:val="%1."/>
      <w:lvlJc w:val="left"/>
      <w:pPr>
        <w:tabs>
          <w:tab w:val="num" w:pos="567"/>
        </w:tabs>
        <w:ind w:left="567" w:hanging="283"/>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5B2265E"/>
    <w:multiLevelType w:val="hybridMultilevel"/>
    <w:tmpl w:val="4CBC2486"/>
    <w:lvl w:ilvl="0" w:tplc="9C8E9EEE">
      <w:start w:val="1"/>
      <w:numFmt w:val="decimal"/>
      <w:lvlText w:val="9.%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81652CC"/>
    <w:multiLevelType w:val="hybridMultilevel"/>
    <w:tmpl w:val="F2F655F8"/>
    <w:lvl w:ilvl="0" w:tplc="884060DA">
      <w:start w:val="1"/>
      <w:numFmt w:val="bullet"/>
      <w:pStyle w:val="bodybullet"/>
      <w:lvlText w:val=""/>
      <w:lvlJc w:val="left"/>
      <w:pPr>
        <w:tabs>
          <w:tab w:val="num" w:pos="284"/>
        </w:tabs>
        <w:ind w:left="284" w:hanging="284"/>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093328C1"/>
    <w:multiLevelType w:val="hybridMultilevel"/>
    <w:tmpl w:val="81DC62F2"/>
    <w:lvl w:ilvl="0" w:tplc="FBB85202">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1">
    <w:nsid w:val="0C0D0F18"/>
    <w:multiLevelType w:val="hybridMultilevel"/>
    <w:tmpl w:val="205E0F1A"/>
    <w:lvl w:ilvl="0" w:tplc="19B82424">
      <w:start w:val="1"/>
      <w:numFmt w:val="decimal"/>
      <w:lvlText w:val="1.%1"/>
      <w:lvlJc w:val="left"/>
      <w:pPr>
        <w:ind w:left="720" w:hanging="360"/>
      </w:pPr>
      <w:rPr>
        <w:rFonts w:hint="default"/>
      </w:rPr>
    </w:lvl>
    <w:lvl w:ilvl="1" w:tplc="CF6A9CC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C2213FC"/>
    <w:multiLevelType w:val="hybridMultilevel"/>
    <w:tmpl w:val="B8C29C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0C566334"/>
    <w:multiLevelType w:val="hybridMultilevel"/>
    <w:tmpl w:val="AEB61F0E"/>
    <w:lvl w:ilvl="0" w:tplc="0D20CC90">
      <w:start w:val="1"/>
      <w:numFmt w:val="decimal"/>
      <w:lvlText w:val="5.%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0CB95276"/>
    <w:multiLevelType w:val="multilevel"/>
    <w:tmpl w:val="0809001F"/>
    <w:styleLink w:val="JSH"/>
    <w:lvl w:ilvl="0">
      <w:start w:val="1"/>
      <w:numFmt w:val="decimal"/>
      <w:lvlText w:val="%1."/>
      <w:lvlJc w:val="left"/>
      <w:pPr>
        <w:ind w:left="360" w:hanging="360"/>
      </w:pPr>
      <w:rPr>
        <w:rFonts w:asciiTheme="majorHAnsi" w:hAnsiTheme="majorHAnsi"/>
        <w:color w:val="F79646" w:themeColor="accent6"/>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CFF4386"/>
    <w:multiLevelType w:val="hybridMultilevel"/>
    <w:tmpl w:val="63C6181C"/>
    <w:lvl w:ilvl="0" w:tplc="19B82424">
      <w:start w:val="1"/>
      <w:numFmt w:val="decimal"/>
      <w:lvlText w:val="1.%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0D7452A2"/>
    <w:multiLevelType w:val="hybridMultilevel"/>
    <w:tmpl w:val="84701B52"/>
    <w:lvl w:ilvl="0" w:tplc="0C4E4E76">
      <w:start w:val="1"/>
      <w:numFmt w:val="bullet"/>
      <w:pStyle w:val="QuoteBullet"/>
      <w:lvlText w:val=""/>
      <w:lvlJc w:val="left"/>
      <w:pPr>
        <w:tabs>
          <w:tab w:val="num" w:pos="851"/>
        </w:tabs>
        <w:ind w:left="851" w:hanging="284"/>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D8F637F"/>
    <w:multiLevelType w:val="hybridMultilevel"/>
    <w:tmpl w:val="85D0DDDC"/>
    <w:lvl w:ilvl="0" w:tplc="0C09000F">
      <w:start w:val="1"/>
      <w:numFmt w:val="decimal"/>
      <w:lvlText w:val="%1."/>
      <w:lvlJc w:val="left"/>
      <w:pPr>
        <w:ind w:left="720" w:hanging="360"/>
      </w:pPr>
    </w:lvl>
    <w:lvl w:ilvl="1" w:tplc="CF6A9CC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0E9C2939"/>
    <w:multiLevelType w:val="hybridMultilevel"/>
    <w:tmpl w:val="626672F2"/>
    <w:lvl w:ilvl="0" w:tplc="B6B258D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0BB1556"/>
    <w:multiLevelType w:val="hybridMultilevel"/>
    <w:tmpl w:val="889E81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13694C35"/>
    <w:multiLevelType w:val="hybridMultilevel"/>
    <w:tmpl w:val="19CCEB60"/>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137B1CB1"/>
    <w:multiLevelType w:val="hybridMultilevel"/>
    <w:tmpl w:val="1BCEED34"/>
    <w:lvl w:ilvl="0" w:tplc="E5126550">
      <w:start w:val="1"/>
      <w:numFmt w:val="lowerLetter"/>
      <w:pStyle w:val="TableListNumber20"/>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3B7177D"/>
    <w:multiLevelType w:val="hybridMultilevel"/>
    <w:tmpl w:val="17D81F4E"/>
    <w:lvl w:ilvl="0" w:tplc="BEC655DA">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16B66A14"/>
    <w:multiLevelType w:val="hybridMultilevel"/>
    <w:tmpl w:val="2E4A4EC4"/>
    <w:lvl w:ilvl="0" w:tplc="E996C8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16BB4224"/>
    <w:multiLevelType w:val="hybridMultilevel"/>
    <w:tmpl w:val="0E427BCE"/>
    <w:lvl w:ilvl="0" w:tplc="63842D90">
      <w:start w:val="1"/>
      <w:numFmt w:val="bullet"/>
      <w:lvlText w:val="›"/>
      <w:lvlJc w:val="left"/>
      <w:pPr>
        <w:tabs>
          <w:tab w:val="num" w:pos="357"/>
        </w:tabs>
        <w:ind w:left="357" w:hanging="35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6CB1F2D"/>
    <w:multiLevelType w:val="hybridMultilevel"/>
    <w:tmpl w:val="7CBCA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17D9194A"/>
    <w:multiLevelType w:val="hybridMultilevel"/>
    <w:tmpl w:val="C8088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1873274F"/>
    <w:multiLevelType w:val="hybridMultilevel"/>
    <w:tmpl w:val="91D89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187449B9"/>
    <w:multiLevelType w:val="hybridMultilevel"/>
    <w:tmpl w:val="15E418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1A317670"/>
    <w:multiLevelType w:val="hybridMultilevel"/>
    <w:tmpl w:val="62025120"/>
    <w:lvl w:ilvl="0" w:tplc="9C8E9EEE">
      <w:start w:val="1"/>
      <w:numFmt w:val="decimal"/>
      <w:lvlText w:val="9.%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1C701AE9"/>
    <w:multiLevelType w:val="hybridMultilevel"/>
    <w:tmpl w:val="A1861090"/>
    <w:lvl w:ilvl="0" w:tplc="0936D832">
      <w:start w:val="1"/>
      <w:numFmt w:val="decimal"/>
      <w:lvlRestart w:val="0"/>
      <w:pStyle w:val="BoxListNumber"/>
      <w:lvlText w:val="%1."/>
      <w:lvlJc w:val="left"/>
      <w:pPr>
        <w:tabs>
          <w:tab w:val="num" w:pos="284"/>
        </w:tabs>
        <w:ind w:left="284" w:hanging="28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D1C7795"/>
    <w:multiLevelType w:val="hybridMultilevel"/>
    <w:tmpl w:val="B54A7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1D4C3152"/>
    <w:multiLevelType w:val="hybridMultilevel"/>
    <w:tmpl w:val="B64AC264"/>
    <w:lvl w:ilvl="0" w:tplc="0E0E6DB6">
      <w:start w:val="1"/>
      <w:numFmt w:val="bullet"/>
      <w:lvlText w:val=""/>
      <w:lvlJc w:val="left"/>
      <w:pPr>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F5410F7"/>
    <w:multiLevelType w:val="hybridMultilevel"/>
    <w:tmpl w:val="A44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1F5D5D07"/>
    <w:multiLevelType w:val="hybridMultilevel"/>
    <w:tmpl w:val="533CB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01036FE"/>
    <w:multiLevelType w:val="hybridMultilevel"/>
    <w:tmpl w:val="D3AAD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5264A5A"/>
    <w:multiLevelType w:val="hybridMultilevel"/>
    <w:tmpl w:val="D466F466"/>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2F2882A6">
      <w:start w:val="1"/>
      <w:numFmt w:val="bullet"/>
      <w:lvlText w:val="-"/>
      <w:lvlJc w:val="left"/>
      <w:pPr>
        <w:tabs>
          <w:tab w:val="num" w:pos="1648"/>
        </w:tabs>
        <w:ind w:left="1648" w:hanging="284"/>
      </w:pPr>
      <w:rPr>
        <w:rFonts w:ascii="Times New Roman" w:eastAsia="Times New Roman" w:hAnsi="Times New Roman" w:cs="Times New Roman" w:hint="default"/>
        <w:color w:val="auto"/>
        <w:sz w:val="20"/>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Times New Roman"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Times New Roman"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37">
    <w:nsid w:val="25FC5EFF"/>
    <w:multiLevelType w:val="hybridMultilevel"/>
    <w:tmpl w:val="38A0C8C6"/>
    <w:lvl w:ilvl="0" w:tplc="69FE925C">
      <w:start w:val="1"/>
      <w:numFmt w:val="bullet"/>
      <w:pStyle w:val="QuoteBullet0"/>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nsid w:val="26386CBF"/>
    <w:multiLevelType w:val="hybridMultilevel"/>
    <w:tmpl w:val="3F5C1F6E"/>
    <w:lvl w:ilvl="0" w:tplc="E996C8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26444535"/>
    <w:multiLevelType w:val="hybridMultilevel"/>
    <w:tmpl w:val="62389554"/>
    <w:lvl w:ilvl="0" w:tplc="9C8E9EEE">
      <w:start w:val="1"/>
      <w:numFmt w:val="decimal"/>
      <w:lvlText w:val="9.%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27BC1207"/>
    <w:multiLevelType w:val="hybridMultilevel"/>
    <w:tmpl w:val="6FEE93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285A451C"/>
    <w:multiLevelType w:val="hybridMultilevel"/>
    <w:tmpl w:val="4FE223FA"/>
    <w:lvl w:ilvl="0" w:tplc="52724718">
      <w:start w:val="1"/>
      <w:numFmt w:val="decimal"/>
      <w:lvlText w:val="6.%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290606B5"/>
    <w:multiLevelType w:val="hybridMultilevel"/>
    <w:tmpl w:val="F614F2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nsid w:val="29891E82"/>
    <w:multiLevelType w:val="hybridMultilevel"/>
    <w:tmpl w:val="F5705176"/>
    <w:lvl w:ilvl="0" w:tplc="FD6A9906">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2A3448B9"/>
    <w:multiLevelType w:val="hybridMultilevel"/>
    <w:tmpl w:val="4EB0387E"/>
    <w:lvl w:ilvl="0" w:tplc="7D1C2A58">
      <w:start w:val="1"/>
      <w:numFmt w:val="decimal"/>
      <w:lvlText w:val="7.%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2DFE20F5"/>
    <w:multiLevelType w:val="hybridMultilevel"/>
    <w:tmpl w:val="62389554"/>
    <w:lvl w:ilvl="0" w:tplc="9C8E9EEE">
      <w:start w:val="1"/>
      <w:numFmt w:val="decimal"/>
      <w:lvlText w:val="9.%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nsid w:val="2FA7518C"/>
    <w:multiLevelType w:val="hybridMultilevel"/>
    <w:tmpl w:val="801E6FC8"/>
    <w:lvl w:ilvl="0" w:tplc="F7644254">
      <w:start w:val="1"/>
      <w:numFmt w:val="decimal"/>
      <w:lvlText w:val="3.%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7">
    <w:nsid w:val="30B4147A"/>
    <w:multiLevelType w:val="hybridMultilevel"/>
    <w:tmpl w:val="6C0434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30B977A9"/>
    <w:multiLevelType w:val="hybridMultilevel"/>
    <w:tmpl w:val="26E8F2B0"/>
    <w:lvl w:ilvl="0" w:tplc="9C8E9EEE">
      <w:start w:val="1"/>
      <w:numFmt w:val="decimal"/>
      <w:lvlText w:val="9.%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nsid w:val="325774AA"/>
    <w:multiLevelType w:val="hybridMultilevel"/>
    <w:tmpl w:val="129AFE2E"/>
    <w:lvl w:ilvl="0" w:tplc="B972EED4">
      <w:start w:val="1"/>
      <w:numFmt w:val="bullet"/>
      <w:pStyle w:val="TableListBullet"/>
      <w:lvlText w:val=""/>
      <w:lvlJc w:val="left"/>
      <w:pPr>
        <w:tabs>
          <w:tab w:val="num" w:pos="284"/>
        </w:tabs>
        <w:ind w:left="284" w:hanging="284"/>
      </w:pPr>
      <w:rPr>
        <w:rFonts w:ascii="Symbol" w:hAnsi="Symbol" w:hint="default"/>
        <w:color w:val="auto"/>
        <w:spacing w:val="0"/>
        <w:w w:val="100"/>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32B879D7"/>
    <w:multiLevelType w:val="multilevel"/>
    <w:tmpl w:val="B6D4831A"/>
    <w:styleLink w:val="Outlinebullets"/>
    <w:lvl w:ilvl="0">
      <w:start w:val="1"/>
      <w:numFmt w:val="bullet"/>
      <w:lvlText w:val=""/>
      <w:lvlJc w:val="left"/>
      <w:pPr>
        <w:tabs>
          <w:tab w:val="num" w:pos="284"/>
        </w:tabs>
        <w:ind w:left="284" w:hanging="284"/>
      </w:pPr>
      <w:rPr>
        <w:rFonts w:ascii="Wingdings 3" w:hAnsi="Wingdings 3"/>
        <w:spacing w:val="2"/>
        <w:w w:val="103"/>
        <w:sz w:val="22"/>
      </w:rPr>
    </w:lvl>
    <w:lvl w:ilvl="1">
      <w:start w:val="1"/>
      <w:numFmt w:val="bullet"/>
      <w:lvlText w:val=""/>
      <w:lvlJc w:val="left"/>
      <w:pPr>
        <w:tabs>
          <w:tab w:val="num" w:pos="567"/>
        </w:tabs>
        <w:ind w:left="567" w:hanging="283"/>
      </w:pPr>
      <w:rPr>
        <w:rFonts w:ascii="Wingdings 3" w:hAnsi="Wingdings 3" w:hint="default"/>
        <w:color w:val="auto"/>
      </w:rPr>
    </w:lvl>
    <w:lvl w:ilvl="2">
      <w:start w:val="1"/>
      <w:numFmt w:val="bullet"/>
      <w:lvlText w:val=""/>
      <w:lvlJc w:val="left"/>
      <w:pPr>
        <w:tabs>
          <w:tab w:val="num" w:pos="1080"/>
        </w:tabs>
        <w:ind w:left="1080" w:hanging="360"/>
      </w:pPr>
      <w:rPr>
        <w:rFonts w:ascii="Wingdings 3" w:hAnsi="Wingdings 3" w:hint="default"/>
        <w:color w:val="auto"/>
      </w:rPr>
    </w:lvl>
    <w:lvl w:ilvl="3">
      <w:start w:val="1"/>
      <w:numFmt w:val="bullet"/>
      <w:lvlText w:val=""/>
      <w:lvlJc w:val="left"/>
      <w:pPr>
        <w:tabs>
          <w:tab w:val="num" w:pos="1440"/>
        </w:tabs>
        <w:ind w:left="1440" w:hanging="360"/>
      </w:pPr>
      <w:rPr>
        <w:rFonts w:ascii="Wingdings 3" w:hAnsi="Wingdings 3" w:hint="default"/>
        <w:color w:val="auto"/>
      </w:rPr>
    </w:lvl>
    <w:lvl w:ilvl="4">
      <w:start w:val="1"/>
      <w:numFmt w:val="none"/>
      <w:lvlText w:val=""/>
      <w:lvlJc w:val="left"/>
      <w:pPr>
        <w:tabs>
          <w:tab w:val="num" w:pos="1800"/>
        </w:tabs>
        <w:ind w:left="1800" w:hanging="360"/>
      </w:pPr>
      <w:rPr>
        <w:rFonts w:hint="default"/>
        <w:b w:val="0"/>
        <w:i/>
      </w:rPr>
    </w:lvl>
    <w:lvl w:ilvl="5">
      <w:start w:val="1"/>
      <w:numFmt w:val="bullet"/>
      <w:lvlText w:val=""/>
      <w:lvlJc w:val="left"/>
      <w:pPr>
        <w:tabs>
          <w:tab w:val="num" w:pos="2160"/>
        </w:tabs>
        <w:ind w:left="2160" w:hanging="360"/>
      </w:pPr>
      <w:rPr>
        <w:rFonts w:ascii="Wingdings 3" w:hAnsi="Wingdings 3" w:hint="default"/>
        <w:color w:val="auto"/>
      </w:rPr>
    </w:lvl>
    <w:lvl w:ilvl="6">
      <w:start w:val="1"/>
      <w:numFmt w:val="bullet"/>
      <w:lvlText w:val=""/>
      <w:lvlJc w:val="left"/>
      <w:pPr>
        <w:tabs>
          <w:tab w:val="num" w:pos="2520"/>
        </w:tabs>
        <w:ind w:left="2520" w:hanging="360"/>
      </w:pPr>
      <w:rPr>
        <w:rFonts w:ascii="Wingdings 3" w:hAnsi="Wingdings 3" w:hint="default"/>
        <w:color w:val="auto"/>
      </w:rPr>
    </w:lvl>
    <w:lvl w:ilvl="7">
      <w:start w:val="1"/>
      <w:numFmt w:val="none"/>
      <w:lvlText w:val=""/>
      <w:lvlJc w:val="left"/>
      <w:pPr>
        <w:tabs>
          <w:tab w:val="num" w:pos="2880"/>
        </w:tabs>
        <w:ind w:left="2880" w:hanging="360"/>
      </w:pPr>
      <w:rPr>
        <w:rFonts w:ascii="Arial" w:hAnsi="Arial" w:hint="default"/>
        <w:b w:val="0"/>
        <w:i/>
      </w:rPr>
    </w:lvl>
    <w:lvl w:ilvl="8">
      <w:start w:val="1"/>
      <w:numFmt w:val="none"/>
      <w:lvlText w:val="%9"/>
      <w:lvlJc w:val="left"/>
      <w:pPr>
        <w:tabs>
          <w:tab w:val="num" w:pos="3240"/>
        </w:tabs>
        <w:ind w:left="3240" w:hanging="360"/>
      </w:pPr>
      <w:rPr>
        <w:rFonts w:ascii="Rockwell" w:hAnsi="Rockwell" w:hint="default"/>
      </w:rPr>
    </w:lvl>
  </w:abstractNum>
  <w:abstractNum w:abstractNumId="51">
    <w:nsid w:val="33200626"/>
    <w:multiLevelType w:val="hybridMultilevel"/>
    <w:tmpl w:val="3FA02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3369062D"/>
    <w:multiLevelType w:val="hybridMultilevel"/>
    <w:tmpl w:val="36D03192"/>
    <w:lvl w:ilvl="0" w:tplc="3544DA3A">
      <w:start w:val="1"/>
      <w:numFmt w:val="decimal"/>
      <w:lvlText w:val="%1."/>
      <w:lvlJc w:val="left"/>
      <w:pPr>
        <w:ind w:left="720" w:hanging="360"/>
      </w:pPr>
      <w:rPr>
        <w:rFonts w:hint="default"/>
      </w:rPr>
    </w:lvl>
    <w:lvl w:ilvl="1" w:tplc="CF6A9CC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33BE385E"/>
    <w:multiLevelType w:val="hybridMultilevel"/>
    <w:tmpl w:val="36FE050A"/>
    <w:lvl w:ilvl="0" w:tplc="1E700BF8">
      <w:start w:val="1"/>
      <w:numFmt w:val="decimal"/>
      <w:lvlText w:val="4.%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nsid w:val="33D36B43"/>
    <w:multiLevelType w:val="hybridMultilevel"/>
    <w:tmpl w:val="84F8B4C8"/>
    <w:lvl w:ilvl="0" w:tplc="D8F6EF76">
      <w:start w:val="1"/>
      <w:numFmt w:val="bullet"/>
      <w:pStyle w:val="Box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34444BA1"/>
    <w:multiLevelType w:val="hybridMultilevel"/>
    <w:tmpl w:val="49E4141C"/>
    <w:lvl w:ilvl="0" w:tplc="C7EE9B2A">
      <w:start w:val="1"/>
      <w:numFmt w:val="bullet"/>
      <w:pStyle w:val="ListBullet2"/>
      <w:lvlText w:val="–"/>
      <w:lvlJc w:val="left"/>
      <w:pPr>
        <w:tabs>
          <w:tab w:val="num" w:pos="567"/>
        </w:tabs>
        <w:ind w:left="567" w:hanging="283"/>
      </w:pPr>
      <w:rPr>
        <w:rFonts w:hint="default"/>
        <w:color w:val="auto"/>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E366EAD"/>
    <w:multiLevelType w:val="hybridMultilevel"/>
    <w:tmpl w:val="879250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3E7B3011"/>
    <w:multiLevelType w:val="hybridMultilevel"/>
    <w:tmpl w:val="794CB8BC"/>
    <w:lvl w:ilvl="0" w:tplc="CD4EE638">
      <w:start w:val="1"/>
      <w:numFmt w:val="bullet"/>
      <w:pStyle w:val="Itadbulletpoints"/>
      <w:lvlText w:val=""/>
      <w:lvlJc w:val="left"/>
      <w:pPr>
        <w:ind w:left="284" w:hanging="284"/>
      </w:pPr>
      <w:rPr>
        <w:rFonts w:ascii="Symbol" w:hAnsi="Symbol" w:hint="default"/>
        <w:color w:val="E4782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FBE16AD"/>
    <w:multiLevelType w:val="hybridMultilevel"/>
    <w:tmpl w:val="25708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1675C12"/>
    <w:multiLevelType w:val="hybridMultilevel"/>
    <w:tmpl w:val="DCE844DC"/>
    <w:lvl w:ilvl="0" w:tplc="69F078F0">
      <w:start w:val="1"/>
      <w:numFmt w:val="decimal"/>
      <w:lvlText w:val="%1."/>
      <w:lvlJc w:val="left"/>
      <w:pPr>
        <w:tabs>
          <w:tab w:val="num" w:pos="284"/>
        </w:tabs>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42087D42"/>
    <w:multiLevelType w:val="hybridMultilevel"/>
    <w:tmpl w:val="1632DCE8"/>
    <w:lvl w:ilvl="0" w:tplc="E1F647D4">
      <w:start w:val="1"/>
      <w:numFmt w:val="decimal"/>
      <w:pStyle w:val="Table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4209146E"/>
    <w:multiLevelType w:val="hybridMultilevel"/>
    <w:tmpl w:val="D27C5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42173E8D"/>
    <w:multiLevelType w:val="hybridMultilevel"/>
    <w:tmpl w:val="B00C662C"/>
    <w:lvl w:ilvl="0" w:tplc="A79EC4F8">
      <w:start w:val="1"/>
      <w:numFmt w:val="bullet"/>
      <w:lvlText w:val="•"/>
      <w:lvlJc w:val="left"/>
      <w:pPr>
        <w:tabs>
          <w:tab w:val="num" w:pos="360"/>
        </w:tabs>
        <w:ind w:left="36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nsid w:val="447A4958"/>
    <w:multiLevelType w:val="hybridMultilevel"/>
    <w:tmpl w:val="504CD70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nsid w:val="462F4A0B"/>
    <w:multiLevelType w:val="hybridMultilevel"/>
    <w:tmpl w:val="AD52AE40"/>
    <w:lvl w:ilvl="0" w:tplc="46908ECC">
      <w:start w:val="1"/>
      <w:numFmt w:val="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nsid w:val="47152815"/>
    <w:multiLevelType w:val="hybridMultilevel"/>
    <w:tmpl w:val="BD281A4A"/>
    <w:lvl w:ilvl="0" w:tplc="0C09000F">
      <w:start w:val="1"/>
      <w:numFmt w:val="decimal"/>
      <w:lvlText w:val="%1."/>
      <w:lvlJc w:val="left"/>
      <w:pPr>
        <w:tabs>
          <w:tab w:val="num" w:pos="360"/>
        </w:tabs>
        <w:ind w:left="360" w:hanging="360"/>
      </w:pPr>
      <w:rPr>
        <w:rFonts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nsid w:val="47C5141D"/>
    <w:multiLevelType w:val="hybridMultilevel"/>
    <w:tmpl w:val="AF46A886"/>
    <w:lvl w:ilvl="0" w:tplc="7F1487F6">
      <w:start w:val="1"/>
      <w:numFmt w:val="lowerLetter"/>
      <w:pStyle w:val="BoxListNumber20"/>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47E55361"/>
    <w:multiLevelType w:val="hybridMultilevel"/>
    <w:tmpl w:val="E39ECA52"/>
    <w:lvl w:ilvl="0" w:tplc="49FA75EC">
      <w:start w:val="1"/>
      <w:numFmt w:val="decimal"/>
      <w:pStyle w:val="Itadheading1"/>
      <w:lvlText w:val="%1."/>
      <w:lvlJc w:val="left"/>
      <w:pPr>
        <w:ind w:left="74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68">
    <w:nsid w:val="4ABB286A"/>
    <w:multiLevelType w:val="hybridMultilevel"/>
    <w:tmpl w:val="45760E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nsid w:val="4AEF7B03"/>
    <w:multiLevelType w:val="hybridMultilevel"/>
    <w:tmpl w:val="CB1C8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4B0418F7"/>
    <w:multiLevelType w:val="hybridMultilevel"/>
    <w:tmpl w:val="3FD2D9F8"/>
    <w:lvl w:ilvl="0" w:tplc="587042D8">
      <w:start w:val="1"/>
      <w:numFmt w:val="bullet"/>
      <w:pStyle w:val="TableListBullet2"/>
      <w:lvlText w:val="–"/>
      <w:lvlJc w:val="left"/>
      <w:pPr>
        <w:tabs>
          <w:tab w:val="num" w:pos="567"/>
        </w:tabs>
        <w:ind w:left="567" w:hanging="283"/>
      </w:pPr>
      <w:rPr>
        <w:rFonts w:hint="default"/>
        <w:color w:val="auto"/>
      </w:rPr>
    </w:lvl>
    <w:lvl w:ilvl="1" w:tplc="E596520E" w:tentative="1">
      <w:start w:val="1"/>
      <w:numFmt w:val="bullet"/>
      <w:lvlText w:val="o"/>
      <w:lvlJc w:val="left"/>
      <w:pPr>
        <w:tabs>
          <w:tab w:val="num" w:pos="1440"/>
        </w:tabs>
        <w:ind w:left="1440" w:hanging="360"/>
      </w:pPr>
      <w:rPr>
        <w:rFonts w:ascii="Courier New" w:hAnsi="Courier New" w:cs="Courier New" w:hint="default"/>
      </w:rPr>
    </w:lvl>
    <w:lvl w:ilvl="2" w:tplc="3B7E9B22" w:tentative="1">
      <w:start w:val="1"/>
      <w:numFmt w:val="bullet"/>
      <w:lvlText w:val=""/>
      <w:lvlJc w:val="left"/>
      <w:pPr>
        <w:tabs>
          <w:tab w:val="num" w:pos="2160"/>
        </w:tabs>
        <w:ind w:left="2160" w:hanging="360"/>
      </w:pPr>
      <w:rPr>
        <w:rFonts w:ascii="Wingdings" w:hAnsi="Wingdings" w:hint="default"/>
      </w:rPr>
    </w:lvl>
    <w:lvl w:ilvl="3" w:tplc="0214134C" w:tentative="1">
      <w:start w:val="1"/>
      <w:numFmt w:val="bullet"/>
      <w:lvlText w:val=""/>
      <w:lvlJc w:val="left"/>
      <w:pPr>
        <w:tabs>
          <w:tab w:val="num" w:pos="2880"/>
        </w:tabs>
        <w:ind w:left="2880" w:hanging="360"/>
      </w:pPr>
      <w:rPr>
        <w:rFonts w:ascii="Symbol" w:hAnsi="Symbol" w:hint="default"/>
      </w:rPr>
    </w:lvl>
    <w:lvl w:ilvl="4" w:tplc="B916F99C" w:tentative="1">
      <w:start w:val="1"/>
      <w:numFmt w:val="bullet"/>
      <w:lvlText w:val="o"/>
      <w:lvlJc w:val="left"/>
      <w:pPr>
        <w:tabs>
          <w:tab w:val="num" w:pos="3600"/>
        </w:tabs>
        <w:ind w:left="3600" w:hanging="360"/>
      </w:pPr>
      <w:rPr>
        <w:rFonts w:ascii="Courier New" w:hAnsi="Courier New" w:cs="Courier New" w:hint="default"/>
      </w:rPr>
    </w:lvl>
    <w:lvl w:ilvl="5" w:tplc="9BF0B0AE" w:tentative="1">
      <w:start w:val="1"/>
      <w:numFmt w:val="bullet"/>
      <w:lvlText w:val=""/>
      <w:lvlJc w:val="left"/>
      <w:pPr>
        <w:tabs>
          <w:tab w:val="num" w:pos="4320"/>
        </w:tabs>
        <w:ind w:left="4320" w:hanging="360"/>
      </w:pPr>
      <w:rPr>
        <w:rFonts w:ascii="Wingdings" w:hAnsi="Wingdings" w:hint="default"/>
      </w:rPr>
    </w:lvl>
    <w:lvl w:ilvl="6" w:tplc="ADBCAC1C" w:tentative="1">
      <w:start w:val="1"/>
      <w:numFmt w:val="bullet"/>
      <w:lvlText w:val=""/>
      <w:lvlJc w:val="left"/>
      <w:pPr>
        <w:tabs>
          <w:tab w:val="num" w:pos="5040"/>
        </w:tabs>
        <w:ind w:left="5040" w:hanging="360"/>
      </w:pPr>
      <w:rPr>
        <w:rFonts w:ascii="Symbol" w:hAnsi="Symbol" w:hint="default"/>
      </w:rPr>
    </w:lvl>
    <w:lvl w:ilvl="7" w:tplc="2ADCB080" w:tentative="1">
      <w:start w:val="1"/>
      <w:numFmt w:val="bullet"/>
      <w:lvlText w:val="o"/>
      <w:lvlJc w:val="left"/>
      <w:pPr>
        <w:tabs>
          <w:tab w:val="num" w:pos="5760"/>
        </w:tabs>
        <w:ind w:left="5760" w:hanging="360"/>
      </w:pPr>
      <w:rPr>
        <w:rFonts w:ascii="Courier New" w:hAnsi="Courier New" w:cs="Courier New" w:hint="default"/>
      </w:rPr>
    </w:lvl>
    <w:lvl w:ilvl="8" w:tplc="AE54723C" w:tentative="1">
      <w:start w:val="1"/>
      <w:numFmt w:val="bullet"/>
      <w:lvlText w:val=""/>
      <w:lvlJc w:val="left"/>
      <w:pPr>
        <w:tabs>
          <w:tab w:val="num" w:pos="6480"/>
        </w:tabs>
        <w:ind w:left="6480" w:hanging="360"/>
      </w:pPr>
      <w:rPr>
        <w:rFonts w:ascii="Wingdings" w:hAnsi="Wingdings" w:hint="default"/>
      </w:rPr>
    </w:lvl>
  </w:abstractNum>
  <w:abstractNum w:abstractNumId="71">
    <w:nsid w:val="4E100756"/>
    <w:multiLevelType w:val="hybridMultilevel"/>
    <w:tmpl w:val="4C943610"/>
    <w:lvl w:ilvl="0" w:tplc="9586D7A6">
      <w:start w:val="1"/>
      <w:numFmt w:val="decimal"/>
      <w:pStyle w:val="Table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4ECD633D"/>
    <w:multiLevelType w:val="hybridMultilevel"/>
    <w:tmpl w:val="26E8F2B0"/>
    <w:lvl w:ilvl="0" w:tplc="9C8E9EEE">
      <w:start w:val="1"/>
      <w:numFmt w:val="decimal"/>
      <w:lvlText w:val="9.%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nsid w:val="4F953E2A"/>
    <w:multiLevelType w:val="hybridMultilevel"/>
    <w:tmpl w:val="CC740780"/>
    <w:lvl w:ilvl="0" w:tplc="39A4C794">
      <w:start w:val="1"/>
      <w:numFmt w:val="bullet"/>
      <w:pStyle w:val="ListBullet"/>
      <w:lvlText w:val=""/>
      <w:lvlJc w:val="left"/>
      <w:pPr>
        <w:tabs>
          <w:tab w:val="num" w:pos="284"/>
        </w:tabs>
        <w:ind w:left="284" w:hanging="284"/>
      </w:pPr>
      <w:rPr>
        <w:rFonts w:ascii="Symbol" w:hAnsi="Symbol" w:hint="default"/>
        <w:color w:val="auto"/>
        <w:position w:val="0"/>
      </w:rPr>
    </w:lvl>
    <w:lvl w:ilvl="1" w:tplc="FAAA09AE" w:tentative="1">
      <w:start w:val="1"/>
      <w:numFmt w:val="bullet"/>
      <w:lvlText w:val="o"/>
      <w:lvlJc w:val="left"/>
      <w:pPr>
        <w:tabs>
          <w:tab w:val="num" w:pos="1440"/>
        </w:tabs>
        <w:ind w:left="1440" w:hanging="360"/>
      </w:pPr>
      <w:rPr>
        <w:rFonts w:ascii="Courier New" w:hAnsi="Courier New" w:cs="Courier New" w:hint="default"/>
      </w:rPr>
    </w:lvl>
    <w:lvl w:ilvl="2" w:tplc="9DBA5554" w:tentative="1">
      <w:start w:val="1"/>
      <w:numFmt w:val="bullet"/>
      <w:lvlText w:val=""/>
      <w:lvlJc w:val="left"/>
      <w:pPr>
        <w:tabs>
          <w:tab w:val="num" w:pos="2160"/>
        </w:tabs>
        <w:ind w:left="2160" w:hanging="360"/>
      </w:pPr>
      <w:rPr>
        <w:rFonts w:ascii="Wingdings" w:hAnsi="Wingdings" w:hint="default"/>
      </w:rPr>
    </w:lvl>
    <w:lvl w:ilvl="3" w:tplc="F9E8DF42" w:tentative="1">
      <w:start w:val="1"/>
      <w:numFmt w:val="bullet"/>
      <w:lvlText w:val=""/>
      <w:lvlJc w:val="left"/>
      <w:pPr>
        <w:tabs>
          <w:tab w:val="num" w:pos="2880"/>
        </w:tabs>
        <w:ind w:left="2880" w:hanging="360"/>
      </w:pPr>
      <w:rPr>
        <w:rFonts w:ascii="Symbol" w:hAnsi="Symbol" w:hint="default"/>
      </w:rPr>
    </w:lvl>
    <w:lvl w:ilvl="4" w:tplc="904AF4AC" w:tentative="1">
      <w:start w:val="1"/>
      <w:numFmt w:val="bullet"/>
      <w:lvlText w:val="o"/>
      <w:lvlJc w:val="left"/>
      <w:pPr>
        <w:tabs>
          <w:tab w:val="num" w:pos="3600"/>
        </w:tabs>
        <w:ind w:left="3600" w:hanging="360"/>
      </w:pPr>
      <w:rPr>
        <w:rFonts w:ascii="Courier New" w:hAnsi="Courier New" w:cs="Courier New" w:hint="default"/>
      </w:rPr>
    </w:lvl>
    <w:lvl w:ilvl="5" w:tplc="31643B92" w:tentative="1">
      <w:start w:val="1"/>
      <w:numFmt w:val="bullet"/>
      <w:lvlText w:val=""/>
      <w:lvlJc w:val="left"/>
      <w:pPr>
        <w:tabs>
          <w:tab w:val="num" w:pos="4320"/>
        </w:tabs>
        <w:ind w:left="4320" w:hanging="360"/>
      </w:pPr>
      <w:rPr>
        <w:rFonts w:ascii="Wingdings" w:hAnsi="Wingdings" w:hint="default"/>
      </w:rPr>
    </w:lvl>
    <w:lvl w:ilvl="6" w:tplc="B1466E46" w:tentative="1">
      <w:start w:val="1"/>
      <w:numFmt w:val="bullet"/>
      <w:lvlText w:val=""/>
      <w:lvlJc w:val="left"/>
      <w:pPr>
        <w:tabs>
          <w:tab w:val="num" w:pos="5040"/>
        </w:tabs>
        <w:ind w:left="5040" w:hanging="360"/>
      </w:pPr>
      <w:rPr>
        <w:rFonts w:ascii="Symbol" w:hAnsi="Symbol" w:hint="default"/>
      </w:rPr>
    </w:lvl>
    <w:lvl w:ilvl="7" w:tplc="FA00548A" w:tentative="1">
      <w:start w:val="1"/>
      <w:numFmt w:val="bullet"/>
      <w:lvlText w:val="o"/>
      <w:lvlJc w:val="left"/>
      <w:pPr>
        <w:tabs>
          <w:tab w:val="num" w:pos="5760"/>
        </w:tabs>
        <w:ind w:left="5760" w:hanging="360"/>
      </w:pPr>
      <w:rPr>
        <w:rFonts w:ascii="Courier New" w:hAnsi="Courier New" w:cs="Courier New" w:hint="default"/>
      </w:rPr>
    </w:lvl>
    <w:lvl w:ilvl="8" w:tplc="B638EFBA" w:tentative="1">
      <w:start w:val="1"/>
      <w:numFmt w:val="bullet"/>
      <w:lvlText w:val=""/>
      <w:lvlJc w:val="left"/>
      <w:pPr>
        <w:tabs>
          <w:tab w:val="num" w:pos="6480"/>
        </w:tabs>
        <w:ind w:left="6480" w:hanging="360"/>
      </w:pPr>
      <w:rPr>
        <w:rFonts w:ascii="Wingdings" w:hAnsi="Wingdings" w:hint="default"/>
      </w:rPr>
    </w:lvl>
  </w:abstractNum>
  <w:abstractNum w:abstractNumId="74">
    <w:nsid w:val="505937CF"/>
    <w:multiLevelType w:val="hybridMultilevel"/>
    <w:tmpl w:val="1C2C32D6"/>
    <w:lvl w:ilvl="0" w:tplc="7D1C2A58">
      <w:start w:val="1"/>
      <w:numFmt w:val="decimal"/>
      <w:lvlText w:val="7.%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5">
    <w:nsid w:val="52F37AA8"/>
    <w:multiLevelType w:val="hybridMultilevel"/>
    <w:tmpl w:val="8176030C"/>
    <w:lvl w:ilvl="0" w:tplc="ACFA9CFC">
      <w:start w:val="1"/>
      <w:numFmt w:val="decimal"/>
      <w:pStyle w:val="TableListNumber0"/>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54127EA3"/>
    <w:multiLevelType w:val="hybridMultilevel"/>
    <w:tmpl w:val="8CD2E994"/>
    <w:lvl w:ilvl="0" w:tplc="BC1041F4">
      <w:start w:val="1"/>
      <w:numFmt w:val="bullet"/>
      <w:pStyle w:val="BoxListBullet"/>
      <w:lvlText w:val=""/>
      <w:lvlJc w:val="left"/>
      <w:pPr>
        <w:tabs>
          <w:tab w:val="num" w:pos="284"/>
        </w:tabs>
        <w:ind w:left="284" w:hanging="284"/>
      </w:pPr>
      <w:rPr>
        <w:rFonts w:ascii="Symbol" w:hAnsi="Symbol" w:hint="default"/>
        <w:b w:val="0"/>
        <w:i w:val="0"/>
        <w:color w:val="auto"/>
        <w:spacing w:val="0"/>
        <w:w w:val="100"/>
        <w:position w:val="0"/>
        <w:sz w:val="19"/>
        <w:szCs w:val="19"/>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7">
    <w:nsid w:val="54F51594"/>
    <w:multiLevelType w:val="hybridMultilevel"/>
    <w:tmpl w:val="2BCA53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8">
    <w:nsid w:val="55282CE3"/>
    <w:multiLevelType w:val="hybridMultilevel"/>
    <w:tmpl w:val="552CE42C"/>
    <w:lvl w:ilvl="0" w:tplc="6FEC3EFA">
      <w:start w:val="1"/>
      <w:numFmt w:val="decimal"/>
      <w:lvlText w:val="2.%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9">
    <w:nsid w:val="565E2D0D"/>
    <w:multiLevelType w:val="multilevel"/>
    <w:tmpl w:val="F2B4AC84"/>
    <w:lvl w:ilvl="0">
      <w:start w:val="1"/>
      <w:numFmt w:val="bullet"/>
      <w:pStyle w:val="IODPARCBullets"/>
      <w:lvlText w:val=""/>
      <w:lvlJc w:val="left"/>
      <w:pPr>
        <w:ind w:left="360" w:hanging="360"/>
      </w:pPr>
      <w:rPr>
        <w:rFonts w:ascii="Symbol" w:hAnsi="Symbol" w:hint="default"/>
        <w:b w:val="0"/>
        <w:i w:val="0"/>
        <w:color w:val="CCCC00"/>
        <w:sz w:val="28"/>
        <w:szCs w:val="22"/>
      </w:rPr>
    </w:lvl>
    <w:lvl w:ilvl="1">
      <w:start w:val="1"/>
      <w:numFmt w:val="bullet"/>
      <w:lvlText w:val=""/>
      <w:lvlJc w:val="left"/>
      <w:pPr>
        <w:ind w:left="284" w:hanging="114"/>
      </w:pPr>
      <w:rPr>
        <w:rFonts w:ascii="Wingdings" w:hAnsi="Wingdings" w:hint="default"/>
        <w:b w:val="0"/>
        <w:i w:val="0"/>
        <w:color w:val="666666"/>
        <w:sz w:val="18"/>
      </w:rPr>
    </w:lvl>
    <w:lvl w:ilvl="2">
      <w:start w:val="1"/>
      <w:numFmt w:val="bullet"/>
      <w:lvlText w:val="-"/>
      <w:lvlJc w:val="left"/>
      <w:pPr>
        <w:ind w:left="851" w:hanging="284"/>
      </w:pPr>
      <w:rPr>
        <w:rFonts w:ascii="Georgia" w:hAnsi="Georgia" w:hint="default"/>
        <w:color w:val="666666"/>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8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nsid w:val="5DD45DF0"/>
    <w:multiLevelType w:val="hybridMultilevel"/>
    <w:tmpl w:val="236EB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5DEE4C6E"/>
    <w:multiLevelType w:val="hybridMultilevel"/>
    <w:tmpl w:val="AD38A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nsid w:val="60ED392A"/>
    <w:multiLevelType w:val="hybridMultilevel"/>
    <w:tmpl w:val="7DA6C50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nsid w:val="62005F02"/>
    <w:multiLevelType w:val="multilevel"/>
    <w:tmpl w:val="1DCEF05E"/>
    <w:lvl w:ilvl="0">
      <w:start w:val="1"/>
      <w:numFmt w:val="decimal"/>
      <w:pStyle w:val="Level1"/>
      <w:lvlText w:val="%1."/>
      <w:lvlJc w:val="left"/>
      <w:pPr>
        <w:tabs>
          <w:tab w:val="num" w:pos="720"/>
        </w:tabs>
        <w:ind w:left="720" w:hanging="720"/>
      </w:pPr>
      <w:rPr>
        <w:rFonts w:ascii="Palatino" w:hAnsi="Palatino" w:hint="default"/>
        <w:b w:val="0"/>
        <w:i w:val="0"/>
        <w:sz w:val="22"/>
      </w:rPr>
    </w:lvl>
    <w:lvl w:ilvl="1">
      <w:start w:val="1"/>
      <w:numFmt w:val="decimal"/>
      <w:pStyle w:val="Level11"/>
      <w:lvlText w:val="%1.%2"/>
      <w:lvlJc w:val="left"/>
      <w:pPr>
        <w:tabs>
          <w:tab w:val="num" w:pos="720"/>
        </w:tabs>
        <w:ind w:left="720" w:hanging="706"/>
      </w:pPr>
      <w:rPr>
        <w:rFonts w:ascii="Palatino" w:hAnsi="Palatino" w:hint="default"/>
        <w:b w:val="0"/>
        <w:i w:val="0"/>
        <w:sz w:val="22"/>
      </w:rPr>
    </w:lvl>
    <w:lvl w:ilvl="2">
      <w:start w:val="1"/>
      <w:numFmt w:val="lowerLetter"/>
      <w:pStyle w:val="Levela"/>
      <w:lvlText w:val="(%3)"/>
      <w:lvlJc w:val="left"/>
      <w:pPr>
        <w:tabs>
          <w:tab w:val="num" w:pos="1440"/>
        </w:tabs>
        <w:ind w:left="1440" w:hanging="720"/>
      </w:pPr>
      <w:rPr>
        <w:rFonts w:ascii="Palatino" w:hAnsi="Palatino" w:hint="default"/>
        <w:b w:val="0"/>
        <w:i w:val="0"/>
        <w:sz w:val="22"/>
      </w:rPr>
    </w:lvl>
    <w:lvl w:ilvl="3">
      <w:start w:val="1"/>
      <w:numFmt w:val="lowerRoman"/>
      <w:pStyle w:val="Leveli"/>
      <w:lvlText w:val="(%4)"/>
      <w:lvlJc w:val="left"/>
      <w:pPr>
        <w:tabs>
          <w:tab w:val="num" w:pos="2160"/>
        </w:tabs>
        <w:ind w:left="2160" w:hanging="720"/>
      </w:pPr>
      <w:rPr>
        <w:rFonts w:ascii="Palatino" w:hAnsi="Palatino" w:hint="default"/>
        <w:b w:val="0"/>
        <w:i w:val="0"/>
        <w:sz w:val="22"/>
      </w:rPr>
    </w:lvl>
    <w:lvl w:ilvl="4">
      <w:start w:val="1"/>
      <w:numFmt w:val="upperLetter"/>
      <w:pStyle w:val="PlainText"/>
      <w:lvlText w:val="(%5)"/>
      <w:lvlJc w:val="left"/>
      <w:pPr>
        <w:tabs>
          <w:tab w:val="num" w:pos="2880"/>
        </w:tabs>
        <w:ind w:left="2880" w:hanging="720"/>
      </w:pPr>
      <w:rPr>
        <w:rFonts w:ascii="Palatino" w:hAnsi="Palatino" w:hint="default"/>
        <w:b w:val="0"/>
        <w:i w:val="0"/>
        <w:sz w:val="22"/>
      </w:rPr>
    </w:lvl>
    <w:lvl w:ilvl="5">
      <w:start w:val="1"/>
      <w:numFmt w:val="upperRoman"/>
      <w:pStyle w:val="LevelA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5">
    <w:nsid w:val="629C4B68"/>
    <w:multiLevelType w:val="hybridMultilevel"/>
    <w:tmpl w:val="26F61D5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nsid w:val="629D64DD"/>
    <w:multiLevelType w:val="hybridMultilevel"/>
    <w:tmpl w:val="159EA5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63B96FC8"/>
    <w:multiLevelType w:val="hybridMultilevel"/>
    <w:tmpl w:val="504CD70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nsid w:val="64CE045F"/>
    <w:multiLevelType w:val="hybridMultilevel"/>
    <w:tmpl w:val="E5569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66A63BE4"/>
    <w:multiLevelType w:val="hybridMultilevel"/>
    <w:tmpl w:val="67FEEBEC"/>
    <w:lvl w:ilvl="0" w:tplc="52724718">
      <w:start w:val="1"/>
      <w:numFmt w:val="decimal"/>
      <w:lvlText w:val="6.%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1">
    <w:nsid w:val="66C55035"/>
    <w:multiLevelType w:val="hybridMultilevel"/>
    <w:tmpl w:val="2A86C7EC"/>
    <w:lvl w:ilvl="0" w:tplc="322C114C">
      <w:start w:val="1"/>
      <w:numFmt w:val="bullet"/>
      <w:pStyle w:val="Tablebullet"/>
      <w:lvlText w:val="›"/>
      <w:lvlJc w:val="left"/>
      <w:pPr>
        <w:ind w:left="360" w:hanging="360"/>
      </w:pPr>
      <w:rPr>
        <w:rFonts w:ascii="Times New Roman" w:hAnsi="Times New Roman" w:cs="Times New Roman" w:hint="default"/>
        <w:color w:val="auto"/>
        <w:spacing w:val="0"/>
        <w:w w:val="100"/>
        <w:position w:val="3"/>
      </w:rPr>
    </w:lvl>
    <w:lvl w:ilvl="1" w:tplc="DD1C3B26" w:tentative="1">
      <w:start w:val="1"/>
      <w:numFmt w:val="bullet"/>
      <w:lvlText w:val="o"/>
      <w:lvlJc w:val="left"/>
      <w:pPr>
        <w:tabs>
          <w:tab w:val="num" w:pos="1440"/>
        </w:tabs>
        <w:ind w:left="1440" w:hanging="360"/>
      </w:pPr>
      <w:rPr>
        <w:rFonts w:ascii="Courier New" w:hAnsi="Courier New" w:cs="Wingdings"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cs="Wingdings"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cs="Wingdings"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92">
    <w:nsid w:val="66E1246F"/>
    <w:multiLevelType w:val="hybridMultilevel"/>
    <w:tmpl w:val="A686FA22"/>
    <w:lvl w:ilvl="0" w:tplc="01D472D0">
      <w:start w:val="1"/>
      <w:numFmt w:val="lowerLetter"/>
      <w:pStyle w:val="ListNumber2"/>
      <w:lvlText w:val="%1."/>
      <w:lvlJc w:val="left"/>
      <w:pPr>
        <w:tabs>
          <w:tab w:val="num" w:pos="567"/>
        </w:tabs>
        <w:ind w:left="567" w:hanging="283"/>
      </w:pPr>
      <w:rPr>
        <w:rFonts w:hint="default"/>
        <w:color w:val="auto"/>
        <w:position w:val="0"/>
      </w:rPr>
    </w:lvl>
    <w:lvl w:ilvl="1" w:tplc="3A8EDDBA" w:tentative="1">
      <w:start w:val="1"/>
      <w:numFmt w:val="bullet"/>
      <w:lvlText w:val="o"/>
      <w:lvlJc w:val="left"/>
      <w:pPr>
        <w:tabs>
          <w:tab w:val="num" w:pos="1440"/>
        </w:tabs>
        <w:ind w:left="1440" w:hanging="360"/>
      </w:pPr>
      <w:rPr>
        <w:rFonts w:ascii="Courier New" w:hAnsi="Courier New" w:cs="Courier New" w:hint="default"/>
      </w:rPr>
    </w:lvl>
    <w:lvl w:ilvl="2" w:tplc="A1C22FF0" w:tentative="1">
      <w:start w:val="1"/>
      <w:numFmt w:val="bullet"/>
      <w:lvlText w:val=""/>
      <w:lvlJc w:val="left"/>
      <w:pPr>
        <w:tabs>
          <w:tab w:val="num" w:pos="2160"/>
        </w:tabs>
        <w:ind w:left="2160" w:hanging="360"/>
      </w:pPr>
      <w:rPr>
        <w:rFonts w:ascii="Wingdings" w:hAnsi="Wingdings" w:hint="default"/>
      </w:rPr>
    </w:lvl>
    <w:lvl w:ilvl="3" w:tplc="8AF6940A" w:tentative="1">
      <w:start w:val="1"/>
      <w:numFmt w:val="bullet"/>
      <w:lvlText w:val=""/>
      <w:lvlJc w:val="left"/>
      <w:pPr>
        <w:tabs>
          <w:tab w:val="num" w:pos="2880"/>
        </w:tabs>
        <w:ind w:left="2880" w:hanging="360"/>
      </w:pPr>
      <w:rPr>
        <w:rFonts w:ascii="Symbol" w:hAnsi="Symbol" w:hint="default"/>
      </w:rPr>
    </w:lvl>
    <w:lvl w:ilvl="4" w:tplc="CA1067F8" w:tentative="1">
      <w:start w:val="1"/>
      <w:numFmt w:val="bullet"/>
      <w:lvlText w:val="o"/>
      <w:lvlJc w:val="left"/>
      <w:pPr>
        <w:tabs>
          <w:tab w:val="num" w:pos="3600"/>
        </w:tabs>
        <w:ind w:left="3600" w:hanging="360"/>
      </w:pPr>
      <w:rPr>
        <w:rFonts w:ascii="Courier New" w:hAnsi="Courier New" w:cs="Courier New" w:hint="default"/>
      </w:rPr>
    </w:lvl>
    <w:lvl w:ilvl="5" w:tplc="11A4018E" w:tentative="1">
      <w:start w:val="1"/>
      <w:numFmt w:val="bullet"/>
      <w:lvlText w:val=""/>
      <w:lvlJc w:val="left"/>
      <w:pPr>
        <w:tabs>
          <w:tab w:val="num" w:pos="4320"/>
        </w:tabs>
        <w:ind w:left="4320" w:hanging="360"/>
      </w:pPr>
      <w:rPr>
        <w:rFonts w:ascii="Wingdings" w:hAnsi="Wingdings" w:hint="default"/>
      </w:rPr>
    </w:lvl>
    <w:lvl w:ilvl="6" w:tplc="E986382A" w:tentative="1">
      <w:start w:val="1"/>
      <w:numFmt w:val="bullet"/>
      <w:lvlText w:val=""/>
      <w:lvlJc w:val="left"/>
      <w:pPr>
        <w:tabs>
          <w:tab w:val="num" w:pos="5040"/>
        </w:tabs>
        <w:ind w:left="5040" w:hanging="360"/>
      </w:pPr>
      <w:rPr>
        <w:rFonts w:ascii="Symbol" w:hAnsi="Symbol" w:hint="default"/>
      </w:rPr>
    </w:lvl>
    <w:lvl w:ilvl="7" w:tplc="34FE3D92" w:tentative="1">
      <w:start w:val="1"/>
      <w:numFmt w:val="bullet"/>
      <w:lvlText w:val="o"/>
      <w:lvlJc w:val="left"/>
      <w:pPr>
        <w:tabs>
          <w:tab w:val="num" w:pos="5760"/>
        </w:tabs>
        <w:ind w:left="5760" w:hanging="360"/>
      </w:pPr>
      <w:rPr>
        <w:rFonts w:ascii="Courier New" w:hAnsi="Courier New" w:cs="Courier New" w:hint="default"/>
      </w:rPr>
    </w:lvl>
    <w:lvl w:ilvl="8" w:tplc="9EA4A9C4" w:tentative="1">
      <w:start w:val="1"/>
      <w:numFmt w:val="bullet"/>
      <w:lvlText w:val=""/>
      <w:lvlJc w:val="left"/>
      <w:pPr>
        <w:tabs>
          <w:tab w:val="num" w:pos="6480"/>
        </w:tabs>
        <w:ind w:left="6480" w:hanging="360"/>
      </w:pPr>
      <w:rPr>
        <w:rFonts w:ascii="Wingdings" w:hAnsi="Wingdings" w:hint="default"/>
      </w:rPr>
    </w:lvl>
  </w:abstractNum>
  <w:abstractNum w:abstractNumId="93">
    <w:nsid w:val="68BA7166"/>
    <w:multiLevelType w:val="hybridMultilevel"/>
    <w:tmpl w:val="38D0D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nsid w:val="692A366A"/>
    <w:multiLevelType w:val="hybridMultilevel"/>
    <w:tmpl w:val="64162B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nsid w:val="69842C3C"/>
    <w:multiLevelType w:val="hybridMultilevel"/>
    <w:tmpl w:val="66BCC7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6">
    <w:nsid w:val="6BF97A39"/>
    <w:multiLevelType w:val="hybridMultilevel"/>
    <w:tmpl w:val="67E2DFC8"/>
    <w:lvl w:ilvl="0" w:tplc="B1ACAE4E">
      <w:start w:val="1"/>
      <w:numFmt w:val="decimal"/>
      <w:lvlText w:val="6.%1"/>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7">
    <w:nsid w:val="6CDA3FFD"/>
    <w:multiLevelType w:val="hybridMultilevel"/>
    <w:tmpl w:val="874834E0"/>
    <w:lvl w:ilvl="0" w:tplc="EC08B32E">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nsid w:val="6CDE50FE"/>
    <w:multiLevelType w:val="hybridMultilevel"/>
    <w:tmpl w:val="5860CF1E"/>
    <w:lvl w:ilvl="0" w:tplc="53F4437A">
      <w:start w:val="1"/>
      <w:numFmt w:val="decimal"/>
      <w:pStyle w:val="Numb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nsid w:val="6F572B06"/>
    <w:multiLevelType w:val="hybridMultilevel"/>
    <w:tmpl w:val="F4307968"/>
    <w:lvl w:ilvl="0" w:tplc="278CB2C2">
      <w:start w:val="1"/>
      <w:numFmt w:val="bullet"/>
      <w:pStyle w:val="List1"/>
      <w:lvlText w:val=""/>
      <w:lvlJc w:val="left"/>
      <w:pPr>
        <w:tabs>
          <w:tab w:val="num" w:pos="7231"/>
        </w:tabs>
        <w:ind w:left="7231" w:hanging="284"/>
      </w:pPr>
      <w:rPr>
        <w:rFonts w:ascii="Symbol" w:hAnsi="Symbol" w:hint="default"/>
      </w:rPr>
    </w:lvl>
    <w:lvl w:ilvl="1" w:tplc="47F4B984">
      <w:start w:val="1"/>
      <w:numFmt w:val="bullet"/>
      <w:lvlText w:val=""/>
      <w:lvlJc w:val="left"/>
      <w:pPr>
        <w:tabs>
          <w:tab w:val="num" w:pos="567"/>
        </w:tabs>
        <w:ind w:left="567" w:hanging="283"/>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0">
    <w:nsid w:val="70B050AE"/>
    <w:multiLevelType w:val="hybridMultilevel"/>
    <w:tmpl w:val="AD9A8CE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1">
    <w:nsid w:val="70F122AE"/>
    <w:multiLevelType w:val="hybridMultilevel"/>
    <w:tmpl w:val="03BC8416"/>
    <w:lvl w:ilvl="0" w:tplc="9C8E9EEE">
      <w:start w:val="1"/>
      <w:numFmt w:val="decimal"/>
      <w:lvlText w:val="9.%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2">
    <w:nsid w:val="71A10E69"/>
    <w:multiLevelType w:val="singleLevel"/>
    <w:tmpl w:val="11DEC4B4"/>
    <w:lvl w:ilvl="0">
      <w:start w:val="1"/>
      <w:numFmt w:val="lowerLetter"/>
      <w:lvlRestart w:val="0"/>
      <w:pStyle w:val="NoteNumber"/>
      <w:lvlText w:val="%1"/>
      <w:lvlJc w:val="left"/>
      <w:pPr>
        <w:tabs>
          <w:tab w:val="num" w:pos="170"/>
        </w:tabs>
        <w:ind w:left="0" w:firstLine="0"/>
      </w:pPr>
      <w:rPr>
        <w:rFonts w:hint="default"/>
        <w:b w:val="0"/>
        <w:i w:val="0"/>
        <w:color w:val="4F5150"/>
        <w:position w:val="4"/>
        <w:sz w:val="16"/>
        <w:szCs w:val="16"/>
      </w:rPr>
    </w:lvl>
  </w:abstractNum>
  <w:abstractNum w:abstractNumId="103">
    <w:nsid w:val="72767C4F"/>
    <w:multiLevelType w:val="hybridMultilevel"/>
    <w:tmpl w:val="8B7CB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nsid w:val="741A5699"/>
    <w:multiLevelType w:val="hybridMultilevel"/>
    <w:tmpl w:val="9BB28F66"/>
    <w:lvl w:ilvl="0" w:tplc="9C8E9EEE">
      <w:start w:val="1"/>
      <w:numFmt w:val="decimal"/>
      <w:lvlText w:val="9.%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5">
    <w:nsid w:val="75313036"/>
    <w:multiLevelType w:val="multilevel"/>
    <w:tmpl w:val="F808D96E"/>
    <w:lvl w:ilvl="0">
      <w:start w:val="1"/>
      <w:numFmt w:val="decimal"/>
      <w:pStyle w:val="ListNumber"/>
      <w:lvlText w:val="%1."/>
      <w:lvlJc w:val="left"/>
      <w:pPr>
        <w:tabs>
          <w:tab w:val="num" w:pos="1004"/>
        </w:tabs>
        <w:ind w:left="1004" w:hanging="284"/>
      </w:pPr>
      <w:rPr>
        <w:rFonts w:hint="default"/>
      </w:rPr>
    </w:lvl>
    <w:lvl w:ilvl="1">
      <w:start w:val="1"/>
      <w:numFmt w:val="decimal"/>
      <w:lvlText w:val="6.%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6">
    <w:nsid w:val="75A63DD4"/>
    <w:multiLevelType w:val="hybridMultilevel"/>
    <w:tmpl w:val="3E661E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7">
    <w:nsid w:val="78D26DB1"/>
    <w:multiLevelType w:val="hybridMultilevel"/>
    <w:tmpl w:val="BEB2310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8">
    <w:nsid w:val="78E81FDC"/>
    <w:multiLevelType w:val="hybridMultilevel"/>
    <w:tmpl w:val="A3BCDF96"/>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9">
    <w:nsid w:val="7B80219E"/>
    <w:multiLevelType w:val="hybridMultilevel"/>
    <w:tmpl w:val="AEB61F0E"/>
    <w:lvl w:ilvl="0" w:tplc="0D20CC90">
      <w:start w:val="1"/>
      <w:numFmt w:val="decimal"/>
      <w:lvlText w:val="5.%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0">
    <w:nsid w:val="7C505236"/>
    <w:multiLevelType w:val="hybridMultilevel"/>
    <w:tmpl w:val="D1E4BBBE"/>
    <w:lvl w:ilvl="0" w:tplc="A97EC904">
      <w:start w:val="1"/>
      <w:numFmt w:val="decimal"/>
      <w:lvlText w:val="8.%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nsid w:val="7D895045"/>
    <w:multiLevelType w:val="hybridMultilevel"/>
    <w:tmpl w:val="E460C918"/>
    <w:lvl w:ilvl="0" w:tplc="46581372">
      <w:start w:val="1"/>
      <w:numFmt w:val="decimal"/>
      <w:pStyle w:val="Itadnumbers"/>
      <w:lvlText w:val="%1."/>
      <w:lvlJc w:val="left"/>
      <w:pPr>
        <w:ind w:left="360" w:hanging="360"/>
      </w:pPr>
      <w:rPr>
        <w:rFonts w:hint="default"/>
        <w:color w:val="73B63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EC23710"/>
    <w:multiLevelType w:val="hybridMultilevel"/>
    <w:tmpl w:val="1F740A1E"/>
    <w:lvl w:ilvl="0" w:tplc="205E12C2">
      <w:start w:val="1"/>
      <w:numFmt w:val="bullet"/>
      <w:pStyle w:val="BoxListBullet2"/>
      <w:lvlText w:val="–"/>
      <w:lvlJc w:val="left"/>
      <w:pPr>
        <w:tabs>
          <w:tab w:val="num" w:pos="567"/>
        </w:tabs>
        <w:ind w:left="567" w:hanging="283"/>
      </w:pPr>
      <w:rPr>
        <w:rFonts w:ascii="Arial" w:hAnsi="Arial" w:hint="default"/>
        <w:b w:val="0"/>
        <w:i w:val="0"/>
        <w:color w:val="7C3D00"/>
        <w:position w:val="0"/>
        <w:sz w:val="20"/>
        <w:szCs w:val="20"/>
      </w:rPr>
    </w:lvl>
    <w:lvl w:ilvl="1" w:tplc="22546ABA" w:tentative="1">
      <w:start w:val="1"/>
      <w:numFmt w:val="bullet"/>
      <w:lvlText w:val="o"/>
      <w:lvlJc w:val="left"/>
      <w:pPr>
        <w:tabs>
          <w:tab w:val="num" w:pos="1440"/>
        </w:tabs>
        <w:ind w:left="1440" w:hanging="360"/>
      </w:pPr>
      <w:rPr>
        <w:rFonts w:ascii="Courier New" w:hAnsi="Courier New" w:cs="Courier New" w:hint="default"/>
      </w:rPr>
    </w:lvl>
    <w:lvl w:ilvl="2" w:tplc="F7367AC0" w:tentative="1">
      <w:start w:val="1"/>
      <w:numFmt w:val="bullet"/>
      <w:lvlText w:val=""/>
      <w:lvlJc w:val="left"/>
      <w:pPr>
        <w:tabs>
          <w:tab w:val="num" w:pos="2160"/>
        </w:tabs>
        <w:ind w:left="2160" w:hanging="360"/>
      </w:pPr>
      <w:rPr>
        <w:rFonts w:ascii="Wingdings" w:hAnsi="Wingdings" w:hint="default"/>
      </w:rPr>
    </w:lvl>
    <w:lvl w:ilvl="3" w:tplc="858A6D72" w:tentative="1">
      <w:start w:val="1"/>
      <w:numFmt w:val="bullet"/>
      <w:lvlText w:val=""/>
      <w:lvlJc w:val="left"/>
      <w:pPr>
        <w:tabs>
          <w:tab w:val="num" w:pos="2880"/>
        </w:tabs>
        <w:ind w:left="2880" w:hanging="360"/>
      </w:pPr>
      <w:rPr>
        <w:rFonts w:ascii="Symbol" w:hAnsi="Symbol" w:hint="default"/>
      </w:rPr>
    </w:lvl>
    <w:lvl w:ilvl="4" w:tplc="2DAECCF0" w:tentative="1">
      <w:start w:val="1"/>
      <w:numFmt w:val="bullet"/>
      <w:lvlText w:val="o"/>
      <w:lvlJc w:val="left"/>
      <w:pPr>
        <w:tabs>
          <w:tab w:val="num" w:pos="3600"/>
        </w:tabs>
        <w:ind w:left="3600" w:hanging="360"/>
      </w:pPr>
      <w:rPr>
        <w:rFonts w:ascii="Courier New" w:hAnsi="Courier New" w:cs="Courier New" w:hint="default"/>
      </w:rPr>
    </w:lvl>
    <w:lvl w:ilvl="5" w:tplc="92C4DD04" w:tentative="1">
      <w:start w:val="1"/>
      <w:numFmt w:val="bullet"/>
      <w:lvlText w:val=""/>
      <w:lvlJc w:val="left"/>
      <w:pPr>
        <w:tabs>
          <w:tab w:val="num" w:pos="4320"/>
        </w:tabs>
        <w:ind w:left="4320" w:hanging="360"/>
      </w:pPr>
      <w:rPr>
        <w:rFonts w:ascii="Wingdings" w:hAnsi="Wingdings" w:hint="default"/>
      </w:rPr>
    </w:lvl>
    <w:lvl w:ilvl="6" w:tplc="7792C266" w:tentative="1">
      <w:start w:val="1"/>
      <w:numFmt w:val="bullet"/>
      <w:lvlText w:val=""/>
      <w:lvlJc w:val="left"/>
      <w:pPr>
        <w:tabs>
          <w:tab w:val="num" w:pos="5040"/>
        </w:tabs>
        <w:ind w:left="5040" w:hanging="360"/>
      </w:pPr>
      <w:rPr>
        <w:rFonts w:ascii="Symbol" w:hAnsi="Symbol" w:hint="default"/>
      </w:rPr>
    </w:lvl>
    <w:lvl w:ilvl="7" w:tplc="5B901882" w:tentative="1">
      <w:start w:val="1"/>
      <w:numFmt w:val="bullet"/>
      <w:lvlText w:val="o"/>
      <w:lvlJc w:val="left"/>
      <w:pPr>
        <w:tabs>
          <w:tab w:val="num" w:pos="5760"/>
        </w:tabs>
        <w:ind w:left="5760" w:hanging="360"/>
      </w:pPr>
      <w:rPr>
        <w:rFonts w:ascii="Courier New" w:hAnsi="Courier New" w:cs="Courier New" w:hint="default"/>
      </w:rPr>
    </w:lvl>
    <w:lvl w:ilvl="8" w:tplc="8A6E0C10" w:tentative="1">
      <w:start w:val="1"/>
      <w:numFmt w:val="bullet"/>
      <w:lvlText w:val=""/>
      <w:lvlJc w:val="left"/>
      <w:pPr>
        <w:tabs>
          <w:tab w:val="num" w:pos="6480"/>
        </w:tabs>
        <w:ind w:left="6480" w:hanging="360"/>
      </w:pPr>
      <w:rPr>
        <w:rFonts w:ascii="Wingdings" w:hAnsi="Wingdings" w:hint="default"/>
      </w:rPr>
    </w:lvl>
  </w:abstractNum>
  <w:abstractNum w:abstractNumId="113">
    <w:nsid w:val="7F7A528B"/>
    <w:multiLevelType w:val="hybridMultilevel"/>
    <w:tmpl w:val="9FFE4304"/>
    <w:lvl w:ilvl="0" w:tplc="774ABA18">
      <w:start w:val="1"/>
      <w:numFmt w:val="bullet"/>
      <w:pStyle w:val="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4">
    <w:nsid w:val="7FF94B03"/>
    <w:multiLevelType w:val="hybridMultilevel"/>
    <w:tmpl w:val="CD0CC0D6"/>
    <w:lvl w:ilvl="0" w:tplc="2CBA6B4E">
      <w:start w:val="1"/>
      <w:numFmt w:val="decimal"/>
      <w:lvlText w:val="%1."/>
      <w:lvlJc w:val="left"/>
      <w:pPr>
        <w:ind w:left="720" w:hanging="360"/>
      </w:pPr>
      <w:rPr>
        <w:rFonts w:hint="default"/>
      </w:rPr>
    </w:lvl>
    <w:lvl w:ilvl="1" w:tplc="CF6A9CC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4"/>
  </w:num>
  <w:num w:numId="2">
    <w:abstractNumId w:val="80"/>
  </w:num>
  <w:num w:numId="3">
    <w:abstractNumId w:val="108"/>
  </w:num>
  <w:num w:numId="4">
    <w:abstractNumId w:val="8"/>
  </w:num>
  <w:num w:numId="5">
    <w:abstractNumId w:val="3"/>
  </w:num>
  <w:num w:numId="6">
    <w:abstractNumId w:val="87"/>
  </w:num>
  <w:num w:numId="7">
    <w:abstractNumId w:val="37"/>
  </w:num>
  <w:num w:numId="8">
    <w:abstractNumId w:val="24"/>
  </w:num>
  <w:num w:numId="9">
    <w:abstractNumId w:val="60"/>
  </w:num>
  <w:num w:numId="10">
    <w:abstractNumId w:val="2"/>
  </w:num>
  <w:num w:numId="11">
    <w:abstractNumId w:val="66"/>
  </w:num>
  <w:num w:numId="12">
    <w:abstractNumId w:val="71"/>
  </w:num>
  <w:num w:numId="13">
    <w:abstractNumId w:val="5"/>
  </w:num>
  <w:num w:numId="14">
    <w:abstractNumId w:val="76"/>
  </w:num>
  <w:num w:numId="15">
    <w:abstractNumId w:val="112"/>
  </w:num>
  <w:num w:numId="16">
    <w:abstractNumId w:val="30"/>
  </w:num>
  <w:num w:numId="17">
    <w:abstractNumId w:val="6"/>
  </w:num>
  <w:num w:numId="18">
    <w:abstractNumId w:val="73"/>
  </w:num>
  <w:num w:numId="19">
    <w:abstractNumId w:val="55"/>
  </w:num>
  <w:num w:numId="20">
    <w:abstractNumId w:val="92"/>
  </w:num>
  <w:num w:numId="21">
    <w:abstractNumId w:val="102"/>
  </w:num>
  <w:num w:numId="22">
    <w:abstractNumId w:val="16"/>
  </w:num>
  <w:num w:numId="23">
    <w:abstractNumId w:val="49"/>
  </w:num>
  <w:num w:numId="24">
    <w:abstractNumId w:val="70"/>
  </w:num>
  <w:num w:numId="25">
    <w:abstractNumId w:val="75"/>
  </w:num>
  <w:num w:numId="26">
    <w:abstractNumId w:val="21"/>
  </w:num>
  <w:num w:numId="27">
    <w:abstractNumId w:val="79"/>
  </w:num>
  <w:num w:numId="28">
    <w:abstractNumId w:val="99"/>
  </w:num>
  <w:num w:numId="29">
    <w:abstractNumId w:val="14"/>
  </w:num>
  <w:num w:numId="30">
    <w:abstractNumId w:val="9"/>
  </w:num>
  <w:num w:numId="31">
    <w:abstractNumId w:val="84"/>
  </w:num>
  <w:num w:numId="32">
    <w:abstractNumId w:val="111"/>
  </w:num>
  <w:num w:numId="33">
    <w:abstractNumId w:val="67"/>
  </w:num>
  <w:num w:numId="34">
    <w:abstractNumId w:val="57"/>
  </w:num>
  <w:num w:numId="35">
    <w:abstractNumId w:val="36"/>
  </w:num>
  <w:num w:numId="36">
    <w:abstractNumId w:val="50"/>
  </w:num>
  <w:num w:numId="37">
    <w:abstractNumId w:val="17"/>
  </w:num>
  <w:num w:numId="38">
    <w:abstractNumId w:val="32"/>
  </w:num>
  <w:num w:numId="39">
    <w:abstractNumId w:val="61"/>
  </w:num>
  <w:num w:numId="40">
    <w:abstractNumId w:val="59"/>
  </w:num>
  <w:num w:numId="41">
    <w:abstractNumId w:val="47"/>
  </w:num>
  <w:num w:numId="42">
    <w:abstractNumId w:val="11"/>
  </w:num>
  <w:num w:numId="43">
    <w:abstractNumId w:val="96"/>
  </w:num>
  <w:num w:numId="44">
    <w:abstractNumId w:val="81"/>
  </w:num>
  <w:num w:numId="45">
    <w:abstractNumId w:val="105"/>
  </w:num>
  <w:num w:numId="46">
    <w:abstractNumId w:val="114"/>
  </w:num>
  <w:num w:numId="47">
    <w:abstractNumId w:val="52"/>
  </w:num>
  <w:num w:numId="48">
    <w:abstractNumId w:val="15"/>
  </w:num>
  <w:num w:numId="49">
    <w:abstractNumId w:val="78"/>
  </w:num>
  <w:num w:numId="50">
    <w:abstractNumId w:val="46"/>
  </w:num>
  <w:num w:numId="51">
    <w:abstractNumId w:val="53"/>
  </w:num>
  <w:num w:numId="52">
    <w:abstractNumId w:val="109"/>
  </w:num>
  <w:num w:numId="53">
    <w:abstractNumId w:val="74"/>
  </w:num>
  <w:num w:numId="54">
    <w:abstractNumId w:val="110"/>
  </w:num>
  <w:num w:numId="55">
    <w:abstractNumId w:val="39"/>
  </w:num>
  <w:num w:numId="56">
    <w:abstractNumId w:val="90"/>
  </w:num>
  <w:num w:numId="57">
    <w:abstractNumId w:val="86"/>
  </w:num>
  <w:num w:numId="58">
    <w:abstractNumId w:val="27"/>
  </w:num>
  <w:num w:numId="59">
    <w:abstractNumId w:val="97"/>
  </w:num>
  <w:num w:numId="60">
    <w:abstractNumId w:val="48"/>
  </w:num>
  <w:num w:numId="61">
    <w:abstractNumId w:val="62"/>
  </w:num>
  <w:num w:numId="62">
    <w:abstractNumId w:val="35"/>
  </w:num>
  <w:num w:numId="63">
    <w:abstractNumId w:val="72"/>
  </w:num>
  <w:num w:numId="64">
    <w:abstractNumId w:val="101"/>
  </w:num>
  <w:num w:numId="65">
    <w:abstractNumId w:val="29"/>
  </w:num>
  <w:num w:numId="66">
    <w:abstractNumId w:val="69"/>
  </w:num>
  <w:num w:numId="67">
    <w:abstractNumId w:val="89"/>
  </w:num>
  <w:num w:numId="68">
    <w:abstractNumId w:val="41"/>
  </w:num>
  <w:num w:numId="69">
    <w:abstractNumId w:val="19"/>
  </w:num>
  <w:num w:numId="70">
    <w:abstractNumId w:val="65"/>
  </w:num>
  <w:num w:numId="71">
    <w:abstractNumId w:val="82"/>
  </w:num>
  <w:num w:numId="72">
    <w:abstractNumId w:val="108"/>
  </w:num>
  <w:num w:numId="73">
    <w:abstractNumId w:val="33"/>
  </w:num>
  <w:num w:numId="74">
    <w:abstractNumId w:val="68"/>
  </w:num>
  <w:num w:numId="75">
    <w:abstractNumId w:val="105"/>
  </w:num>
  <w:num w:numId="76">
    <w:abstractNumId w:val="7"/>
  </w:num>
  <w:num w:numId="77">
    <w:abstractNumId w:val="38"/>
  </w:num>
  <w:num w:numId="78">
    <w:abstractNumId w:val="34"/>
  </w:num>
  <w:num w:numId="79">
    <w:abstractNumId w:val="100"/>
  </w:num>
  <w:num w:numId="80">
    <w:abstractNumId w:val="26"/>
  </w:num>
  <w:num w:numId="81">
    <w:abstractNumId w:val="103"/>
  </w:num>
  <w:num w:numId="82">
    <w:abstractNumId w:val="31"/>
  </w:num>
  <w:num w:numId="83">
    <w:abstractNumId w:val="40"/>
  </w:num>
  <w:num w:numId="84">
    <w:abstractNumId w:val="45"/>
  </w:num>
  <w:num w:numId="85">
    <w:abstractNumId w:val="23"/>
  </w:num>
  <w:num w:numId="86">
    <w:abstractNumId w:val="20"/>
  </w:num>
  <w:num w:numId="87">
    <w:abstractNumId w:val="77"/>
  </w:num>
  <w:num w:numId="88">
    <w:abstractNumId w:val="13"/>
  </w:num>
  <w:num w:numId="89">
    <w:abstractNumId w:val="98"/>
  </w:num>
  <w:num w:numId="90">
    <w:abstractNumId w:val="107"/>
  </w:num>
  <w:num w:numId="91">
    <w:abstractNumId w:val="12"/>
  </w:num>
  <w:num w:numId="92">
    <w:abstractNumId w:val="106"/>
  </w:num>
  <w:num w:numId="93">
    <w:abstractNumId w:val="93"/>
  </w:num>
  <w:num w:numId="94">
    <w:abstractNumId w:val="95"/>
  </w:num>
  <w:num w:numId="95">
    <w:abstractNumId w:val="44"/>
  </w:num>
  <w:num w:numId="96">
    <w:abstractNumId w:val="104"/>
  </w:num>
  <w:num w:numId="97">
    <w:abstractNumId w:val="43"/>
  </w:num>
  <w:num w:numId="98">
    <w:abstractNumId w:val="85"/>
  </w:num>
  <w:num w:numId="99">
    <w:abstractNumId w:val="4"/>
  </w:num>
  <w:num w:numId="100">
    <w:abstractNumId w:val="51"/>
  </w:num>
  <w:num w:numId="101">
    <w:abstractNumId w:val="105"/>
  </w:num>
  <w:num w:numId="102">
    <w:abstractNumId w:val="105"/>
  </w:num>
  <w:num w:numId="103">
    <w:abstractNumId w:val="113"/>
  </w:num>
  <w:num w:numId="104">
    <w:abstractNumId w:val="58"/>
  </w:num>
  <w:num w:numId="105">
    <w:abstractNumId w:val="24"/>
  </w:num>
  <w:num w:numId="106">
    <w:abstractNumId w:val="113"/>
  </w:num>
  <w:num w:numId="107">
    <w:abstractNumId w:val="1"/>
  </w:num>
  <w:num w:numId="108">
    <w:abstractNumId w:val="113"/>
  </w:num>
  <w:num w:numId="109">
    <w:abstractNumId w:val="113"/>
  </w:num>
  <w:num w:numId="110">
    <w:abstractNumId w:val="60"/>
  </w:num>
  <w:num w:numId="111">
    <w:abstractNumId w:val="71"/>
  </w:num>
  <w:num w:numId="112">
    <w:abstractNumId w:val="5"/>
  </w:num>
  <w:num w:numId="113">
    <w:abstractNumId w:val="91"/>
  </w:num>
  <w:num w:numId="114">
    <w:abstractNumId w:val="10"/>
  </w:num>
  <w:num w:numId="115">
    <w:abstractNumId w:val="18"/>
  </w:num>
  <w:num w:numId="116">
    <w:abstractNumId w:val="54"/>
  </w:num>
  <w:num w:numId="117">
    <w:abstractNumId w:val="0"/>
  </w:num>
  <w:num w:numId="118">
    <w:abstractNumId w:val="22"/>
  </w:num>
  <w:num w:numId="119">
    <w:abstractNumId w:val="98"/>
    <w:lvlOverride w:ilvl="0">
      <w:startOverride w:val="1"/>
    </w:lvlOverride>
  </w:num>
  <w:num w:numId="120">
    <w:abstractNumId w:val="98"/>
  </w:num>
  <w:num w:numId="121">
    <w:abstractNumId w:val="98"/>
    <w:lvlOverride w:ilvl="0">
      <w:startOverride w:val="1"/>
    </w:lvlOverride>
  </w:num>
  <w:num w:numId="122">
    <w:abstractNumId w:val="98"/>
    <w:lvlOverride w:ilvl="0">
      <w:startOverride w:val="1"/>
    </w:lvlOverride>
  </w:num>
  <w:num w:numId="123">
    <w:abstractNumId w:val="68"/>
  </w:num>
  <w:num w:numId="124">
    <w:abstractNumId w:val="91"/>
  </w:num>
  <w:num w:numId="125">
    <w:abstractNumId w:val="91"/>
  </w:num>
  <w:num w:numId="126">
    <w:abstractNumId w:val="91"/>
  </w:num>
  <w:num w:numId="127">
    <w:abstractNumId w:val="42"/>
  </w:num>
  <w:num w:numId="128">
    <w:abstractNumId w:val="91"/>
  </w:num>
  <w:num w:numId="129">
    <w:abstractNumId w:val="91"/>
  </w:num>
  <w:num w:numId="130">
    <w:abstractNumId w:val="91"/>
  </w:num>
  <w:num w:numId="131">
    <w:abstractNumId w:val="25"/>
  </w:num>
  <w:num w:numId="132">
    <w:abstractNumId w:val="63"/>
  </w:num>
  <w:num w:numId="133">
    <w:abstractNumId w:val="94"/>
  </w:num>
  <w:num w:numId="134">
    <w:abstractNumId w:val="83"/>
  </w:num>
  <w:num w:numId="135">
    <w:abstractNumId w:val="91"/>
  </w:num>
  <w:num w:numId="136">
    <w:abstractNumId w:val="88"/>
  </w:num>
  <w:num w:numId="137">
    <w:abstractNumId w:val="56"/>
  </w:num>
  <w:num w:numId="138">
    <w:abstractNumId w:val="28"/>
  </w:num>
  <w:num w:numId="139">
    <w:abstractNumId w:val="91"/>
  </w:num>
  <w:numIdMacAtCleanup w:val="1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Thompson">
    <w15:presenceInfo w15:providerId="AD" w15:userId="S-1-5-21-2244126843-9970744-1210949740-1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0C7"/>
    <w:rsid w:val="0000032F"/>
    <w:rsid w:val="00000C9E"/>
    <w:rsid w:val="00001345"/>
    <w:rsid w:val="00002888"/>
    <w:rsid w:val="000034F3"/>
    <w:rsid w:val="000063B3"/>
    <w:rsid w:val="00006CDF"/>
    <w:rsid w:val="000075C2"/>
    <w:rsid w:val="0000782F"/>
    <w:rsid w:val="000103B6"/>
    <w:rsid w:val="00010644"/>
    <w:rsid w:val="000106EB"/>
    <w:rsid w:val="000113AA"/>
    <w:rsid w:val="00011400"/>
    <w:rsid w:val="00011515"/>
    <w:rsid w:val="00011EC9"/>
    <w:rsid w:val="000133ED"/>
    <w:rsid w:val="000139D0"/>
    <w:rsid w:val="00013A29"/>
    <w:rsid w:val="00013BE5"/>
    <w:rsid w:val="00014062"/>
    <w:rsid w:val="00015006"/>
    <w:rsid w:val="00015313"/>
    <w:rsid w:val="00016978"/>
    <w:rsid w:val="00020488"/>
    <w:rsid w:val="00021D41"/>
    <w:rsid w:val="0002641C"/>
    <w:rsid w:val="00026815"/>
    <w:rsid w:val="00026AA1"/>
    <w:rsid w:val="00026DD6"/>
    <w:rsid w:val="00027356"/>
    <w:rsid w:val="000273DE"/>
    <w:rsid w:val="00027475"/>
    <w:rsid w:val="0003029B"/>
    <w:rsid w:val="00030D98"/>
    <w:rsid w:val="000310C9"/>
    <w:rsid w:val="00031B92"/>
    <w:rsid w:val="00031BE4"/>
    <w:rsid w:val="00032EE0"/>
    <w:rsid w:val="00033046"/>
    <w:rsid w:val="000339FF"/>
    <w:rsid w:val="000366C2"/>
    <w:rsid w:val="0003703E"/>
    <w:rsid w:val="00040184"/>
    <w:rsid w:val="00042ADA"/>
    <w:rsid w:val="00042E05"/>
    <w:rsid w:val="00044B9D"/>
    <w:rsid w:val="00046558"/>
    <w:rsid w:val="00046D13"/>
    <w:rsid w:val="00047664"/>
    <w:rsid w:val="0005064B"/>
    <w:rsid w:val="000515FA"/>
    <w:rsid w:val="0005307D"/>
    <w:rsid w:val="00053DBE"/>
    <w:rsid w:val="000546ED"/>
    <w:rsid w:val="00054E90"/>
    <w:rsid w:val="000558F6"/>
    <w:rsid w:val="00055999"/>
    <w:rsid w:val="000575AD"/>
    <w:rsid w:val="00057CCF"/>
    <w:rsid w:val="00057D21"/>
    <w:rsid w:val="00061382"/>
    <w:rsid w:val="00061BAF"/>
    <w:rsid w:val="00063497"/>
    <w:rsid w:val="0006356C"/>
    <w:rsid w:val="00063C27"/>
    <w:rsid w:val="000652CA"/>
    <w:rsid w:val="000662EA"/>
    <w:rsid w:val="00066951"/>
    <w:rsid w:val="00067283"/>
    <w:rsid w:val="000676E4"/>
    <w:rsid w:val="0006773D"/>
    <w:rsid w:val="000701BF"/>
    <w:rsid w:val="00072058"/>
    <w:rsid w:val="0007259F"/>
    <w:rsid w:val="0007358A"/>
    <w:rsid w:val="00075CF4"/>
    <w:rsid w:val="0007619D"/>
    <w:rsid w:val="00076EC3"/>
    <w:rsid w:val="00076F97"/>
    <w:rsid w:val="00080EA9"/>
    <w:rsid w:val="00081B0F"/>
    <w:rsid w:val="00081F97"/>
    <w:rsid w:val="00083014"/>
    <w:rsid w:val="00085511"/>
    <w:rsid w:val="00085EB3"/>
    <w:rsid w:val="00085F41"/>
    <w:rsid w:val="00086497"/>
    <w:rsid w:val="00086AC6"/>
    <w:rsid w:val="00086CB0"/>
    <w:rsid w:val="000870A3"/>
    <w:rsid w:val="000906F1"/>
    <w:rsid w:val="000915BF"/>
    <w:rsid w:val="00091A35"/>
    <w:rsid w:val="00092774"/>
    <w:rsid w:val="000935D8"/>
    <w:rsid w:val="00093C0A"/>
    <w:rsid w:val="00094075"/>
    <w:rsid w:val="00094CF8"/>
    <w:rsid w:val="00096860"/>
    <w:rsid w:val="00097C4E"/>
    <w:rsid w:val="000A0EF1"/>
    <w:rsid w:val="000A26B7"/>
    <w:rsid w:val="000A2AB9"/>
    <w:rsid w:val="000A32F3"/>
    <w:rsid w:val="000A4B46"/>
    <w:rsid w:val="000A6831"/>
    <w:rsid w:val="000A7AD8"/>
    <w:rsid w:val="000B03C8"/>
    <w:rsid w:val="000B0703"/>
    <w:rsid w:val="000B0986"/>
    <w:rsid w:val="000B0A28"/>
    <w:rsid w:val="000B0DD7"/>
    <w:rsid w:val="000B1F7A"/>
    <w:rsid w:val="000B2FF8"/>
    <w:rsid w:val="000B3BAB"/>
    <w:rsid w:val="000B4C72"/>
    <w:rsid w:val="000B4F40"/>
    <w:rsid w:val="000B5A3A"/>
    <w:rsid w:val="000B77E5"/>
    <w:rsid w:val="000B77FD"/>
    <w:rsid w:val="000B7EA1"/>
    <w:rsid w:val="000C0017"/>
    <w:rsid w:val="000C0BAA"/>
    <w:rsid w:val="000C10BA"/>
    <w:rsid w:val="000C18E0"/>
    <w:rsid w:val="000C2095"/>
    <w:rsid w:val="000C20AF"/>
    <w:rsid w:val="000C269B"/>
    <w:rsid w:val="000C3147"/>
    <w:rsid w:val="000C3344"/>
    <w:rsid w:val="000C3FAE"/>
    <w:rsid w:val="000D01AA"/>
    <w:rsid w:val="000D08E8"/>
    <w:rsid w:val="000D0DAA"/>
    <w:rsid w:val="000D2E3C"/>
    <w:rsid w:val="000D3402"/>
    <w:rsid w:val="000D374B"/>
    <w:rsid w:val="000D407E"/>
    <w:rsid w:val="000D4363"/>
    <w:rsid w:val="000D5560"/>
    <w:rsid w:val="000D584D"/>
    <w:rsid w:val="000D650D"/>
    <w:rsid w:val="000D72BA"/>
    <w:rsid w:val="000D7E22"/>
    <w:rsid w:val="000E018A"/>
    <w:rsid w:val="000E03D7"/>
    <w:rsid w:val="000E0899"/>
    <w:rsid w:val="000E0ADC"/>
    <w:rsid w:val="000E0AE4"/>
    <w:rsid w:val="000E10D0"/>
    <w:rsid w:val="000E25D0"/>
    <w:rsid w:val="000E328E"/>
    <w:rsid w:val="000E4FD9"/>
    <w:rsid w:val="000E5359"/>
    <w:rsid w:val="000E5671"/>
    <w:rsid w:val="000E5C3B"/>
    <w:rsid w:val="000E5D1D"/>
    <w:rsid w:val="000E67A2"/>
    <w:rsid w:val="000E78B1"/>
    <w:rsid w:val="000F1020"/>
    <w:rsid w:val="000F1D23"/>
    <w:rsid w:val="000F1FB4"/>
    <w:rsid w:val="000F2374"/>
    <w:rsid w:val="000F2448"/>
    <w:rsid w:val="000F29C1"/>
    <w:rsid w:val="000F30A0"/>
    <w:rsid w:val="000F441C"/>
    <w:rsid w:val="000F4BEA"/>
    <w:rsid w:val="000F63F2"/>
    <w:rsid w:val="000F74F4"/>
    <w:rsid w:val="000F7CB9"/>
    <w:rsid w:val="000F7FDE"/>
    <w:rsid w:val="00100909"/>
    <w:rsid w:val="001010C3"/>
    <w:rsid w:val="001015A2"/>
    <w:rsid w:val="001018BC"/>
    <w:rsid w:val="00101D47"/>
    <w:rsid w:val="0010386C"/>
    <w:rsid w:val="00104691"/>
    <w:rsid w:val="00104E39"/>
    <w:rsid w:val="00105E90"/>
    <w:rsid w:val="00107C97"/>
    <w:rsid w:val="00110796"/>
    <w:rsid w:val="00111253"/>
    <w:rsid w:val="00111302"/>
    <w:rsid w:val="0011166F"/>
    <w:rsid w:val="001119A6"/>
    <w:rsid w:val="00112156"/>
    <w:rsid w:val="00112584"/>
    <w:rsid w:val="00112672"/>
    <w:rsid w:val="00112E16"/>
    <w:rsid w:val="00114000"/>
    <w:rsid w:val="001144AE"/>
    <w:rsid w:val="00114A63"/>
    <w:rsid w:val="00114AFE"/>
    <w:rsid w:val="00114BAC"/>
    <w:rsid w:val="00117609"/>
    <w:rsid w:val="00120046"/>
    <w:rsid w:val="00120E3E"/>
    <w:rsid w:val="00121892"/>
    <w:rsid w:val="00123198"/>
    <w:rsid w:val="00123D6D"/>
    <w:rsid w:val="00124019"/>
    <w:rsid w:val="00124E81"/>
    <w:rsid w:val="00126215"/>
    <w:rsid w:val="001266B1"/>
    <w:rsid w:val="00126E56"/>
    <w:rsid w:val="00127531"/>
    <w:rsid w:val="00127AE2"/>
    <w:rsid w:val="00133B01"/>
    <w:rsid w:val="00133F43"/>
    <w:rsid w:val="00136A36"/>
    <w:rsid w:val="001375FA"/>
    <w:rsid w:val="00140CAA"/>
    <w:rsid w:val="00141455"/>
    <w:rsid w:val="00141658"/>
    <w:rsid w:val="00142524"/>
    <w:rsid w:val="00142640"/>
    <w:rsid w:val="00142C7C"/>
    <w:rsid w:val="0014565A"/>
    <w:rsid w:val="00145975"/>
    <w:rsid w:val="00145EBE"/>
    <w:rsid w:val="00146AA1"/>
    <w:rsid w:val="00147362"/>
    <w:rsid w:val="0014788F"/>
    <w:rsid w:val="001514D3"/>
    <w:rsid w:val="00151B57"/>
    <w:rsid w:val="0015399E"/>
    <w:rsid w:val="0015576F"/>
    <w:rsid w:val="001561E2"/>
    <w:rsid w:val="001566C1"/>
    <w:rsid w:val="00161E9C"/>
    <w:rsid w:val="001623BD"/>
    <w:rsid w:val="00164DF7"/>
    <w:rsid w:val="001654A2"/>
    <w:rsid w:val="0016573D"/>
    <w:rsid w:val="001658B2"/>
    <w:rsid w:val="00165EBE"/>
    <w:rsid w:val="00166C97"/>
    <w:rsid w:val="00167807"/>
    <w:rsid w:val="00167C80"/>
    <w:rsid w:val="00170545"/>
    <w:rsid w:val="001709BE"/>
    <w:rsid w:val="00170ED3"/>
    <w:rsid w:val="00171AA7"/>
    <w:rsid w:val="00171B6D"/>
    <w:rsid w:val="00171C5E"/>
    <w:rsid w:val="001722AE"/>
    <w:rsid w:val="00172854"/>
    <w:rsid w:val="001741D6"/>
    <w:rsid w:val="00174807"/>
    <w:rsid w:val="00175AA2"/>
    <w:rsid w:val="0017776D"/>
    <w:rsid w:val="00177D17"/>
    <w:rsid w:val="00177F48"/>
    <w:rsid w:val="001808C5"/>
    <w:rsid w:val="00182381"/>
    <w:rsid w:val="00183E13"/>
    <w:rsid w:val="0018455F"/>
    <w:rsid w:val="00185324"/>
    <w:rsid w:val="001859D4"/>
    <w:rsid w:val="00185B45"/>
    <w:rsid w:val="00185C83"/>
    <w:rsid w:val="00185E9A"/>
    <w:rsid w:val="00187808"/>
    <w:rsid w:val="00187B3A"/>
    <w:rsid w:val="00187CFC"/>
    <w:rsid w:val="001930D7"/>
    <w:rsid w:val="00193306"/>
    <w:rsid w:val="00193C12"/>
    <w:rsid w:val="001947E1"/>
    <w:rsid w:val="00195262"/>
    <w:rsid w:val="00196528"/>
    <w:rsid w:val="00196908"/>
    <w:rsid w:val="00196B2D"/>
    <w:rsid w:val="00196D23"/>
    <w:rsid w:val="00197FF0"/>
    <w:rsid w:val="001A1A2D"/>
    <w:rsid w:val="001A1C49"/>
    <w:rsid w:val="001A6E70"/>
    <w:rsid w:val="001B0159"/>
    <w:rsid w:val="001B0662"/>
    <w:rsid w:val="001B1191"/>
    <w:rsid w:val="001B12AA"/>
    <w:rsid w:val="001B29E3"/>
    <w:rsid w:val="001B2B8F"/>
    <w:rsid w:val="001B2D9F"/>
    <w:rsid w:val="001B3603"/>
    <w:rsid w:val="001B3678"/>
    <w:rsid w:val="001B38DB"/>
    <w:rsid w:val="001B4E64"/>
    <w:rsid w:val="001B5810"/>
    <w:rsid w:val="001B60A2"/>
    <w:rsid w:val="001B62FE"/>
    <w:rsid w:val="001B6B0C"/>
    <w:rsid w:val="001B7CFB"/>
    <w:rsid w:val="001C1440"/>
    <w:rsid w:val="001C150B"/>
    <w:rsid w:val="001C158A"/>
    <w:rsid w:val="001C5098"/>
    <w:rsid w:val="001C58F9"/>
    <w:rsid w:val="001C5F2B"/>
    <w:rsid w:val="001C6115"/>
    <w:rsid w:val="001C76AA"/>
    <w:rsid w:val="001C7788"/>
    <w:rsid w:val="001D0C55"/>
    <w:rsid w:val="001D3B5D"/>
    <w:rsid w:val="001D3E3F"/>
    <w:rsid w:val="001D4A17"/>
    <w:rsid w:val="001D4D1F"/>
    <w:rsid w:val="001D6EE9"/>
    <w:rsid w:val="001D73A7"/>
    <w:rsid w:val="001E03C5"/>
    <w:rsid w:val="001E066C"/>
    <w:rsid w:val="001E19B9"/>
    <w:rsid w:val="001E259C"/>
    <w:rsid w:val="001E25BB"/>
    <w:rsid w:val="001E267E"/>
    <w:rsid w:val="001E4293"/>
    <w:rsid w:val="001E4387"/>
    <w:rsid w:val="001E6473"/>
    <w:rsid w:val="001E65D7"/>
    <w:rsid w:val="001E7B4F"/>
    <w:rsid w:val="001F061E"/>
    <w:rsid w:val="001F0EF0"/>
    <w:rsid w:val="001F1296"/>
    <w:rsid w:val="001F22B7"/>
    <w:rsid w:val="001F2FB6"/>
    <w:rsid w:val="001F369E"/>
    <w:rsid w:val="001F383F"/>
    <w:rsid w:val="001F3844"/>
    <w:rsid w:val="001F41F5"/>
    <w:rsid w:val="001F533C"/>
    <w:rsid w:val="001F7128"/>
    <w:rsid w:val="001F76AF"/>
    <w:rsid w:val="002005D6"/>
    <w:rsid w:val="00201C56"/>
    <w:rsid w:val="00201ED9"/>
    <w:rsid w:val="00202B3C"/>
    <w:rsid w:val="00202DAF"/>
    <w:rsid w:val="0020319C"/>
    <w:rsid w:val="00204A85"/>
    <w:rsid w:val="00205937"/>
    <w:rsid w:val="00205C0E"/>
    <w:rsid w:val="00205EF8"/>
    <w:rsid w:val="002066BC"/>
    <w:rsid w:val="00207B35"/>
    <w:rsid w:val="00210149"/>
    <w:rsid w:val="00210484"/>
    <w:rsid w:val="00211DBF"/>
    <w:rsid w:val="00213188"/>
    <w:rsid w:val="00213DC9"/>
    <w:rsid w:val="00214AB0"/>
    <w:rsid w:val="00214C61"/>
    <w:rsid w:val="00214D89"/>
    <w:rsid w:val="00215527"/>
    <w:rsid w:val="0021638D"/>
    <w:rsid w:val="0021718F"/>
    <w:rsid w:val="00217B76"/>
    <w:rsid w:val="002203D4"/>
    <w:rsid w:val="002214E3"/>
    <w:rsid w:val="002230BD"/>
    <w:rsid w:val="00223521"/>
    <w:rsid w:val="00225C8E"/>
    <w:rsid w:val="00226A20"/>
    <w:rsid w:val="00227163"/>
    <w:rsid w:val="00230CCA"/>
    <w:rsid w:val="0023156B"/>
    <w:rsid w:val="00231E21"/>
    <w:rsid w:val="00232477"/>
    <w:rsid w:val="00233396"/>
    <w:rsid w:val="00233698"/>
    <w:rsid w:val="00235A9B"/>
    <w:rsid w:val="0023608C"/>
    <w:rsid w:val="0023656C"/>
    <w:rsid w:val="00237349"/>
    <w:rsid w:val="00237DDF"/>
    <w:rsid w:val="002406EA"/>
    <w:rsid w:val="00241B86"/>
    <w:rsid w:val="00241DDF"/>
    <w:rsid w:val="002431FB"/>
    <w:rsid w:val="002435B3"/>
    <w:rsid w:val="00243D04"/>
    <w:rsid w:val="0024414C"/>
    <w:rsid w:val="00245EE2"/>
    <w:rsid w:val="002471BB"/>
    <w:rsid w:val="00247895"/>
    <w:rsid w:val="00252642"/>
    <w:rsid w:val="002529C4"/>
    <w:rsid w:val="00253EBC"/>
    <w:rsid w:val="002540D9"/>
    <w:rsid w:val="0025426B"/>
    <w:rsid w:val="00254749"/>
    <w:rsid w:val="00254A3B"/>
    <w:rsid w:val="00254D0E"/>
    <w:rsid w:val="0025711F"/>
    <w:rsid w:val="002615AD"/>
    <w:rsid w:val="002624D3"/>
    <w:rsid w:val="00262527"/>
    <w:rsid w:val="00262DE3"/>
    <w:rsid w:val="002637B5"/>
    <w:rsid w:val="002655F1"/>
    <w:rsid w:val="00265900"/>
    <w:rsid w:val="00266059"/>
    <w:rsid w:val="002660D0"/>
    <w:rsid w:val="002663C6"/>
    <w:rsid w:val="00270236"/>
    <w:rsid w:val="002703BD"/>
    <w:rsid w:val="00271002"/>
    <w:rsid w:val="00271794"/>
    <w:rsid w:val="00271B40"/>
    <w:rsid w:val="00272392"/>
    <w:rsid w:val="00272FA2"/>
    <w:rsid w:val="002738BA"/>
    <w:rsid w:val="0027432D"/>
    <w:rsid w:val="002764C4"/>
    <w:rsid w:val="00276ED4"/>
    <w:rsid w:val="0027726C"/>
    <w:rsid w:val="0027754F"/>
    <w:rsid w:val="00280308"/>
    <w:rsid w:val="00280C10"/>
    <w:rsid w:val="00281CB0"/>
    <w:rsid w:val="0028384C"/>
    <w:rsid w:val="00284611"/>
    <w:rsid w:val="00284622"/>
    <w:rsid w:val="00284845"/>
    <w:rsid w:val="00285B9B"/>
    <w:rsid w:val="00286882"/>
    <w:rsid w:val="00286900"/>
    <w:rsid w:val="002906D1"/>
    <w:rsid w:val="0029158D"/>
    <w:rsid w:val="00292C18"/>
    <w:rsid w:val="00292CBC"/>
    <w:rsid w:val="0029345F"/>
    <w:rsid w:val="00294294"/>
    <w:rsid w:val="00294662"/>
    <w:rsid w:val="0029566C"/>
    <w:rsid w:val="00296F2C"/>
    <w:rsid w:val="00297CD4"/>
    <w:rsid w:val="002A03FF"/>
    <w:rsid w:val="002A0748"/>
    <w:rsid w:val="002A0F79"/>
    <w:rsid w:val="002A1F5C"/>
    <w:rsid w:val="002A3DB1"/>
    <w:rsid w:val="002A3DF6"/>
    <w:rsid w:val="002A4358"/>
    <w:rsid w:val="002A612F"/>
    <w:rsid w:val="002A72C5"/>
    <w:rsid w:val="002B0CD0"/>
    <w:rsid w:val="002B0ED5"/>
    <w:rsid w:val="002B103A"/>
    <w:rsid w:val="002B1AEE"/>
    <w:rsid w:val="002B241C"/>
    <w:rsid w:val="002B264E"/>
    <w:rsid w:val="002B2ACF"/>
    <w:rsid w:val="002B3058"/>
    <w:rsid w:val="002B5340"/>
    <w:rsid w:val="002B5A3C"/>
    <w:rsid w:val="002B6552"/>
    <w:rsid w:val="002B7552"/>
    <w:rsid w:val="002B7980"/>
    <w:rsid w:val="002C19BF"/>
    <w:rsid w:val="002C1DF9"/>
    <w:rsid w:val="002C1FF4"/>
    <w:rsid w:val="002C3F92"/>
    <w:rsid w:val="002C429D"/>
    <w:rsid w:val="002C477A"/>
    <w:rsid w:val="002C4866"/>
    <w:rsid w:val="002C4B45"/>
    <w:rsid w:val="002C4F17"/>
    <w:rsid w:val="002C57AA"/>
    <w:rsid w:val="002C5817"/>
    <w:rsid w:val="002C5879"/>
    <w:rsid w:val="002C61F5"/>
    <w:rsid w:val="002C6BF3"/>
    <w:rsid w:val="002C6D3E"/>
    <w:rsid w:val="002C74F1"/>
    <w:rsid w:val="002C7812"/>
    <w:rsid w:val="002D0313"/>
    <w:rsid w:val="002D0691"/>
    <w:rsid w:val="002D3701"/>
    <w:rsid w:val="002D4429"/>
    <w:rsid w:val="002D5D5C"/>
    <w:rsid w:val="002D635B"/>
    <w:rsid w:val="002D6A1F"/>
    <w:rsid w:val="002D7822"/>
    <w:rsid w:val="002D79F6"/>
    <w:rsid w:val="002D7B38"/>
    <w:rsid w:val="002E2B40"/>
    <w:rsid w:val="002E3732"/>
    <w:rsid w:val="002E429C"/>
    <w:rsid w:val="002E56D7"/>
    <w:rsid w:val="002E5996"/>
    <w:rsid w:val="002E6060"/>
    <w:rsid w:val="002E646F"/>
    <w:rsid w:val="002E655D"/>
    <w:rsid w:val="002E67D1"/>
    <w:rsid w:val="002E74C6"/>
    <w:rsid w:val="002F2667"/>
    <w:rsid w:val="002F38F5"/>
    <w:rsid w:val="002F5395"/>
    <w:rsid w:val="002F5DCE"/>
    <w:rsid w:val="002F5E43"/>
    <w:rsid w:val="0030063F"/>
    <w:rsid w:val="00301342"/>
    <w:rsid w:val="00301BD2"/>
    <w:rsid w:val="003022E7"/>
    <w:rsid w:val="00302C01"/>
    <w:rsid w:val="00303C18"/>
    <w:rsid w:val="003055BD"/>
    <w:rsid w:val="003067B4"/>
    <w:rsid w:val="003078AF"/>
    <w:rsid w:val="00307EBE"/>
    <w:rsid w:val="00312F7A"/>
    <w:rsid w:val="00314B57"/>
    <w:rsid w:val="00317A68"/>
    <w:rsid w:val="00320879"/>
    <w:rsid w:val="00320A3E"/>
    <w:rsid w:val="00320ECA"/>
    <w:rsid w:val="00322D59"/>
    <w:rsid w:val="00324AE8"/>
    <w:rsid w:val="00325585"/>
    <w:rsid w:val="00327BF4"/>
    <w:rsid w:val="00327CAB"/>
    <w:rsid w:val="003315D2"/>
    <w:rsid w:val="0033168A"/>
    <w:rsid w:val="0033188B"/>
    <w:rsid w:val="00331E72"/>
    <w:rsid w:val="00331FFC"/>
    <w:rsid w:val="00332FD7"/>
    <w:rsid w:val="003342D9"/>
    <w:rsid w:val="003348B2"/>
    <w:rsid w:val="00335B74"/>
    <w:rsid w:val="0033630C"/>
    <w:rsid w:val="00336698"/>
    <w:rsid w:val="003375F1"/>
    <w:rsid w:val="00340355"/>
    <w:rsid w:val="003403B6"/>
    <w:rsid w:val="00340EB2"/>
    <w:rsid w:val="00342BA6"/>
    <w:rsid w:val="00342F27"/>
    <w:rsid w:val="00345588"/>
    <w:rsid w:val="003462AC"/>
    <w:rsid w:val="00347D3E"/>
    <w:rsid w:val="00347E60"/>
    <w:rsid w:val="003506E7"/>
    <w:rsid w:val="00350E1D"/>
    <w:rsid w:val="003521C9"/>
    <w:rsid w:val="0035342F"/>
    <w:rsid w:val="00353679"/>
    <w:rsid w:val="003541F1"/>
    <w:rsid w:val="00354D86"/>
    <w:rsid w:val="0035701A"/>
    <w:rsid w:val="003574B1"/>
    <w:rsid w:val="00357B7D"/>
    <w:rsid w:val="003602A0"/>
    <w:rsid w:val="00360686"/>
    <w:rsid w:val="00360C5B"/>
    <w:rsid w:val="00360F95"/>
    <w:rsid w:val="0036163F"/>
    <w:rsid w:val="0036219D"/>
    <w:rsid w:val="00362DD3"/>
    <w:rsid w:val="00363552"/>
    <w:rsid w:val="0036431E"/>
    <w:rsid w:val="00364359"/>
    <w:rsid w:val="003646FB"/>
    <w:rsid w:val="003647B2"/>
    <w:rsid w:val="00364FB0"/>
    <w:rsid w:val="00366216"/>
    <w:rsid w:val="00367A23"/>
    <w:rsid w:val="0037488E"/>
    <w:rsid w:val="0037634F"/>
    <w:rsid w:val="003767C2"/>
    <w:rsid w:val="00376B7A"/>
    <w:rsid w:val="0037731D"/>
    <w:rsid w:val="003777A4"/>
    <w:rsid w:val="00380EAE"/>
    <w:rsid w:val="00382517"/>
    <w:rsid w:val="00384A0E"/>
    <w:rsid w:val="00385138"/>
    <w:rsid w:val="00386EE0"/>
    <w:rsid w:val="00387253"/>
    <w:rsid w:val="00390637"/>
    <w:rsid w:val="00391F68"/>
    <w:rsid w:val="003923F4"/>
    <w:rsid w:val="0039361E"/>
    <w:rsid w:val="00394176"/>
    <w:rsid w:val="00394D66"/>
    <w:rsid w:val="00395A53"/>
    <w:rsid w:val="00395C67"/>
    <w:rsid w:val="00395F5C"/>
    <w:rsid w:val="0039767A"/>
    <w:rsid w:val="003978ED"/>
    <w:rsid w:val="00397A37"/>
    <w:rsid w:val="003A04A0"/>
    <w:rsid w:val="003A18C7"/>
    <w:rsid w:val="003A1D92"/>
    <w:rsid w:val="003A2143"/>
    <w:rsid w:val="003A2E6D"/>
    <w:rsid w:val="003A32F0"/>
    <w:rsid w:val="003A3454"/>
    <w:rsid w:val="003A433D"/>
    <w:rsid w:val="003A5BA1"/>
    <w:rsid w:val="003A795E"/>
    <w:rsid w:val="003B0028"/>
    <w:rsid w:val="003B0195"/>
    <w:rsid w:val="003B1843"/>
    <w:rsid w:val="003B2755"/>
    <w:rsid w:val="003B4A31"/>
    <w:rsid w:val="003B4CA3"/>
    <w:rsid w:val="003B5217"/>
    <w:rsid w:val="003B596E"/>
    <w:rsid w:val="003B62B9"/>
    <w:rsid w:val="003B724F"/>
    <w:rsid w:val="003B7688"/>
    <w:rsid w:val="003B78BA"/>
    <w:rsid w:val="003C18E2"/>
    <w:rsid w:val="003C2087"/>
    <w:rsid w:val="003C21F9"/>
    <w:rsid w:val="003C2D20"/>
    <w:rsid w:val="003C5211"/>
    <w:rsid w:val="003C6677"/>
    <w:rsid w:val="003C6FF5"/>
    <w:rsid w:val="003C7E77"/>
    <w:rsid w:val="003D0146"/>
    <w:rsid w:val="003D0620"/>
    <w:rsid w:val="003D06E4"/>
    <w:rsid w:val="003D08B6"/>
    <w:rsid w:val="003D09D0"/>
    <w:rsid w:val="003D1CF7"/>
    <w:rsid w:val="003D43B7"/>
    <w:rsid w:val="003D45CA"/>
    <w:rsid w:val="003D53E2"/>
    <w:rsid w:val="003D5537"/>
    <w:rsid w:val="003D5B20"/>
    <w:rsid w:val="003D5DBD"/>
    <w:rsid w:val="003D658A"/>
    <w:rsid w:val="003D6972"/>
    <w:rsid w:val="003D6B5D"/>
    <w:rsid w:val="003D7431"/>
    <w:rsid w:val="003D7BDA"/>
    <w:rsid w:val="003D7F35"/>
    <w:rsid w:val="003E0238"/>
    <w:rsid w:val="003E1512"/>
    <w:rsid w:val="003E167D"/>
    <w:rsid w:val="003E1D78"/>
    <w:rsid w:val="003E5630"/>
    <w:rsid w:val="003E6D92"/>
    <w:rsid w:val="003E7169"/>
    <w:rsid w:val="003E71A4"/>
    <w:rsid w:val="003E75A6"/>
    <w:rsid w:val="003E7895"/>
    <w:rsid w:val="003F0484"/>
    <w:rsid w:val="003F0D08"/>
    <w:rsid w:val="003F1E87"/>
    <w:rsid w:val="003F2EFF"/>
    <w:rsid w:val="003F3FCC"/>
    <w:rsid w:val="003F6FF6"/>
    <w:rsid w:val="003F74FE"/>
    <w:rsid w:val="003F7C8A"/>
    <w:rsid w:val="00400FCD"/>
    <w:rsid w:val="004027DE"/>
    <w:rsid w:val="00403044"/>
    <w:rsid w:val="00404F14"/>
    <w:rsid w:val="0040635E"/>
    <w:rsid w:val="004065E6"/>
    <w:rsid w:val="00410C97"/>
    <w:rsid w:val="004127E5"/>
    <w:rsid w:val="00416960"/>
    <w:rsid w:val="00416AF1"/>
    <w:rsid w:val="0041760B"/>
    <w:rsid w:val="00421081"/>
    <w:rsid w:val="0042152C"/>
    <w:rsid w:val="00421C58"/>
    <w:rsid w:val="00422EF0"/>
    <w:rsid w:val="00423A51"/>
    <w:rsid w:val="00423ED0"/>
    <w:rsid w:val="004244AE"/>
    <w:rsid w:val="00424513"/>
    <w:rsid w:val="004257B7"/>
    <w:rsid w:val="0042583A"/>
    <w:rsid w:val="00426225"/>
    <w:rsid w:val="00427762"/>
    <w:rsid w:val="004326FC"/>
    <w:rsid w:val="004327B7"/>
    <w:rsid w:val="0043646A"/>
    <w:rsid w:val="0043653B"/>
    <w:rsid w:val="00437914"/>
    <w:rsid w:val="00437B14"/>
    <w:rsid w:val="00437F44"/>
    <w:rsid w:val="0044143B"/>
    <w:rsid w:val="00442BEB"/>
    <w:rsid w:val="00443763"/>
    <w:rsid w:val="00443BD3"/>
    <w:rsid w:val="0044400E"/>
    <w:rsid w:val="0044432E"/>
    <w:rsid w:val="00444720"/>
    <w:rsid w:val="00444C57"/>
    <w:rsid w:val="00445DB0"/>
    <w:rsid w:val="00450307"/>
    <w:rsid w:val="00450F72"/>
    <w:rsid w:val="0045105B"/>
    <w:rsid w:val="004511CB"/>
    <w:rsid w:val="00451B3A"/>
    <w:rsid w:val="00452770"/>
    <w:rsid w:val="00452BD9"/>
    <w:rsid w:val="0045311B"/>
    <w:rsid w:val="004539CA"/>
    <w:rsid w:val="00453A99"/>
    <w:rsid w:val="00453B87"/>
    <w:rsid w:val="00453CAC"/>
    <w:rsid w:val="00456546"/>
    <w:rsid w:val="00456F96"/>
    <w:rsid w:val="0046174A"/>
    <w:rsid w:val="00462C9D"/>
    <w:rsid w:val="00464441"/>
    <w:rsid w:val="00464FB3"/>
    <w:rsid w:val="0046553B"/>
    <w:rsid w:val="00466087"/>
    <w:rsid w:val="004662A1"/>
    <w:rsid w:val="004675AA"/>
    <w:rsid w:val="0047042D"/>
    <w:rsid w:val="00470983"/>
    <w:rsid w:val="00470ABA"/>
    <w:rsid w:val="00471B0D"/>
    <w:rsid w:val="00471EA8"/>
    <w:rsid w:val="004739E2"/>
    <w:rsid w:val="00473E01"/>
    <w:rsid w:val="00474413"/>
    <w:rsid w:val="00474417"/>
    <w:rsid w:val="00476489"/>
    <w:rsid w:val="004765D4"/>
    <w:rsid w:val="00477775"/>
    <w:rsid w:val="004806E7"/>
    <w:rsid w:val="00482145"/>
    <w:rsid w:val="004822BC"/>
    <w:rsid w:val="00482830"/>
    <w:rsid w:val="0048295D"/>
    <w:rsid w:val="004829F1"/>
    <w:rsid w:val="00483CC3"/>
    <w:rsid w:val="00484375"/>
    <w:rsid w:val="0048453B"/>
    <w:rsid w:val="00485076"/>
    <w:rsid w:val="004850EC"/>
    <w:rsid w:val="00485EF0"/>
    <w:rsid w:val="004861A4"/>
    <w:rsid w:val="004863D3"/>
    <w:rsid w:val="0048716B"/>
    <w:rsid w:val="004876BF"/>
    <w:rsid w:val="004900B9"/>
    <w:rsid w:val="00490483"/>
    <w:rsid w:val="004906FB"/>
    <w:rsid w:val="00490D0B"/>
    <w:rsid w:val="00492BD3"/>
    <w:rsid w:val="004957C3"/>
    <w:rsid w:val="00495961"/>
    <w:rsid w:val="00497D20"/>
    <w:rsid w:val="004A242D"/>
    <w:rsid w:val="004A311E"/>
    <w:rsid w:val="004A3348"/>
    <w:rsid w:val="004A3F61"/>
    <w:rsid w:val="004A4A7D"/>
    <w:rsid w:val="004A6F77"/>
    <w:rsid w:val="004A7453"/>
    <w:rsid w:val="004B02AB"/>
    <w:rsid w:val="004B06BD"/>
    <w:rsid w:val="004B2479"/>
    <w:rsid w:val="004B2FB6"/>
    <w:rsid w:val="004B3E67"/>
    <w:rsid w:val="004B412F"/>
    <w:rsid w:val="004B5535"/>
    <w:rsid w:val="004B60AB"/>
    <w:rsid w:val="004B6A25"/>
    <w:rsid w:val="004C1102"/>
    <w:rsid w:val="004C20F5"/>
    <w:rsid w:val="004C27E0"/>
    <w:rsid w:val="004C2B33"/>
    <w:rsid w:val="004C2BFE"/>
    <w:rsid w:val="004C2E24"/>
    <w:rsid w:val="004C3706"/>
    <w:rsid w:val="004C3BB3"/>
    <w:rsid w:val="004C403D"/>
    <w:rsid w:val="004C414F"/>
    <w:rsid w:val="004C4DBE"/>
    <w:rsid w:val="004C6F11"/>
    <w:rsid w:val="004C6F4F"/>
    <w:rsid w:val="004D0D92"/>
    <w:rsid w:val="004D13CC"/>
    <w:rsid w:val="004D1AFE"/>
    <w:rsid w:val="004D24FE"/>
    <w:rsid w:val="004D272A"/>
    <w:rsid w:val="004D3B7F"/>
    <w:rsid w:val="004D4B62"/>
    <w:rsid w:val="004D5E8C"/>
    <w:rsid w:val="004D79BE"/>
    <w:rsid w:val="004E03E7"/>
    <w:rsid w:val="004E1265"/>
    <w:rsid w:val="004E1D83"/>
    <w:rsid w:val="004E1E03"/>
    <w:rsid w:val="004E3F8C"/>
    <w:rsid w:val="004E47B9"/>
    <w:rsid w:val="004E5558"/>
    <w:rsid w:val="004E557A"/>
    <w:rsid w:val="004E559B"/>
    <w:rsid w:val="004E66DF"/>
    <w:rsid w:val="004F0355"/>
    <w:rsid w:val="004F0982"/>
    <w:rsid w:val="004F2371"/>
    <w:rsid w:val="004F2518"/>
    <w:rsid w:val="004F3E1C"/>
    <w:rsid w:val="004F5362"/>
    <w:rsid w:val="004F7015"/>
    <w:rsid w:val="004F767D"/>
    <w:rsid w:val="0050279E"/>
    <w:rsid w:val="00502AE8"/>
    <w:rsid w:val="00503569"/>
    <w:rsid w:val="00503DC7"/>
    <w:rsid w:val="00504D77"/>
    <w:rsid w:val="00504F91"/>
    <w:rsid w:val="00505762"/>
    <w:rsid w:val="00506685"/>
    <w:rsid w:val="00506903"/>
    <w:rsid w:val="00506C2F"/>
    <w:rsid w:val="00506E1F"/>
    <w:rsid w:val="00506E9C"/>
    <w:rsid w:val="005078F1"/>
    <w:rsid w:val="00507A03"/>
    <w:rsid w:val="00507B80"/>
    <w:rsid w:val="00507CC3"/>
    <w:rsid w:val="005105DE"/>
    <w:rsid w:val="00512991"/>
    <w:rsid w:val="00514CFE"/>
    <w:rsid w:val="00517850"/>
    <w:rsid w:val="005215B7"/>
    <w:rsid w:val="005257ED"/>
    <w:rsid w:val="005270E2"/>
    <w:rsid w:val="005271A4"/>
    <w:rsid w:val="005304BA"/>
    <w:rsid w:val="00530C72"/>
    <w:rsid w:val="0053134E"/>
    <w:rsid w:val="0053240E"/>
    <w:rsid w:val="005342CA"/>
    <w:rsid w:val="0053433F"/>
    <w:rsid w:val="00536399"/>
    <w:rsid w:val="005375BE"/>
    <w:rsid w:val="005407C1"/>
    <w:rsid w:val="00541C76"/>
    <w:rsid w:val="00541D18"/>
    <w:rsid w:val="00542805"/>
    <w:rsid w:val="00542A2E"/>
    <w:rsid w:val="00543E27"/>
    <w:rsid w:val="00544B02"/>
    <w:rsid w:val="00544BC7"/>
    <w:rsid w:val="005455C9"/>
    <w:rsid w:val="0054605E"/>
    <w:rsid w:val="0054626A"/>
    <w:rsid w:val="00546B1C"/>
    <w:rsid w:val="005477AE"/>
    <w:rsid w:val="00550EFA"/>
    <w:rsid w:val="00550F4B"/>
    <w:rsid w:val="00551F22"/>
    <w:rsid w:val="005524B2"/>
    <w:rsid w:val="005529A9"/>
    <w:rsid w:val="00553405"/>
    <w:rsid w:val="00553CBD"/>
    <w:rsid w:val="005553FB"/>
    <w:rsid w:val="00555896"/>
    <w:rsid w:val="00555EAE"/>
    <w:rsid w:val="005562B7"/>
    <w:rsid w:val="005563AE"/>
    <w:rsid w:val="00556908"/>
    <w:rsid w:val="00557F10"/>
    <w:rsid w:val="0056058C"/>
    <w:rsid w:val="00560ACD"/>
    <w:rsid w:val="00561912"/>
    <w:rsid w:val="00561BAF"/>
    <w:rsid w:val="00562474"/>
    <w:rsid w:val="00562EB0"/>
    <w:rsid w:val="005638DE"/>
    <w:rsid w:val="00563DCE"/>
    <w:rsid w:val="005645BF"/>
    <w:rsid w:val="005649A1"/>
    <w:rsid w:val="00565770"/>
    <w:rsid w:val="005660C2"/>
    <w:rsid w:val="00570F3C"/>
    <w:rsid w:val="00570F3E"/>
    <w:rsid w:val="00571187"/>
    <w:rsid w:val="00571D0A"/>
    <w:rsid w:val="00571DF1"/>
    <w:rsid w:val="005728EA"/>
    <w:rsid w:val="00572BAC"/>
    <w:rsid w:val="00572E38"/>
    <w:rsid w:val="00573661"/>
    <w:rsid w:val="005739C4"/>
    <w:rsid w:val="0057468F"/>
    <w:rsid w:val="0057532A"/>
    <w:rsid w:val="00575E54"/>
    <w:rsid w:val="005771D2"/>
    <w:rsid w:val="00577EDC"/>
    <w:rsid w:val="0058027B"/>
    <w:rsid w:val="005812C6"/>
    <w:rsid w:val="00581BBF"/>
    <w:rsid w:val="00584BDF"/>
    <w:rsid w:val="005856CA"/>
    <w:rsid w:val="005857B1"/>
    <w:rsid w:val="00585C21"/>
    <w:rsid w:val="00586CEA"/>
    <w:rsid w:val="00590BCE"/>
    <w:rsid w:val="00591956"/>
    <w:rsid w:val="00592F85"/>
    <w:rsid w:val="00593C39"/>
    <w:rsid w:val="00595026"/>
    <w:rsid w:val="0059696E"/>
    <w:rsid w:val="005972A4"/>
    <w:rsid w:val="005A180E"/>
    <w:rsid w:val="005A19F2"/>
    <w:rsid w:val="005A1A6C"/>
    <w:rsid w:val="005A2790"/>
    <w:rsid w:val="005A3244"/>
    <w:rsid w:val="005A3740"/>
    <w:rsid w:val="005A4A40"/>
    <w:rsid w:val="005A72C4"/>
    <w:rsid w:val="005B0146"/>
    <w:rsid w:val="005B087B"/>
    <w:rsid w:val="005B1398"/>
    <w:rsid w:val="005B1450"/>
    <w:rsid w:val="005B18D3"/>
    <w:rsid w:val="005B34C7"/>
    <w:rsid w:val="005B3B6E"/>
    <w:rsid w:val="005B3CE1"/>
    <w:rsid w:val="005B461C"/>
    <w:rsid w:val="005B57BB"/>
    <w:rsid w:val="005B7811"/>
    <w:rsid w:val="005C009F"/>
    <w:rsid w:val="005C1034"/>
    <w:rsid w:val="005C15DE"/>
    <w:rsid w:val="005C2A90"/>
    <w:rsid w:val="005C53D5"/>
    <w:rsid w:val="005C741C"/>
    <w:rsid w:val="005D1B7F"/>
    <w:rsid w:val="005D2831"/>
    <w:rsid w:val="005D2C43"/>
    <w:rsid w:val="005D4669"/>
    <w:rsid w:val="005D5682"/>
    <w:rsid w:val="005D5E45"/>
    <w:rsid w:val="005D6CC2"/>
    <w:rsid w:val="005D72FC"/>
    <w:rsid w:val="005D7990"/>
    <w:rsid w:val="005E2143"/>
    <w:rsid w:val="005E24C0"/>
    <w:rsid w:val="005E27F6"/>
    <w:rsid w:val="005E4437"/>
    <w:rsid w:val="005E583E"/>
    <w:rsid w:val="005E64A6"/>
    <w:rsid w:val="005E6BC8"/>
    <w:rsid w:val="005E75C1"/>
    <w:rsid w:val="005E7ED7"/>
    <w:rsid w:val="005F058A"/>
    <w:rsid w:val="005F1827"/>
    <w:rsid w:val="005F3371"/>
    <w:rsid w:val="005F5328"/>
    <w:rsid w:val="005F670E"/>
    <w:rsid w:val="005F7014"/>
    <w:rsid w:val="00600D70"/>
    <w:rsid w:val="006027E4"/>
    <w:rsid w:val="00603037"/>
    <w:rsid w:val="006031E8"/>
    <w:rsid w:val="00604855"/>
    <w:rsid w:val="00605AFF"/>
    <w:rsid w:val="0060678A"/>
    <w:rsid w:val="00610500"/>
    <w:rsid w:val="00611530"/>
    <w:rsid w:val="00611AAB"/>
    <w:rsid w:val="00612074"/>
    <w:rsid w:val="0061269C"/>
    <w:rsid w:val="00612BB8"/>
    <w:rsid w:val="00612D37"/>
    <w:rsid w:val="00612D3D"/>
    <w:rsid w:val="00612E0D"/>
    <w:rsid w:val="00613B6C"/>
    <w:rsid w:val="00615736"/>
    <w:rsid w:val="006157F9"/>
    <w:rsid w:val="00615EBC"/>
    <w:rsid w:val="00616058"/>
    <w:rsid w:val="006163E1"/>
    <w:rsid w:val="00616BB5"/>
    <w:rsid w:val="006174C4"/>
    <w:rsid w:val="006179A0"/>
    <w:rsid w:val="00617AC2"/>
    <w:rsid w:val="0062018F"/>
    <w:rsid w:val="0062226A"/>
    <w:rsid w:val="0062333E"/>
    <w:rsid w:val="00623C79"/>
    <w:rsid w:val="00623C97"/>
    <w:rsid w:val="00624056"/>
    <w:rsid w:val="00625A39"/>
    <w:rsid w:val="0062742C"/>
    <w:rsid w:val="00630173"/>
    <w:rsid w:val="006316DD"/>
    <w:rsid w:val="00631B22"/>
    <w:rsid w:val="00632895"/>
    <w:rsid w:val="00632DCB"/>
    <w:rsid w:val="00633151"/>
    <w:rsid w:val="006344DA"/>
    <w:rsid w:val="00634CCE"/>
    <w:rsid w:val="006358A4"/>
    <w:rsid w:val="00636229"/>
    <w:rsid w:val="006374FF"/>
    <w:rsid w:val="006378D1"/>
    <w:rsid w:val="00637D34"/>
    <w:rsid w:val="006413E8"/>
    <w:rsid w:val="006417EA"/>
    <w:rsid w:val="0064340B"/>
    <w:rsid w:val="0064462D"/>
    <w:rsid w:val="00644EAD"/>
    <w:rsid w:val="006461E2"/>
    <w:rsid w:val="00647877"/>
    <w:rsid w:val="006503BB"/>
    <w:rsid w:val="00651BFE"/>
    <w:rsid w:val="006541D8"/>
    <w:rsid w:val="006541FC"/>
    <w:rsid w:val="00655819"/>
    <w:rsid w:val="006569F6"/>
    <w:rsid w:val="00657131"/>
    <w:rsid w:val="00660E81"/>
    <w:rsid w:val="00663075"/>
    <w:rsid w:val="006634FA"/>
    <w:rsid w:val="00663528"/>
    <w:rsid w:val="006635E5"/>
    <w:rsid w:val="0066517A"/>
    <w:rsid w:val="006658D8"/>
    <w:rsid w:val="006658E9"/>
    <w:rsid w:val="006660FE"/>
    <w:rsid w:val="0066672F"/>
    <w:rsid w:val="006668C6"/>
    <w:rsid w:val="0066769E"/>
    <w:rsid w:val="00667706"/>
    <w:rsid w:val="006679B5"/>
    <w:rsid w:val="0067037C"/>
    <w:rsid w:val="0067040D"/>
    <w:rsid w:val="006711F2"/>
    <w:rsid w:val="00671516"/>
    <w:rsid w:val="0067172D"/>
    <w:rsid w:val="00671C11"/>
    <w:rsid w:val="00672DF3"/>
    <w:rsid w:val="0067317B"/>
    <w:rsid w:val="006753EF"/>
    <w:rsid w:val="006755F7"/>
    <w:rsid w:val="00675694"/>
    <w:rsid w:val="006757F3"/>
    <w:rsid w:val="00675D3D"/>
    <w:rsid w:val="0067624A"/>
    <w:rsid w:val="00676906"/>
    <w:rsid w:val="00676C47"/>
    <w:rsid w:val="00684C66"/>
    <w:rsid w:val="00684F10"/>
    <w:rsid w:val="00685035"/>
    <w:rsid w:val="00686D50"/>
    <w:rsid w:val="00687E3F"/>
    <w:rsid w:val="006928ED"/>
    <w:rsid w:val="00692B58"/>
    <w:rsid w:val="0069463A"/>
    <w:rsid w:val="00695024"/>
    <w:rsid w:val="006954E8"/>
    <w:rsid w:val="00695AC2"/>
    <w:rsid w:val="006962F8"/>
    <w:rsid w:val="006A0281"/>
    <w:rsid w:val="006A0B8C"/>
    <w:rsid w:val="006A2403"/>
    <w:rsid w:val="006A241F"/>
    <w:rsid w:val="006A334B"/>
    <w:rsid w:val="006A3A42"/>
    <w:rsid w:val="006A4119"/>
    <w:rsid w:val="006A5B2F"/>
    <w:rsid w:val="006A5B5E"/>
    <w:rsid w:val="006A5EC2"/>
    <w:rsid w:val="006A6349"/>
    <w:rsid w:val="006A6832"/>
    <w:rsid w:val="006A6F43"/>
    <w:rsid w:val="006A7E74"/>
    <w:rsid w:val="006B056A"/>
    <w:rsid w:val="006B2B0D"/>
    <w:rsid w:val="006B3472"/>
    <w:rsid w:val="006B4086"/>
    <w:rsid w:val="006B4D32"/>
    <w:rsid w:val="006B4E54"/>
    <w:rsid w:val="006B6150"/>
    <w:rsid w:val="006B6B94"/>
    <w:rsid w:val="006B7B71"/>
    <w:rsid w:val="006C0439"/>
    <w:rsid w:val="006C0D92"/>
    <w:rsid w:val="006C1210"/>
    <w:rsid w:val="006C26EB"/>
    <w:rsid w:val="006C4F2F"/>
    <w:rsid w:val="006C4F7A"/>
    <w:rsid w:val="006C62B2"/>
    <w:rsid w:val="006D1DA4"/>
    <w:rsid w:val="006D2592"/>
    <w:rsid w:val="006D53CA"/>
    <w:rsid w:val="006D5E12"/>
    <w:rsid w:val="006D5E30"/>
    <w:rsid w:val="006D659A"/>
    <w:rsid w:val="006D6D7B"/>
    <w:rsid w:val="006D77DD"/>
    <w:rsid w:val="006D7A0B"/>
    <w:rsid w:val="006E008A"/>
    <w:rsid w:val="006E0550"/>
    <w:rsid w:val="006E06AE"/>
    <w:rsid w:val="006E0E54"/>
    <w:rsid w:val="006E283A"/>
    <w:rsid w:val="006E2F25"/>
    <w:rsid w:val="006E4545"/>
    <w:rsid w:val="006E4B2D"/>
    <w:rsid w:val="006E4E2A"/>
    <w:rsid w:val="006E5454"/>
    <w:rsid w:val="006E55C9"/>
    <w:rsid w:val="006E5939"/>
    <w:rsid w:val="006E5EE4"/>
    <w:rsid w:val="006E6ED4"/>
    <w:rsid w:val="006E784F"/>
    <w:rsid w:val="006E7DA7"/>
    <w:rsid w:val="006E7F99"/>
    <w:rsid w:val="006F099B"/>
    <w:rsid w:val="006F1238"/>
    <w:rsid w:val="006F1CBF"/>
    <w:rsid w:val="006F3E72"/>
    <w:rsid w:val="006F5023"/>
    <w:rsid w:val="006F5743"/>
    <w:rsid w:val="006F5AAA"/>
    <w:rsid w:val="006F5AD8"/>
    <w:rsid w:val="006F5B5A"/>
    <w:rsid w:val="006F6014"/>
    <w:rsid w:val="006F6DBB"/>
    <w:rsid w:val="006F6E3D"/>
    <w:rsid w:val="006F7A76"/>
    <w:rsid w:val="006F7FDE"/>
    <w:rsid w:val="00701656"/>
    <w:rsid w:val="00701838"/>
    <w:rsid w:val="007036A1"/>
    <w:rsid w:val="007036E0"/>
    <w:rsid w:val="007049CE"/>
    <w:rsid w:val="00704B3A"/>
    <w:rsid w:val="00704FE3"/>
    <w:rsid w:val="00705B66"/>
    <w:rsid w:val="007064A0"/>
    <w:rsid w:val="00706D28"/>
    <w:rsid w:val="00711D7C"/>
    <w:rsid w:val="0071289E"/>
    <w:rsid w:val="0071481F"/>
    <w:rsid w:val="00714BA6"/>
    <w:rsid w:val="00715B23"/>
    <w:rsid w:val="00715CE3"/>
    <w:rsid w:val="00715EA4"/>
    <w:rsid w:val="00716B56"/>
    <w:rsid w:val="007172C1"/>
    <w:rsid w:val="007173B0"/>
    <w:rsid w:val="0071770B"/>
    <w:rsid w:val="00720140"/>
    <w:rsid w:val="00720493"/>
    <w:rsid w:val="00720638"/>
    <w:rsid w:val="00720864"/>
    <w:rsid w:val="00721310"/>
    <w:rsid w:val="0072148D"/>
    <w:rsid w:val="007216E7"/>
    <w:rsid w:val="0072363F"/>
    <w:rsid w:val="007251D3"/>
    <w:rsid w:val="00725B43"/>
    <w:rsid w:val="00727515"/>
    <w:rsid w:val="007276E6"/>
    <w:rsid w:val="0073006E"/>
    <w:rsid w:val="007310C3"/>
    <w:rsid w:val="007317B7"/>
    <w:rsid w:val="0073189C"/>
    <w:rsid w:val="00731AA3"/>
    <w:rsid w:val="00732C84"/>
    <w:rsid w:val="00733846"/>
    <w:rsid w:val="00733ACA"/>
    <w:rsid w:val="00734EB6"/>
    <w:rsid w:val="00735359"/>
    <w:rsid w:val="0073543C"/>
    <w:rsid w:val="00735DCD"/>
    <w:rsid w:val="0073736C"/>
    <w:rsid w:val="007379E3"/>
    <w:rsid w:val="007406CC"/>
    <w:rsid w:val="0074157A"/>
    <w:rsid w:val="007426B0"/>
    <w:rsid w:val="007428E5"/>
    <w:rsid w:val="00742CAA"/>
    <w:rsid w:val="00743A65"/>
    <w:rsid w:val="00744801"/>
    <w:rsid w:val="00744A7B"/>
    <w:rsid w:val="00744CF8"/>
    <w:rsid w:val="00744D9B"/>
    <w:rsid w:val="007451D7"/>
    <w:rsid w:val="00750F71"/>
    <w:rsid w:val="00751C2D"/>
    <w:rsid w:val="0075236F"/>
    <w:rsid w:val="007532F6"/>
    <w:rsid w:val="007545F8"/>
    <w:rsid w:val="00755014"/>
    <w:rsid w:val="00755CC0"/>
    <w:rsid w:val="007573D0"/>
    <w:rsid w:val="00757B05"/>
    <w:rsid w:val="00757B62"/>
    <w:rsid w:val="00760A1D"/>
    <w:rsid w:val="0076148E"/>
    <w:rsid w:val="0076232D"/>
    <w:rsid w:val="00762D9B"/>
    <w:rsid w:val="00763CB3"/>
    <w:rsid w:val="00763D7C"/>
    <w:rsid w:val="0076425A"/>
    <w:rsid w:val="00764328"/>
    <w:rsid w:val="00764C29"/>
    <w:rsid w:val="0076510A"/>
    <w:rsid w:val="0076641F"/>
    <w:rsid w:val="00767429"/>
    <w:rsid w:val="007708DE"/>
    <w:rsid w:val="00770969"/>
    <w:rsid w:val="0077229B"/>
    <w:rsid w:val="00772D67"/>
    <w:rsid w:val="00773273"/>
    <w:rsid w:val="007732DE"/>
    <w:rsid w:val="00773806"/>
    <w:rsid w:val="00774EFB"/>
    <w:rsid w:val="007754ED"/>
    <w:rsid w:val="00775BB1"/>
    <w:rsid w:val="00776D8C"/>
    <w:rsid w:val="007778E8"/>
    <w:rsid w:val="007803BD"/>
    <w:rsid w:val="00780418"/>
    <w:rsid w:val="00783BCA"/>
    <w:rsid w:val="00783F78"/>
    <w:rsid w:val="00783FB6"/>
    <w:rsid w:val="00784955"/>
    <w:rsid w:val="0078528E"/>
    <w:rsid w:val="007862DB"/>
    <w:rsid w:val="007870D9"/>
    <w:rsid w:val="00787857"/>
    <w:rsid w:val="007905B8"/>
    <w:rsid w:val="00791522"/>
    <w:rsid w:val="00792217"/>
    <w:rsid w:val="007925A3"/>
    <w:rsid w:val="007929EB"/>
    <w:rsid w:val="00793655"/>
    <w:rsid w:val="00793721"/>
    <w:rsid w:val="007946E0"/>
    <w:rsid w:val="00795B53"/>
    <w:rsid w:val="00795DFF"/>
    <w:rsid w:val="0079727A"/>
    <w:rsid w:val="007A0314"/>
    <w:rsid w:val="007A0B35"/>
    <w:rsid w:val="007A0EFB"/>
    <w:rsid w:val="007A10CA"/>
    <w:rsid w:val="007A4492"/>
    <w:rsid w:val="007A4EE7"/>
    <w:rsid w:val="007A5ECF"/>
    <w:rsid w:val="007A5F3A"/>
    <w:rsid w:val="007A745F"/>
    <w:rsid w:val="007B067D"/>
    <w:rsid w:val="007B0D18"/>
    <w:rsid w:val="007B15E3"/>
    <w:rsid w:val="007B186C"/>
    <w:rsid w:val="007B1BF2"/>
    <w:rsid w:val="007B1DDF"/>
    <w:rsid w:val="007B30FE"/>
    <w:rsid w:val="007B3483"/>
    <w:rsid w:val="007B37E5"/>
    <w:rsid w:val="007B3F42"/>
    <w:rsid w:val="007B56B7"/>
    <w:rsid w:val="007B6376"/>
    <w:rsid w:val="007B63F5"/>
    <w:rsid w:val="007B6C46"/>
    <w:rsid w:val="007B7082"/>
    <w:rsid w:val="007C062B"/>
    <w:rsid w:val="007C1D1B"/>
    <w:rsid w:val="007C3830"/>
    <w:rsid w:val="007C3B62"/>
    <w:rsid w:val="007C3E03"/>
    <w:rsid w:val="007C3E3D"/>
    <w:rsid w:val="007C3FCD"/>
    <w:rsid w:val="007C4441"/>
    <w:rsid w:val="007C4619"/>
    <w:rsid w:val="007C4EA6"/>
    <w:rsid w:val="007C50F0"/>
    <w:rsid w:val="007C5173"/>
    <w:rsid w:val="007C556B"/>
    <w:rsid w:val="007C5B69"/>
    <w:rsid w:val="007C639A"/>
    <w:rsid w:val="007D07F6"/>
    <w:rsid w:val="007D0C36"/>
    <w:rsid w:val="007D1C04"/>
    <w:rsid w:val="007D2396"/>
    <w:rsid w:val="007D2877"/>
    <w:rsid w:val="007D2F49"/>
    <w:rsid w:val="007D3D61"/>
    <w:rsid w:val="007D3FCB"/>
    <w:rsid w:val="007E0C43"/>
    <w:rsid w:val="007E173A"/>
    <w:rsid w:val="007E1C55"/>
    <w:rsid w:val="007E21B2"/>
    <w:rsid w:val="007E57B8"/>
    <w:rsid w:val="007E5A84"/>
    <w:rsid w:val="007E5BDF"/>
    <w:rsid w:val="007E7349"/>
    <w:rsid w:val="007E7BE4"/>
    <w:rsid w:val="007F011C"/>
    <w:rsid w:val="007F029F"/>
    <w:rsid w:val="007F03E6"/>
    <w:rsid w:val="007F0772"/>
    <w:rsid w:val="007F1068"/>
    <w:rsid w:val="007F10F2"/>
    <w:rsid w:val="007F1DA0"/>
    <w:rsid w:val="007F2552"/>
    <w:rsid w:val="007F2C88"/>
    <w:rsid w:val="007F3416"/>
    <w:rsid w:val="007F3CC5"/>
    <w:rsid w:val="007F6AF7"/>
    <w:rsid w:val="0080054E"/>
    <w:rsid w:val="00801163"/>
    <w:rsid w:val="00801561"/>
    <w:rsid w:val="0080157B"/>
    <w:rsid w:val="00801A8C"/>
    <w:rsid w:val="00802DF9"/>
    <w:rsid w:val="008035B4"/>
    <w:rsid w:val="00804538"/>
    <w:rsid w:val="00805815"/>
    <w:rsid w:val="00805E71"/>
    <w:rsid w:val="00806639"/>
    <w:rsid w:val="00811A26"/>
    <w:rsid w:val="00812E83"/>
    <w:rsid w:val="00814064"/>
    <w:rsid w:val="008148DF"/>
    <w:rsid w:val="0081602A"/>
    <w:rsid w:val="0081625B"/>
    <w:rsid w:val="00816835"/>
    <w:rsid w:val="00816844"/>
    <w:rsid w:val="0082163D"/>
    <w:rsid w:val="00822A79"/>
    <w:rsid w:val="00823C52"/>
    <w:rsid w:val="008257FD"/>
    <w:rsid w:val="00825EBE"/>
    <w:rsid w:val="0082625D"/>
    <w:rsid w:val="00827321"/>
    <w:rsid w:val="00827AEF"/>
    <w:rsid w:val="00827FAC"/>
    <w:rsid w:val="008315FA"/>
    <w:rsid w:val="008317CF"/>
    <w:rsid w:val="00831F11"/>
    <w:rsid w:val="008328B4"/>
    <w:rsid w:val="0083295A"/>
    <w:rsid w:val="00832A45"/>
    <w:rsid w:val="00832D6D"/>
    <w:rsid w:val="00833B4E"/>
    <w:rsid w:val="00834B12"/>
    <w:rsid w:val="00834E13"/>
    <w:rsid w:val="00835545"/>
    <w:rsid w:val="008364E0"/>
    <w:rsid w:val="008365E9"/>
    <w:rsid w:val="00840165"/>
    <w:rsid w:val="0084043D"/>
    <w:rsid w:val="00841B16"/>
    <w:rsid w:val="00841C2D"/>
    <w:rsid w:val="008432B8"/>
    <w:rsid w:val="008434D5"/>
    <w:rsid w:val="008466D8"/>
    <w:rsid w:val="00846997"/>
    <w:rsid w:val="00846A45"/>
    <w:rsid w:val="0084714C"/>
    <w:rsid w:val="00847BEB"/>
    <w:rsid w:val="008520B1"/>
    <w:rsid w:val="0085275A"/>
    <w:rsid w:val="00852D0D"/>
    <w:rsid w:val="00853343"/>
    <w:rsid w:val="008537B5"/>
    <w:rsid w:val="00855E7B"/>
    <w:rsid w:val="00856C15"/>
    <w:rsid w:val="00856E2A"/>
    <w:rsid w:val="008570E1"/>
    <w:rsid w:val="00860984"/>
    <w:rsid w:val="00860A65"/>
    <w:rsid w:val="00860B13"/>
    <w:rsid w:val="00860ED5"/>
    <w:rsid w:val="008614BF"/>
    <w:rsid w:val="0086212A"/>
    <w:rsid w:val="00862E14"/>
    <w:rsid w:val="00863240"/>
    <w:rsid w:val="00864218"/>
    <w:rsid w:val="0086430F"/>
    <w:rsid w:val="00866774"/>
    <w:rsid w:val="00866E4D"/>
    <w:rsid w:val="00867894"/>
    <w:rsid w:val="00870115"/>
    <w:rsid w:val="008715B9"/>
    <w:rsid w:val="00872DEB"/>
    <w:rsid w:val="00873589"/>
    <w:rsid w:val="00873E7E"/>
    <w:rsid w:val="0087400E"/>
    <w:rsid w:val="008743B1"/>
    <w:rsid w:val="00875593"/>
    <w:rsid w:val="00875E7B"/>
    <w:rsid w:val="008774FC"/>
    <w:rsid w:val="008801E4"/>
    <w:rsid w:val="0088030E"/>
    <w:rsid w:val="00880E5D"/>
    <w:rsid w:val="00880F42"/>
    <w:rsid w:val="008814AF"/>
    <w:rsid w:val="00881A18"/>
    <w:rsid w:val="008824AE"/>
    <w:rsid w:val="00884ADC"/>
    <w:rsid w:val="0089003C"/>
    <w:rsid w:val="00890C85"/>
    <w:rsid w:val="00891244"/>
    <w:rsid w:val="00892A89"/>
    <w:rsid w:val="00892FD2"/>
    <w:rsid w:val="00893430"/>
    <w:rsid w:val="00893867"/>
    <w:rsid w:val="00893C52"/>
    <w:rsid w:val="00894041"/>
    <w:rsid w:val="0089414D"/>
    <w:rsid w:val="00894267"/>
    <w:rsid w:val="008951CD"/>
    <w:rsid w:val="0089576B"/>
    <w:rsid w:val="00895872"/>
    <w:rsid w:val="00895CB6"/>
    <w:rsid w:val="00895DB2"/>
    <w:rsid w:val="00896BBF"/>
    <w:rsid w:val="0089741D"/>
    <w:rsid w:val="008976F9"/>
    <w:rsid w:val="00897E8F"/>
    <w:rsid w:val="008A16E0"/>
    <w:rsid w:val="008A37BD"/>
    <w:rsid w:val="008A4620"/>
    <w:rsid w:val="008A4B11"/>
    <w:rsid w:val="008A554B"/>
    <w:rsid w:val="008A5573"/>
    <w:rsid w:val="008A614A"/>
    <w:rsid w:val="008A7043"/>
    <w:rsid w:val="008A7513"/>
    <w:rsid w:val="008B06C8"/>
    <w:rsid w:val="008B07F4"/>
    <w:rsid w:val="008B0F6A"/>
    <w:rsid w:val="008B1475"/>
    <w:rsid w:val="008B23D2"/>
    <w:rsid w:val="008B291B"/>
    <w:rsid w:val="008B45A6"/>
    <w:rsid w:val="008B61FE"/>
    <w:rsid w:val="008B6C5A"/>
    <w:rsid w:val="008B6F6C"/>
    <w:rsid w:val="008B7077"/>
    <w:rsid w:val="008C1678"/>
    <w:rsid w:val="008C1EFD"/>
    <w:rsid w:val="008C2AE3"/>
    <w:rsid w:val="008C35AB"/>
    <w:rsid w:val="008C3991"/>
    <w:rsid w:val="008C4600"/>
    <w:rsid w:val="008C4A42"/>
    <w:rsid w:val="008C5425"/>
    <w:rsid w:val="008C5A02"/>
    <w:rsid w:val="008C7488"/>
    <w:rsid w:val="008C7811"/>
    <w:rsid w:val="008C7C02"/>
    <w:rsid w:val="008D0356"/>
    <w:rsid w:val="008D09FB"/>
    <w:rsid w:val="008D1926"/>
    <w:rsid w:val="008D1D3B"/>
    <w:rsid w:val="008D1E78"/>
    <w:rsid w:val="008D1F66"/>
    <w:rsid w:val="008D32BA"/>
    <w:rsid w:val="008D3973"/>
    <w:rsid w:val="008D4FEF"/>
    <w:rsid w:val="008D5825"/>
    <w:rsid w:val="008D59AF"/>
    <w:rsid w:val="008D5E41"/>
    <w:rsid w:val="008D64EA"/>
    <w:rsid w:val="008D68B1"/>
    <w:rsid w:val="008D7155"/>
    <w:rsid w:val="008E0470"/>
    <w:rsid w:val="008E12D4"/>
    <w:rsid w:val="008E1618"/>
    <w:rsid w:val="008E2573"/>
    <w:rsid w:val="008E2905"/>
    <w:rsid w:val="008E3798"/>
    <w:rsid w:val="008E473B"/>
    <w:rsid w:val="008E5D87"/>
    <w:rsid w:val="008E67FE"/>
    <w:rsid w:val="008E71F4"/>
    <w:rsid w:val="008E73B9"/>
    <w:rsid w:val="008F1332"/>
    <w:rsid w:val="008F3AA8"/>
    <w:rsid w:val="008F3D2F"/>
    <w:rsid w:val="008F3FB2"/>
    <w:rsid w:val="008F41CF"/>
    <w:rsid w:val="008F5406"/>
    <w:rsid w:val="008F6A6C"/>
    <w:rsid w:val="008F7B5B"/>
    <w:rsid w:val="009010BA"/>
    <w:rsid w:val="009017FC"/>
    <w:rsid w:val="00907F15"/>
    <w:rsid w:val="00911A08"/>
    <w:rsid w:val="00911F8D"/>
    <w:rsid w:val="009121BE"/>
    <w:rsid w:val="00912499"/>
    <w:rsid w:val="00912E67"/>
    <w:rsid w:val="00912E85"/>
    <w:rsid w:val="00912ED2"/>
    <w:rsid w:val="00912F51"/>
    <w:rsid w:val="00913D44"/>
    <w:rsid w:val="00915A24"/>
    <w:rsid w:val="00916320"/>
    <w:rsid w:val="00917362"/>
    <w:rsid w:val="00917876"/>
    <w:rsid w:val="00920107"/>
    <w:rsid w:val="00920884"/>
    <w:rsid w:val="009215AE"/>
    <w:rsid w:val="0092253F"/>
    <w:rsid w:val="009229A4"/>
    <w:rsid w:val="00922B17"/>
    <w:rsid w:val="00923398"/>
    <w:rsid w:val="00923FB6"/>
    <w:rsid w:val="00924720"/>
    <w:rsid w:val="0092581C"/>
    <w:rsid w:val="00925FD0"/>
    <w:rsid w:val="009260AF"/>
    <w:rsid w:val="00927A15"/>
    <w:rsid w:val="00927D2E"/>
    <w:rsid w:val="0093077E"/>
    <w:rsid w:val="00930DEE"/>
    <w:rsid w:val="00932A56"/>
    <w:rsid w:val="00932C6D"/>
    <w:rsid w:val="009337B7"/>
    <w:rsid w:val="0093651E"/>
    <w:rsid w:val="00936F01"/>
    <w:rsid w:val="00937774"/>
    <w:rsid w:val="00937BE8"/>
    <w:rsid w:val="00940EB8"/>
    <w:rsid w:val="00941241"/>
    <w:rsid w:val="009423AD"/>
    <w:rsid w:val="00943F62"/>
    <w:rsid w:val="00945AAD"/>
    <w:rsid w:val="00945E3D"/>
    <w:rsid w:val="00946F0C"/>
    <w:rsid w:val="009474A2"/>
    <w:rsid w:val="00947870"/>
    <w:rsid w:val="00952792"/>
    <w:rsid w:val="00952DC6"/>
    <w:rsid w:val="00953E7C"/>
    <w:rsid w:val="00956BAB"/>
    <w:rsid w:val="009570EE"/>
    <w:rsid w:val="009574E9"/>
    <w:rsid w:val="00957E35"/>
    <w:rsid w:val="00960329"/>
    <w:rsid w:val="0096081E"/>
    <w:rsid w:val="00961243"/>
    <w:rsid w:val="009612E2"/>
    <w:rsid w:val="00961BB0"/>
    <w:rsid w:val="00961F26"/>
    <w:rsid w:val="00963656"/>
    <w:rsid w:val="00964314"/>
    <w:rsid w:val="00964E59"/>
    <w:rsid w:val="009657A3"/>
    <w:rsid w:val="00966FCA"/>
    <w:rsid w:val="00971155"/>
    <w:rsid w:val="009723C8"/>
    <w:rsid w:val="0097250D"/>
    <w:rsid w:val="009726C1"/>
    <w:rsid w:val="00973158"/>
    <w:rsid w:val="00973251"/>
    <w:rsid w:val="00973470"/>
    <w:rsid w:val="00974891"/>
    <w:rsid w:val="00974B77"/>
    <w:rsid w:val="00974E52"/>
    <w:rsid w:val="00975454"/>
    <w:rsid w:val="009763B6"/>
    <w:rsid w:val="00976D59"/>
    <w:rsid w:val="0097725B"/>
    <w:rsid w:val="009814FE"/>
    <w:rsid w:val="00981632"/>
    <w:rsid w:val="0098203D"/>
    <w:rsid w:val="00984144"/>
    <w:rsid w:val="009841B9"/>
    <w:rsid w:val="0098432C"/>
    <w:rsid w:val="00984427"/>
    <w:rsid w:val="00985418"/>
    <w:rsid w:val="0098662E"/>
    <w:rsid w:val="00986FAB"/>
    <w:rsid w:val="0099048F"/>
    <w:rsid w:val="00992497"/>
    <w:rsid w:val="0099294B"/>
    <w:rsid w:val="009933AE"/>
    <w:rsid w:val="00993BAA"/>
    <w:rsid w:val="00994031"/>
    <w:rsid w:val="00994C66"/>
    <w:rsid w:val="00995780"/>
    <w:rsid w:val="00996558"/>
    <w:rsid w:val="00996709"/>
    <w:rsid w:val="009A23D9"/>
    <w:rsid w:val="009A2513"/>
    <w:rsid w:val="009A41FC"/>
    <w:rsid w:val="009A4785"/>
    <w:rsid w:val="009A49C5"/>
    <w:rsid w:val="009A50B6"/>
    <w:rsid w:val="009A5182"/>
    <w:rsid w:val="009A51FB"/>
    <w:rsid w:val="009A5A32"/>
    <w:rsid w:val="009A65FA"/>
    <w:rsid w:val="009A6E0B"/>
    <w:rsid w:val="009A7C63"/>
    <w:rsid w:val="009B058C"/>
    <w:rsid w:val="009B1E6F"/>
    <w:rsid w:val="009B3636"/>
    <w:rsid w:val="009B61ED"/>
    <w:rsid w:val="009B644C"/>
    <w:rsid w:val="009B7090"/>
    <w:rsid w:val="009B71BF"/>
    <w:rsid w:val="009C0531"/>
    <w:rsid w:val="009C0903"/>
    <w:rsid w:val="009C1140"/>
    <w:rsid w:val="009C17CC"/>
    <w:rsid w:val="009C1922"/>
    <w:rsid w:val="009C285D"/>
    <w:rsid w:val="009C32A9"/>
    <w:rsid w:val="009C3596"/>
    <w:rsid w:val="009C49A1"/>
    <w:rsid w:val="009C49DE"/>
    <w:rsid w:val="009C7BA5"/>
    <w:rsid w:val="009C7C44"/>
    <w:rsid w:val="009C7D23"/>
    <w:rsid w:val="009D1B1C"/>
    <w:rsid w:val="009D35B0"/>
    <w:rsid w:val="009D39CD"/>
    <w:rsid w:val="009D4F1A"/>
    <w:rsid w:val="009E026D"/>
    <w:rsid w:val="009E0273"/>
    <w:rsid w:val="009E0284"/>
    <w:rsid w:val="009E0570"/>
    <w:rsid w:val="009E09F5"/>
    <w:rsid w:val="009E16DE"/>
    <w:rsid w:val="009E21B6"/>
    <w:rsid w:val="009E26D4"/>
    <w:rsid w:val="009E3A9E"/>
    <w:rsid w:val="009E3B68"/>
    <w:rsid w:val="009E5330"/>
    <w:rsid w:val="009E6932"/>
    <w:rsid w:val="009E6BB4"/>
    <w:rsid w:val="009E7985"/>
    <w:rsid w:val="009F01E1"/>
    <w:rsid w:val="009F0B96"/>
    <w:rsid w:val="009F13C5"/>
    <w:rsid w:val="009F284A"/>
    <w:rsid w:val="009F3022"/>
    <w:rsid w:val="009F30C8"/>
    <w:rsid w:val="009F3175"/>
    <w:rsid w:val="009F3C1A"/>
    <w:rsid w:val="009F427C"/>
    <w:rsid w:val="009F4869"/>
    <w:rsid w:val="009F4BBA"/>
    <w:rsid w:val="009F5F57"/>
    <w:rsid w:val="009F6807"/>
    <w:rsid w:val="009F79CD"/>
    <w:rsid w:val="009F7C6D"/>
    <w:rsid w:val="009F7D61"/>
    <w:rsid w:val="00A006CD"/>
    <w:rsid w:val="00A01760"/>
    <w:rsid w:val="00A01A65"/>
    <w:rsid w:val="00A020A2"/>
    <w:rsid w:val="00A021F3"/>
    <w:rsid w:val="00A0316F"/>
    <w:rsid w:val="00A032B5"/>
    <w:rsid w:val="00A043F4"/>
    <w:rsid w:val="00A0742C"/>
    <w:rsid w:val="00A1036D"/>
    <w:rsid w:val="00A107C4"/>
    <w:rsid w:val="00A117C8"/>
    <w:rsid w:val="00A13E74"/>
    <w:rsid w:val="00A15582"/>
    <w:rsid w:val="00A15806"/>
    <w:rsid w:val="00A166DA"/>
    <w:rsid w:val="00A17071"/>
    <w:rsid w:val="00A202BA"/>
    <w:rsid w:val="00A21198"/>
    <w:rsid w:val="00A21FAE"/>
    <w:rsid w:val="00A22743"/>
    <w:rsid w:val="00A23F94"/>
    <w:rsid w:val="00A24900"/>
    <w:rsid w:val="00A2496B"/>
    <w:rsid w:val="00A26421"/>
    <w:rsid w:val="00A26C20"/>
    <w:rsid w:val="00A27187"/>
    <w:rsid w:val="00A27C59"/>
    <w:rsid w:val="00A3777A"/>
    <w:rsid w:val="00A4240E"/>
    <w:rsid w:val="00A424BF"/>
    <w:rsid w:val="00A43E9D"/>
    <w:rsid w:val="00A44BBA"/>
    <w:rsid w:val="00A4522C"/>
    <w:rsid w:val="00A471CC"/>
    <w:rsid w:val="00A51127"/>
    <w:rsid w:val="00A5142F"/>
    <w:rsid w:val="00A52E82"/>
    <w:rsid w:val="00A54D1F"/>
    <w:rsid w:val="00A5587C"/>
    <w:rsid w:val="00A562C4"/>
    <w:rsid w:val="00A564A7"/>
    <w:rsid w:val="00A56D60"/>
    <w:rsid w:val="00A6012D"/>
    <w:rsid w:val="00A60415"/>
    <w:rsid w:val="00A60CD4"/>
    <w:rsid w:val="00A644E3"/>
    <w:rsid w:val="00A65379"/>
    <w:rsid w:val="00A6660E"/>
    <w:rsid w:val="00A70DA8"/>
    <w:rsid w:val="00A7249F"/>
    <w:rsid w:val="00A72825"/>
    <w:rsid w:val="00A72C91"/>
    <w:rsid w:val="00A7413F"/>
    <w:rsid w:val="00A74736"/>
    <w:rsid w:val="00A74814"/>
    <w:rsid w:val="00A7693E"/>
    <w:rsid w:val="00A81190"/>
    <w:rsid w:val="00A83802"/>
    <w:rsid w:val="00A838B3"/>
    <w:rsid w:val="00A84050"/>
    <w:rsid w:val="00A860C7"/>
    <w:rsid w:val="00A8664C"/>
    <w:rsid w:val="00A86ED3"/>
    <w:rsid w:val="00A910B0"/>
    <w:rsid w:val="00A9197E"/>
    <w:rsid w:val="00A9331B"/>
    <w:rsid w:val="00A93398"/>
    <w:rsid w:val="00A9421C"/>
    <w:rsid w:val="00A94536"/>
    <w:rsid w:val="00A94BEC"/>
    <w:rsid w:val="00A95FDC"/>
    <w:rsid w:val="00A96025"/>
    <w:rsid w:val="00A964D9"/>
    <w:rsid w:val="00A9652E"/>
    <w:rsid w:val="00A974CA"/>
    <w:rsid w:val="00A978DC"/>
    <w:rsid w:val="00A97D5F"/>
    <w:rsid w:val="00A97DE2"/>
    <w:rsid w:val="00AA0240"/>
    <w:rsid w:val="00AA07E8"/>
    <w:rsid w:val="00AA1044"/>
    <w:rsid w:val="00AA171D"/>
    <w:rsid w:val="00AA19BC"/>
    <w:rsid w:val="00AA238B"/>
    <w:rsid w:val="00AA3043"/>
    <w:rsid w:val="00AA3359"/>
    <w:rsid w:val="00AA409B"/>
    <w:rsid w:val="00AA481B"/>
    <w:rsid w:val="00AA53A1"/>
    <w:rsid w:val="00AA60F8"/>
    <w:rsid w:val="00AB1E4E"/>
    <w:rsid w:val="00AB20C0"/>
    <w:rsid w:val="00AB3585"/>
    <w:rsid w:val="00AB413D"/>
    <w:rsid w:val="00AB6A7F"/>
    <w:rsid w:val="00AB6E42"/>
    <w:rsid w:val="00AB715D"/>
    <w:rsid w:val="00AC0EB4"/>
    <w:rsid w:val="00AC1AF8"/>
    <w:rsid w:val="00AC2FB8"/>
    <w:rsid w:val="00AC3CD2"/>
    <w:rsid w:val="00AC43D3"/>
    <w:rsid w:val="00AC60F9"/>
    <w:rsid w:val="00AC7632"/>
    <w:rsid w:val="00AC794C"/>
    <w:rsid w:val="00AD0CD0"/>
    <w:rsid w:val="00AD1BCB"/>
    <w:rsid w:val="00AD2271"/>
    <w:rsid w:val="00AD228D"/>
    <w:rsid w:val="00AD3722"/>
    <w:rsid w:val="00AD386B"/>
    <w:rsid w:val="00AD59CB"/>
    <w:rsid w:val="00AD6433"/>
    <w:rsid w:val="00AD6752"/>
    <w:rsid w:val="00AD7713"/>
    <w:rsid w:val="00AD78C4"/>
    <w:rsid w:val="00AD78FC"/>
    <w:rsid w:val="00AD7BDA"/>
    <w:rsid w:val="00AD7E7B"/>
    <w:rsid w:val="00AE02A6"/>
    <w:rsid w:val="00AE0B56"/>
    <w:rsid w:val="00AE1BD2"/>
    <w:rsid w:val="00AE2025"/>
    <w:rsid w:val="00AE2E9E"/>
    <w:rsid w:val="00AE30E4"/>
    <w:rsid w:val="00AE36F9"/>
    <w:rsid w:val="00AE3FD9"/>
    <w:rsid w:val="00AE57F5"/>
    <w:rsid w:val="00AE746C"/>
    <w:rsid w:val="00AF17DB"/>
    <w:rsid w:val="00AF1AE6"/>
    <w:rsid w:val="00AF2AB0"/>
    <w:rsid w:val="00AF3243"/>
    <w:rsid w:val="00AF41BD"/>
    <w:rsid w:val="00AF4265"/>
    <w:rsid w:val="00AF636E"/>
    <w:rsid w:val="00AF6650"/>
    <w:rsid w:val="00AF795D"/>
    <w:rsid w:val="00B00568"/>
    <w:rsid w:val="00B00AE6"/>
    <w:rsid w:val="00B0143E"/>
    <w:rsid w:val="00B0231E"/>
    <w:rsid w:val="00B031A4"/>
    <w:rsid w:val="00B046CC"/>
    <w:rsid w:val="00B04A75"/>
    <w:rsid w:val="00B04CDE"/>
    <w:rsid w:val="00B0560C"/>
    <w:rsid w:val="00B057D1"/>
    <w:rsid w:val="00B05E40"/>
    <w:rsid w:val="00B06EC3"/>
    <w:rsid w:val="00B075FB"/>
    <w:rsid w:val="00B07912"/>
    <w:rsid w:val="00B07974"/>
    <w:rsid w:val="00B10BC0"/>
    <w:rsid w:val="00B10E69"/>
    <w:rsid w:val="00B115B0"/>
    <w:rsid w:val="00B1180B"/>
    <w:rsid w:val="00B11A0D"/>
    <w:rsid w:val="00B131FC"/>
    <w:rsid w:val="00B133A2"/>
    <w:rsid w:val="00B1363E"/>
    <w:rsid w:val="00B13D7C"/>
    <w:rsid w:val="00B143C8"/>
    <w:rsid w:val="00B1593E"/>
    <w:rsid w:val="00B1647E"/>
    <w:rsid w:val="00B16DBB"/>
    <w:rsid w:val="00B16E28"/>
    <w:rsid w:val="00B16EA2"/>
    <w:rsid w:val="00B17DFC"/>
    <w:rsid w:val="00B17E99"/>
    <w:rsid w:val="00B22B29"/>
    <w:rsid w:val="00B22B67"/>
    <w:rsid w:val="00B2351F"/>
    <w:rsid w:val="00B24C8F"/>
    <w:rsid w:val="00B25051"/>
    <w:rsid w:val="00B25515"/>
    <w:rsid w:val="00B2595B"/>
    <w:rsid w:val="00B267BC"/>
    <w:rsid w:val="00B278E4"/>
    <w:rsid w:val="00B3000D"/>
    <w:rsid w:val="00B30083"/>
    <w:rsid w:val="00B30978"/>
    <w:rsid w:val="00B30A4E"/>
    <w:rsid w:val="00B338D8"/>
    <w:rsid w:val="00B3511A"/>
    <w:rsid w:val="00B35B5D"/>
    <w:rsid w:val="00B364B8"/>
    <w:rsid w:val="00B364BD"/>
    <w:rsid w:val="00B401DD"/>
    <w:rsid w:val="00B41190"/>
    <w:rsid w:val="00B41283"/>
    <w:rsid w:val="00B43047"/>
    <w:rsid w:val="00B451B8"/>
    <w:rsid w:val="00B46ACA"/>
    <w:rsid w:val="00B46E3B"/>
    <w:rsid w:val="00B47199"/>
    <w:rsid w:val="00B472D9"/>
    <w:rsid w:val="00B47CCE"/>
    <w:rsid w:val="00B50D30"/>
    <w:rsid w:val="00B53560"/>
    <w:rsid w:val="00B53F8B"/>
    <w:rsid w:val="00B540F8"/>
    <w:rsid w:val="00B5440B"/>
    <w:rsid w:val="00B557F3"/>
    <w:rsid w:val="00B55F41"/>
    <w:rsid w:val="00B57386"/>
    <w:rsid w:val="00B60B08"/>
    <w:rsid w:val="00B60BAC"/>
    <w:rsid w:val="00B6199A"/>
    <w:rsid w:val="00B62111"/>
    <w:rsid w:val="00B62AF5"/>
    <w:rsid w:val="00B63D42"/>
    <w:rsid w:val="00B63F76"/>
    <w:rsid w:val="00B6445D"/>
    <w:rsid w:val="00B64994"/>
    <w:rsid w:val="00B64B2D"/>
    <w:rsid w:val="00B64FC0"/>
    <w:rsid w:val="00B650C1"/>
    <w:rsid w:val="00B65DBF"/>
    <w:rsid w:val="00B666B6"/>
    <w:rsid w:val="00B66A20"/>
    <w:rsid w:val="00B7037D"/>
    <w:rsid w:val="00B70D5F"/>
    <w:rsid w:val="00B7173F"/>
    <w:rsid w:val="00B72055"/>
    <w:rsid w:val="00B72700"/>
    <w:rsid w:val="00B73C28"/>
    <w:rsid w:val="00B743B7"/>
    <w:rsid w:val="00B74674"/>
    <w:rsid w:val="00B74F83"/>
    <w:rsid w:val="00B768CA"/>
    <w:rsid w:val="00B76D27"/>
    <w:rsid w:val="00B80D87"/>
    <w:rsid w:val="00B82397"/>
    <w:rsid w:val="00B8345A"/>
    <w:rsid w:val="00B83716"/>
    <w:rsid w:val="00B83CD6"/>
    <w:rsid w:val="00B854A3"/>
    <w:rsid w:val="00B859E2"/>
    <w:rsid w:val="00B86C41"/>
    <w:rsid w:val="00B870A7"/>
    <w:rsid w:val="00B878EC"/>
    <w:rsid w:val="00B904E8"/>
    <w:rsid w:val="00B9052B"/>
    <w:rsid w:val="00B90796"/>
    <w:rsid w:val="00B90A27"/>
    <w:rsid w:val="00B90EF4"/>
    <w:rsid w:val="00B93167"/>
    <w:rsid w:val="00B94114"/>
    <w:rsid w:val="00B94889"/>
    <w:rsid w:val="00B966A3"/>
    <w:rsid w:val="00B9707A"/>
    <w:rsid w:val="00B97C03"/>
    <w:rsid w:val="00BA0E9A"/>
    <w:rsid w:val="00BA2C04"/>
    <w:rsid w:val="00BA3923"/>
    <w:rsid w:val="00BA5205"/>
    <w:rsid w:val="00BA5CF0"/>
    <w:rsid w:val="00BA79CB"/>
    <w:rsid w:val="00BA7CAC"/>
    <w:rsid w:val="00BB044B"/>
    <w:rsid w:val="00BB057F"/>
    <w:rsid w:val="00BB065D"/>
    <w:rsid w:val="00BB0DF8"/>
    <w:rsid w:val="00BB1574"/>
    <w:rsid w:val="00BB2352"/>
    <w:rsid w:val="00BB287B"/>
    <w:rsid w:val="00BB5800"/>
    <w:rsid w:val="00BB59AE"/>
    <w:rsid w:val="00BB6269"/>
    <w:rsid w:val="00BB668E"/>
    <w:rsid w:val="00BB6AA3"/>
    <w:rsid w:val="00BB727B"/>
    <w:rsid w:val="00BC08FA"/>
    <w:rsid w:val="00BC15DE"/>
    <w:rsid w:val="00BC1AF3"/>
    <w:rsid w:val="00BC3301"/>
    <w:rsid w:val="00BC3A03"/>
    <w:rsid w:val="00BC48D3"/>
    <w:rsid w:val="00BC4C2D"/>
    <w:rsid w:val="00BC55E1"/>
    <w:rsid w:val="00BC5E4B"/>
    <w:rsid w:val="00BD072F"/>
    <w:rsid w:val="00BD0A86"/>
    <w:rsid w:val="00BD2332"/>
    <w:rsid w:val="00BD2F36"/>
    <w:rsid w:val="00BD346C"/>
    <w:rsid w:val="00BD4D4B"/>
    <w:rsid w:val="00BD5A99"/>
    <w:rsid w:val="00BD67FA"/>
    <w:rsid w:val="00BD6F6A"/>
    <w:rsid w:val="00BE1051"/>
    <w:rsid w:val="00BE1EA9"/>
    <w:rsid w:val="00BE3A81"/>
    <w:rsid w:val="00BE3C22"/>
    <w:rsid w:val="00BE3F14"/>
    <w:rsid w:val="00BE5419"/>
    <w:rsid w:val="00BE5601"/>
    <w:rsid w:val="00BE63E3"/>
    <w:rsid w:val="00BF0CDA"/>
    <w:rsid w:val="00BF122F"/>
    <w:rsid w:val="00BF155C"/>
    <w:rsid w:val="00BF3A1D"/>
    <w:rsid w:val="00BF42BA"/>
    <w:rsid w:val="00BF5D3D"/>
    <w:rsid w:val="00BF697D"/>
    <w:rsid w:val="00C00D33"/>
    <w:rsid w:val="00C01122"/>
    <w:rsid w:val="00C03924"/>
    <w:rsid w:val="00C03EA5"/>
    <w:rsid w:val="00C043AF"/>
    <w:rsid w:val="00C0445D"/>
    <w:rsid w:val="00C046B3"/>
    <w:rsid w:val="00C049B6"/>
    <w:rsid w:val="00C04F97"/>
    <w:rsid w:val="00C04FFC"/>
    <w:rsid w:val="00C053E5"/>
    <w:rsid w:val="00C060B5"/>
    <w:rsid w:val="00C06228"/>
    <w:rsid w:val="00C06CEF"/>
    <w:rsid w:val="00C07495"/>
    <w:rsid w:val="00C07F1B"/>
    <w:rsid w:val="00C11BBC"/>
    <w:rsid w:val="00C123FC"/>
    <w:rsid w:val="00C12629"/>
    <w:rsid w:val="00C12C53"/>
    <w:rsid w:val="00C13DDE"/>
    <w:rsid w:val="00C146F6"/>
    <w:rsid w:val="00C14720"/>
    <w:rsid w:val="00C158B2"/>
    <w:rsid w:val="00C162B7"/>
    <w:rsid w:val="00C1733A"/>
    <w:rsid w:val="00C21A84"/>
    <w:rsid w:val="00C22AAC"/>
    <w:rsid w:val="00C2336A"/>
    <w:rsid w:val="00C23D5B"/>
    <w:rsid w:val="00C242F1"/>
    <w:rsid w:val="00C25065"/>
    <w:rsid w:val="00C2553A"/>
    <w:rsid w:val="00C2557C"/>
    <w:rsid w:val="00C25E81"/>
    <w:rsid w:val="00C27586"/>
    <w:rsid w:val="00C27D79"/>
    <w:rsid w:val="00C30982"/>
    <w:rsid w:val="00C30B0E"/>
    <w:rsid w:val="00C30F23"/>
    <w:rsid w:val="00C31188"/>
    <w:rsid w:val="00C321EC"/>
    <w:rsid w:val="00C35B5A"/>
    <w:rsid w:val="00C36116"/>
    <w:rsid w:val="00C36A9B"/>
    <w:rsid w:val="00C37C0C"/>
    <w:rsid w:val="00C41043"/>
    <w:rsid w:val="00C427A4"/>
    <w:rsid w:val="00C427E5"/>
    <w:rsid w:val="00C432CD"/>
    <w:rsid w:val="00C437D5"/>
    <w:rsid w:val="00C45148"/>
    <w:rsid w:val="00C45C28"/>
    <w:rsid w:val="00C475C7"/>
    <w:rsid w:val="00C50F0D"/>
    <w:rsid w:val="00C5129E"/>
    <w:rsid w:val="00C5152F"/>
    <w:rsid w:val="00C51D29"/>
    <w:rsid w:val="00C53B21"/>
    <w:rsid w:val="00C53E07"/>
    <w:rsid w:val="00C54340"/>
    <w:rsid w:val="00C5522C"/>
    <w:rsid w:val="00C55D0C"/>
    <w:rsid w:val="00C55EF9"/>
    <w:rsid w:val="00C56CAD"/>
    <w:rsid w:val="00C5776A"/>
    <w:rsid w:val="00C57C4C"/>
    <w:rsid w:val="00C60D8C"/>
    <w:rsid w:val="00C62448"/>
    <w:rsid w:val="00C638C2"/>
    <w:rsid w:val="00C64847"/>
    <w:rsid w:val="00C65757"/>
    <w:rsid w:val="00C66398"/>
    <w:rsid w:val="00C666AD"/>
    <w:rsid w:val="00C67F44"/>
    <w:rsid w:val="00C71FEC"/>
    <w:rsid w:val="00C7212E"/>
    <w:rsid w:val="00C738A5"/>
    <w:rsid w:val="00C7496F"/>
    <w:rsid w:val="00C74C4B"/>
    <w:rsid w:val="00C75B39"/>
    <w:rsid w:val="00C75DE5"/>
    <w:rsid w:val="00C771CE"/>
    <w:rsid w:val="00C7728F"/>
    <w:rsid w:val="00C82ABC"/>
    <w:rsid w:val="00C82F92"/>
    <w:rsid w:val="00C831DF"/>
    <w:rsid w:val="00C83818"/>
    <w:rsid w:val="00C83AC5"/>
    <w:rsid w:val="00C83FC5"/>
    <w:rsid w:val="00C842D8"/>
    <w:rsid w:val="00C84AF3"/>
    <w:rsid w:val="00C8559C"/>
    <w:rsid w:val="00C8641F"/>
    <w:rsid w:val="00C872EF"/>
    <w:rsid w:val="00C87829"/>
    <w:rsid w:val="00C90C19"/>
    <w:rsid w:val="00C92341"/>
    <w:rsid w:val="00C92696"/>
    <w:rsid w:val="00C93218"/>
    <w:rsid w:val="00C94A49"/>
    <w:rsid w:val="00C951F9"/>
    <w:rsid w:val="00C9562E"/>
    <w:rsid w:val="00C957F8"/>
    <w:rsid w:val="00C95A0A"/>
    <w:rsid w:val="00C965F9"/>
    <w:rsid w:val="00C977C8"/>
    <w:rsid w:val="00CA0CC1"/>
    <w:rsid w:val="00CA0E63"/>
    <w:rsid w:val="00CA15C8"/>
    <w:rsid w:val="00CA1F7D"/>
    <w:rsid w:val="00CA3041"/>
    <w:rsid w:val="00CA3F3B"/>
    <w:rsid w:val="00CA49C6"/>
    <w:rsid w:val="00CA66FB"/>
    <w:rsid w:val="00CA6D90"/>
    <w:rsid w:val="00CB18F8"/>
    <w:rsid w:val="00CB1AE8"/>
    <w:rsid w:val="00CB2084"/>
    <w:rsid w:val="00CB2308"/>
    <w:rsid w:val="00CB24DE"/>
    <w:rsid w:val="00CB26B4"/>
    <w:rsid w:val="00CB2F72"/>
    <w:rsid w:val="00CB3D60"/>
    <w:rsid w:val="00CB4C78"/>
    <w:rsid w:val="00CB5BD1"/>
    <w:rsid w:val="00CB61A9"/>
    <w:rsid w:val="00CB67BC"/>
    <w:rsid w:val="00CB691E"/>
    <w:rsid w:val="00CB6A1B"/>
    <w:rsid w:val="00CB71A2"/>
    <w:rsid w:val="00CB73AC"/>
    <w:rsid w:val="00CB7881"/>
    <w:rsid w:val="00CB7D81"/>
    <w:rsid w:val="00CC0C37"/>
    <w:rsid w:val="00CC0CBD"/>
    <w:rsid w:val="00CC1068"/>
    <w:rsid w:val="00CC1F30"/>
    <w:rsid w:val="00CC22D8"/>
    <w:rsid w:val="00CC2F8B"/>
    <w:rsid w:val="00CC37C7"/>
    <w:rsid w:val="00CC44B4"/>
    <w:rsid w:val="00CC4DB9"/>
    <w:rsid w:val="00CC781F"/>
    <w:rsid w:val="00CC7974"/>
    <w:rsid w:val="00CD2614"/>
    <w:rsid w:val="00CD271D"/>
    <w:rsid w:val="00CD291B"/>
    <w:rsid w:val="00CD3C56"/>
    <w:rsid w:val="00CD4E02"/>
    <w:rsid w:val="00CD670D"/>
    <w:rsid w:val="00CE0EB4"/>
    <w:rsid w:val="00CE180F"/>
    <w:rsid w:val="00CE1E64"/>
    <w:rsid w:val="00CE263A"/>
    <w:rsid w:val="00CE3CCF"/>
    <w:rsid w:val="00CE46F2"/>
    <w:rsid w:val="00CE5867"/>
    <w:rsid w:val="00CE6804"/>
    <w:rsid w:val="00CF091D"/>
    <w:rsid w:val="00CF1303"/>
    <w:rsid w:val="00CF1D97"/>
    <w:rsid w:val="00CF21FA"/>
    <w:rsid w:val="00CF282B"/>
    <w:rsid w:val="00CF2EC6"/>
    <w:rsid w:val="00CF3C37"/>
    <w:rsid w:val="00CF4C32"/>
    <w:rsid w:val="00CF55FE"/>
    <w:rsid w:val="00CF5FEE"/>
    <w:rsid w:val="00CF67C2"/>
    <w:rsid w:val="00CF6C64"/>
    <w:rsid w:val="00CF7E08"/>
    <w:rsid w:val="00D008F6"/>
    <w:rsid w:val="00D00903"/>
    <w:rsid w:val="00D01574"/>
    <w:rsid w:val="00D035DE"/>
    <w:rsid w:val="00D0393C"/>
    <w:rsid w:val="00D07E79"/>
    <w:rsid w:val="00D1089A"/>
    <w:rsid w:val="00D124AE"/>
    <w:rsid w:val="00D1355C"/>
    <w:rsid w:val="00D1417D"/>
    <w:rsid w:val="00D148D0"/>
    <w:rsid w:val="00D17A91"/>
    <w:rsid w:val="00D17FF1"/>
    <w:rsid w:val="00D200F9"/>
    <w:rsid w:val="00D20FD9"/>
    <w:rsid w:val="00D23F23"/>
    <w:rsid w:val="00D243F5"/>
    <w:rsid w:val="00D24E23"/>
    <w:rsid w:val="00D253EA"/>
    <w:rsid w:val="00D274C3"/>
    <w:rsid w:val="00D276EE"/>
    <w:rsid w:val="00D30B32"/>
    <w:rsid w:val="00D315F8"/>
    <w:rsid w:val="00D3623A"/>
    <w:rsid w:val="00D36293"/>
    <w:rsid w:val="00D36C4D"/>
    <w:rsid w:val="00D372A9"/>
    <w:rsid w:val="00D3740C"/>
    <w:rsid w:val="00D41573"/>
    <w:rsid w:val="00D419D0"/>
    <w:rsid w:val="00D448CC"/>
    <w:rsid w:val="00D44A67"/>
    <w:rsid w:val="00D45D1E"/>
    <w:rsid w:val="00D471AE"/>
    <w:rsid w:val="00D51375"/>
    <w:rsid w:val="00D5151D"/>
    <w:rsid w:val="00D52B3A"/>
    <w:rsid w:val="00D53319"/>
    <w:rsid w:val="00D5376D"/>
    <w:rsid w:val="00D542B6"/>
    <w:rsid w:val="00D5461A"/>
    <w:rsid w:val="00D54780"/>
    <w:rsid w:val="00D558D6"/>
    <w:rsid w:val="00D565FE"/>
    <w:rsid w:val="00D56FD4"/>
    <w:rsid w:val="00D61891"/>
    <w:rsid w:val="00D618B1"/>
    <w:rsid w:val="00D620A2"/>
    <w:rsid w:val="00D62DFE"/>
    <w:rsid w:val="00D62F56"/>
    <w:rsid w:val="00D63188"/>
    <w:rsid w:val="00D63B27"/>
    <w:rsid w:val="00D648DC"/>
    <w:rsid w:val="00D6544B"/>
    <w:rsid w:val="00D657F3"/>
    <w:rsid w:val="00D6776B"/>
    <w:rsid w:val="00D703BD"/>
    <w:rsid w:val="00D717CA"/>
    <w:rsid w:val="00D71A50"/>
    <w:rsid w:val="00D73C00"/>
    <w:rsid w:val="00D73DBF"/>
    <w:rsid w:val="00D7427D"/>
    <w:rsid w:val="00D74F08"/>
    <w:rsid w:val="00D75552"/>
    <w:rsid w:val="00D7621D"/>
    <w:rsid w:val="00D773DA"/>
    <w:rsid w:val="00D77AA3"/>
    <w:rsid w:val="00D8081A"/>
    <w:rsid w:val="00D80938"/>
    <w:rsid w:val="00D81D66"/>
    <w:rsid w:val="00D824CA"/>
    <w:rsid w:val="00D83014"/>
    <w:rsid w:val="00D83C72"/>
    <w:rsid w:val="00D83F9C"/>
    <w:rsid w:val="00D85147"/>
    <w:rsid w:val="00D852AF"/>
    <w:rsid w:val="00D876DE"/>
    <w:rsid w:val="00D90338"/>
    <w:rsid w:val="00D91598"/>
    <w:rsid w:val="00D91D67"/>
    <w:rsid w:val="00D926C5"/>
    <w:rsid w:val="00D939C8"/>
    <w:rsid w:val="00D94C6E"/>
    <w:rsid w:val="00D95C6F"/>
    <w:rsid w:val="00D96852"/>
    <w:rsid w:val="00D96F7C"/>
    <w:rsid w:val="00D97942"/>
    <w:rsid w:val="00DA0083"/>
    <w:rsid w:val="00DA026C"/>
    <w:rsid w:val="00DA0412"/>
    <w:rsid w:val="00DA1090"/>
    <w:rsid w:val="00DA28F7"/>
    <w:rsid w:val="00DA367A"/>
    <w:rsid w:val="00DA41F2"/>
    <w:rsid w:val="00DA5E9A"/>
    <w:rsid w:val="00DA623A"/>
    <w:rsid w:val="00DA67CD"/>
    <w:rsid w:val="00DA7FF1"/>
    <w:rsid w:val="00DB04C9"/>
    <w:rsid w:val="00DB0840"/>
    <w:rsid w:val="00DB1253"/>
    <w:rsid w:val="00DB134B"/>
    <w:rsid w:val="00DB14D6"/>
    <w:rsid w:val="00DB19B5"/>
    <w:rsid w:val="00DB1C84"/>
    <w:rsid w:val="00DB1E64"/>
    <w:rsid w:val="00DB27D0"/>
    <w:rsid w:val="00DB2913"/>
    <w:rsid w:val="00DB2C12"/>
    <w:rsid w:val="00DB2DE5"/>
    <w:rsid w:val="00DB33F1"/>
    <w:rsid w:val="00DB407E"/>
    <w:rsid w:val="00DB44F2"/>
    <w:rsid w:val="00DB4636"/>
    <w:rsid w:val="00DB5661"/>
    <w:rsid w:val="00DB626C"/>
    <w:rsid w:val="00DC00BA"/>
    <w:rsid w:val="00DC0544"/>
    <w:rsid w:val="00DC122C"/>
    <w:rsid w:val="00DC1884"/>
    <w:rsid w:val="00DC2D0C"/>
    <w:rsid w:val="00DC2D4C"/>
    <w:rsid w:val="00DC33EA"/>
    <w:rsid w:val="00DC38C4"/>
    <w:rsid w:val="00DC4C2C"/>
    <w:rsid w:val="00DC669C"/>
    <w:rsid w:val="00DC7E3A"/>
    <w:rsid w:val="00DD07A6"/>
    <w:rsid w:val="00DD16E0"/>
    <w:rsid w:val="00DD3097"/>
    <w:rsid w:val="00DD3116"/>
    <w:rsid w:val="00DD31EA"/>
    <w:rsid w:val="00DD351A"/>
    <w:rsid w:val="00DD36AE"/>
    <w:rsid w:val="00DD4F49"/>
    <w:rsid w:val="00DD5B84"/>
    <w:rsid w:val="00DD64EC"/>
    <w:rsid w:val="00DD7A0F"/>
    <w:rsid w:val="00DE06E7"/>
    <w:rsid w:val="00DE0CAE"/>
    <w:rsid w:val="00DE0D05"/>
    <w:rsid w:val="00DE3878"/>
    <w:rsid w:val="00DE38DA"/>
    <w:rsid w:val="00DE3FBF"/>
    <w:rsid w:val="00DE497D"/>
    <w:rsid w:val="00DE5683"/>
    <w:rsid w:val="00DE5C0D"/>
    <w:rsid w:val="00DE60C5"/>
    <w:rsid w:val="00DF00BD"/>
    <w:rsid w:val="00DF0A75"/>
    <w:rsid w:val="00DF1B13"/>
    <w:rsid w:val="00DF1B3A"/>
    <w:rsid w:val="00DF3055"/>
    <w:rsid w:val="00DF40FA"/>
    <w:rsid w:val="00DF5631"/>
    <w:rsid w:val="00DF56DD"/>
    <w:rsid w:val="00DF6583"/>
    <w:rsid w:val="00DF65F9"/>
    <w:rsid w:val="00E006CC"/>
    <w:rsid w:val="00E0083A"/>
    <w:rsid w:val="00E0085D"/>
    <w:rsid w:val="00E01822"/>
    <w:rsid w:val="00E01873"/>
    <w:rsid w:val="00E02652"/>
    <w:rsid w:val="00E02C2D"/>
    <w:rsid w:val="00E0378C"/>
    <w:rsid w:val="00E07213"/>
    <w:rsid w:val="00E07D7E"/>
    <w:rsid w:val="00E10178"/>
    <w:rsid w:val="00E10520"/>
    <w:rsid w:val="00E11385"/>
    <w:rsid w:val="00E129FC"/>
    <w:rsid w:val="00E1414E"/>
    <w:rsid w:val="00E1522E"/>
    <w:rsid w:val="00E1569A"/>
    <w:rsid w:val="00E164A7"/>
    <w:rsid w:val="00E21112"/>
    <w:rsid w:val="00E236E4"/>
    <w:rsid w:val="00E238BC"/>
    <w:rsid w:val="00E240B3"/>
    <w:rsid w:val="00E24EDE"/>
    <w:rsid w:val="00E25DA6"/>
    <w:rsid w:val="00E263E7"/>
    <w:rsid w:val="00E26C9D"/>
    <w:rsid w:val="00E2752C"/>
    <w:rsid w:val="00E27549"/>
    <w:rsid w:val="00E31DDC"/>
    <w:rsid w:val="00E3355E"/>
    <w:rsid w:val="00E337E0"/>
    <w:rsid w:val="00E33DCF"/>
    <w:rsid w:val="00E35DED"/>
    <w:rsid w:val="00E35DF1"/>
    <w:rsid w:val="00E401DE"/>
    <w:rsid w:val="00E409B4"/>
    <w:rsid w:val="00E412BC"/>
    <w:rsid w:val="00E4199D"/>
    <w:rsid w:val="00E4250B"/>
    <w:rsid w:val="00E437BF"/>
    <w:rsid w:val="00E444D7"/>
    <w:rsid w:val="00E45393"/>
    <w:rsid w:val="00E465FE"/>
    <w:rsid w:val="00E468D3"/>
    <w:rsid w:val="00E47F19"/>
    <w:rsid w:val="00E50A68"/>
    <w:rsid w:val="00E50CBE"/>
    <w:rsid w:val="00E52433"/>
    <w:rsid w:val="00E540AE"/>
    <w:rsid w:val="00E54F5A"/>
    <w:rsid w:val="00E55D67"/>
    <w:rsid w:val="00E57894"/>
    <w:rsid w:val="00E57F60"/>
    <w:rsid w:val="00E60E4F"/>
    <w:rsid w:val="00E61CC5"/>
    <w:rsid w:val="00E61D99"/>
    <w:rsid w:val="00E629ED"/>
    <w:rsid w:val="00E64264"/>
    <w:rsid w:val="00E64476"/>
    <w:rsid w:val="00E644BF"/>
    <w:rsid w:val="00E6468F"/>
    <w:rsid w:val="00E6524A"/>
    <w:rsid w:val="00E65435"/>
    <w:rsid w:val="00E66216"/>
    <w:rsid w:val="00E66F4A"/>
    <w:rsid w:val="00E67649"/>
    <w:rsid w:val="00E73359"/>
    <w:rsid w:val="00E7363E"/>
    <w:rsid w:val="00E73BD4"/>
    <w:rsid w:val="00E7414B"/>
    <w:rsid w:val="00E74211"/>
    <w:rsid w:val="00E742B0"/>
    <w:rsid w:val="00E746B6"/>
    <w:rsid w:val="00E7479E"/>
    <w:rsid w:val="00E74F82"/>
    <w:rsid w:val="00E750AD"/>
    <w:rsid w:val="00E75E42"/>
    <w:rsid w:val="00E75FF4"/>
    <w:rsid w:val="00E76048"/>
    <w:rsid w:val="00E80071"/>
    <w:rsid w:val="00E801F6"/>
    <w:rsid w:val="00E80239"/>
    <w:rsid w:val="00E811E6"/>
    <w:rsid w:val="00E8166C"/>
    <w:rsid w:val="00E81F26"/>
    <w:rsid w:val="00E8228B"/>
    <w:rsid w:val="00E8463A"/>
    <w:rsid w:val="00E84D3A"/>
    <w:rsid w:val="00E863DD"/>
    <w:rsid w:val="00E86F33"/>
    <w:rsid w:val="00E8704F"/>
    <w:rsid w:val="00E87334"/>
    <w:rsid w:val="00E87987"/>
    <w:rsid w:val="00E87EF3"/>
    <w:rsid w:val="00E87F45"/>
    <w:rsid w:val="00E903B7"/>
    <w:rsid w:val="00E90E76"/>
    <w:rsid w:val="00E914CA"/>
    <w:rsid w:val="00E914EF"/>
    <w:rsid w:val="00E918F4"/>
    <w:rsid w:val="00E923A1"/>
    <w:rsid w:val="00E925F7"/>
    <w:rsid w:val="00E92858"/>
    <w:rsid w:val="00E92D95"/>
    <w:rsid w:val="00E92F8F"/>
    <w:rsid w:val="00E943C0"/>
    <w:rsid w:val="00E944DC"/>
    <w:rsid w:val="00E945F0"/>
    <w:rsid w:val="00E957CF"/>
    <w:rsid w:val="00E961E9"/>
    <w:rsid w:val="00E9649D"/>
    <w:rsid w:val="00E96CFA"/>
    <w:rsid w:val="00E97E84"/>
    <w:rsid w:val="00EA0C0D"/>
    <w:rsid w:val="00EA6DC4"/>
    <w:rsid w:val="00EA7985"/>
    <w:rsid w:val="00EA7DE9"/>
    <w:rsid w:val="00EB025E"/>
    <w:rsid w:val="00EB0A5D"/>
    <w:rsid w:val="00EB0D2A"/>
    <w:rsid w:val="00EB0D4C"/>
    <w:rsid w:val="00EB13B4"/>
    <w:rsid w:val="00EB21AA"/>
    <w:rsid w:val="00EB2589"/>
    <w:rsid w:val="00EB2EF0"/>
    <w:rsid w:val="00EB44FC"/>
    <w:rsid w:val="00EB4AC2"/>
    <w:rsid w:val="00EB4D6E"/>
    <w:rsid w:val="00EB68E2"/>
    <w:rsid w:val="00EB7C67"/>
    <w:rsid w:val="00EC0923"/>
    <w:rsid w:val="00EC1325"/>
    <w:rsid w:val="00EC2BBF"/>
    <w:rsid w:val="00EC3CBB"/>
    <w:rsid w:val="00EC4F58"/>
    <w:rsid w:val="00EC58CD"/>
    <w:rsid w:val="00EC6C87"/>
    <w:rsid w:val="00EC74AC"/>
    <w:rsid w:val="00EC7520"/>
    <w:rsid w:val="00ED0C66"/>
    <w:rsid w:val="00ED250E"/>
    <w:rsid w:val="00ED2575"/>
    <w:rsid w:val="00ED26E9"/>
    <w:rsid w:val="00ED2A55"/>
    <w:rsid w:val="00ED47FF"/>
    <w:rsid w:val="00ED4EC0"/>
    <w:rsid w:val="00ED6283"/>
    <w:rsid w:val="00ED7407"/>
    <w:rsid w:val="00ED789E"/>
    <w:rsid w:val="00ED78FA"/>
    <w:rsid w:val="00EE12D5"/>
    <w:rsid w:val="00EE139A"/>
    <w:rsid w:val="00EE2B86"/>
    <w:rsid w:val="00EE433A"/>
    <w:rsid w:val="00EE4684"/>
    <w:rsid w:val="00EE77A2"/>
    <w:rsid w:val="00EE7B06"/>
    <w:rsid w:val="00EE7CFC"/>
    <w:rsid w:val="00EF00DA"/>
    <w:rsid w:val="00EF0B0F"/>
    <w:rsid w:val="00EF0C79"/>
    <w:rsid w:val="00EF16AB"/>
    <w:rsid w:val="00EF1E1B"/>
    <w:rsid w:val="00EF297A"/>
    <w:rsid w:val="00EF2B0D"/>
    <w:rsid w:val="00EF315C"/>
    <w:rsid w:val="00EF328F"/>
    <w:rsid w:val="00EF35D8"/>
    <w:rsid w:val="00EF38B8"/>
    <w:rsid w:val="00EF4592"/>
    <w:rsid w:val="00EF6A0F"/>
    <w:rsid w:val="00EF73E7"/>
    <w:rsid w:val="00EF7591"/>
    <w:rsid w:val="00EF7AFB"/>
    <w:rsid w:val="00EF7C97"/>
    <w:rsid w:val="00EF7CC9"/>
    <w:rsid w:val="00F01120"/>
    <w:rsid w:val="00F02708"/>
    <w:rsid w:val="00F02F92"/>
    <w:rsid w:val="00F0659C"/>
    <w:rsid w:val="00F072FE"/>
    <w:rsid w:val="00F07FBF"/>
    <w:rsid w:val="00F1201B"/>
    <w:rsid w:val="00F133CB"/>
    <w:rsid w:val="00F14C2C"/>
    <w:rsid w:val="00F16610"/>
    <w:rsid w:val="00F173ED"/>
    <w:rsid w:val="00F20651"/>
    <w:rsid w:val="00F2219C"/>
    <w:rsid w:val="00F2245A"/>
    <w:rsid w:val="00F22CDF"/>
    <w:rsid w:val="00F22D98"/>
    <w:rsid w:val="00F2359E"/>
    <w:rsid w:val="00F23F80"/>
    <w:rsid w:val="00F243AC"/>
    <w:rsid w:val="00F27445"/>
    <w:rsid w:val="00F279AF"/>
    <w:rsid w:val="00F30ADE"/>
    <w:rsid w:val="00F312D4"/>
    <w:rsid w:val="00F31A35"/>
    <w:rsid w:val="00F327AA"/>
    <w:rsid w:val="00F33547"/>
    <w:rsid w:val="00F341AB"/>
    <w:rsid w:val="00F34299"/>
    <w:rsid w:val="00F3602E"/>
    <w:rsid w:val="00F36ADD"/>
    <w:rsid w:val="00F373CD"/>
    <w:rsid w:val="00F4045D"/>
    <w:rsid w:val="00F4102E"/>
    <w:rsid w:val="00F42FF2"/>
    <w:rsid w:val="00F43D20"/>
    <w:rsid w:val="00F454AE"/>
    <w:rsid w:val="00F45588"/>
    <w:rsid w:val="00F47B40"/>
    <w:rsid w:val="00F516B4"/>
    <w:rsid w:val="00F51EDE"/>
    <w:rsid w:val="00F52541"/>
    <w:rsid w:val="00F53251"/>
    <w:rsid w:val="00F5351E"/>
    <w:rsid w:val="00F565AF"/>
    <w:rsid w:val="00F56E95"/>
    <w:rsid w:val="00F56FF4"/>
    <w:rsid w:val="00F57308"/>
    <w:rsid w:val="00F61011"/>
    <w:rsid w:val="00F61D94"/>
    <w:rsid w:val="00F630D5"/>
    <w:rsid w:val="00F6326D"/>
    <w:rsid w:val="00F6334F"/>
    <w:rsid w:val="00F64E3F"/>
    <w:rsid w:val="00F65301"/>
    <w:rsid w:val="00F65915"/>
    <w:rsid w:val="00F65B7B"/>
    <w:rsid w:val="00F65C7D"/>
    <w:rsid w:val="00F66016"/>
    <w:rsid w:val="00F6717D"/>
    <w:rsid w:val="00F674F0"/>
    <w:rsid w:val="00F67DE8"/>
    <w:rsid w:val="00F71A62"/>
    <w:rsid w:val="00F71C1A"/>
    <w:rsid w:val="00F71DAA"/>
    <w:rsid w:val="00F736E7"/>
    <w:rsid w:val="00F73A3A"/>
    <w:rsid w:val="00F757A5"/>
    <w:rsid w:val="00F75ACE"/>
    <w:rsid w:val="00F76126"/>
    <w:rsid w:val="00F7677F"/>
    <w:rsid w:val="00F768E8"/>
    <w:rsid w:val="00F77757"/>
    <w:rsid w:val="00F778AE"/>
    <w:rsid w:val="00F77B24"/>
    <w:rsid w:val="00F802EC"/>
    <w:rsid w:val="00F83027"/>
    <w:rsid w:val="00F847F4"/>
    <w:rsid w:val="00F860AC"/>
    <w:rsid w:val="00F8673C"/>
    <w:rsid w:val="00F86D4B"/>
    <w:rsid w:val="00F87181"/>
    <w:rsid w:val="00F87E5B"/>
    <w:rsid w:val="00F9048B"/>
    <w:rsid w:val="00F90963"/>
    <w:rsid w:val="00F9096C"/>
    <w:rsid w:val="00F9170C"/>
    <w:rsid w:val="00F92D49"/>
    <w:rsid w:val="00F9550C"/>
    <w:rsid w:val="00F95760"/>
    <w:rsid w:val="00F9669A"/>
    <w:rsid w:val="00F97C38"/>
    <w:rsid w:val="00F97D8B"/>
    <w:rsid w:val="00FA0A8D"/>
    <w:rsid w:val="00FA0D8D"/>
    <w:rsid w:val="00FA101A"/>
    <w:rsid w:val="00FA2C44"/>
    <w:rsid w:val="00FA3509"/>
    <w:rsid w:val="00FA4180"/>
    <w:rsid w:val="00FA41BE"/>
    <w:rsid w:val="00FA5696"/>
    <w:rsid w:val="00FA5DE1"/>
    <w:rsid w:val="00FA64E6"/>
    <w:rsid w:val="00FA6908"/>
    <w:rsid w:val="00FA7521"/>
    <w:rsid w:val="00FA7DBA"/>
    <w:rsid w:val="00FA7F8C"/>
    <w:rsid w:val="00FB02A6"/>
    <w:rsid w:val="00FB20D1"/>
    <w:rsid w:val="00FB2882"/>
    <w:rsid w:val="00FB2918"/>
    <w:rsid w:val="00FB2B49"/>
    <w:rsid w:val="00FB418C"/>
    <w:rsid w:val="00FB4BF6"/>
    <w:rsid w:val="00FB4E1F"/>
    <w:rsid w:val="00FB64AF"/>
    <w:rsid w:val="00FB76D6"/>
    <w:rsid w:val="00FB798A"/>
    <w:rsid w:val="00FC0731"/>
    <w:rsid w:val="00FC0894"/>
    <w:rsid w:val="00FC22E6"/>
    <w:rsid w:val="00FC250C"/>
    <w:rsid w:val="00FC27EC"/>
    <w:rsid w:val="00FC2B19"/>
    <w:rsid w:val="00FC4F0F"/>
    <w:rsid w:val="00FC5071"/>
    <w:rsid w:val="00FC58FD"/>
    <w:rsid w:val="00FC5945"/>
    <w:rsid w:val="00FC6533"/>
    <w:rsid w:val="00FC663D"/>
    <w:rsid w:val="00FC68BE"/>
    <w:rsid w:val="00FD0A23"/>
    <w:rsid w:val="00FD0FA3"/>
    <w:rsid w:val="00FD2DCE"/>
    <w:rsid w:val="00FD2FAD"/>
    <w:rsid w:val="00FD35AD"/>
    <w:rsid w:val="00FD4FBC"/>
    <w:rsid w:val="00FD5AD5"/>
    <w:rsid w:val="00FD5D1B"/>
    <w:rsid w:val="00FE012C"/>
    <w:rsid w:val="00FE0A0B"/>
    <w:rsid w:val="00FE13D2"/>
    <w:rsid w:val="00FE1704"/>
    <w:rsid w:val="00FE2B29"/>
    <w:rsid w:val="00FE4B46"/>
    <w:rsid w:val="00FE6A7A"/>
    <w:rsid w:val="00FE738D"/>
    <w:rsid w:val="00FF0403"/>
    <w:rsid w:val="00FF0419"/>
    <w:rsid w:val="00FF1764"/>
    <w:rsid w:val="00FF2282"/>
    <w:rsid w:val="00FF26A5"/>
    <w:rsid w:val="00FF2E4A"/>
    <w:rsid w:val="00FF3C35"/>
    <w:rsid w:val="00FF43E9"/>
    <w:rsid w:val="00FF4F12"/>
    <w:rsid w:val="00FF53AF"/>
    <w:rsid w:val="00FF5931"/>
    <w:rsid w:val="00FF6505"/>
    <w:rsid w:val="00FF76E7"/>
    <w:rsid w:val="00FF78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8C7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29"/>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1"/>
    <w:lsdException w:name="List Number" w:uiPriority="1"/>
    <w:lsdException w:name="List Bullet 2" w:uiPriority="1"/>
    <w:lsdException w:name="List Number 2" w:uiPriority="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F65F9"/>
    <w:pPr>
      <w:spacing w:before="40" w:after="160" w:line="288" w:lineRule="auto"/>
    </w:pPr>
    <w:rPr>
      <w:rFonts w:ascii="Franklin Gothic Book" w:hAnsi="Franklin Gothic Book"/>
      <w:sz w:val="21"/>
    </w:rPr>
  </w:style>
  <w:style w:type="paragraph" w:styleId="Heading1">
    <w:name w:val="heading 1"/>
    <w:basedOn w:val="Normal"/>
    <w:next w:val="Normal"/>
    <w:link w:val="Heading1Char"/>
    <w:qFormat/>
    <w:rsid w:val="00DF65F9"/>
    <w:pPr>
      <w:keepNext/>
      <w:pageBreakBefore/>
      <w:spacing w:before="480" w:after="1560" w:line="540" w:lineRule="atLeast"/>
      <w:ind w:left="720" w:hanging="720"/>
      <w:outlineLvl w:val="0"/>
    </w:pPr>
    <w:rPr>
      <w:rFonts w:ascii="Arial" w:hAnsi="Arial" w:cs="Arial"/>
      <w:bCs/>
      <w:color w:val="FFFFFF" w:themeColor="background1"/>
      <w:sz w:val="44"/>
      <w:szCs w:val="32"/>
    </w:rPr>
  </w:style>
  <w:style w:type="paragraph" w:styleId="Heading2">
    <w:name w:val="heading 2"/>
    <w:basedOn w:val="Normal"/>
    <w:next w:val="Normal"/>
    <w:link w:val="Heading2Char"/>
    <w:qFormat/>
    <w:rsid w:val="00DF65F9"/>
    <w:pPr>
      <w:keepNext/>
      <w:spacing w:before="480" w:after="120" w:line="240" w:lineRule="auto"/>
      <w:ind w:left="720" w:hanging="720"/>
      <w:outlineLvl w:val="1"/>
    </w:pPr>
    <w:rPr>
      <w:rFonts w:ascii="Arial" w:hAnsi="Arial" w:cs="Arial"/>
      <w:b/>
      <w:bCs/>
      <w:iCs/>
      <w:color w:val="124486"/>
      <w:sz w:val="28"/>
      <w:szCs w:val="28"/>
    </w:rPr>
  </w:style>
  <w:style w:type="paragraph" w:styleId="Heading3">
    <w:name w:val="heading 3"/>
    <w:basedOn w:val="Normal"/>
    <w:next w:val="Normal"/>
    <w:link w:val="Heading3Char"/>
    <w:qFormat/>
    <w:rsid w:val="00DF65F9"/>
    <w:pPr>
      <w:keepNext/>
      <w:spacing w:before="360" w:after="120" w:line="240" w:lineRule="auto"/>
      <w:ind w:left="720" w:hanging="720"/>
      <w:outlineLvl w:val="2"/>
    </w:pPr>
    <w:rPr>
      <w:rFonts w:ascii="Arial" w:hAnsi="Arial" w:cs="Arial"/>
      <w:bCs/>
      <w:color w:val="007FAD"/>
      <w:sz w:val="24"/>
      <w:szCs w:val="26"/>
    </w:rPr>
  </w:style>
  <w:style w:type="paragraph" w:styleId="Heading4">
    <w:name w:val="heading 4"/>
    <w:basedOn w:val="Normal"/>
    <w:next w:val="Normal"/>
    <w:link w:val="Heading4Char"/>
    <w:rsid w:val="00704B3A"/>
    <w:pPr>
      <w:keepNext/>
      <w:spacing w:before="240"/>
      <w:outlineLvl w:val="3"/>
    </w:pPr>
    <w:rPr>
      <w:rFonts w:ascii="Arial" w:hAnsi="Arial"/>
      <w:b/>
      <w:bCs/>
      <w:sz w:val="22"/>
      <w:szCs w:val="28"/>
    </w:rPr>
  </w:style>
  <w:style w:type="paragraph" w:styleId="Heading5">
    <w:name w:val="heading 5"/>
    <w:basedOn w:val="Normal"/>
    <w:next w:val="Normal"/>
    <w:link w:val="Heading5Char"/>
    <w:rsid w:val="00704B3A"/>
    <w:pPr>
      <w:keepNext/>
      <w:spacing w:before="60" w:after="60"/>
      <w:outlineLvl w:val="4"/>
    </w:pPr>
    <w:rPr>
      <w:rFonts w:ascii="Arial" w:hAnsi="Arial"/>
      <w:bCs/>
      <w:i/>
      <w:iCs/>
      <w:sz w:val="22"/>
      <w:szCs w:val="26"/>
    </w:rPr>
  </w:style>
  <w:style w:type="paragraph" w:styleId="Heading6">
    <w:name w:val="heading 6"/>
    <w:aliases w:val="Appendix Heading 1"/>
    <w:basedOn w:val="Normal"/>
    <w:next w:val="Normal"/>
    <w:link w:val="Heading6Char"/>
    <w:uiPriority w:val="29"/>
    <w:unhideWhenUsed/>
    <w:rsid w:val="00094075"/>
    <w:pPr>
      <w:keepNext/>
      <w:keepLines/>
      <w:spacing w:before="200" w:after="0"/>
      <w:outlineLvl w:val="5"/>
    </w:pPr>
    <w:rPr>
      <w:rFonts w:eastAsiaTheme="majorEastAsia" w:cstheme="majorBidi"/>
      <w:i/>
      <w:iCs/>
      <w:color w:val="243F60" w:themeColor="accent1" w:themeShade="7F"/>
    </w:rPr>
  </w:style>
  <w:style w:type="paragraph" w:styleId="Heading7">
    <w:name w:val="heading 7"/>
    <w:aliases w:val="Appendix Heading 2"/>
    <w:next w:val="BodyText"/>
    <w:link w:val="Heading7Char"/>
    <w:uiPriority w:val="9"/>
    <w:semiHidden/>
    <w:unhideWhenUsed/>
    <w:qFormat/>
    <w:rsid w:val="00F3602E"/>
    <w:pPr>
      <w:keepNext/>
      <w:keepLines/>
      <w:spacing w:before="40" w:line="288" w:lineRule="auto"/>
      <w:outlineLvl w:val="6"/>
    </w:pPr>
    <w:rPr>
      <w:rFonts w:asciiTheme="majorHAnsi" w:eastAsiaTheme="majorEastAsia" w:hAnsiTheme="majorHAnsi" w:cstheme="majorBidi"/>
      <w:i/>
      <w:iCs/>
      <w:color w:val="243F60" w:themeColor="accent1" w:themeShade="7F"/>
      <w:sz w:val="21"/>
    </w:rPr>
  </w:style>
  <w:style w:type="paragraph" w:styleId="Heading8">
    <w:name w:val="heading 8"/>
    <w:aliases w:val="Appendix Heading 3"/>
    <w:basedOn w:val="Heading3"/>
    <w:next w:val="BodyText"/>
    <w:link w:val="Heading8Char"/>
    <w:uiPriority w:val="9"/>
    <w:semiHidden/>
    <w:unhideWhenUsed/>
    <w:qFormat/>
    <w:rsid w:val="00F3602E"/>
    <w:pPr>
      <w:keepLines/>
      <w:spacing w:before="40" w:after="0" w:line="288" w:lineRule="auto"/>
      <w:ind w:left="0" w:firstLine="0"/>
      <w:outlineLvl w:val="7"/>
    </w:pPr>
    <w:rPr>
      <w:rFonts w:asciiTheme="majorHAnsi" w:eastAsiaTheme="majorEastAsia" w:hAnsiTheme="majorHAnsi" w:cstheme="majorBidi"/>
      <w:bCs w:val="0"/>
      <w:color w:val="272727" w:themeColor="text1" w:themeTint="D8"/>
      <w:sz w:val="21"/>
      <w:szCs w:val="21"/>
    </w:rPr>
  </w:style>
  <w:style w:type="paragraph" w:styleId="Heading9">
    <w:name w:val="heading 9"/>
    <w:aliases w:val="Appendix Heading 4"/>
    <w:basedOn w:val="Heading4"/>
    <w:next w:val="BodyText"/>
    <w:link w:val="Heading9Char"/>
    <w:uiPriority w:val="9"/>
    <w:semiHidden/>
    <w:unhideWhenUsed/>
    <w:qFormat/>
    <w:rsid w:val="00F3602E"/>
    <w:pPr>
      <w:keepLines/>
      <w:spacing w:before="40" w:after="0"/>
      <w:outlineLvl w:val="8"/>
    </w:pPr>
    <w:rPr>
      <w:rFonts w:asciiTheme="majorHAnsi" w:eastAsiaTheme="majorEastAsia" w:hAnsiTheme="majorHAnsi" w:cstheme="majorBidi"/>
      <w:b w:val="0"/>
      <w:bCs w:val="0"/>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Title"/>
    <w:next w:val="Date"/>
    <w:link w:val="SubtitleChar"/>
    <w:qFormat/>
    <w:rsid w:val="00DF65F9"/>
    <w:pPr>
      <w:pageBreakBefore w:val="0"/>
      <w:spacing w:before="200" w:after="0" w:line="380" w:lineRule="atLeast"/>
    </w:pPr>
    <w:rPr>
      <w:sz w:val="32"/>
      <w:szCs w:val="32"/>
    </w:rPr>
  </w:style>
  <w:style w:type="paragraph" w:customStyle="1" w:styleId="PullQuote">
    <w:name w:val="PullQuote"/>
    <w:basedOn w:val="Normal"/>
    <w:next w:val="Normal"/>
    <w:rsid w:val="00195262"/>
    <w:rPr>
      <w:rFonts w:asciiTheme="minorHAnsi" w:hAnsiTheme="minorHAnsi"/>
      <w:b/>
      <w:i/>
      <w:color w:val="007C92"/>
    </w:rPr>
  </w:style>
  <w:style w:type="paragraph" w:customStyle="1" w:styleId="ReportDate">
    <w:name w:val="ReportDate"/>
    <w:basedOn w:val="Normal"/>
    <w:rsid w:val="00E07D7E"/>
    <w:pPr>
      <w:spacing w:before="960"/>
    </w:pPr>
    <w:rPr>
      <w:rFonts w:asciiTheme="minorHAnsi" w:hAnsiTheme="minorHAnsi"/>
      <w:sz w:val="28"/>
    </w:rPr>
  </w:style>
  <w:style w:type="paragraph" w:customStyle="1" w:styleId="Heading1a">
    <w:name w:val="Heading 1a"/>
    <w:basedOn w:val="Heading1"/>
    <w:next w:val="Normal"/>
    <w:rsid w:val="00704B3A"/>
    <w:pPr>
      <w:outlineLvl w:val="9"/>
    </w:pPr>
  </w:style>
  <w:style w:type="paragraph" w:customStyle="1" w:styleId="Heading2a">
    <w:name w:val="Heading 2a"/>
    <w:basedOn w:val="Heading2"/>
    <w:next w:val="Normal"/>
    <w:rsid w:val="00704B3A"/>
    <w:pPr>
      <w:ind w:left="0" w:firstLine="0"/>
      <w:outlineLvl w:val="9"/>
    </w:pPr>
  </w:style>
  <w:style w:type="paragraph" w:customStyle="1" w:styleId="Heading3a">
    <w:name w:val="Heading 3a"/>
    <w:basedOn w:val="Heading3"/>
    <w:next w:val="Normal"/>
    <w:rsid w:val="00704B3A"/>
    <w:pPr>
      <w:ind w:left="0" w:firstLine="0"/>
      <w:outlineLvl w:val="9"/>
    </w:pPr>
  </w:style>
  <w:style w:type="paragraph" w:styleId="Header">
    <w:name w:val="header"/>
    <w:basedOn w:val="Normal"/>
    <w:link w:val="HeaderChar"/>
    <w:uiPriority w:val="99"/>
    <w:rsid w:val="00704B3A"/>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704B3A"/>
    <w:rPr>
      <w:rFonts w:ascii="Times New Roman" w:hAnsi="Times New Roman"/>
      <w:b/>
      <w:sz w:val="20"/>
    </w:rPr>
  </w:style>
  <w:style w:type="paragraph" w:customStyle="1" w:styleId="TableText">
    <w:name w:val="TableText"/>
    <w:basedOn w:val="Normal"/>
    <w:link w:val="TableTextChar"/>
    <w:rsid w:val="00B11A0D"/>
    <w:pPr>
      <w:keepNext/>
      <w:spacing w:before="0" w:after="60"/>
    </w:pPr>
    <w:rPr>
      <w:rFonts w:ascii="Arial Narrow" w:hAnsi="Arial Narrow"/>
      <w:sz w:val="19"/>
      <w:szCs w:val="21"/>
    </w:rPr>
  </w:style>
  <w:style w:type="paragraph" w:customStyle="1" w:styleId="TFListNotesSpace">
    <w:name w:val="TFListNotes+Space"/>
    <w:basedOn w:val="TableText"/>
    <w:next w:val="Normal"/>
    <w:rsid w:val="009E3B68"/>
    <w:pPr>
      <w:keepNext w:val="0"/>
      <w:keepLines/>
      <w:spacing w:after="360"/>
      <w:ind w:left="170" w:hanging="170"/>
    </w:pPr>
    <w:rPr>
      <w:sz w:val="18"/>
      <w:szCs w:val="18"/>
    </w:rPr>
  </w:style>
  <w:style w:type="paragraph" w:customStyle="1" w:styleId="TFListNotes">
    <w:name w:val="TFListNotes"/>
    <w:basedOn w:val="TFListNotesSpace"/>
    <w:rsid w:val="00026DD6"/>
    <w:pPr>
      <w:keepNext/>
      <w:spacing w:after="0"/>
    </w:pPr>
  </w:style>
  <w:style w:type="paragraph" w:customStyle="1" w:styleId="TableName">
    <w:name w:val="TableName"/>
    <w:basedOn w:val="TableText"/>
    <w:link w:val="TableNameChar"/>
    <w:rsid w:val="00020488"/>
    <w:pPr>
      <w:tabs>
        <w:tab w:val="left" w:pos="1080"/>
      </w:tabs>
      <w:spacing w:before="120" w:after="120"/>
      <w:ind w:left="1080" w:hanging="1080"/>
    </w:pPr>
    <w:rPr>
      <w:rFonts w:ascii="Arial" w:hAnsi="Arial"/>
      <w:b/>
      <w:bCs/>
      <w:sz w:val="21"/>
    </w:rPr>
  </w:style>
  <w:style w:type="paragraph" w:customStyle="1" w:styleId="TableHeading">
    <w:name w:val="TableHeading"/>
    <w:basedOn w:val="TableText"/>
    <w:rsid w:val="006A5EC2"/>
    <w:rPr>
      <w:b/>
      <w:bCs/>
      <w:color w:val="FFFFFF" w:themeColor="background1"/>
    </w:rPr>
  </w:style>
  <w:style w:type="paragraph" w:customStyle="1" w:styleId="TableBullet0">
    <w:name w:val="TableBullet"/>
    <w:basedOn w:val="TableText"/>
    <w:rsid w:val="00D20FD9"/>
    <w:pPr>
      <w:tabs>
        <w:tab w:val="left" w:pos="216"/>
      </w:tabs>
    </w:pPr>
  </w:style>
  <w:style w:type="paragraph" w:customStyle="1" w:styleId="TableDash">
    <w:name w:val="TableDash"/>
    <w:basedOn w:val="TableText"/>
    <w:rsid w:val="003A32F0"/>
    <w:pPr>
      <w:numPr>
        <w:numId w:val="2"/>
      </w:numPr>
      <w:tabs>
        <w:tab w:val="clear" w:pos="216"/>
        <w:tab w:val="num" w:pos="432"/>
      </w:tabs>
      <w:ind w:left="430" w:hanging="215"/>
    </w:pPr>
  </w:style>
  <w:style w:type="paragraph" w:styleId="Quote">
    <w:name w:val="Quote"/>
    <w:basedOn w:val="Normal"/>
    <w:link w:val="QuoteChar"/>
    <w:rsid w:val="00704B3A"/>
    <w:pPr>
      <w:ind w:left="567" w:right="567"/>
    </w:pPr>
    <w:rPr>
      <w:i/>
    </w:rPr>
  </w:style>
  <w:style w:type="paragraph" w:customStyle="1" w:styleId="References">
    <w:name w:val="References"/>
    <w:basedOn w:val="Normal"/>
    <w:rsid w:val="001E259C"/>
    <w:pPr>
      <w:keepLines/>
      <w:ind w:left="284" w:hanging="284"/>
    </w:p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link w:val="FootnoteTextChar"/>
    <w:uiPriority w:val="99"/>
    <w:rsid w:val="00704B3A"/>
    <w:pPr>
      <w:spacing w:after="0"/>
      <w:ind w:left="360" w:hanging="360"/>
    </w:pPr>
    <w:rPr>
      <w:sz w:val="17"/>
    </w:rPr>
  </w:style>
  <w:style w:type="character" w:styleId="FootnoteReference">
    <w:name w:val="footnote reference"/>
    <w:basedOn w:val="DefaultParagraphFont"/>
    <w:rsid w:val="00E006CC"/>
    <w:rPr>
      <w:vertAlign w:val="superscript"/>
    </w:rPr>
  </w:style>
  <w:style w:type="paragraph" w:customStyle="1" w:styleId="FigTabPara">
    <w:name w:val="FigTabPara"/>
    <w:basedOn w:val="Normal"/>
    <w:next w:val="TFIHolder"/>
    <w:rsid w:val="00BD346C"/>
    <w:pPr>
      <w:keepNext/>
      <w:ind w:left="1077"/>
    </w:pPr>
  </w:style>
  <w:style w:type="paragraph" w:customStyle="1" w:styleId="TFIHolder">
    <w:name w:val="TFIHolder"/>
    <w:basedOn w:val="TFAbbrevs"/>
    <w:rsid w:val="00932C6D"/>
    <w:rPr>
      <w:sz w:val="12"/>
    </w:rPr>
  </w:style>
  <w:style w:type="paragraph" w:customStyle="1" w:styleId="TFAbbrevs">
    <w:name w:val="TFAbbrevs"/>
    <w:basedOn w:val="TFListNotes"/>
    <w:rsid w:val="003D0620"/>
    <w:pPr>
      <w:ind w:left="0" w:firstLine="0"/>
    </w:pPr>
  </w:style>
  <w:style w:type="paragraph" w:styleId="TOC1">
    <w:name w:val="toc 1"/>
    <w:basedOn w:val="Normal"/>
    <w:next w:val="Normal"/>
    <w:autoRedefine/>
    <w:uiPriority w:val="39"/>
    <w:rsid w:val="00E006CC"/>
    <w:pPr>
      <w:tabs>
        <w:tab w:val="left" w:pos="720"/>
        <w:tab w:val="right" w:leader="dot" w:pos="9016"/>
      </w:tabs>
      <w:spacing w:before="120" w:after="120" w:line="240" w:lineRule="auto"/>
      <w:ind w:left="720" w:right="720" w:hanging="720"/>
    </w:pPr>
    <w:rPr>
      <w:rFonts w:ascii="Arial" w:hAnsi="Arial"/>
      <w:bCs/>
      <w:noProof/>
      <w:color w:val="007FAD"/>
      <w:sz w:val="24"/>
    </w:rPr>
  </w:style>
  <w:style w:type="paragraph" w:styleId="TOC2">
    <w:name w:val="toc 2"/>
    <w:basedOn w:val="Normal"/>
    <w:next w:val="Normal"/>
    <w:autoRedefine/>
    <w:uiPriority w:val="39"/>
    <w:rsid w:val="00E006CC"/>
    <w:pPr>
      <w:tabs>
        <w:tab w:val="left" w:pos="1440"/>
        <w:tab w:val="right" w:leader="dot" w:pos="9016"/>
      </w:tabs>
      <w:spacing w:before="120" w:after="120" w:line="240" w:lineRule="auto"/>
      <w:ind w:left="1440" w:right="720" w:hanging="720"/>
    </w:pPr>
    <w:rPr>
      <w:rFonts w:ascii="Arial" w:hAnsi="Arial"/>
      <w:sz w:val="24"/>
    </w:rPr>
  </w:style>
  <w:style w:type="paragraph" w:styleId="TOC3">
    <w:name w:val="toc 3"/>
    <w:basedOn w:val="Normal"/>
    <w:next w:val="Normal"/>
    <w:autoRedefine/>
    <w:uiPriority w:val="39"/>
    <w:rsid w:val="00EB4AC2"/>
    <w:pPr>
      <w:tabs>
        <w:tab w:val="left" w:pos="2160"/>
        <w:tab w:val="right" w:leader="dot" w:pos="9016"/>
      </w:tabs>
      <w:spacing w:after="20"/>
      <w:ind w:left="2160" w:right="720" w:hanging="720"/>
    </w:pPr>
    <w:rPr>
      <w:rFonts w:asciiTheme="minorHAnsi" w:hAnsiTheme="minorHAnsi"/>
      <w:color w:val="007C92"/>
    </w:rPr>
  </w:style>
  <w:style w:type="paragraph" w:styleId="TableofFigures">
    <w:name w:val="table of figures"/>
    <w:basedOn w:val="Normal"/>
    <w:next w:val="Normal"/>
    <w:uiPriority w:val="99"/>
    <w:rsid w:val="00C90C19"/>
    <w:pPr>
      <w:tabs>
        <w:tab w:val="left" w:pos="1080"/>
        <w:tab w:val="right" w:leader="dot" w:pos="9000"/>
      </w:tabs>
      <w:ind w:left="1080" w:right="720" w:hangingChars="450" w:hanging="1080"/>
    </w:pPr>
    <w:rPr>
      <w:rFonts w:asciiTheme="minorHAnsi" w:hAnsiTheme="minorHAnsi"/>
      <w:color w:val="007C92"/>
    </w:rPr>
  </w:style>
  <w:style w:type="paragraph" w:customStyle="1" w:styleId="BulletBeforeDash">
    <w:name w:val="BulletBeforeDash"/>
    <w:basedOn w:val="Normal"/>
    <w:rsid w:val="00D20FD9"/>
    <w:pPr>
      <w:numPr>
        <w:numId w:val="3"/>
      </w:numPr>
      <w:spacing w:after="0"/>
    </w:pPr>
  </w:style>
  <w:style w:type="paragraph" w:customStyle="1" w:styleId="Bullet">
    <w:name w:val="Bullet"/>
    <w:basedOn w:val="Normal"/>
    <w:qFormat/>
    <w:rsid w:val="00896BBF"/>
    <w:pPr>
      <w:numPr>
        <w:numId w:val="109"/>
      </w:numPr>
      <w:spacing w:before="0" w:after="80" w:line="280" w:lineRule="exact"/>
      <w:ind w:left="284" w:hanging="284"/>
    </w:pPr>
  </w:style>
  <w:style w:type="paragraph" w:customStyle="1" w:styleId="BulletLast">
    <w:name w:val="BulletLast"/>
    <w:basedOn w:val="Bullet"/>
    <w:qFormat/>
    <w:rsid w:val="00DF65F9"/>
    <w:pPr>
      <w:spacing w:after="160"/>
    </w:pPr>
  </w:style>
  <w:style w:type="paragraph" w:customStyle="1" w:styleId="Dash">
    <w:name w:val="Dash"/>
    <w:basedOn w:val="Normal"/>
    <w:rsid w:val="00D20FD9"/>
    <w:pPr>
      <w:numPr>
        <w:numId w:val="4"/>
      </w:numPr>
      <w:tabs>
        <w:tab w:val="clear" w:pos="216"/>
        <w:tab w:val="left" w:pos="720"/>
      </w:tabs>
      <w:spacing w:after="0"/>
      <w:ind w:left="72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F65F9"/>
    <w:pPr>
      <w:keepNext/>
      <w:spacing w:before="0" w:after="80"/>
    </w:pPr>
  </w:style>
  <w:style w:type="paragraph" w:customStyle="1" w:styleId="BoxText">
    <w:name w:val="BoxText"/>
    <w:basedOn w:val="Normal"/>
    <w:link w:val="BoxTextChar"/>
    <w:qFormat/>
    <w:rsid w:val="00DF65F9"/>
    <w:pPr>
      <w:pBdr>
        <w:top w:val="single" w:sz="4" w:space="4" w:color="007FAD"/>
        <w:left w:val="single" w:sz="4" w:space="4" w:color="007FAD"/>
        <w:bottom w:val="single" w:sz="4" w:space="4" w:color="007FAD"/>
        <w:right w:val="single" w:sz="4" w:space="4" w:color="007FAD"/>
      </w:pBdr>
      <w:shd w:val="clear" w:color="auto" w:fill="ECF1F7"/>
      <w:spacing w:before="0" w:after="120" w:line="240" w:lineRule="auto"/>
    </w:pPr>
  </w:style>
  <w:style w:type="paragraph" w:customStyle="1" w:styleId="BoxNotes">
    <w:name w:val="BoxNotes"/>
    <w:basedOn w:val="BoxText"/>
    <w:rsid w:val="00F2245A"/>
    <w:rPr>
      <w:sz w:val="18"/>
    </w:rPr>
  </w:style>
  <w:style w:type="paragraph" w:customStyle="1" w:styleId="BoxName">
    <w:name w:val="BoxName"/>
    <w:basedOn w:val="BoxText"/>
    <w:rsid w:val="00F2245A"/>
    <w:pPr>
      <w:keepNext/>
      <w:shd w:val="clear" w:color="auto" w:fill="007FAD"/>
      <w:spacing w:before="180" w:after="240"/>
      <w:ind w:left="1077" w:hanging="1077"/>
    </w:pPr>
    <w:rPr>
      <w:b/>
      <w:bCs/>
      <w:color w:val="FFFFFF" w:themeColor="background1"/>
      <w:sz w:val="24"/>
    </w:rPr>
  </w:style>
  <w:style w:type="paragraph" w:customStyle="1" w:styleId="BoxHeading">
    <w:name w:val="BoxHeading"/>
    <w:basedOn w:val="BoxText"/>
    <w:link w:val="BoxHeadingChar"/>
    <w:rsid w:val="00F2245A"/>
    <w:pPr>
      <w:keepNext/>
    </w:pPr>
    <w:rPr>
      <w:b/>
      <w:bCs/>
      <w:sz w:val="22"/>
    </w:rPr>
  </w:style>
  <w:style w:type="paragraph" w:customStyle="1" w:styleId="BoxBullet0">
    <w:name w:val="BoxBullet"/>
    <w:basedOn w:val="BoxText"/>
    <w:link w:val="BoxBulletChar"/>
    <w:rsid w:val="00F2245A"/>
  </w:style>
  <w:style w:type="paragraph" w:customStyle="1" w:styleId="BoxDashManual">
    <w:name w:val="BoxDashManual"/>
    <w:basedOn w:val="BoxText"/>
    <w:rsid w:val="00D20FD9"/>
    <w:pPr>
      <w:tabs>
        <w:tab w:val="left" w:pos="360"/>
        <w:tab w:val="left" w:pos="720"/>
      </w:tabs>
      <w:ind w:left="720" w:hanging="720"/>
    </w:pPr>
  </w:style>
  <w:style w:type="paragraph" w:customStyle="1" w:styleId="FigureName">
    <w:name w:val="FigureName"/>
    <w:basedOn w:val="Normal"/>
    <w:next w:val="Normal"/>
    <w:rsid w:val="00E914EF"/>
    <w:pPr>
      <w:keepNext/>
      <w:keepLines/>
      <w:tabs>
        <w:tab w:val="left" w:pos="1080"/>
      </w:tabs>
      <w:spacing w:before="80" w:after="80"/>
      <w:ind w:left="1077" w:hanging="1077"/>
    </w:pPr>
    <w:rPr>
      <w:b/>
      <w:bCs/>
      <w:sz w:val="22"/>
    </w:rPr>
  </w:style>
  <w:style w:type="paragraph" w:styleId="Index1">
    <w:name w:val="index 1"/>
    <w:basedOn w:val="Normal"/>
    <w:next w:val="Normal"/>
    <w:rsid w:val="005F1827"/>
    <w:pPr>
      <w:spacing w:after="0"/>
      <w:ind w:left="518" w:hanging="518"/>
    </w:pPr>
    <w:rPr>
      <w:noProof/>
      <w:sz w:val="22"/>
    </w:rPr>
  </w:style>
  <w:style w:type="paragraph" w:styleId="Index2">
    <w:name w:val="index 2"/>
    <w:basedOn w:val="Index1"/>
    <w:next w:val="Normal"/>
    <w:rsid w:val="005F1827"/>
    <w:pPr>
      <w:ind w:left="816" w:hanging="476"/>
    </w:pPr>
  </w:style>
  <w:style w:type="paragraph" w:styleId="TOC4">
    <w:name w:val="toc 4"/>
    <w:basedOn w:val="Normal"/>
    <w:next w:val="Normal"/>
    <w:autoRedefine/>
    <w:rsid w:val="00E006CC"/>
    <w:pPr>
      <w:tabs>
        <w:tab w:val="right" w:leader="dot" w:pos="9016"/>
      </w:tabs>
      <w:spacing w:after="0"/>
      <w:ind w:left="2160" w:right="720"/>
    </w:pPr>
    <w:rPr>
      <w:noProof/>
      <w:szCs w:val="24"/>
    </w:rPr>
  </w:style>
  <w:style w:type="paragraph" w:customStyle="1" w:styleId="NumberList0">
    <w:name w:val="NumberList"/>
    <w:basedOn w:val="Normal"/>
    <w:link w:val="NumberListChar"/>
    <w:rsid w:val="00D20FD9"/>
    <w:pPr>
      <w:tabs>
        <w:tab w:val="left" w:pos="360"/>
      </w:tabs>
      <w:ind w:left="360" w:hanging="360"/>
    </w:pPr>
  </w:style>
  <w:style w:type="paragraph" w:customStyle="1" w:styleId="TFNoteSourceSpace">
    <w:name w:val="TFNoteSource+Space"/>
    <w:basedOn w:val="TFListNotesSpace"/>
    <w:next w:val="Normal"/>
    <w:rsid w:val="00026DD6"/>
    <w:pPr>
      <w:ind w:left="624" w:hanging="624"/>
    </w:pPr>
  </w:style>
  <w:style w:type="paragraph" w:customStyle="1" w:styleId="TFNoteSource">
    <w:name w:val="TFNoteSource"/>
    <w:basedOn w:val="TFNoteSourceSpace"/>
    <w:rsid w:val="00026DD6"/>
    <w:pPr>
      <w:spacing w:after="0"/>
    </w:pPr>
  </w:style>
  <w:style w:type="character" w:customStyle="1" w:styleId="DesignerNotesChar">
    <w:name w:val="DesignerNotesChar"/>
    <w:basedOn w:val="DefaultParagraphFont"/>
    <w:rsid w:val="00B50D30"/>
    <w:rPr>
      <w:rFonts w:ascii="Arial" w:hAnsi="Arial"/>
      <w:b/>
      <w:color w:val="3366FF"/>
      <w:sz w:val="20"/>
    </w:r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DF65F9"/>
    <w:rPr>
      <w:b/>
      <w:bCs/>
    </w:rPr>
  </w:style>
  <w:style w:type="character" w:styleId="Emphasis">
    <w:name w:val="Emphasis"/>
    <w:basedOn w:val="DefaultParagraphFont"/>
    <w:uiPriority w:val="20"/>
    <w:qFormat/>
    <w:rsid w:val="00DF65F9"/>
    <w:rPr>
      <w:i/>
      <w:iCs/>
    </w:rPr>
  </w:style>
  <w:style w:type="character" w:customStyle="1" w:styleId="Roman">
    <w:name w:val="Roman"/>
    <w:uiPriority w:val="1"/>
    <w:rsid w:val="00114BAC"/>
    <w:rPr>
      <w:b w:val="0"/>
      <w:i/>
    </w:rPr>
  </w:style>
  <w:style w:type="character" w:customStyle="1" w:styleId="PullQuoteOrigin">
    <w:name w:val="PullQuoteOrigin"/>
    <w:basedOn w:val="DefaultParagraphFont"/>
    <w:uiPriority w:val="1"/>
    <w:rsid w:val="006E2F25"/>
    <w:rPr>
      <w:rFonts w:ascii="Trebuchet MS" w:hAnsi="Trebuchet MS"/>
      <w:b/>
      <w:i/>
      <w:noProof/>
      <w:color w:val="007C92"/>
      <w:sz w:val="21"/>
    </w:rPr>
  </w:style>
  <w:style w:type="table" w:styleId="TableGrid">
    <w:name w:val="Table Grid"/>
    <w:basedOn w:val="TableNormal"/>
    <w:rsid w:val="00EB025E"/>
    <w:rPr>
      <w:color w:val="FFFFFF" w:themeColor="background1"/>
    </w:rPr>
    <w:tblPr>
      <w:tblInd w:w="0" w:type="dxa"/>
      <w:tblBorders>
        <w:top w:val="single" w:sz="6" w:space="0" w:color="007C92"/>
        <w:bottom w:val="single" w:sz="6" w:space="0" w:color="007C92"/>
        <w:insideH w:val="single" w:sz="6" w:space="0" w:color="007C92"/>
      </w:tblBorders>
      <w:tblCellMar>
        <w:top w:w="85" w:type="dxa"/>
        <w:left w:w="108" w:type="dxa"/>
        <w:bottom w:w="85" w:type="dxa"/>
        <w:right w:w="108" w:type="dxa"/>
      </w:tblCellMar>
    </w:tblPr>
    <w:tcPr>
      <w:shd w:val="clear" w:color="auto" w:fill="FFFFFF" w:themeFill="background1"/>
    </w:tcPr>
    <w:tblStylePr w:type="firstRow">
      <w:tblPr/>
      <w:tcPr>
        <w:tcBorders>
          <w:top w:val="nil"/>
          <w:left w:val="nil"/>
          <w:bottom w:val="nil"/>
          <w:right w:val="nil"/>
          <w:insideH w:val="nil"/>
          <w:insideV w:val="single" w:sz="6" w:space="0" w:color="FFFFFF" w:themeColor="background1"/>
        </w:tcBorders>
        <w:shd w:val="clear" w:color="auto" w:fill="007C92"/>
      </w:tcPr>
    </w:tblStylePr>
  </w:style>
  <w:style w:type="paragraph" w:customStyle="1" w:styleId="TFIHolderSpace">
    <w:name w:val="TFIHolder+Space"/>
    <w:basedOn w:val="TFIHolder"/>
    <w:rsid w:val="00932C6D"/>
    <w:pPr>
      <w:spacing w:after="240"/>
    </w:pPr>
  </w:style>
  <w:style w:type="paragraph" w:customStyle="1" w:styleId="DesignerNotes">
    <w:name w:val="DesignerNotes"/>
    <w:basedOn w:val="Normal"/>
    <w:rsid w:val="00B50D30"/>
    <w:rPr>
      <w:rFonts w:ascii="Arial" w:hAnsi="Arial"/>
      <w:b/>
      <w:color w:val="3366FF"/>
      <w:sz w:val="20"/>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NoBreak">
    <w:name w:val="NoBreak"/>
    <w:basedOn w:val="DefaultParagraphFont"/>
    <w:uiPriority w:val="1"/>
    <w:rsid w:val="00E35DF1"/>
    <w:rPr>
      <w:noProof/>
    </w:rPr>
  </w:style>
  <w:style w:type="paragraph" w:customStyle="1" w:styleId="MathEquation">
    <w:name w:val="MathEquation"/>
    <w:basedOn w:val="Normal"/>
    <w:rsid w:val="00FA5DE1"/>
    <w:rPr>
      <w:rFonts w:ascii="Cambria Math" w:hAnsi="Cambria Math"/>
      <w:i/>
      <w:noProof/>
    </w:rPr>
  </w:style>
  <w:style w:type="paragraph" w:customStyle="1" w:styleId="ComputerCode">
    <w:name w:val="ComputerCode"/>
    <w:basedOn w:val="Normal"/>
    <w:rsid w:val="00773806"/>
    <w:pPr>
      <w:ind w:left="567"/>
      <w:contextualSpacing/>
    </w:pPr>
    <w:rPr>
      <w:rFonts w:ascii="Courier New" w:hAnsi="Courier New"/>
      <w:sz w:val="20"/>
      <w:szCs w:val="24"/>
    </w:rPr>
  </w:style>
  <w:style w:type="paragraph" w:customStyle="1" w:styleId="BulletChecklist">
    <w:name w:val="BulletChecklist"/>
    <w:basedOn w:val="Bullet"/>
    <w:rsid w:val="0020319C"/>
    <w:pPr>
      <w:numPr>
        <w:numId w:val="6"/>
      </w:numPr>
    </w:pPr>
    <w:rPr>
      <w:noProof/>
    </w:rPr>
  </w:style>
  <w:style w:type="paragraph" w:customStyle="1" w:styleId="ImprintText">
    <w:name w:val="ImprintText"/>
    <w:basedOn w:val="Normal"/>
    <w:rsid w:val="00D0393C"/>
    <w:pPr>
      <w:spacing w:line="240" w:lineRule="auto"/>
    </w:pPr>
    <w:rPr>
      <w:sz w:val="20"/>
    </w:rPr>
  </w:style>
  <w:style w:type="paragraph" w:customStyle="1" w:styleId="AltText">
    <w:name w:val="AltText"/>
    <w:basedOn w:val="Normal"/>
    <w:rsid w:val="00CF4C32"/>
    <w:rPr>
      <w:rFonts w:ascii="Arial" w:hAnsi="Arial"/>
      <w:color w:val="E36C0A" w:themeColor="accent6" w:themeShade="BF"/>
      <w:sz w:val="20"/>
    </w:rPr>
  </w:style>
  <w:style w:type="paragraph" w:styleId="Caption">
    <w:name w:val="caption"/>
    <w:basedOn w:val="Normal"/>
    <w:next w:val="Credit"/>
    <w:link w:val="CaptionChar"/>
    <w:uiPriority w:val="35"/>
    <w:unhideWhenUsed/>
    <w:rsid w:val="00704B3A"/>
    <w:pPr>
      <w:spacing w:after="0"/>
    </w:pPr>
    <w:rPr>
      <w:b/>
      <w:bCs/>
      <w:sz w:val="20"/>
      <w:szCs w:val="18"/>
    </w:rPr>
  </w:style>
  <w:style w:type="paragraph" w:customStyle="1" w:styleId="Credit">
    <w:name w:val="Credit"/>
    <w:basedOn w:val="Caption"/>
    <w:next w:val="Normal"/>
    <w:rsid w:val="008B7077"/>
    <w:pPr>
      <w:spacing w:after="240"/>
    </w:pPr>
    <w:rPr>
      <w:b w:val="0"/>
      <w:noProof/>
    </w:rPr>
  </w:style>
  <w:style w:type="paragraph" w:customStyle="1" w:styleId="NormalFirstPara">
    <w:name w:val="NormalFirstPara"/>
    <w:basedOn w:val="Normal"/>
    <w:rsid w:val="00E07D7E"/>
    <w:rPr>
      <w:noProof/>
      <w:color w:val="14434B"/>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Subtitle"/>
    <w:link w:val="TitleChar"/>
    <w:qFormat/>
    <w:rsid w:val="00DF65F9"/>
    <w:pPr>
      <w:pageBreakBefore/>
      <w:spacing w:before="8700" w:after="1080" w:line="640" w:lineRule="atLeast"/>
      <w:ind w:left="2410" w:right="-198"/>
    </w:pPr>
    <w:rPr>
      <w:rFonts w:ascii="Helvetica" w:eastAsiaTheme="majorEastAsia" w:hAnsi="Helvetica" w:cstheme="majorBidi"/>
      <w:noProof/>
      <w:color w:val="FFFFFF"/>
      <w:kern w:val="28"/>
      <w:sz w:val="50"/>
      <w:szCs w:val="50"/>
      <w:lang w:val="en-US" w:eastAsia="en-US"/>
    </w:rPr>
  </w:style>
  <w:style w:type="character" w:customStyle="1" w:styleId="TitleChar">
    <w:name w:val="Title Char"/>
    <w:link w:val="Title"/>
    <w:rsid w:val="00DF65F9"/>
    <w:rPr>
      <w:rFonts w:ascii="Helvetica" w:eastAsiaTheme="majorEastAsia" w:hAnsi="Helvetica" w:cstheme="majorBidi"/>
      <w:noProof/>
      <w:color w:val="FFFFFF"/>
      <w:kern w:val="28"/>
      <w:sz w:val="50"/>
      <w:szCs w:val="50"/>
      <w:lang w:val="en-US" w:eastAsia="en-US"/>
    </w:rPr>
  </w:style>
  <w:style w:type="character" w:customStyle="1" w:styleId="SubtitleChar">
    <w:name w:val="Subtitle Char"/>
    <w:link w:val="Subtitle"/>
    <w:rsid w:val="00DF65F9"/>
    <w:rPr>
      <w:rFonts w:ascii="Helvetica" w:eastAsiaTheme="majorEastAsia" w:hAnsi="Helvetica" w:cstheme="majorBidi"/>
      <w:noProof/>
      <w:color w:val="FFFFFF"/>
      <w:kern w:val="28"/>
      <w:sz w:val="32"/>
      <w:szCs w:val="32"/>
      <w:lang w:val="en-US" w:eastAsia="en-US"/>
    </w:rPr>
  </w:style>
  <w:style w:type="paragraph" w:customStyle="1" w:styleId="SectionTitle">
    <w:name w:val="SectionTitle"/>
    <w:basedOn w:val="Normal"/>
    <w:next w:val="Normal"/>
    <w:rsid w:val="00812E83"/>
    <w:rPr>
      <w:rFonts w:asciiTheme="minorHAnsi" w:hAnsiTheme="minorHAnsi"/>
      <w:b/>
      <w:color w:val="14434B"/>
      <w:sz w:val="44"/>
    </w:rPr>
  </w:style>
  <w:style w:type="paragraph" w:customStyle="1" w:styleId="SectionSubtitle">
    <w:name w:val="SectionSubtitle"/>
    <w:basedOn w:val="Normal"/>
    <w:rsid w:val="00812E83"/>
    <w:pPr>
      <w:spacing w:after="0"/>
    </w:pPr>
    <w:rPr>
      <w:rFonts w:asciiTheme="minorHAnsi" w:hAnsiTheme="minorHAnsi"/>
      <w:color w:val="14434B"/>
      <w:sz w:val="32"/>
    </w:rPr>
  </w:style>
  <w:style w:type="paragraph" w:customStyle="1" w:styleId="QuoteNumberList">
    <w:name w:val="QuoteNumberList"/>
    <w:basedOn w:val="Quote"/>
    <w:rsid w:val="00BD346C"/>
    <w:pPr>
      <w:ind w:left="1117" w:hanging="397"/>
    </w:pPr>
    <w:rPr>
      <w:noProof/>
    </w:rPr>
  </w:style>
  <w:style w:type="paragraph" w:customStyle="1" w:styleId="QuoteBullet0">
    <w:name w:val="QuoteBullet"/>
    <w:basedOn w:val="Quote"/>
    <w:rsid w:val="00EB0D4C"/>
    <w:pPr>
      <w:numPr>
        <w:numId w:val="7"/>
      </w:numPr>
      <w:tabs>
        <w:tab w:val="left" w:pos="851"/>
      </w:tabs>
      <w:ind w:left="851" w:hanging="284"/>
    </w:pPr>
    <w:rPr>
      <w:noProof/>
    </w:rPr>
  </w:style>
  <w:style w:type="paragraph" w:customStyle="1" w:styleId="BoxDash">
    <w:name w:val="BoxDash"/>
    <w:basedOn w:val="BoxText"/>
    <w:rsid w:val="00F2245A"/>
    <w:pPr>
      <w:tabs>
        <w:tab w:val="left" w:pos="360"/>
        <w:tab w:val="left" w:pos="720"/>
      </w:tabs>
      <w:ind w:left="720" w:hanging="720"/>
    </w:pPr>
  </w:style>
  <w:style w:type="character" w:customStyle="1" w:styleId="CrossRef">
    <w:name w:val="CrossRef"/>
    <w:basedOn w:val="DefaultParagraphFont"/>
    <w:uiPriority w:val="1"/>
    <w:rsid w:val="004822BC"/>
    <w:rPr>
      <w:rFonts w:ascii="Times New Roman" w:hAnsi="Times New Roman"/>
      <w:b/>
      <w:noProof/>
      <w:color w:val="C0504D" w:themeColor="accent2"/>
      <w:sz w:val="24"/>
    </w:rPr>
  </w:style>
  <w:style w:type="paragraph" w:customStyle="1" w:styleId="TableNumberedList">
    <w:name w:val="TableNumberedList"/>
    <w:basedOn w:val="TableText"/>
    <w:autoRedefine/>
    <w:qFormat/>
    <w:rsid w:val="00DF65F9"/>
    <w:pPr>
      <w:numPr>
        <w:numId w:val="110"/>
      </w:numPr>
      <w:spacing w:before="40" w:after="40" w:line="200" w:lineRule="atLeast"/>
    </w:pPr>
    <w:rPr>
      <w:rFonts w:ascii="Franklin Gothic Book" w:hAnsi="Franklin Gothic Book"/>
      <w:color w:val="000000" w:themeColor="text1"/>
      <w:sz w:val="17"/>
    </w:rPr>
  </w:style>
  <w:style w:type="paragraph" w:customStyle="1" w:styleId="BoxHeading2">
    <w:name w:val="BoxHeading 2"/>
    <w:basedOn w:val="BoxHeading"/>
    <w:rsid w:val="005078F1"/>
    <w:rPr>
      <w:i/>
    </w:rPr>
  </w:style>
  <w:style w:type="paragraph" w:customStyle="1" w:styleId="BoxQuote">
    <w:name w:val="BoxQuote"/>
    <w:basedOn w:val="BoxText"/>
    <w:next w:val="BoxQuoteSource"/>
    <w:link w:val="BoxQuoteChar"/>
    <w:qFormat/>
    <w:rsid w:val="00DF65F9"/>
    <w:pPr>
      <w:spacing w:after="0"/>
      <w:ind w:left="357" w:hanging="357"/>
    </w:pPr>
    <w:rPr>
      <w:i/>
    </w:rPr>
  </w:style>
  <w:style w:type="paragraph" w:customStyle="1" w:styleId="BoxListNumber1">
    <w:name w:val="BoxListNumber 1"/>
    <w:basedOn w:val="BoxBullet0"/>
    <w:rsid w:val="003574B1"/>
    <w:pPr>
      <w:numPr>
        <w:numId w:val="10"/>
      </w:numPr>
      <w:tabs>
        <w:tab w:val="left" w:pos="567"/>
      </w:tabs>
      <w:ind w:left="284" w:hanging="284"/>
    </w:pPr>
  </w:style>
  <w:style w:type="paragraph" w:customStyle="1" w:styleId="BoxListNumber20">
    <w:name w:val="BoxListNumber 2"/>
    <w:basedOn w:val="BoxListNumber1"/>
    <w:rsid w:val="005524B2"/>
    <w:pPr>
      <w:numPr>
        <w:numId w:val="11"/>
      </w:numPr>
      <w:spacing w:after="0"/>
      <w:ind w:left="284" w:hanging="284"/>
    </w:pPr>
  </w:style>
  <w:style w:type="paragraph" w:customStyle="1" w:styleId="TableListNumber">
    <w:name w:val="TableListNumber"/>
    <w:basedOn w:val="Normal"/>
    <w:qFormat/>
    <w:rsid w:val="00DF65F9"/>
    <w:pPr>
      <w:keepNext/>
      <w:numPr>
        <w:numId w:val="111"/>
      </w:numPr>
      <w:tabs>
        <w:tab w:val="left" w:pos="216"/>
      </w:tabs>
      <w:spacing w:after="40" w:line="200" w:lineRule="atLeast"/>
    </w:pPr>
    <w:rPr>
      <w:color w:val="000000" w:themeColor="text1"/>
      <w:sz w:val="17"/>
      <w:szCs w:val="21"/>
    </w:rPr>
  </w:style>
  <w:style w:type="paragraph" w:customStyle="1" w:styleId="TableListNumber2">
    <w:name w:val="TableListNumber 2"/>
    <w:basedOn w:val="TableListNumber"/>
    <w:qFormat/>
    <w:rsid w:val="00DF65F9"/>
    <w:pPr>
      <w:numPr>
        <w:numId w:val="112"/>
      </w:numPr>
      <w:tabs>
        <w:tab w:val="clear" w:pos="216"/>
        <w:tab w:val="left" w:pos="284"/>
      </w:tabs>
    </w:pPr>
  </w:style>
  <w:style w:type="paragraph" w:customStyle="1" w:styleId="TableHeading2">
    <w:name w:val="TableHeading 2"/>
    <w:basedOn w:val="TableHeading"/>
    <w:rsid w:val="00A72825"/>
    <w:rPr>
      <w:b w:val="0"/>
      <w:i/>
    </w:rPr>
  </w:style>
  <w:style w:type="paragraph" w:styleId="BodyText">
    <w:name w:val="Body Text"/>
    <w:link w:val="BodyTextChar"/>
    <w:semiHidden/>
    <w:unhideWhenUsed/>
    <w:qFormat/>
    <w:rsid w:val="001E259C"/>
    <w:pPr>
      <w:spacing w:before="40" w:after="120" w:line="288" w:lineRule="auto"/>
    </w:pPr>
    <w:rPr>
      <w:rFonts w:ascii="Franklin Gothic Book" w:hAnsi="Franklin Gothic Book"/>
      <w:sz w:val="21"/>
    </w:rPr>
  </w:style>
  <w:style w:type="character" w:customStyle="1" w:styleId="BodyTextChar">
    <w:name w:val="Body Text Char"/>
    <w:basedOn w:val="DefaultParagraphFont"/>
    <w:link w:val="BodyText"/>
    <w:semiHidden/>
    <w:rsid w:val="001E259C"/>
    <w:rPr>
      <w:rFonts w:ascii="Franklin Gothic Book" w:hAnsi="Franklin Gothic Book"/>
      <w:sz w:val="21"/>
    </w:rPr>
  </w:style>
  <w:style w:type="paragraph" w:customStyle="1" w:styleId="Draftingnote">
    <w:name w:val="Drafting note"/>
    <w:basedOn w:val="Normal"/>
    <w:link w:val="DraftingnoteChar"/>
    <w:qFormat/>
    <w:rsid w:val="00DF65F9"/>
    <w:rPr>
      <w:rFonts w:asciiTheme="majorHAnsi" w:hAnsiTheme="majorHAnsi"/>
      <w:b/>
      <w:color w:val="FF0000"/>
      <w:sz w:val="20"/>
      <w:u w:val="dotted"/>
    </w:rPr>
  </w:style>
  <w:style w:type="paragraph" w:customStyle="1" w:styleId="AuthorName">
    <w:name w:val="AuthorName"/>
    <w:basedOn w:val="ImprintText"/>
    <w:rsid w:val="002F5DCE"/>
    <w:pPr>
      <w:spacing w:before="960"/>
      <w:ind w:left="1134"/>
    </w:pPr>
    <w:rPr>
      <w:rFonts w:asciiTheme="minorHAnsi" w:hAnsiTheme="minorHAnsi"/>
      <w:caps/>
      <w:color w:val="14434B"/>
      <w:sz w:val="25"/>
    </w:rPr>
  </w:style>
  <w:style w:type="character" w:customStyle="1" w:styleId="DraftingnoteChar">
    <w:name w:val="Drafting note Char"/>
    <w:basedOn w:val="DefaultParagraphFont"/>
    <w:link w:val="Draftingnote"/>
    <w:rsid w:val="00DF65F9"/>
    <w:rPr>
      <w:rFonts w:asciiTheme="majorHAnsi" w:hAnsiTheme="majorHAnsi"/>
      <w:b/>
      <w:color w:val="FF0000"/>
      <w:u w:val="dotted"/>
    </w:rPr>
  </w:style>
  <w:style w:type="character" w:styleId="Hyperlink">
    <w:name w:val="Hyperlink"/>
    <w:basedOn w:val="DefaultParagraphFont"/>
    <w:uiPriority w:val="99"/>
    <w:unhideWhenUsed/>
    <w:rsid w:val="00E006CC"/>
    <w:rPr>
      <w:color w:val="007FAD"/>
      <w:u w:val="single"/>
    </w:rPr>
  </w:style>
  <w:style w:type="character" w:styleId="CommentReference">
    <w:name w:val="annotation reference"/>
    <w:basedOn w:val="DefaultParagraphFont"/>
    <w:uiPriority w:val="99"/>
    <w:semiHidden/>
    <w:unhideWhenUsed/>
    <w:rsid w:val="00DF1B3A"/>
    <w:rPr>
      <w:sz w:val="16"/>
      <w:szCs w:val="16"/>
    </w:rPr>
  </w:style>
  <w:style w:type="paragraph" w:styleId="CommentText">
    <w:name w:val="annotation text"/>
    <w:basedOn w:val="Normal"/>
    <w:link w:val="CommentTextChar"/>
    <w:uiPriority w:val="99"/>
    <w:unhideWhenUsed/>
    <w:rsid w:val="00DF1B3A"/>
    <w:pPr>
      <w:spacing w:line="240" w:lineRule="auto"/>
    </w:pPr>
    <w:rPr>
      <w:sz w:val="20"/>
    </w:rPr>
  </w:style>
  <w:style w:type="character" w:customStyle="1" w:styleId="CommentTextChar">
    <w:name w:val="Comment Text Char"/>
    <w:basedOn w:val="DefaultParagraphFont"/>
    <w:link w:val="CommentText"/>
    <w:uiPriority w:val="99"/>
    <w:rsid w:val="00DF1B3A"/>
    <w:rPr>
      <w:rFonts w:asciiTheme="majorHAnsi" w:hAnsiTheme="majorHAnsi"/>
      <w:color w:val="000000"/>
    </w:rPr>
  </w:style>
  <w:style w:type="paragraph" w:styleId="CommentSubject">
    <w:name w:val="annotation subject"/>
    <w:basedOn w:val="CommentText"/>
    <w:next w:val="CommentText"/>
    <w:link w:val="CommentSubjectChar"/>
    <w:uiPriority w:val="99"/>
    <w:semiHidden/>
    <w:unhideWhenUsed/>
    <w:rsid w:val="00DF1B3A"/>
    <w:rPr>
      <w:b/>
      <w:bCs/>
    </w:rPr>
  </w:style>
  <w:style w:type="character" w:customStyle="1" w:styleId="CommentSubjectChar">
    <w:name w:val="Comment Subject Char"/>
    <w:basedOn w:val="CommentTextChar"/>
    <w:link w:val="CommentSubject"/>
    <w:uiPriority w:val="99"/>
    <w:semiHidden/>
    <w:rsid w:val="00DF1B3A"/>
    <w:rPr>
      <w:rFonts w:asciiTheme="majorHAnsi" w:hAnsiTheme="majorHAnsi"/>
      <w:b/>
      <w:bCs/>
      <w:color w:val="000000"/>
    </w:rPr>
  </w:style>
  <w:style w:type="character" w:customStyle="1" w:styleId="Underline">
    <w:name w:val="Underline"/>
    <w:basedOn w:val="DefaultParagraphFont"/>
    <w:uiPriority w:val="1"/>
    <w:rsid w:val="00127531"/>
    <w:rPr>
      <w:noProof/>
      <w:u w:val="single"/>
    </w:rPr>
  </w:style>
  <w:style w:type="table" w:styleId="LightShading">
    <w:name w:val="Light Shading"/>
    <w:basedOn w:val="TableNormal"/>
    <w:uiPriority w:val="60"/>
    <w:rsid w:val="00FB4E1F"/>
    <w:rPr>
      <w:color w:val="000000" w:themeColor="text1" w:themeShade="BF"/>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EFEE"/>
    </w:tcPr>
    <w:tblStylePr w:type="firstRow">
      <w:pPr>
        <w:spacing w:before="0" w:after="0" w:line="240" w:lineRule="auto"/>
      </w:pPr>
      <w:rPr>
        <w:b/>
        <w:bCs/>
      </w:rPr>
      <w:tblPr/>
      <w:tcPr>
        <w:tcBorders>
          <w:top w:val="nil"/>
          <w:left w:val="nil"/>
          <w:bottom w:val="nil"/>
          <w:right w:val="nil"/>
          <w:insideH w:val="nil"/>
          <w:insideV w:val="nil"/>
          <w:tl2br w:val="nil"/>
          <w:tr2bl w:val="nil"/>
        </w:tcBorders>
        <w:shd w:val="clear" w:color="auto" w:fill="92C3CA"/>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B4E1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otnoteTextChar">
    <w:name w:val="Footnote Text Char"/>
    <w:basedOn w:val="DefaultParagraphFont"/>
    <w:link w:val="FootnoteText"/>
    <w:uiPriority w:val="99"/>
    <w:rsid w:val="00704B3A"/>
    <w:rPr>
      <w:rFonts w:ascii="Franklin Gothic Book" w:hAnsi="Franklin Gothic Book"/>
      <w:sz w:val="17"/>
    </w:rPr>
  </w:style>
  <w:style w:type="paragraph" w:customStyle="1" w:styleId="Quote-interviews">
    <w:name w:val="Quote-interviews"/>
    <w:basedOn w:val="Quote"/>
    <w:rsid w:val="00562EB0"/>
    <w:rPr>
      <w:i w:val="0"/>
      <w:noProof/>
    </w:rPr>
  </w:style>
  <w:style w:type="character" w:customStyle="1" w:styleId="Heading6Char">
    <w:name w:val="Heading 6 Char"/>
    <w:aliases w:val="Appendix Heading 1 Char"/>
    <w:basedOn w:val="DefaultParagraphFont"/>
    <w:link w:val="Heading6"/>
    <w:uiPriority w:val="29"/>
    <w:rsid w:val="00094075"/>
    <w:rPr>
      <w:rFonts w:asciiTheme="majorHAnsi" w:eastAsiaTheme="majorEastAsia" w:hAnsiTheme="majorHAnsi" w:cstheme="majorBidi"/>
      <w:i/>
      <w:iCs/>
      <w:color w:val="243F60" w:themeColor="accent1" w:themeShade="7F"/>
      <w:sz w:val="21"/>
    </w:rPr>
  </w:style>
  <w:style w:type="character" w:customStyle="1" w:styleId="Heading7Char">
    <w:name w:val="Heading 7 Char"/>
    <w:aliases w:val="Appendix Heading 2 Char"/>
    <w:basedOn w:val="DefaultParagraphFont"/>
    <w:link w:val="Heading7"/>
    <w:uiPriority w:val="9"/>
    <w:semiHidden/>
    <w:rsid w:val="00F3602E"/>
    <w:rPr>
      <w:rFonts w:asciiTheme="majorHAnsi" w:eastAsiaTheme="majorEastAsia" w:hAnsiTheme="majorHAnsi" w:cstheme="majorBidi"/>
      <w:i/>
      <w:iCs/>
      <w:color w:val="243F60" w:themeColor="accent1" w:themeShade="7F"/>
      <w:sz w:val="21"/>
    </w:rPr>
  </w:style>
  <w:style w:type="character" w:customStyle="1" w:styleId="Heading8Char">
    <w:name w:val="Heading 8 Char"/>
    <w:aliases w:val="Appendix Heading 3 Char"/>
    <w:basedOn w:val="DefaultParagraphFont"/>
    <w:link w:val="Heading8"/>
    <w:uiPriority w:val="9"/>
    <w:semiHidden/>
    <w:rsid w:val="00F3602E"/>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Appendix Heading 4 Char"/>
    <w:basedOn w:val="DefaultParagraphFont"/>
    <w:link w:val="Heading9"/>
    <w:uiPriority w:val="9"/>
    <w:semiHidden/>
    <w:rsid w:val="00F3602E"/>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rsid w:val="00660E81"/>
    <w:rPr>
      <w:rFonts w:ascii="Arial" w:hAnsi="Arial" w:cs="Arial"/>
      <w:bCs/>
      <w:color w:val="FFFFFF" w:themeColor="background1"/>
      <w:sz w:val="44"/>
      <w:szCs w:val="32"/>
    </w:rPr>
  </w:style>
  <w:style w:type="character" w:customStyle="1" w:styleId="Heading2Char">
    <w:name w:val="Heading 2 Char"/>
    <w:basedOn w:val="DefaultParagraphFont"/>
    <w:link w:val="Heading2"/>
    <w:rsid w:val="00F3602E"/>
    <w:rPr>
      <w:rFonts w:ascii="Arial" w:hAnsi="Arial" w:cs="Arial"/>
      <w:b/>
      <w:bCs/>
      <w:iCs/>
      <w:color w:val="124486"/>
      <w:sz w:val="28"/>
      <w:szCs w:val="28"/>
    </w:rPr>
  </w:style>
  <w:style w:type="character" w:customStyle="1" w:styleId="Heading3Char">
    <w:name w:val="Heading 3 Char"/>
    <w:basedOn w:val="DefaultParagraphFont"/>
    <w:link w:val="Heading3"/>
    <w:rsid w:val="00F3602E"/>
    <w:rPr>
      <w:rFonts w:ascii="Arial" w:hAnsi="Arial" w:cs="Arial"/>
      <w:bCs/>
      <w:color w:val="007FAD"/>
      <w:sz w:val="24"/>
      <w:szCs w:val="26"/>
    </w:rPr>
  </w:style>
  <w:style w:type="character" w:customStyle="1" w:styleId="Heading4Char">
    <w:name w:val="Heading 4 Char"/>
    <w:basedOn w:val="DefaultParagraphFont"/>
    <w:link w:val="Heading4"/>
    <w:rsid w:val="00F3602E"/>
    <w:rPr>
      <w:rFonts w:ascii="Arial" w:hAnsi="Arial"/>
      <w:b/>
      <w:bCs/>
      <w:sz w:val="22"/>
      <w:szCs w:val="28"/>
    </w:rPr>
  </w:style>
  <w:style w:type="character" w:customStyle="1" w:styleId="Heading5Char">
    <w:name w:val="Heading 5 Char"/>
    <w:basedOn w:val="DefaultParagraphFont"/>
    <w:link w:val="Heading5"/>
    <w:rsid w:val="00F3602E"/>
    <w:rPr>
      <w:rFonts w:ascii="Arial" w:hAnsi="Arial"/>
      <w:bCs/>
      <w:i/>
      <w:iCs/>
      <w:sz w:val="22"/>
      <w:szCs w:val="26"/>
    </w:rPr>
  </w:style>
  <w:style w:type="paragraph" w:customStyle="1" w:styleId="AuthorName0">
    <w:name w:val="Author Name"/>
    <w:uiPriority w:val="40"/>
    <w:rsid w:val="00F3602E"/>
    <w:pPr>
      <w:spacing w:before="120" w:line="288" w:lineRule="auto"/>
    </w:pPr>
    <w:rPr>
      <w:rFonts w:asciiTheme="majorHAnsi" w:hAnsiTheme="majorHAnsi"/>
      <w:caps/>
      <w:color w:val="F79646" w:themeColor="accent6"/>
      <w:spacing w:val="-2"/>
      <w:kern w:val="28"/>
      <w:sz w:val="25"/>
      <w:szCs w:val="25"/>
    </w:rPr>
  </w:style>
  <w:style w:type="paragraph" w:customStyle="1" w:styleId="BoxHeading1">
    <w:name w:val="Box Heading 1"/>
    <w:next w:val="BodyText"/>
    <w:uiPriority w:val="21"/>
    <w:rsid w:val="00F3602E"/>
    <w:pPr>
      <w:spacing w:after="120" w:line="288" w:lineRule="auto"/>
    </w:pPr>
    <w:rPr>
      <w:rFonts w:ascii="Arial Narrow" w:hAnsi="Arial Narrow"/>
      <w:b/>
      <w:color w:val="F79646" w:themeColor="accent6"/>
      <w:sz w:val="21"/>
      <w:szCs w:val="19"/>
    </w:rPr>
  </w:style>
  <w:style w:type="paragraph" w:customStyle="1" w:styleId="BoxHeading20">
    <w:name w:val="Box Heading 2"/>
    <w:basedOn w:val="BoxHeading1"/>
    <w:next w:val="BoxText0"/>
    <w:uiPriority w:val="21"/>
    <w:rsid w:val="00F3602E"/>
  </w:style>
  <w:style w:type="paragraph" w:customStyle="1" w:styleId="BoxText0">
    <w:name w:val="Box Text"/>
    <w:link w:val="BoxTextChar0"/>
    <w:uiPriority w:val="19"/>
    <w:rsid w:val="00F3602E"/>
    <w:pPr>
      <w:spacing w:after="57" w:line="288" w:lineRule="auto"/>
    </w:pPr>
    <w:rPr>
      <w:rFonts w:ascii="Arial" w:hAnsi="Arial"/>
      <w:color w:val="000000" w:themeColor="text1"/>
      <w:sz w:val="19"/>
      <w:szCs w:val="19"/>
    </w:rPr>
  </w:style>
  <w:style w:type="character" w:customStyle="1" w:styleId="BoxTextChar0">
    <w:name w:val="Box Text Char"/>
    <w:basedOn w:val="DefaultParagraphFont"/>
    <w:link w:val="BoxText0"/>
    <w:uiPriority w:val="19"/>
    <w:rsid w:val="00F3602E"/>
    <w:rPr>
      <w:rFonts w:ascii="Arial" w:hAnsi="Arial"/>
      <w:color w:val="000000" w:themeColor="text1"/>
      <w:sz w:val="19"/>
      <w:szCs w:val="19"/>
    </w:rPr>
  </w:style>
  <w:style w:type="paragraph" w:customStyle="1" w:styleId="BoxListBullet">
    <w:name w:val="Box List Bullet"/>
    <w:basedOn w:val="BoxText0"/>
    <w:uiPriority w:val="20"/>
    <w:rsid w:val="00F3602E"/>
    <w:pPr>
      <w:keepLines/>
      <w:numPr>
        <w:numId w:val="14"/>
      </w:numPr>
      <w:tabs>
        <w:tab w:val="clear" w:pos="284"/>
        <w:tab w:val="num" w:pos="360"/>
      </w:tabs>
      <w:ind w:left="360" w:hanging="360"/>
    </w:pPr>
  </w:style>
  <w:style w:type="paragraph" w:customStyle="1" w:styleId="BoxListBullet2">
    <w:name w:val="Box List Bullet 2"/>
    <w:basedOn w:val="BoxText0"/>
    <w:uiPriority w:val="20"/>
    <w:rsid w:val="00F3602E"/>
    <w:pPr>
      <w:numPr>
        <w:numId w:val="15"/>
      </w:numPr>
      <w:tabs>
        <w:tab w:val="clear" w:pos="567"/>
        <w:tab w:val="num" w:pos="216"/>
      </w:tabs>
      <w:ind w:left="432" w:hanging="216"/>
    </w:pPr>
    <w:rPr>
      <w:szCs w:val="18"/>
    </w:rPr>
  </w:style>
  <w:style w:type="paragraph" w:customStyle="1" w:styleId="BoxListNumber">
    <w:name w:val="Box List Number"/>
    <w:basedOn w:val="BoxText0"/>
    <w:uiPriority w:val="20"/>
    <w:rsid w:val="00F3602E"/>
    <w:pPr>
      <w:numPr>
        <w:numId w:val="16"/>
      </w:numPr>
      <w:tabs>
        <w:tab w:val="clear" w:pos="284"/>
        <w:tab w:val="num" w:pos="360"/>
      </w:tabs>
      <w:spacing w:before="60"/>
      <w:ind w:left="360" w:hanging="360"/>
    </w:pPr>
  </w:style>
  <w:style w:type="paragraph" w:customStyle="1" w:styleId="BoxListNumber2">
    <w:name w:val="Box List Number 2"/>
    <w:basedOn w:val="BoxText0"/>
    <w:uiPriority w:val="20"/>
    <w:rsid w:val="00F3602E"/>
    <w:pPr>
      <w:numPr>
        <w:numId w:val="17"/>
      </w:numPr>
      <w:tabs>
        <w:tab w:val="clear" w:pos="567"/>
        <w:tab w:val="num" w:pos="216"/>
      </w:tabs>
      <w:ind w:left="360" w:firstLine="0"/>
    </w:pPr>
  </w:style>
  <w:style w:type="paragraph" w:customStyle="1" w:styleId="BoxNoteSource">
    <w:name w:val="Box Note/Source"/>
    <w:uiPriority w:val="24"/>
    <w:semiHidden/>
    <w:rsid w:val="00F3602E"/>
    <w:pPr>
      <w:spacing w:before="120" w:after="240" w:line="288" w:lineRule="auto"/>
    </w:pPr>
    <w:rPr>
      <w:rFonts w:ascii="Arial Narrow" w:hAnsi="Arial Narrow"/>
      <w:color w:val="000000" w:themeColor="text1"/>
      <w:sz w:val="16"/>
      <w:szCs w:val="14"/>
    </w:rPr>
  </w:style>
  <w:style w:type="paragraph" w:customStyle="1" w:styleId="BoxQuote0">
    <w:name w:val="Box Quote"/>
    <w:basedOn w:val="BoxText0"/>
    <w:uiPriority w:val="22"/>
    <w:rsid w:val="00F3602E"/>
    <w:pPr>
      <w:ind w:left="284" w:right="284"/>
    </w:pPr>
    <w:rPr>
      <w:i/>
    </w:rPr>
  </w:style>
  <w:style w:type="paragraph" w:customStyle="1" w:styleId="BoxTitle">
    <w:name w:val="Box Title"/>
    <w:uiPriority w:val="99"/>
    <w:semiHidden/>
    <w:rsid w:val="00F3602E"/>
    <w:pPr>
      <w:keepNext/>
      <w:spacing w:before="57" w:after="77" w:line="240" w:lineRule="atLeast"/>
    </w:pPr>
    <w:rPr>
      <w:rFonts w:ascii="Arial Narrow" w:hAnsi="Arial Narrow"/>
      <w:b/>
      <w:caps/>
      <w:color w:val="FFFFFF"/>
      <w:sz w:val="18"/>
      <w:szCs w:val="18"/>
      <w:lang w:eastAsia="en-US"/>
    </w:rPr>
  </w:style>
  <w:style w:type="paragraph" w:customStyle="1" w:styleId="Captionheading">
    <w:name w:val="Caption heading"/>
    <w:basedOn w:val="TOC1"/>
    <w:next w:val="BodyText"/>
    <w:uiPriority w:val="36"/>
    <w:rsid w:val="00F3602E"/>
    <w:pPr>
      <w:keepNext/>
      <w:tabs>
        <w:tab w:val="clear" w:pos="720"/>
        <w:tab w:val="clear" w:pos="9016"/>
        <w:tab w:val="right" w:leader="dot" w:pos="8505"/>
      </w:tabs>
      <w:spacing w:before="0" w:after="57"/>
      <w:ind w:left="0" w:right="0" w:firstLine="0"/>
      <w:contextualSpacing/>
    </w:pPr>
    <w:rPr>
      <w:rFonts w:asciiTheme="majorHAnsi" w:hAnsiTheme="majorHAnsi"/>
      <w:bCs w:val="0"/>
      <w:noProof w:val="0"/>
      <w:color w:val="EEECE1" w:themeColor="background2"/>
      <w:kern w:val="28"/>
      <w:szCs w:val="32"/>
    </w:rPr>
  </w:style>
  <w:style w:type="paragraph" w:customStyle="1" w:styleId="Contents">
    <w:name w:val="Contents"/>
    <w:basedOn w:val="Heading1"/>
    <w:next w:val="BodyText"/>
    <w:semiHidden/>
    <w:rsid w:val="00F3602E"/>
    <w:pPr>
      <w:spacing w:before="0" w:after="600"/>
      <w:ind w:left="0" w:firstLine="0"/>
      <w:outlineLvl w:val="9"/>
    </w:pPr>
    <w:rPr>
      <w:rFonts w:asciiTheme="majorHAnsi" w:hAnsiTheme="majorHAnsi" w:cs="Times New Roman"/>
      <w:bCs w:val="0"/>
      <w:color w:val="EEECE1" w:themeColor="background2"/>
      <w:kern w:val="28"/>
    </w:rPr>
  </w:style>
  <w:style w:type="paragraph" w:customStyle="1" w:styleId="Source">
    <w:name w:val="Source"/>
    <w:uiPriority w:val="8"/>
    <w:rsid w:val="00F3602E"/>
    <w:pPr>
      <w:keepLines/>
      <w:spacing w:before="120" w:after="240" w:line="288" w:lineRule="auto"/>
    </w:pPr>
    <w:rPr>
      <w:rFonts w:ascii="Arial Narrow" w:hAnsi="Arial Narrow"/>
      <w:color w:val="000000" w:themeColor="text1"/>
      <w:sz w:val="16"/>
      <w:szCs w:val="14"/>
      <w:lang w:eastAsia="en-US"/>
    </w:rPr>
  </w:style>
  <w:style w:type="paragraph" w:styleId="EndnoteText">
    <w:name w:val="endnote text"/>
    <w:basedOn w:val="FootnoteText"/>
    <w:link w:val="EndnoteTextChar"/>
    <w:uiPriority w:val="99"/>
    <w:semiHidden/>
    <w:rsid w:val="00F3602E"/>
    <w:pPr>
      <w:spacing w:before="0" w:after="57" w:line="240" w:lineRule="auto"/>
      <w:ind w:left="0" w:firstLine="0"/>
    </w:pPr>
    <w:rPr>
      <w:rFonts w:asciiTheme="minorHAnsi" w:hAnsiTheme="minorHAnsi"/>
      <w:color w:val="000000" w:themeColor="text1"/>
      <w:sz w:val="16"/>
    </w:rPr>
  </w:style>
  <w:style w:type="character" w:customStyle="1" w:styleId="EndnoteTextChar">
    <w:name w:val="Endnote Text Char"/>
    <w:basedOn w:val="DefaultParagraphFont"/>
    <w:link w:val="EndnoteText"/>
    <w:uiPriority w:val="99"/>
    <w:semiHidden/>
    <w:rsid w:val="00F3602E"/>
    <w:rPr>
      <w:rFonts w:asciiTheme="minorHAnsi" w:hAnsiTheme="minorHAnsi"/>
      <w:color w:val="000000" w:themeColor="text1"/>
      <w:sz w:val="16"/>
    </w:rPr>
  </w:style>
  <w:style w:type="paragraph" w:styleId="Date">
    <w:name w:val="Date"/>
    <w:next w:val="BodyText"/>
    <w:link w:val="DateChar"/>
    <w:rsid w:val="00F3602E"/>
    <w:pPr>
      <w:spacing w:before="120" w:line="288" w:lineRule="auto"/>
    </w:pPr>
    <w:rPr>
      <w:rFonts w:asciiTheme="majorHAnsi" w:hAnsiTheme="majorHAnsi"/>
      <w:caps/>
      <w:color w:val="000000" w:themeColor="text1"/>
      <w:kern w:val="28"/>
      <w:sz w:val="25"/>
      <w:szCs w:val="25"/>
    </w:rPr>
  </w:style>
  <w:style w:type="character" w:customStyle="1" w:styleId="DateChar">
    <w:name w:val="Date Char"/>
    <w:basedOn w:val="DefaultParagraphFont"/>
    <w:link w:val="Date"/>
    <w:rsid w:val="00F3602E"/>
    <w:rPr>
      <w:rFonts w:asciiTheme="majorHAnsi" w:hAnsiTheme="majorHAnsi"/>
      <w:caps/>
      <w:color w:val="000000" w:themeColor="text1"/>
      <w:kern w:val="28"/>
      <w:sz w:val="25"/>
      <w:szCs w:val="25"/>
    </w:rPr>
  </w:style>
  <w:style w:type="character" w:customStyle="1" w:styleId="DraftingNote0">
    <w:name w:val="Drafting Note"/>
    <w:basedOn w:val="DefaultParagraphFont"/>
    <w:uiPriority w:val="10"/>
    <w:rsid w:val="00F3602E"/>
    <w:rPr>
      <w:rFonts w:asciiTheme="minorHAnsi" w:hAnsiTheme="minorHAnsi"/>
      <w:b/>
      <w:color w:val="FF0000"/>
      <w:sz w:val="20"/>
      <w:szCs w:val="20"/>
      <w:u w:val="dotted"/>
    </w:rPr>
  </w:style>
  <w:style w:type="character" w:styleId="FollowedHyperlink">
    <w:name w:val="FollowedHyperlink"/>
    <w:basedOn w:val="DefaultParagraphFont"/>
    <w:uiPriority w:val="99"/>
    <w:semiHidden/>
    <w:rsid w:val="00F3602E"/>
    <w:rPr>
      <w:color w:val="333399"/>
      <w:u w:val="none"/>
    </w:rPr>
  </w:style>
  <w:style w:type="character" w:customStyle="1" w:styleId="HeaderChar">
    <w:name w:val="Header Char"/>
    <w:basedOn w:val="DefaultParagraphFont"/>
    <w:link w:val="Header"/>
    <w:uiPriority w:val="99"/>
    <w:rsid w:val="00704B3A"/>
    <w:rPr>
      <w:rFonts w:ascii="Franklin Gothic Book" w:hAnsi="Franklin Gothic Book"/>
      <w:sz w:val="18"/>
    </w:rPr>
  </w:style>
  <w:style w:type="paragraph" w:customStyle="1" w:styleId="Heading1unnumbered">
    <w:name w:val="Heading 1 unnumbered"/>
    <w:basedOn w:val="Heading1"/>
    <w:next w:val="BodyText"/>
    <w:link w:val="Heading1unnumberedChar"/>
    <w:uiPriority w:val="2"/>
    <w:rsid w:val="00F3602E"/>
    <w:pPr>
      <w:spacing w:before="0" w:after="360"/>
      <w:ind w:left="0" w:firstLine="0"/>
    </w:pPr>
    <w:rPr>
      <w:rFonts w:asciiTheme="majorHAnsi" w:hAnsiTheme="majorHAnsi"/>
      <w:bCs w:val="0"/>
      <w:color w:val="EEECE1" w:themeColor="background2"/>
      <w:kern w:val="28"/>
    </w:rPr>
  </w:style>
  <w:style w:type="paragraph" w:customStyle="1" w:styleId="Heading2unnumbered">
    <w:name w:val="Heading 2 unnumbered"/>
    <w:basedOn w:val="Heading2"/>
    <w:next w:val="BodyText"/>
    <w:link w:val="Heading2unnumberedChar"/>
    <w:uiPriority w:val="2"/>
    <w:rsid w:val="00F3602E"/>
    <w:pPr>
      <w:spacing w:before="360" w:after="240"/>
      <w:ind w:left="0" w:firstLine="0"/>
    </w:pPr>
    <w:rPr>
      <w:rFonts w:asciiTheme="majorHAnsi" w:hAnsiTheme="majorHAnsi"/>
      <w:bCs w:val="0"/>
      <w:iCs w:val="0"/>
      <w:color w:val="1F497D" w:themeColor="text2"/>
      <w:kern w:val="28"/>
      <w:szCs w:val="32"/>
    </w:rPr>
  </w:style>
  <w:style w:type="paragraph" w:customStyle="1" w:styleId="AppendixHeading2unnumbered">
    <w:name w:val="Appendix Heading 2 unnumbered"/>
    <w:basedOn w:val="Heading7"/>
    <w:next w:val="BodyText"/>
    <w:link w:val="AppendixHeading2unnumberedChar"/>
    <w:uiPriority w:val="29"/>
    <w:rsid w:val="00F3602E"/>
  </w:style>
  <w:style w:type="paragraph" w:customStyle="1" w:styleId="Invisiblepara">
    <w:name w:val="Invisible para"/>
    <w:next w:val="BodyText"/>
    <w:semiHidden/>
    <w:rsid w:val="00F3602E"/>
    <w:pPr>
      <w:keepNext/>
      <w:spacing w:before="240" w:line="110" w:lineRule="atLeast"/>
    </w:pPr>
    <w:rPr>
      <w:rFonts w:asciiTheme="minorHAnsi" w:hAnsiTheme="minorHAnsi"/>
      <w:vanish/>
      <w:color w:val="000000" w:themeColor="text1"/>
      <w:sz w:val="8"/>
      <w:szCs w:val="8"/>
    </w:rPr>
  </w:style>
  <w:style w:type="paragraph" w:customStyle="1" w:styleId="Invisiblepara2">
    <w:name w:val="Invisible para 2"/>
    <w:basedOn w:val="Invisiblepara"/>
    <w:next w:val="BodyText"/>
    <w:semiHidden/>
    <w:rsid w:val="00F3602E"/>
    <w:pPr>
      <w:keepNext w:val="0"/>
      <w:spacing w:before="0" w:after="240"/>
    </w:pPr>
  </w:style>
  <w:style w:type="paragraph" w:styleId="ListBullet">
    <w:name w:val="List Bullet"/>
    <w:basedOn w:val="BodyText"/>
    <w:uiPriority w:val="1"/>
    <w:rsid w:val="00F3602E"/>
    <w:pPr>
      <w:numPr>
        <w:numId w:val="18"/>
      </w:numPr>
    </w:pPr>
  </w:style>
  <w:style w:type="paragraph" w:styleId="ListBullet2">
    <w:name w:val="List Bullet 2"/>
    <w:basedOn w:val="BodyText"/>
    <w:uiPriority w:val="1"/>
    <w:rsid w:val="00F3602E"/>
    <w:pPr>
      <w:numPr>
        <w:numId w:val="19"/>
      </w:numPr>
    </w:pPr>
  </w:style>
  <w:style w:type="paragraph" w:styleId="ListNumber">
    <w:name w:val="List Number"/>
    <w:basedOn w:val="BodyText"/>
    <w:uiPriority w:val="1"/>
    <w:rsid w:val="00F3602E"/>
    <w:pPr>
      <w:numPr>
        <w:numId w:val="45"/>
      </w:numPr>
    </w:pPr>
  </w:style>
  <w:style w:type="paragraph" w:styleId="ListNumber2">
    <w:name w:val="List Number 2"/>
    <w:basedOn w:val="BodyText"/>
    <w:uiPriority w:val="1"/>
    <w:rsid w:val="00F3602E"/>
    <w:pPr>
      <w:numPr>
        <w:numId w:val="20"/>
      </w:numPr>
    </w:pPr>
  </w:style>
  <w:style w:type="paragraph" w:customStyle="1" w:styleId="Note">
    <w:name w:val="Note"/>
    <w:link w:val="NoteCharChar"/>
    <w:uiPriority w:val="6"/>
    <w:rsid w:val="00F3602E"/>
    <w:pPr>
      <w:spacing w:before="120" w:after="240" w:line="288" w:lineRule="auto"/>
    </w:pPr>
    <w:rPr>
      <w:rFonts w:ascii="Arial Narrow" w:hAnsi="Arial Narrow"/>
      <w:color w:val="000000" w:themeColor="text1"/>
      <w:sz w:val="16"/>
      <w:szCs w:val="16"/>
      <w:lang w:eastAsia="en-US"/>
    </w:rPr>
  </w:style>
  <w:style w:type="character" w:customStyle="1" w:styleId="NoteLabel">
    <w:name w:val="Note Label"/>
    <w:basedOn w:val="DefaultParagraphFont"/>
    <w:uiPriority w:val="6"/>
    <w:semiHidden/>
    <w:rsid w:val="00F3602E"/>
    <w:rPr>
      <w:rFonts w:ascii="Arial Narrow" w:hAnsi="Arial Narrow"/>
      <w:b/>
      <w:color w:val="000000" w:themeColor="text1"/>
      <w:position w:val="4"/>
      <w:sz w:val="16"/>
      <w:szCs w:val="14"/>
    </w:rPr>
  </w:style>
  <w:style w:type="paragraph" w:customStyle="1" w:styleId="NoteNumber">
    <w:name w:val="Note Number"/>
    <w:basedOn w:val="Note"/>
    <w:next w:val="Note"/>
    <w:uiPriority w:val="6"/>
    <w:rsid w:val="00F3602E"/>
    <w:pPr>
      <w:numPr>
        <w:numId w:val="21"/>
      </w:numPr>
      <w:tabs>
        <w:tab w:val="clear" w:pos="170"/>
      </w:tabs>
    </w:pPr>
  </w:style>
  <w:style w:type="character" w:customStyle="1" w:styleId="QuoteChar">
    <w:name w:val="Quote Char"/>
    <w:basedOn w:val="DefaultParagraphFont"/>
    <w:link w:val="Quote"/>
    <w:rsid w:val="00704B3A"/>
    <w:rPr>
      <w:rFonts w:ascii="Franklin Gothic Book" w:hAnsi="Franklin Gothic Book"/>
      <w:i/>
      <w:sz w:val="21"/>
    </w:rPr>
  </w:style>
  <w:style w:type="paragraph" w:customStyle="1" w:styleId="QuoteBullet">
    <w:name w:val="Quote Bullet"/>
    <w:basedOn w:val="Quote"/>
    <w:uiPriority w:val="7"/>
    <w:rsid w:val="00F3602E"/>
    <w:pPr>
      <w:numPr>
        <w:numId w:val="22"/>
      </w:numPr>
      <w:tabs>
        <w:tab w:val="clear" w:pos="851"/>
      </w:tabs>
      <w:ind w:left="567" w:firstLine="0"/>
    </w:pPr>
  </w:style>
  <w:style w:type="paragraph" w:customStyle="1" w:styleId="Reference">
    <w:name w:val="Reference"/>
    <w:uiPriority w:val="9"/>
    <w:rsid w:val="00F3602E"/>
    <w:pPr>
      <w:keepLines/>
      <w:spacing w:before="57" w:after="142" w:line="288" w:lineRule="auto"/>
      <w:ind w:left="284" w:hanging="284"/>
    </w:pPr>
    <w:rPr>
      <w:rFonts w:asciiTheme="minorHAnsi" w:hAnsiTheme="minorHAnsi"/>
      <w:color w:val="000000" w:themeColor="text1"/>
      <w:sz w:val="21"/>
      <w:szCs w:val="18"/>
    </w:rPr>
  </w:style>
  <w:style w:type="paragraph" w:customStyle="1" w:styleId="TableDataColumnHeading">
    <w:name w:val="Table Data Column Heading"/>
    <w:uiPriority w:val="27"/>
    <w:rsid w:val="00F3602E"/>
    <w:pPr>
      <w:keepNext/>
      <w:spacing w:after="57" w:line="288" w:lineRule="auto"/>
      <w:jc w:val="right"/>
    </w:pPr>
    <w:rPr>
      <w:rFonts w:ascii="Arial Narrow" w:hAnsi="Arial Narrow"/>
      <w:b/>
      <w:color w:val="F79646" w:themeColor="accent6"/>
      <w:sz w:val="19"/>
      <w:szCs w:val="17"/>
      <w:lang w:eastAsia="en-US"/>
    </w:rPr>
  </w:style>
  <w:style w:type="paragraph" w:customStyle="1" w:styleId="TableTextEntries">
    <w:name w:val="Table Text Entries"/>
    <w:rsid w:val="00F3602E"/>
    <w:pPr>
      <w:keepLines/>
      <w:spacing w:after="57" w:line="288" w:lineRule="auto"/>
    </w:pPr>
    <w:rPr>
      <w:rFonts w:ascii="Arial Narrow" w:hAnsi="Arial Narrow"/>
      <w:color w:val="000000" w:themeColor="text1"/>
      <w:sz w:val="19"/>
      <w:szCs w:val="17"/>
      <w:lang w:eastAsia="en-US"/>
    </w:rPr>
  </w:style>
  <w:style w:type="paragraph" w:customStyle="1" w:styleId="TableDataEntries">
    <w:name w:val="Table Data Entries"/>
    <w:basedOn w:val="TableTextEntries"/>
    <w:uiPriority w:val="24"/>
    <w:rsid w:val="00F3602E"/>
    <w:pPr>
      <w:jc w:val="right"/>
    </w:pPr>
  </w:style>
  <w:style w:type="paragraph" w:customStyle="1" w:styleId="TableHeading1">
    <w:name w:val="Table Heading 1"/>
    <w:basedOn w:val="TableTextEntries"/>
    <w:next w:val="TableTextEntries"/>
    <w:rsid w:val="00F3602E"/>
    <w:rPr>
      <w:b/>
      <w:color w:val="F79646" w:themeColor="accent6"/>
    </w:rPr>
  </w:style>
  <w:style w:type="paragraph" w:customStyle="1" w:styleId="TableHeading20">
    <w:name w:val="Table Heading 2"/>
    <w:basedOn w:val="TableHeading1"/>
    <w:next w:val="TableTextEntries"/>
    <w:rsid w:val="00657131"/>
    <w:rPr>
      <w:rFonts w:asciiTheme="majorHAnsi" w:hAnsiTheme="majorHAnsi"/>
      <w:color w:val="auto"/>
      <w:sz w:val="18"/>
    </w:rPr>
  </w:style>
  <w:style w:type="paragraph" w:customStyle="1" w:styleId="TableListBullet">
    <w:name w:val="Table List Bullet"/>
    <w:basedOn w:val="TableTextEntries"/>
    <w:rsid w:val="00F3602E"/>
    <w:pPr>
      <w:numPr>
        <w:numId w:val="23"/>
      </w:numPr>
    </w:pPr>
  </w:style>
  <w:style w:type="paragraph" w:customStyle="1" w:styleId="TableListBullet2">
    <w:name w:val="Table List Bullet 2"/>
    <w:basedOn w:val="TableTextEntries"/>
    <w:uiPriority w:val="25"/>
    <w:rsid w:val="00F3602E"/>
    <w:pPr>
      <w:numPr>
        <w:numId w:val="24"/>
      </w:numPr>
    </w:pPr>
  </w:style>
  <w:style w:type="paragraph" w:customStyle="1" w:styleId="TableListNumber0">
    <w:name w:val="Table List Number"/>
    <w:basedOn w:val="TableTextEntries"/>
    <w:uiPriority w:val="25"/>
    <w:rsid w:val="00F3602E"/>
    <w:pPr>
      <w:numPr>
        <w:numId w:val="25"/>
      </w:numPr>
    </w:pPr>
  </w:style>
  <w:style w:type="paragraph" w:customStyle="1" w:styleId="TableListNumber20">
    <w:name w:val="Table List Number 2"/>
    <w:basedOn w:val="TableTextEntries"/>
    <w:uiPriority w:val="25"/>
    <w:rsid w:val="00F3602E"/>
    <w:pPr>
      <w:numPr>
        <w:numId w:val="26"/>
      </w:numPr>
    </w:pPr>
  </w:style>
  <w:style w:type="paragraph" w:customStyle="1" w:styleId="TableTextColumnHeading">
    <w:name w:val="Table Text Column Heading"/>
    <w:uiPriority w:val="27"/>
    <w:rsid w:val="00F3602E"/>
    <w:pPr>
      <w:keepNext/>
      <w:spacing w:after="57" w:line="288" w:lineRule="auto"/>
    </w:pPr>
    <w:rPr>
      <w:rFonts w:ascii="Arial Narrow" w:hAnsi="Arial Narrow"/>
      <w:b/>
      <w:color w:val="F79646" w:themeColor="accent6"/>
      <w:sz w:val="19"/>
      <w:szCs w:val="17"/>
      <w:lang w:eastAsia="en-US"/>
    </w:rPr>
  </w:style>
  <w:style w:type="table" w:customStyle="1" w:styleId="TableODE">
    <w:name w:val="Table_ODE"/>
    <w:basedOn w:val="TableGrid"/>
    <w:semiHidden/>
    <w:rsid w:val="00F3602E"/>
    <w:rPr>
      <w:rFonts w:ascii="Arial Narrow" w:hAnsi="Arial Narrow"/>
      <w:color w:val="auto"/>
    </w:rPr>
    <w:tblPr>
      <w:tblInd w:w="0" w:type="dxa"/>
      <w:tblBorders>
        <w:top w:val="single" w:sz="6" w:space="0" w:color="007C92"/>
        <w:bottom w:val="single" w:sz="6" w:space="0" w:color="007C92"/>
        <w:insideH w:val="single" w:sz="6" w:space="0" w:color="007C92"/>
      </w:tblBorders>
      <w:tblCellMar>
        <w:top w:w="0" w:type="dxa"/>
        <w:left w:w="108" w:type="dxa"/>
        <w:bottom w:w="0" w:type="dxa"/>
        <w:right w:w="108" w:type="dxa"/>
      </w:tblCellMar>
    </w:tblPr>
    <w:tcPr>
      <w:shd w:val="clear" w:color="auto" w:fill="E6F3F6"/>
    </w:tcPr>
    <w:tblStylePr w:type="firstRow">
      <w:rPr>
        <w:rFonts w:ascii="Tahoma" w:hAnsi="Tahoma"/>
        <w:b w:val="0"/>
        <w:i w:val="0"/>
        <w:caps w:val="0"/>
        <w:smallCaps w:val="0"/>
        <w:color w:val="FFFFFF"/>
        <w:sz w:val="18"/>
        <w:szCs w:val="18"/>
      </w:rPr>
      <w:tblPr/>
      <w:tcPr>
        <w:tcBorders>
          <w:top w:val="nil"/>
          <w:left w:val="nil"/>
          <w:bottom w:val="nil"/>
          <w:right w:val="nil"/>
          <w:insideH w:val="nil"/>
          <w:insideV w:val="nil"/>
          <w:tl2br w:val="nil"/>
          <w:tr2bl w:val="nil"/>
        </w:tcBorders>
        <w:shd w:val="clear" w:color="auto" w:fill="0087A2"/>
      </w:tcPr>
    </w:tblStylePr>
  </w:style>
  <w:style w:type="character" w:customStyle="1" w:styleId="Heading1unnumberedChar">
    <w:name w:val="Heading 1 unnumbered Char"/>
    <w:basedOn w:val="Heading1Char"/>
    <w:link w:val="Heading1unnumbered"/>
    <w:uiPriority w:val="2"/>
    <w:rsid w:val="00F3602E"/>
    <w:rPr>
      <w:rFonts w:asciiTheme="majorHAnsi" w:hAnsiTheme="majorHAnsi" w:cs="Arial"/>
      <w:b w:val="0"/>
      <w:bCs w:val="0"/>
      <w:color w:val="EEECE1" w:themeColor="background2"/>
      <w:kern w:val="28"/>
      <w:sz w:val="44"/>
      <w:szCs w:val="44"/>
    </w:rPr>
  </w:style>
  <w:style w:type="character" w:customStyle="1" w:styleId="Heading2unnumberedChar">
    <w:name w:val="Heading 2 unnumbered Char"/>
    <w:basedOn w:val="Heading2Char"/>
    <w:link w:val="Heading2unnumbered"/>
    <w:uiPriority w:val="2"/>
    <w:rsid w:val="00F3602E"/>
    <w:rPr>
      <w:rFonts w:asciiTheme="majorHAnsi" w:hAnsiTheme="majorHAnsi" w:cs="Arial"/>
      <w:b/>
      <w:bCs w:val="0"/>
      <w:iCs w:val="0"/>
      <w:color w:val="1F497D" w:themeColor="text2"/>
      <w:kern w:val="28"/>
      <w:sz w:val="32"/>
      <w:szCs w:val="32"/>
    </w:rPr>
  </w:style>
  <w:style w:type="character" w:customStyle="1" w:styleId="AppendixHeading2unnumberedChar">
    <w:name w:val="Appendix Heading 2 unnumbered Char"/>
    <w:basedOn w:val="Heading7Char"/>
    <w:link w:val="AppendixHeading2unnumbered"/>
    <w:uiPriority w:val="29"/>
    <w:rsid w:val="00F3602E"/>
    <w:rPr>
      <w:rFonts w:asciiTheme="majorHAnsi" w:eastAsiaTheme="majorEastAsia" w:hAnsiTheme="majorHAnsi" w:cstheme="majorBidi"/>
      <w:b w:val="0"/>
      <w:i/>
      <w:iCs/>
      <w:color w:val="1F497D" w:themeColor="text2"/>
      <w:kern w:val="28"/>
      <w:sz w:val="32"/>
      <w:szCs w:val="32"/>
    </w:rPr>
  </w:style>
  <w:style w:type="paragraph" w:customStyle="1" w:styleId="InfoHead">
    <w:name w:val="Info Head"/>
    <w:basedOn w:val="BoxTitle"/>
    <w:semiHidden/>
    <w:rsid w:val="00F3602E"/>
    <w:pPr>
      <w:framePr w:hSpace="181" w:wrap="around" w:hAnchor="margin" w:yAlign="bottom"/>
      <w:suppressOverlap/>
    </w:pPr>
  </w:style>
  <w:style w:type="character" w:styleId="PlaceholderText">
    <w:name w:val="Placeholder Text"/>
    <w:basedOn w:val="DefaultParagraphFont"/>
    <w:uiPriority w:val="99"/>
    <w:semiHidden/>
    <w:rsid w:val="00F3602E"/>
    <w:rPr>
      <w:color w:val="808080"/>
    </w:rPr>
  </w:style>
  <w:style w:type="paragraph" w:styleId="NoSpacing">
    <w:name w:val="No Spacing"/>
    <w:uiPriority w:val="1"/>
    <w:rsid w:val="00F3602E"/>
    <w:rPr>
      <w:rFonts w:asciiTheme="minorHAnsi" w:hAnsiTheme="minorHAnsi"/>
      <w:color w:val="000000" w:themeColor="text1"/>
      <w:sz w:val="21"/>
      <w:szCs w:val="24"/>
    </w:rPr>
  </w:style>
  <w:style w:type="paragraph" w:customStyle="1" w:styleId="BodyText2">
    <w:name w:val="Body Text2"/>
    <w:semiHidden/>
    <w:rsid w:val="00F3602E"/>
    <w:rPr>
      <w:rFonts w:ascii="Arial" w:hAnsi="Arial"/>
      <w:szCs w:val="24"/>
      <w:lang w:eastAsia="en-US"/>
    </w:rPr>
  </w:style>
  <w:style w:type="table" w:customStyle="1" w:styleId="ODETable">
    <w:name w:val="ODE Table"/>
    <w:basedOn w:val="TableNormal"/>
    <w:uiPriority w:val="99"/>
    <w:rsid w:val="00F3602E"/>
    <w:rPr>
      <w:rFonts w:ascii="Courier" w:hAnsi="Courier"/>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8064A2" w:themeFill="accent4"/>
    </w:tcPr>
    <w:tblStylePr w:type="firstRow">
      <w:tblPr/>
      <w:tcPr>
        <w:shd w:val="clear" w:color="auto" w:fill="C0504D" w:themeFill="accent2"/>
      </w:tcPr>
    </w:tblStylePr>
  </w:style>
  <w:style w:type="paragraph" w:styleId="ListParagraph">
    <w:name w:val="List Paragraph"/>
    <w:basedOn w:val="Normal"/>
    <w:uiPriority w:val="34"/>
    <w:qFormat/>
    <w:rsid w:val="00F3602E"/>
    <w:pPr>
      <w:spacing w:before="0" w:after="200" w:line="276" w:lineRule="auto"/>
      <w:ind w:left="720"/>
      <w:contextualSpacing/>
    </w:pPr>
    <w:rPr>
      <w:rFonts w:ascii="Calibri" w:eastAsia="Calibri" w:hAnsi="Calibri"/>
      <w:sz w:val="22"/>
      <w:szCs w:val="22"/>
      <w:lang w:eastAsia="en-US"/>
    </w:rPr>
  </w:style>
  <w:style w:type="paragraph" w:customStyle="1" w:styleId="Footnotetext0">
    <w:name w:val="Footnote : text"/>
    <w:basedOn w:val="Normal"/>
    <w:uiPriority w:val="99"/>
    <w:rsid w:val="00F3602E"/>
    <w:pPr>
      <w:widowControl w:val="0"/>
      <w:suppressAutoHyphens/>
      <w:autoSpaceDE w:val="0"/>
      <w:autoSpaceDN w:val="0"/>
      <w:adjustRightInd w:val="0"/>
      <w:spacing w:before="0" w:after="0" w:line="200" w:lineRule="atLeast"/>
      <w:ind w:left="312" w:hanging="312"/>
      <w:textAlignment w:val="center"/>
    </w:pPr>
    <w:rPr>
      <w:rFonts w:ascii="Cambria" w:eastAsiaTheme="minorHAnsi" w:hAnsi="Cambria" w:cs="MetaSerif-Book"/>
      <w:color w:val="000000" w:themeColor="text1"/>
      <w:sz w:val="16"/>
      <w:szCs w:val="16"/>
      <w:lang w:val="en-GB" w:eastAsia="en-US"/>
    </w:rPr>
  </w:style>
  <w:style w:type="paragraph" w:customStyle="1" w:styleId="Body">
    <w:name w:val="Body"/>
    <w:basedOn w:val="Normal"/>
    <w:uiPriority w:val="1"/>
    <w:rsid w:val="00F3602E"/>
    <w:pPr>
      <w:widowControl w:val="0"/>
      <w:spacing w:before="0" w:after="0" w:line="240" w:lineRule="auto"/>
    </w:pPr>
    <w:rPr>
      <w:rFonts w:ascii="Cambria" w:eastAsia="Cambria" w:hAnsi="Cambria"/>
      <w:sz w:val="20"/>
      <w:lang w:val="en-US" w:eastAsia="en-US"/>
    </w:rPr>
  </w:style>
  <w:style w:type="paragraph" w:customStyle="1" w:styleId="IODPARCBullets">
    <w:name w:val="IOD PARC Bullets"/>
    <w:basedOn w:val="Normal"/>
    <w:link w:val="IODPARCBulletsChar"/>
    <w:uiPriority w:val="1"/>
    <w:rsid w:val="00F3602E"/>
    <w:pPr>
      <w:numPr>
        <w:numId w:val="27"/>
      </w:numPr>
      <w:spacing w:before="0" w:line="240" w:lineRule="auto"/>
      <w:ind w:right="454"/>
    </w:pPr>
    <w:rPr>
      <w:rFonts w:ascii="Georgia" w:hAnsi="Georgia"/>
      <w:sz w:val="22"/>
      <w:szCs w:val="24"/>
      <w:lang w:eastAsia="ja-JP"/>
    </w:rPr>
  </w:style>
  <w:style w:type="character" w:customStyle="1" w:styleId="IODPARCBulletsChar">
    <w:name w:val="IOD PARC Bullets Char"/>
    <w:link w:val="IODPARCBullets"/>
    <w:uiPriority w:val="1"/>
    <w:rsid w:val="00F3602E"/>
    <w:rPr>
      <w:rFonts w:ascii="Georgia" w:hAnsi="Georgia"/>
      <w:sz w:val="22"/>
      <w:szCs w:val="24"/>
      <w:lang w:eastAsia="ja-JP"/>
    </w:rPr>
  </w:style>
  <w:style w:type="paragraph" w:styleId="NormalWeb">
    <w:name w:val="Normal (Web)"/>
    <w:basedOn w:val="Normal"/>
    <w:uiPriority w:val="99"/>
    <w:unhideWhenUsed/>
    <w:rsid w:val="00F3602E"/>
    <w:pPr>
      <w:spacing w:before="100" w:beforeAutospacing="1" w:after="100" w:afterAutospacing="1" w:line="240" w:lineRule="auto"/>
    </w:pPr>
    <w:rPr>
      <w:rFonts w:ascii="Times" w:eastAsia="MS Mincho" w:hAnsi="Times"/>
      <w:sz w:val="20"/>
      <w:lang w:val="en-GB" w:eastAsia="en-US"/>
    </w:rPr>
  </w:style>
  <w:style w:type="table" w:customStyle="1" w:styleId="TableGrid1">
    <w:name w:val="Table Grid1"/>
    <w:basedOn w:val="TableNormal"/>
    <w:next w:val="TableGrid"/>
    <w:uiPriority w:val="59"/>
    <w:rsid w:val="00F3602E"/>
    <w:tblPr>
      <w:tblInd w:w="0" w:type="dxa"/>
      <w:tblCellMar>
        <w:top w:w="0" w:type="dxa"/>
        <w:left w:w="0" w:type="dxa"/>
        <w:bottom w:w="0" w:type="dxa"/>
        <w:right w:w="0" w:type="dxa"/>
      </w:tblCellMar>
    </w:tblPr>
  </w:style>
  <w:style w:type="character" w:customStyle="1" w:styleId="FootnoteTextChar1">
    <w:name w:val="Footnote Text Char1"/>
    <w:aliases w:val="Footnote Text Char Char,Char Char,ft Char,single space Char,fn Char,Footnote Text Char Char Char Char Char"/>
    <w:uiPriority w:val="99"/>
    <w:rsid w:val="00F3602E"/>
    <w:rPr>
      <w:rFonts w:ascii="Cambria" w:hAnsi="Cambria"/>
      <w:sz w:val="16"/>
      <w:szCs w:val="14"/>
      <w:lang w:bidi="ar-SA"/>
    </w:rPr>
  </w:style>
  <w:style w:type="paragraph" w:customStyle="1" w:styleId="List1">
    <w:name w:val="List1"/>
    <w:basedOn w:val="Normal"/>
    <w:rsid w:val="00F3602E"/>
    <w:pPr>
      <w:numPr>
        <w:numId w:val="28"/>
      </w:numPr>
      <w:suppressAutoHyphens/>
      <w:autoSpaceDE w:val="0"/>
      <w:autoSpaceDN w:val="0"/>
      <w:adjustRightInd w:val="0"/>
      <w:spacing w:before="120" w:line="300" w:lineRule="auto"/>
      <w:jc w:val="both"/>
    </w:pPr>
    <w:rPr>
      <w:rFonts w:ascii="Cambria" w:eastAsia="MS Mincho" w:hAnsi="Cambria" w:cs="FoundersGrotesk-Regular"/>
      <w:sz w:val="22"/>
      <w:szCs w:val="21"/>
      <w:lang w:eastAsia="en-US"/>
    </w:rPr>
  </w:style>
  <w:style w:type="paragraph" w:customStyle="1" w:styleId="Boxtext1">
    <w:name w:val="Box text"/>
    <w:basedOn w:val="Normal"/>
    <w:next w:val="Normal"/>
    <w:uiPriority w:val="1"/>
    <w:rsid w:val="00F3602E"/>
    <w:pPr>
      <w:widowControl w:val="0"/>
      <w:suppressAutoHyphens/>
      <w:autoSpaceDE w:val="0"/>
      <w:autoSpaceDN w:val="0"/>
      <w:adjustRightInd w:val="0"/>
      <w:spacing w:before="0" w:after="57" w:line="260" w:lineRule="atLeast"/>
      <w:textAlignment w:val="center"/>
    </w:pPr>
    <w:rPr>
      <w:rFonts w:ascii="Calibri" w:eastAsiaTheme="minorHAnsi" w:hAnsi="Calibri" w:cs="Gotham-Book"/>
      <w:color w:val="000000" w:themeColor="text1"/>
      <w:sz w:val="22"/>
      <w:szCs w:val="18"/>
      <w:lang w:val="en-GB" w:eastAsia="en-US"/>
    </w:rPr>
  </w:style>
  <w:style w:type="paragraph" w:customStyle="1" w:styleId="Boxhead">
    <w:name w:val="Box head"/>
    <w:basedOn w:val="Normal"/>
    <w:uiPriority w:val="1"/>
    <w:rsid w:val="00F3602E"/>
    <w:pPr>
      <w:widowControl w:val="0"/>
      <w:suppressAutoHyphens/>
      <w:autoSpaceDE w:val="0"/>
      <w:autoSpaceDN w:val="0"/>
      <w:adjustRightInd w:val="0"/>
      <w:spacing w:before="0" w:after="0" w:line="220" w:lineRule="atLeast"/>
      <w:textAlignment w:val="center"/>
    </w:pPr>
    <w:rPr>
      <w:rFonts w:ascii="Calibri" w:eastAsiaTheme="minorHAnsi" w:hAnsi="Calibri" w:cs="Gotham-Bold"/>
      <w:bCs/>
      <w:color w:val="FFFFFF" w:themeColor="background1"/>
      <w:sz w:val="22"/>
      <w:szCs w:val="18"/>
      <w:lang w:val="en-GB" w:eastAsia="en-US"/>
    </w:rPr>
  </w:style>
  <w:style w:type="character" w:customStyle="1" w:styleId="Footnoteitalic">
    <w:name w:val="Footnote : italic"/>
    <w:uiPriority w:val="99"/>
    <w:rsid w:val="00F3602E"/>
  </w:style>
  <w:style w:type="paragraph" w:customStyle="1" w:styleId="Heading7unnumbered">
    <w:name w:val="Heading 7 unnumbered"/>
    <w:basedOn w:val="Heading7"/>
    <w:next w:val="BodyText"/>
    <w:rsid w:val="00F3602E"/>
    <w:rPr>
      <w:rFonts w:ascii="Calibri" w:hAnsi="Calibri"/>
      <w:color w:val="DA7D2D"/>
    </w:rPr>
  </w:style>
  <w:style w:type="paragraph" w:customStyle="1" w:styleId="footnote">
    <w:name w:val="footnote"/>
    <w:basedOn w:val="Normal"/>
    <w:uiPriority w:val="99"/>
    <w:rsid w:val="00F3602E"/>
    <w:pPr>
      <w:widowControl w:val="0"/>
      <w:suppressAutoHyphens/>
      <w:autoSpaceDE w:val="0"/>
      <w:autoSpaceDN w:val="0"/>
      <w:adjustRightInd w:val="0"/>
      <w:spacing w:before="0" w:after="0" w:line="200" w:lineRule="atLeast"/>
      <w:ind w:left="227" w:hanging="227"/>
      <w:textAlignment w:val="center"/>
    </w:pPr>
    <w:rPr>
      <w:rFonts w:ascii="MetaSerif-Book" w:hAnsi="MetaSerif-Book" w:cs="MetaSerif-Book"/>
      <w:sz w:val="16"/>
      <w:szCs w:val="16"/>
      <w:lang w:val="en-GB" w:eastAsia="en-US"/>
    </w:rPr>
  </w:style>
  <w:style w:type="numbering" w:customStyle="1" w:styleId="JSH">
    <w:name w:val="JSH"/>
    <w:uiPriority w:val="99"/>
    <w:rsid w:val="00F3602E"/>
    <w:pPr>
      <w:numPr>
        <w:numId w:val="29"/>
      </w:numPr>
    </w:pPr>
  </w:style>
  <w:style w:type="paragraph" w:customStyle="1" w:styleId="Default">
    <w:name w:val="Default"/>
    <w:rsid w:val="00F3602E"/>
    <w:pPr>
      <w:autoSpaceDE w:val="0"/>
      <w:autoSpaceDN w:val="0"/>
      <w:adjustRightInd w:val="0"/>
    </w:pPr>
    <w:rPr>
      <w:rFonts w:ascii="Helvetica Neue" w:hAnsi="Helvetica Neue" w:cs="Helvetica Neue"/>
      <w:color w:val="000000"/>
      <w:sz w:val="24"/>
      <w:szCs w:val="24"/>
    </w:rPr>
  </w:style>
  <w:style w:type="character" w:customStyle="1" w:styleId="A0">
    <w:name w:val="A0"/>
    <w:uiPriority w:val="99"/>
    <w:rsid w:val="00F3602E"/>
    <w:rPr>
      <w:rFonts w:cs="Helvetica Neue"/>
      <w:b/>
      <w:bCs/>
      <w:color w:val="000000"/>
      <w:sz w:val="50"/>
      <w:szCs w:val="50"/>
    </w:rPr>
  </w:style>
  <w:style w:type="paragraph" w:styleId="Revision">
    <w:name w:val="Revision"/>
    <w:hidden/>
    <w:uiPriority w:val="99"/>
    <w:semiHidden/>
    <w:rsid w:val="00F3602E"/>
    <w:rPr>
      <w:rFonts w:asciiTheme="minorHAnsi" w:hAnsiTheme="minorHAnsi"/>
      <w:color w:val="000000" w:themeColor="text1"/>
      <w:sz w:val="21"/>
      <w:szCs w:val="24"/>
    </w:rPr>
  </w:style>
  <w:style w:type="character" w:customStyle="1" w:styleId="apple-converted-space">
    <w:name w:val="apple-converted-space"/>
    <w:basedOn w:val="DefaultParagraphFont"/>
    <w:rsid w:val="00F3602E"/>
  </w:style>
  <w:style w:type="character" w:customStyle="1" w:styleId="highlight">
    <w:name w:val="highlight"/>
    <w:basedOn w:val="DefaultParagraphFont"/>
    <w:rsid w:val="00F3602E"/>
  </w:style>
  <w:style w:type="paragraph" w:customStyle="1" w:styleId="bodybullet">
    <w:name w:val="body : bullet"/>
    <w:basedOn w:val="Normal"/>
    <w:uiPriority w:val="99"/>
    <w:rsid w:val="00F3602E"/>
    <w:pPr>
      <w:numPr>
        <w:numId w:val="30"/>
      </w:numPr>
      <w:autoSpaceDE w:val="0"/>
      <w:autoSpaceDN w:val="0"/>
      <w:spacing w:after="140" w:line="260" w:lineRule="atLeast"/>
    </w:pPr>
    <w:rPr>
      <w:rFonts w:ascii="Times" w:eastAsiaTheme="minorHAnsi" w:hAnsi="Times"/>
      <w:sz w:val="24"/>
      <w:szCs w:val="24"/>
      <w:lang w:val="en-GB" w:eastAsia="en-US"/>
    </w:rPr>
  </w:style>
  <w:style w:type="character" w:styleId="EndnoteReference">
    <w:name w:val="endnote reference"/>
    <w:basedOn w:val="DefaultParagraphFont"/>
    <w:uiPriority w:val="99"/>
    <w:semiHidden/>
    <w:rsid w:val="00F3602E"/>
    <w:rPr>
      <w:vertAlign w:val="superscript"/>
    </w:rPr>
  </w:style>
  <w:style w:type="paragraph" w:customStyle="1" w:styleId="BodyCopy">
    <w:name w:val="Body Copy"/>
    <w:basedOn w:val="Normal"/>
    <w:uiPriority w:val="99"/>
    <w:rsid w:val="00F3602E"/>
    <w:pPr>
      <w:widowControl w:val="0"/>
      <w:suppressAutoHyphens/>
      <w:autoSpaceDE w:val="0"/>
      <w:autoSpaceDN w:val="0"/>
      <w:adjustRightInd w:val="0"/>
      <w:spacing w:before="57" w:after="142"/>
      <w:textAlignment w:val="center"/>
    </w:pPr>
    <w:rPr>
      <w:rFonts w:ascii="Cambria" w:eastAsia="MS Mincho" w:hAnsi="Cambria" w:cs="Cambria"/>
      <w:szCs w:val="21"/>
      <w:lang w:val="en-GB" w:eastAsia="ja-JP"/>
    </w:rPr>
  </w:style>
  <w:style w:type="paragraph" w:customStyle="1" w:styleId="IODPARCHeadingLevel3">
    <w:name w:val="IOD PARC Heading Level 3"/>
    <w:basedOn w:val="Normal"/>
    <w:link w:val="IODPARCHeadingLevel3Char"/>
    <w:rsid w:val="00F3602E"/>
    <w:pPr>
      <w:spacing w:before="120" w:line="240" w:lineRule="auto"/>
    </w:pPr>
    <w:rPr>
      <w:rFonts w:ascii="Georgia" w:hAnsi="Georgia" w:cs="Arial"/>
      <w:bCs/>
      <w:i/>
      <w:color w:val="333333"/>
      <w:sz w:val="24"/>
      <w:lang w:val="en-GB" w:eastAsia="en-GB"/>
    </w:rPr>
  </w:style>
  <w:style w:type="character" w:customStyle="1" w:styleId="IODPARCHeadingLevel3Char">
    <w:name w:val="IOD PARC Heading Level 3 Char"/>
    <w:basedOn w:val="DefaultParagraphFont"/>
    <w:link w:val="IODPARCHeadingLevel3"/>
    <w:rsid w:val="00F3602E"/>
    <w:rPr>
      <w:rFonts w:ascii="Georgia" w:hAnsi="Georgia" w:cs="Arial"/>
      <w:bCs/>
      <w:i/>
      <w:color w:val="333333"/>
      <w:sz w:val="24"/>
      <w:lang w:val="en-GB" w:eastAsia="en-GB"/>
    </w:rPr>
  </w:style>
  <w:style w:type="character" w:customStyle="1" w:styleId="NoteCharChar">
    <w:name w:val="Note Char Char"/>
    <w:link w:val="Note"/>
    <w:rsid w:val="00F3602E"/>
    <w:rPr>
      <w:rFonts w:ascii="Arial Narrow" w:hAnsi="Arial Narrow"/>
      <w:color w:val="000000" w:themeColor="text1"/>
      <w:sz w:val="16"/>
      <w:szCs w:val="16"/>
      <w:lang w:eastAsia="en-US"/>
    </w:rPr>
  </w:style>
  <w:style w:type="paragraph" w:styleId="TOCHeading">
    <w:name w:val="TOC Heading"/>
    <w:basedOn w:val="Heading1"/>
    <w:next w:val="Normal"/>
    <w:uiPriority w:val="39"/>
    <w:semiHidden/>
    <w:unhideWhenUsed/>
    <w:qFormat/>
    <w:rsid w:val="00F3602E"/>
    <w:pPr>
      <w:keepLines/>
      <w:pageBreakBefore w:val="0"/>
      <w:spacing w:before="240" w:after="0" w:line="288" w:lineRule="auto"/>
      <w:ind w:left="0" w:firstLine="0"/>
      <w:outlineLvl w:val="9"/>
    </w:pPr>
    <w:rPr>
      <w:rFonts w:asciiTheme="majorHAnsi" w:eastAsiaTheme="majorEastAsia" w:hAnsiTheme="majorHAnsi" w:cstheme="majorBidi"/>
      <w:bCs w:val="0"/>
      <w:color w:val="365F91" w:themeColor="accent1" w:themeShade="BF"/>
      <w:sz w:val="32"/>
    </w:rPr>
  </w:style>
  <w:style w:type="paragraph" w:customStyle="1" w:styleId="Level1">
    <w:name w:val="Level 1."/>
    <w:basedOn w:val="Normal"/>
    <w:rsid w:val="00F3602E"/>
    <w:pPr>
      <w:numPr>
        <w:numId w:val="31"/>
      </w:numPr>
      <w:spacing w:before="240" w:after="0" w:line="240" w:lineRule="auto"/>
    </w:pPr>
    <w:rPr>
      <w:rFonts w:ascii="Times New Roman" w:hAnsi="Times New Roman"/>
      <w:sz w:val="24"/>
      <w:szCs w:val="22"/>
      <w:lang w:eastAsia="en-US"/>
    </w:rPr>
  </w:style>
  <w:style w:type="paragraph" w:customStyle="1" w:styleId="Level11">
    <w:name w:val="Level 1.1"/>
    <w:basedOn w:val="Normal"/>
    <w:rsid w:val="00F3602E"/>
    <w:pPr>
      <w:numPr>
        <w:ilvl w:val="1"/>
        <w:numId w:val="31"/>
      </w:numPr>
      <w:spacing w:before="240" w:after="0" w:line="240" w:lineRule="auto"/>
    </w:pPr>
    <w:rPr>
      <w:rFonts w:ascii="Times New Roman" w:hAnsi="Times New Roman"/>
      <w:sz w:val="24"/>
      <w:szCs w:val="22"/>
      <w:lang w:eastAsia="en-US"/>
    </w:rPr>
  </w:style>
  <w:style w:type="paragraph" w:customStyle="1" w:styleId="Levela">
    <w:name w:val="Level (a)"/>
    <w:basedOn w:val="Normal"/>
    <w:rsid w:val="00F3602E"/>
    <w:pPr>
      <w:numPr>
        <w:ilvl w:val="2"/>
        <w:numId w:val="31"/>
      </w:numPr>
      <w:spacing w:before="240" w:after="0" w:line="240" w:lineRule="auto"/>
    </w:pPr>
    <w:rPr>
      <w:rFonts w:ascii="Times New Roman" w:hAnsi="Times New Roman"/>
      <w:sz w:val="24"/>
      <w:szCs w:val="22"/>
      <w:lang w:eastAsia="en-US"/>
    </w:rPr>
  </w:style>
  <w:style w:type="paragraph" w:customStyle="1" w:styleId="Leveli">
    <w:name w:val="Level (i)"/>
    <w:basedOn w:val="Normal"/>
    <w:rsid w:val="00F3602E"/>
    <w:pPr>
      <w:numPr>
        <w:ilvl w:val="3"/>
        <w:numId w:val="31"/>
      </w:numPr>
      <w:spacing w:before="240" w:after="0" w:line="240" w:lineRule="auto"/>
    </w:pPr>
    <w:rPr>
      <w:rFonts w:ascii="Times New Roman" w:hAnsi="Times New Roman"/>
      <w:sz w:val="24"/>
      <w:szCs w:val="22"/>
      <w:lang w:eastAsia="en-US"/>
    </w:rPr>
  </w:style>
  <w:style w:type="paragraph" w:styleId="PlainText">
    <w:name w:val="Plain Text"/>
    <w:basedOn w:val="Normal"/>
    <w:link w:val="PlainTextChar"/>
    <w:uiPriority w:val="99"/>
    <w:rsid w:val="00F3602E"/>
    <w:pPr>
      <w:numPr>
        <w:ilvl w:val="4"/>
        <w:numId w:val="31"/>
      </w:numPr>
      <w:spacing w:before="240" w:after="0" w:line="240" w:lineRule="auto"/>
    </w:pPr>
    <w:rPr>
      <w:rFonts w:ascii="Courier New" w:hAnsi="Courier New" w:cs="Courier New"/>
      <w:sz w:val="20"/>
      <w:lang w:eastAsia="en-US"/>
    </w:rPr>
  </w:style>
  <w:style w:type="character" w:customStyle="1" w:styleId="PlainTextChar">
    <w:name w:val="Plain Text Char"/>
    <w:basedOn w:val="DefaultParagraphFont"/>
    <w:link w:val="PlainText"/>
    <w:uiPriority w:val="99"/>
    <w:rsid w:val="00F3602E"/>
    <w:rPr>
      <w:rFonts w:ascii="Courier New" w:hAnsi="Courier New" w:cs="Courier New"/>
      <w:lang w:eastAsia="en-US"/>
    </w:rPr>
  </w:style>
  <w:style w:type="paragraph" w:customStyle="1" w:styleId="LevelA0">
    <w:name w:val="Level(A)"/>
    <w:basedOn w:val="Normal"/>
    <w:rsid w:val="00F3602E"/>
    <w:pPr>
      <w:numPr>
        <w:ilvl w:val="5"/>
        <w:numId w:val="31"/>
      </w:numPr>
      <w:spacing w:before="240" w:after="0" w:line="240" w:lineRule="auto"/>
    </w:pPr>
    <w:rPr>
      <w:rFonts w:ascii="Times New Roman" w:hAnsi="Times New Roman"/>
      <w:sz w:val="24"/>
      <w:szCs w:val="22"/>
      <w:lang w:eastAsia="en-US"/>
    </w:rPr>
  </w:style>
  <w:style w:type="paragraph" w:customStyle="1" w:styleId="Itadbodycopy">
    <w:name w:val="Itad body copy"/>
    <w:basedOn w:val="Normal"/>
    <w:link w:val="ItadbodycopyChar"/>
    <w:rsid w:val="00F3602E"/>
    <w:pPr>
      <w:spacing w:before="0" w:line="240" w:lineRule="auto"/>
    </w:pPr>
    <w:rPr>
      <w:rFonts w:ascii="Calibri" w:eastAsia="Calibri" w:hAnsi="Calibri"/>
      <w:sz w:val="22"/>
      <w:lang w:val="en-GB" w:eastAsia="en-US"/>
    </w:rPr>
  </w:style>
  <w:style w:type="paragraph" w:customStyle="1" w:styleId="Itadheading1">
    <w:name w:val="Itad heading 1"/>
    <w:basedOn w:val="Heading1"/>
    <w:link w:val="Itadheading1Char"/>
    <w:rsid w:val="00F3602E"/>
    <w:pPr>
      <w:keepLines/>
      <w:pageBreakBefore w:val="0"/>
      <w:numPr>
        <w:numId w:val="33"/>
      </w:numPr>
      <w:spacing w:before="0" w:after="240" w:line="240" w:lineRule="auto"/>
    </w:pPr>
    <w:rPr>
      <w:rFonts w:ascii="Calibri" w:hAnsi="Calibri" w:cs="Times New Roman"/>
      <w:color w:val="73B632"/>
      <w:sz w:val="32"/>
      <w:lang w:val="en-GB" w:eastAsia="en-GB"/>
    </w:rPr>
  </w:style>
  <w:style w:type="character" w:customStyle="1" w:styleId="Itadheading1Char">
    <w:name w:val="Itad heading 1 Char"/>
    <w:link w:val="Itadheading1"/>
    <w:rsid w:val="00F3602E"/>
    <w:rPr>
      <w:rFonts w:ascii="Calibri" w:hAnsi="Calibri"/>
      <w:b/>
      <w:bCs/>
      <w:color w:val="73B632"/>
      <w:sz w:val="32"/>
      <w:szCs w:val="32"/>
      <w:lang w:val="en-GB" w:eastAsia="en-GB"/>
    </w:rPr>
  </w:style>
  <w:style w:type="paragraph" w:customStyle="1" w:styleId="Itadnumbers">
    <w:name w:val="Itad numbers"/>
    <w:basedOn w:val="Normal"/>
    <w:rsid w:val="00F3602E"/>
    <w:pPr>
      <w:numPr>
        <w:numId w:val="32"/>
      </w:numPr>
      <w:spacing w:before="0" w:after="200" w:line="240" w:lineRule="auto"/>
    </w:pPr>
    <w:rPr>
      <w:rFonts w:ascii="Calibri" w:eastAsia="Calibri" w:hAnsi="Calibri"/>
      <w:sz w:val="22"/>
      <w:lang w:val="en-GB" w:eastAsia="en-US"/>
    </w:rPr>
  </w:style>
  <w:style w:type="paragraph" w:customStyle="1" w:styleId="Itadfooterstyle">
    <w:name w:val="Itad footer style"/>
    <w:basedOn w:val="Normal"/>
    <w:rsid w:val="00F3602E"/>
    <w:pPr>
      <w:pBdr>
        <w:top w:val="single" w:sz="4" w:space="1" w:color="A6A6A6"/>
      </w:pBdr>
      <w:tabs>
        <w:tab w:val="right" w:pos="9072"/>
        <w:tab w:val="right" w:pos="15309"/>
      </w:tabs>
      <w:spacing w:before="0" w:line="240" w:lineRule="auto"/>
    </w:pPr>
    <w:rPr>
      <w:rFonts w:ascii="Calibri" w:eastAsia="Calibri" w:hAnsi="Calibri"/>
      <w:sz w:val="16"/>
      <w:szCs w:val="16"/>
      <w:lang w:val="en-US" w:eastAsia="en-US"/>
    </w:rPr>
  </w:style>
  <w:style w:type="paragraph" w:customStyle="1" w:styleId="Itadsectionheading">
    <w:name w:val="Itad section heading"/>
    <w:basedOn w:val="Heading2"/>
    <w:link w:val="ItadsectionheadingChar"/>
    <w:rsid w:val="00F3602E"/>
    <w:pPr>
      <w:keepLines/>
      <w:spacing w:before="0"/>
      <w:ind w:left="0" w:firstLine="0"/>
    </w:pPr>
    <w:rPr>
      <w:rFonts w:ascii="Calibri" w:hAnsi="Calibri" w:cs="Times New Roman"/>
      <w:iCs w:val="0"/>
      <w:color w:val="73B632"/>
      <w:lang w:val="en-GB" w:eastAsia="en-GB"/>
    </w:rPr>
  </w:style>
  <w:style w:type="character" w:customStyle="1" w:styleId="ItadsectionheadingChar">
    <w:name w:val="Itad section heading Char"/>
    <w:link w:val="Itadsectionheading"/>
    <w:rsid w:val="00F3602E"/>
    <w:rPr>
      <w:rFonts w:ascii="Calibri" w:hAnsi="Calibri"/>
      <w:b/>
      <w:bCs/>
      <w:color w:val="73B632"/>
      <w:sz w:val="28"/>
      <w:szCs w:val="28"/>
      <w:lang w:val="en-GB" w:eastAsia="en-GB"/>
    </w:rPr>
  </w:style>
  <w:style w:type="paragraph" w:customStyle="1" w:styleId="Itadbulletpoints">
    <w:name w:val="Itad bullet points"/>
    <w:basedOn w:val="Itadbodycopy"/>
    <w:link w:val="ItadbulletpointsChar"/>
    <w:rsid w:val="00F3602E"/>
    <w:pPr>
      <w:numPr>
        <w:numId w:val="34"/>
      </w:numPr>
      <w:spacing w:after="200"/>
    </w:pPr>
  </w:style>
  <w:style w:type="paragraph" w:customStyle="1" w:styleId="ItadMaintitleheading">
    <w:name w:val="Itad Main title heading"/>
    <w:basedOn w:val="Normal"/>
    <w:rsid w:val="00F3602E"/>
    <w:pPr>
      <w:spacing w:before="0" w:after="4800" w:line="500" w:lineRule="exact"/>
      <w:ind w:left="2126"/>
    </w:pPr>
    <w:rPr>
      <w:rFonts w:ascii="Calibri" w:eastAsia="Calibri" w:hAnsi="Calibri"/>
      <w:caps/>
      <w:sz w:val="48"/>
      <w:szCs w:val="48"/>
      <w:lang w:val="en-US" w:eastAsia="en-US"/>
    </w:rPr>
  </w:style>
  <w:style w:type="paragraph" w:customStyle="1" w:styleId="Itadsubheading">
    <w:name w:val="Itad subheading"/>
    <w:basedOn w:val="Normal"/>
    <w:link w:val="ItadsubheadingChar"/>
    <w:rsid w:val="00F3602E"/>
    <w:pPr>
      <w:spacing w:before="0" w:after="40" w:line="240" w:lineRule="auto"/>
    </w:pPr>
    <w:rPr>
      <w:rFonts w:ascii="Calibri" w:eastAsia="Calibri" w:hAnsi="Calibri"/>
      <w:b/>
      <w:sz w:val="22"/>
      <w:lang w:val="en-GB" w:eastAsia="en-US"/>
    </w:rPr>
  </w:style>
  <w:style w:type="paragraph" w:customStyle="1" w:styleId="Itadbodysubheading">
    <w:name w:val="Itad body subheading"/>
    <w:basedOn w:val="Itadbodycopy"/>
    <w:rsid w:val="00F3602E"/>
    <w:pPr>
      <w:spacing w:after="60"/>
      <w:contextualSpacing/>
    </w:pPr>
    <w:rPr>
      <w:b/>
    </w:rPr>
  </w:style>
  <w:style w:type="paragraph" w:customStyle="1" w:styleId="Itadsub-sectionheading">
    <w:name w:val="Itad sub-section heading"/>
    <w:basedOn w:val="Heading3"/>
    <w:link w:val="Itadsub-sectionheadingChar"/>
    <w:rsid w:val="00F3602E"/>
    <w:pPr>
      <w:keepLines/>
      <w:spacing w:after="200" w:line="276" w:lineRule="auto"/>
      <w:ind w:left="0" w:firstLine="0"/>
    </w:pPr>
    <w:rPr>
      <w:rFonts w:ascii="Calibri" w:hAnsi="Calibri" w:cs="Times New Roman"/>
      <w:color w:val="auto"/>
      <w:sz w:val="28"/>
      <w:szCs w:val="28"/>
      <w:lang w:val="en-GB" w:eastAsia="en-US"/>
    </w:rPr>
  </w:style>
  <w:style w:type="character" w:customStyle="1" w:styleId="Itadsub-sectionheadingChar">
    <w:name w:val="Itad sub-section heading Char"/>
    <w:link w:val="Itadsub-sectionheading"/>
    <w:rsid w:val="00F3602E"/>
    <w:rPr>
      <w:rFonts w:ascii="Calibri" w:hAnsi="Calibri"/>
      <w:b/>
      <w:bCs/>
      <w:sz w:val="28"/>
      <w:szCs w:val="28"/>
      <w:lang w:val="en-GB" w:eastAsia="en-US"/>
    </w:rPr>
  </w:style>
  <w:style w:type="paragraph" w:customStyle="1" w:styleId="Itadsub">
    <w:name w:val="Itad sub"/>
    <w:aliases w:val="sub-section"/>
    <w:basedOn w:val="Itadsub-sectionheading"/>
    <w:link w:val="ItadsubChar"/>
    <w:rsid w:val="00F3602E"/>
    <w:rPr>
      <w:sz w:val="24"/>
    </w:rPr>
  </w:style>
  <w:style w:type="character" w:customStyle="1" w:styleId="ItadsubChar">
    <w:name w:val="Itad sub Char"/>
    <w:aliases w:val="sub-section Char"/>
    <w:link w:val="Itadsub"/>
    <w:rsid w:val="00F3602E"/>
    <w:rPr>
      <w:rFonts w:ascii="Calibri" w:hAnsi="Calibri"/>
      <w:b/>
      <w:bCs/>
      <w:sz w:val="24"/>
      <w:szCs w:val="28"/>
      <w:lang w:val="en-GB" w:eastAsia="en-US"/>
    </w:rPr>
  </w:style>
  <w:style w:type="paragraph" w:customStyle="1" w:styleId="Itadpullquote">
    <w:name w:val="Itad pull quote"/>
    <w:basedOn w:val="Itadbodycopy"/>
    <w:rsid w:val="00F3602E"/>
    <w:rPr>
      <w:color w:val="73B632"/>
      <w:sz w:val="26"/>
      <w:szCs w:val="24"/>
    </w:rPr>
  </w:style>
  <w:style w:type="paragraph" w:customStyle="1" w:styleId="Itadtable">
    <w:name w:val="Itad table"/>
    <w:basedOn w:val="Normal"/>
    <w:rsid w:val="00F3602E"/>
    <w:pPr>
      <w:spacing w:before="0" w:line="240" w:lineRule="auto"/>
      <w:jc w:val="both"/>
    </w:pPr>
    <w:rPr>
      <w:rFonts w:ascii="Calibri" w:eastAsia="Calibri" w:hAnsi="Calibri"/>
      <w:iCs/>
      <w:sz w:val="22"/>
      <w:szCs w:val="22"/>
      <w:lang w:val="en-US" w:eastAsia="en-US"/>
    </w:rPr>
  </w:style>
  <w:style w:type="paragraph" w:customStyle="1" w:styleId="Itadproposalnameclient">
    <w:name w:val="Itad proposal name &amp; client"/>
    <w:basedOn w:val="Normal"/>
    <w:rsid w:val="00F3602E"/>
    <w:pPr>
      <w:spacing w:before="0" w:after="240" w:line="240" w:lineRule="auto"/>
      <w:ind w:left="532"/>
    </w:pPr>
    <w:rPr>
      <w:rFonts w:ascii="Calibri" w:eastAsia="Calibri" w:hAnsi="Calibri"/>
      <w:sz w:val="36"/>
      <w:szCs w:val="36"/>
      <w:lang w:val="en-US" w:eastAsia="en-US"/>
    </w:rPr>
  </w:style>
  <w:style w:type="paragraph" w:customStyle="1" w:styleId="Itadproposaltitle">
    <w:name w:val="Itad proposal title"/>
    <w:basedOn w:val="Normal"/>
    <w:rsid w:val="00F3602E"/>
    <w:pPr>
      <w:spacing w:before="0" w:after="600" w:line="500" w:lineRule="exact"/>
      <w:ind w:left="567"/>
    </w:pPr>
    <w:rPr>
      <w:rFonts w:ascii="Calibri" w:eastAsia="Calibri" w:hAnsi="Calibri"/>
      <w:caps/>
      <w:noProof/>
      <w:sz w:val="48"/>
      <w:szCs w:val="48"/>
      <w:lang w:val="en-US" w:eastAsia="en-US"/>
    </w:rPr>
  </w:style>
  <w:style w:type="paragraph" w:customStyle="1" w:styleId="ItadAcronyms">
    <w:name w:val="Itad Acronyms"/>
    <w:basedOn w:val="Itadbodycopy"/>
    <w:rsid w:val="00F3602E"/>
    <w:pPr>
      <w:tabs>
        <w:tab w:val="left" w:pos="993"/>
      </w:tabs>
    </w:pPr>
  </w:style>
  <w:style w:type="paragraph" w:customStyle="1" w:styleId="Footertext">
    <w:name w:val="Footer text"/>
    <w:uiPriority w:val="39"/>
    <w:semiHidden/>
    <w:rsid w:val="00F3602E"/>
    <w:pPr>
      <w:tabs>
        <w:tab w:val="left" w:pos="5720"/>
      </w:tabs>
    </w:pPr>
    <w:rPr>
      <w:rFonts w:ascii="Arial" w:hAnsi="Arial"/>
      <w:szCs w:val="24"/>
      <w:lang w:eastAsia="en-US"/>
    </w:rPr>
  </w:style>
  <w:style w:type="paragraph" w:customStyle="1" w:styleId="ecxlist1">
    <w:name w:val="ecxlist1"/>
    <w:basedOn w:val="Normal"/>
    <w:rsid w:val="00F3602E"/>
    <w:pPr>
      <w:spacing w:before="100" w:beforeAutospacing="1" w:after="100" w:afterAutospacing="1" w:line="240" w:lineRule="auto"/>
    </w:pPr>
    <w:rPr>
      <w:rFonts w:ascii="Times New Roman" w:hAnsi="Times New Roman"/>
      <w:sz w:val="24"/>
      <w:szCs w:val="24"/>
      <w:lang w:val="en-GB" w:eastAsia="en-GB"/>
    </w:rPr>
  </w:style>
  <w:style w:type="character" w:customStyle="1" w:styleId="ecxmsofootnotereference">
    <w:name w:val="ecxmsofootnotereference"/>
    <w:basedOn w:val="DefaultParagraphFont"/>
    <w:rsid w:val="00F3602E"/>
  </w:style>
  <w:style w:type="table" w:styleId="MediumShading1-Accent3">
    <w:name w:val="Medium Shading 1 Accent 3"/>
    <w:basedOn w:val="TableNormal"/>
    <w:uiPriority w:val="63"/>
    <w:rsid w:val="00F3602E"/>
    <w:rPr>
      <w:rFonts w:ascii="Courier" w:hAnsi="Courier"/>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Grid2">
    <w:name w:val="Table Grid2"/>
    <w:basedOn w:val="TableNormal"/>
    <w:next w:val="TableGrid"/>
    <w:rsid w:val="00F3602E"/>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3602E"/>
    <w:pPr>
      <w:spacing w:before="100" w:beforeAutospacing="1" w:after="100" w:afterAutospacing="1" w:line="240" w:lineRule="auto"/>
    </w:pPr>
    <w:rPr>
      <w:rFonts w:ascii="Times New Roman" w:hAnsi="Times New Roman"/>
      <w:sz w:val="24"/>
      <w:szCs w:val="24"/>
      <w:lang w:val="en-GB" w:eastAsia="en-GB"/>
    </w:rPr>
  </w:style>
  <w:style w:type="table" w:styleId="LightList-Accent2">
    <w:name w:val="Light List Accent 2"/>
    <w:basedOn w:val="TableNormal"/>
    <w:uiPriority w:val="61"/>
    <w:rsid w:val="00F3602E"/>
    <w:rPr>
      <w:rFonts w:ascii="Courier" w:hAnsi="Courie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F3602E"/>
    <w:rPr>
      <w:rFonts w:ascii="Courier" w:hAnsi="Courie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List-bullet-1Char">
    <w:name w:val="List-bullet-1 Char"/>
    <w:link w:val="List-bullet-1"/>
    <w:locked/>
    <w:rsid w:val="00F3602E"/>
    <w:rPr>
      <w:rFonts w:ascii="Arial" w:hAnsi="Arial" w:cs="Arial"/>
    </w:rPr>
  </w:style>
  <w:style w:type="paragraph" w:customStyle="1" w:styleId="List-bullet-1">
    <w:name w:val="List-bullet-1"/>
    <w:basedOn w:val="Normal"/>
    <w:link w:val="List-bullet-1Char"/>
    <w:rsid w:val="00F3602E"/>
    <w:pPr>
      <w:numPr>
        <w:numId w:val="35"/>
      </w:numPr>
      <w:spacing w:before="120" w:after="0" w:line="240" w:lineRule="auto"/>
    </w:pPr>
    <w:rPr>
      <w:rFonts w:ascii="Arial" w:hAnsi="Arial" w:cs="Arial"/>
      <w:sz w:val="20"/>
    </w:rPr>
  </w:style>
  <w:style w:type="table" w:styleId="LightList-Accent1">
    <w:name w:val="Light List Accent 1"/>
    <w:basedOn w:val="TableNormal"/>
    <w:uiPriority w:val="61"/>
    <w:rsid w:val="00F3602E"/>
    <w:rPr>
      <w:rFonts w:asciiTheme="minorHAnsi" w:eastAsiaTheme="minorHAnsi" w:hAnsiTheme="minorHAnsi" w:cstheme="minorBidi"/>
      <w:sz w:val="22"/>
      <w:szCs w:val="22"/>
      <w:lang w:val="en-GB"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ist2">
    <w:name w:val="List2"/>
    <w:basedOn w:val="Normal"/>
    <w:rsid w:val="00F3602E"/>
    <w:pPr>
      <w:keepLines/>
      <w:tabs>
        <w:tab w:val="num" w:pos="284"/>
      </w:tabs>
      <w:suppressAutoHyphens/>
      <w:autoSpaceDE w:val="0"/>
      <w:autoSpaceDN w:val="0"/>
      <w:adjustRightInd w:val="0"/>
      <w:spacing w:before="57" w:after="142"/>
      <w:ind w:left="284" w:hanging="284"/>
      <w:textAlignment w:val="center"/>
    </w:pPr>
    <w:rPr>
      <w:rFonts w:ascii="Cambria" w:hAnsi="Cambria" w:cs="FoundersGrotesk-Regular"/>
      <w:szCs w:val="21"/>
      <w:lang w:val="en-GB" w:eastAsia="en-US"/>
    </w:rPr>
  </w:style>
  <w:style w:type="paragraph" w:customStyle="1" w:styleId="Pa4">
    <w:name w:val="Pa4"/>
    <w:basedOn w:val="Default"/>
    <w:next w:val="Default"/>
    <w:uiPriority w:val="99"/>
    <w:rsid w:val="00F3602E"/>
    <w:pPr>
      <w:spacing w:line="201" w:lineRule="atLeast"/>
    </w:pPr>
    <w:rPr>
      <w:rFonts w:ascii="Trade Gothic LT Std" w:eastAsia="Calibri" w:hAnsi="Trade Gothic LT Std" w:cs="Times New Roman"/>
      <w:color w:val="auto"/>
      <w:lang w:eastAsia="en-GB"/>
    </w:rPr>
  </w:style>
  <w:style w:type="character" w:customStyle="1" w:styleId="A5">
    <w:name w:val="A5"/>
    <w:uiPriority w:val="99"/>
    <w:rsid w:val="00F3602E"/>
    <w:rPr>
      <w:rFonts w:cs="Trade Gothic LT Std"/>
      <w:color w:val="000000"/>
      <w:sz w:val="20"/>
      <w:szCs w:val="20"/>
    </w:rPr>
  </w:style>
  <w:style w:type="paragraph" w:customStyle="1" w:styleId="Pa70">
    <w:name w:val="Pa70"/>
    <w:basedOn w:val="Default"/>
    <w:next w:val="Default"/>
    <w:uiPriority w:val="99"/>
    <w:rsid w:val="00F3602E"/>
    <w:pPr>
      <w:spacing w:line="241" w:lineRule="atLeast"/>
    </w:pPr>
    <w:rPr>
      <w:rFonts w:ascii="Helvetica 55 Roman" w:eastAsia="Calibri" w:hAnsi="Helvetica 55 Roman" w:cs="Times New Roman"/>
      <w:color w:val="auto"/>
      <w:lang w:eastAsia="en-GB"/>
    </w:rPr>
  </w:style>
  <w:style w:type="character" w:customStyle="1" w:styleId="StyleTimesNewRoman12pt">
    <w:name w:val="Style Times New Roman 12 pt"/>
    <w:rsid w:val="00F3602E"/>
    <w:rPr>
      <w:rFonts w:ascii="Times New Roman" w:hAnsi="Times New Roman"/>
      <w:sz w:val="24"/>
    </w:rPr>
  </w:style>
  <w:style w:type="numbering" w:customStyle="1" w:styleId="Outlinebullets">
    <w:name w:val="Outline bullets"/>
    <w:basedOn w:val="NoList"/>
    <w:rsid w:val="00F3602E"/>
    <w:pPr>
      <w:numPr>
        <w:numId w:val="36"/>
      </w:numPr>
    </w:pPr>
  </w:style>
  <w:style w:type="character" w:customStyle="1" w:styleId="EndnoteTextChar1">
    <w:name w:val="Endnote Text Char1"/>
    <w:uiPriority w:val="99"/>
    <w:semiHidden/>
    <w:rsid w:val="00F3602E"/>
    <w:rPr>
      <w:rFonts w:ascii="Calibri" w:eastAsia="Calibri" w:hAnsi="Calibri" w:cs="Times New Roman"/>
      <w:sz w:val="20"/>
      <w:szCs w:val="20"/>
    </w:rPr>
  </w:style>
  <w:style w:type="table" w:customStyle="1" w:styleId="LightList1">
    <w:name w:val="Light List1"/>
    <w:basedOn w:val="TableNormal"/>
    <w:uiPriority w:val="61"/>
    <w:rsid w:val="00F3602E"/>
    <w:rPr>
      <w:rFonts w:ascii="Courier" w:hAnsi="Courie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rPr>
      <w:tblPr/>
      <w:tcPr>
        <w:shd w:val="clear" w:color="auto" w:fill="31849B"/>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mmentSubjectChar1">
    <w:name w:val="Comment Subject Char1"/>
    <w:uiPriority w:val="99"/>
    <w:semiHidden/>
    <w:rsid w:val="00F3602E"/>
    <w:rPr>
      <w:rFonts w:ascii="Garamond" w:eastAsia="Times New Roman" w:hAnsi="Garamond" w:cs="Times New Roman"/>
      <w:b/>
      <w:bCs/>
      <w:color w:val="000000"/>
      <w:sz w:val="21"/>
      <w:szCs w:val="20"/>
      <w:lang w:val="en-AU" w:eastAsia="en-AU"/>
    </w:rPr>
  </w:style>
  <w:style w:type="paragraph" w:customStyle="1" w:styleId="Annexheading">
    <w:name w:val="Annex heading"/>
    <w:basedOn w:val="Itadheading1"/>
    <w:link w:val="AnnexheadingChar"/>
    <w:rsid w:val="00F3602E"/>
    <w:pPr>
      <w:numPr>
        <w:numId w:val="0"/>
      </w:numPr>
    </w:pPr>
    <w:rPr>
      <w:color w:val="31849B"/>
      <w:sz w:val="44"/>
    </w:rPr>
  </w:style>
  <w:style w:type="paragraph" w:customStyle="1" w:styleId="annexbodytext">
    <w:name w:val="annex body text"/>
    <w:basedOn w:val="Normal"/>
    <w:link w:val="annexbodytextChar"/>
    <w:rsid w:val="00F3602E"/>
    <w:pPr>
      <w:spacing w:before="0" w:line="240" w:lineRule="auto"/>
      <w:jc w:val="both"/>
    </w:pPr>
    <w:rPr>
      <w:rFonts w:ascii="Cambria" w:eastAsia="Calibri" w:hAnsi="Cambria"/>
      <w:sz w:val="22"/>
      <w:szCs w:val="22"/>
      <w:lang w:val="en-US" w:eastAsia="en-US"/>
    </w:rPr>
  </w:style>
  <w:style w:type="character" w:customStyle="1" w:styleId="AnnexheadingChar">
    <w:name w:val="Annex heading Char"/>
    <w:link w:val="Annexheading"/>
    <w:rsid w:val="00F3602E"/>
    <w:rPr>
      <w:rFonts w:ascii="Calibri" w:hAnsi="Calibri"/>
      <w:b/>
      <w:bCs/>
      <w:color w:val="31849B"/>
      <w:sz w:val="44"/>
      <w:szCs w:val="44"/>
      <w:lang w:val="en-GB" w:eastAsia="en-GB"/>
    </w:rPr>
  </w:style>
  <w:style w:type="paragraph" w:customStyle="1" w:styleId="annexsubtitle">
    <w:name w:val="annex sub title"/>
    <w:basedOn w:val="Itadsubheading"/>
    <w:link w:val="annexsubtitleChar"/>
    <w:rsid w:val="002A1F5C"/>
    <w:pPr>
      <w:keepNext/>
    </w:pPr>
    <w:rPr>
      <w:color w:val="E36C0A"/>
      <w:sz w:val="32"/>
      <w:szCs w:val="32"/>
    </w:rPr>
  </w:style>
  <w:style w:type="character" w:customStyle="1" w:styleId="annexbodytextChar">
    <w:name w:val="annex body text Char"/>
    <w:link w:val="annexbodytext"/>
    <w:rsid w:val="00F3602E"/>
    <w:rPr>
      <w:rFonts w:ascii="Cambria" w:eastAsia="Calibri" w:hAnsi="Cambria"/>
      <w:sz w:val="22"/>
      <w:szCs w:val="22"/>
      <w:lang w:val="en-US" w:eastAsia="en-US"/>
    </w:rPr>
  </w:style>
  <w:style w:type="paragraph" w:customStyle="1" w:styleId="annexbosytext">
    <w:name w:val="annex bosy text"/>
    <w:basedOn w:val="Normal"/>
    <w:link w:val="annexbosytextChar"/>
    <w:rsid w:val="00F3602E"/>
    <w:rPr>
      <w:rFonts w:ascii="Cambria" w:eastAsia="Calibri" w:hAnsi="Cambria"/>
      <w:szCs w:val="21"/>
      <w:lang w:val="en-US" w:eastAsia="en-US"/>
    </w:rPr>
  </w:style>
  <w:style w:type="character" w:customStyle="1" w:styleId="ItadsubheadingChar">
    <w:name w:val="Itad subheading Char"/>
    <w:link w:val="Itadsubheading"/>
    <w:rsid w:val="00F3602E"/>
    <w:rPr>
      <w:rFonts w:ascii="Calibri" w:eastAsia="Calibri" w:hAnsi="Calibri"/>
      <w:b/>
      <w:sz w:val="22"/>
      <w:lang w:val="en-GB" w:eastAsia="en-US"/>
    </w:rPr>
  </w:style>
  <w:style w:type="character" w:customStyle="1" w:styleId="annexsubtitleChar">
    <w:name w:val="annex sub title Char"/>
    <w:link w:val="annexsubtitle"/>
    <w:rsid w:val="002A1F5C"/>
    <w:rPr>
      <w:rFonts w:ascii="Calibri" w:eastAsia="Calibri" w:hAnsi="Calibri"/>
      <w:b/>
      <w:color w:val="E36C0A"/>
      <w:sz w:val="32"/>
      <w:szCs w:val="32"/>
      <w:lang w:val="en-GB" w:eastAsia="en-US"/>
    </w:rPr>
  </w:style>
  <w:style w:type="paragraph" w:customStyle="1" w:styleId="annexsubtitle2">
    <w:name w:val="annex sub title 2"/>
    <w:basedOn w:val="Itadsubheading"/>
    <w:link w:val="annexsubtitle2Char"/>
    <w:rsid w:val="00F3602E"/>
    <w:rPr>
      <w:sz w:val="24"/>
      <w:szCs w:val="24"/>
    </w:rPr>
  </w:style>
  <w:style w:type="character" w:customStyle="1" w:styleId="annexbosytextChar">
    <w:name w:val="annex bosy text Char"/>
    <w:link w:val="annexbosytext"/>
    <w:rsid w:val="00F3602E"/>
    <w:rPr>
      <w:rFonts w:ascii="Cambria" w:eastAsia="Calibri" w:hAnsi="Cambria"/>
      <w:sz w:val="21"/>
      <w:szCs w:val="21"/>
      <w:lang w:val="en-US" w:eastAsia="en-US"/>
    </w:rPr>
  </w:style>
  <w:style w:type="paragraph" w:customStyle="1" w:styleId="annexbulletpoints">
    <w:name w:val="annex bullet points"/>
    <w:basedOn w:val="Itadbulletpoints"/>
    <w:link w:val="annexbulletpointsChar"/>
    <w:rsid w:val="00F3602E"/>
    <w:pPr>
      <w:spacing w:before="40" w:after="120" w:line="288" w:lineRule="auto"/>
    </w:pPr>
    <w:rPr>
      <w:rFonts w:ascii="Cambria" w:hAnsi="Cambria"/>
      <w:sz w:val="21"/>
      <w:szCs w:val="21"/>
    </w:rPr>
  </w:style>
  <w:style w:type="character" w:customStyle="1" w:styleId="annexsubtitle2Char">
    <w:name w:val="annex sub title 2 Char"/>
    <w:link w:val="annexsubtitle2"/>
    <w:rsid w:val="00F3602E"/>
    <w:rPr>
      <w:rFonts w:ascii="Calibri" w:eastAsia="Calibri" w:hAnsi="Calibri"/>
      <w:b/>
      <w:sz w:val="24"/>
      <w:szCs w:val="24"/>
      <w:lang w:val="en-GB" w:eastAsia="en-US"/>
    </w:rPr>
  </w:style>
  <w:style w:type="paragraph" w:customStyle="1" w:styleId="annexfigureheading">
    <w:name w:val="annex figure heading"/>
    <w:basedOn w:val="Caption"/>
    <w:link w:val="annexfigureheadingChar"/>
    <w:rsid w:val="00F3602E"/>
    <w:pPr>
      <w:spacing w:before="120" w:after="120"/>
      <w:ind w:left="1077" w:hanging="1077"/>
    </w:pPr>
    <w:rPr>
      <w:rFonts w:ascii="Calibri" w:hAnsi="Calibri"/>
      <w:bCs w:val="0"/>
      <w:color w:val="000000"/>
      <w:sz w:val="21"/>
      <w:szCs w:val="21"/>
    </w:rPr>
  </w:style>
  <w:style w:type="character" w:customStyle="1" w:styleId="ItadbodycopyChar">
    <w:name w:val="Itad body copy Char"/>
    <w:link w:val="Itadbodycopy"/>
    <w:rsid w:val="00F3602E"/>
    <w:rPr>
      <w:rFonts w:ascii="Calibri" w:eastAsia="Calibri" w:hAnsi="Calibri"/>
      <w:sz w:val="22"/>
      <w:lang w:val="en-GB" w:eastAsia="en-US"/>
    </w:rPr>
  </w:style>
  <w:style w:type="character" w:customStyle="1" w:styleId="ItadbulletpointsChar">
    <w:name w:val="Itad bullet points Char"/>
    <w:link w:val="Itadbulletpoints"/>
    <w:rsid w:val="00F3602E"/>
    <w:rPr>
      <w:rFonts w:ascii="Calibri" w:eastAsia="Calibri" w:hAnsi="Calibri"/>
      <w:sz w:val="22"/>
      <w:lang w:val="en-GB" w:eastAsia="en-US"/>
    </w:rPr>
  </w:style>
  <w:style w:type="character" w:customStyle="1" w:styleId="annexbulletpointsChar">
    <w:name w:val="annex bullet points Char"/>
    <w:link w:val="annexbulletpoints"/>
    <w:rsid w:val="00F3602E"/>
    <w:rPr>
      <w:rFonts w:ascii="Cambria" w:eastAsia="Calibri" w:hAnsi="Cambria"/>
      <w:sz w:val="21"/>
      <w:szCs w:val="21"/>
      <w:lang w:val="en-GB" w:eastAsia="en-US"/>
    </w:rPr>
  </w:style>
  <w:style w:type="character" w:customStyle="1" w:styleId="CaptionChar">
    <w:name w:val="Caption Char"/>
    <w:link w:val="Caption"/>
    <w:uiPriority w:val="35"/>
    <w:rsid w:val="002C4B45"/>
    <w:rPr>
      <w:rFonts w:ascii="Franklin Gothic Book" w:hAnsi="Franklin Gothic Book"/>
      <w:b/>
      <w:bCs/>
      <w:szCs w:val="18"/>
    </w:rPr>
  </w:style>
  <w:style w:type="character" w:customStyle="1" w:styleId="annexfigureheadingChar">
    <w:name w:val="annex figure heading Char"/>
    <w:link w:val="annexfigureheading"/>
    <w:rsid w:val="00F3602E"/>
    <w:rPr>
      <w:rFonts w:ascii="Calibri" w:hAnsi="Calibri"/>
      <w:b/>
      <w:color w:val="000000"/>
      <w:sz w:val="21"/>
      <w:szCs w:val="21"/>
    </w:rPr>
  </w:style>
  <w:style w:type="table" w:styleId="LightList-Accent5">
    <w:name w:val="Light List Accent 5"/>
    <w:basedOn w:val="TableNormal"/>
    <w:uiPriority w:val="61"/>
    <w:rsid w:val="00F3602E"/>
    <w:rPr>
      <w:rFonts w:ascii="Calibri" w:eastAsia="Calibri" w:hAnsi="Calibri"/>
      <w:lang w:val="en-GB" w:eastAsia="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yle1">
    <w:name w:val="Style1"/>
    <w:basedOn w:val="TableNormal"/>
    <w:uiPriority w:val="99"/>
    <w:qFormat/>
    <w:rsid w:val="00F3602E"/>
    <w:rPr>
      <w:rFonts w:ascii="Calibri" w:eastAsia="Calibri" w:hAnsi="Calibri"/>
      <w:lang w:val="en-GB" w:eastAsia="en-GB"/>
    </w:rPr>
    <w:tblPr>
      <w:tblInd w:w="0" w:type="dxa"/>
      <w:tblCellMar>
        <w:top w:w="0" w:type="dxa"/>
        <w:left w:w="108" w:type="dxa"/>
        <w:bottom w:w="0" w:type="dxa"/>
        <w:right w:w="108" w:type="dxa"/>
      </w:tblCellMar>
    </w:tblPr>
  </w:style>
  <w:style w:type="table" w:customStyle="1" w:styleId="Style2">
    <w:name w:val="Style2"/>
    <w:basedOn w:val="TableNormal"/>
    <w:uiPriority w:val="99"/>
    <w:qFormat/>
    <w:rsid w:val="00F3602E"/>
    <w:rPr>
      <w:rFonts w:eastAsia="Calibri"/>
      <w:lang w:val="en-GB" w:eastAsia="en-GB"/>
    </w:rPr>
    <w:tblPr>
      <w:tblInd w:w="0" w:type="dxa"/>
      <w:tblCellMar>
        <w:top w:w="0" w:type="dxa"/>
        <w:left w:w="108" w:type="dxa"/>
        <w:bottom w:w="0" w:type="dxa"/>
        <w:right w:w="108" w:type="dxa"/>
      </w:tblCellMar>
    </w:tblPr>
  </w:style>
  <w:style w:type="paragraph" w:styleId="TOC5">
    <w:name w:val="toc 5"/>
    <w:basedOn w:val="Normal"/>
    <w:next w:val="Normal"/>
    <w:autoRedefine/>
    <w:uiPriority w:val="39"/>
    <w:unhideWhenUsed/>
    <w:rsid w:val="00F3602E"/>
    <w:pPr>
      <w:spacing w:before="0" w:after="100" w:line="276"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F3602E"/>
    <w:pPr>
      <w:spacing w:before="0" w:after="100" w:line="276"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F3602E"/>
    <w:pPr>
      <w:spacing w:before="0" w:after="100" w:line="276"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F3602E"/>
    <w:pPr>
      <w:spacing w:before="0" w:after="100" w:line="276"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F3602E"/>
    <w:pPr>
      <w:spacing w:before="0" w:after="100" w:line="276" w:lineRule="auto"/>
      <w:ind w:left="1760"/>
    </w:pPr>
    <w:rPr>
      <w:rFonts w:asciiTheme="minorHAnsi" w:eastAsiaTheme="minorEastAsia" w:hAnsiTheme="minorHAnsi" w:cstheme="minorBidi"/>
      <w:sz w:val="22"/>
      <w:szCs w:val="22"/>
      <w:lang w:val="en-GB" w:eastAsia="en-GB"/>
    </w:rPr>
  </w:style>
  <w:style w:type="paragraph" w:customStyle="1" w:styleId="List3">
    <w:name w:val="List3"/>
    <w:basedOn w:val="BodyCopy"/>
    <w:rsid w:val="005771D2"/>
    <w:pPr>
      <w:keepLines/>
      <w:widowControl/>
      <w:tabs>
        <w:tab w:val="num" w:pos="284"/>
      </w:tabs>
      <w:ind w:left="284" w:hanging="284"/>
    </w:pPr>
    <w:rPr>
      <w:rFonts w:eastAsia="Times New Roman" w:cs="FoundersGrotesk-Regular"/>
      <w:lang w:eastAsia="en-US"/>
    </w:rPr>
  </w:style>
  <w:style w:type="numbering" w:customStyle="1" w:styleId="NoList1">
    <w:name w:val="No List1"/>
    <w:next w:val="NoList"/>
    <w:uiPriority w:val="99"/>
    <w:semiHidden/>
    <w:unhideWhenUsed/>
    <w:rsid w:val="00E57F60"/>
  </w:style>
  <w:style w:type="table" w:customStyle="1" w:styleId="TableGrid3">
    <w:name w:val="Table Grid3"/>
    <w:basedOn w:val="TableNormal"/>
    <w:next w:val="TableGrid"/>
    <w:uiPriority w:val="59"/>
    <w:rsid w:val="00E57F60"/>
    <w:tblPr>
      <w:tblInd w:w="0" w:type="dxa"/>
      <w:tblCellMar>
        <w:top w:w="0" w:type="dxa"/>
        <w:left w:w="0" w:type="dxa"/>
        <w:bottom w:w="0" w:type="dxa"/>
        <w:right w:w="0" w:type="dxa"/>
      </w:tblCellMar>
    </w:tblPr>
  </w:style>
  <w:style w:type="table" w:customStyle="1" w:styleId="TableODE1">
    <w:name w:val="Table_ODE1"/>
    <w:basedOn w:val="TableGrid"/>
    <w:semiHidden/>
    <w:rsid w:val="00E57F60"/>
    <w:rPr>
      <w:rFonts w:ascii="Arial Narrow" w:hAnsi="Arial Narrow"/>
      <w:color w:val="auto"/>
    </w:rPr>
    <w:tblPr>
      <w:tblInd w:w="0" w:type="dxa"/>
      <w:tblBorders>
        <w:top w:val="single" w:sz="6" w:space="0" w:color="007C92"/>
        <w:bottom w:val="single" w:sz="6" w:space="0" w:color="007C92"/>
        <w:insideH w:val="single" w:sz="6" w:space="0" w:color="007C92"/>
      </w:tblBorders>
      <w:tblCellMar>
        <w:top w:w="0" w:type="dxa"/>
        <w:left w:w="108" w:type="dxa"/>
        <w:bottom w:w="0" w:type="dxa"/>
        <w:right w:w="108" w:type="dxa"/>
      </w:tblCellMar>
    </w:tblPr>
    <w:tcPr>
      <w:shd w:val="clear" w:color="auto" w:fill="E6F3F6"/>
    </w:tcPr>
    <w:tblStylePr w:type="firstRow">
      <w:rPr>
        <w:rFonts w:ascii="Tahoma" w:hAnsi="Tahoma"/>
        <w:b w:val="0"/>
        <w:i w:val="0"/>
        <w:caps w:val="0"/>
        <w:smallCaps w:val="0"/>
        <w:color w:val="FFFFFF"/>
        <w:sz w:val="18"/>
        <w:szCs w:val="18"/>
      </w:rPr>
      <w:tblPr/>
      <w:tcPr>
        <w:tcBorders>
          <w:top w:val="nil"/>
          <w:left w:val="nil"/>
          <w:bottom w:val="nil"/>
          <w:right w:val="nil"/>
          <w:insideH w:val="nil"/>
          <w:insideV w:val="nil"/>
          <w:tl2br w:val="nil"/>
          <w:tr2bl w:val="nil"/>
        </w:tcBorders>
        <w:shd w:val="clear" w:color="auto" w:fill="0087A2"/>
      </w:tcPr>
    </w:tblStylePr>
  </w:style>
  <w:style w:type="table" w:customStyle="1" w:styleId="ODETable1">
    <w:name w:val="ODE Table1"/>
    <w:basedOn w:val="TableNormal"/>
    <w:uiPriority w:val="99"/>
    <w:rsid w:val="00E57F60"/>
    <w:rPr>
      <w:rFonts w:ascii="Courier" w:hAnsi="Courier"/>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left w:w="57" w:type="dxa"/>
        <w:bottom w:w="113" w:type="dxa"/>
        <w:right w:w="57" w:type="dxa"/>
      </w:tblCellMar>
    </w:tblPr>
    <w:tcPr>
      <w:shd w:val="clear" w:color="auto" w:fill="EEEFEE"/>
    </w:tcPr>
    <w:tblStylePr w:type="firstRow">
      <w:tblPr/>
      <w:tcPr>
        <w:shd w:val="clear" w:color="auto" w:fill="92C3CA"/>
      </w:tcPr>
    </w:tblStylePr>
  </w:style>
  <w:style w:type="table" w:customStyle="1" w:styleId="TableGrid11">
    <w:name w:val="Table Grid11"/>
    <w:basedOn w:val="TableNormal"/>
    <w:next w:val="TableGrid"/>
    <w:uiPriority w:val="59"/>
    <w:rsid w:val="00E57F60"/>
    <w:tblPr>
      <w:tblInd w:w="0" w:type="dxa"/>
      <w:tblCellMar>
        <w:top w:w="0" w:type="dxa"/>
        <w:left w:w="0" w:type="dxa"/>
        <w:bottom w:w="0" w:type="dxa"/>
        <w:right w:w="0" w:type="dxa"/>
      </w:tblCellMar>
    </w:tblPr>
  </w:style>
  <w:style w:type="numbering" w:customStyle="1" w:styleId="JSH1">
    <w:name w:val="JSH1"/>
    <w:uiPriority w:val="99"/>
    <w:rsid w:val="00E57F60"/>
  </w:style>
  <w:style w:type="table" w:customStyle="1" w:styleId="LightList2">
    <w:name w:val="Light List2"/>
    <w:basedOn w:val="TableNormal"/>
    <w:next w:val="LightList"/>
    <w:uiPriority w:val="61"/>
    <w:rsid w:val="00E57F60"/>
    <w:rPr>
      <w:rFonts w:ascii="Courier" w:hAnsi="Courie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31">
    <w:name w:val="Medium Shading 1 - Accent 31"/>
    <w:basedOn w:val="TableNormal"/>
    <w:next w:val="MediumShading1-Accent3"/>
    <w:uiPriority w:val="63"/>
    <w:rsid w:val="00E57F60"/>
    <w:rPr>
      <w:rFonts w:ascii="Courier" w:hAnsi="Courier"/>
    </w:rPr>
    <w:tblPr>
      <w:tblStyleRowBandSize w:val="1"/>
      <w:tblStyleColBandSize w:val="1"/>
      <w:tblInd w:w="0" w:type="dxa"/>
      <w:tblBorders>
        <w:top w:val="single" w:sz="8" w:space="0" w:color="E4E6E6"/>
        <w:left w:val="single" w:sz="8" w:space="0" w:color="E4E6E6"/>
        <w:bottom w:val="single" w:sz="8" w:space="0" w:color="E4E6E6"/>
        <w:right w:val="single" w:sz="8" w:space="0" w:color="E4E6E6"/>
        <w:insideH w:val="single" w:sz="8" w:space="0" w:color="E4E6E6"/>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E4E6E6"/>
          <w:left w:val="single" w:sz="8" w:space="0" w:color="E4E6E6"/>
          <w:bottom w:val="single" w:sz="8" w:space="0" w:color="E4E6E6"/>
          <w:right w:val="single" w:sz="8" w:space="0" w:color="E4E6E6"/>
          <w:insideH w:val="nil"/>
          <w:insideV w:val="nil"/>
        </w:tcBorders>
        <w:shd w:val="clear" w:color="auto" w:fill="DCDEDE"/>
      </w:tcPr>
    </w:tblStylePr>
    <w:tblStylePr w:type="lastRow">
      <w:pPr>
        <w:spacing w:before="0" w:after="0" w:line="240" w:lineRule="auto"/>
      </w:pPr>
      <w:rPr>
        <w:b/>
        <w:bCs/>
      </w:rPr>
      <w:tblPr/>
      <w:tcPr>
        <w:tcBorders>
          <w:top w:val="double" w:sz="6" w:space="0" w:color="E4E6E6"/>
          <w:left w:val="single" w:sz="8" w:space="0" w:color="E4E6E6"/>
          <w:bottom w:val="single" w:sz="8" w:space="0" w:color="E4E6E6"/>
          <w:right w:val="single" w:sz="8" w:space="0" w:color="E4E6E6"/>
          <w:insideH w:val="nil"/>
          <w:insideV w:val="nil"/>
        </w:tcBorders>
      </w:tcPr>
    </w:tblStylePr>
    <w:tblStylePr w:type="firstCol">
      <w:rPr>
        <w:b/>
        <w:bCs/>
      </w:rPr>
    </w:tblStylePr>
    <w:tblStylePr w:type="lastCol">
      <w:rPr>
        <w:b/>
        <w:bCs/>
      </w:rPr>
    </w:tblStylePr>
    <w:tblStylePr w:type="band1Vert">
      <w:tblPr/>
      <w:tcPr>
        <w:shd w:val="clear" w:color="auto" w:fill="F6F6F6"/>
      </w:tcPr>
    </w:tblStylePr>
    <w:tblStylePr w:type="band1Horz">
      <w:tblPr/>
      <w:tcPr>
        <w:tcBorders>
          <w:insideH w:val="nil"/>
          <w:insideV w:val="nil"/>
        </w:tcBorders>
        <w:shd w:val="clear" w:color="auto" w:fill="F6F6F6"/>
      </w:tcPr>
    </w:tblStylePr>
    <w:tblStylePr w:type="band2Horz">
      <w:tblPr/>
      <w:tcPr>
        <w:tcBorders>
          <w:insideH w:val="nil"/>
          <w:insideV w:val="nil"/>
        </w:tcBorders>
      </w:tcPr>
    </w:tblStylePr>
  </w:style>
  <w:style w:type="table" w:customStyle="1" w:styleId="TableGrid21">
    <w:name w:val="Table Grid21"/>
    <w:basedOn w:val="TableNormal"/>
    <w:next w:val="TableGrid"/>
    <w:rsid w:val="00E57F60"/>
    <w:rPr>
      <w:rFonts w:ascii="Cambria" w:eastAsia="Cambria" w:hAnsi="Cambria"/>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21">
    <w:name w:val="Light List - Accent 21"/>
    <w:basedOn w:val="TableNormal"/>
    <w:next w:val="LightList-Accent2"/>
    <w:uiPriority w:val="61"/>
    <w:rsid w:val="00E57F60"/>
    <w:rPr>
      <w:rFonts w:ascii="Courier" w:hAnsi="Courier"/>
    </w:rPr>
    <w:tblPr>
      <w:tblStyleRowBandSize w:val="1"/>
      <w:tblStyleColBandSize w:val="1"/>
      <w:tblInd w:w="0" w:type="dxa"/>
      <w:tblBorders>
        <w:top w:val="single" w:sz="8" w:space="0" w:color="92C3CA"/>
        <w:left w:val="single" w:sz="8" w:space="0" w:color="92C3CA"/>
        <w:bottom w:val="single" w:sz="8" w:space="0" w:color="92C3CA"/>
        <w:right w:val="single" w:sz="8" w:space="0" w:color="92C3CA"/>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2C3CA"/>
      </w:tcPr>
    </w:tblStylePr>
    <w:tblStylePr w:type="lastRow">
      <w:pPr>
        <w:spacing w:before="0" w:after="0" w:line="240" w:lineRule="auto"/>
      </w:pPr>
      <w:rPr>
        <w:b/>
        <w:bCs/>
      </w:rPr>
      <w:tblPr/>
      <w:tcPr>
        <w:tcBorders>
          <w:top w:val="double" w:sz="6" w:space="0" w:color="92C3CA"/>
          <w:left w:val="single" w:sz="8" w:space="0" w:color="92C3CA"/>
          <w:bottom w:val="single" w:sz="8" w:space="0" w:color="92C3CA"/>
          <w:right w:val="single" w:sz="8" w:space="0" w:color="92C3CA"/>
        </w:tcBorders>
      </w:tcPr>
    </w:tblStylePr>
    <w:tblStylePr w:type="firstCol">
      <w:rPr>
        <w:b/>
        <w:bCs/>
      </w:rPr>
    </w:tblStylePr>
    <w:tblStylePr w:type="lastCol">
      <w:rPr>
        <w:b/>
        <w:bCs/>
      </w:rPr>
    </w:tblStylePr>
    <w:tblStylePr w:type="band1Vert">
      <w:tblPr/>
      <w:tcPr>
        <w:tcBorders>
          <w:top w:val="single" w:sz="8" w:space="0" w:color="92C3CA"/>
          <w:left w:val="single" w:sz="8" w:space="0" w:color="92C3CA"/>
          <w:bottom w:val="single" w:sz="8" w:space="0" w:color="92C3CA"/>
          <w:right w:val="single" w:sz="8" w:space="0" w:color="92C3CA"/>
        </w:tcBorders>
      </w:tcPr>
    </w:tblStylePr>
    <w:tblStylePr w:type="band1Horz">
      <w:tblPr/>
      <w:tcPr>
        <w:tcBorders>
          <w:top w:val="single" w:sz="8" w:space="0" w:color="92C3CA"/>
          <w:left w:val="single" w:sz="8" w:space="0" w:color="92C3CA"/>
          <w:bottom w:val="single" w:sz="8" w:space="0" w:color="92C3CA"/>
          <w:right w:val="single" w:sz="8" w:space="0" w:color="92C3CA"/>
        </w:tcBorders>
      </w:tcPr>
    </w:tblStylePr>
  </w:style>
  <w:style w:type="table" w:customStyle="1" w:styleId="LightShading-Accent21">
    <w:name w:val="Light Shading - Accent 21"/>
    <w:basedOn w:val="TableNormal"/>
    <w:next w:val="LightShading-Accent2"/>
    <w:uiPriority w:val="60"/>
    <w:rsid w:val="00E57F60"/>
    <w:rPr>
      <w:rFonts w:ascii="Courier" w:hAnsi="Courier"/>
      <w:color w:val="57A2AD"/>
    </w:rPr>
    <w:tblPr>
      <w:tblStyleRowBandSize w:val="1"/>
      <w:tblStyleColBandSize w:val="1"/>
      <w:tblInd w:w="0" w:type="dxa"/>
      <w:tblBorders>
        <w:top w:val="single" w:sz="8" w:space="0" w:color="92C3CA"/>
        <w:bottom w:val="single" w:sz="8" w:space="0" w:color="92C3C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2C3CA"/>
          <w:left w:val="nil"/>
          <w:bottom w:val="single" w:sz="8" w:space="0" w:color="92C3CA"/>
          <w:right w:val="nil"/>
          <w:insideH w:val="nil"/>
          <w:insideV w:val="nil"/>
        </w:tcBorders>
      </w:tcPr>
    </w:tblStylePr>
    <w:tblStylePr w:type="lastRow">
      <w:pPr>
        <w:spacing w:before="0" w:after="0" w:line="240" w:lineRule="auto"/>
      </w:pPr>
      <w:rPr>
        <w:b/>
        <w:bCs/>
      </w:rPr>
      <w:tblPr/>
      <w:tcPr>
        <w:tcBorders>
          <w:top w:val="single" w:sz="8" w:space="0" w:color="92C3CA"/>
          <w:left w:val="nil"/>
          <w:bottom w:val="single" w:sz="8" w:space="0" w:color="92C3C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0F1"/>
      </w:tcPr>
    </w:tblStylePr>
    <w:tblStylePr w:type="band1Horz">
      <w:tblPr/>
      <w:tcPr>
        <w:tcBorders>
          <w:left w:val="nil"/>
          <w:right w:val="nil"/>
          <w:insideH w:val="nil"/>
          <w:insideV w:val="nil"/>
        </w:tcBorders>
        <w:shd w:val="clear" w:color="auto" w:fill="E3F0F1"/>
      </w:tcPr>
    </w:tblStylePr>
  </w:style>
  <w:style w:type="table" w:customStyle="1" w:styleId="LightList-Accent11">
    <w:name w:val="Light List - Accent 11"/>
    <w:basedOn w:val="TableNormal"/>
    <w:next w:val="LightList-Accent1"/>
    <w:uiPriority w:val="61"/>
    <w:rsid w:val="00E57F60"/>
    <w:rPr>
      <w:rFonts w:ascii="Cambria" w:eastAsia="Cambria" w:hAnsi="Cambria"/>
      <w:sz w:val="22"/>
      <w:szCs w:val="22"/>
      <w:lang w:val="en-GB" w:eastAsia="en-US"/>
    </w:rPr>
    <w:tblPr>
      <w:tblStyleRowBandSize w:val="1"/>
      <w:tblStyleColBandSize w:val="1"/>
      <w:tblInd w:w="0" w:type="dxa"/>
      <w:tblBorders>
        <w:top w:val="single" w:sz="8" w:space="0" w:color="0087A2"/>
        <w:left w:val="single" w:sz="8" w:space="0" w:color="0087A2"/>
        <w:bottom w:val="single" w:sz="8" w:space="0" w:color="0087A2"/>
        <w:right w:val="single" w:sz="8" w:space="0" w:color="0087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87A2"/>
      </w:tcPr>
    </w:tblStylePr>
    <w:tblStylePr w:type="lastRow">
      <w:pPr>
        <w:spacing w:before="0" w:after="0" w:line="240" w:lineRule="auto"/>
      </w:pPr>
      <w:rPr>
        <w:b/>
        <w:bCs/>
      </w:rPr>
      <w:tblPr/>
      <w:tcPr>
        <w:tcBorders>
          <w:top w:val="double" w:sz="6" w:space="0" w:color="0087A2"/>
          <w:left w:val="single" w:sz="8" w:space="0" w:color="0087A2"/>
          <w:bottom w:val="single" w:sz="8" w:space="0" w:color="0087A2"/>
          <w:right w:val="single" w:sz="8" w:space="0" w:color="0087A2"/>
        </w:tcBorders>
      </w:tcPr>
    </w:tblStylePr>
    <w:tblStylePr w:type="firstCol">
      <w:rPr>
        <w:b/>
        <w:bCs/>
      </w:rPr>
    </w:tblStylePr>
    <w:tblStylePr w:type="lastCol">
      <w:rPr>
        <w:b/>
        <w:bCs/>
      </w:rPr>
    </w:tblStylePr>
    <w:tblStylePr w:type="band1Vert">
      <w:tblPr/>
      <w:tcPr>
        <w:tcBorders>
          <w:top w:val="single" w:sz="8" w:space="0" w:color="0087A2"/>
          <w:left w:val="single" w:sz="8" w:space="0" w:color="0087A2"/>
          <w:bottom w:val="single" w:sz="8" w:space="0" w:color="0087A2"/>
          <w:right w:val="single" w:sz="8" w:space="0" w:color="0087A2"/>
        </w:tcBorders>
      </w:tcPr>
    </w:tblStylePr>
    <w:tblStylePr w:type="band1Horz">
      <w:tblPr/>
      <w:tcPr>
        <w:tcBorders>
          <w:top w:val="single" w:sz="8" w:space="0" w:color="0087A2"/>
          <w:left w:val="single" w:sz="8" w:space="0" w:color="0087A2"/>
          <w:bottom w:val="single" w:sz="8" w:space="0" w:color="0087A2"/>
          <w:right w:val="single" w:sz="8" w:space="0" w:color="0087A2"/>
        </w:tcBorders>
      </w:tcPr>
    </w:tblStylePr>
  </w:style>
  <w:style w:type="numbering" w:customStyle="1" w:styleId="Outlinebullets1">
    <w:name w:val="Outline bullets1"/>
    <w:basedOn w:val="NoList"/>
    <w:rsid w:val="00E57F60"/>
  </w:style>
  <w:style w:type="table" w:customStyle="1" w:styleId="LightList11">
    <w:name w:val="Light List11"/>
    <w:basedOn w:val="TableNormal"/>
    <w:uiPriority w:val="61"/>
    <w:rsid w:val="00E57F60"/>
    <w:rPr>
      <w:rFonts w:ascii="Courier" w:hAnsi="Courie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rPr>
      <w:tblPr/>
      <w:tcPr>
        <w:shd w:val="clear" w:color="auto" w:fill="31849B"/>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E57F60"/>
    <w:rPr>
      <w:rFonts w:ascii="Calibri" w:eastAsia="Calibri" w:hAnsi="Calibri"/>
      <w:lang w:val="en-GB" w:eastAsia="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yle11">
    <w:name w:val="Style11"/>
    <w:basedOn w:val="TableNormal"/>
    <w:uiPriority w:val="99"/>
    <w:qFormat/>
    <w:rsid w:val="00E57F60"/>
    <w:rPr>
      <w:rFonts w:ascii="Calibri" w:eastAsia="Calibri" w:hAnsi="Calibri"/>
      <w:lang w:val="en-GB" w:eastAsia="en-GB"/>
    </w:rPr>
    <w:tblPr>
      <w:tblInd w:w="0" w:type="dxa"/>
      <w:tblCellMar>
        <w:top w:w="0" w:type="dxa"/>
        <w:left w:w="108" w:type="dxa"/>
        <w:bottom w:w="0" w:type="dxa"/>
        <w:right w:w="108" w:type="dxa"/>
      </w:tblCellMar>
    </w:tblPr>
  </w:style>
  <w:style w:type="table" w:customStyle="1" w:styleId="Style21">
    <w:name w:val="Style21"/>
    <w:basedOn w:val="TableNormal"/>
    <w:uiPriority w:val="99"/>
    <w:qFormat/>
    <w:rsid w:val="00E57F60"/>
    <w:rPr>
      <w:rFonts w:eastAsia="Calibri"/>
      <w:lang w:val="en-GB" w:eastAsia="en-GB"/>
    </w:rPr>
    <w:tblPr>
      <w:tblInd w:w="0" w:type="dxa"/>
      <w:tblCellMar>
        <w:top w:w="0" w:type="dxa"/>
        <w:left w:w="108" w:type="dxa"/>
        <w:bottom w:w="0" w:type="dxa"/>
        <w:right w:w="108" w:type="dxa"/>
      </w:tblCellMar>
    </w:tblPr>
  </w:style>
  <w:style w:type="paragraph" w:customStyle="1" w:styleId="figure">
    <w:name w:val="figure"/>
    <w:basedOn w:val="Caption"/>
    <w:rsid w:val="000E018A"/>
  </w:style>
  <w:style w:type="character" w:customStyle="1" w:styleId="BoxBulletChar">
    <w:name w:val="BoxBullet Char"/>
    <w:basedOn w:val="DefaultParagraphFont"/>
    <w:link w:val="BoxBullet0"/>
    <w:rsid w:val="00F2245A"/>
    <w:rPr>
      <w:rFonts w:ascii="Franklin Gothic Book" w:hAnsi="Franklin Gothic Book"/>
      <w:sz w:val="21"/>
      <w:shd w:val="clear" w:color="auto" w:fill="ECF1F7"/>
    </w:rPr>
  </w:style>
  <w:style w:type="character" w:customStyle="1" w:styleId="BoxHeadingChar">
    <w:name w:val="BoxHeading Char"/>
    <w:basedOn w:val="DefaultParagraphFont"/>
    <w:link w:val="BoxHeading"/>
    <w:rsid w:val="00F2245A"/>
    <w:rPr>
      <w:rFonts w:ascii="Franklin Gothic Book" w:hAnsi="Franklin Gothic Book"/>
      <w:b/>
      <w:bCs/>
      <w:sz w:val="22"/>
      <w:shd w:val="clear" w:color="auto" w:fill="ECF1F7"/>
    </w:rPr>
  </w:style>
  <w:style w:type="paragraph" w:customStyle="1" w:styleId="BoxHeading21">
    <w:name w:val="BoxHeading2"/>
    <w:basedOn w:val="BoxHeading"/>
    <w:link w:val="BoxHeading2Char"/>
    <w:qFormat/>
    <w:rsid w:val="00DF65F9"/>
    <w:pPr>
      <w:spacing w:before="120" w:after="60"/>
    </w:pPr>
    <w:rPr>
      <w:i/>
      <w:sz w:val="21"/>
    </w:rPr>
  </w:style>
  <w:style w:type="character" w:customStyle="1" w:styleId="BoxHeading2Char">
    <w:name w:val="BoxHeading2 Char"/>
    <w:basedOn w:val="BoxHeadingChar"/>
    <w:link w:val="BoxHeading21"/>
    <w:rsid w:val="00DF65F9"/>
    <w:rPr>
      <w:rFonts w:ascii="Franklin Gothic Book" w:hAnsi="Franklin Gothic Book"/>
      <w:b/>
      <w:bCs/>
      <w:i/>
      <w:sz w:val="21"/>
      <w:shd w:val="clear" w:color="auto" w:fill="ECF1F7"/>
    </w:rPr>
  </w:style>
  <w:style w:type="character" w:customStyle="1" w:styleId="BoxQuoteChar">
    <w:name w:val="BoxQuote Char"/>
    <w:basedOn w:val="BoxTextChar"/>
    <w:link w:val="BoxQuote"/>
    <w:rsid w:val="00DF65F9"/>
    <w:rPr>
      <w:rFonts w:ascii="Franklin Gothic Book" w:hAnsi="Franklin Gothic Book"/>
      <w:i/>
      <w:sz w:val="21"/>
      <w:shd w:val="clear" w:color="auto" w:fill="ECF1F7"/>
    </w:rPr>
  </w:style>
  <w:style w:type="paragraph" w:customStyle="1" w:styleId="BoxQuoteSource">
    <w:name w:val="BoxQuoteSource"/>
    <w:basedOn w:val="BoxText"/>
    <w:link w:val="BoxQuoteSourceChar"/>
    <w:qFormat/>
    <w:rsid w:val="00DF65F9"/>
    <w:pPr>
      <w:jc w:val="right"/>
    </w:pPr>
    <w:rPr>
      <w:noProof/>
    </w:rPr>
  </w:style>
  <w:style w:type="character" w:customStyle="1" w:styleId="BoxQuoteSourceChar">
    <w:name w:val="BoxQuoteSource Char"/>
    <w:basedOn w:val="BoxTextChar"/>
    <w:link w:val="BoxQuoteSource"/>
    <w:rsid w:val="00DF65F9"/>
    <w:rPr>
      <w:rFonts w:ascii="Franklin Gothic Book" w:hAnsi="Franklin Gothic Book"/>
      <w:noProof/>
      <w:sz w:val="21"/>
      <w:shd w:val="clear" w:color="auto" w:fill="ECF1F7"/>
    </w:rPr>
  </w:style>
  <w:style w:type="character" w:customStyle="1" w:styleId="BoxTextChar">
    <w:name w:val="BoxText Char"/>
    <w:basedOn w:val="DefaultParagraphFont"/>
    <w:link w:val="BoxText"/>
    <w:rsid w:val="00DF65F9"/>
    <w:rPr>
      <w:rFonts w:ascii="Franklin Gothic Book" w:hAnsi="Franklin Gothic Book"/>
      <w:sz w:val="21"/>
      <w:shd w:val="clear" w:color="auto" w:fill="ECF1F7"/>
    </w:rPr>
  </w:style>
  <w:style w:type="paragraph" w:customStyle="1" w:styleId="NumberList3">
    <w:name w:val="NumberList3"/>
    <w:basedOn w:val="Normal"/>
    <w:rsid w:val="001015A2"/>
    <w:pPr>
      <w:numPr>
        <w:numId w:val="107"/>
      </w:numPr>
      <w:spacing w:before="0" w:line="280" w:lineRule="exact"/>
      <w:ind w:left="851" w:hanging="284"/>
      <w:contextualSpacing/>
    </w:pPr>
    <w:rPr>
      <w:szCs w:val="24"/>
    </w:rPr>
  </w:style>
  <w:style w:type="paragraph" w:customStyle="1" w:styleId="RecommendationText">
    <w:name w:val="RecommendationText"/>
    <w:basedOn w:val="BoxText"/>
    <w:link w:val="RecommendationTextChar"/>
    <w:qFormat/>
    <w:rsid w:val="00DF65F9"/>
    <w:pPr>
      <w:pBdr>
        <w:top w:val="single" w:sz="4" w:space="4" w:color="124486"/>
        <w:left w:val="none" w:sz="0" w:space="0" w:color="auto"/>
        <w:bottom w:val="single" w:sz="4" w:space="4" w:color="124486"/>
        <w:right w:val="none" w:sz="0" w:space="0" w:color="auto"/>
      </w:pBdr>
      <w:shd w:val="clear" w:color="auto" w:fill="auto"/>
    </w:pPr>
  </w:style>
  <w:style w:type="character" w:customStyle="1" w:styleId="RecommendationTextChar">
    <w:name w:val="RecommendationText Char"/>
    <w:basedOn w:val="BoxTextChar"/>
    <w:link w:val="RecommendationText"/>
    <w:rsid w:val="00DF65F9"/>
    <w:rPr>
      <w:rFonts w:ascii="Franklin Gothic Book" w:hAnsi="Franklin Gothic Book"/>
      <w:sz w:val="21"/>
      <w:shd w:val="clear" w:color="auto" w:fill="ECF1F7"/>
    </w:rPr>
  </w:style>
  <w:style w:type="paragraph" w:customStyle="1" w:styleId="TableHeading21">
    <w:name w:val="TableHeading2"/>
    <w:basedOn w:val="TableHeading"/>
    <w:qFormat/>
    <w:rsid w:val="00DF65F9"/>
    <w:pPr>
      <w:spacing w:before="80" w:after="80" w:line="200" w:lineRule="atLeast"/>
    </w:pPr>
    <w:rPr>
      <w:rFonts w:ascii="Arial" w:hAnsi="Arial"/>
      <w:i/>
      <w:sz w:val="20"/>
    </w:rPr>
  </w:style>
  <w:style w:type="paragraph" w:customStyle="1" w:styleId="QuoteSource">
    <w:name w:val="QuoteSource"/>
    <w:basedOn w:val="Quote"/>
    <w:link w:val="QuoteSourceChar"/>
    <w:qFormat/>
    <w:rsid w:val="00DF65F9"/>
    <w:pPr>
      <w:spacing w:after="240"/>
      <w:jc w:val="right"/>
    </w:pPr>
    <w:rPr>
      <w:i w:val="0"/>
      <w:color w:val="000000"/>
    </w:rPr>
  </w:style>
  <w:style w:type="character" w:customStyle="1" w:styleId="QuoteSourceChar">
    <w:name w:val="QuoteSource Char"/>
    <w:basedOn w:val="QuoteChar"/>
    <w:link w:val="QuoteSource"/>
    <w:rsid w:val="00DF65F9"/>
    <w:rPr>
      <w:rFonts w:ascii="Franklin Gothic Book" w:hAnsi="Franklin Gothic Book"/>
      <w:i w:val="0"/>
      <w:color w:val="000000"/>
      <w:sz w:val="21"/>
    </w:rPr>
  </w:style>
  <w:style w:type="paragraph" w:customStyle="1" w:styleId="RecommendationSub">
    <w:name w:val="RecommendationSub"/>
    <w:basedOn w:val="RecommendationText"/>
    <w:link w:val="RecommendationSubChar"/>
    <w:qFormat/>
    <w:rsid w:val="00DF65F9"/>
    <w:pPr>
      <w:ind w:left="357" w:hanging="357"/>
    </w:pPr>
  </w:style>
  <w:style w:type="character" w:customStyle="1" w:styleId="RecommendationSubChar">
    <w:name w:val="RecommendationSub Char"/>
    <w:basedOn w:val="RecommendationTextChar"/>
    <w:link w:val="RecommendationSub"/>
    <w:rsid w:val="00DF65F9"/>
    <w:rPr>
      <w:rFonts w:ascii="Franklin Gothic Book" w:hAnsi="Franklin Gothic Book"/>
      <w:sz w:val="21"/>
      <w:shd w:val="clear" w:color="auto" w:fill="ECF1F7"/>
    </w:rPr>
  </w:style>
  <w:style w:type="paragraph" w:customStyle="1" w:styleId="RecommendationName">
    <w:name w:val="RecommendationName"/>
    <w:basedOn w:val="RecommendationText"/>
    <w:link w:val="RecommendationNameChar"/>
    <w:qFormat/>
    <w:rsid w:val="00DF65F9"/>
    <w:pPr>
      <w:spacing w:before="120"/>
    </w:pPr>
    <w:rPr>
      <w:rFonts w:ascii="Arial Bold" w:hAnsi="Arial Bold"/>
      <w:b/>
      <w:color w:val="EB0029"/>
      <w:sz w:val="24"/>
    </w:rPr>
  </w:style>
  <w:style w:type="character" w:customStyle="1" w:styleId="RecommendationNameChar">
    <w:name w:val="RecommendationName Char"/>
    <w:basedOn w:val="RecommendationTextChar"/>
    <w:link w:val="RecommendationName"/>
    <w:rsid w:val="00DF65F9"/>
    <w:rPr>
      <w:rFonts w:ascii="Arial Bold" w:hAnsi="Arial Bold"/>
      <w:b/>
      <w:color w:val="EB0029"/>
      <w:sz w:val="24"/>
      <w:shd w:val="clear" w:color="auto" w:fill="ECF1F7"/>
    </w:rPr>
  </w:style>
  <w:style w:type="paragraph" w:customStyle="1" w:styleId="Tabletext0">
    <w:name w:val="Table_text"/>
    <w:basedOn w:val="Normal"/>
    <w:link w:val="TabletextChar0"/>
    <w:qFormat/>
    <w:rsid w:val="00DF65F9"/>
    <w:pPr>
      <w:keepNext/>
      <w:spacing w:after="40" w:line="200" w:lineRule="atLeast"/>
    </w:pPr>
    <w:rPr>
      <w:color w:val="000000" w:themeColor="text1"/>
      <w:sz w:val="17"/>
      <w:szCs w:val="21"/>
    </w:rPr>
  </w:style>
  <w:style w:type="character" w:customStyle="1" w:styleId="TabletextChar0">
    <w:name w:val="Table_text Char"/>
    <w:basedOn w:val="DefaultParagraphFont"/>
    <w:link w:val="Tabletext0"/>
    <w:rsid w:val="00DF65F9"/>
    <w:rPr>
      <w:rFonts w:ascii="Franklin Gothic Book" w:hAnsi="Franklin Gothic Book"/>
      <w:color w:val="000000" w:themeColor="text1"/>
      <w:sz w:val="17"/>
      <w:szCs w:val="21"/>
    </w:rPr>
  </w:style>
  <w:style w:type="character" w:customStyle="1" w:styleId="footnotetextChar0">
    <w:name w:val="footnote text Char"/>
    <w:basedOn w:val="FootnoteTextChar"/>
    <w:link w:val="FootnoteText1"/>
    <w:rsid w:val="00EF0C79"/>
    <w:rPr>
      <w:rFonts w:ascii="Franklin Gothic Book" w:hAnsi="Franklin Gothic Book"/>
      <w:sz w:val="17"/>
      <w:lang w:val="en-US"/>
    </w:rPr>
  </w:style>
  <w:style w:type="paragraph" w:customStyle="1" w:styleId="FootnoteText1">
    <w:name w:val="Footnote Text1"/>
    <w:basedOn w:val="FootnoteText"/>
    <w:link w:val="footnotetextChar0"/>
    <w:qFormat/>
    <w:rsid w:val="00EF0C79"/>
    <w:rPr>
      <w:lang w:val="en-US"/>
    </w:rPr>
  </w:style>
  <w:style w:type="paragraph" w:customStyle="1" w:styleId="Tablebullet">
    <w:name w:val="Table_bullet"/>
    <w:basedOn w:val="TableBullet0"/>
    <w:link w:val="TablebulletChar"/>
    <w:qFormat/>
    <w:rsid w:val="00896BBF"/>
    <w:pPr>
      <w:keepNext w:val="0"/>
      <w:numPr>
        <w:numId w:val="113"/>
      </w:numPr>
      <w:tabs>
        <w:tab w:val="clear" w:pos="216"/>
      </w:tabs>
      <w:spacing w:before="40" w:after="40" w:line="240" w:lineRule="auto"/>
    </w:pPr>
    <w:rPr>
      <w:rFonts w:ascii="Franklin Gothic Book" w:eastAsia="Calibri" w:hAnsi="Franklin Gothic Book"/>
      <w:color w:val="000000" w:themeColor="text1"/>
      <w:sz w:val="17"/>
      <w:szCs w:val="17"/>
      <w:lang w:eastAsia="en-US"/>
    </w:rPr>
  </w:style>
  <w:style w:type="character" w:customStyle="1" w:styleId="TablebulletChar">
    <w:name w:val="Table_bullet Char"/>
    <w:basedOn w:val="DefaultParagraphFont"/>
    <w:link w:val="Tablebullet"/>
    <w:rsid w:val="00896BBF"/>
    <w:rPr>
      <w:rFonts w:ascii="Franklin Gothic Book" w:eastAsia="Calibri" w:hAnsi="Franklin Gothic Book"/>
      <w:color w:val="000000" w:themeColor="text1"/>
      <w:sz w:val="17"/>
      <w:szCs w:val="17"/>
      <w:lang w:eastAsia="en-US"/>
    </w:rPr>
  </w:style>
  <w:style w:type="paragraph" w:customStyle="1" w:styleId="NumberList1">
    <w:name w:val="Number_List"/>
    <w:basedOn w:val="NumberList0"/>
    <w:link w:val="NumberListChar0"/>
    <w:qFormat/>
    <w:rsid w:val="007A10CA"/>
    <w:pPr>
      <w:tabs>
        <w:tab w:val="clear" w:pos="360"/>
      </w:tabs>
      <w:spacing w:before="0" w:line="280" w:lineRule="exact"/>
      <w:ind w:left="284" w:hanging="284"/>
    </w:pPr>
  </w:style>
  <w:style w:type="character" w:customStyle="1" w:styleId="NumberListChar0">
    <w:name w:val="Number_List Char"/>
    <w:basedOn w:val="DefaultParagraphFont"/>
    <w:link w:val="NumberList1"/>
    <w:rsid w:val="007A10CA"/>
    <w:rPr>
      <w:rFonts w:ascii="Franklin Gothic Book" w:hAnsi="Franklin Gothic Book"/>
      <w:sz w:val="21"/>
    </w:rPr>
  </w:style>
  <w:style w:type="paragraph" w:customStyle="1" w:styleId="Boxheading0">
    <w:name w:val="Box heading"/>
    <w:basedOn w:val="BoxName"/>
    <w:link w:val="BoxheadingChar0"/>
    <w:qFormat/>
    <w:rsid w:val="00BE63E3"/>
    <w:rPr>
      <w:rFonts w:ascii="Arial" w:hAnsi="Arial"/>
    </w:rPr>
  </w:style>
  <w:style w:type="character" w:customStyle="1" w:styleId="BoxheadingChar0">
    <w:name w:val="Box heading Char"/>
    <w:basedOn w:val="DefaultParagraphFont"/>
    <w:link w:val="Boxheading0"/>
    <w:rsid w:val="00BE63E3"/>
    <w:rPr>
      <w:rFonts w:ascii="Arial" w:hAnsi="Arial"/>
      <w:b/>
      <w:bCs/>
      <w:color w:val="FFFFFF" w:themeColor="background1"/>
      <w:sz w:val="24"/>
      <w:shd w:val="clear" w:color="auto" w:fill="007FAD"/>
    </w:rPr>
  </w:style>
  <w:style w:type="paragraph" w:customStyle="1" w:styleId="Boxbullet">
    <w:name w:val="Box_bullet"/>
    <w:basedOn w:val="BoxBullet0"/>
    <w:link w:val="BoxbulletChar0"/>
    <w:qFormat/>
    <w:rsid w:val="00DC669C"/>
    <w:pPr>
      <w:numPr>
        <w:numId w:val="116"/>
      </w:numPr>
      <w:ind w:left="426" w:hanging="426"/>
    </w:pPr>
  </w:style>
  <w:style w:type="character" w:customStyle="1" w:styleId="BoxbulletChar0">
    <w:name w:val="Box_bullet Char"/>
    <w:basedOn w:val="BoxBulletChar"/>
    <w:link w:val="Boxbullet"/>
    <w:rsid w:val="00DC669C"/>
    <w:rPr>
      <w:rFonts w:ascii="Franklin Gothic Book" w:hAnsi="Franklin Gothic Book"/>
      <w:sz w:val="21"/>
      <w:shd w:val="clear" w:color="auto" w:fill="ECF1F7"/>
    </w:rPr>
  </w:style>
  <w:style w:type="paragraph" w:customStyle="1" w:styleId="Numberlist2">
    <w:name w:val="Numberlist2"/>
    <w:basedOn w:val="Normal"/>
    <w:rsid w:val="00E75FF4"/>
    <w:pPr>
      <w:numPr>
        <w:numId w:val="117"/>
      </w:numPr>
      <w:tabs>
        <w:tab w:val="num" w:pos="567"/>
      </w:tabs>
      <w:spacing w:before="0" w:line="280" w:lineRule="exact"/>
      <w:ind w:left="568" w:hanging="284"/>
    </w:pPr>
    <w:rPr>
      <w:szCs w:val="24"/>
    </w:rPr>
  </w:style>
  <w:style w:type="paragraph" w:customStyle="1" w:styleId="Tabletitle">
    <w:name w:val="Table_title"/>
    <w:basedOn w:val="TableName"/>
    <w:link w:val="TabletitleChar"/>
    <w:qFormat/>
    <w:rsid w:val="00571D0A"/>
    <w:pPr>
      <w:spacing w:before="80" w:line="200" w:lineRule="atLeast"/>
      <w:ind w:left="1077" w:hanging="1077"/>
    </w:pPr>
    <w:rPr>
      <w:rFonts w:ascii="Franklin Gothic Book" w:hAnsi="Franklin Gothic Book"/>
      <w:sz w:val="22"/>
    </w:rPr>
  </w:style>
  <w:style w:type="paragraph" w:customStyle="1" w:styleId="Figuretitle">
    <w:name w:val="Figure_title"/>
    <w:basedOn w:val="FigureName"/>
    <w:link w:val="FiguretitleChar"/>
    <w:qFormat/>
    <w:rsid w:val="00AF1AE6"/>
  </w:style>
  <w:style w:type="character" w:customStyle="1" w:styleId="TableTextChar">
    <w:name w:val="TableText Char"/>
    <w:basedOn w:val="DefaultParagraphFont"/>
    <w:link w:val="TableText"/>
    <w:rsid w:val="00571D0A"/>
    <w:rPr>
      <w:rFonts w:ascii="Arial Narrow" w:hAnsi="Arial Narrow"/>
      <w:sz w:val="19"/>
      <w:szCs w:val="21"/>
    </w:rPr>
  </w:style>
  <w:style w:type="character" w:customStyle="1" w:styleId="TableNameChar">
    <w:name w:val="TableName Char"/>
    <w:basedOn w:val="TableTextChar"/>
    <w:link w:val="TableName"/>
    <w:rsid w:val="00571D0A"/>
    <w:rPr>
      <w:rFonts w:ascii="Arial" w:hAnsi="Arial"/>
      <w:b/>
      <w:bCs/>
      <w:sz w:val="21"/>
      <w:szCs w:val="21"/>
    </w:rPr>
  </w:style>
  <w:style w:type="character" w:customStyle="1" w:styleId="TabletitleChar">
    <w:name w:val="Table_title Char"/>
    <w:basedOn w:val="TableNameChar"/>
    <w:link w:val="Tabletitle"/>
    <w:rsid w:val="00571D0A"/>
    <w:rPr>
      <w:rFonts w:ascii="Franklin Gothic Book" w:hAnsi="Franklin Gothic Book"/>
      <w:b/>
      <w:bCs/>
      <w:sz w:val="22"/>
      <w:szCs w:val="21"/>
    </w:rPr>
  </w:style>
  <w:style w:type="character" w:customStyle="1" w:styleId="FiguretitleChar">
    <w:name w:val="Figure_title Char"/>
    <w:basedOn w:val="DefaultParagraphFont"/>
    <w:link w:val="Figuretitle"/>
    <w:rsid w:val="00AF1AE6"/>
    <w:rPr>
      <w:rFonts w:ascii="Franklin Gothic Book" w:hAnsi="Franklin Gothic Book"/>
      <w:b/>
      <w:bCs/>
      <w:sz w:val="22"/>
    </w:rPr>
  </w:style>
  <w:style w:type="paragraph" w:customStyle="1" w:styleId="Quotetext">
    <w:name w:val="Quote text"/>
    <w:basedOn w:val="Quote"/>
    <w:link w:val="QuotetextChar"/>
    <w:qFormat/>
    <w:rsid w:val="00DB1E64"/>
    <w:rPr>
      <w:noProof/>
    </w:rPr>
  </w:style>
  <w:style w:type="character" w:customStyle="1" w:styleId="QuotetextChar">
    <w:name w:val="Quote text Char"/>
    <w:basedOn w:val="QuoteChar"/>
    <w:link w:val="Quotetext"/>
    <w:rsid w:val="00DB1E64"/>
    <w:rPr>
      <w:rFonts w:ascii="Franklin Gothic Book" w:hAnsi="Franklin Gothic Book"/>
      <w:i/>
      <w:noProof/>
      <w:sz w:val="21"/>
    </w:rPr>
  </w:style>
  <w:style w:type="character" w:customStyle="1" w:styleId="NumberListChar">
    <w:name w:val="NumberList Char"/>
    <w:basedOn w:val="DefaultParagraphFont"/>
    <w:link w:val="NumberList0"/>
    <w:rsid w:val="00121892"/>
    <w:rPr>
      <w:rFonts w:ascii="Franklin Gothic Book" w:hAnsi="Franklin Gothic Book"/>
      <w:sz w:val="21"/>
    </w:rPr>
  </w:style>
  <w:style w:type="paragraph" w:customStyle="1" w:styleId="Numberlist">
    <w:name w:val="Number_list"/>
    <w:basedOn w:val="NumberList0"/>
    <w:link w:val="NumberlistChar1"/>
    <w:qFormat/>
    <w:rsid w:val="00121892"/>
    <w:pPr>
      <w:numPr>
        <w:numId w:val="89"/>
      </w:numPr>
    </w:pPr>
  </w:style>
  <w:style w:type="character" w:customStyle="1" w:styleId="NumberlistChar1">
    <w:name w:val="Number_list Char"/>
    <w:basedOn w:val="NumberListChar"/>
    <w:link w:val="Numberlist"/>
    <w:rsid w:val="00121892"/>
    <w:rPr>
      <w:rFonts w:ascii="Franklin Gothic Book" w:hAnsi="Franklin Gothic Book"/>
      <w:sz w:val="21"/>
    </w:rPr>
  </w:style>
  <w:style w:type="paragraph" w:customStyle="1" w:styleId="Numberlist4">
    <w:name w:val="Number list"/>
    <w:basedOn w:val="NumberList0"/>
    <w:link w:val="NumberlistChar2"/>
    <w:qFormat/>
    <w:rsid w:val="004511CB"/>
    <w:pPr>
      <w:tabs>
        <w:tab w:val="clear" w:pos="360"/>
      </w:tabs>
      <w:spacing w:before="0" w:line="280" w:lineRule="exact"/>
      <w:ind w:left="284" w:hanging="284"/>
    </w:pPr>
  </w:style>
  <w:style w:type="character" w:customStyle="1" w:styleId="NumberlistChar2">
    <w:name w:val="Number list Char"/>
    <w:basedOn w:val="NumberListChar"/>
    <w:link w:val="Numberlist4"/>
    <w:rsid w:val="004511CB"/>
    <w:rPr>
      <w:rFonts w:ascii="Franklin Gothic Book" w:hAnsi="Franklin Gothic Book"/>
      <w:sz w:val="21"/>
    </w:rPr>
  </w:style>
  <w:style w:type="paragraph" w:customStyle="1" w:styleId="TableText1">
    <w:name w:val="Table Text"/>
    <w:basedOn w:val="TableText"/>
    <w:link w:val="TableTextChar1"/>
    <w:qFormat/>
    <w:rsid w:val="004511CB"/>
    <w:pPr>
      <w:spacing w:before="40" w:after="40" w:line="200" w:lineRule="atLeast"/>
    </w:pPr>
    <w:rPr>
      <w:rFonts w:ascii="Franklin Gothic Book" w:hAnsi="Franklin Gothic Book"/>
      <w:color w:val="000000" w:themeColor="text1"/>
      <w:sz w:val="17"/>
    </w:rPr>
  </w:style>
  <w:style w:type="character" w:customStyle="1" w:styleId="TableTextChar1">
    <w:name w:val="Table Text Char"/>
    <w:basedOn w:val="DefaultParagraphFont"/>
    <w:link w:val="TableText1"/>
    <w:rsid w:val="004511CB"/>
    <w:rPr>
      <w:rFonts w:ascii="Franklin Gothic Book" w:hAnsi="Franklin Gothic Book"/>
      <w:color w:val="000000" w:themeColor="text1"/>
      <w:sz w:val="17"/>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29"/>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1"/>
    <w:lsdException w:name="List Number" w:uiPriority="1"/>
    <w:lsdException w:name="List Bullet 2" w:uiPriority="1"/>
    <w:lsdException w:name="List Number 2" w:uiPriority="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F65F9"/>
    <w:pPr>
      <w:spacing w:before="40" w:after="160" w:line="288" w:lineRule="auto"/>
    </w:pPr>
    <w:rPr>
      <w:rFonts w:ascii="Franklin Gothic Book" w:hAnsi="Franklin Gothic Book"/>
      <w:sz w:val="21"/>
    </w:rPr>
  </w:style>
  <w:style w:type="paragraph" w:styleId="Heading1">
    <w:name w:val="heading 1"/>
    <w:basedOn w:val="Normal"/>
    <w:next w:val="Normal"/>
    <w:link w:val="Heading1Char"/>
    <w:qFormat/>
    <w:rsid w:val="00DF65F9"/>
    <w:pPr>
      <w:keepNext/>
      <w:pageBreakBefore/>
      <w:spacing w:before="480" w:after="1560" w:line="540" w:lineRule="atLeast"/>
      <w:ind w:left="720" w:hanging="720"/>
      <w:outlineLvl w:val="0"/>
    </w:pPr>
    <w:rPr>
      <w:rFonts w:ascii="Arial" w:hAnsi="Arial" w:cs="Arial"/>
      <w:bCs/>
      <w:color w:val="FFFFFF" w:themeColor="background1"/>
      <w:sz w:val="44"/>
      <w:szCs w:val="32"/>
    </w:rPr>
  </w:style>
  <w:style w:type="paragraph" w:styleId="Heading2">
    <w:name w:val="heading 2"/>
    <w:basedOn w:val="Normal"/>
    <w:next w:val="Normal"/>
    <w:link w:val="Heading2Char"/>
    <w:qFormat/>
    <w:rsid w:val="00DF65F9"/>
    <w:pPr>
      <w:keepNext/>
      <w:spacing w:before="480" w:after="120" w:line="240" w:lineRule="auto"/>
      <w:ind w:left="720" w:hanging="720"/>
      <w:outlineLvl w:val="1"/>
    </w:pPr>
    <w:rPr>
      <w:rFonts w:ascii="Arial" w:hAnsi="Arial" w:cs="Arial"/>
      <w:b/>
      <w:bCs/>
      <w:iCs/>
      <w:color w:val="124486"/>
      <w:sz w:val="28"/>
      <w:szCs w:val="28"/>
    </w:rPr>
  </w:style>
  <w:style w:type="paragraph" w:styleId="Heading3">
    <w:name w:val="heading 3"/>
    <w:basedOn w:val="Normal"/>
    <w:next w:val="Normal"/>
    <w:link w:val="Heading3Char"/>
    <w:qFormat/>
    <w:rsid w:val="00DF65F9"/>
    <w:pPr>
      <w:keepNext/>
      <w:spacing w:before="360" w:after="120" w:line="240" w:lineRule="auto"/>
      <w:ind w:left="720" w:hanging="720"/>
      <w:outlineLvl w:val="2"/>
    </w:pPr>
    <w:rPr>
      <w:rFonts w:ascii="Arial" w:hAnsi="Arial" w:cs="Arial"/>
      <w:bCs/>
      <w:color w:val="007FAD"/>
      <w:sz w:val="24"/>
      <w:szCs w:val="26"/>
    </w:rPr>
  </w:style>
  <w:style w:type="paragraph" w:styleId="Heading4">
    <w:name w:val="heading 4"/>
    <w:basedOn w:val="Normal"/>
    <w:next w:val="Normal"/>
    <w:link w:val="Heading4Char"/>
    <w:rsid w:val="00704B3A"/>
    <w:pPr>
      <w:keepNext/>
      <w:spacing w:before="240"/>
      <w:outlineLvl w:val="3"/>
    </w:pPr>
    <w:rPr>
      <w:rFonts w:ascii="Arial" w:hAnsi="Arial"/>
      <w:b/>
      <w:bCs/>
      <w:sz w:val="22"/>
      <w:szCs w:val="28"/>
    </w:rPr>
  </w:style>
  <w:style w:type="paragraph" w:styleId="Heading5">
    <w:name w:val="heading 5"/>
    <w:basedOn w:val="Normal"/>
    <w:next w:val="Normal"/>
    <w:link w:val="Heading5Char"/>
    <w:rsid w:val="00704B3A"/>
    <w:pPr>
      <w:keepNext/>
      <w:spacing w:before="60" w:after="60"/>
      <w:outlineLvl w:val="4"/>
    </w:pPr>
    <w:rPr>
      <w:rFonts w:ascii="Arial" w:hAnsi="Arial"/>
      <w:bCs/>
      <w:i/>
      <w:iCs/>
      <w:sz w:val="22"/>
      <w:szCs w:val="26"/>
    </w:rPr>
  </w:style>
  <w:style w:type="paragraph" w:styleId="Heading6">
    <w:name w:val="heading 6"/>
    <w:aliases w:val="Appendix Heading 1"/>
    <w:basedOn w:val="Normal"/>
    <w:next w:val="Normal"/>
    <w:link w:val="Heading6Char"/>
    <w:uiPriority w:val="29"/>
    <w:unhideWhenUsed/>
    <w:rsid w:val="00094075"/>
    <w:pPr>
      <w:keepNext/>
      <w:keepLines/>
      <w:spacing w:before="200" w:after="0"/>
      <w:outlineLvl w:val="5"/>
    </w:pPr>
    <w:rPr>
      <w:rFonts w:eastAsiaTheme="majorEastAsia" w:cstheme="majorBidi"/>
      <w:i/>
      <w:iCs/>
      <w:color w:val="243F60" w:themeColor="accent1" w:themeShade="7F"/>
    </w:rPr>
  </w:style>
  <w:style w:type="paragraph" w:styleId="Heading7">
    <w:name w:val="heading 7"/>
    <w:aliases w:val="Appendix Heading 2"/>
    <w:next w:val="BodyText"/>
    <w:link w:val="Heading7Char"/>
    <w:uiPriority w:val="9"/>
    <w:semiHidden/>
    <w:unhideWhenUsed/>
    <w:qFormat/>
    <w:rsid w:val="00F3602E"/>
    <w:pPr>
      <w:keepNext/>
      <w:keepLines/>
      <w:spacing w:before="40" w:line="288" w:lineRule="auto"/>
      <w:outlineLvl w:val="6"/>
    </w:pPr>
    <w:rPr>
      <w:rFonts w:asciiTheme="majorHAnsi" w:eastAsiaTheme="majorEastAsia" w:hAnsiTheme="majorHAnsi" w:cstheme="majorBidi"/>
      <w:i/>
      <w:iCs/>
      <w:color w:val="243F60" w:themeColor="accent1" w:themeShade="7F"/>
      <w:sz w:val="21"/>
    </w:rPr>
  </w:style>
  <w:style w:type="paragraph" w:styleId="Heading8">
    <w:name w:val="heading 8"/>
    <w:aliases w:val="Appendix Heading 3"/>
    <w:basedOn w:val="Heading3"/>
    <w:next w:val="BodyText"/>
    <w:link w:val="Heading8Char"/>
    <w:uiPriority w:val="9"/>
    <w:semiHidden/>
    <w:unhideWhenUsed/>
    <w:qFormat/>
    <w:rsid w:val="00F3602E"/>
    <w:pPr>
      <w:keepLines/>
      <w:spacing w:before="40" w:after="0" w:line="288" w:lineRule="auto"/>
      <w:ind w:left="0" w:firstLine="0"/>
      <w:outlineLvl w:val="7"/>
    </w:pPr>
    <w:rPr>
      <w:rFonts w:asciiTheme="majorHAnsi" w:eastAsiaTheme="majorEastAsia" w:hAnsiTheme="majorHAnsi" w:cstheme="majorBidi"/>
      <w:bCs w:val="0"/>
      <w:color w:val="272727" w:themeColor="text1" w:themeTint="D8"/>
      <w:sz w:val="21"/>
      <w:szCs w:val="21"/>
    </w:rPr>
  </w:style>
  <w:style w:type="paragraph" w:styleId="Heading9">
    <w:name w:val="heading 9"/>
    <w:aliases w:val="Appendix Heading 4"/>
    <w:basedOn w:val="Heading4"/>
    <w:next w:val="BodyText"/>
    <w:link w:val="Heading9Char"/>
    <w:uiPriority w:val="9"/>
    <w:semiHidden/>
    <w:unhideWhenUsed/>
    <w:qFormat/>
    <w:rsid w:val="00F3602E"/>
    <w:pPr>
      <w:keepLines/>
      <w:spacing w:before="40" w:after="0"/>
      <w:outlineLvl w:val="8"/>
    </w:pPr>
    <w:rPr>
      <w:rFonts w:asciiTheme="majorHAnsi" w:eastAsiaTheme="majorEastAsia" w:hAnsiTheme="majorHAnsi" w:cstheme="majorBidi"/>
      <w:b w:val="0"/>
      <w:bCs w:val="0"/>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Title"/>
    <w:next w:val="Date"/>
    <w:link w:val="SubtitleChar"/>
    <w:qFormat/>
    <w:rsid w:val="00DF65F9"/>
    <w:pPr>
      <w:pageBreakBefore w:val="0"/>
      <w:spacing w:before="200" w:after="0" w:line="380" w:lineRule="atLeast"/>
    </w:pPr>
    <w:rPr>
      <w:sz w:val="32"/>
      <w:szCs w:val="32"/>
    </w:rPr>
  </w:style>
  <w:style w:type="paragraph" w:customStyle="1" w:styleId="PullQuote">
    <w:name w:val="PullQuote"/>
    <w:basedOn w:val="Normal"/>
    <w:next w:val="Normal"/>
    <w:rsid w:val="00195262"/>
    <w:rPr>
      <w:rFonts w:asciiTheme="minorHAnsi" w:hAnsiTheme="minorHAnsi"/>
      <w:b/>
      <w:i/>
      <w:color w:val="007C92"/>
    </w:rPr>
  </w:style>
  <w:style w:type="paragraph" w:customStyle="1" w:styleId="ReportDate">
    <w:name w:val="ReportDate"/>
    <w:basedOn w:val="Normal"/>
    <w:rsid w:val="00E07D7E"/>
    <w:pPr>
      <w:spacing w:before="960"/>
    </w:pPr>
    <w:rPr>
      <w:rFonts w:asciiTheme="minorHAnsi" w:hAnsiTheme="minorHAnsi"/>
      <w:sz w:val="28"/>
    </w:rPr>
  </w:style>
  <w:style w:type="paragraph" w:customStyle="1" w:styleId="Heading1a">
    <w:name w:val="Heading 1a"/>
    <w:basedOn w:val="Heading1"/>
    <w:next w:val="Normal"/>
    <w:rsid w:val="00704B3A"/>
    <w:pPr>
      <w:outlineLvl w:val="9"/>
    </w:pPr>
  </w:style>
  <w:style w:type="paragraph" w:customStyle="1" w:styleId="Heading2a">
    <w:name w:val="Heading 2a"/>
    <w:basedOn w:val="Heading2"/>
    <w:next w:val="Normal"/>
    <w:rsid w:val="00704B3A"/>
    <w:pPr>
      <w:ind w:left="0" w:firstLine="0"/>
      <w:outlineLvl w:val="9"/>
    </w:pPr>
  </w:style>
  <w:style w:type="paragraph" w:customStyle="1" w:styleId="Heading3a">
    <w:name w:val="Heading 3a"/>
    <w:basedOn w:val="Heading3"/>
    <w:next w:val="Normal"/>
    <w:rsid w:val="00704B3A"/>
    <w:pPr>
      <w:ind w:left="0" w:firstLine="0"/>
      <w:outlineLvl w:val="9"/>
    </w:pPr>
  </w:style>
  <w:style w:type="paragraph" w:styleId="Header">
    <w:name w:val="header"/>
    <w:basedOn w:val="Normal"/>
    <w:link w:val="HeaderChar"/>
    <w:uiPriority w:val="99"/>
    <w:rsid w:val="00704B3A"/>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704B3A"/>
    <w:rPr>
      <w:rFonts w:ascii="Times New Roman" w:hAnsi="Times New Roman"/>
      <w:b/>
      <w:sz w:val="20"/>
    </w:rPr>
  </w:style>
  <w:style w:type="paragraph" w:customStyle="1" w:styleId="TableText">
    <w:name w:val="TableText"/>
    <w:basedOn w:val="Normal"/>
    <w:link w:val="TableTextChar"/>
    <w:rsid w:val="00B11A0D"/>
    <w:pPr>
      <w:keepNext/>
      <w:spacing w:before="0" w:after="60"/>
    </w:pPr>
    <w:rPr>
      <w:rFonts w:ascii="Arial Narrow" w:hAnsi="Arial Narrow"/>
      <w:sz w:val="19"/>
      <w:szCs w:val="21"/>
    </w:rPr>
  </w:style>
  <w:style w:type="paragraph" w:customStyle="1" w:styleId="TFListNotesSpace">
    <w:name w:val="TFListNotes+Space"/>
    <w:basedOn w:val="TableText"/>
    <w:next w:val="Normal"/>
    <w:rsid w:val="009E3B68"/>
    <w:pPr>
      <w:keepNext w:val="0"/>
      <w:keepLines/>
      <w:spacing w:after="360"/>
      <w:ind w:left="170" w:hanging="170"/>
    </w:pPr>
    <w:rPr>
      <w:sz w:val="18"/>
      <w:szCs w:val="18"/>
    </w:rPr>
  </w:style>
  <w:style w:type="paragraph" w:customStyle="1" w:styleId="TFListNotes">
    <w:name w:val="TFListNotes"/>
    <w:basedOn w:val="TFListNotesSpace"/>
    <w:rsid w:val="00026DD6"/>
    <w:pPr>
      <w:keepNext/>
      <w:spacing w:after="0"/>
    </w:pPr>
  </w:style>
  <w:style w:type="paragraph" w:customStyle="1" w:styleId="TableName">
    <w:name w:val="TableName"/>
    <w:basedOn w:val="TableText"/>
    <w:link w:val="TableNameChar"/>
    <w:rsid w:val="00020488"/>
    <w:pPr>
      <w:tabs>
        <w:tab w:val="left" w:pos="1080"/>
      </w:tabs>
      <w:spacing w:before="120" w:after="120"/>
      <w:ind w:left="1080" w:hanging="1080"/>
    </w:pPr>
    <w:rPr>
      <w:rFonts w:ascii="Arial" w:hAnsi="Arial"/>
      <w:b/>
      <w:bCs/>
      <w:sz w:val="21"/>
    </w:rPr>
  </w:style>
  <w:style w:type="paragraph" w:customStyle="1" w:styleId="TableHeading">
    <w:name w:val="TableHeading"/>
    <w:basedOn w:val="TableText"/>
    <w:rsid w:val="006A5EC2"/>
    <w:rPr>
      <w:b/>
      <w:bCs/>
      <w:color w:val="FFFFFF" w:themeColor="background1"/>
    </w:rPr>
  </w:style>
  <w:style w:type="paragraph" w:customStyle="1" w:styleId="TableBullet0">
    <w:name w:val="TableBullet"/>
    <w:basedOn w:val="TableText"/>
    <w:rsid w:val="00D20FD9"/>
    <w:pPr>
      <w:tabs>
        <w:tab w:val="left" w:pos="216"/>
      </w:tabs>
    </w:pPr>
  </w:style>
  <w:style w:type="paragraph" w:customStyle="1" w:styleId="TableDash">
    <w:name w:val="TableDash"/>
    <w:basedOn w:val="TableText"/>
    <w:rsid w:val="003A32F0"/>
    <w:pPr>
      <w:numPr>
        <w:numId w:val="2"/>
      </w:numPr>
      <w:tabs>
        <w:tab w:val="clear" w:pos="216"/>
        <w:tab w:val="num" w:pos="432"/>
      </w:tabs>
      <w:ind w:left="430" w:hanging="215"/>
    </w:pPr>
  </w:style>
  <w:style w:type="paragraph" w:styleId="Quote">
    <w:name w:val="Quote"/>
    <w:basedOn w:val="Normal"/>
    <w:link w:val="QuoteChar"/>
    <w:rsid w:val="00704B3A"/>
    <w:pPr>
      <w:ind w:left="567" w:right="567"/>
    </w:pPr>
    <w:rPr>
      <w:i/>
    </w:rPr>
  </w:style>
  <w:style w:type="paragraph" w:customStyle="1" w:styleId="References">
    <w:name w:val="References"/>
    <w:basedOn w:val="Normal"/>
    <w:rsid w:val="001E259C"/>
    <w:pPr>
      <w:keepLines/>
      <w:ind w:left="284" w:hanging="284"/>
    </w:p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link w:val="FootnoteTextChar"/>
    <w:uiPriority w:val="99"/>
    <w:rsid w:val="00704B3A"/>
    <w:pPr>
      <w:spacing w:after="0"/>
      <w:ind w:left="360" w:hanging="360"/>
    </w:pPr>
    <w:rPr>
      <w:sz w:val="17"/>
    </w:rPr>
  </w:style>
  <w:style w:type="character" w:styleId="FootnoteReference">
    <w:name w:val="footnote reference"/>
    <w:basedOn w:val="DefaultParagraphFont"/>
    <w:rsid w:val="00E006CC"/>
    <w:rPr>
      <w:vertAlign w:val="superscript"/>
    </w:rPr>
  </w:style>
  <w:style w:type="paragraph" w:customStyle="1" w:styleId="FigTabPara">
    <w:name w:val="FigTabPara"/>
    <w:basedOn w:val="Normal"/>
    <w:next w:val="TFIHolder"/>
    <w:rsid w:val="00BD346C"/>
    <w:pPr>
      <w:keepNext/>
      <w:ind w:left="1077"/>
    </w:pPr>
  </w:style>
  <w:style w:type="paragraph" w:customStyle="1" w:styleId="TFIHolder">
    <w:name w:val="TFIHolder"/>
    <w:basedOn w:val="TFAbbrevs"/>
    <w:rsid w:val="00932C6D"/>
    <w:rPr>
      <w:sz w:val="12"/>
    </w:rPr>
  </w:style>
  <w:style w:type="paragraph" w:customStyle="1" w:styleId="TFAbbrevs">
    <w:name w:val="TFAbbrevs"/>
    <w:basedOn w:val="TFListNotes"/>
    <w:rsid w:val="003D0620"/>
    <w:pPr>
      <w:ind w:left="0" w:firstLine="0"/>
    </w:pPr>
  </w:style>
  <w:style w:type="paragraph" w:styleId="TOC1">
    <w:name w:val="toc 1"/>
    <w:basedOn w:val="Normal"/>
    <w:next w:val="Normal"/>
    <w:autoRedefine/>
    <w:uiPriority w:val="39"/>
    <w:rsid w:val="00E006CC"/>
    <w:pPr>
      <w:tabs>
        <w:tab w:val="left" w:pos="720"/>
        <w:tab w:val="right" w:leader="dot" w:pos="9016"/>
      </w:tabs>
      <w:spacing w:before="120" w:after="120" w:line="240" w:lineRule="auto"/>
      <w:ind w:left="720" w:right="720" w:hanging="720"/>
    </w:pPr>
    <w:rPr>
      <w:rFonts w:ascii="Arial" w:hAnsi="Arial"/>
      <w:bCs/>
      <w:noProof/>
      <w:color w:val="007FAD"/>
      <w:sz w:val="24"/>
    </w:rPr>
  </w:style>
  <w:style w:type="paragraph" w:styleId="TOC2">
    <w:name w:val="toc 2"/>
    <w:basedOn w:val="Normal"/>
    <w:next w:val="Normal"/>
    <w:autoRedefine/>
    <w:uiPriority w:val="39"/>
    <w:rsid w:val="00E006CC"/>
    <w:pPr>
      <w:tabs>
        <w:tab w:val="left" w:pos="1440"/>
        <w:tab w:val="right" w:leader="dot" w:pos="9016"/>
      </w:tabs>
      <w:spacing w:before="120" w:after="120" w:line="240" w:lineRule="auto"/>
      <w:ind w:left="1440" w:right="720" w:hanging="720"/>
    </w:pPr>
    <w:rPr>
      <w:rFonts w:ascii="Arial" w:hAnsi="Arial"/>
      <w:sz w:val="24"/>
    </w:rPr>
  </w:style>
  <w:style w:type="paragraph" w:styleId="TOC3">
    <w:name w:val="toc 3"/>
    <w:basedOn w:val="Normal"/>
    <w:next w:val="Normal"/>
    <w:autoRedefine/>
    <w:uiPriority w:val="39"/>
    <w:rsid w:val="00EB4AC2"/>
    <w:pPr>
      <w:tabs>
        <w:tab w:val="left" w:pos="2160"/>
        <w:tab w:val="right" w:leader="dot" w:pos="9016"/>
      </w:tabs>
      <w:spacing w:after="20"/>
      <w:ind w:left="2160" w:right="720" w:hanging="720"/>
    </w:pPr>
    <w:rPr>
      <w:rFonts w:asciiTheme="minorHAnsi" w:hAnsiTheme="minorHAnsi"/>
      <w:color w:val="007C92"/>
    </w:rPr>
  </w:style>
  <w:style w:type="paragraph" w:styleId="TableofFigures">
    <w:name w:val="table of figures"/>
    <w:basedOn w:val="Normal"/>
    <w:next w:val="Normal"/>
    <w:uiPriority w:val="99"/>
    <w:rsid w:val="00C90C19"/>
    <w:pPr>
      <w:tabs>
        <w:tab w:val="left" w:pos="1080"/>
        <w:tab w:val="right" w:leader="dot" w:pos="9000"/>
      </w:tabs>
      <w:ind w:left="1080" w:right="720" w:hangingChars="450" w:hanging="1080"/>
    </w:pPr>
    <w:rPr>
      <w:rFonts w:asciiTheme="minorHAnsi" w:hAnsiTheme="minorHAnsi"/>
      <w:color w:val="007C92"/>
    </w:rPr>
  </w:style>
  <w:style w:type="paragraph" w:customStyle="1" w:styleId="BulletBeforeDash">
    <w:name w:val="BulletBeforeDash"/>
    <w:basedOn w:val="Normal"/>
    <w:rsid w:val="00D20FD9"/>
    <w:pPr>
      <w:numPr>
        <w:numId w:val="3"/>
      </w:numPr>
      <w:spacing w:after="0"/>
    </w:pPr>
  </w:style>
  <w:style w:type="paragraph" w:customStyle="1" w:styleId="Bullet">
    <w:name w:val="Bullet"/>
    <w:basedOn w:val="Normal"/>
    <w:qFormat/>
    <w:rsid w:val="00896BBF"/>
    <w:pPr>
      <w:numPr>
        <w:numId w:val="109"/>
      </w:numPr>
      <w:spacing w:before="0" w:after="80" w:line="280" w:lineRule="exact"/>
      <w:ind w:left="284" w:hanging="284"/>
    </w:pPr>
  </w:style>
  <w:style w:type="paragraph" w:customStyle="1" w:styleId="BulletLast">
    <w:name w:val="BulletLast"/>
    <w:basedOn w:val="Bullet"/>
    <w:qFormat/>
    <w:rsid w:val="00DF65F9"/>
    <w:pPr>
      <w:spacing w:after="160"/>
    </w:pPr>
  </w:style>
  <w:style w:type="paragraph" w:customStyle="1" w:styleId="Dash">
    <w:name w:val="Dash"/>
    <w:basedOn w:val="Normal"/>
    <w:rsid w:val="00D20FD9"/>
    <w:pPr>
      <w:numPr>
        <w:numId w:val="4"/>
      </w:numPr>
      <w:tabs>
        <w:tab w:val="clear" w:pos="216"/>
        <w:tab w:val="left" w:pos="720"/>
      </w:tabs>
      <w:spacing w:after="0"/>
      <w:ind w:left="72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F65F9"/>
    <w:pPr>
      <w:keepNext/>
      <w:spacing w:before="0" w:after="80"/>
    </w:pPr>
  </w:style>
  <w:style w:type="paragraph" w:customStyle="1" w:styleId="BoxText">
    <w:name w:val="BoxText"/>
    <w:basedOn w:val="Normal"/>
    <w:link w:val="BoxTextChar"/>
    <w:qFormat/>
    <w:rsid w:val="00DF65F9"/>
    <w:pPr>
      <w:pBdr>
        <w:top w:val="single" w:sz="4" w:space="4" w:color="007FAD"/>
        <w:left w:val="single" w:sz="4" w:space="4" w:color="007FAD"/>
        <w:bottom w:val="single" w:sz="4" w:space="4" w:color="007FAD"/>
        <w:right w:val="single" w:sz="4" w:space="4" w:color="007FAD"/>
      </w:pBdr>
      <w:shd w:val="clear" w:color="auto" w:fill="ECF1F7"/>
      <w:spacing w:before="0" w:after="120" w:line="240" w:lineRule="auto"/>
    </w:pPr>
  </w:style>
  <w:style w:type="paragraph" w:customStyle="1" w:styleId="BoxNotes">
    <w:name w:val="BoxNotes"/>
    <w:basedOn w:val="BoxText"/>
    <w:rsid w:val="00F2245A"/>
    <w:rPr>
      <w:sz w:val="18"/>
    </w:rPr>
  </w:style>
  <w:style w:type="paragraph" w:customStyle="1" w:styleId="BoxName">
    <w:name w:val="BoxName"/>
    <w:basedOn w:val="BoxText"/>
    <w:rsid w:val="00F2245A"/>
    <w:pPr>
      <w:keepNext/>
      <w:shd w:val="clear" w:color="auto" w:fill="007FAD"/>
      <w:spacing w:before="180" w:after="240"/>
      <w:ind w:left="1077" w:hanging="1077"/>
    </w:pPr>
    <w:rPr>
      <w:b/>
      <w:bCs/>
      <w:color w:val="FFFFFF" w:themeColor="background1"/>
      <w:sz w:val="24"/>
    </w:rPr>
  </w:style>
  <w:style w:type="paragraph" w:customStyle="1" w:styleId="BoxHeading">
    <w:name w:val="BoxHeading"/>
    <w:basedOn w:val="BoxText"/>
    <w:link w:val="BoxHeadingChar"/>
    <w:rsid w:val="00F2245A"/>
    <w:pPr>
      <w:keepNext/>
    </w:pPr>
    <w:rPr>
      <w:b/>
      <w:bCs/>
      <w:sz w:val="22"/>
    </w:rPr>
  </w:style>
  <w:style w:type="paragraph" w:customStyle="1" w:styleId="BoxBullet0">
    <w:name w:val="BoxBullet"/>
    <w:basedOn w:val="BoxText"/>
    <w:link w:val="BoxBulletChar"/>
    <w:rsid w:val="00F2245A"/>
  </w:style>
  <w:style w:type="paragraph" w:customStyle="1" w:styleId="BoxDashManual">
    <w:name w:val="BoxDashManual"/>
    <w:basedOn w:val="BoxText"/>
    <w:rsid w:val="00D20FD9"/>
    <w:pPr>
      <w:tabs>
        <w:tab w:val="left" w:pos="360"/>
        <w:tab w:val="left" w:pos="720"/>
      </w:tabs>
      <w:ind w:left="720" w:hanging="720"/>
    </w:pPr>
  </w:style>
  <w:style w:type="paragraph" w:customStyle="1" w:styleId="FigureName">
    <w:name w:val="FigureName"/>
    <w:basedOn w:val="Normal"/>
    <w:next w:val="Normal"/>
    <w:rsid w:val="00E914EF"/>
    <w:pPr>
      <w:keepNext/>
      <w:keepLines/>
      <w:tabs>
        <w:tab w:val="left" w:pos="1080"/>
      </w:tabs>
      <w:spacing w:before="80" w:after="80"/>
      <w:ind w:left="1077" w:hanging="1077"/>
    </w:pPr>
    <w:rPr>
      <w:b/>
      <w:bCs/>
      <w:sz w:val="22"/>
    </w:rPr>
  </w:style>
  <w:style w:type="paragraph" w:styleId="Index1">
    <w:name w:val="index 1"/>
    <w:basedOn w:val="Normal"/>
    <w:next w:val="Normal"/>
    <w:rsid w:val="005F1827"/>
    <w:pPr>
      <w:spacing w:after="0"/>
      <w:ind w:left="518" w:hanging="518"/>
    </w:pPr>
    <w:rPr>
      <w:noProof/>
      <w:sz w:val="22"/>
    </w:rPr>
  </w:style>
  <w:style w:type="paragraph" w:styleId="Index2">
    <w:name w:val="index 2"/>
    <w:basedOn w:val="Index1"/>
    <w:next w:val="Normal"/>
    <w:rsid w:val="005F1827"/>
    <w:pPr>
      <w:ind w:left="816" w:hanging="476"/>
    </w:pPr>
  </w:style>
  <w:style w:type="paragraph" w:styleId="TOC4">
    <w:name w:val="toc 4"/>
    <w:basedOn w:val="Normal"/>
    <w:next w:val="Normal"/>
    <w:autoRedefine/>
    <w:rsid w:val="00E006CC"/>
    <w:pPr>
      <w:tabs>
        <w:tab w:val="right" w:leader="dot" w:pos="9016"/>
      </w:tabs>
      <w:spacing w:after="0"/>
      <w:ind w:left="2160" w:right="720"/>
    </w:pPr>
    <w:rPr>
      <w:noProof/>
      <w:szCs w:val="24"/>
    </w:rPr>
  </w:style>
  <w:style w:type="paragraph" w:customStyle="1" w:styleId="NumberList0">
    <w:name w:val="NumberList"/>
    <w:basedOn w:val="Normal"/>
    <w:link w:val="NumberListChar"/>
    <w:rsid w:val="00D20FD9"/>
    <w:pPr>
      <w:tabs>
        <w:tab w:val="left" w:pos="360"/>
      </w:tabs>
      <w:ind w:left="360" w:hanging="360"/>
    </w:pPr>
  </w:style>
  <w:style w:type="paragraph" w:customStyle="1" w:styleId="TFNoteSourceSpace">
    <w:name w:val="TFNoteSource+Space"/>
    <w:basedOn w:val="TFListNotesSpace"/>
    <w:next w:val="Normal"/>
    <w:rsid w:val="00026DD6"/>
    <w:pPr>
      <w:ind w:left="624" w:hanging="624"/>
    </w:pPr>
  </w:style>
  <w:style w:type="paragraph" w:customStyle="1" w:styleId="TFNoteSource">
    <w:name w:val="TFNoteSource"/>
    <w:basedOn w:val="TFNoteSourceSpace"/>
    <w:rsid w:val="00026DD6"/>
    <w:pPr>
      <w:spacing w:after="0"/>
    </w:pPr>
  </w:style>
  <w:style w:type="character" w:customStyle="1" w:styleId="DesignerNotesChar">
    <w:name w:val="DesignerNotesChar"/>
    <w:basedOn w:val="DefaultParagraphFont"/>
    <w:rsid w:val="00B50D30"/>
    <w:rPr>
      <w:rFonts w:ascii="Arial" w:hAnsi="Arial"/>
      <w:b/>
      <w:color w:val="3366FF"/>
      <w:sz w:val="20"/>
    </w:r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DF65F9"/>
    <w:rPr>
      <w:b/>
      <w:bCs/>
    </w:rPr>
  </w:style>
  <w:style w:type="character" w:styleId="Emphasis">
    <w:name w:val="Emphasis"/>
    <w:basedOn w:val="DefaultParagraphFont"/>
    <w:uiPriority w:val="20"/>
    <w:qFormat/>
    <w:rsid w:val="00DF65F9"/>
    <w:rPr>
      <w:i/>
      <w:iCs/>
    </w:rPr>
  </w:style>
  <w:style w:type="character" w:customStyle="1" w:styleId="Roman">
    <w:name w:val="Roman"/>
    <w:uiPriority w:val="1"/>
    <w:rsid w:val="00114BAC"/>
    <w:rPr>
      <w:b w:val="0"/>
      <w:i/>
    </w:rPr>
  </w:style>
  <w:style w:type="character" w:customStyle="1" w:styleId="PullQuoteOrigin">
    <w:name w:val="PullQuoteOrigin"/>
    <w:basedOn w:val="DefaultParagraphFont"/>
    <w:uiPriority w:val="1"/>
    <w:rsid w:val="006E2F25"/>
    <w:rPr>
      <w:rFonts w:ascii="Trebuchet MS" w:hAnsi="Trebuchet MS"/>
      <w:b/>
      <w:i/>
      <w:noProof/>
      <w:color w:val="007C92"/>
      <w:sz w:val="21"/>
    </w:rPr>
  </w:style>
  <w:style w:type="table" w:styleId="TableGrid">
    <w:name w:val="Table Grid"/>
    <w:basedOn w:val="TableNormal"/>
    <w:rsid w:val="00EB025E"/>
    <w:rPr>
      <w:color w:val="FFFFFF" w:themeColor="background1"/>
    </w:rPr>
    <w:tblPr>
      <w:tblInd w:w="0" w:type="dxa"/>
      <w:tblBorders>
        <w:top w:val="single" w:sz="6" w:space="0" w:color="007C92"/>
        <w:bottom w:val="single" w:sz="6" w:space="0" w:color="007C92"/>
        <w:insideH w:val="single" w:sz="6" w:space="0" w:color="007C92"/>
      </w:tblBorders>
      <w:tblCellMar>
        <w:top w:w="85" w:type="dxa"/>
        <w:left w:w="108" w:type="dxa"/>
        <w:bottom w:w="85" w:type="dxa"/>
        <w:right w:w="108" w:type="dxa"/>
      </w:tblCellMar>
    </w:tblPr>
    <w:tcPr>
      <w:shd w:val="clear" w:color="auto" w:fill="FFFFFF" w:themeFill="background1"/>
    </w:tcPr>
    <w:tblStylePr w:type="firstRow">
      <w:tblPr/>
      <w:tcPr>
        <w:tcBorders>
          <w:top w:val="nil"/>
          <w:left w:val="nil"/>
          <w:bottom w:val="nil"/>
          <w:right w:val="nil"/>
          <w:insideH w:val="nil"/>
          <w:insideV w:val="single" w:sz="6" w:space="0" w:color="FFFFFF" w:themeColor="background1"/>
        </w:tcBorders>
        <w:shd w:val="clear" w:color="auto" w:fill="007C92"/>
      </w:tcPr>
    </w:tblStylePr>
  </w:style>
  <w:style w:type="paragraph" w:customStyle="1" w:styleId="TFIHolderSpace">
    <w:name w:val="TFIHolder+Space"/>
    <w:basedOn w:val="TFIHolder"/>
    <w:rsid w:val="00932C6D"/>
    <w:pPr>
      <w:spacing w:after="240"/>
    </w:pPr>
  </w:style>
  <w:style w:type="paragraph" w:customStyle="1" w:styleId="DesignerNotes">
    <w:name w:val="DesignerNotes"/>
    <w:basedOn w:val="Normal"/>
    <w:rsid w:val="00B50D30"/>
    <w:rPr>
      <w:rFonts w:ascii="Arial" w:hAnsi="Arial"/>
      <w:b/>
      <w:color w:val="3366FF"/>
      <w:sz w:val="20"/>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NoBreak">
    <w:name w:val="NoBreak"/>
    <w:basedOn w:val="DefaultParagraphFont"/>
    <w:uiPriority w:val="1"/>
    <w:rsid w:val="00E35DF1"/>
    <w:rPr>
      <w:noProof/>
    </w:rPr>
  </w:style>
  <w:style w:type="paragraph" w:customStyle="1" w:styleId="MathEquation">
    <w:name w:val="MathEquation"/>
    <w:basedOn w:val="Normal"/>
    <w:rsid w:val="00FA5DE1"/>
    <w:rPr>
      <w:rFonts w:ascii="Cambria Math" w:hAnsi="Cambria Math"/>
      <w:i/>
      <w:noProof/>
    </w:rPr>
  </w:style>
  <w:style w:type="paragraph" w:customStyle="1" w:styleId="ComputerCode">
    <w:name w:val="ComputerCode"/>
    <w:basedOn w:val="Normal"/>
    <w:rsid w:val="00773806"/>
    <w:pPr>
      <w:ind w:left="567"/>
      <w:contextualSpacing/>
    </w:pPr>
    <w:rPr>
      <w:rFonts w:ascii="Courier New" w:hAnsi="Courier New"/>
      <w:sz w:val="20"/>
      <w:szCs w:val="24"/>
    </w:rPr>
  </w:style>
  <w:style w:type="paragraph" w:customStyle="1" w:styleId="BulletChecklist">
    <w:name w:val="BulletChecklist"/>
    <w:basedOn w:val="Bullet"/>
    <w:rsid w:val="0020319C"/>
    <w:pPr>
      <w:numPr>
        <w:numId w:val="6"/>
      </w:numPr>
    </w:pPr>
    <w:rPr>
      <w:noProof/>
    </w:rPr>
  </w:style>
  <w:style w:type="paragraph" w:customStyle="1" w:styleId="ImprintText">
    <w:name w:val="ImprintText"/>
    <w:basedOn w:val="Normal"/>
    <w:rsid w:val="00D0393C"/>
    <w:pPr>
      <w:spacing w:line="240" w:lineRule="auto"/>
    </w:pPr>
    <w:rPr>
      <w:sz w:val="20"/>
    </w:rPr>
  </w:style>
  <w:style w:type="paragraph" w:customStyle="1" w:styleId="AltText">
    <w:name w:val="AltText"/>
    <w:basedOn w:val="Normal"/>
    <w:rsid w:val="00CF4C32"/>
    <w:rPr>
      <w:rFonts w:ascii="Arial" w:hAnsi="Arial"/>
      <w:color w:val="E36C0A" w:themeColor="accent6" w:themeShade="BF"/>
      <w:sz w:val="20"/>
    </w:rPr>
  </w:style>
  <w:style w:type="paragraph" w:styleId="Caption">
    <w:name w:val="caption"/>
    <w:basedOn w:val="Normal"/>
    <w:next w:val="Credit"/>
    <w:link w:val="CaptionChar"/>
    <w:uiPriority w:val="35"/>
    <w:unhideWhenUsed/>
    <w:rsid w:val="00704B3A"/>
    <w:pPr>
      <w:spacing w:after="0"/>
    </w:pPr>
    <w:rPr>
      <w:b/>
      <w:bCs/>
      <w:sz w:val="20"/>
      <w:szCs w:val="18"/>
    </w:rPr>
  </w:style>
  <w:style w:type="paragraph" w:customStyle="1" w:styleId="Credit">
    <w:name w:val="Credit"/>
    <w:basedOn w:val="Caption"/>
    <w:next w:val="Normal"/>
    <w:rsid w:val="008B7077"/>
    <w:pPr>
      <w:spacing w:after="240"/>
    </w:pPr>
    <w:rPr>
      <w:b w:val="0"/>
      <w:noProof/>
    </w:rPr>
  </w:style>
  <w:style w:type="paragraph" w:customStyle="1" w:styleId="NormalFirstPara">
    <w:name w:val="NormalFirstPara"/>
    <w:basedOn w:val="Normal"/>
    <w:rsid w:val="00E07D7E"/>
    <w:rPr>
      <w:noProof/>
      <w:color w:val="14434B"/>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Subtitle"/>
    <w:link w:val="TitleChar"/>
    <w:qFormat/>
    <w:rsid w:val="00DF65F9"/>
    <w:pPr>
      <w:pageBreakBefore/>
      <w:spacing w:before="8700" w:after="1080" w:line="640" w:lineRule="atLeast"/>
      <w:ind w:left="2410" w:right="-198"/>
    </w:pPr>
    <w:rPr>
      <w:rFonts w:ascii="Helvetica" w:eastAsiaTheme="majorEastAsia" w:hAnsi="Helvetica" w:cstheme="majorBidi"/>
      <w:noProof/>
      <w:color w:val="FFFFFF"/>
      <w:kern w:val="28"/>
      <w:sz w:val="50"/>
      <w:szCs w:val="50"/>
      <w:lang w:val="en-US" w:eastAsia="en-US"/>
    </w:rPr>
  </w:style>
  <w:style w:type="character" w:customStyle="1" w:styleId="TitleChar">
    <w:name w:val="Title Char"/>
    <w:link w:val="Title"/>
    <w:rsid w:val="00DF65F9"/>
    <w:rPr>
      <w:rFonts w:ascii="Helvetica" w:eastAsiaTheme="majorEastAsia" w:hAnsi="Helvetica" w:cstheme="majorBidi"/>
      <w:noProof/>
      <w:color w:val="FFFFFF"/>
      <w:kern w:val="28"/>
      <w:sz w:val="50"/>
      <w:szCs w:val="50"/>
      <w:lang w:val="en-US" w:eastAsia="en-US"/>
    </w:rPr>
  </w:style>
  <w:style w:type="character" w:customStyle="1" w:styleId="SubtitleChar">
    <w:name w:val="Subtitle Char"/>
    <w:link w:val="Subtitle"/>
    <w:rsid w:val="00DF65F9"/>
    <w:rPr>
      <w:rFonts w:ascii="Helvetica" w:eastAsiaTheme="majorEastAsia" w:hAnsi="Helvetica" w:cstheme="majorBidi"/>
      <w:noProof/>
      <w:color w:val="FFFFFF"/>
      <w:kern w:val="28"/>
      <w:sz w:val="32"/>
      <w:szCs w:val="32"/>
      <w:lang w:val="en-US" w:eastAsia="en-US"/>
    </w:rPr>
  </w:style>
  <w:style w:type="paragraph" w:customStyle="1" w:styleId="SectionTitle">
    <w:name w:val="SectionTitle"/>
    <w:basedOn w:val="Normal"/>
    <w:next w:val="Normal"/>
    <w:rsid w:val="00812E83"/>
    <w:rPr>
      <w:rFonts w:asciiTheme="minorHAnsi" w:hAnsiTheme="minorHAnsi"/>
      <w:b/>
      <w:color w:val="14434B"/>
      <w:sz w:val="44"/>
    </w:rPr>
  </w:style>
  <w:style w:type="paragraph" w:customStyle="1" w:styleId="SectionSubtitle">
    <w:name w:val="SectionSubtitle"/>
    <w:basedOn w:val="Normal"/>
    <w:rsid w:val="00812E83"/>
    <w:pPr>
      <w:spacing w:after="0"/>
    </w:pPr>
    <w:rPr>
      <w:rFonts w:asciiTheme="minorHAnsi" w:hAnsiTheme="minorHAnsi"/>
      <w:color w:val="14434B"/>
      <w:sz w:val="32"/>
    </w:rPr>
  </w:style>
  <w:style w:type="paragraph" w:customStyle="1" w:styleId="QuoteNumberList">
    <w:name w:val="QuoteNumberList"/>
    <w:basedOn w:val="Quote"/>
    <w:rsid w:val="00BD346C"/>
    <w:pPr>
      <w:ind w:left="1117" w:hanging="397"/>
    </w:pPr>
    <w:rPr>
      <w:noProof/>
    </w:rPr>
  </w:style>
  <w:style w:type="paragraph" w:customStyle="1" w:styleId="QuoteBullet0">
    <w:name w:val="QuoteBullet"/>
    <w:basedOn w:val="Quote"/>
    <w:rsid w:val="00EB0D4C"/>
    <w:pPr>
      <w:numPr>
        <w:numId w:val="7"/>
      </w:numPr>
      <w:tabs>
        <w:tab w:val="left" w:pos="851"/>
      </w:tabs>
      <w:ind w:left="851" w:hanging="284"/>
    </w:pPr>
    <w:rPr>
      <w:noProof/>
    </w:rPr>
  </w:style>
  <w:style w:type="paragraph" w:customStyle="1" w:styleId="BoxDash">
    <w:name w:val="BoxDash"/>
    <w:basedOn w:val="BoxText"/>
    <w:rsid w:val="00F2245A"/>
    <w:pPr>
      <w:tabs>
        <w:tab w:val="left" w:pos="360"/>
        <w:tab w:val="left" w:pos="720"/>
      </w:tabs>
      <w:ind w:left="720" w:hanging="720"/>
    </w:pPr>
  </w:style>
  <w:style w:type="character" w:customStyle="1" w:styleId="CrossRef">
    <w:name w:val="CrossRef"/>
    <w:basedOn w:val="DefaultParagraphFont"/>
    <w:uiPriority w:val="1"/>
    <w:rsid w:val="004822BC"/>
    <w:rPr>
      <w:rFonts w:ascii="Times New Roman" w:hAnsi="Times New Roman"/>
      <w:b/>
      <w:noProof/>
      <w:color w:val="C0504D" w:themeColor="accent2"/>
      <w:sz w:val="24"/>
    </w:rPr>
  </w:style>
  <w:style w:type="paragraph" w:customStyle="1" w:styleId="TableNumberedList">
    <w:name w:val="TableNumberedList"/>
    <w:basedOn w:val="TableText"/>
    <w:autoRedefine/>
    <w:qFormat/>
    <w:rsid w:val="00DF65F9"/>
    <w:pPr>
      <w:numPr>
        <w:numId w:val="110"/>
      </w:numPr>
      <w:spacing w:before="40" w:after="40" w:line="200" w:lineRule="atLeast"/>
    </w:pPr>
    <w:rPr>
      <w:rFonts w:ascii="Franklin Gothic Book" w:hAnsi="Franklin Gothic Book"/>
      <w:color w:val="000000" w:themeColor="text1"/>
      <w:sz w:val="17"/>
    </w:rPr>
  </w:style>
  <w:style w:type="paragraph" w:customStyle="1" w:styleId="BoxHeading2">
    <w:name w:val="BoxHeading 2"/>
    <w:basedOn w:val="BoxHeading"/>
    <w:rsid w:val="005078F1"/>
    <w:rPr>
      <w:i/>
    </w:rPr>
  </w:style>
  <w:style w:type="paragraph" w:customStyle="1" w:styleId="BoxQuote">
    <w:name w:val="BoxQuote"/>
    <w:basedOn w:val="BoxText"/>
    <w:next w:val="BoxQuoteSource"/>
    <w:link w:val="BoxQuoteChar"/>
    <w:qFormat/>
    <w:rsid w:val="00DF65F9"/>
    <w:pPr>
      <w:spacing w:after="0"/>
      <w:ind w:left="357" w:hanging="357"/>
    </w:pPr>
    <w:rPr>
      <w:i/>
    </w:rPr>
  </w:style>
  <w:style w:type="paragraph" w:customStyle="1" w:styleId="BoxListNumber1">
    <w:name w:val="BoxListNumber 1"/>
    <w:basedOn w:val="BoxBullet0"/>
    <w:rsid w:val="003574B1"/>
    <w:pPr>
      <w:numPr>
        <w:numId w:val="10"/>
      </w:numPr>
      <w:tabs>
        <w:tab w:val="left" w:pos="567"/>
      </w:tabs>
      <w:ind w:left="284" w:hanging="284"/>
    </w:pPr>
  </w:style>
  <w:style w:type="paragraph" w:customStyle="1" w:styleId="BoxListNumber20">
    <w:name w:val="BoxListNumber 2"/>
    <w:basedOn w:val="BoxListNumber1"/>
    <w:rsid w:val="005524B2"/>
    <w:pPr>
      <w:numPr>
        <w:numId w:val="11"/>
      </w:numPr>
      <w:spacing w:after="0"/>
      <w:ind w:left="284" w:hanging="284"/>
    </w:pPr>
  </w:style>
  <w:style w:type="paragraph" w:customStyle="1" w:styleId="TableListNumber">
    <w:name w:val="TableListNumber"/>
    <w:basedOn w:val="Normal"/>
    <w:qFormat/>
    <w:rsid w:val="00DF65F9"/>
    <w:pPr>
      <w:keepNext/>
      <w:numPr>
        <w:numId w:val="111"/>
      </w:numPr>
      <w:tabs>
        <w:tab w:val="left" w:pos="216"/>
      </w:tabs>
      <w:spacing w:after="40" w:line="200" w:lineRule="atLeast"/>
    </w:pPr>
    <w:rPr>
      <w:color w:val="000000" w:themeColor="text1"/>
      <w:sz w:val="17"/>
      <w:szCs w:val="21"/>
    </w:rPr>
  </w:style>
  <w:style w:type="paragraph" w:customStyle="1" w:styleId="TableListNumber2">
    <w:name w:val="TableListNumber 2"/>
    <w:basedOn w:val="TableListNumber"/>
    <w:qFormat/>
    <w:rsid w:val="00DF65F9"/>
    <w:pPr>
      <w:numPr>
        <w:numId w:val="112"/>
      </w:numPr>
      <w:tabs>
        <w:tab w:val="clear" w:pos="216"/>
        <w:tab w:val="left" w:pos="284"/>
      </w:tabs>
    </w:pPr>
  </w:style>
  <w:style w:type="paragraph" w:customStyle="1" w:styleId="TableHeading2">
    <w:name w:val="TableHeading 2"/>
    <w:basedOn w:val="TableHeading"/>
    <w:rsid w:val="00A72825"/>
    <w:rPr>
      <w:b w:val="0"/>
      <w:i/>
    </w:rPr>
  </w:style>
  <w:style w:type="paragraph" w:styleId="BodyText">
    <w:name w:val="Body Text"/>
    <w:link w:val="BodyTextChar"/>
    <w:semiHidden/>
    <w:unhideWhenUsed/>
    <w:qFormat/>
    <w:rsid w:val="001E259C"/>
    <w:pPr>
      <w:spacing w:before="40" w:after="120" w:line="288" w:lineRule="auto"/>
    </w:pPr>
    <w:rPr>
      <w:rFonts w:ascii="Franklin Gothic Book" w:hAnsi="Franklin Gothic Book"/>
      <w:sz w:val="21"/>
    </w:rPr>
  </w:style>
  <w:style w:type="character" w:customStyle="1" w:styleId="BodyTextChar">
    <w:name w:val="Body Text Char"/>
    <w:basedOn w:val="DefaultParagraphFont"/>
    <w:link w:val="BodyText"/>
    <w:semiHidden/>
    <w:rsid w:val="001E259C"/>
    <w:rPr>
      <w:rFonts w:ascii="Franklin Gothic Book" w:hAnsi="Franklin Gothic Book"/>
      <w:sz w:val="21"/>
    </w:rPr>
  </w:style>
  <w:style w:type="paragraph" w:customStyle="1" w:styleId="Draftingnote">
    <w:name w:val="Drafting note"/>
    <w:basedOn w:val="Normal"/>
    <w:link w:val="DraftingnoteChar"/>
    <w:qFormat/>
    <w:rsid w:val="00DF65F9"/>
    <w:rPr>
      <w:rFonts w:asciiTheme="majorHAnsi" w:hAnsiTheme="majorHAnsi"/>
      <w:b/>
      <w:color w:val="FF0000"/>
      <w:sz w:val="20"/>
      <w:u w:val="dotted"/>
    </w:rPr>
  </w:style>
  <w:style w:type="paragraph" w:customStyle="1" w:styleId="AuthorName">
    <w:name w:val="AuthorName"/>
    <w:basedOn w:val="ImprintText"/>
    <w:rsid w:val="002F5DCE"/>
    <w:pPr>
      <w:spacing w:before="960"/>
      <w:ind w:left="1134"/>
    </w:pPr>
    <w:rPr>
      <w:rFonts w:asciiTheme="minorHAnsi" w:hAnsiTheme="minorHAnsi"/>
      <w:caps/>
      <w:color w:val="14434B"/>
      <w:sz w:val="25"/>
    </w:rPr>
  </w:style>
  <w:style w:type="character" w:customStyle="1" w:styleId="DraftingnoteChar">
    <w:name w:val="Drafting note Char"/>
    <w:basedOn w:val="DefaultParagraphFont"/>
    <w:link w:val="Draftingnote"/>
    <w:rsid w:val="00DF65F9"/>
    <w:rPr>
      <w:rFonts w:asciiTheme="majorHAnsi" w:hAnsiTheme="majorHAnsi"/>
      <w:b/>
      <w:color w:val="FF0000"/>
      <w:u w:val="dotted"/>
    </w:rPr>
  </w:style>
  <w:style w:type="character" w:styleId="Hyperlink">
    <w:name w:val="Hyperlink"/>
    <w:basedOn w:val="DefaultParagraphFont"/>
    <w:uiPriority w:val="99"/>
    <w:unhideWhenUsed/>
    <w:rsid w:val="00E006CC"/>
    <w:rPr>
      <w:color w:val="007FAD"/>
      <w:u w:val="single"/>
    </w:rPr>
  </w:style>
  <w:style w:type="character" w:styleId="CommentReference">
    <w:name w:val="annotation reference"/>
    <w:basedOn w:val="DefaultParagraphFont"/>
    <w:uiPriority w:val="99"/>
    <w:semiHidden/>
    <w:unhideWhenUsed/>
    <w:rsid w:val="00DF1B3A"/>
    <w:rPr>
      <w:sz w:val="16"/>
      <w:szCs w:val="16"/>
    </w:rPr>
  </w:style>
  <w:style w:type="paragraph" w:styleId="CommentText">
    <w:name w:val="annotation text"/>
    <w:basedOn w:val="Normal"/>
    <w:link w:val="CommentTextChar"/>
    <w:uiPriority w:val="99"/>
    <w:unhideWhenUsed/>
    <w:rsid w:val="00DF1B3A"/>
    <w:pPr>
      <w:spacing w:line="240" w:lineRule="auto"/>
    </w:pPr>
    <w:rPr>
      <w:sz w:val="20"/>
    </w:rPr>
  </w:style>
  <w:style w:type="character" w:customStyle="1" w:styleId="CommentTextChar">
    <w:name w:val="Comment Text Char"/>
    <w:basedOn w:val="DefaultParagraphFont"/>
    <w:link w:val="CommentText"/>
    <w:uiPriority w:val="99"/>
    <w:rsid w:val="00DF1B3A"/>
    <w:rPr>
      <w:rFonts w:asciiTheme="majorHAnsi" w:hAnsiTheme="majorHAnsi"/>
      <w:color w:val="000000"/>
    </w:rPr>
  </w:style>
  <w:style w:type="paragraph" w:styleId="CommentSubject">
    <w:name w:val="annotation subject"/>
    <w:basedOn w:val="CommentText"/>
    <w:next w:val="CommentText"/>
    <w:link w:val="CommentSubjectChar"/>
    <w:uiPriority w:val="99"/>
    <w:semiHidden/>
    <w:unhideWhenUsed/>
    <w:rsid w:val="00DF1B3A"/>
    <w:rPr>
      <w:b/>
      <w:bCs/>
    </w:rPr>
  </w:style>
  <w:style w:type="character" w:customStyle="1" w:styleId="CommentSubjectChar">
    <w:name w:val="Comment Subject Char"/>
    <w:basedOn w:val="CommentTextChar"/>
    <w:link w:val="CommentSubject"/>
    <w:uiPriority w:val="99"/>
    <w:semiHidden/>
    <w:rsid w:val="00DF1B3A"/>
    <w:rPr>
      <w:rFonts w:asciiTheme="majorHAnsi" w:hAnsiTheme="majorHAnsi"/>
      <w:b/>
      <w:bCs/>
      <w:color w:val="000000"/>
    </w:rPr>
  </w:style>
  <w:style w:type="character" w:customStyle="1" w:styleId="Underline">
    <w:name w:val="Underline"/>
    <w:basedOn w:val="DefaultParagraphFont"/>
    <w:uiPriority w:val="1"/>
    <w:rsid w:val="00127531"/>
    <w:rPr>
      <w:noProof/>
      <w:u w:val="single"/>
    </w:rPr>
  </w:style>
  <w:style w:type="table" w:styleId="LightShading">
    <w:name w:val="Light Shading"/>
    <w:basedOn w:val="TableNormal"/>
    <w:uiPriority w:val="60"/>
    <w:rsid w:val="00FB4E1F"/>
    <w:rPr>
      <w:color w:val="000000" w:themeColor="text1" w:themeShade="BF"/>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EFEE"/>
    </w:tcPr>
    <w:tblStylePr w:type="firstRow">
      <w:pPr>
        <w:spacing w:before="0" w:after="0" w:line="240" w:lineRule="auto"/>
      </w:pPr>
      <w:rPr>
        <w:b/>
        <w:bCs/>
      </w:rPr>
      <w:tblPr/>
      <w:tcPr>
        <w:tcBorders>
          <w:top w:val="nil"/>
          <w:left w:val="nil"/>
          <w:bottom w:val="nil"/>
          <w:right w:val="nil"/>
          <w:insideH w:val="nil"/>
          <w:insideV w:val="nil"/>
          <w:tl2br w:val="nil"/>
          <w:tr2bl w:val="nil"/>
        </w:tcBorders>
        <w:shd w:val="clear" w:color="auto" w:fill="92C3CA"/>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B4E1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otnoteTextChar">
    <w:name w:val="Footnote Text Char"/>
    <w:basedOn w:val="DefaultParagraphFont"/>
    <w:link w:val="FootnoteText"/>
    <w:uiPriority w:val="99"/>
    <w:rsid w:val="00704B3A"/>
    <w:rPr>
      <w:rFonts w:ascii="Franklin Gothic Book" w:hAnsi="Franklin Gothic Book"/>
      <w:sz w:val="17"/>
    </w:rPr>
  </w:style>
  <w:style w:type="paragraph" w:customStyle="1" w:styleId="Quote-interviews">
    <w:name w:val="Quote-interviews"/>
    <w:basedOn w:val="Quote"/>
    <w:rsid w:val="00562EB0"/>
    <w:rPr>
      <w:i w:val="0"/>
      <w:noProof/>
    </w:rPr>
  </w:style>
  <w:style w:type="character" w:customStyle="1" w:styleId="Heading6Char">
    <w:name w:val="Heading 6 Char"/>
    <w:aliases w:val="Appendix Heading 1 Char"/>
    <w:basedOn w:val="DefaultParagraphFont"/>
    <w:link w:val="Heading6"/>
    <w:uiPriority w:val="29"/>
    <w:rsid w:val="00094075"/>
    <w:rPr>
      <w:rFonts w:asciiTheme="majorHAnsi" w:eastAsiaTheme="majorEastAsia" w:hAnsiTheme="majorHAnsi" w:cstheme="majorBidi"/>
      <w:i/>
      <w:iCs/>
      <w:color w:val="243F60" w:themeColor="accent1" w:themeShade="7F"/>
      <w:sz w:val="21"/>
    </w:rPr>
  </w:style>
  <w:style w:type="character" w:customStyle="1" w:styleId="Heading7Char">
    <w:name w:val="Heading 7 Char"/>
    <w:aliases w:val="Appendix Heading 2 Char"/>
    <w:basedOn w:val="DefaultParagraphFont"/>
    <w:link w:val="Heading7"/>
    <w:uiPriority w:val="9"/>
    <w:semiHidden/>
    <w:rsid w:val="00F3602E"/>
    <w:rPr>
      <w:rFonts w:asciiTheme="majorHAnsi" w:eastAsiaTheme="majorEastAsia" w:hAnsiTheme="majorHAnsi" w:cstheme="majorBidi"/>
      <w:i/>
      <w:iCs/>
      <w:color w:val="243F60" w:themeColor="accent1" w:themeShade="7F"/>
      <w:sz w:val="21"/>
    </w:rPr>
  </w:style>
  <w:style w:type="character" w:customStyle="1" w:styleId="Heading8Char">
    <w:name w:val="Heading 8 Char"/>
    <w:aliases w:val="Appendix Heading 3 Char"/>
    <w:basedOn w:val="DefaultParagraphFont"/>
    <w:link w:val="Heading8"/>
    <w:uiPriority w:val="9"/>
    <w:semiHidden/>
    <w:rsid w:val="00F3602E"/>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Appendix Heading 4 Char"/>
    <w:basedOn w:val="DefaultParagraphFont"/>
    <w:link w:val="Heading9"/>
    <w:uiPriority w:val="9"/>
    <w:semiHidden/>
    <w:rsid w:val="00F3602E"/>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rsid w:val="00660E81"/>
    <w:rPr>
      <w:rFonts w:ascii="Arial" w:hAnsi="Arial" w:cs="Arial"/>
      <w:bCs/>
      <w:color w:val="FFFFFF" w:themeColor="background1"/>
      <w:sz w:val="44"/>
      <w:szCs w:val="32"/>
    </w:rPr>
  </w:style>
  <w:style w:type="character" w:customStyle="1" w:styleId="Heading2Char">
    <w:name w:val="Heading 2 Char"/>
    <w:basedOn w:val="DefaultParagraphFont"/>
    <w:link w:val="Heading2"/>
    <w:rsid w:val="00F3602E"/>
    <w:rPr>
      <w:rFonts w:ascii="Arial" w:hAnsi="Arial" w:cs="Arial"/>
      <w:b/>
      <w:bCs/>
      <w:iCs/>
      <w:color w:val="124486"/>
      <w:sz w:val="28"/>
      <w:szCs w:val="28"/>
    </w:rPr>
  </w:style>
  <w:style w:type="character" w:customStyle="1" w:styleId="Heading3Char">
    <w:name w:val="Heading 3 Char"/>
    <w:basedOn w:val="DefaultParagraphFont"/>
    <w:link w:val="Heading3"/>
    <w:rsid w:val="00F3602E"/>
    <w:rPr>
      <w:rFonts w:ascii="Arial" w:hAnsi="Arial" w:cs="Arial"/>
      <w:bCs/>
      <w:color w:val="007FAD"/>
      <w:sz w:val="24"/>
      <w:szCs w:val="26"/>
    </w:rPr>
  </w:style>
  <w:style w:type="character" w:customStyle="1" w:styleId="Heading4Char">
    <w:name w:val="Heading 4 Char"/>
    <w:basedOn w:val="DefaultParagraphFont"/>
    <w:link w:val="Heading4"/>
    <w:rsid w:val="00F3602E"/>
    <w:rPr>
      <w:rFonts w:ascii="Arial" w:hAnsi="Arial"/>
      <w:b/>
      <w:bCs/>
      <w:sz w:val="22"/>
      <w:szCs w:val="28"/>
    </w:rPr>
  </w:style>
  <w:style w:type="character" w:customStyle="1" w:styleId="Heading5Char">
    <w:name w:val="Heading 5 Char"/>
    <w:basedOn w:val="DefaultParagraphFont"/>
    <w:link w:val="Heading5"/>
    <w:rsid w:val="00F3602E"/>
    <w:rPr>
      <w:rFonts w:ascii="Arial" w:hAnsi="Arial"/>
      <w:bCs/>
      <w:i/>
      <w:iCs/>
      <w:sz w:val="22"/>
      <w:szCs w:val="26"/>
    </w:rPr>
  </w:style>
  <w:style w:type="paragraph" w:customStyle="1" w:styleId="AuthorName0">
    <w:name w:val="Author Name"/>
    <w:uiPriority w:val="40"/>
    <w:rsid w:val="00F3602E"/>
    <w:pPr>
      <w:spacing w:before="120" w:line="288" w:lineRule="auto"/>
    </w:pPr>
    <w:rPr>
      <w:rFonts w:asciiTheme="majorHAnsi" w:hAnsiTheme="majorHAnsi"/>
      <w:caps/>
      <w:color w:val="F79646" w:themeColor="accent6"/>
      <w:spacing w:val="-2"/>
      <w:kern w:val="28"/>
      <w:sz w:val="25"/>
      <w:szCs w:val="25"/>
    </w:rPr>
  </w:style>
  <w:style w:type="paragraph" w:customStyle="1" w:styleId="BoxHeading1">
    <w:name w:val="Box Heading 1"/>
    <w:next w:val="BodyText"/>
    <w:uiPriority w:val="21"/>
    <w:rsid w:val="00F3602E"/>
    <w:pPr>
      <w:spacing w:after="120" w:line="288" w:lineRule="auto"/>
    </w:pPr>
    <w:rPr>
      <w:rFonts w:ascii="Arial Narrow" w:hAnsi="Arial Narrow"/>
      <w:b/>
      <w:color w:val="F79646" w:themeColor="accent6"/>
      <w:sz w:val="21"/>
      <w:szCs w:val="19"/>
    </w:rPr>
  </w:style>
  <w:style w:type="paragraph" w:customStyle="1" w:styleId="BoxHeading20">
    <w:name w:val="Box Heading 2"/>
    <w:basedOn w:val="BoxHeading1"/>
    <w:next w:val="BoxText0"/>
    <w:uiPriority w:val="21"/>
    <w:rsid w:val="00F3602E"/>
  </w:style>
  <w:style w:type="paragraph" w:customStyle="1" w:styleId="BoxText0">
    <w:name w:val="Box Text"/>
    <w:link w:val="BoxTextChar0"/>
    <w:uiPriority w:val="19"/>
    <w:rsid w:val="00F3602E"/>
    <w:pPr>
      <w:spacing w:after="57" w:line="288" w:lineRule="auto"/>
    </w:pPr>
    <w:rPr>
      <w:rFonts w:ascii="Arial" w:hAnsi="Arial"/>
      <w:color w:val="000000" w:themeColor="text1"/>
      <w:sz w:val="19"/>
      <w:szCs w:val="19"/>
    </w:rPr>
  </w:style>
  <w:style w:type="character" w:customStyle="1" w:styleId="BoxTextChar0">
    <w:name w:val="Box Text Char"/>
    <w:basedOn w:val="DefaultParagraphFont"/>
    <w:link w:val="BoxText0"/>
    <w:uiPriority w:val="19"/>
    <w:rsid w:val="00F3602E"/>
    <w:rPr>
      <w:rFonts w:ascii="Arial" w:hAnsi="Arial"/>
      <w:color w:val="000000" w:themeColor="text1"/>
      <w:sz w:val="19"/>
      <w:szCs w:val="19"/>
    </w:rPr>
  </w:style>
  <w:style w:type="paragraph" w:customStyle="1" w:styleId="BoxListBullet">
    <w:name w:val="Box List Bullet"/>
    <w:basedOn w:val="BoxText0"/>
    <w:uiPriority w:val="20"/>
    <w:rsid w:val="00F3602E"/>
    <w:pPr>
      <w:keepLines/>
      <w:numPr>
        <w:numId w:val="14"/>
      </w:numPr>
      <w:tabs>
        <w:tab w:val="clear" w:pos="284"/>
        <w:tab w:val="num" w:pos="360"/>
      </w:tabs>
      <w:ind w:left="360" w:hanging="360"/>
    </w:pPr>
  </w:style>
  <w:style w:type="paragraph" w:customStyle="1" w:styleId="BoxListBullet2">
    <w:name w:val="Box List Bullet 2"/>
    <w:basedOn w:val="BoxText0"/>
    <w:uiPriority w:val="20"/>
    <w:rsid w:val="00F3602E"/>
    <w:pPr>
      <w:numPr>
        <w:numId w:val="15"/>
      </w:numPr>
      <w:tabs>
        <w:tab w:val="clear" w:pos="567"/>
        <w:tab w:val="num" w:pos="216"/>
      </w:tabs>
      <w:ind w:left="432" w:hanging="216"/>
    </w:pPr>
    <w:rPr>
      <w:szCs w:val="18"/>
    </w:rPr>
  </w:style>
  <w:style w:type="paragraph" w:customStyle="1" w:styleId="BoxListNumber">
    <w:name w:val="Box List Number"/>
    <w:basedOn w:val="BoxText0"/>
    <w:uiPriority w:val="20"/>
    <w:rsid w:val="00F3602E"/>
    <w:pPr>
      <w:numPr>
        <w:numId w:val="16"/>
      </w:numPr>
      <w:tabs>
        <w:tab w:val="clear" w:pos="284"/>
        <w:tab w:val="num" w:pos="360"/>
      </w:tabs>
      <w:spacing w:before="60"/>
      <w:ind w:left="360" w:hanging="360"/>
    </w:pPr>
  </w:style>
  <w:style w:type="paragraph" w:customStyle="1" w:styleId="BoxListNumber2">
    <w:name w:val="Box List Number 2"/>
    <w:basedOn w:val="BoxText0"/>
    <w:uiPriority w:val="20"/>
    <w:rsid w:val="00F3602E"/>
    <w:pPr>
      <w:numPr>
        <w:numId w:val="17"/>
      </w:numPr>
      <w:tabs>
        <w:tab w:val="clear" w:pos="567"/>
        <w:tab w:val="num" w:pos="216"/>
      </w:tabs>
      <w:ind w:left="360" w:firstLine="0"/>
    </w:pPr>
  </w:style>
  <w:style w:type="paragraph" w:customStyle="1" w:styleId="BoxNoteSource">
    <w:name w:val="Box Note/Source"/>
    <w:uiPriority w:val="24"/>
    <w:semiHidden/>
    <w:rsid w:val="00F3602E"/>
    <w:pPr>
      <w:spacing w:before="120" w:after="240" w:line="288" w:lineRule="auto"/>
    </w:pPr>
    <w:rPr>
      <w:rFonts w:ascii="Arial Narrow" w:hAnsi="Arial Narrow"/>
      <w:color w:val="000000" w:themeColor="text1"/>
      <w:sz w:val="16"/>
      <w:szCs w:val="14"/>
    </w:rPr>
  </w:style>
  <w:style w:type="paragraph" w:customStyle="1" w:styleId="BoxQuote0">
    <w:name w:val="Box Quote"/>
    <w:basedOn w:val="BoxText0"/>
    <w:uiPriority w:val="22"/>
    <w:rsid w:val="00F3602E"/>
    <w:pPr>
      <w:ind w:left="284" w:right="284"/>
    </w:pPr>
    <w:rPr>
      <w:i/>
    </w:rPr>
  </w:style>
  <w:style w:type="paragraph" w:customStyle="1" w:styleId="BoxTitle">
    <w:name w:val="Box Title"/>
    <w:uiPriority w:val="99"/>
    <w:semiHidden/>
    <w:rsid w:val="00F3602E"/>
    <w:pPr>
      <w:keepNext/>
      <w:spacing w:before="57" w:after="77" w:line="240" w:lineRule="atLeast"/>
    </w:pPr>
    <w:rPr>
      <w:rFonts w:ascii="Arial Narrow" w:hAnsi="Arial Narrow"/>
      <w:b/>
      <w:caps/>
      <w:color w:val="FFFFFF"/>
      <w:sz w:val="18"/>
      <w:szCs w:val="18"/>
      <w:lang w:eastAsia="en-US"/>
    </w:rPr>
  </w:style>
  <w:style w:type="paragraph" w:customStyle="1" w:styleId="Captionheading">
    <w:name w:val="Caption heading"/>
    <w:basedOn w:val="TOC1"/>
    <w:next w:val="BodyText"/>
    <w:uiPriority w:val="36"/>
    <w:rsid w:val="00F3602E"/>
    <w:pPr>
      <w:keepNext/>
      <w:tabs>
        <w:tab w:val="clear" w:pos="720"/>
        <w:tab w:val="clear" w:pos="9016"/>
        <w:tab w:val="right" w:leader="dot" w:pos="8505"/>
      </w:tabs>
      <w:spacing w:before="0" w:after="57"/>
      <w:ind w:left="0" w:right="0" w:firstLine="0"/>
      <w:contextualSpacing/>
    </w:pPr>
    <w:rPr>
      <w:rFonts w:asciiTheme="majorHAnsi" w:hAnsiTheme="majorHAnsi"/>
      <w:bCs w:val="0"/>
      <w:noProof w:val="0"/>
      <w:color w:val="EEECE1" w:themeColor="background2"/>
      <w:kern w:val="28"/>
      <w:szCs w:val="32"/>
    </w:rPr>
  </w:style>
  <w:style w:type="paragraph" w:customStyle="1" w:styleId="Contents">
    <w:name w:val="Contents"/>
    <w:basedOn w:val="Heading1"/>
    <w:next w:val="BodyText"/>
    <w:semiHidden/>
    <w:rsid w:val="00F3602E"/>
    <w:pPr>
      <w:spacing w:before="0" w:after="600"/>
      <w:ind w:left="0" w:firstLine="0"/>
      <w:outlineLvl w:val="9"/>
    </w:pPr>
    <w:rPr>
      <w:rFonts w:asciiTheme="majorHAnsi" w:hAnsiTheme="majorHAnsi" w:cs="Times New Roman"/>
      <w:bCs w:val="0"/>
      <w:color w:val="EEECE1" w:themeColor="background2"/>
      <w:kern w:val="28"/>
    </w:rPr>
  </w:style>
  <w:style w:type="paragraph" w:customStyle="1" w:styleId="Source">
    <w:name w:val="Source"/>
    <w:uiPriority w:val="8"/>
    <w:rsid w:val="00F3602E"/>
    <w:pPr>
      <w:keepLines/>
      <w:spacing w:before="120" w:after="240" w:line="288" w:lineRule="auto"/>
    </w:pPr>
    <w:rPr>
      <w:rFonts w:ascii="Arial Narrow" w:hAnsi="Arial Narrow"/>
      <w:color w:val="000000" w:themeColor="text1"/>
      <w:sz w:val="16"/>
      <w:szCs w:val="14"/>
      <w:lang w:eastAsia="en-US"/>
    </w:rPr>
  </w:style>
  <w:style w:type="paragraph" w:styleId="EndnoteText">
    <w:name w:val="endnote text"/>
    <w:basedOn w:val="FootnoteText"/>
    <w:link w:val="EndnoteTextChar"/>
    <w:uiPriority w:val="99"/>
    <w:semiHidden/>
    <w:rsid w:val="00F3602E"/>
    <w:pPr>
      <w:spacing w:before="0" w:after="57" w:line="240" w:lineRule="auto"/>
      <w:ind w:left="0" w:firstLine="0"/>
    </w:pPr>
    <w:rPr>
      <w:rFonts w:asciiTheme="minorHAnsi" w:hAnsiTheme="minorHAnsi"/>
      <w:color w:val="000000" w:themeColor="text1"/>
      <w:sz w:val="16"/>
    </w:rPr>
  </w:style>
  <w:style w:type="character" w:customStyle="1" w:styleId="EndnoteTextChar">
    <w:name w:val="Endnote Text Char"/>
    <w:basedOn w:val="DefaultParagraphFont"/>
    <w:link w:val="EndnoteText"/>
    <w:uiPriority w:val="99"/>
    <w:semiHidden/>
    <w:rsid w:val="00F3602E"/>
    <w:rPr>
      <w:rFonts w:asciiTheme="minorHAnsi" w:hAnsiTheme="minorHAnsi"/>
      <w:color w:val="000000" w:themeColor="text1"/>
      <w:sz w:val="16"/>
    </w:rPr>
  </w:style>
  <w:style w:type="paragraph" w:styleId="Date">
    <w:name w:val="Date"/>
    <w:next w:val="BodyText"/>
    <w:link w:val="DateChar"/>
    <w:rsid w:val="00F3602E"/>
    <w:pPr>
      <w:spacing w:before="120" w:line="288" w:lineRule="auto"/>
    </w:pPr>
    <w:rPr>
      <w:rFonts w:asciiTheme="majorHAnsi" w:hAnsiTheme="majorHAnsi"/>
      <w:caps/>
      <w:color w:val="000000" w:themeColor="text1"/>
      <w:kern w:val="28"/>
      <w:sz w:val="25"/>
      <w:szCs w:val="25"/>
    </w:rPr>
  </w:style>
  <w:style w:type="character" w:customStyle="1" w:styleId="DateChar">
    <w:name w:val="Date Char"/>
    <w:basedOn w:val="DefaultParagraphFont"/>
    <w:link w:val="Date"/>
    <w:rsid w:val="00F3602E"/>
    <w:rPr>
      <w:rFonts w:asciiTheme="majorHAnsi" w:hAnsiTheme="majorHAnsi"/>
      <w:caps/>
      <w:color w:val="000000" w:themeColor="text1"/>
      <w:kern w:val="28"/>
      <w:sz w:val="25"/>
      <w:szCs w:val="25"/>
    </w:rPr>
  </w:style>
  <w:style w:type="character" w:customStyle="1" w:styleId="DraftingNote0">
    <w:name w:val="Drafting Note"/>
    <w:basedOn w:val="DefaultParagraphFont"/>
    <w:uiPriority w:val="10"/>
    <w:rsid w:val="00F3602E"/>
    <w:rPr>
      <w:rFonts w:asciiTheme="minorHAnsi" w:hAnsiTheme="minorHAnsi"/>
      <w:b/>
      <w:color w:val="FF0000"/>
      <w:sz w:val="20"/>
      <w:szCs w:val="20"/>
      <w:u w:val="dotted"/>
    </w:rPr>
  </w:style>
  <w:style w:type="character" w:styleId="FollowedHyperlink">
    <w:name w:val="FollowedHyperlink"/>
    <w:basedOn w:val="DefaultParagraphFont"/>
    <w:uiPriority w:val="99"/>
    <w:semiHidden/>
    <w:rsid w:val="00F3602E"/>
    <w:rPr>
      <w:color w:val="333399"/>
      <w:u w:val="none"/>
    </w:rPr>
  </w:style>
  <w:style w:type="character" w:customStyle="1" w:styleId="HeaderChar">
    <w:name w:val="Header Char"/>
    <w:basedOn w:val="DefaultParagraphFont"/>
    <w:link w:val="Header"/>
    <w:uiPriority w:val="99"/>
    <w:rsid w:val="00704B3A"/>
    <w:rPr>
      <w:rFonts w:ascii="Franklin Gothic Book" w:hAnsi="Franklin Gothic Book"/>
      <w:sz w:val="18"/>
    </w:rPr>
  </w:style>
  <w:style w:type="paragraph" w:customStyle="1" w:styleId="Heading1unnumbered">
    <w:name w:val="Heading 1 unnumbered"/>
    <w:basedOn w:val="Heading1"/>
    <w:next w:val="BodyText"/>
    <w:link w:val="Heading1unnumberedChar"/>
    <w:uiPriority w:val="2"/>
    <w:rsid w:val="00F3602E"/>
    <w:pPr>
      <w:spacing w:before="0" w:after="360"/>
      <w:ind w:left="0" w:firstLine="0"/>
    </w:pPr>
    <w:rPr>
      <w:rFonts w:asciiTheme="majorHAnsi" w:hAnsiTheme="majorHAnsi"/>
      <w:bCs w:val="0"/>
      <w:color w:val="EEECE1" w:themeColor="background2"/>
      <w:kern w:val="28"/>
    </w:rPr>
  </w:style>
  <w:style w:type="paragraph" w:customStyle="1" w:styleId="Heading2unnumbered">
    <w:name w:val="Heading 2 unnumbered"/>
    <w:basedOn w:val="Heading2"/>
    <w:next w:val="BodyText"/>
    <w:link w:val="Heading2unnumberedChar"/>
    <w:uiPriority w:val="2"/>
    <w:rsid w:val="00F3602E"/>
    <w:pPr>
      <w:spacing w:before="360" w:after="240"/>
      <w:ind w:left="0" w:firstLine="0"/>
    </w:pPr>
    <w:rPr>
      <w:rFonts w:asciiTheme="majorHAnsi" w:hAnsiTheme="majorHAnsi"/>
      <w:bCs w:val="0"/>
      <w:iCs w:val="0"/>
      <w:color w:val="1F497D" w:themeColor="text2"/>
      <w:kern w:val="28"/>
      <w:szCs w:val="32"/>
    </w:rPr>
  </w:style>
  <w:style w:type="paragraph" w:customStyle="1" w:styleId="AppendixHeading2unnumbered">
    <w:name w:val="Appendix Heading 2 unnumbered"/>
    <w:basedOn w:val="Heading7"/>
    <w:next w:val="BodyText"/>
    <w:link w:val="AppendixHeading2unnumberedChar"/>
    <w:uiPriority w:val="29"/>
    <w:rsid w:val="00F3602E"/>
  </w:style>
  <w:style w:type="paragraph" w:customStyle="1" w:styleId="Invisiblepara">
    <w:name w:val="Invisible para"/>
    <w:next w:val="BodyText"/>
    <w:semiHidden/>
    <w:rsid w:val="00F3602E"/>
    <w:pPr>
      <w:keepNext/>
      <w:spacing w:before="240" w:line="110" w:lineRule="atLeast"/>
    </w:pPr>
    <w:rPr>
      <w:rFonts w:asciiTheme="minorHAnsi" w:hAnsiTheme="minorHAnsi"/>
      <w:vanish/>
      <w:color w:val="000000" w:themeColor="text1"/>
      <w:sz w:val="8"/>
      <w:szCs w:val="8"/>
    </w:rPr>
  </w:style>
  <w:style w:type="paragraph" w:customStyle="1" w:styleId="Invisiblepara2">
    <w:name w:val="Invisible para 2"/>
    <w:basedOn w:val="Invisiblepara"/>
    <w:next w:val="BodyText"/>
    <w:semiHidden/>
    <w:rsid w:val="00F3602E"/>
    <w:pPr>
      <w:keepNext w:val="0"/>
      <w:spacing w:before="0" w:after="240"/>
    </w:pPr>
  </w:style>
  <w:style w:type="paragraph" w:styleId="ListBullet">
    <w:name w:val="List Bullet"/>
    <w:basedOn w:val="BodyText"/>
    <w:uiPriority w:val="1"/>
    <w:rsid w:val="00F3602E"/>
    <w:pPr>
      <w:numPr>
        <w:numId w:val="18"/>
      </w:numPr>
    </w:pPr>
  </w:style>
  <w:style w:type="paragraph" w:styleId="ListBullet2">
    <w:name w:val="List Bullet 2"/>
    <w:basedOn w:val="BodyText"/>
    <w:uiPriority w:val="1"/>
    <w:rsid w:val="00F3602E"/>
    <w:pPr>
      <w:numPr>
        <w:numId w:val="19"/>
      </w:numPr>
    </w:pPr>
  </w:style>
  <w:style w:type="paragraph" w:styleId="ListNumber">
    <w:name w:val="List Number"/>
    <w:basedOn w:val="BodyText"/>
    <w:uiPriority w:val="1"/>
    <w:rsid w:val="00F3602E"/>
    <w:pPr>
      <w:numPr>
        <w:numId w:val="45"/>
      </w:numPr>
    </w:pPr>
  </w:style>
  <w:style w:type="paragraph" w:styleId="ListNumber2">
    <w:name w:val="List Number 2"/>
    <w:basedOn w:val="BodyText"/>
    <w:uiPriority w:val="1"/>
    <w:rsid w:val="00F3602E"/>
    <w:pPr>
      <w:numPr>
        <w:numId w:val="20"/>
      </w:numPr>
    </w:pPr>
  </w:style>
  <w:style w:type="paragraph" w:customStyle="1" w:styleId="Note">
    <w:name w:val="Note"/>
    <w:link w:val="NoteCharChar"/>
    <w:uiPriority w:val="6"/>
    <w:rsid w:val="00F3602E"/>
    <w:pPr>
      <w:spacing w:before="120" w:after="240" w:line="288" w:lineRule="auto"/>
    </w:pPr>
    <w:rPr>
      <w:rFonts w:ascii="Arial Narrow" w:hAnsi="Arial Narrow"/>
      <w:color w:val="000000" w:themeColor="text1"/>
      <w:sz w:val="16"/>
      <w:szCs w:val="16"/>
      <w:lang w:eastAsia="en-US"/>
    </w:rPr>
  </w:style>
  <w:style w:type="character" w:customStyle="1" w:styleId="NoteLabel">
    <w:name w:val="Note Label"/>
    <w:basedOn w:val="DefaultParagraphFont"/>
    <w:uiPriority w:val="6"/>
    <w:semiHidden/>
    <w:rsid w:val="00F3602E"/>
    <w:rPr>
      <w:rFonts w:ascii="Arial Narrow" w:hAnsi="Arial Narrow"/>
      <w:b/>
      <w:color w:val="000000" w:themeColor="text1"/>
      <w:position w:val="4"/>
      <w:sz w:val="16"/>
      <w:szCs w:val="14"/>
    </w:rPr>
  </w:style>
  <w:style w:type="paragraph" w:customStyle="1" w:styleId="NoteNumber">
    <w:name w:val="Note Number"/>
    <w:basedOn w:val="Note"/>
    <w:next w:val="Note"/>
    <w:uiPriority w:val="6"/>
    <w:rsid w:val="00F3602E"/>
    <w:pPr>
      <w:numPr>
        <w:numId w:val="21"/>
      </w:numPr>
      <w:tabs>
        <w:tab w:val="clear" w:pos="170"/>
      </w:tabs>
    </w:pPr>
  </w:style>
  <w:style w:type="character" w:customStyle="1" w:styleId="QuoteChar">
    <w:name w:val="Quote Char"/>
    <w:basedOn w:val="DefaultParagraphFont"/>
    <w:link w:val="Quote"/>
    <w:rsid w:val="00704B3A"/>
    <w:rPr>
      <w:rFonts w:ascii="Franklin Gothic Book" w:hAnsi="Franklin Gothic Book"/>
      <w:i/>
      <w:sz w:val="21"/>
    </w:rPr>
  </w:style>
  <w:style w:type="paragraph" w:customStyle="1" w:styleId="QuoteBullet">
    <w:name w:val="Quote Bullet"/>
    <w:basedOn w:val="Quote"/>
    <w:uiPriority w:val="7"/>
    <w:rsid w:val="00F3602E"/>
    <w:pPr>
      <w:numPr>
        <w:numId w:val="22"/>
      </w:numPr>
      <w:tabs>
        <w:tab w:val="clear" w:pos="851"/>
      </w:tabs>
      <w:ind w:left="567" w:firstLine="0"/>
    </w:pPr>
  </w:style>
  <w:style w:type="paragraph" w:customStyle="1" w:styleId="Reference">
    <w:name w:val="Reference"/>
    <w:uiPriority w:val="9"/>
    <w:rsid w:val="00F3602E"/>
    <w:pPr>
      <w:keepLines/>
      <w:spacing w:before="57" w:after="142" w:line="288" w:lineRule="auto"/>
      <w:ind w:left="284" w:hanging="284"/>
    </w:pPr>
    <w:rPr>
      <w:rFonts w:asciiTheme="minorHAnsi" w:hAnsiTheme="minorHAnsi"/>
      <w:color w:val="000000" w:themeColor="text1"/>
      <w:sz w:val="21"/>
      <w:szCs w:val="18"/>
    </w:rPr>
  </w:style>
  <w:style w:type="paragraph" w:customStyle="1" w:styleId="TableDataColumnHeading">
    <w:name w:val="Table Data Column Heading"/>
    <w:uiPriority w:val="27"/>
    <w:rsid w:val="00F3602E"/>
    <w:pPr>
      <w:keepNext/>
      <w:spacing w:after="57" w:line="288" w:lineRule="auto"/>
      <w:jc w:val="right"/>
    </w:pPr>
    <w:rPr>
      <w:rFonts w:ascii="Arial Narrow" w:hAnsi="Arial Narrow"/>
      <w:b/>
      <w:color w:val="F79646" w:themeColor="accent6"/>
      <w:sz w:val="19"/>
      <w:szCs w:val="17"/>
      <w:lang w:eastAsia="en-US"/>
    </w:rPr>
  </w:style>
  <w:style w:type="paragraph" w:customStyle="1" w:styleId="TableTextEntries">
    <w:name w:val="Table Text Entries"/>
    <w:rsid w:val="00F3602E"/>
    <w:pPr>
      <w:keepLines/>
      <w:spacing w:after="57" w:line="288" w:lineRule="auto"/>
    </w:pPr>
    <w:rPr>
      <w:rFonts w:ascii="Arial Narrow" w:hAnsi="Arial Narrow"/>
      <w:color w:val="000000" w:themeColor="text1"/>
      <w:sz w:val="19"/>
      <w:szCs w:val="17"/>
      <w:lang w:eastAsia="en-US"/>
    </w:rPr>
  </w:style>
  <w:style w:type="paragraph" w:customStyle="1" w:styleId="TableDataEntries">
    <w:name w:val="Table Data Entries"/>
    <w:basedOn w:val="TableTextEntries"/>
    <w:uiPriority w:val="24"/>
    <w:rsid w:val="00F3602E"/>
    <w:pPr>
      <w:jc w:val="right"/>
    </w:pPr>
  </w:style>
  <w:style w:type="paragraph" w:customStyle="1" w:styleId="TableHeading1">
    <w:name w:val="Table Heading 1"/>
    <w:basedOn w:val="TableTextEntries"/>
    <w:next w:val="TableTextEntries"/>
    <w:rsid w:val="00F3602E"/>
    <w:rPr>
      <w:b/>
      <w:color w:val="F79646" w:themeColor="accent6"/>
    </w:rPr>
  </w:style>
  <w:style w:type="paragraph" w:customStyle="1" w:styleId="TableHeading20">
    <w:name w:val="Table Heading 2"/>
    <w:basedOn w:val="TableHeading1"/>
    <w:next w:val="TableTextEntries"/>
    <w:rsid w:val="00657131"/>
    <w:rPr>
      <w:rFonts w:asciiTheme="majorHAnsi" w:hAnsiTheme="majorHAnsi"/>
      <w:color w:val="auto"/>
      <w:sz w:val="18"/>
    </w:rPr>
  </w:style>
  <w:style w:type="paragraph" w:customStyle="1" w:styleId="TableListBullet">
    <w:name w:val="Table List Bullet"/>
    <w:basedOn w:val="TableTextEntries"/>
    <w:rsid w:val="00F3602E"/>
    <w:pPr>
      <w:numPr>
        <w:numId w:val="23"/>
      </w:numPr>
    </w:pPr>
  </w:style>
  <w:style w:type="paragraph" w:customStyle="1" w:styleId="TableListBullet2">
    <w:name w:val="Table List Bullet 2"/>
    <w:basedOn w:val="TableTextEntries"/>
    <w:uiPriority w:val="25"/>
    <w:rsid w:val="00F3602E"/>
    <w:pPr>
      <w:numPr>
        <w:numId w:val="24"/>
      </w:numPr>
    </w:pPr>
  </w:style>
  <w:style w:type="paragraph" w:customStyle="1" w:styleId="TableListNumber0">
    <w:name w:val="Table List Number"/>
    <w:basedOn w:val="TableTextEntries"/>
    <w:uiPriority w:val="25"/>
    <w:rsid w:val="00F3602E"/>
    <w:pPr>
      <w:numPr>
        <w:numId w:val="25"/>
      </w:numPr>
    </w:pPr>
  </w:style>
  <w:style w:type="paragraph" w:customStyle="1" w:styleId="TableListNumber20">
    <w:name w:val="Table List Number 2"/>
    <w:basedOn w:val="TableTextEntries"/>
    <w:uiPriority w:val="25"/>
    <w:rsid w:val="00F3602E"/>
    <w:pPr>
      <w:numPr>
        <w:numId w:val="26"/>
      </w:numPr>
    </w:pPr>
  </w:style>
  <w:style w:type="paragraph" w:customStyle="1" w:styleId="TableTextColumnHeading">
    <w:name w:val="Table Text Column Heading"/>
    <w:uiPriority w:val="27"/>
    <w:rsid w:val="00F3602E"/>
    <w:pPr>
      <w:keepNext/>
      <w:spacing w:after="57" w:line="288" w:lineRule="auto"/>
    </w:pPr>
    <w:rPr>
      <w:rFonts w:ascii="Arial Narrow" w:hAnsi="Arial Narrow"/>
      <w:b/>
      <w:color w:val="F79646" w:themeColor="accent6"/>
      <w:sz w:val="19"/>
      <w:szCs w:val="17"/>
      <w:lang w:eastAsia="en-US"/>
    </w:rPr>
  </w:style>
  <w:style w:type="table" w:customStyle="1" w:styleId="TableODE">
    <w:name w:val="Table_ODE"/>
    <w:basedOn w:val="TableGrid"/>
    <w:semiHidden/>
    <w:rsid w:val="00F3602E"/>
    <w:rPr>
      <w:rFonts w:ascii="Arial Narrow" w:hAnsi="Arial Narrow"/>
      <w:color w:val="auto"/>
    </w:rPr>
    <w:tblPr>
      <w:tblInd w:w="0" w:type="dxa"/>
      <w:tblBorders>
        <w:top w:val="single" w:sz="6" w:space="0" w:color="007C92"/>
        <w:bottom w:val="single" w:sz="6" w:space="0" w:color="007C92"/>
        <w:insideH w:val="single" w:sz="6" w:space="0" w:color="007C92"/>
      </w:tblBorders>
      <w:tblCellMar>
        <w:top w:w="0" w:type="dxa"/>
        <w:left w:w="108" w:type="dxa"/>
        <w:bottom w:w="0" w:type="dxa"/>
        <w:right w:w="108" w:type="dxa"/>
      </w:tblCellMar>
    </w:tblPr>
    <w:tcPr>
      <w:shd w:val="clear" w:color="auto" w:fill="E6F3F6"/>
    </w:tcPr>
    <w:tblStylePr w:type="firstRow">
      <w:rPr>
        <w:rFonts w:ascii="Tahoma" w:hAnsi="Tahoma"/>
        <w:b w:val="0"/>
        <w:i w:val="0"/>
        <w:caps w:val="0"/>
        <w:smallCaps w:val="0"/>
        <w:color w:val="FFFFFF"/>
        <w:sz w:val="18"/>
        <w:szCs w:val="18"/>
      </w:rPr>
      <w:tblPr/>
      <w:tcPr>
        <w:tcBorders>
          <w:top w:val="nil"/>
          <w:left w:val="nil"/>
          <w:bottom w:val="nil"/>
          <w:right w:val="nil"/>
          <w:insideH w:val="nil"/>
          <w:insideV w:val="nil"/>
          <w:tl2br w:val="nil"/>
          <w:tr2bl w:val="nil"/>
        </w:tcBorders>
        <w:shd w:val="clear" w:color="auto" w:fill="0087A2"/>
      </w:tcPr>
    </w:tblStylePr>
  </w:style>
  <w:style w:type="character" w:customStyle="1" w:styleId="Heading1unnumberedChar">
    <w:name w:val="Heading 1 unnumbered Char"/>
    <w:basedOn w:val="Heading1Char"/>
    <w:link w:val="Heading1unnumbered"/>
    <w:uiPriority w:val="2"/>
    <w:rsid w:val="00F3602E"/>
    <w:rPr>
      <w:rFonts w:asciiTheme="majorHAnsi" w:hAnsiTheme="majorHAnsi" w:cs="Arial"/>
      <w:b w:val="0"/>
      <w:bCs w:val="0"/>
      <w:color w:val="EEECE1" w:themeColor="background2"/>
      <w:kern w:val="28"/>
      <w:sz w:val="44"/>
      <w:szCs w:val="44"/>
    </w:rPr>
  </w:style>
  <w:style w:type="character" w:customStyle="1" w:styleId="Heading2unnumberedChar">
    <w:name w:val="Heading 2 unnumbered Char"/>
    <w:basedOn w:val="Heading2Char"/>
    <w:link w:val="Heading2unnumbered"/>
    <w:uiPriority w:val="2"/>
    <w:rsid w:val="00F3602E"/>
    <w:rPr>
      <w:rFonts w:asciiTheme="majorHAnsi" w:hAnsiTheme="majorHAnsi" w:cs="Arial"/>
      <w:b/>
      <w:bCs w:val="0"/>
      <w:iCs w:val="0"/>
      <w:color w:val="1F497D" w:themeColor="text2"/>
      <w:kern w:val="28"/>
      <w:sz w:val="32"/>
      <w:szCs w:val="32"/>
    </w:rPr>
  </w:style>
  <w:style w:type="character" w:customStyle="1" w:styleId="AppendixHeading2unnumberedChar">
    <w:name w:val="Appendix Heading 2 unnumbered Char"/>
    <w:basedOn w:val="Heading7Char"/>
    <w:link w:val="AppendixHeading2unnumbered"/>
    <w:uiPriority w:val="29"/>
    <w:rsid w:val="00F3602E"/>
    <w:rPr>
      <w:rFonts w:asciiTheme="majorHAnsi" w:eastAsiaTheme="majorEastAsia" w:hAnsiTheme="majorHAnsi" w:cstheme="majorBidi"/>
      <w:b w:val="0"/>
      <w:i/>
      <w:iCs/>
      <w:color w:val="1F497D" w:themeColor="text2"/>
      <w:kern w:val="28"/>
      <w:sz w:val="32"/>
      <w:szCs w:val="32"/>
    </w:rPr>
  </w:style>
  <w:style w:type="paragraph" w:customStyle="1" w:styleId="InfoHead">
    <w:name w:val="Info Head"/>
    <w:basedOn w:val="BoxTitle"/>
    <w:semiHidden/>
    <w:rsid w:val="00F3602E"/>
    <w:pPr>
      <w:framePr w:hSpace="181" w:wrap="around" w:hAnchor="margin" w:yAlign="bottom"/>
      <w:suppressOverlap/>
    </w:pPr>
  </w:style>
  <w:style w:type="character" w:styleId="PlaceholderText">
    <w:name w:val="Placeholder Text"/>
    <w:basedOn w:val="DefaultParagraphFont"/>
    <w:uiPriority w:val="99"/>
    <w:semiHidden/>
    <w:rsid w:val="00F3602E"/>
    <w:rPr>
      <w:color w:val="808080"/>
    </w:rPr>
  </w:style>
  <w:style w:type="paragraph" w:styleId="NoSpacing">
    <w:name w:val="No Spacing"/>
    <w:uiPriority w:val="1"/>
    <w:rsid w:val="00F3602E"/>
    <w:rPr>
      <w:rFonts w:asciiTheme="minorHAnsi" w:hAnsiTheme="minorHAnsi"/>
      <w:color w:val="000000" w:themeColor="text1"/>
      <w:sz w:val="21"/>
      <w:szCs w:val="24"/>
    </w:rPr>
  </w:style>
  <w:style w:type="paragraph" w:customStyle="1" w:styleId="BodyText2">
    <w:name w:val="Body Text2"/>
    <w:semiHidden/>
    <w:rsid w:val="00F3602E"/>
    <w:rPr>
      <w:rFonts w:ascii="Arial" w:hAnsi="Arial"/>
      <w:szCs w:val="24"/>
      <w:lang w:eastAsia="en-US"/>
    </w:rPr>
  </w:style>
  <w:style w:type="table" w:customStyle="1" w:styleId="ODETable">
    <w:name w:val="ODE Table"/>
    <w:basedOn w:val="TableNormal"/>
    <w:uiPriority w:val="99"/>
    <w:rsid w:val="00F3602E"/>
    <w:rPr>
      <w:rFonts w:ascii="Courier" w:hAnsi="Courier"/>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8064A2" w:themeFill="accent4"/>
    </w:tcPr>
    <w:tblStylePr w:type="firstRow">
      <w:tblPr/>
      <w:tcPr>
        <w:shd w:val="clear" w:color="auto" w:fill="C0504D" w:themeFill="accent2"/>
      </w:tcPr>
    </w:tblStylePr>
  </w:style>
  <w:style w:type="paragraph" w:styleId="ListParagraph">
    <w:name w:val="List Paragraph"/>
    <w:basedOn w:val="Normal"/>
    <w:uiPriority w:val="34"/>
    <w:qFormat/>
    <w:rsid w:val="00F3602E"/>
    <w:pPr>
      <w:spacing w:before="0" w:after="200" w:line="276" w:lineRule="auto"/>
      <w:ind w:left="720"/>
      <w:contextualSpacing/>
    </w:pPr>
    <w:rPr>
      <w:rFonts w:ascii="Calibri" w:eastAsia="Calibri" w:hAnsi="Calibri"/>
      <w:sz w:val="22"/>
      <w:szCs w:val="22"/>
      <w:lang w:eastAsia="en-US"/>
    </w:rPr>
  </w:style>
  <w:style w:type="paragraph" w:customStyle="1" w:styleId="Footnotetext0">
    <w:name w:val="Footnote : text"/>
    <w:basedOn w:val="Normal"/>
    <w:uiPriority w:val="99"/>
    <w:rsid w:val="00F3602E"/>
    <w:pPr>
      <w:widowControl w:val="0"/>
      <w:suppressAutoHyphens/>
      <w:autoSpaceDE w:val="0"/>
      <w:autoSpaceDN w:val="0"/>
      <w:adjustRightInd w:val="0"/>
      <w:spacing w:before="0" w:after="0" w:line="200" w:lineRule="atLeast"/>
      <w:ind w:left="312" w:hanging="312"/>
      <w:textAlignment w:val="center"/>
    </w:pPr>
    <w:rPr>
      <w:rFonts w:ascii="Cambria" w:eastAsiaTheme="minorHAnsi" w:hAnsi="Cambria" w:cs="MetaSerif-Book"/>
      <w:color w:val="000000" w:themeColor="text1"/>
      <w:sz w:val="16"/>
      <w:szCs w:val="16"/>
      <w:lang w:val="en-GB" w:eastAsia="en-US"/>
    </w:rPr>
  </w:style>
  <w:style w:type="paragraph" w:customStyle="1" w:styleId="Body">
    <w:name w:val="Body"/>
    <w:basedOn w:val="Normal"/>
    <w:uiPriority w:val="1"/>
    <w:rsid w:val="00F3602E"/>
    <w:pPr>
      <w:widowControl w:val="0"/>
      <w:spacing w:before="0" w:after="0" w:line="240" w:lineRule="auto"/>
    </w:pPr>
    <w:rPr>
      <w:rFonts w:ascii="Cambria" w:eastAsia="Cambria" w:hAnsi="Cambria"/>
      <w:sz w:val="20"/>
      <w:lang w:val="en-US" w:eastAsia="en-US"/>
    </w:rPr>
  </w:style>
  <w:style w:type="paragraph" w:customStyle="1" w:styleId="IODPARCBullets">
    <w:name w:val="IOD PARC Bullets"/>
    <w:basedOn w:val="Normal"/>
    <w:link w:val="IODPARCBulletsChar"/>
    <w:uiPriority w:val="1"/>
    <w:rsid w:val="00F3602E"/>
    <w:pPr>
      <w:numPr>
        <w:numId w:val="27"/>
      </w:numPr>
      <w:spacing w:before="0" w:line="240" w:lineRule="auto"/>
      <w:ind w:right="454"/>
    </w:pPr>
    <w:rPr>
      <w:rFonts w:ascii="Georgia" w:hAnsi="Georgia"/>
      <w:sz w:val="22"/>
      <w:szCs w:val="24"/>
      <w:lang w:eastAsia="ja-JP"/>
    </w:rPr>
  </w:style>
  <w:style w:type="character" w:customStyle="1" w:styleId="IODPARCBulletsChar">
    <w:name w:val="IOD PARC Bullets Char"/>
    <w:link w:val="IODPARCBullets"/>
    <w:uiPriority w:val="1"/>
    <w:rsid w:val="00F3602E"/>
    <w:rPr>
      <w:rFonts w:ascii="Georgia" w:hAnsi="Georgia"/>
      <w:sz w:val="22"/>
      <w:szCs w:val="24"/>
      <w:lang w:eastAsia="ja-JP"/>
    </w:rPr>
  </w:style>
  <w:style w:type="paragraph" w:styleId="NormalWeb">
    <w:name w:val="Normal (Web)"/>
    <w:basedOn w:val="Normal"/>
    <w:uiPriority w:val="99"/>
    <w:unhideWhenUsed/>
    <w:rsid w:val="00F3602E"/>
    <w:pPr>
      <w:spacing w:before="100" w:beforeAutospacing="1" w:after="100" w:afterAutospacing="1" w:line="240" w:lineRule="auto"/>
    </w:pPr>
    <w:rPr>
      <w:rFonts w:ascii="Times" w:eastAsia="MS Mincho" w:hAnsi="Times"/>
      <w:sz w:val="20"/>
      <w:lang w:val="en-GB" w:eastAsia="en-US"/>
    </w:rPr>
  </w:style>
  <w:style w:type="table" w:customStyle="1" w:styleId="TableGrid1">
    <w:name w:val="Table Grid1"/>
    <w:basedOn w:val="TableNormal"/>
    <w:next w:val="TableGrid"/>
    <w:uiPriority w:val="59"/>
    <w:rsid w:val="00F3602E"/>
    <w:tblPr>
      <w:tblInd w:w="0" w:type="dxa"/>
      <w:tblCellMar>
        <w:top w:w="0" w:type="dxa"/>
        <w:left w:w="0" w:type="dxa"/>
        <w:bottom w:w="0" w:type="dxa"/>
        <w:right w:w="0" w:type="dxa"/>
      </w:tblCellMar>
    </w:tblPr>
  </w:style>
  <w:style w:type="character" w:customStyle="1" w:styleId="FootnoteTextChar1">
    <w:name w:val="Footnote Text Char1"/>
    <w:aliases w:val="Footnote Text Char Char,Char Char,ft Char,single space Char,fn Char,Footnote Text Char Char Char Char Char"/>
    <w:uiPriority w:val="99"/>
    <w:rsid w:val="00F3602E"/>
    <w:rPr>
      <w:rFonts w:ascii="Cambria" w:hAnsi="Cambria"/>
      <w:sz w:val="16"/>
      <w:szCs w:val="14"/>
      <w:lang w:bidi="ar-SA"/>
    </w:rPr>
  </w:style>
  <w:style w:type="paragraph" w:customStyle="1" w:styleId="List1">
    <w:name w:val="List1"/>
    <w:basedOn w:val="Normal"/>
    <w:rsid w:val="00F3602E"/>
    <w:pPr>
      <w:numPr>
        <w:numId w:val="28"/>
      </w:numPr>
      <w:suppressAutoHyphens/>
      <w:autoSpaceDE w:val="0"/>
      <w:autoSpaceDN w:val="0"/>
      <w:adjustRightInd w:val="0"/>
      <w:spacing w:before="120" w:line="300" w:lineRule="auto"/>
      <w:jc w:val="both"/>
    </w:pPr>
    <w:rPr>
      <w:rFonts w:ascii="Cambria" w:eastAsia="MS Mincho" w:hAnsi="Cambria" w:cs="FoundersGrotesk-Regular"/>
      <w:sz w:val="22"/>
      <w:szCs w:val="21"/>
      <w:lang w:eastAsia="en-US"/>
    </w:rPr>
  </w:style>
  <w:style w:type="paragraph" w:customStyle="1" w:styleId="Boxtext1">
    <w:name w:val="Box text"/>
    <w:basedOn w:val="Normal"/>
    <w:next w:val="Normal"/>
    <w:uiPriority w:val="1"/>
    <w:rsid w:val="00F3602E"/>
    <w:pPr>
      <w:widowControl w:val="0"/>
      <w:suppressAutoHyphens/>
      <w:autoSpaceDE w:val="0"/>
      <w:autoSpaceDN w:val="0"/>
      <w:adjustRightInd w:val="0"/>
      <w:spacing w:before="0" w:after="57" w:line="260" w:lineRule="atLeast"/>
      <w:textAlignment w:val="center"/>
    </w:pPr>
    <w:rPr>
      <w:rFonts w:ascii="Calibri" w:eastAsiaTheme="minorHAnsi" w:hAnsi="Calibri" w:cs="Gotham-Book"/>
      <w:color w:val="000000" w:themeColor="text1"/>
      <w:sz w:val="22"/>
      <w:szCs w:val="18"/>
      <w:lang w:val="en-GB" w:eastAsia="en-US"/>
    </w:rPr>
  </w:style>
  <w:style w:type="paragraph" w:customStyle="1" w:styleId="Boxhead">
    <w:name w:val="Box head"/>
    <w:basedOn w:val="Normal"/>
    <w:uiPriority w:val="1"/>
    <w:rsid w:val="00F3602E"/>
    <w:pPr>
      <w:widowControl w:val="0"/>
      <w:suppressAutoHyphens/>
      <w:autoSpaceDE w:val="0"/>
      <w:autoSpaceDN w:val="0"/>
      <w:adjustRightInd w:val="0"/>
      <w:spacing w:before="0" w:after="0" w:line="220" w:lineRule="atLeast"/>
      <w:textAlignment w:val="center"/>
    </w:pPr>
    <w:rPr>
      <w:rFonts w:ascii="Calibri" w:eastAsiaTheme="minorHAnsi" w:hAnsi="Calibri" w:cs="Gotham-Bold"/>
      <w:bCs/>
      <w:color w:val="FFFFFF" w:themeColor="background1"/>
      <w:sz w:val="22"/>
      <w:szCs w:val="18"/>
      <w:lang w:val="en-GB" w:eastAsia="en-US"/>
    </w:rPr>
  </w:style>
  <w:style w:type="character" w:customStyle="1" w:styleId="Footnoteitalic">
    <w:name w:val="Footnote : italic"/>
    <w:uiPriority w:val="99"/>
    <w:rsid w:val="00F3602E"/>
  </w:style>
  <w:style w:type="paragraph" w:customStyle="1" w:styleId="Heading7unnumbered">
    <w:name w:val="Heading 7 unnumbered"/>
    <w:basedOn w:val="Heading7"/>
    <w:next w:val="BodyText"/>
    <w:rsid w:val="00F3602E"/>
    <w:rPr>
      <w:rFonts w:ascii="Calibri" w:hAnsi="Calibri"/>
      <w:color w:val="DA7D2D"/>
    </w:rPr>
  </w:style>
  <w:style w:type="paragraph" w:customStyle="1" w:styleId="footnote">
    <w:name w:val="footnote"/>
    <w:basedOn w:val="Normal"/>
    <w:uiPriority w:val="99"/>
    <w:rsid w:val="00F3602E"/>
    <w:pPr>
      <w:widowControl w:val="0"/>
      <w:suppressAutoHyphens/>
      <w:autoSpaceDE w:val="0"/>
      <w:autoSpaceDN w:val="0"/>
      <w:adjustRightInd w:val="0"/>
      <w:spacing w:before="0" w:after="0" w:line="200" w:lineRule="atLeast"/>
      <w:ind w:left="227" w:hanging="227"/>
      <w:textAlignment w:val="center"/>
    </w:pPr>
    <w:rPr>
      <w:rFonts w:ascii="MetaSerif-Book" w:hAnsi="MetaSerif-Book" w:cs="MetaSerif-Book"/>
      <w:sz w:val="16"/>
      <w:szCs w:val="16"/>
      <w:lang w:val="en-GB" w:eastAsia="en-US"/>
    </w:rPr>
  </w:style>
  <w:style w:type="numbering" w:customStyle="1" w:styleId="JSH">
    <w:name w:val="JSH"/>
    <w:uiPriority w:val="99"/>
    <w:rsid w:val="00F3602E"/>
    <w:pPr>
      <w:numPr>
        <w:numId w:val="29"/>
      </w:numPr>
    </w:pPr>
  </w:style>
  <w:style w:type="paragraph" w:customStyle="1" w:styleId="Default">
    <w:name w:val="Default"/>
    <w:rsid w:val="00F3602E"/>
    <w:pPr>
      <w:autoSpaceDE w:val="0"/>
      <w:autoSpaceDN w:val="0"/>
      <w:adjustRightInd w:val="0"/>
    </w:pPr>
    <w:rPr>
      <w:rFonts w:ascii="Helvetica Neue" w:hAnsi="Helvetica Neue" w:cs="Helvetica Neue"/>
      <w:color w:val="000000"/>
      <w:sz w:val="24"/>
      <w:szCs w:val="24"/>
    </w:rPr>
  </w:style>
  <w:style w:type="character" w:customStyle="1" w:styleId="A0">
    <w:name w:val="A0"/>
    <w:uiPriority w:val="99"/>
    <w:rsid w:val="00F3602E"/>
    <w:rPr>
      <w:rFonts w:cs="Helvetica Neue"/>
      <w:b/>
      <w:bCs/>
      <w:color w:val="000000"/>
      <w:sz w:val="50"/>
      <w:szCs w:val="50"/>
    </w:rPr>
  </w:style>
  <w:style w:type="paragraph" w:styleId="Revision">
    <w:name w:val="Revision"/>
    <w:hidden/>
    <w:uiPriority w:val="99"/>
    <w:semiHidden/>
    <w:rsid w:val="00F3602E"/>
    <w:rPr>
      <w:rFonts w:asciiTheme="minorHAnsi" w:hAnsiTheme="minorHAnsi"/>
      <w:color w:val="000000" w:themeColor="text1"/>
      <w:sz w:val="21"/>
      <w:szCs w:val="24"/>
    </w:rPr>
  </w:style>
  <w:style w:type="character" w:customStyle="1" w:styleId="apple-converted-space">
    <w:name w:val="apple-converted-space"/>
    <w:basedOn w:val="DefaultParagraphFont"/>
    <w:rsid w:val="00F3602E"/>
  </w:style>
  <w:style w:type="character" w:customStyle="1" w:styleId="highlight">
    <w:name w:val="highlight"/>
    <w:basedOn w:val="DefaultParagraphFont"/>
    <w:rsid w:val="00F3602E"/>
  </w:style>
  <w:style w:type="paragraph" w:customStyle="1" w:styleId="bodybullet">
    <w:name w:val="body : bullet"/>
    <w:basedOn w:val="Normal"/>
    <w:uiPriority w:val="99"/>
    <w:rsid w:val="00F3602E"/>
    <w:pPr>
      <w:numPr>
        <w:numId w:val="30"/>
      </w:numPr>
      <w:autoSpaceDE w:val="0"/>
      <w:autoSpaceDN w:val="0"/>
      <w:spacing w:after="140" w:line="260" w:lineRule="atLeast"/>
    </w:pPr>
    <w:rPr>
      <w:rFonts w:ascii="Times" w:eastAsiaTheme="minorHAnsi" w:hAnsi="Times"/>
      <w:sz w:val="24"/>
      <w:szCs w:val="24"/>
      <w:lang w:val="en-GB" w:eastAsia="en-US"/>
    </w:rPr>
  </w:style>
  <w:style w:type="character" w:styleId="EndnoteReference">
    <w:name w:val="endnote reference"/>
    <w:basedOn w:val="DefaultParagraphFont"/>
    <w:uiPriority w:val="99"/>
    <w:semiHidden/>
    <w:rsid w:val="00F3602E"/>
    <w:rPr>
      <w:vertAlign w:val="superscript"/>
    </w:rPr>
  </w:style>
  <w:style w:type="paragraph" w:customStyle="1" w:styleId="BodyCopy">
    <w:name w:val="Body Copy"/>
    <w:basedOn w:val="Normal"/>
    <w:uiPriority w:val="99"/>
    <w:rsid w:val="00F3602E"/>
    <w:pPr>
      <w:widowControl w:val="0"/>
      <w:suppressAutoHyphens/>
      <w:autoSpaceDE w:val="0"/>
      <w:autoSpaceDN w:val="0"/>
      <w:adjustRightInd w:val="0"/>
      <w:spacing w:before="57" w:after="142"/>
      <w:textAlignment w:val="center"/>
    </w:pPr>
    <w:rPr>
      <w:rFonts w:ascii="Cambria" w:eastAsia="MS Mincho" w:hAnsi="Cambria" w:cs="Cambria"/>
      <w:szCs w:val="21"/>
      <w:lang w:val="en-GB" w:eastAsia="ja-JP"/>
    </w:rPr>
  </w:style>
  <w:style w:type="paragraph" w:customStyle="1" w:styleId="IODPARCHeadingLevel3">
    <w:name w:val="IOD PARC Heading Level 3"/>
    <w:basedOn w:val="Normal"/>
    <w:link w:val="IODPARCHeadingLevel3Char"/>
    <w:rsid w:val="00F3602E"/>
    <w:pPr>
      <w:spacing w:before="120" w:line="240" w:lineRule="auto"/>
    </w:pPr>
    <w:rPr>
      <w:rFonts w:ascii="Georgia" w:hAnsi="Georgia" w:cs="Arial"/>
      <w:bCs/>
      <w:i/>
      <w:color w:val="333333"/>
      <w:sz w:val="24"/>
      <w:lang w:val="en-GB" w:eastAsia="en-GB"/>
    </w:rPr>
  </w:style>
  <w:style w:type="character" w:customStyle="1" w:styleId="IODPARCHeadingLevel3Char">
    <w:name w:val="IOD PARC Heading Level 3 Char"/>
    <w:basedOn w:val="DefaultParagraphFont"/>
    <w:link w:val="IODPARCHeadingLevel3"/>
    <w:rsid w:val="00F3602E"/>
    <w:rPr>
      <w:rFonts w:ascii="Georgia" w:hAnsi="Georgia" w:cs="Arial"/>
      <w:bCs/>
      <w:i/>
      <w:color w:val="333333"/>
      <w:sz w:val="24"/>
      <w:lang w:val="en-GB" w:eastAsia="en-GB"/>
    </w:rPr>
  </w:style>
  <w:style w:type="character" w:customStyle="1" w:styleId="NoteCharChar">
    <w:name w:val="Note Char Char"/>
    <w:link w:val="Note"/>
    <w:rsid w:val="00F3602E"/>
    <w:rPr>
      <w:rFonts w:ascii="Arial Narrow" w:hAnsi="Arial Narrow"/>
      <w:color w:val="000000" w:themeColor="text1"/>
      <w:sz w:val="16"/>
      <w:szCs w:val="16"/>
      <w:lang w:eastAsia="en-US"/>
    </w:rPr>
  </w:style>
  <w:style w:type="paragraph" w:styleId="TOCHeading">
    <w:name w:val="TOC Heading"/>
    <w:basedOn w:val="Heading1"/>
    <w:next w:val="Normal"/>
    <w:uiPriority w:val="39"/>
    <w:semiHidden/>
    <w:unhideWhenUsed/>
    <w:qFormat/>
    <w:rsid w:val="00F3602E"/>
    <w:pPr>
      <w:keepLines/>
      <w:pageBreakBefore w:val="0"/>
      <w:spacing w:before="240" w:after="0" w:line="288" w:lineRule="auto"/>
      <w:ind w:left="0" w:firstLine="0"/>
      <w:outlineLvl w:val="9"/>
    </w:pPr>
    <w:rPr>
      <w:rFonts w:asciiTheme="majorHAnsi" w:eastAsiaTheme="majorEastAsia" w:hAnsiTheme="majorHAnsi" w:cstheme="majorBidi"/>
      <w:bCs w:val="0"/>
      <w:color w:val="365F91" w:themeColor="accent1" w:themeShade="BF"/>
      <w:sz w:val="32"/>
    </w:rPr>
  </w:style>
  <w:style w:type="paragraph" w:customStyle="1" w:styleId="Level1">
    <w:name w:val="Level 1."/>
    <w:basedOn w:val="Normal"/>
    <w:rsid w:val="00F3602E"/>
    <w:pPr>
      <w:numPr>
        <w:numId w:val="31"/>
      </w:numPr>
      <w:spacing w:before="240" w:after="0" w:line="240" w:lineRule="auto"/>
    </w:pPr>
    <w:rPr>
      <w:rFonts w:ascii="Times New Roman" w:hAnsi="Times New Roman"/>
      <w:sz w:val="24"/>
      <w:szCs w:val="22"/>
      <w:lang w:eastAsia="en-US"/>
    </w:rPr>
  </w:style>
  <w:style w:type="paragraph" w:customStyle="1" w:styleId="Level11">
    <w:name w:val="Level 1.1"/>
    <w:basedOn w:val="Normal"/>
    <w:rsid w:val="00F3602E"/>
    <w:pPr>
      <w:numPr>
        <w:ilvl w:val="1"/>
        <w:numId w:val="31"/>
      </w:numPr>
      <w:spacing w:before="240" w:after="0" w:line="240" w:lineRule="auto"/>
    </w:pPr>
    <w:rPr>
      <w:rFonts w:ascii="Times New Roman" w:hAnsi="Times New Roman"/>
      <w:sz w:val="24"/>
      <w:szCs w:val="22"/>
      <w:lang w:eastAsia="en-US"/>
    </w:rPr>
  </w:style>
  <w:style w:type="paragraph" w:customStyle="1" w:styleId="Levela">
    <w:name w:val="Level (a)"/>
    <w:basedOn w:val="Normal"/>
    <w:rsid w:val="00F3602E"/>
    <w:pPr>
      <w:numPr>
        <w:ilvl w:val="2"/>
        <w:numId w:val="31"/>
      </w:numPr>
      <w:spacing w:before="240" w:after="0" w:line="240" w:lineRule="auto"/>
    </w:pPr>
    <w:rPr>
      <w:rFonts w:ascii="Times New Roman" w:hAnsi="Times New Roman"/>
      <w:sz w:val="24"/>
      <w:szCs w:val="22"/>
      <w:lang w:eastAsia="en-US"/>
    </w:rPr>
  </w:style>
  <w:style w:type="paragraph" w:customStyle="1" w:styleId="Leveli">
    <w:name w:val="Level (i)"/>
    <w:basedOn w:val="Normal"/>
    <w:rsid w:val="00F3602E"/>
    <w:pPr>
      <w:numPr>
        <w:ilvl w:val="3"/>
        <w:numId w:val="31"/>
      </w:numPr>
      <w:spacing w:before="240" w:after="0" w:line="240" w:lineRule="auto"/>
    </w:pPr>
    <w:rPr>
      <w:rFonts w:ascii="Times New Roman" w:hAnsi="Times New Roman"/>
      <w:sz w:val="24"/>
      <w:szCs w:val="22"/>
      <w:lang w:eastAsia="en-US"/>
    </w:rPr>
  </w:style>
  <w:style w:type="paragraph" w:styleId="PlainText">
    <w:name w:val="Plain Text"/>
    <w:basedOn w:val="Normal"/>
    <w:link w:val="PlainTextChar"/>
    <w:uiPriority w:val="99"/>
    <w:rsid w:val="00F3602E"/>
    <w:pPr>
      <w:numPr>
        <w:ilvl w:val="4"/>
        <w:numId w:val="31"/>
      </w:numPr>
      <w:spacing w:before="240" w:after="0" w:line="240" w:lineRule="auto"/>
    </w:pPr>
    <w:rPr>
      <w:rFonts w:ascii="Courier New" w:hAnsi="Courier New" w:cs="Courier New"/>
      <w:sz w:val="20"/>
      <w:lang w:eastAsia="en-US"/>
    </w:rPr>
  </w:style>
  <w:style w:type="character" w:customStyle="1" w:styleId="PlainTextChar">
    <w:name w:val="Plain Text Char"/>
    <w:basedOn w:val="DefaultParagraphFont"/>
    <w:link w:val="PlainText"/>
    <w:uiPriority w:val="99"/>
    <w:rsid w:val="00F3602E"/>
    <w:rPr>
      <w:rFonts w:ascii="Courier New" w:hAnsi="Courier New" w:cs="Courier New"/>
      <w:lang w:eastAsia="en-US"/>
    </w:rPr>
  </w:style>
  <w:style w:type="paragraph" w:customStyle="1" w:styleId="LevelA0">
    <w:name w:val="Level(A)"/>
    <w:basedOn w:val="Normal"/>
    <w:rsid w:val="00F3602E"/>
    <w:pPr>
      <w:numPr>
        <w:ilvl w:val="5"/>
        <w:numId w:val="31"/>
      </w:numPr>
      <w:spacing w:before="240" w:after="0" w:line="240" w:lineRule="auto"/>
    </w:pPr>
    <w:rPr>
      <w:rFonts w:ascii="Times New Roman" w:hAnsi="Times New Roman"/>
      <w:sz w:val="24"/>
      <w:szCs w:val="22"/>
      <w:lang w:eastAsia="en-US"/>
    </w:rPr>
  </w:style>
  <w:style w:type="paragraph" w:customStyle="1" w:styleId="Itadbodycopy">
    <w:name w:val="Itad body copy"/>
    <w:basedOn w:val="Normal"/>
    <w:link w:val="ItadbodycopyChar"/>
    <w:rsid w:val="00F3602E"/>
    <w:pPr>
      <w:spacing w:before="0" w:line="240" w:lineRule="auto"/>
    </w:pPr>
    <w:rPr>
      <w:rFonts w:ascii="Calibri" w:eastAsia="Calibri" w:hAnsi="Calibri"/>
      <w:sz w:val="22"/>
      <w:lang w:val="en-GB" w:eastAsia="en-US"/>
    </w:rPr>
  </w:style>
  <w:style w:type="paragraph" w:customStyle="1" w:styleId="Itadheading1">
    <w:name w:val="Itad heading 1"/>
    <w:basedOn w:val="Heading1"/>
    <w:link w:val="Itadheading1Char"/>
    <w:rsid w:val="00F3602E"/>
    <w:pPr>
      <w:keepLines/>
      <w:pageBreakBefore w:val="0"/>
      <w:numPr>
        <w:numId w:val="33"/>
      </w:numPr>
      <w:spacing w:before="0" w:after="240" w:line="240" w:lineRule="auto"/>
    </w:pPr>
    <w:rPr>
      <w:rFonts w:ascii="Calibri" w:hAnsi="Calibri" w:cs="Times New Roman"/>
      <w:color w:val="73B632"/>
      <w:sz w:val="32"/>
      <w:lang w:val="en-GB" w:eastAsia="en-GB"/>
    </w:rPr>
  </w:style>
  <w:style w:type="character" w:customStyle="1" w:styleId="Itadheading1Char">
    <w:name w:val="Itad heading 1 Char"/>
    <w:link w:val="Itadheading1"/>
    <w:rsid w:val="00F3602E"/>
    <w:rPr>
      <w:rFonts w:ascii="Calibri" w:hAnsi="Calibri"/>
      <w:b/>
      <w:bCs/>
      <w:color w:val="73B632"/>
      <w:sz w:val="32"/>
      <w:szCs w:val="32"/>
      <w:lang w:val="en-GB" w:eastAsia="en-GB"/>
    </w:rPr>
  </w:style>
  <w:style w:type="paragraph" w:customStyle="1" w:styleId="Itadnumbers">
    <w:name w:val="Itad numbers"/>
    <w:basedOn w:val="Normal"/>
    <w:rsid w:val="00F3602E"/>
    <w:pPr>
      <w:numPr>
        <w:numId w:val="32"/>
      </w:numPr>
      <w:spacing w:before="0" w:after="200" w:line="240" w:lineRule="auto"/>
    </w:pPr>
    <w:rPr>
      <w:rFonts w:ascii="Calibri" w:eastAsia="Calibri" w:hAnsi="Calibri"/>
      <w:sz w:val="22"/>
      <w:lang w:val="en-GB" w:eastAsia="en-US"/>
    </w:rPr>
  </w:style>
  <w:style w:type="paragraph" w:customStyle="1" w:styleId="Itadfooterstyle">
    <w:name w:val="Itad footer style"/>
    <w:basedOn w:val="Normal"/>
    <w:rsid w:val="00F3602E"/>
    <w:pPr>
      <w:pBdr>
        <w:top w:val="single" w:sz="4" w:space="1" w:color="A6A6A6"/>
      </w:pBdr>
      <w:tabs>
        <w:tab w:val="right" w:pos="9072"/>
        <w:tab w:val="right" w:pos="15309"/>
      </w:tabs>
      <w:spacing w:before="0" w:line="240" w:lineRule="auto"/>
    </w:pPr>
    <w:rPr>
      <w:rFonts w:ascii="Calibri" w:eastAsia="Calibri" w:hAnsi="Calibri"/>
      <w:sz w:val="16"/>
      <w:szCs w:val="16"/>
      <w:lang w:val="en-US" w:eastAsia="en-US"/>
    </w:rPr>
  </w:style>
  <w:style w:type="paragraph" w:customStyle="1" w:styleId="Itadsectionheading">
    <w:name w:val="Itad section heading"/>
    <w:basedOn w:val="Heading2"/>
    <w:link w:val="ItadsectionheadingChar"/>
    <w:rsid w:val="00F3602E"/>
    <w:pPr>
      <w:keepLines/>
      <w:spacing w:before="0"/>
      <w:ind w:left="0" w:firstLine="0"/>
    </w:pPr>
    <w:rPr>
      <w:rFonts w:ascii="Calibri" w:hAnsi="Calibri" w:cs="Times New Roman"/>
      <w:iCs w:val="0"/>
      <w:color w:val="73B632"/>
      <w:lang w:val="en-GB" w:eastAsia="en-GB"/>
    </w:rPr>
  </w:style>
  <w:style w:type="character" w:customStyle="1" w:styleId="ItadsectionheadingChar">
    <w:name w:val="Itad section heading Char"/>
    <w:link w:val="Itadsectionheading"/>
    <w:rsid w:val="00F3602E"/>
    <w:rPr>
      <w:rFonts w:ascii="Calibri" w:hAnsi="Calibri"/>
      <w:b/>
      <w:bCs/>
      <w:color w:val="73B632"/>
      <w:sz w:val="28"/>
      <w:szCs w:val="28"/>
      <w:lang w:val="en-GB" w:eastAsia="en-GB"/>
    </w:rPr>
  </w:style>
  <w:style w:type="paragraph" w:customStyle="1" w:styleId="Itadbulletpoints">
    <w:name w:val="Itad bullet points"/>
    <w:basedOn w:val="Itadbodycopy"/>
    <w:link w:val="ItadbulletpointsChar"/>
    <w:rsid w:val="00F3602E"/>
    <w:pPr>
      <w:numPr>
        <w:numId w:val="34"/>
      </w:numPr>
      <w:spacing w:after="200"/>
    </w:pPr>
  </w:style>
  <w:style w:type="paragraph" w:customStyle="1" w:styleId="ItadMaintitleheading">
    <w:name w:val="Itad Main title heading"/>
    <w:basedOn w:val="Normal"/>
    <w:rsid w:val="00F3602E"/>
    <w:pPr>
      <w:spacing w:before="0" w:after="4800" w:line="500" w:lineRule="exact"/>
      <w:ind w:left="2126"/>
    </w:pPr>
    <w:rPr>
      <w:rFonts w:ascii="Calibri" w:eastAsia="Calibri" w:hAnsi="Calibri"/>
      <w:caps/>
      <w:sz w:val="48"/>
      <w:szCs w:val="48"/>
      <w:lang w:val="en-US" w:eastAsia="en-US"/>
    </w:rPr>
  </w:style>
  <w:style w:type="paragraph" w:customStyle="1" w:styleId="Itadsubheading">
    <w:name w:val="Itad subheading"/>
    <w:basedOn w:val="Normal"/>
    <w:link w:val="ItadsubheadingChar"/>
    <w:rsid w:val="00F3602E"/>
    <w:pPr>
      <w:spacing w:before="0" w:after="40" w:line="240" w:lineRule="auto"/>
    </w:pPr>
    <w:rPr>
      <w:rFonts w:ascii="Calibri" w:eastAsia="Calibri" w:hAnsi="Calibri"/>
      <w:b/>
      <w:sz w:val="22"/>
      <w:lang w:val="en-GB" w:eastAsia="en-US"/>
    </w:rPr>
  </w:style>
  <w:style w:type="paragraph" w:customStyle="1" w:styleId="Itadbodysubheading">
    <w:name w:val="Itad body subheading"/>
    <w:basedOn w:val="Itadbodycopy"/>
    <w:rsid w:val="00F3602E"/>
    <w:pPr>
      <w:spacing w:after="60"/>
      <w:contextualSpacing/>
    </w:pPr>
    <w:rPr>
      <w:b/>
    </w:rPr>
  </w:style>
  <w:style w:type="paragraph" w:customStyle="1" w:styleId="Itadsub-sectionheading">
    <w:name w:val="Itad sub-section heading"/>
    <w:basedOn w:val="Heading3"/>
    <w:link w:val="Itadsub-sectionheadingChar"/>
    <w:rsid w:val="00F3602E"/>
    <w:pPr>
      <w:keepLines/>
      <w:spacing w:after="200" w:line="276" w:lineRule="auto"/>
      <w:ind w:left="0" w:firstLine="0"/>
    </w:pPr>
    <w:rPr>
      <w:rFonts w:ascii="Calibri" w:hAnsi="Calibri" w:cs="Times New Roman"/>
      <w:color w:val="auto"/>
      <w:sz w:val="28"/>
      <w:szCs w:val="28"/>
      <w:lang w:val="en-GB" w:eastAsia="en-US"/>
    </w:rPr>
  </w:style>
  <w:style w:type="character" w:customStyle="1" w:styleId="Itadsub-sectionheadingChar">
    <w:name w:val="Itad sub-section heading Char"/>
    <w:link w:val="Itadsub-sectionheading"/>
    <w:rsid w:val="00F3602E"/>
    <w:rPr>
      <w:rFonts w:ascii="Calibri" w:hAnsi="Calibri"/>
      <w:b/>
      <w:bCs/>
      <w:sz w:val="28"/>
      <w:szCs w:val="28"/>
      <w:lang w:val="en-GB" w:eastAsia="en-US"/>
    </w:rPr>
  </w:style>
  <w:style w:type="paragraph" w:customStyle="1" w:styleId="Itadsub">
    <w:name w:val="Itad sub"/>
    <w:aliases w:val="sub-section"/>
    <w:basedOn w:val="Itadsub-sectionheading"/>
    <w:link w:val="ItadsubChar"/>
    <w:rsid w:val="00F3602E"/>
    <w:rPr>
      <w:sz w:val="24"/>
    </w:rPr>
  </w:style>
  <w:style w:type="character" w:customStyle="1" w:styleId="ItadsubChar">
    <w:name w:val="Itad sub Char"/>
    <w:aliases w:val="sub-section Char"/>
    <w:link w:val="Itadsub"/>
    <w:rsid w:val="00F3602E"/>
    <w:rPr>
      <w:rFonts w:ascii="Calibri" w:hAnsi="Calibri"/>
      <w:b/>
      <w:bCs/>
      <w:sz w:val="24"/>
      <w:szCs w:val="28"/>
      <w:lang w:val="en-GB" w:eastAsia="en-US"/>
    </w:rPr>
  </w:style>
  <w:style w:type="paragraph" w:customStyle="1" w:styleId="Itadpullquote">
    <w:name w:val="Itad pull quote"/>
    <w:basedOn w:val="Itadbodycopy"/>
    <w:rsid w:val="00F3602E"/>
    <w:rPr>
      <w:color w:val="73B632"/>
      <w:sz w:val="26"/>
      <w:szCs w:val="24"/>
    </w:rPr>
  </w:style>
  <w:style w:type="paragraph" w:customStyle="1" w:styleId="Itadtable">
    <w:name w:val="Itad table"/>
    <w:basedOn w:val="Normal"/>
    <w:rsid w:val="00F3602E"/>
    <w:pPr>
      <w:spacing w:before="0" w:line="240" w:lineRule="auto"/>
      <w:jc w:val="both"/>
    </w:pPr>
    <w:rPr>
      <w:rFonts w:ascii="Calibri" w:eastAsia="Calibri" w:hAnsi="Calibri"/>
      <w:iCs/>
      <w:sz w:val="22"/>
      <w:szCs w:val="22"/>
      <w:lang w:val="en-US" w:eastAsia="en-US"/>
    </w:rPr>
  </w:style>
  <w:style w:type="paragraph" w:customStyle="1" w:styleId="Itadproposalnameclient">
    <w:name w:val="Itad proposal name &amp; client"/>
    <w:basedOn w:val="Normal"/>
    <w:rsid w:val="00F3602E"/>
    <w:pPr>
      <w:spacing w:before="0" w:after="240" w:line="240" w:lineRule="auto"/>
      <w:ind w:left="532"/>
    </w:pPr>
    <w:rPr>
      <w:rFonts w:ascii="Calibri" w:eastAsia="Calibri" w:hAnsi="Calibri"/>
      <w:sz w:val="36"/>
      <w:szCs w:val="36"/>
      <w:lang w:val="en-US" w:eastAsia="en-US"/>
    </w:rPr>
  </w:style>
  <w:style w:type="paragraph" w:customStyle="1" w:styleId="Itadproposaltitle">
    <w:name w:val="Itad proposal title"/>
    <w:basedOn w:val="Normal"/>
    <w:rsid w:val="00F3602E"/>
    <w:pPr>
      <w:spacing w:before="0" w:after="600" w:line="500" w:lineRule="exact"/>
      <w:ind w:left="567"/>
    </w:pPr>
    <w:rPr>
      <w:rFonts w:ascii="Calibri" w:eastAsia="Calibri" w:hAnsi="Calibri"/>
      <w:caps/>
      <w:noProof/>
      <w:sz w:val="48"/>
      <w:szCs w:val="48"/>
      <w:lang w:val="en-US" w:eastAsia="en-US"/>
    </w:rPr>
  </w:style>
  <w:style w:type="paragraph" w:customStyle="1" w:styleId="ItadAcronyms">
    <w:name w:val="Itad Acronyms"/>
    <w:basedOn w:val="Itadbodycopy"/>
    <w:rsid w:val="00F3602E"/>
    <w:pPr>
      <w:tabs>
        <w:tab w:val="left" w:pos="993"/>
      </w:tabs>
    </w:pPr>
  </w:style>
  <w:style w:type="paragraph" w:customStyle="1" w:styleId="Footertext">
    <w:name w:val="Footer text"/>
    <w:uiPriority w:val="39"/>
    <w:semiHidden/>
    <w:rsid w:val="00F3602E"/>
    <w:pPr>
      <w:tabs>
        <w:tab w:val="left" w:pos="5720"/>
      </w:tabs>
    </w:pPr>
    <w:rPr>
      <w:rFonts w:ascii="Arial" w:hAnsi="Arial"/>
      <w:szCs w:val="24"/>
      <w:lang w:eastAsia="en-US"/>
    </w:rPr>
  </w:style>
  <w:style w:type="paragraph" w:customStyle="1" w:styleId="ecxlist1">
    <w:name w:val="ecxlist1"/>
    <w:basedOn w:val="Normal"/>
    <w:rsid w:val="00F3602E"/>
    <w:pPr>
      <w:spacing w:before="100" w:beforeAutospacing="1" w:after="100" w:afterAutospacing="1" w:line="240" w:lineRule="auto"/>
    </w:pPr>
    <w:rPr>
      <w:rFonts w:ascii="Times New Roman" w:hAnsi="Times New Roman"/>
      <w:sz w:val="24"/>
      <w:szCs w:val="24"/>
      <w:lang w:val="en-GB" w:eastAsia="en-GB"/>
    </w:rPr>
  </w:style>
  <w:style w:type="character" w:customStyle="1" w:styleId="ecxmsofootnotereference">
    <w:name w:val="ecxmsofootnotereference"/>
    <w:basedOn w:val="DefaultParagraphFont"/>
    <w:rsid w:val="00F3602E"/>
  </w:style>
  <w:style w:type="table" w:styleId="MediumShading1-Accent3">
    <w:name w:val="Medium Shading 1 Accent 3"/>
    <w:basedOn w:val="TableNormal"/>
    <w:uiPriority w:val="63"/>
    <w:rsid w:val="00F3602E"/>
    <w:rPr>
      <w:rFonts w:ascii="Courier" w:hAnsi="Courier"/>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Grid2">
    <w:name w:val="Table Grid2"/>
    <w:basedOn w:val="TableNormal"/>
    <w:next w:val="TableGrid"/>
    <w:rsid w:val="00F3602E"/>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3602E"/>
    <w:pPr>
      <w:spacing w:before="100" w:beforeAutospacing="1" w:after="100" w:afterAutospacing="1" w:line="240" w:lineRule="auto"/>
    </w:pPr>
    <w:rPr>
      <w:rFonts w:ascii="Times New Roman" w:hAnsi="Times New Roman"/>
      <w:sz w:val="24"/>
      <w:szCs w:val="24"/>
      <w:lang w:val="en-GB" w:eastAsia="en-GB"/>
    </w:rPr>
  </w:style>
  <w:style w:type="table" w:styleId="LightList-Accent2">
    <w:name w:val="Light List Accent 2"/>
    <w:basedOn w:val="TableNormal"/>
    <w:uiPriority w:val="61"/>
    <w:rsid w:val="00F3602E"/>
    <w:rPr>
      <w:rFonts w:ascii="Courier" w:hAnsi="Courie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F3602E"/>
    <w:rPr>
      <w:rFonts w:ascii="Courier" w:hAnsi="Courie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List-bullet-1Char">
    <w:name w:val="List-bullet-1 Char"/>
    <w:link w:val="List-bullet-1"/>
    <w:locked/>
    <w:rsid w:val="00F3602E"/>
    <w:rPr>
      <w:rFonts w:ascii="Arial" w:hAnsi="Arial" w:cs="Arial"/>
    </w:rPr>
  </w:style>
  <w:style w:type="paragraph" w:customStyle="1" w:styleId="List-bullet-1">
    <w:name w:val="List-bullet-1"/>
    <w:basedOn w:val="Normal"/>
    <w:link w:val="List-bullet-1Char"/>
    <w:rsid w:val="00F3602E"/>
    <w:pPr>
      <w:numPr>
        <w:numId w:val="35"/>
      </w:numPr>
      <w:spacing w:before="120" w:after="0" w:line="240" w:lineRule="auto"/>
    </w:pPr>
    <w:rPr>
      <w:rFonts w:ascii="Arial" w:hAnsi="Arial" w:cs="Arial"/>
      <w:sz w:val="20"/>
    </w:rPr>
  </w:style>
  <w:style w:type="table" w:styleId="LightList-Accent1">
    <w:name w:val="Light List Accent 1"/>
    <w:basedOn w:val="TableNormal"/>
    <w:uiPriority w:val="61"/>
    <w:rsid w:val="00F3602E"/>
    <w:rPr>
      <w:rFonts w:asciiTheme="minorHAnsi" w:eastAsiaTheme="minorHAnsi" w:hAnsiTheme="minorHAnsi" w:cstheme="minorBidi"/>
      <w:sz w:val="22"/>
      <w:szCs w:val="22"/>
      <w:lang w:val="en-GB"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ist2">
    <w:name w:val="List2"/>
    <w:basedOn w:val="Normal"/>
    <w:rsid w:val="00F3602E"/>
    <w:pPr>
      <w:keepLines/>
      <w:tabs>
        <w:tab w:val="num" w:pos="284"/>
      </w:tabs>
      <w:suppressAutoHyphens/>
      <w:autoSpaceDE w:val="0"/>
      <w:autoSpaceDN w:val="0"/>
      <w:adjustRightInd w:val="0"/>
      <w:spacing w:before="57" w:after="142"/>
      <w:ind w:left="284" w:hanging="284"/>
      <w:textAlignment w:val="center"/>
    </w:pPr>
    <w:rPr>
      <w:rFonts w:ascii="Cambria" w:hAnsi="Cambria" w:cs="FoundersGrotesk-Regular"/>
      <w:szCs w:val="21"/>
      <w:lang w:val="en-GB" w:eastAsia="en-US"/>
    </w:rPr>
  </w:style>
  <w:style w:type="paragraph" w:customStyle="1" w:styleId="Pa4">
    <w:name w:val="Pa4"/>
    <w:basedOn w:val="Default"/>
    <w:next w:val="Default"/>
    <w:uiPriority w:val="99"/>
    <w:rsid w:val="00F3602E"/>
    <w:pPr>
      <w:spacing w:line="201" w:lineRule="atLeast"/>
    </w:pPr>
    <w:rPr>
      <w:rFonts w:ascii="Trade Gothic LT Std" w:eastAsia="Calibri" w:hAnsi="Trade Gothic LT Std" w:cs="Times New Roman"/>
      <w:color w:val="auto"/>
      <w:lang w:eastAsia="en-GB"/>
    </w:rPr>
  </w:style>
  <w:style w:type="character" w:customStyle="1" w:styleId="A5">
    <w:name w:val="A5"/>
    <w:uiPriority w:val="99"/>
    <w:rsid w:val="00F3602E"/>
    <w:rPr>
      <w:rFonts w:cs="Trade Gothic LT Std"/>
      <w:color w:val="000000"/>
      <w:sz w:val="20"/>
      <w:szCs w:val="20"/>
    </w:rPr>
  </w:style>
  <w:style w:type="paragraph" w:customStyle="1" w:styleId="Pa70">
    <w:name w:val="Pa70"/>
    <w:basedOn w:val="Default"/>
    <w:next w:val="Default"/>
    <w:uiPriority w:val="99"/>
    <w:rsid w:val="00F3602E"/>
    <w:pPr>
      <w:spacing w:line="241" w:lineRule="atLeast"/>
    </w:pPr>
    <w:rPr>
      <w:rFonts w:ascii="Helvetica 55 Roman" w:eastAsia="Calibri" w:hAnsi="Helvetica 55 Roman" w:cs="Times New Roman"/>
      <w:color w:val="auto"/>
      <w:lang w:eastAsia="en-GB"/>
    </w:rPr>
  </w:style>
  <w:style w:type="character" w:customStyle="1" w:styleId="StyleTimesNewRoman12pt">
    <w:name w:val="Style Times New Roman 12 pt"/>
    <w:rsid w:val="00F3602E"/>
    <w:rPr>
      <w:rFonts w:ascii="Times New Roman" w:hAnsi="Times New Roman"/>
      <w:sz w:val="24"/>
    </w:rPr>
  </w:style>
  <w:style w:type="numbering" w:customStyle="1" w:styleId="Outlinebullets">
    <w:name w:val="Outline bullets"/>
    <w:basedOn w:val="NoList"/>
    <w:rsid w:val="00F3602E"/>
    <w:pPr>
      <w:numPr>
        <w:numId w:val="36"/>
      </w:numPr>
    </w:pPr>
  </w:style>
  <w:style w:type="character" w:customStyle="1" w:styleId="EndnoteTextChar1">
    <w:name w:val="Endnote Text Char1"/>
    <w:uiPriority w:val="99"/>
    <w:semiHidden/>
    <w:rsid w:val="00F3602E"/>
    <w:rPr>
      <w:rFonts w:ascii="Calibri" w:eastAsia="Calibri" w:hAnsi="Calibri" w:cs="Times New Roman"/>
      <w:sz w:val="20"/>
      <w:szCs w:val="20"/>
    </w:rPr>
  </w:style>
  <w:style w:type="table" w:customStyle="1" w:styleId="LightList1">
    <w:name w:val="Light List1"/>
    <w:basedOn w:val="TableNormal"/>
    <w:uiPriority w:val="61"/>
    <w:rsid w:val="00F3602E"/>
    <w:rPr>
      <w:rFonts w:ascii="Courier" w:hAnsi="Courie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rPr>
      <w:tblPr/>
      <w:tcPr>
        <w:shd w:val="clear" w:color="auto" w:fill="31849B"/>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mmentSubjectChar1">
    <w:name w:val="Comment Subject Char1"/>
    <w:uiPriority w:val="99"/>
    <w:semiHidden/>
    <w:rsid w:val="00F3602E"/>
    <w:rPr>
      <w:rFonts w:ascii="Garamond" w:eastAsia="Times New Roman" w:hAnsi="Garamond" w:cs="Times New Roman"/>
      <w:b/>
      <w:bCs/>
      <w:color w:val="000000"/>
      <w:sz w:val="21"/>
      <w:szCs w:val="20"/>
      <w:lang w:val="en-AU" w:eastAsia="en-AU"/>
    </w:rPr>
  </w:style>
  <w:style w:type="paragraph" w:customStyle="1" w:styleId="Annexheading">
    <w:name w:val="Annex heading"/>
    <w:basedOn w:val="Itadheading1"/>
    <w:link w:val="AnnexheadingChar"/>
    <w:rsid w:val="00F3602E"/>
    <w:pPr>
      <w:numPr>
        <w:numId w:val="0"/>
      </w:numPr>
    </w:pPr>
    <w:rPr>
      <w:color w:val="31849B"/>
      <w:sz w:val="44"/>
    </w:rPr>
  </w:style>
  <w:style w:type="paragraph" w:customStyle="1" w:styleId="annexbodytext">
    <w:name w:val="annex body text"/>
    <w:basedOn w:val="Normal"/>
    <w:link w:val="annexbodytextChar"/>
    <w:rsid w:val="00F3602E"/>
    <w:pPr>
      <w:spacing w:before="0" w:line="240" w:lineRule="auto"/>
      <w:jc w:val="both"/>
    </w:pPr>
    <w:rPr>
      <w:rFonts w:ascii="Cambria" w:eastAsia="Calibri" w:hAnsi="Cambria"/>
      <w:sz w:val="22"/>
      <w:szCs w:val="22"/>
      <w:lang w:val="en-US" w:eastAsia="en-US"/>
    </w:rPr>
  </w:style>
  <w:style w:type="character" w:customStyle="1" w:styleId="AnnexheadingChar">
    <w:name w:val="Annex heading Char"/>
    <w:link w:val="Annexheading"/>
    <w:rsid w:val="00F3602E"/>
    <w:rPr>
      <w:rFonts w:ascii="Calibri" w:hAnsi="Calibri"/>
      <w:b/>
      <w:bCs/>
      <w:color w:val="31849B"/>
      <w:sz w:val="44"/>
      <w:szCs w:val="44"/>
      <w:lang w:val="en-GB" w:eastAsia="en-GB"/>
    </w:rPr>
  </w:style>
  <w:style w:type="paragraph" w:customStyle="1" w:styleId="annexsubtitle">
    <w:name w:val="annex sub title"/>
    <w:basedOn w:val="Itadsubheading"/>
    <w:link w:val="annexsubtitleChar"/>
    <w:rsid w:val="002A1F5C"/>
    <w:pPr>
      <w:keepNext/>
    </w:pPr>
    <w:rPr>
      <w:color w:val="E36C0A"/>
      <w:sz w:val="32"/>
      <w:szCs w:val="32"/>
    </w:rPr>
  </w:style>
  <w:style w:type="character" w:customStyle="1" w:styleId="annexbodytextChar">
    <w:name w:val="annex body text Char"/>
    <w:link w:val="annexbodytext"/>
    <w:rsid w:val="00F3602E"/>
    <w:rPr>
      <w:rFonts w:ascii="Cambria" w:eastAsia="Calibri" w:hAnsi="Cambria"/>
      <w:sz w:val="22"/>
      <w:szCs w:val="22"/>
      <w:lang w:val="en-US" w:eastAsia="en-US"/>
    </w:rPr>
  </w:style>
  <w:style w:type="paragraph" w:customStyle="1" w:styleId="annexbosytext">
    <w:name w:val="annex bosy text"/>
    <w:basedOn w:val="Normal"/>
    <w:link w:val="annexbosytextChar"/>
    <w:rsid w:val="00F3602E"/>
    <w:rPr>
      <w:rFonts w:ascii="Cambria" w:eastAsia="Calibri" w:hAnsi="Cambria"/>
      <w:szCs w:val="21"/>
      <w:lang w:val="en-US" w:eastAsia="en-US"/>
    </w:rPr>
  </w:style>
  <w:style w:type="character" w:customStyle="1" w:styleId="ItadsubheadingChar">
    <w:name w:val="Itad subheading Char"/>
    <w:link w:val="Itadsubheading"/>
    <w:rsid w:val="00F3602E"/>
    <w:rPr>
      <w:rFonts w:ascii="Calibri" w:eastAsia="Calibri" w:hAnsi="Calibri"/>
      <w:b/>
      <w:sz w:val="22"/>
      <w:lang w:val="en-GB" w:eastAsia="en-US"/>
    </w:rPr>
  </w:style>
  <w:style w:type="character" w:customStyle="1" w:styleId="annexsubtitleChar">
    <w:name w:val="annex sub title Char"/>
    <w:link w:val="annexsubtitle"/>
    <w:rsid w:val="002A1F5C"/>
    <w:rPr>
      <w:rFonts w:ascii="Calibri" w:eastAsia="Calibri" w:hAnsi="Calibri"/>
      <w:b/>
      <w:color w:val="E36C0A"/>
      <w:sz w:val="32"/>
      <w:szCs w:val="32"/>
      <w:lang w:val="en-GB" w:eastAsia="en-US"/>
    </w:rPr>
  </w:style>
  <w:style w:type="paragraph" w:customStyle="1" w:styleId="annexsubtitle2">
    <w:name w:val="annex sub title 2"/>
    <w:basedOn w:val="Itadsubheading"/>
    <w:link w:val="annexsubtitle2Char"/>
    <w:rsid w:val="00F3602E"/>
    <w:rPr>
      <w:sz w:val="24"/>
      <w:szCs w:val="24"/>
    </w:rPr>
  </w:style>
  <w:style w:type="character" w:customStyle="1" w:styleId="annexbosytextChar">
    <w:name w:val="annex bosy text Char"/>
    <w:link w:val="annexbosytext"/>
    <w:rsid w:val="00F3602E"/>
    <w:rPr>
      <w:rFonts w:ascii="Cambria" w:eastAsia="Calibri" w:hAnsi="Cambria"/>
      <w:sz w:val="21"/>
      <w:szCs w:val="21"/>
      <w:lang w:val="en-US" w:eastAsia="en-US"/>
    </w:rPr>
  </w:style>
  <w:style w:type="paragraph" w:customStyle="1" w:styleId="annexbulletpoints">
    <w:name w:val="annex bullet points"/>
    <w:basedOn w:val="Itadbulletpoints"/>
    <w:link w:val="annexbulletpointsChar"/>
    <w:rsid w:val="00F3602E"/>
    <w:pPr>
      <w:spacing w:before="40" w:after="120" w:line="288" w:lineRule="auto"/>
    </w:pPr>
    <w:rPr>
      <w:rFonts w:ascii="Cambria" w:hAnsi="Cambria"/>
      <w:sz w:val="21"/>
      <w:szCs w:val="21"/>
    </w:rPr>
  </w:style>
  <w:style w:type="character" w:customStyle="1" w:styleId="annexsubtitle2Char">
    <w:name w:val="annex sub title 2 Char"/>
    <w:link w:val="annexsubtitle2"/>
    <w:rsid w:val="00F3602E"/>
    <w:rPr>
      <w:rFonts w:ascii="Calibri" w:eastAsia="Calibri" w:hAnsi="Calibri"/>
      <w:b/>
      <w:sz w:val="24"/>
      <w:szCs w:val="24"/>
      <w:lang w:val="en-GB" w:eastAsia="en-US"/>
    </w:rPr>
  </w:style>
  <w:style w:type="paragraph" w:customStyle="1" w:styleId="annexfigureheading">
    <w:name w:val="annex figure heading"/>
    <w:basedOn w:val="Caption"/>
    <w:link w:val="annexfigureheadingChar"/>
    <w:rsid w:val="00F3602E"/>
    <w:pPr>
      <w:spacing w:before="120" w:after="120"/>
      <w:ind w:left="1077" w:hanging="1077"/>
    </w:pPr>
    <w:rPr>
      <w:rFonts w:ascii="Calibri" w:hAnsi="Calibri"/>
      <w:bCs w:val="0"/>
      <w:color w:val="000000"/>
      <w:sz w:val="21"/>
      <w:szCs w:val="21"/>
    </w:rPr>
  </w:style>
  <w:style w:type="character" w:customStyle="1" w:styleId="ItadbodycopyChar">
    <w:name w:val="Itad body copy Char"/>
    <w:link w:val="Itadbodycopy"/>
    <w:rsid w:val="00F3602E"/>
    <w:rPr>
      <w:rFonts w:ascii="Calibri" w:eastAsia="Calibri" w:hAnsi="Calibri"/>
      <w:sz w:val="22"/>
      <w:lang w:val="en-GB" w:eastAsia="en-US"/>
    </w:rPr>
  </w:style>
  <w:style w:type="character" w:customStyle="1" w:styleId="ItadbulletpointsChar">
    <w:name w:val="Itad bullet points Char"/>
    <w:link w:val="Itadbulletpoints"/>
    <w:rsid w:val="00F3602E"/>
    <w:rPr>
      <w:rFonts w:ascii="Calibri" w:eastAsia="Calibri" w:hAnsi="Calibri"/>
      <w:sz w:val="22"/>
      <w:lang w:val="en-GB" w:eastAsia="en-US"/>
    </w:rPr>
  </w:style>
  <w:style w:type="character" w:customStyle="1" w:styleId="annexbulletpointsChar">
    <w:name w:val="annex bullet points Char"/>
    <w:link w:val="annexbulletpoints"/>
    <w:rsid w:val="00F3602E"/>
    <w:rPr>
      <w:rFonts w:ascii="Cambria" w:eastAsia="Calibri" w:hAnsi="Cambria"/>
      <w:sz w:val="21"/>
      <w:szCs w:val="21"/>
      <w:lang w:val="en-GB" w:eastAsia="en-US"/>
    </w:rPr>
  </w:style>
  <w:style w:type="character" w:customStyle="1" w:styleId="CaptionChar">
    <w:name w:val="Caption Char"/>
    <w:link w:val="Caption"/>
    <w:uiPriority w:val="35"/>
    <w:rsid w:val="002C4B45"/>
    <w:rPr>
      <w:rFonts w:ascii="Franklin Gothic Book" w:hAnsi="Franklin Gothic Book"/>
      <w:b/>
      <w:bCs/>
      <w:szCs w:val="18"/>
    </w:rPr>
  </w:style>
  <w:style w:type="character" w:customStyle="1" w:styleId="annexfigureheadingChar">
    <w:name w:val="annex figure heading Char"/>
    <w:link w:val="annexfigureheading"/>
    <w:rsid w:val="00F3602E"/>
    <w:rPr>
      <w:rFonts w:ascii="Calibri" w:hAnsi="Calibri"/>
      <w:b/>
      <w:color w:val="000000"/>
      <w:sz w:val="21"/>
      <w:szCs w:val="21"/>
    </w:rPr>
  </w:style>
  <w:style w:type="table" w:styleId="LightList-Accent5">
    <w:name w:val="Light List Accent 5"/>
    <w:basedOn w:val="TableNormal"/>
    <w:uiPriority w:val="61"/>
    <w:rsid w:val="00F3602E"/>
    <w:rPr>
      <w:rFonts w:ascii="Calibri" w:eastAsia="Calibri" w:hAnsi="Calibri"/>
      <w:lang w:val="en-GB" w:eastAsia="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yle1">
    <w:name w:val="Style1"/>
    <w:basedOn w:val="TableNormal"/>
    <w:uiPriority w:val="99"/>
    <w:qFormat/>
    <w:rsid w:val="00F3602E"/>
    <w:rPr>
      <w:rFonts w:ascii="Calibri" w:eastAsia="Calibri" w:hAnsi="Calibri"/>
      <w:lang w:val="en-GB" w:eastAsia="en-GB"/>
    </w:rPr>
    <w:tblPr>
      <w:tblInd w:w="0" w:type="dxa"/>
      <w:tblCellMar>
        <w:top w:w="0" w:type="dxa"/>
        <w:left w:w="108" w:type="dxa"/>
        <w:bottom w:w="0" w:type="dxa"/>
        <w:right w:w="108" w:type="dxa"/>
      </w:tblCellMar>
    </w:tblPr>
  </w:style>
  <w:style w:type="table" w:customStyle="1" w:styleId="Style2">
    <w:name w:val="Style2"/>
    <w:basedOn w:val="TableNormal"/>
    <w:uiPriority w:val="99"/>
    <w:qFormat/>
    <w:rsid w:val="00F3602E"/>
    <w:rPr>
      <w:rFonts w:eastAsia="Calibri"/>
      <w:lang w:val="en-GB" w:eastAsia="en-GB"/>
    </w:rPr>
    <w:tblPr>
      <w:tblInd w:w="0" w:type="dxa"/>
      <w:tblCellMar>
        <w:top w:w="0" w:type="dxa"/>
        <w:left w:w="108" w:type="dxa"/>
        <w:bottom w:w="0" w:type="dxa"/>
        <w:right w:w="108" w:type="dxa"/>
      </w:tblCellMar>
    </w:tblPr>
  </w:style>
  <w:style w:type="paragraph" w:styleId="TOC5">
    <w:name w:val="toc 5"/>
    <w:basedOn w:val="Normal"/>
    <w:next w:val="Normal"/>
    <w:autoRedefine/>
    <w:uiPriority w:val="39"/>
    <w:unhideWhenUsed/>
    <w:rsid w:val="00F3602E"/>
    <w:pPr>
      <w:spacing w:before="0" w:after="100" w:line="276"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F3602E"/>
    <w:pPr>
      <w:spacing w:before="0" w:after="100" w:line="276"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F3602E"/>
    <w:pPr>
      <w:spacing w:before="0" w:after="100" w:line="276"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F3602E"/>
    <w:pPr>
      <w:spacing w:before="0" w:after="100" w:line="276"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F3602E"/>
    <w:pPr>
      <w:spacing w:before="0" w:after="100" w:line="276" w:lineRule="auto"/>
      <w:ind w:left="1760"/>
    </w:pPr>
    <w:rPr>
      <w:rFonts w:asciiTheme="minorHAnsi" w:eastAsiaTheme="minorEastAsia" w:hAnsiTheme="minorHAnsi" w:cstheme="minorBidi"/>
      <w:sz w:val="22"/>
      <w:szCs w:val="22"/>
      <w:lang w:val="en-GB" w:eastAsia="en-GB"/>
    </w:rPr>
  </w:style>
  <w:style w:type="paragraph" w:customStyle="1" w:styleId="List3">
    <w:name w:val="List3"/>
    <w:basedOn w:val="BodyCopy"/>
    <w:rsid w:val="005771D2"/>
    <w:pPr>
      <w:keepLines/>
      <w:widowControl/>
      <w:tabs>
        <w:tab w:val="num" w:pos="284"/>
      </w:tabs>
      <w:ind w:left="284" w:hanging="284"/>
    </w:pPr>
    <w:rPr>
      <w:rFonts w:eastAsia="Times New Roman" w:cs="FoundersGrotesk-Regular"/>
      <w:lang w:eastAsia="en-US"/>
    </w:rPr>
  </w:style>
  <w:style w:type="numbering" w:customStyle="1" w:styleId="NoList1">
    <w:name w:val="No List1"/>
    <w:next w:val="NoList"/>
    <w:uiPriority w:val="99"/>
    <w:semiHidden/>
    <w:unhideWhenUsed/>
    <w:rsid w:val="00E57F60"/>
  </w:style>
  <w:style w:type="table" w:customStyle="1" w:styleId="TableGrid3">
    <w:name w:val="Table Grid3"/>
    <w:basedOn w:val="TableNormal"/>
    <w:next w:val="TableGrid"/>
    <w:uiPriority w:val="59"/>
    <w:rsid w:val="00E57F60"/>
    <w:tblPr>
      <w:tblInd w:w="0" w:type="dxa"/>
      <w:tblCellMar>
        <w:top w:w="0" w:type="dxa"/>
        <w:left w:w="0" w:type="dxa"/>
        <w:bottom w:w="0" w:type="dxa"/>
        <w:right w:w="0" w:type="dxa"/>
      </w:tblCellMar>
    </w:tblPr>
  </w:style>
  <w:style w:type="table" w:customStyle="1" w:styleId="TableODE1">
    <w:name w:val="Table_ODE1"/>
    <w:basedOn w:val="TableGrid"/>
    <w:semiHidden/>
    <w:rsid w:val="00E57F60"/>
    <w:rPr>
      <w:rFonts w:ascii="Arial Narrow" w:hAnsi="Arial Narrow"/>
      <w:color w:val="auto"/>
    </w:rPr>
    <w:tblPr>
      <w:tblInd w:w="0" w:type="dxa"/>
      <w:tblBorders>
        <w:top w:val="single" w:sz="6" w:space="0" w:color="007C92"/>
        <w:bottom w:val="single" w:sz="6" w:space="0" w:color="007C92"/>
        <w:insideH w:val="single" w:sz="6" w:space="0" w:color="007C92"/>
      </w:tblBorders>
      <w:tblCellMar>
        <w:top w:w="0" w:type="dxa"/>
        <w:left w:w="108" w:type="dxa"/>
        <w:bottom w:w="0" w:type="dxa"/>
        <w:right w:w="108" w:type="dxa"/>
      </w:tblCellMar>
    </w:tblPr>
    <w:tcPr>
      <w:shd w:val="clear" w:color="auto" w:fill="E6F3F6"/>
    </w:tcPr>
    <w:tblStylePr w:type="firstRow">
      <w:rPr>
        <w:rFonts w:ascii="Tahoma" w:hAnsi="Tahoma"/>
        <w:b w:val="0"/>
        <w:i w:val="0"/>
        <w:caps w:val="0"/>
        <w:smallCaps w:val="0"/>
        <w:color w:val="FFFFFF"/>
        <w:sz w:val="18"/>
        <w:szCs w:val="18"/>
      </w:rPr>
      <w:tblPr/>
      <w:tcPr>
        <w:tcBorders>
          <w:top w:val="nil"/>
          <w:left w:val="nil"/>
          <w:bottom w:val="nil"/>
          <w:right w:val="nil"/>
          <w:insideH w:val="nil"/>
          <w:insideV w:val="nil"/>
          <w:tl2br w:val="nil"/>
          <w:tr2bl w:val="nil"/>
        </w:tcBorders>
        <w:shd w:val="clear" w:color="auto" w:fill="0087A2"/>
      </w:tcPr>
    </w:tblStylePr>
  </w:style>
  <w:style w:type="table" w:customStyle="1" w:styleId="ODETable1">
    <w:name w:val="ODE Table1"/>
    <w:basedOn w:val="TableNormal"/>
    <w:uiPriority w:val="99"/>
    <w:rsid w:val="00E57F60"/>
    <w:rPr>
      <w:rFonts w:ascii="Courier" w:hAnsi="Courier"/>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left w:w="57" w:type="dxa"/>
        <w:bottom w:w="113" w:type="dxa"/>
        <w:right w:w="57" w:type="dxa"/>
      </w:tblCellMar>
    </w:tblPr>
    <w:tcPr>
      <w:shd w:val="clear" w:color="auto" w:fill="EEEFEE"/>
    </w:tcPr>
    <w:tblStylePr w:type="firstRow">
      <w:tblPr/>
      <w:tcPr>
        <w:shd w:val="clear" w:color="auto" w:fill="92C3CA"/>
      </w:tcPr>
    </w:tblStylePr>
  </w:style>
  <w:style w:type="table" w:customStyle="1" w:styleId="TableGrid11">
    <w:name w:val="Table Grid11"/>
    <w:basedOn w:val="TableNormal"/>
    <w:next w:val="TableGrid"/>
    <w:uiPriority w:val="59"/>
    <w:rsid w:val="00E57F60"/>
    <w:tblPr>
      <w:tblInd w:w="0" w:type="dxa"/>
      <w:tblCellMar>
        <w:top w:w="0" w:type="dxa"/>
        <w:left w:w="0" w:type="dxa"/>
        <w:bottom w:w="0" w:type="dxa"/>
        <w:right w:w="0" w:type="dxa"/>
      </w:tblCellMar>
    </w:tblPr>
  </w:style>
  <w:style w:type="numbering" w:customStyle="1" w:styleId="JSH1">
    <w:name w:val="JSH1"/>
    <w:uiPriority w:val="99"/>
    <w:rsid w:val="00E57F60"/>
  </w:style>
  <w:style w:type="table" w:customStyle="1" w:styleId="LightList2">
    <w:name w:val="Light List2"/>
    <w:basedOn w:val="TableNormal"/>
    <w:next w:val="LightList"/>
    <w:uiPriority w:val="61"/>
    <w:rsid w:val="00E57F60"/>
    <w:rPr>
      <w:rFonts w:ascii="Courier" w:hAnsi="Courie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31">
    <w:name w:val="Medium Shading 1 - Accent 31"/>
    <w:basedOn w:val="TableNormal"/>
    <w:next w:val="MediumShading1-Accent3"/>
    <w:uiPriority w:val="63"/>
    <w:rsid w:val="00E57F60"/>
    <w:rPr>
      <w:rFonts w:ascii="Courier" w:hAnsi="Courier"/>
    </w:rPr>
    <w:tblPr>
      <w:tblStyleRowBandSize w:val="1"/>
      <w:tblStyleColBandSize w:val="1"/>
      <w:tblInd w:w="0" w:type="dxa"/>
      <w:tblBorders>
        <w:top w:val="single" w:sz="8" w:space="0" w:color="E4E6E6"/>
        <w:left w:val="single" w:sz="8" w:space="0" w:color="E4E6E6"/>
        <w:bottom w:val="single" w:sz="8" w:space="0" w:color="E4E6E6"/>
        <w:right w:val="single" w:sz="8" w:space="0" w:color="E4E6E6"/>
        <w:insideH w:val="single" w:sz="8" w:space="0" w:color="E4E6E6"/>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E4E6E6"/>
          <w:left w:val="single" w:sz="8" w:space="0" w:color="E4E6E6"/>
          <w:bottom w:val="single" w:sz="8" w:space="0" w:color="E4E6E6"/>
          <w:right w:val="single" w:sz="8" w:space="0" w:color="E4E6E6"/>
          <w:insideH w:val="nil"/>
          <w:insideV w:val="nil"/>
        </w:tcBorders>
        <w:shd w:val="clear" w:color="auto" w:fill="DCDEDE"/>
      </w:tcPr>
    </w:tblStylePr>
    <w:tblStylePr w:type="lastRow">
      <w:pPr>
        <w:spacing w:before="0" w:after="0" w:line="240" w:lineRule="auto"/>
      </w:pPr>
      <w:rPr>
        <w:b/>
        <w:bCs/>
      </w:rPr>
      <w:tblPr/>
      <w:tcPr>
        <w:tcBorders>
          <w:top w:val="double" w:sz="6" w:space="0" w:color="E4E6E6"/>
          <w:left w:val="single" w:sz="8" w:space="0" w:color="E4E6E6"/>
          <w:bottom w:val="single" w:sz="8" w:space="0" w:color="E4E6E6"/>
          <w:right w:val="single" w:sz="8" w:space="0" w:color="E4E6E6"/>
          <w:insideH w:val="nil"/>
          <w:insideV w:val="nil"/>
        </w:tcBorders>
      </w:tcPr>
    </w:tblStylePr>
    <w:tblStylePr w:type="firstCol">
      <w:rPr>
        <w:b/>
        <w:bCs/>
      </w:rPr>
    </w:tblStylePr>
    <w:tblStylePr w:type="lastCol">
      <w:rPr>
        <w:b/>
        <w:bCs/>
      </w:rPr>
    </w:tblStylePr>
    <w:tblStylePr w:type="band1Vert">
      <w:tblPr/>
      <w:tcPr>
        <w:shd w:val="clear" w:color="auto" w:fill="F6F6F6"/>
      </w:tcPr>
    </w:tblStylePr>
    <w:tblStylePr w:type="band1Horz">
      <w:tblPr/>
      <w:tcPr>
        <w:tcBorders>
          <w:insideH w:val="nil"/>
          <w:insideV w:val="nil"/>
        </w:tcBorders>
        <w:shd w:val="clear" w:color="auto" w:fill="F6F6F6"/>
      </w:tcPr>
    </w:tblStylePr>
    <w:tblStylePr w:type="band2Horz">
      <w:tblPr/>
      <w:tcPr>
        <w:tcBorders>
          <w:insideH w:val="nil"/>
          <w:insideV w:val="nil"/>
        </w:tcBorders>
      </w:tcPr>
    </w:tblStylePr>
  </w:style>
  <w:style w:type="table" w:customStyle="1" w:styleId="TableGrid21">
    <w:name w:val="Table Grid21"/>
    <w:basedOn w:val="TableNormal"/>
    <w:next w:val="TableGrid"/>
    <w:rsid w:val="00E57F60"/>
    <w:rPr>
      <w:rFonts w:ascii="Cambria" w:eastAsia="Cambria" w:hAnsi="Cambria"/>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21">
    <w:name w:val="Light List - Accent 21"/>
    <w:basedOn w:val="TableNormal"/>
    <w:next w:val="LightList-Accent2"/>
    <w:uiPriority w:val="61"/>
    <w:rsid w:val="00E57F60"/>
    <w:rPr>
      <w:rFonts w:ascii="Courier" w:hAnsi="Courier"/>
    </w:rPr>
    <w:tblPr>
      <w:tblStyleRowBandSize w:val="1"/>
      <w:tblStyleColBandSize w:val="1"/>
      <w:tblInd w:w="0" w:type="dxa"/>
      <w:tblBorders>
        <w:top w:val="single" w:sz="8" w:space="0" w:color="92C3CA"/>
        <w:left w:val="single" w:sz="8" w:space="0" w:color="92C3CA"/>
        <w:bottom w:val="single" w:sz="8" w:space="0" w:color="92C3CA"/>
        <w:right w:val="single" w:sz="8" w:space="0" w:color="92C3CA"/>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2C3CA"/>
      </w:tcPr>
    </w:tblStylePr>
    <w:tblStylePr w:type="lastRow">
      <w:pPr>
        <w:spacing w:before="0" w:after="0" w:line="240" w:lineRule="auto"/>
      </w:pPr>
      <w:rPr>
        <w:b/>
        <w:bCs/>
      </w:rPr>
      <w:tblPr/>
      <w:tcPr>
        <w:tcBorders>
          <w:top w:val="double" w:sz="6" w:space="0" w:color="92C3CA"/>
          <w:left w:val="single" w:sz="8" w:space="0" w:color="92C3CA"/>
          <w:bottom w:val="single" w:sz="8" w:space="0" w:color="92C3CA"/>
          <w:right w:val="single" w:sz="8" w:space="0" w:color="92C3CA"/>
        </w:tcBorders>
      </w:tcPr>
    </w:tblStylePr>
    <w:tblStylePr w:type="firstCol">
      <w:rPr>
        <w:b/>
        <w:bCs/>
      </w:rPr>
    </w:tblStylePr>
    <w:tblStylePr w:type="lastCol">
      <w:rPr>
        <w:b/>
        <w:bCs/>
      </w:rPr>
    </w:tblStylePr>
    <w:tblStylePr w:type="band1Vert">
      <w:tblPr/>
      <w:tcPr>
        <w:tcBorders>
          <w:top w:val="single" w:sz="8" w:space="0" w:color="92C3CA"/>
          <w:left w:val="single" w:sz="8" w:space="0" w:color="92C3CA"/>
          <w:bottom w:val="single" w:sz="8" w:space="0" w:color="92C3CA"/>
          <w:right w:val="single" w:sz="8" w:space="0" w:color="92C3CA"/>
        </w:tcBorders>
      </w:tcPr>
    </w:tblStylePr>
    <w:tblStylePr w:type="band1Horz">
      <w:tblPr/>
      <w:tcPr>
        <w:tcBorders>
          <w:top w:val="single" w:sz="8" w:space="0" w:color="92C3CA"/>
          <w:left w:val="single" w:sz="8" w:space="0" w:color="92C3CA"/>
          <w:bottom w:val="single" w:sz="8" w:space="0" w:color="92C3CA"/>
          <w:right w:val="single" w:sz="8" w:space="0" w:color="92C3CA"/>
        </w:tcBorders>
      </w:tcPr>
    </w:tblStylePr>
  </w:style>
  <w:style w:type="table" w:customStyle="1" w:styleId="LightShading-Accent21">
    <w:name w:val="Light Shading - Accent 21"/>
    <w:basedOn w:val="TableNormal"/>
    <w:next w:val="LightShading-Accent2"/>
    <w:uiPriority w:val="60"/>
    <w:rsid w:val="00E57F60"/>
    <w:rPr>
      <w:rFonts w:ascii="Courier" w:hAnsi="Courier"/>
      <w:color w:val="57A2AD"/>
    </w:rPr>
    <w:tblPr>
      <w:tblStyleRowBandSize w:val="1"/>
      <w:tblStyleColBandSize w:val="1"/>
      <w:tblInd w:w="0" w:type="dxa"/>
      <w:tblBorders>
        <w:top w:val="single" w:sz="8" w:space="0" w:color="92C3CA"/>
        <w:bottom w:val="single" w:sz="8" w:space="0" w:color="92C3C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2C3CA"/>
          <w:left w:val="nil"/>
          <w:bottom w:val="single" w:sz="8" w:space="0" w:color="92C3CA"/>
          <w:right w:val="nil"/>
          <w:insideH w:val="nil"/>
          <w:insideV w:val="nil"/>
        </w:tcBorders>
      </w:tcPr>
    </w:tblStylePr>
    <w:tblStylePr w:type="lastRow">
      <w:pPr>
        <w:spacing w:before="0" w:after="0" w:line="240" w:lineRule="auto"/>
      </w:pPr>
      <w:rPr>
        <w:b/>
        <w:bCs/>
      </w:rPr>
      <w:tblPr/>
      <w:tcPr>
        <w:tcBorders>
          <w:top w:val="single" w:sz="8" w:space="0" w:color="92C3CA"/>
          <w:left w:val="nil"/>
          <w:bottom w:val="single" w:sz="8" w:space="0" w:color="92C3C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0F1"/>
      </w:tcPr>
    </w:tblStylePr>
    <w:tblStylePr w:type="band1Horz">
      <w:tblPr/>
      <w:tcPr>
        <w:tcBorders>
          <w:left w:val="nil"/>
          <w:right w:val="nil"/>
          <w:insideH w:val="nil"/>
          <w:insideV w:val="nil"/>
        </w:tcBorders>
        <w:shd w:val="clear" w:color="auto" w:fill="E3F0F1"/>
      </w:tcPr>
    </w:tblStylePr>
  </w:style>
  <w:style w:type="table" w:customStyle="1" w:styleId="LightList-Accent11">
    <w:name w:val="Light List - Accent 11"/>
    <w:basedOn w:val="TableNormal"/>
    <w:next w:val="LightList-Accent1"/>
    <w:uiPriority w:val="61"/>
    <w:rsid w:val="00E57F60"/>
    <w:rPr>
      <w:rFonts w:ascii="Cambria" w:eastAsia="Cambria" w:hAnsi="Cambria"/>
      <w:sz w:val="22"/>
      <w:szCs w:val="22"/>
      <w:lang w:val="en-GB" w:eastAsia="en-US"/>
    </w:rPr>
    <w:tblPr>
      <w:tblStyleRowBandSize w:val="1"/>
      <w:tblStyleColBandSize w:val="1"/>
      <w:tblInd w:w="0" w:type="dxa"/>
      <w:tblBorders>
        <w:top w:val="single" w:sz="8" w:space="0" w:color="0087A2"/>
        <w:left w:val="single" w:sz="8" w:space="0" w:color="0087A2"/>
        <w:bottom w:val="single" w:sz="8" w:space="0" w:color="0087A2"/>
        <w:right w:val="single" w:sz="8" w:space="0" w:color="0087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87A2"/>
      </w:tcPr>
    </w:tblStylePr>
    <w:tblStylePr w:type="lastRow">
      <w:pPr>
        <w:spacing w:before="0" w:after="0" w:line="240" w:lineRule="auto"/>
      </w:pPr>
      <w:rPr>
        <w:b/>
        <w:bCs/>
      </w:rPr>
      <w:tblPr/>
      <w:tcPr>
        <w:tcBorders>
          <w:top w:val="double" w:sz="6" w:space="0" w:color="0087A2"/>
          <w:left w:val="single" w:sz="8" w:space="0" w:color="0087A2"/>
          <w:bottom w:val="single" w:sz="8" w:space="0" w:color="0087A2"/>
          <w:right w:val="single" w:sz="8" w:space="0" w:color="0087A2"/>
        </w:tcBorders>
      </w:tcPr>
    </w:tblStylePr>
    <w:tblStylePr w:type="firstCol">
      <w:rPr>
        <w:b/>
        <w:bCs/>
      </w:rPr>
    </w:tblStylePr>
    <w:tblStylePr w:type="lastCol">
      <w:rPr>
        <w:b/>
        <w:bCs/>
      </w:rPr>
    </w:tblStylePr>
    <w:tblStylePr w:type="band1Vert">
      <w:tblPr/>
      <w:tcPr>
        <w:tcBorders>
          <w:top w:val="single" w:sz="8" w:space="0" w:color="0087A2"/>
          <w:left w:val="single" w:sz="8" w:space="0" w:color="0087A2"/>
          <w:bottom w:val="single" w:sz="8" w:space="0" w:color="0087A2"/>
          <w:right w:val="single" w:sz="8" w:space="0" w:color="0087A2"/>
        </w:tcBorders>
      </w:tcPr>
    </w:tblStylePr>
    <w:tblStylePr w:type="band1Horz">
      <w:tblPr/>
      <w:tcPr>
        <w:tcBorders>
          <w:top w:val="single" w:sz="8" w:space="0" w:color="0087A2"/>
          <w:left w:val="single" w:sz="8" w:space="0" w:color="0087A2"/>
          <w:bottom w:val="single" w:sz="8" w:space="0" w:color="0087A2"/>
          <w:right w:val="single" w:sz="8" w:space="0" w:color="0087A2"/>
        </w:tcBorders>
      </w:tcPr>
    </w:tblStylePr>
  </w:style>
  <w:style w:type="numbering" w:customStyle="1" w:styleId="Outlinebullets1">
    <w:name w:val="Outline bullets1"/>
    <w:basedOn w:val="NoList"/>
    <w:rsid w:val="00E57F60"/>
  </w:style>
  <w:style w:type="table" w:customStyle="1" w:styleId="LightList11">
    <w:name w:val="Light List11"/>
    <w:basedOn w:val="TableNormal"/>
    <w:uiPriority w:val="61"/>
    <w:rsid w:val="00E57F60"/>
    <w:rPr>
      <w:rFonts w:ascii="Courier" w:hAnsi="Courie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rPr>
      <w:tblPr/>
      <w:tcPr>
        <w:shd w:val="clear" w:color="auto" w:fill="31849B"/>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E57F60"/>
    <w:rPr>
      <w:rFonts w:ascii="Calibri" w:eastAsia="Calibri" w:hAnsi="Calibri"/>
      <w:lang w:val="en-GB" w:eastAsia="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tyle11">
    <w:name w:val="Style11"/>
    <w:basedOn w:val="TableNormal"/>
    <w:uiPriority w:val="99"/>
    <w:qFormat/>
    <w:rsid w:val="00E57F60"/>
    <w:rPr>
      <w:rFonts w:ascii="Calibri" w:eastAsia="Calibri" w:hAnsi="Calibri"/>
      <w:lang w:val="en-GB" w:eastAsia="en-GB"/>
    </w:rPr>
    <w:tblPr>
      <w:tblInd w:w="0" w:type="dxa"/>
      <w:tblCellMar>
        <w:top w:w="0" w:type="dxa"/>
        <w:left w:w="108" w:type="dxa"/>
        <w:bottom w:w="0" w:type="dxa"/>
        <w:right w:w="108" w:type="dxa"/>
      </w:tblCellMar>
    </w:tblPr>
  </w:style>
  <w:style w:type="table" w:customStyle="1" w:styleId="Style21">
    <w:name w:val="Style21"/>
    <w:basedOn w:val="TableNormal"/>
    <w:uiPriority w:val="99"/>
    <w:qFormat/>
    <w:rsid w:val="00E57F60"/>
    <w:rPr>
      <w:rFonts w:eastAsia="Calibri"/>
      <w:lang w:val="en-GB" w:eastAsia="en-GB"/>
    </w:rPr>
    <w:tblPr>
      <w:tblInd w:w="0" w:type="dxa"/>
      <w:tblCellMar>
        <w:top w:w="0" w:type="dxa"/>
        <w:left w:w="108" w:type="dxa"/>
        <w:bottom w:w="0" w:type="dxa"/>
        <w:right w:w="108" w:type="dxa"/>
      </w:tblCellMar>
    </w:tblPr>
  </w:style>
  <w:style w:type="paragraph" w:customStyle="1" w:styleId="figure">
    <w:name w:val="figure"/>
    <w:basedOn w:val="Caption"/>
    <w:rsid w:val="000E018A"/>
  </w:style>
  <w:style w:type="character" w:customStyle="1" w:styleId="BoxBulletChar">
    <w:name w:val="BoxBullet Char"/>
    <w:basedOn w:val="DefaultParagraphFont"/>
    <w:link w:val="BoxBullet0"/>
    <w:rsid w:val="00F2245A"/>
    <w:rPr>
      <w:rFonts w:ascii="Franklin Gothic Book" w:hAnsi="Franklin Gothic Book"/>
      <w:sz w:val="21"/>
      <w:shd w:val="clear" w:color="auto" w:fill="ECF1F7"/>
    </w:rPr>
  </w:style>
  <w:style w:type="character" w:customStyle="1" w:styleId="BoxHeadingChar">
    <w:name w:val="BoxHeading Char"/>
    <w:basedOn w:val="DefaultParagraphFont"/>
    <w:link w:val="BoxHeading"/>
    <w:rsid w:val="00F2245A"/>
    <w:rPr>
      <w:rFonts w:ascii="Franklin Gothic Book" w:hAnsi="Franklin Gothic Book"/>
      <w:b/>
      <w:bCs/>
      <w:sz w:val="22"/>
      <w:shd w:val="clear" w:color="auto" w:fill="ECF1F7"/>
    </w:rPr>
  </w:style>
  <w:style w:type="paragraph" w:customStyle="1" w:styleId="BoxHeading21">
    <w:name w:val="BoxHeading2"/>
    <w:basedOn w:val="BoxHeading"/>
    <w:link w:val="BoxHeading2Char"/>
    <w:qFormat/>
    <w:rsid w:val="00DF65F9"/>
    <w:pPr>
      <w:spacing w:before="120" w:after="60"/>
    </w:pPr>
    <w:rPr>
      <w:i/>
      <w:sz w:val="21"/>
    </w:rPr>
  </w:style>
  <w:style w:type="character" w:customStyle="1" w:styleId="BoxHeading2Char">
    <w:name w:val="BoxHeading2 Char"/>
    <w:basedOn w:val="BoxHeadingChar"/>
    <w:link w:val="BoxHeading21"/>
    <w:rsid w:val="00DF65F9"/>
    <w:rPr>
      <w:rFonts w:ascii="Franklin Gothic Book" w:hAnsi="Franklin Gothic Book"/>
      <w:b/>
      <w:bCs/>
      <w:i/>
      <w:sz w:val="21"/>
      <w:shd w:val="clear" w:color="auto" w:fill="ECF1F7"/>
    </w:rPr>
  </w:style>
  <w:style w:type="character" w:customStyle="1" w:styleId="BoxQuoteChar">
    <w:name w:val="BoxQuote Char"/>
    <w:basedOn w:val="BoxTextChar"/>
    <w:link w:val="BoxQuote"/>
    <w:rsid w:val="00DF65F9"/>
    <w:rPr>
      <w:rFonts w:ascii="Franklin Gothic Book" w:hAnsi="Franklin Gothic Book"/>
      <w:i/>
      <w:sz w:val="21"/>
      <w:shd w:val="clear" w:color="auto" w:fill="ECF1F7"/>
    </w:rPr>
  </w:style>
  <w:style w:type="paragraph" w:customStyle="1" w:styleId="BoxQuoteSource">
    <w:name w:val="BoxQuoteSource"/>
    <w:basedOn w:val="BoxText"/>
    <w:link w:val="BoxQuoteSourceChar"/>
    <w:qFormat/>
    <w:rsid w:val="00DF65F9"/>
    <w:pPr>
      <w:jc w:val="right"/>
    </w:pPr>
    <w:rPr>
      <w:noProof/>
    </w:rPr>
  </w:style>
  <w:style w:type="character" w:customStyle="1" w:styleId="BoxQuoteSourceChar">
    <w:name w:val="BoxQuoteSource Char"/>
    <w:basedOn w:val="BoxTextChar"/>
    <w:link w:val="BoxQuoteSource"/>
    <w:rsid w:val="00DF65F9"/>
    <w:rPr>
      <w:rFonts w:ascii="Franklin Gothic Book" w:hAnsi="Franklin Gothic Book"/>
      <w:noProof/>
      <w:sz w:val="21"/>
      <w:shd w:val="clear" w:color="auto" w:fill="ECF1F7"/>
    </w:rPr>
  </w:style>
  <w:style w:type="character" w:customStyle="1" w:styleId="BoxTextChar">
    <w:name w:val="BoxText Char"/>
    <w:basedOn w:val="DefaultParagraphFont"/>
    <w:link w:val="BoxText"/>
    <w:rsid w:val="00DF65F9"/>
    <w:rPr>
      <w:rFonts w:ascii="Franklin Gothic Book" w:hAnsi="Franklin Gothic Book"/>
      <w:sz w:val="21"/>
      <w:shd w:val="clear" w:color="auto" w:fill="ECF1F7"/>
    </w:rPr>
  </w:style>
  <w:style w:type="paragraph" w:customStyle="1" w:styleId="NumberList3">
    <w:name w:val="NumberList3"/>
    <w:basedOn w:val="Normal"/>
    <w:rsid w:val="001015A2"/>
    <w:pPr>
      <w:numPr>
        <w:numId w:val="107"/>
      </w:numPr>
      <w:spacing w:before="0" w:line="280" w:lineRule="exact"/>
      <w:ind w:left="851" w:hanging="284"/>
      <w:contextualSpacing/>
    </w:pPr>
    <w:rPr>
      <w:szCs w:val="24"/>
    </w:rPr>
  </w:style>
  <w:style w:type="paragraph" w:customStyle="1" w:styleId="RecommendationText">
    <w:name w:val="RecommendationText"/>
    <w:basedOn w:val="BoxText"/>
    <w:link w:val="RecommendationTextChar"/>
    <w:qFormat/>
    <w:rsid w:val="00DF65F9"/>
    <w:pPr>
      <w:pBdr>
        <w:top w:val="single" w:sz="4" w:space="4" w:color="124486"/>
        <w:left w:val="none" w:sz="0" w:space="0" w:color="auto"/>
        <w:bottom w:val="single" w:sz="4" w:space="4" w:color="124486"/>
        <w:right w:val="none" w:sz="0" w:space="0" w:color="auto"/>
      </w:pBdr>
      <w:shd w:val="clear" w:color="auto" w:fill="auto"/>
    </w:pPr>
  </w:style>
  <w:style w:type="character" w:customStyle="1" w:styleId="RecommendationTextChar">
    <w:name w:val="RecommendationText Char"/>
    <w:basedOn w:val="BoxTextChar"/>
    <w:link w:val="RecommendationText"/>
    <w:rsid w:val="00DF65F9"/>
    <w:rPr>
      <w:rFonts w:ascii="Franklin Gothic Book" w:hAnsi="Franklin Gothic Book"/>
      <w:sz w:val="21"/>
      <w:shd w:val="clear" w:color="auto" w:fill="ECF1F7"/>
    </w:rPr>
  </w:style>
  <w:style w:type="paragraph" w:customStyle="1" w:styleId="TableHeading21">
    <w:name w:val="TableHeading2"/>
    <w:basedOn w:val="TableHeading"/>
    <w:qFormat/>
    <w:rsid w:val="00DF65F9"/>
    <w:pPr>
      <w:spacing w:before="80" w:after="80" w:line="200" w:lineRule="atLeast"/>
    </w:pPr>
    <w:rPr>
      <w:rFonts w:ascii="Arial" w:hAnsi="Arial"/>
      <w:i/>
      <w:sz w:val="20"/>
    </w:rPr>
  </w:style>
  <w:style w:type="paragraph" w:customStyle="1" w:styleId="QuoteSource">
    <w:name w:val="QuoteSource"/>
    <w:basedOn w:val="Quote"/>
    <w:link w:val="QuoteSourceChar"/>
    <w:qFormat/>
    <w:rsid w:val="00DF65F9"/>
    <w:pPr>
      <w:spacing w:after="240"/>
      <w:jc w:val="right"/>
    </w:pPr>
    <w:rPr>
      <w:i w:val="0"/>
      <w:color w:val="000000"/>
    </w:rPr>
  </w:style>
  <w:style w:type="character" w:customStyle="1" w:styleId="QuoteSourceChar">
    <w:name w:val="QuoteSource Char"/>
    <w:basedOn w:val="QuoteChar"/>
    <w:link w:val="QuoteSource"/>
    <w:rsid w:val="00DF65F9"/>
    <w:rPr>
      <w:rFonts w:ascii="Franklin Gothic Book" w:hAnsi="Franklin Gothic Book"/>
      <w:i w:val="0"/>
      <w:color w:val="000000"/>
      <w:sz w:val="21"/>
    </w:rPr>
  </w:style>
  <w:style w:type="paragraph" w:customStyle="1" w:styleId="RecommendationSub">
    <w:name w:val="RecommendationSub"/>
    <w:basedOn w:val="RecommendationText"/>
    <w:link w:val="RecommendationSubChar"/>
    <w:qFormat/>
    <w:rsid w:val="00DF65F9"/>
    <w:pPr>
      <w:ind w:left="357" w:hanging="357"/>
    </w:pPr>
  </w:style>
  <w:style w:type="character" w:customStyle="1" w:styleId="RecommendationSubChar">
    <w:name w:val="RecommendationSub Char"/>
    <w:basedOn w:val="RecommendationTextChar"/>
    <w:link w:val="RecommendationSub"/>
    <w:rsid w:val="00DF65F9"/>
    <w:rPr>
      <w:rFonts w:ascii="Franklin Gothic Book" w:hAnsi="Franklin Gothic Book"/>
      <w:sz w:val="21"/>
      <w:shd w:val="clear" w:color="auto" w:fill="ECF1F7"/>
    </w:rPr>
  </w:style>
  <w:style w:type="paragraph" w:customStyle="1" w:styleId="RecommendationName">
    <w:name w:val="RecommendationName"/>
    <w:basedOn w:val="RecommendationText"/>
    <w:link w:val="RecommendationNameChar"/>
    <w:qFormat/>
    <w:rsid w:val="00DF65F9"/>
    <w:pPr>
      <w:spacing w:before="120"/>
    </w:pPr>
    <w:rPr>
      <w:rFonts w:ascii="Arial Bold" w:hAnsi="Arial Bold"/>
      <w:b/>
      <w:color w:val="EB0029"/>
      <w:sz w:val="24"/>
    </w:rPr>
  </w:style>
  <w:style w:type="character" w:customStyle="1" w:styleId="RecommendationNameChar">
    <w:name w:val="RecommendationName Char"/>
    <w:basedOn w:val="RecommendationTextChar"/>
    <w:link w:val="RecommendationName"/>
    <w:rsid w:val="00DF65F9"/>
    <w:rPr>
      <w:rFonts w:ascii="Arial Bold" w:hAnsi="Arial Bold"/>
      <w:b/>
      <w:color w:val="EB0029"/>
      <w:sz w:val="24"/>
      <w:shd w:val="clear" w:color="auto" w:fill="ECF1F7"/>
    </w:rPr>
  </w:style>
  <w:style w:type="paragraph" w:customStyle="1" w:styleId="Tabletext0">
    <w:name w:val="Table_text"/>
    <w:basedOn w:val="Normal"/>
    <w:link w:val="TabletextChar0"/>
    <w:qFormat/>
    <w:rsid w:val="00DF65F9"/>
    <w:pPr>
      <w:keepNext/>
      <w:spacing w:after="40" w:line="200" w:lineRule="atLeast"/>
    </w:pPr>
    <w:rPr>
      <w:color w:val="000000" w:themeColor="text1"/>
      <w:sz w:val="17"/>
      <w:szCs w:val="21"/>
    </w:rPr>
  </w:style>
  <w:style w:type="character" w:customStyle="1" w:styleId="TabletextChar0">
    <w:name w:val="Table_text Char"/>
    <w:basedOn w:val="DefaultParagraphFont"/>
    <w:link w:val="Tabletext0"/>
    <w:rsid w:val="00DF65F9"/>
    <w:rPr>
      <w:rFonts w:ascii="Franklin Gothic Book" w:hAnsi="Franklin Gothic Book"/>
      <w:color w:val="000000" w:themeColor="text1"/>
      <w:sz w:val="17"/>
      <w:szCs w:val="21"/>
    </w:rPr>
  </w:style>
  <w:style w:type="character" w:customStyle="1" w:styleId="footnotetextChar0">
    <w:name w:val="footnote text Char"/>
    <w:basedOn w:val="FootnoteTextChar"/>
    <w:link w:val="FootnoteText1"/>
    <w:rsid w:val="00EF0C79"/>
    <w:rPr>
      <w:rFonts w:ascii="Franklin Gothic Book" w:hAnsi="Franklin Gothic Book"/>
      <w:sz w:val="17"/>
      <w:lang w:val="en-US"/>
    </w:rPr>
  </w:style>
  <w:style w:type="paragraph" w:customStyle="1" w:styleId="FootnoteText1">
    <w:name w:val="Footnote Text1"/>
    <w:basedOn w:val="FootnoteText"/>
    <w:link w:val="footnotetextChar0"/>
    <w:qFormat/>
    <w:rsid w:val="00EF0C79"/>
    <w:rPr>
      <w:lang w:val="en-US"/>
    </w:rPr>
  </w:style>
  <w:style w:type="paragraph" w:customStyle="1" w:styleId="Tablebullet">
    <w:name w:val="Table_bullet"/>
    <w:basedOn w:val="TableBullet0"/>
    <w:link w:val="TablebulletChar"/>
    <w:qFormat/>
    <w:rsid w:val="00896BBF"/>
    <w:pPr>
      <w:keepNext w:val="0"/>
      <w:numPr>
        <w:numId w:val="113"/>
      </w:numPr>
      <w:tabs>
        <w:tab w:val="clear" w:pos="216"/>
      </w:tabs>
      <w:spacing w:before="40" w:after="40" w:line="240" w:lineRule="auto"/>
    </w:pPr>
    <w:rPr>
      <w:rFonts w:ascii="Franklin Gothic Book" w:eastAsia="Calibri" w:hAnsi="Franklin Gothic Book"/>
      <w:color w:val="000000" w:themeColor="text1"/>
      <w:sz w:val="17"/>
      <w:szCs w:val="17"/>
      <w:lang w:eastAsia="en-US"/>
    </w:rPr>
  </w:style>
  <w:style w:type="character" w:customStyle="1" w:styleId="TablebulletChar">
    <w:name w:val="Table_bullet Char"/>
    <w:basedOn w:val="DefaultParagraphFont"/>
    <w:link w:val="Tablebullet"/>
    <w:rsid w:val="00896BBF"/>
    <w:rPr>
      <w:rFonts w:ascii="Franklin Gothic Book" w:eastAsia="Calibri" w:hAnsi="Franklin Gothic Book"/>
      <w:color w:val="000000" w:themeColor="text1"/>
      <w:sz w:val="17"/>
      <w:szCs w:val="17"/>
      <w:lang w:eastAsia="en-US"/>
    </w:rPr>
  </w:style>
  <w:style w:type="paragraph" w:customStyle="1" w:styleId="NumberList1">
    <w:name w:val="Number_List"/>
    <w:basedOn w:val="NumberList0"/>
    <w:link w:val="NumberListChar0"/>
    <w:qFormat/>
    <w:rsid w:val="007A10CA"/>
    <w:pPr>
      <w:tabs>
        <w:tab w:val="clear" w:pos="360"/>
      </w:tabs>
      <w:spacing w:before="0" w:line="280" w:lineRule="exact"/>
      <w:ind w:left="284" w:hanging="284"/>
    </w:pPr>
  </w:style>
  <w:style w:type="character" w:customStyle="1" w:styleId="NumberListChar0">
    <w:name w:val="Number_List Char"/>
    <w:basedOn w:val="DefaultParagraphFont"/>
    <w:link w:val="NumberList1"/>
    <w:rsid w:val="007A10CA"/>
    <w:rPr>
      <w:rFonts w:ascii="Franklin Gothic Book" w:hAnsi="Franklin Gothic Book"/>
      <w:sz w:val="21"/>
    </w:rPr>
  </w:style>
  <w:style w:type="paragraph" w:customStyle="1" w:styleId="Boxheading0">
    <w:name w:val="Box heading"/>
    <w:basedOn w:val="BoxName"/>
    <w:link w:val="BoxheadingChar0"/>
    <w:qFormat/>
    <w:rsid w:val="00BE63E3"/>
    <w:rPr>
      <w:rFonts w:ascii="Arial" w:hAnsi="Arial"/>
    </w:rPr>
  </w:style>
  <w:style w:type="character" w:customStyle="1" w:styleId="BoxheadingChar0">
    <w:name w:val="Box heading Char"/>
    <w:basedOn w:val="DefaultParagraphFont"/>
    <w:link w:val="Boxheading0"/>
    <w:rsid w:val="00BE63E3"/>
    <w:rPr>
      <w:rFonts w:ascii="Arial" w:hAnsi="Arial"/>
      <w:b/>
      <w:bCs/>
      <w:color w:val="FFFFFF" w:themeColor="background1"/>
      <w:sz w:val="24"/>
      <w:shd w:val="clear" w:color="auto" w:fill="007FAD"/>
    </w:rPr>
  </w:style>
  <w:style w:type="paragraph" w:customStyle="1" w:styleId="Boxbullet">
    <w:name w:val="Box_bullet"/>
    <w:basedOn w:val="BoxBullet0"/>
    <w:link w:val="BoxbulletChar0"/>
    <w:qFormat/>
    <w:rsid w:val="00DC669C"/>
    <w:pPr>
      <w:numPr>
        <w:numId w:val="116"/>
      </w:numPr>
      <w:ind w:left="426" w:hanging="426"/>
    </w:pPr>
  </w:style>
  <w:style w:type="character" w:customStyle="1" w:styleId="BoxbulletChar0">
    <w:name w:val="Box_bullet Char"/>
    <w:basedOn w:val="BoxBulletChar"/>
    <w:link w:val="Boxbullet"/>
    <w:rsid w:val="00DC669C"/>
    <w:rPr>
      <w:rFonts w:ascii="Franklin Gothic Book" w:hAnsi="Franklin Gothic Book"/>
      <w:sz w:val="21"/>
      <w:shd w:val="clear" w:color="auto" w:fill="ECF1F7"/>
    </w:rPr>
  </w:style>
  <w:style w:type="paragraph" w:customStyle="1" w:styleId="Numberlist2">
    <w:name w:val="Numberlist2"/>
    <w:basedOn w:val="Normal"/>
    <w:rsid w:val="00E75FF4"/>
    <w:pPr>
      <w:numPr>
        <w:numId w:val="117"/>
      </w:numPr>
      <w:tabs>
        <w:tab w:val="num" w:pos="567"/>
      </w:tabs>
      <w:spacing w:before="0" w:line="280" w:lineRule="exact"/>
      <w:ind w:left="568" w:hanging="284"/>
    </w:pPr>
    <w:rPr>
      <w:szCs w:val="24"/>
    </w:rPr>
  </w:style>
  <w:style w:type="paragraph" w:customStyle="1" w:styleId="Tabletitle">
    <w:name w:val="Table_title"/>
    <w:basedOn w:val="TableName"/>
    <w:link w:val="TabletitleChar"/>
    <w:qFormat/>
    <w:rsid w:val="00571D0A"/>
    <w:pPr>
      <w:spacing w:before="80" w:line="200" w:lineRule="atLeast"/>
      <w:ind w:left="1077" w:hanging="1077"/>
    </w:pPr>
    <w:rPr>
      <w:rFonts w:ascii="Franklin Gothic Book" w:hAnsi="Franklin Gothic Book"/>
      <w:sz w:val="22"/>
    </w:rPr>
  </w:style>
  <w:style w:type="paragraph" w:customStyle="1" w:styleId="Figuretitle">
    <w:name w:val="Figure_title"/>
    <w:basedOn w:val="FigureName"/>
    <w:link w:val="FiguretitleChar"/>
    <w:qFormat/>
    <w:rsid w:val="00AF1AE6"/>
  </w:style>
  <w:style w:type="character" w:customStyle="1" w:styleId="TableTextChar">
    <w:name w:val="TableText Char"/>
    <w:basedOn w:val="DefaultParagraphFont"/>
    <w:link w:val="TableText"/>
    <w:rsid w:val="00571D0A"/>
    <w:rPr>
      <w:rFonts w:ascii="Arial Narrow" w:hAnsi="Arial Narrow"/>
      <w:sz w:val="19"/>
      <w:szCs w:val="21"/>
    </w:rPr>
  </w:style>
  <w:style w:type="character" w:customStyle="1" w:styleId="TableNameChar">
    <w:name w:val="TableName Char"/>
    <w:basedOn w:val="TableTextChar"/>
    <w:link w:val="TableName"/>
    <w:rsid w:val="00571D0A"/>
    <w:rPr>
      <w:rFonts w:ascii="Arial" w:hAnsi="Arial"/>
      <w:b/>
      <w:bCs/>
      <w:sz w:val="21"/>
      <w:szCs w:val="21"/>
    </w:rPr>
  </w:style>
  <w:style w:type="character" w:customStyle="1" w:styleId="TabletitleChar">
    <w:name w:val="Table_title Char"/>
    <w:basedOn w:val="TableNameChar"/>
    <w:link w:val="Tabletitle"/>
    <w:rsid w:val="00571D0A"/>
    <w:rPr>
      <w:rFonts w:ascii="Franklin Gothic Book" w:hAnsi="Franklin Gothic Book"/>
      <w:b/>
      <w:bCs/>
      <w:sz w:val="22"/>
      <w:szCs w:val="21"/>
    </w:rPr>
  </w:style>
  <w:style w:type="character" w:customStyle="1" w:styleId="FiguretitleChar">
    <w:name w:val="Figure_title Char"/>
    <w:basedOn w:val="DefaultParagraphFont"/>
    <w:link w:val="Figuretitle"/>
    <w:rsid w:val="00AF1AE6"/>
    <w:rPr>
      <w:rFonts w:ascii="Franklin Gothic Book" w:hAnsi="Franklin Gothic Book"/>
      <w:b/>
      <w:bCs/>
      <w:sz w:val="22"/>
    </w:rPr>
  </w:style>
  <w:style w:type="paragraph" w:customStyle="1" w:styleId="Quotetext">
    <w:name w:val="Quote text"/>
    <w:basedOn w:val="Quote"/>
    <w:link w:val="QuotetextChar"/>
    <w:qFormat/>
    <w:rsid w:val="00DB1E64"/>
    <w:rPr>
      <w:noProof/>
    </w:rPr>
  </w:style>
  <w:style w:type="character" w:customStyle="1" w:styleId="QuotetextChar">
    <w:name w:val="Quote text Char"/>
    <w:basedOn w:val="QuoteChar"/>
    <w:link w:val="Quotetext"/>
    <w:rsid w:val="00DB1E64"/>
    <w:rPr>
      <w:rFonts w:ascii="Franklin Gothic Book" w:hAnsi="Franklin Gothic Book"/>
      <w:i/>
      <w:noProof/>
      <w:sz w:val="21"/>
    </w:rPr>
  </w:style>
  <w:style w:type="character" w:customStyle="1" w:styleId="NumberListChar">
    <w:name w:val="NumberList Char"/>
    <w:basedOn w:val="DefaultParagraphFont"/>
    <w:link w:val="NumberList0"/>
    <w:rsid w:val="00121892"/>
    <w:rPr>
      <w:rFonts w:ascii="Franklin Gothic Book" w:hAnsi="Franklin Gothic Book"/>
      <w:sz w:val="21"/>
    </w:rPr>
  </w:style>
  <w:style w:type="paragraph" w:customStyle="1" w:styleId="Numberlist">
    <w:name w:val="Number_list"/>
    <w:basedOn w:val="NumberList0"/>
    <w:link w:val="NumberlistChar1"/>
    <w:qFormat/>
    <w:rsid w:val="00121892"/>
    <w:pPr>
      <w:numPr>
        <w:numId w:val="89"/>
      </w:numPr>
    </w:pPr>
  </w:style>
  <w:style w:type="character" w:customStyle="1" w:styleId="NumberlistChar1">
    <w:name w:val="Number_list Char"/>
    <w:basedOn w:val="NumberListChar"/>
    <w:link w:val="Numberlist"/>
    <w:rsid w:val="00121892"/>
    <w:rPr>
      <w:rFonts w:ascii="Franklin Gothic Book" w:hAnsi="Franklin Gothic Book"/>
      <w:sz w:val="21"/>
    </w:rPr>
  </w:style>
  <w:style w:type="paragraph" w:customStyle="1" w:styleId="Numberlist4">
    <w:name w:val="Number list"/>
    <w:basedOn w:val="NumberList0"/>
    <w:link w:val="NumberlistChar2"/>
    <w:qFormat/>
    <w:rsid w:val="004511CB"/>
    <w:pPr>
      <w:tabs>
        <w:tab w:val="clear" w:pos="360"/>
      </w:tabs>
      <w:spacing w:before="0" w:line="280" w:lineRule="exact"/>
      <w:ind w:left="284" w:hanging="284"/>
    </w:pPr>
  </w:style>
  <w:style w:type="character" w:customStyle="1" w:styleId="NumberlistChar2">
    <w:name w:val="Number list Char"/>
    <w:basedOn w:val="NumberListChar"/>
    <w:link w:val="Numberlist4"/>
    <w:rsid w:val="004511CB"/>
    <w:rPr>
      <w:rFonts w:ascii="Franklin Gothic Book" w:hAnsi="Franklin Gothic Book"/>
      <w:sz w:val="21"/>
    </w:rPr>
  </w:style>
  <w:style w:type="paragraph" w:customStyle="1" w:styleId="TableText1">
    <w:name w:val="Table Text"/>
    <w:basedOn w:val="TableText"/>
    <w:link w:val="TableTextChar1"/>
    <w:qFormat/>
    <w:rsid w:val="004511CB"/>
    <w:pPr>
      <w:spacing w:before="40" w:after="40" w:line="200" w:lineRule="atLeast"/>
    </w:pPr>
    <w:rPr>
      <w:rFonts w:ascii="Franklin Gothic Book" w:hAnsi="Franklin Gothic Book"/>
      <w:color w:val="000000" w:themeColor="text1"/>
      <w:sz w:val="17"/>
    </w:rPr>
  </w:style>
  <w:style w:type="character" w:customStyle="1" w:styleId="TableTextChar1">
    <w:name w:val="Table Text Char"/>
    <w:basedOn w:val="DefaultParagraphFont"/>
    <w:link w:val="TableText1"/>
    <w:rsid w:val="004511CB"/>
    <w:rPr>
      <w:rFonts w:ascii="Franklin Gothic Book" w:hAnsi="Franklin Gothic Book"/>
      <w:color w:val="000000" w:themeColor="text1"/>
      <w:sz w:val="17"/>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7548">
      <w:bodyDiv w:val="1"/>
      <w:marLeft w:val="0"/>
      <w:marRight w:val="0"/>
      <w:marTop w:val="0"/>
      <w:marBottom w:val="0"/>
      <w:divBdr>
        <w:top w:val="none" w:sz="0" w:space="0" w:color="auto"/>
        <w:left w:val="none" w:sz="0" w:space="0" w:color="auto"/>
        <w:bottom w:val="none" w:sz="0" w:space="0" w:color="auto"/>
        <w:right w:val="none" w:sz="0" w:space="0" w:color="auto"/>
      </w:divBdr>
    </w:div>
    <w:div w:id="236329774">
      <w:bodyDiv w:val="1"/>
      <w:marLeft w:val="0"/>
      <w:marRight w:val="0"/>
      <w:marTop w:val="0"/>
      <w:marBottom w:val="0"/>
      <w:divBdr>
        <w:top w:val="none" w:sz="0" w:space="0" w:color="auto"/>
        <w:left w:val="none" w:sz="0" w:space="0" w:color="auto"/>
        <w:bottom w:val="none" w:sz="0" w:space="0" w:color="auto"/>
        <w:right w:val="none" w:sz="0" w:space="0" w:color="auto"/>
      </w:divBdr>
    </w:div>
    <w:div w:id="360320006">
      <w:bodyDiv w:val="1"/>
      <w:marLeft w:val="0"/>
      <w:marRight w:val="0"/>
      <w:marTop w:val="0"/>
      <w:marBottom w:val="0"/>
      <w:divBdr>
        <w:top w:val="none" w:sz="0" w:space="0" w:color="auto"/>
        <w:left w:val="none" w:sz="0" w:space="0" w:color="auto"/>
        <w:bottom w:val="none" w:sz="0" w:space="0" w:color="auto"/>
        <w:right w:val="none" w:sz="0" w:space="0" w:color="auto"/>
      </w:divBdr>
    </w:div>
    <w:div w:id="492917812">
      <w:bodyDiv w:val="1"/>
      <w:marLeft w:val="0"/>
      <w:marRight w:val="0"/>
      <w:marTop w:val="0"/>
      <w:marBottom w:val="0"/>
      <w:divBdr>
        <w:top w:val="none" w:sz="0" w:space="0" w:color="auto"/>
        <w:left w:val="none" w:sz="0" w:space="0" w:color="auto"/>
        <w:bottom w:val="none" w:sz="0" w:space="0" w:color="auto"/>
        <w:right w:val="none" w:sz="0" w:space="0" w:color="auto"/>
      </w:divBdr>
    </w:div>
    <w:div w:id="501550889">
      <w:bodyDiv w:val="1"/>
      <w:marLeft w:val="0"/>
      <w:marRight w:val="0"/>
      <w:marTop w:val="0"/>
      <w:marBottom w:val="0"/>
      <w:divBdr>
        <w:top w:val="none" w:sz="0" w:space="0" w:color="auto"/>
        <w:left w:val="none" w:sz="0" w:space="0" w:color="auto"/>
        <w:bottom w:val="none" w:sz="0" w:space="0" w:color="auto"/>
        <w:right w:val="none" w:sz="0" w:space="0" w:color="auto"/>
      </w:divBdr>
    </w:div>
    <w:div w:id="512305563">
      <w:bodyDiv w:val="1"/>
      <w:marLeft w:val="0"/>
      <w:marRight w:val="0"/>
      <w:marTop w:val="0"/>
      <w:marBottom w:val="0"/>
      <w:divBdr>
        <w:top w:val="none" w:sz="0" w:space="0" w:color="auto"/>
        <w:left w:val="none" w:sz="0" w:space="0" w:color="auto"/>
        <w:bottom w:val="none" w:sz="0" w:space="0" w:color="auto"/>
        <w:right w:val="none" w:sz="0" w:space="0" w:color="auto"/>
      </w:divBdr>
    </w:div>
    <w:div w:id="517545992">
      <w:bodyDiv w:val="1"/>
      <w:marLeft w:val="0"/>
      <w:marRight w:val="0"/>
      <w:marTop w:val="0"/>
      <w:marBottom w:val="0"/>
      <w:divBdr>
        <w:top w:val="none" w:sz="0" w:space="0" w:color="auto"/>
        <w:left w:val="none" w:sz="0" w:space="0" w:color="auto"/>
        <w:bottom w:val="none" w:sz="0" w:space="0" w:color="auto"/>
        <w:right w:val="none" w:sz="0" w:space="0" w:color="auto"/>
      </w:divBdr>
    </w:div>
    <w:div w:id="577444046">
      <w:bodyDiv w:val="1"/>
      <w:marLeft w:val="0"/>
      <w:marRight w:val="0"/>
      <w:marTop w:val="0"/>
      <w:marBottom w:val="0"/>
      <w:divBdr>
        <w:top w:val="none" w:sz="0" w:space="0" w:color="auto"/>
        <w:left w:val="none" w:sz="0" w:space="0" w:color="auto"/>
        <w:bottom w:val="none" w:sz="0" w:space="0" w:color="auto"/>
        <w:right w:val="none" w:sz="0" w:space="0" w:color="auto"/>
      </w:divBdr>
    </w:div>
    <w:div w:id="631131685">
      <w:bodyDiv w:val="1"/>
      <w:marLeft w:val="0"/>
      <w:marRight w:val="0"/>
      <w:marTop w:val="0"/>
      <w:marBottom w:val="0"/>
      <w:divBdr>
        <w:top w:val="none" w:sz="0" w:space="0" w:color="auto"/>
        <w:left w:val="none" w:sz="0" w:space="0" w:color="auto"/>
        <w:bottom w:val="none" w:sz="0" w:space="0" w:color="auto"/>
        <w:right w:val="none" w:sz="0" w:space="0" w:color="auto"/>
      </w:divBdr>
    </w:div>
    <w:div w:id="651494603">
      <w:bodyDiv w:val="1"/>
      <w:marLeft w:val="0"/>
      <w:marRight w:val="0"/>
      <w:marTop w:val="0"/>
      <w:marBottom w:val="0"/>
      <w:divBdr>
        <w:top w:val="none" w:sz="0" w:space="0" w:color="auto"/>
        <w:left w:val="none" w:sz="0" w:space="0" w:color="auto"/>
        <w:bottom w:val="none" w:sz="0" w:space="0" w:color="auto"/>
        <w:right w:val="none" w:sz="0" w:space="0" w:color="auto"/>
      </w:divBdr>
    </w:div>
    <w:div w:id="675425728">
      <w:bodyDiv w:val="1"/>
      <w:marLeft w:val="0"/>
      <w:marRight w:val="0"/>
      <w:marTop w:val="0"/>
      <w:marBottom w:val="0"/>
      <w:divBdr>
        <w:top w:val="none" w:sz="0" w:space="0" w:color="auto"/>
        <w:left w:val="none" w:sz="0" w:space="0" w:color="auto"/>
        <w:bottom w:val="none" w:sz="0" w:space="0" w:color="auto"/>
        <w:right w:val="none" w:sz="0" w:space="0" w:color="auto"/>
      </w:divBdr>
    </w:div>
    <w:div w:id="706836963">
      <w:bodyDiv w:val="1"/>
      <w:marLeft w:val="0"/>
      <w:marRight w:val="0"/>
      <w:marTop w:val="0"/>
      <w:marBottom w:val="0"/>
      <w:divBdr>
        <w:top w:val="none" w:sz="0" w:space="0" w:color="auto"/>
        <w:left w:val="none" w:sz="0" w:space="0" w:color="auto"/>
        <w:bottom w:val="none" w:sz="0" w:space="0" w:color="auto"/>
        <w:right w:val="none" w:sz="0" w:space="0" w:color="auto"/>
      </w:divBdr>
    </w:div>
    <w:div w:id="713047028">
      <w:bodyDiv w:val="1"/>
      <w:marLeft w:val="0"/>
      <w:marRight w:val="0"/>
      <w:marTop w:val="0"/>
      <w:marBottom w:val="0"/>
      <w:divBdr>
        <w:top w:val="none" w:sz="0" w:space="0" w:color="auto"/>
        <w:left w:val="none" w:sz="0" w:space="0" w:color="auto"/>
        <w:bottom w:val="none" w:sz="0" w:space="0" w:color="auto"/>
        <w:right w:val="none" w:sz="0" w:space="0" w:color="auto"/>
      </w:divBdr>
      <w:divsChild>
        <w:div w:id="1500383816">
          <w:marLeft w:val="0"/>
          <w:marRight w:val="0"/>
          <w:marTop w:val="0"/>
          <w:marBottom w:val="0"/>
          <w:divBdr>
            <w:top w:val="none" w:sz="0" w:space="0" w:color="auto"/>
            <w:left w:val="none" w:sz="0" w:space="0" w:color="auto"/>
            <w:bottom w:val="none" w:sz="0" w:space="0" w:color="auto"/>
            <w:right w:val="none" w:sz="0" w:space="0" w:color="auto"/>
          </w:divBdr>
          <w:divsChild>
            <w:div w:id="1859852750">
              <w:marLeft w:val="0"/>
              <w:marRight w:val="0"/>
              <w:marTop w:val="0"/>
              <w:marBottom w:val="0"/>
              <w:divBdr>
                <w:top w:val="none" w:sz="0" w:space="0" w:color="auto"/>
                <w:left w:val="none" w:sz="0" w:space="0" w:color="auto"/>
                <w:bottom w:val="none" w:sz="0" w:space="0" w:color="auto"/>
                <w:right w:val="none" w:sz="0" w:space="0" w:color="auto"/>
              </w:divBdr>
              <w:divsChild>
                <w:div w:id="56152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7474">
      <w:bodyDiv w:val="1"/>
      <w:marLeft w:val="0"/>
      <w:marRight w:val="0"/>
      <w:marTop w:val="0"/>
      <w:marBottom w:val="0"/>
      <w:divBdr>
        <w:top w:val="none" w:sz="0" w:space="0" w:color="auto"/>
        <w:left w:val="none" w:sz="0" w:space="0" w:color="auto"/>
        <w:bottom w:val="none" w:sz="0" w:space="0" w:color="auto"/>
        <w:right w:val="none" w:sz="0" w:space="0" w:color="auto"/>
      </w:divBdr>
    </w:div>
    <w:div w:id="819541172">
      <w:bodyDiv w:val="1"/>
      <w:marLeft w:val="0"/>
      <w:marRight w:val="0"/>
      <w:marTop w:val="0"/>
      <w:marBottom w:val="0"/>
      <w:divBdr>
        <w:top w:val="none" w:sz="0" w:space="0" w:color="auto"/>
        <w:left w:val="none" w:sz="0" w:space="0" w:color="auto"/>
        <w:bottom w:val="none" w:sz="0" w:space="0" w:color="auto"/>
        <w:right w:val="none" w:sz="0" w:space="0" w:color="auto"/>
      </w:divBdr>
    </w:div>
    <w:div w:id="909774253">
      <w:bodyDiv w:val="1"/>
      <w:marLeft w:val="0"/>
      <w:marRight w:val="0"/>
      <w:marTop w:val="0"/>
      <w:marBottom w:val="0"/>
      <w:divBdr>
        <w:top w:val="none" w:sz="0" w:space="0" w:color="auto"/>
        <w:left w:val="none" w:sz="0" w:space="0" w:color="auto"/>
        <w:bottom w:val="none" w:sz="0" w:space="0" w:color="auto"/>
        <w:right w:val="none" w:sz="0" w:space="0" w:color="auto"/>
      </w:divBdr>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070269761">
      <w:bodyDiv w:val="1"/>
      <w:marLeft w:val="0"/>
      <w:marRight w:val="0"/>
      <w:marTop w:val="0"/>
      <w:marBottom w:val="0"/>
      <w:divBdr>
        <w:top w:val="none" w:sz="0" w:space="0" w:color="auto"/>
        <w:left w:val="none" w:sz="0" w:space="0" w:color="auto"/>
        <w:bottom w:val="none" w:sz="0" w:space="0" w:color="auto"/>
        <w:right w:val="none" w:sz="0" w:space="0" w:color="auto"/>
      </w:divBdr>
    </w:div>
    <w:div w:id="1176578522">
      <w:bodyDiv w:val="1"/>
      <w:marLeft w:val="0"/>
      <w:marRight w:val="0"/>
      <w:marTop w:val="0"/>
      <w:marBottom w:val="0"/>
      <w:divBdr>
        <w:top w:val="none" w:sz="0" w:space="0" w:color="auto"/>
        <w:left w:val="none" w:sz="0" w:space="0" w:color="auto"/>
        <w:bottom w:val="none" w:sz="0" w:space="0" w:color="auto"/>
        <w:right w:val="none" w:sz="0" w:space="0" w:color="auto"/>
      </w:divBdr>
      <w:divsChild>
        <w:div w:id="524097062">
          <w:marLeft w:val="0"/>
          <w:marRight w:val="0"/>
          <w:marTop w:val="0"/>
          <w:marBottom w:val="0"/>
          <w:divBdr>
            <w:top w:val="none" w:sz="0" w:space="0" w:color="auto"/>
            <w:left w:val="none" w:sz="0" w:space="0" w:color="auto"/>
            <w:bottom w:val="none" w:sz="0" w:space="0" w:color="auto"/>
            <w:right w:val="none" w:sz="0" w:space="0" w:color="auto"/>
          </w:divBdr>
          <w:divsChild>
            <w:div w:id="1179584813">
              <w:marLeft w:val="0"/>
              <w:marRight w:val="0"/>
              <w:marTop w:val="0"/>
              <w:marBottom w:val="0"/>
              <w:divBdr>
                <w:top w:val="none" w:sz="0" w:space="0" w:color="auto"/>
                <w:left w:val="none" w:sz="0" w:space="0" w:color="auto"/>
                <w:bottom w:val="none" w:sz="0" w:space="0" w:color="auto"/>
                <w:right w:val="none" w:sz="0" w:space="0" w:color="auto"/>
              </w:divBdr>
              <w:divsChild>
                <w:div w:id="2288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45412">
      <w:bodyDiv w:val="1"/>
      <w:marLeft w:val="0"/>
      <w:marRight w:val="0"/>
      <w:marTop w:val="0"/>
      <w:marBottom w:val="0"/>
      <w:divBdr>
        <w:top w:val="none" w:sz="0" w:space="0" w:color="auto"/>
        <w:left w:val="none" w:sz="0" w:space="0" w:color="auto"/>
        <w:bottom w:val="none" w:sz="0" w:space="0" w:color="auto"/>
        <w:right w:val="none" w:sz="0" w:space="0" w:color="auto"/>
      </w:divBdr>
    </w:div>
    <w:div w:id="1360083759">
      <w:bodyDiv w:val="1"/>
      <w:marLeft w:val="0"/>
      <w:marRight w:val="0"/>
      <w:marTop w:val="0"/>
      <w:marBottom w:val="0"/>
      <w:divBdr>
        <w:top w:val="none" w:sz="0" w:space="0" w:color="auto"/>
        <w:left w:val="none" w:sz="0" w:space="0" w:color="auto"/>
        <w:bottom w:val="none" w:sz="0" w:space="0" w:color="auto"/>
        <w:right w:val="none" w:sz="0" w:space="0" w:color="auto"/>
      </w:divBdr>
    </w:div>
    <w:div w:id="1394548485">
      <w:bodyDiv w:val="1"/>
      <w:marLeft w:val="0"/>
      <w:marRight w:val="0"/>
      <w:marTop w:val="0"/>
      <w:marBottom w:val="0"/>
      <w:divBdr>
        <w:top w:val="none" w:sz="0" w:space="0" w:color="auto"/>
        <w:left w:val="none" w:sz="0" w:space="0" w:color="auto"/>
        <w:bottom w:val="none" w:sz="0" w:space="0" w:color="auto"/>
        <w:right w:val="none" w:sz="0" w:space="0" w:color="auto"/>
      </w:divBdr>
    </w:div>
    <w:div w:id="1411076791">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554847057">
      <w:bodyDiv w:val="1"/>
      <w:marLeft w:val="0"/>
      <w:marRight w:val="0"/>
      <w:marTop w:val="0"/>
      <w:marBottom w:val="0"/>
      <w:divBdr>
        <w:top w:val="none" w:sz="0" w:space="0" w:color="auto"/>
        <w:left w:val="none" w:sz="0" w:space="0" w:color="auto"/>
        <w:bottom w:val="none" w:sz="0" w:space="0" w:color="auto"/>
        <w:right w:val="none" w:sz="0" w:space="0" w:color="auto"/>
      </w:divBdr>
    </w:div>
    <w:div w:id="1577587428">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793398431">
      <w:bodyDiv w:val="1"/>
      <w:marLeft w:val="0"/>
      <w:marRight w:val="0"/>
      <w:marTop w:val="0"/>
      <w:marBottom w:val="0"/>
      <w:divBdr>
        <w:top w:val="none" w:sz="0" w:space="0" w:color="auto"/>
        <w:left w:val="none" w:sz="0" w:space="0" w:color="auto"/>
        <w:bottom w:val="none" w:sz="0" w:space="0" w:color="auto"/>
        <w:right w:val="none" w:sz="0" w:space="0" w:color="auto"/>
      </w:divBdr>
    </w:div>
    <w:div w:id="1806237789">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 w:id="1844006350">
      <w:bodyDiv w:val="1"/>
      <w:marLeft w:val="0"/>
      <w:marRight w:val="0"/>
      <w:marTop w:val="0"/>
      <w:marBottom w:val="0"/>
      <w:divBdr>
        <w:top w:val="none" w:sz="0" w:space="0" w:color="auto"/>
        <w:left w:val="none" w:sz="0" w:space="0" w:color="auto"/>
        <w:bottom w:val="none" w:sz="0" w:space="0" w:color="auto"/>
        <w:right w:val="none" w:sz="0" w:space="0" w:color="auto"/>
      </w:divBdr>
    </w:div>
    <w:div w:id="1954702892">
      <w:bodyDiv w:val="1"/>
      <w:marLeft w:val="0"/>
      <w:marRight w:val="0"/>
      <w:marTop w:val="0"/>
      <w:marBottom w:val="0"/>
      <w:divBdr>
        <w:top w:val="none" w:sz="0" w:space="0" w:color="auto"/>
        <w:left w:val="none" w:sz="0" w:space="0" w:color="auto"/>
        <w:bottom w:val="none" w:sz="0" w:space="0" w:color="auto"/>
        <w:right w:val="none" w:sz="0" w:space="0" w:color="auto"/>
      </w:divBdr>
    </w:div>
    <w:div w:id="2064214232">
      <w:bodyDiv w:val="1"/>
      <w:marLeft w:val="0"/>
      <w:marRight w:val="0"/>
      <w:marTop w:val="0"/>
      <w:marBottom w:val="0"/>
      <w:divBdr>
        <w:top w:val="none" w:sz="0" w:space="0" w:color="auto"/>
        <w:left w:val="none" w:sz="0" w:space="0" w:color="auto"/>
        <w:bottom w:val="none" w:sz="0" w:space="0" w:color="auto"/>
        <w:right w:val="none" w:sz="0" w:space="0" w:color="auto"/>
      </w:divBdr>
    </w:div>
    <w:div w:id="2074160628">
      <w:bodyDiv w:val="1"/>
      <w:marLeft w:val="0"/>
      <w:marRight w:val="0"/>
      <w:marTop w:val="0"/>
      <w:marBottom w:val="0"/>
      <w:divBdr>
        <w:top w:val="none" w:sz="0" w:space="0" w:color="auto"/>
        <w:left w:val="none" w:sz="0" w:space="0" w:color="auto"/>
        <w:bottom w:val="none" w:sz="0" w:space="0" w:color="auto"/>
        <w:right w:val="none" w:sz="0" w:space="0" w:color="auto"/>
      </w:divBdr>
    </w:div>
    <w:div w:id="2074620085">
      <w:bodyDiv w:val="1"/>
      <w:marLeft w:val="0"/>
      <w:marRight w:val="0"/>
      <w:marTop w:val="0"/>
      <w:marBottom w:val="0"/>
      <w:divBdr>
        <w:top w:val="none" w:sz="0" w:space="0" w:color="auto"/>
        <w:left w:val="none" w:sz="0" w:space="0" w:color="auto"/>
        <w:bottom w:val="none" w:sz="0" w:space="0" w:color="auto"/>
        <w:right w:val="none" w:sz="0" w:space="0" w:color="auto"/>
      </w:divBdr>
    </w:div>
    <w:div w:id="21437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hyperlink" Target="file:///C:/Users/plummk01/AppData/Local/Microsoft/Windows/Temporary%20Internet%20Files/Content.Outlook/WTGBO7I9/www.ode.dfat.gov.au" TargetMode="External"/><Relationship Id="rId39" Type="http://schemas.openxmlformats.org/officeDocument/2006/relationships/chart" Target="charts/chart4.xml"/><Relationship Id="rId21" Type="http://schemas.openxmlformats.org/officeDocument/2006/relationships/header" Target="header3.xml"/><Relationship Id="rId34" Type="http://schemas.openxmlformats.org/officeDocument/2006/relationships/footer" Target="footer6.xml"/><Relationship Id="rId42" Type="http://schemas.openxmlformats.org/officeDocument/2006/relationships/footer" Target="footer8.xml"/><Relationship Id="rId47" Type="http://schemas.openxmlformats.org/officeDocument/2006/relationships/customXml" Target="../customXml/item9.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header" Target="header4.xml"/><Relationship Id="rId11" Type="http://schemas.microsoft.com/office/2007/relationships/stylesWithEffects" Target="stylesWithEffects.xml"/><Relationship Id="rId24" Type="http://schemas.openxmlformats.org/officeDocument/2006/relationships/hyperlink" Target="http://creativecommons.org/licenses/by/3.0/au/legalcode" TargetMode="External"/><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chart" Target="charts/chart5.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creativecommons.org/licenses/by/3.0/au/" TargetMode="External"/><Relationship Id="rId28" Type="http://schemas.openxmlformats.org/officeDocument/2006/relationships/image" Target="media/image2.emf"/><Relationship Id="rId36" Type="http://schemas.openxmlformats.org/officeDocument/2006/relationships/chart" Target="charts/chart2.xml"/><Relationship Id="rId49" Type="http://schemas.openxmlformats.org/officeDocument/2006/relationships/customXml" Target="../customXml/item11.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footer" Target="footer4.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hyperlink" Target="http://www.ode.dfat.gov.au" TargetMode="External"/><Relationship Id="rId30" Type="http://schemas.openxmlformats.org/officeDocument/2006/relationships/header" Target="header5.xml"/><Relationship Id="rId35" Type="http://schemas.openxmlformats.org/officeDocument/2006/relationships/chart" Target="charts/chart1.xml"/><Relationship Id="rId43" Type="http://schemas.openxmlformats.org/officeDocument/2006/relationships/fontTable" Target="fontTable.xml"/><Relationship Id="rId48" Type="http://schemas.openxmlformats.org/officeDocument/2006/relationships/customXml" Target="../customXml/item10.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hyperlink" Target="http://www.ode.dfat.gov.au" TargetMode="External"/><Relationship Id="rId33" Type="http://schemas.openxmlformats.org/officeDocument/2006/relationships/header" Target="header6.xml"/><Relationship Id="rId38" Type="http://schemas.openxmlformats.org/officeDocument/2006/relationships/chart" Target="charts/chart3.xml"/><Relationship Id="rId46" Type="http://schemas.microsoft.com/office/2011/relationships/commentsExtended" Target="commentsExtended.xml"/><Relationship Id="rId20" Type="http://schemas.openxmlformats.org/officeDocument/2006/relationships/footer" Target="footer2.xml"/><Relationship Id="rId41"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aid.dfat.gov.au/Publications/Pages/List.aspx?publicationcategory=Evaluation%20Reports" TargetMode="External"/><Relationship Id="rId2" Type="http://schemas.openxmlformats.org/officeDocument/2006/relationships/hyperlink" Target="http://aid.dfat.gov.au/Publications/Pages/monitoring-evaluation-standards.aspx" TargetMode="External"/><Relationship Id="rId1" Type="http://schemas.openxmlformats.org/officeDocument/2006/relationships/hyperlink" Target="file://ausaid.local/Udrive/CBR/ODE/4.%20PERF_ANALYSIS/4%20Review%20of%20Operational%20Evaluations/2013%20Evaluation%20Review/www.alnap.org/pool/files/QualityProforma05.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wendyelliott:Desktop:DFAT%20Office%20of%20Development%20Effectiveness:20140408%20quality%20review%20final%20figu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wendyelliott:Desktop:DFAT%20Office%20of%20Development%20Effectiveness:20140408%20quality%20review%20final%20figur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wendyelliott:Desktop:DFAT%20Office%20of%20Development%20Effectiveness:20140408%20quality%20review%20final%20figur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wendyelliott:Desktop:DFAT%20Office%20of%20Development%20Effectiveness:20140408%20quality%20review%20final%20figur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wendyelliott:Desktop:DFAT%20Office%20of%20Development%20Effectiveness:20140408%20quality%20review%20final%20figur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ausaid.local\iDrive\CORP\ODE\OAM\Reporting\Review%20of%20Operational%20Evaluations%20-%202013%20-%2013_11756\7%20Two%20reports\20140514%20quality%20review%20final%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1672170899897399"/>
          <c:y val="4.1234996961520998E-2"/>
          <c:w val="0.85217793005687603"/>
          <c:h val="0.46473635683983899"/>
        </c:manualLayout>
      </c:layout>
      <c:barChart>
        <c:barDir val="col"/>
        <c:grouping val="clustered"/>
        <c:varyColors val="0"/>
        <c:ser>
          <c:idx val="0"/>
          <c:order val="0"/>
          <c:tx>
            <c:strRef>
              <c:f>'Fig 1'!$O$2</c:f>
              <c:strCache>
                <c:ptCount val="1"/>
                <c:pt idx="0">
                  <c:v>% of total Australian Government aid expenditure 2011–12</c:v>
                </c:pt>
              </c:strCache>
            </c:strRef>
          </c:tx>
          <c:spPr>
            <a:solidFill>
              <a:schemeClr val="accent1">
                <a:shade val="76000"/>
              </a:schemeClr>
            </a:solidFill>
            <a:ln>
              <a:noFill/>
            </a:ln>
            <a:effectLst/>
          </c:spPr>
          <c:invertIfNegative val="0"/>
          <c:cat>
            <c:strRef>
              <c:f>'Fig 1'!$N$10:$N$23</c:f>
              <c:strCache>
                <c:ptCount val="14"/>
                <c:pt idx="0">
                  <c:v>Business, finance, trade</c:v>
                </c:pt>
                <c:pt idx="1">
                  <c:v>Conflict prevention &amp; resolution</c:v>
                </c:pt>
                <c:pt idx="2">
                  <c:v>Education</c:v>
                </c:pt>
                <c:pt idx="3">
                  <c:v>Environment &amp; natural resouce management</c:v>
                </c:pt>
                <c:pt idx="4">
                  <c:v>Food security &amp; rural development</c:v>
                </c:pt>
                <c:pt idx="5">
                  <c:v>General development support</c:v>
                </c:pt>
                <c:pt idx="6">
                  <c:v>Health</c:v>
                </c:pt>
                <c:pt idx="7">
                  <c:v>Human rights</c:v>
                </c:pt>
                <c:pt idx="8">
                  <c:v>Humanitarian response</c:v>
                </c:pt>
                <c:pt idx="9">
                  <c:v>Improved government</c:v>
                </c:pt>
                <c:pt idx="10">
                  <c:v>Infrastructure</c:v>
                </c:pt>
                <c:pt idx="11">
                  <c:v>Mineral resources</c:v>
                </c:pt>
                <c:pt idx="12">
                  <c:v>Security and justice</c:v>
                </c:pt>
                <c:pt idx="13">
                  <c:v>Water and sanitation</c:v>
                </c:pt>
              </c:strCache>
            </c:strRef>
          </c:cat>
          <c:val>
            <c:numRef>
              <c:f>'Fig 1'!$O$10:$O$23</c:f>
              <c:numCache>
                <c:formatCode>0%</c:formatCode>
                <c:ptCount val="14"/>
                <c:pt idx="0">
                  <c:v>1.8688111205816E-2</c:v>
                </c:pt>
                <c:pt idx="1">
                  <c:v>1.5125577956454901E-2</c:v>
                </c:pt>
                <c:pt idx="2">
                  <c:v>0.17293014464043499</c:v>
                </c:pt>
                <c:pt idx="3">
                  <c:v>4.3906323228175802E-2</c:v>
                </c:pt>
                <c:pt idx="4">
                  <c:v>8.4648254722425806E-2</c:v>
                </c:pt>
                <c:pt idx="5">
                  <c:v>7.6922061695252703E-2</c:v>
                </c:pt>
                <c:pt idx="6">
                  <c:v>0.13397164921159599</c:v>
                </c:pt>
                <c:pt idx="7">
                  <c:v>4.0434364356200403E-2</c:v>
                </c:pt>
                <c:pt idx="8">
                  <c:v>9.8674907215312302E-2</c:v>
                </c:pt>
                <c:pt idx="9">
                  <c:v>9.2453227553090003E-2</c:v>
                </c:pt>
                <c:pt idx="10">
                  <c:v>8.1546891537531294E-2</c:v>
                </c:pt>
                <c:pt idx="11">
                  <c:v>2.9017763130595102E-3</c:v>
                </c:pt>
                <c:pt idx="12">
                  <c:v>6.0557915456656501E-2</c:v>
                </c:pt>
                <c:pt idx="13">
                  <c:v>4.0453424435946801E-2</c:v>
                </c:pt>
              </c:numCache>
            </c:numRef>
          </c:val>
        </c:ser>
        <c:ser>
          <c:idx val="1"/>
          <c:order val="1"/>
          <c:tx>
            <c:strRef>
              <c:f>'Fig 1'!$P$2</c:f>
              <c:strCache>
                <c:ptCount val="1"/>
                <c:pt idx="0">
                  <c:v>% of total value of the 94 initiatives reviewed</c:v>
                </c:pt>
              </c:strCache>
            </c:strRef>
          </c:tx>
          <c:spPr>
            <a:solidFill>
              <a:schemeClr val="accent1">
                <a:tint val="77000"/>
              </a:schemeClr>
            </a:solidFill>
            <a:ln>
              <a:noFill/>
            </a:ln>
            <a:effectLst/>
          </c:spPr>
          <c:invertIfNegative val="0"/>
          <c:cat>
            <c:strRef>
              <c:f>'Fig 1'!$N$10:$N$23</c:f>
              <c:strCache>
                <c:ptCount val="14"/>
                <c:pt idx="0">
                  <c:v>Business, finance, trade</c:v>
                </c:pt>
                <c:pt idx="1">
                  <c:v>Conflict prevention &amp; resolution</c:v>
                </c:pt>
                <c:pt idx="2">
                  <c:v>Education</c:v>
                </c:pt>
                <c:pt idx="3">
                  <c:v>Environment &amp; natural resouce management</c:v>
                </c:pt>
                <c:pt idx="4">
                  <c:v>Food security &amp; rural development</c:v>
                </c:pt>
                <c:pt idx="5">
                  <c:v>General development support</c:v>
                </c:pt>
                <c:pt idx="6">
                  <c:v>Health</c:v>
                </c:pt>
                <c:pt idx="7">
                  <c:v>Human rights</c:v>
                </c:pt>
                <c:pt idx="8">
                  <c:v>Humanitarian response</c:v>
                </c:pt>
                <c:pt idx="9">
                  <c:v>Improved government</c:v>
                </c:pt>
                <c:pt idx="10">
                  <c:v>Infrastructure</c:v>
                </c:pt>
                <c:pt idx="11">
                  <c:v>Mineral resources</c:v>
                </c:pt>
                <c:pt idx="12">
                  <c:v>Security and justice</c:v>
                </c:pt>
                <c:pt idx="13">
                  <c:v>Water and sanitation</c:v>
                </c:pt>
              </c:strCache>
            </c:strRef>
          </c:cat>
          <c:val>
            <c:numRef>
              <c:f>'Fig 1'!$P$10:$P$23</c:f>
              <c:numCache>
                <c:formatCode>0%</c:formatCode>
                <c:ptCount val="14"/>
                <c:pt idx="0">
                  <c:v>2.6075880494526599E-2</c:v>
                </c:pt>
                <c:pt idx="1">
                  <c:v>2.5281284100335398E-3</c:v>
                </c:pt>
                <c:pt idx="2">
                  <c:v>8.2123143314914701E-2</c:v>
                </c:pt>
                <c:pt idx="3">
                  <c:v>1.7292263520441699E-2</c:v>
                </c:pt>
                <c:pt idx="4">
                  <c:v>5.0441020644298402E-2</c:v>
                </c:pt>
                <c:pt idx="5">
                  <c:v>0.11970126130770101</c:v>
                </c:pt>
                <c:pt idx="6">
                  <c:v>9.3167572084750502E-2</c:v>
                </c:pt>
                <c:pt idx="7">
                  <c:v>0.105887521482665</c:v>
                </c:pt>
                <c:pt idx="8">
                  <c:v>5.8027419126266702E-2</c:v>
                </c:pt>
                <c:pt idx="9">
                  <c:v>0.228733799097949</c:v>
                </c:pt>
                <c:pt idx="10">
                  <c:v>5.2227028342540803E-2</c:v>
                </c:pt>
                <c:pt idx="11">
                  <c:v>0</c:v>
                </c:pt>
                <c:pt idx="12">
                  <c:v>9.3292734725148499E-2</c:v>
                </c:pt>
                <c:pt idx="13">
                  <c:v>7.0502227448763194E-2</c:v>
                </c:pt>
              </c:numCache>
            </c:numRef>
          </c:val>
        </c:ser>
        <c:dLbls>
          <c:showLegendKey val="0"/>
          <c:showVal val="0"/>
          <c:showCatName val="0"/>
          <c:showSerName val="0"/>
          <c:showPercent val="0"/>
          <c:showBubbleSize val="0"/>
        </c:dLbls>
        <c:gapWidth val="150"/>
        <c:axId val="43315584"/>
        <c:axId val="43317120"/>
      </c:barChart>
      <c:catAx>
        <c:axId val="43315584"/>
        <c:scaling>
          <c:orientation val="minMax"/>
        </c:scaling>
        <c:delete val="0"/>
        <c:axPos val="b"/>
        <c:numFmt formatCode="General" sourceLinked="0"/>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Franklin Gothic Medium" panose="020B0603020102020204" pitchFamily="34" charset="0"/>
                <a:ea typeface="+mn-ea"/>
                <a:cs typeface="+mn-cs"/>
              </a:defRPr>
            </a:pPr>
            <a:endParaRPr lang="en-US"/>
          </a:p>
        </c:txPr>
        <c:crossAx val="43317120"/>
        <c:crosses val="autoZero"/>
        <c:auto val="1"/>
        <c:lblAlgn val="ctr"/>
        <c:lblOffset val="50"/>
        <c:noMultiLvlLbl val="0"/>
      </c:catAx>
      <c:valAx>
        <c:axId val="43317120"/>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0%" sourceLinked="0"/>
        <c:majorTickMark val="in"/>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Franklin Gothic Medium" panose="020B0603020102020204" pitchFamily="34" charset="0"/>
                <a:ea typeface="+mn-ea"/>
                <a:cs typeface="+mn-cs"/>
              </a:defRPr>
            </a:pPr>
            <a:endParaRPr lang="en-US"/>
          </a:p>
        </c:txPr>
        <c:crossAx val="43315584"/>
        <c:crosses val="autoZero"/>
        <c:crossBetween val="between"/>
      </c:valAx>
      <c:spPr>
        <a:solidFill>
          <a:schemeClr val="bg1"/>
        </a:solidFill>
        <a:ln>
          <a:noFill/>
        </a:ln>
        <a:effectLst/>
      </c:spPr>
    </c:plotArea>
    <c:legend>
      <c:legendPos val="b"/>
      <c:layout>
        <c:manualLayout>
          <c:xMode val="edge"/>
          <c:yMode val="edge"/>
          <c:x val="4.9999930033087399E-2"/>
          <c:y val="0.90901635429029104"/>
          <c:w val="0.899999965016544"/>
          <c:h val="4.663792936487910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Franklin Gothic Medium" panose="020B0603020102020204" pitchFamily="34" charset="0"/>
              <a:ea typeface="+mn-ea"/>
              <a:cs typeface="+mn-cs"/>
            </a:defRPr>
          </a:pPr>
          <a:endParaRPr lang="en-US"/>
        </a:p>
      </c:txPr>
    </c:legend>
    <c:plotVisOnly val="1"/>
    <c:dispBlanksAs val="gap"/>
    <c:showDLblsOverMax val="0"/>
  </c:chart>
  <c:spPr>
    <a:solidFill>
      <a:schemeClr val="bg1"/>
    </a:solidFill>
    <a:ln w="9525" cap="flat" cmpd="sng" algn="ctr">
      <a:noFill/>
      <a:prstDash val="solid"/>
      <a:round/>
    </a:ln>
    <a:effectLst/>
  </c:spPr>
  <c:txPr>
    <a:bodyPr/>
    <a:lstStyle/>
    <a:p>
      <a:pPr>
        <a:defRPr sz="800">
          <a:latin typeface="+mj-l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93356605891644"/>
          <c:y val="2.9899632781328338E-2"/>
          <c:w val="0.6931272941445531"/>
          <c:h val="0.72457315191800775"/>
        </c:manualLayout>
      </c:layout>
      <c:barChart>
        <c:barDir val="col"/>
        <c:grouping val="percentStacked"/>
        <c:varyColors val="0"/>
        <c:ser>
          <c:idx val="4"/>
          <c:order val="0"/>
          <c:tx>
            <c:strRef>
              <c:f>'Fig 2'!$E$11</c:f>
              <c:strCache>
                <c:ptCount val="1"/>
                <c:pt idx="0">
                  <c:v>Good quality (5,6)</c:v>
                </c:pt>
              </c:strCache>
            </c:strRef>
          </c:tx>
          <c:spPr>
            <a:solidFill>
              <a:srgbClr val="92D050"/>
            </a:solidFill>
          </c:spPr>
          <c:invertIfNegative val="0"/>
          <c:cat>
            <c:strRef>
              <c:f>'Fig 2'!$F$6:$K$6</c:f>
              <c:strCache>
                <c:ptCount val="6"/>
                <c:pt idx="0">
                  <c:v>Relevance (37)</c:v>
                </c:pt>
                <c:pt idx="1">
                  <c:v>Effectiveness (38)</c:v>
                </c:pt>
                <c:pt idx="2">
                  <c:v>Efficiency (37)</c:v>
                </c:pt>
                <c:pt idx="3">
                  <c:v>Sustainability (37)</c:v>
                </c:pt>
                <c:pt idx="4">
                  <c:v>M&amp;E (35)</c:v>
                </c:pt>
                <c:pt idx="5">
                  <c:v>Gender equality (33)</c:v>
                </c:pt>
              </c:strCache>
            </c:strRef>
          </c:cat>
          <c:val>
            <c:numRef>
              <c:f>'Fig 2'!$F$11:$K$11</c:f>
              <c:numCache>
                <c:formatCode>#,##0_ ;\-#,##0\ </c:formatCode>
                <c:ptCount val="6"/>
                <c:pt idx="0">
                  <c:v>35</c:v>
                </c:pt>
                <c:pt idx="1">
                  <c:v>12</c:v>
                </c:pt>
                <c:pt idx="2">
                  <c:v>10</c:v>
                </c:pt>
                <c:pt idx="3">
                  <c:v>6</c:v>
                </c:pt>
                <c:pt idx="4">
                  <c:v>2</c:v>
                </c:pt>
                <c:pt idx="5">
                  <c:v>10</c:v>
                </c:pt>
              </c:numCache>
            </c:numRef>
          </c:val>
        </c:ser>
        <c:ser>
          <c:idx val="3"/>
          <c:order val="1"/>
          <c:tx>
            <c:strRef>
              <c:f>'Fig 2'!$E$10</c:f>
              <c:strCache>
                <c:ptCount val="1"/>
                <c:pt idx="0">
                  <c:v>Adequate quality (4)</c:v>
                </c:pt>
              </c:strCache>
            </c:strRef>
          </c:tx>
          <c:spPr>
            <a:solidFill>
              <a:srgbClr val="FFFF00"/>
            </a:solidFill>
          </c:spPr>
          <c:invertIfNegative val="0"/>
          <c:cat>
            <c:strRef>
              <c:f>'Fig 2'!$F$6:$K$6</c:f>
              <c:strCache>
                <c:ptCount val="6"/>
                <c:pt idx="0">
                  <c:v>Relevance (37)</c:v>
                </c:pt>
                <c:pt idx="1">
                  <c:v>Effectiveness (38)</c:v>
                </c:pt>
                <c:pt idx="2">
                  <c:v>Efficiency (37)</c:v>
                </c:pt>
                <c:pt idx="3">
                  <c:v>Sustainability (37)</c:v>
                </c:pt>
                <c:pt idx="4">
                  <c:v>M&amp;E (35)</c:v>
                </c:pt>
                <c:pt idx="5">
                  <c:v>Gender equality (33)</c:v>
                </c:pt>
              </c:strCache>
            </c:strRef>
          </c:cat>
          <c:val>
            <c:numRef>
              <c:f>'Fig 2'!$F$10:$K$10</c:f>
              <c:numCache>
                <c:formatCode>#,##0_ ;\-#,##0\ </c:formatCode>
                <c:ptCount val="6"/>
                <c:pt idx="0">
                  <c:v>2</c:v>
                </c:pt>
                <c:pt idx="1">
                  <c:v>23</c:v>
                </c:pt>
                <c:pt idx="2">
                  <c:v>13</c:v>
                </c:pt>
                <c:pt idx="3">
                  <c:v>21</c:v>
                </c:pt>
                <c:pt idx="4">
                  <c:v>16</c:v>
                </c:pt>
                <c:pt idx="5">
                  <c:v>10</c:v>
                </c:pt>
              </c:numCache>
            </c:numRef>
          </c:val>
        </c:ser>
        <c:ser>
          <c:idx val="2"/>
          <c:order val="2"/>
          <c:tx>
            <c:strRef>
              <c:f>'Fig 2'!$E$9</c:f>
              <c:strCache>
                <c:ptCount val="1"/>
                <c:pt idx="0">
                  <c:v>Less than adequate quality (3)</c:v>
                </c:pt>
              </c:strCache>
            </c:strRef>
          </c:tx>
          <c:spPr>
            <a:solidFill>
              <a:srgbClr val="F79646"/>
            </a:solidFill>
          </c:spPr>
          <c:invertIfNegative val="0"/>
          <c:cat>
            <c:strRef>
              <c:f>'Fig 2'!$F$6:$K$6</c:f>
              <c:strCache>
                <c:ptCount val="6"/>
                <c:pt idx="0">
                  <c:v>Relevance (37)</c:v>
                </c:pt>
                <c:pt idx="1">
                  <c:v>Effectiveness (38)</c:v>
                </c:pt>
                <c:pt idx="2">
                  <c:v>Efficiency (37)</c:v>
                </c:pt>
                <c:pt idx="3">
                  <c:v>Sustainability (37)</c:v>
                </c:pt>
                <c:pt idx="4">
                  <c:v>M&amp;E (35)</c:v>
                </c:pt>
                <c:pt idx="5">
                  <c:v>Gender equality (33)</c:v>
                </c:pt>
              </c:strCache>
            </c:strRef>
          </c:cat>
          <c:val>
            <c:numRef>
              <c:f>'Fig 2'!$F$9:$K$9</c:f>
              <c:numCache>
                <c:formatCode>#,##0_ ;\-#,##0\ </c:formatCode>
                <c:ptCount val="6"/>
                <c:pt idx="1">
                  <c:v>1</c:v>
                </c:pt>
                <c:pt idx="2">
                  <c:v>12</c:v>
                </c:pt>
                <c:pt idx="3">
                  <c:v>7</c:v>
                </c:pt>
                <c:pt idx="4">
                  <c:v>11</c:v>
                </c:pt>
                <c:pt idx="5">
                  <c:v>10</c:v>
                </c:pt>
              </c:numCache>
            </c:numRef>
          </c:val>
        </c:ser>
        <c:ser>
          <c:idx val="0"/>
          <c:order val="3"/>
          <c:tx>
            <c:strRef>
              <c:f>'Fig 2'!$E$8</c:f>
              <c:strCache>
                <c:ptCount val="1"/>
                <c:pt idx="0">
                  <c:v>Poor quality (1,2)</c:v>
                </c:pt>
              </c:strCache>
            </c:strRef>
          </c:tx>
          <c:spPr>
            <a:solidFill>
              <a:srgbClr val="C0504D"/>
            </a:solidFill>
          </c:spPr>
          <c:invertIfNegative val="0"/>
          <c:cat>
            <c:strRef>
              <c:f>'Fig 2'!$F$6:$K$6</c:f>
              <c:strCache>
                <c:ptCount val="6"/>
                <c:pt idx="0">
                  <c:v>Relevance (37)</c:v>
                </c:pt>
                <c:pt idx="1">
                  <c:v>Effectiveness (38)</c:v>
                </c:pt>
                <c:pt idx="2">
                  <c:v>Efficiency (37)</c:v>
                </c:pt>
                <c:pt idx="3">
                  <c:v>Sustainability (37)</c:v>
                </c:pt>
                <c:pt idx="4">
                  <c:v>M&amp;E (35)</c:v>
                </c:pt>
                <c:pt idx="5">
                  <c:v>Gender equality (33)</c:v>
                </c:pt>
              </c:strCache>
            </c:strRef>
          </c:cat>
          <c:val>
            <c:numRef>
              <c:f>'Fig 2'!$F$8:$K$8</c:f>
              <c:numCache>
                <c:formatCode>#,##0_ ;\-#,##0\ </c:formatCode>
                <c:ptCount val="6"/>
                <c:pt idx="1">
                  <c:v>2</c:v>
                </c:pt>
                <c:pt idx="2">
                  <c:v>2</c:v>
                </c:pt>
                <c:pt idx="3">
                  <c:v>3</c:v>
                </c:pt>
                <c:pt idx="4">
                  <c:v>6</c:v>
                </c:pt>
                <c:pt idx="5">
                  <c:v>3</c:v>
                </c:pt>
              </c:numCache>
            </c:numRef>
          </c:val>
        </c:ser>
        <c:dLbls>
          <c:showLegendKey val="0"/>
          <c:showVal val="0"/>
          <c:showCatName val="0"/>
          <c:showSerName val="0"/>
          <c:showPercent val="0"/>
          <c:showBubbleSize val="0"/>
        </c:dLbls>
        <c:gapWidth val="150"/>
        <c:overlap val="100"/>
        <c:axId val="46805376"/>
        <c:axId val="46807296"/>
      </c:barChart>
      <c:catAx>
        <c:axId val="46805376"/>
        <c:scaling>
          <c:orientation val="minMax"/>
        </c:scaling>
        <c:delete val="0"/>
        <c:axPos val="b"/>
        <c:title>
          <c:tx>
            <c:rich>
              <a:bodyPr/>
              <a:lstStyle/>
              <a:p>
                <a:pPr>
                  <a:defRPr/>
                </a:pPr>
                <a:r>
                  <a:rPr lang="en-AU"/>
                  <a:t>Standard Australian aid quality criteria (number of ratings)</a:t>
                </a:r>
              </a:p>
            </c:rich>
          </c:tx>
          <c:layout>
            <c:manualLayout>
              <c:xMode val="edge"/>
              <c:yMode val="edge"/>
              <c:x val="0.17906434166588292"/>
              <c:y val="0.92762038201734165"/>
            </c:manualLayout>
          </c:layout>
          <c:overlay val="0"/>
        </c:title>
        <c:numFmt formatCode="General" sourceLinked="1"/>
        <c:majorTickMark val="none"/>
        <c:minorTickMark val="none"/>
        <c:tickLblPos val="nextTo"/>
        <c:txPr>
          <a:bodyPr rot="0" vert="horz"/>
          <a:lstStyle/>
          <a:p>
            <a:pPr>
              <a:defRPr sz="800"/>
            </a:pPr>
            <a:endParaRPr lang="en-US"/>
          </a:p>
        </c:txPr>
        <c:crossAx val="46807296"/>
        <c:crosses val="autoZero"/>
        <c:auto val="1"/>
        <c:lblAlgn val="ctr"/>
        <c:lblOffset val="100"/>
        <c:noMultiLvlLbl val="0"/>
      </c:catAx>
      <c:valAx>
        <c:axId val="46807296"/>
        <c:scaling>
          <c:orientation val="minMax"/>
        </c:scaling>
        <c:delete val="0"/>
        <c:axPos val="l"/>
        <c:majorGridlines>
          <c:spPr>
            <a:ln>
              <a:noFill/>
            </a:ln>
          </c:spPr>
        </c:majorGridlines>
        <c:title>
          <c:tx>
            <c:rich>
              <a:bodyPr rot="-5400000" vert="horz"/>
              <a:lstStyle/>
              <a:p>
                <a:pPr>
                  <a:defRPr/>
                </a:pPr>
                <a:r>
                  <a:rPr lang="en-US"/>
                  <a:t>Percentage of evaluations</a:t>
                </a:r>
              </a:p>
            </c:rich>
          </c:tx>
          <c:overlay val="0"/>
        </c:title>
        <c:numFmt formatCode="0%" sourceLinked="0"/>
        <c:majorTickMark val="none"/>
        <c:minorTickMark val="none"/>
        <c:tickLblPos val="nextTo"/>
        <c:txPr>
          <a:bodyPr/>
          <a:lstStyle/>
          <a:p>
            <a:pPr>
              <a:defRPr sz="800"/>
            </a:pPr>
            <a:endParaRPr lang="en-US"/>
          </a:p>
        </c:txPr>
        <c:crossAx val="46805376"/>
        <c:crosses val="autoZero"/>
        <c:crossBetween val="between"/>
      </c:valAx>
      <c:spPr>
        <a:solidFill>
          <a:srgbClr val="ECF1F7"/>
        </a:solidFill>
      </c:spPr>
    </c:plotArea>
    <c:legend>
      <c:legendPos val="r"/>
      <c:layout>
        <c:manualLayout>
          <c:xMode val="edge"/>
          <c:yMode val="edge"/>
          <c:x val="0.85470636451697724"/>
          <c:y val="0.12882909191307301"/>
          <c:w val="0.14393536557644143"/>
          <c:h val="0.68950076717946096"/>
        </c:manualLayout>
      </c:layout>
      <c:overlay val="0"/>
      <c:txPr>
        <a:bodyPr/>
        <a:lstStyle/>
        <a:p>
          <a:pPr>
            <a:defRPr sz="700"/>
          </a:pPr>
          <a:endParaRPr lang="en-US"/>
        </a:p>
      </c:txPr>
    </c:legend>
    <c:plotVisOnly val="1"/>
    <c:dispBlanksAs val="gap"/>
    <c:showDLblsOverMax val="0"/>
  </c:chart>
  <c:spPr>
    <a:solidFill>
      <a:srgbClr val="ECF1F7"/>
    </a:solidFill>
    <a:ln>
      <a:noFill/>
    </a:ln>
  </c:spPr>
  <c:txPr>
    <a:bodyPr/>
    <a:lstStyle/>
    <a:p>
      <a:pPr>
        <a:defRPr sz="850">
          <a:latin typeface="Franklin Gothic Book"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1"/>
          <c:order val="0"/>
          <c:tx>
            <c:strRef>
              <c:f>'Fig 3'!$D$23</c:f>
              <c:strCache>
                <c:ptCount val="1"/>
                <c:pt idx="0">
                  <c:v>Adequate</c:v>
                </c:pt>
              </c:strCache>
            </c:strRef>
          </c:tx>
          <c:spPr>
            <a:solidFill>
              <a:srgbClr val="92D050"/>
            </a:solidFill>
          </c:spPr>
          <c:invertIfNegative val="0"/>
          <c:dLbls>
            <c:spPr>
              <a:noFill/>
              <a:ln>
                <a:noFill/>
              </a:ln>
              <a:effectLst/>
            </c:spPr>
            <c:txPr>
              <a:bodyPr/>
              <a:lstStyle/>
              <a:p>
                <a:pPr>
                  <a:defRPr sz="700"/>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multiLvlStrRef>
              <c:f>'Fig 3'!$A$24:$B$38</c:f>
              <c:multiLvlStrCache>
                <c:ptCount val="15"/>
                <c:lvl>
                  <c:pt idx="0">
                    <c:v>6. Gender</c:v>
                  </c:pt>
                  <c:pt idx="1">
                    <c:v>5. Impact</c:v>
                  </c:pt>
                  <c:pt idx="2">
                    <c:v>4. Sustainability</c:v>
                  </c:pt>
                  <c:pt idx="3">
                    <c:v>3. Efficiency</c:v>
                  </c:pt>
                  <c:pt idx="4">
                    <c:v>2. Effectiveness</c:v>
                  </c:pt>
                  <c:pt idx="5">
                    <c:v>1. Relevance </c:v>
                  </c:pt>
                  <c:pt idx="6">
                    <c:v>9. Recommendations</c:v>
                  </c:pt>
                  <c:pt idx="7">
                    <c:v>8. Credibility of evidence &amp; analysis</c:v>
                  </c:pt>
                  <c:pt idx="8">
                    <c:v>7. Evaluation questions &amp; criteria</c:v>
                  </c:pt>
                  <c:pt idx="9">
                    <c:v>6. Context of the initiative</c:v>
                  </c:pt>
                  <c:pt idx="10">
                    <c:v>5. Adequacy and use of M&amp;E</c:v>
                  </c:pt>
                  <c:pt idx="11">
                    <c:v>4. Methodology</c:v>
                  </c:pt>
                  <c:pt idx="12">
                    <c:v>3. Assessment of intervention logic</c:v>
                  </c:pt>
                  <c:pt idx="13">
                    <c:v>2. Scope of evaluation</c:v>
                  </c:pt>
                  <c:pt idx="14">
                    <c:v>1. Purpose of evaluation</c:v>
                  </c:pt>
                </c:lvl>
                <c:lvl>
                  <c:pt idx="0">
                    <c:v>Application of standard Australian aid quality criteria</c:v>
                  </c:pt>
                  <c:pt idx="6">
                    <c:v>Evaluation quality standards</c:v>
                  </c:pt>
                </c:lvl>
              </c:multiLvlStrCache>
            </c:multiLvlStrRef>
          </c:cat>
          <c:val>
            <c:numRef>
              <c:f>'Fig 3'!$D$24:$D$38</c:f>
              <c:numCache>
                <c:formatCode>#,##0_ ;\-#,##0\ </c:formatCode>
                <c:ptCount val="15"/>
                <c:pt idx="0">
                  <c:v>36</c:v>
                </c:pt>
                <c:pt idx="1">
                  <c:v>21</c:v>
                </c:pt>
                <c:pt idx="2">
                  <c:v>41</c:v>
                </c:pt>
                <c:pt idx="3">
                  <c:v>42</c:v>
                </c:pt>
                <c:pt idx="4">
                  <c:v>58</c:v>
                </c:pt>
                <c:pt idx="5">
                  <c:v>55</c:v>
                </c:pt>
                <c:pt idx="6">
                  <c:v>73</c:v>
                </c:pt>
                <c:pt idx="7">
                  <c:v>64</c:v>
                </c:pt>
                <c:pt idx="8">
                  <c:v>65</c:v>
                </c:pt>
                <c:pt idx="9">
                  <c:v>54</c:v>
                </c:pt>
                <c:pt idx="10">
                  <c:v>68</c:v>
                </c:pt>
                <c:pt idx="11">
                  <c:v>36</c:v>
                </c:pt>
                <c:pt idx="12">
                  <c:v>36</c:v>
                </c:pt>
                <c:pt idx="13">
                  <c:v>54</c:v>
                </c:pt>
                <c:pt idx="14">
                  <c:v>76</c:v>
                </c:pt>
              </c:numCache>
            </c:numRef>
          </c:val>
        </c:ser>
        <c:ser>
          <c:idx val="2"/>
          <c:order val="1"/>
          <c:tx>
            <c:strRef>
              <c:f>'Fig 3'!$E$23</c:f>
              <c:strCache>
                <c:ptCount val="1"/>
                <c:pt idx="0">
                  <c:v>Not assessable</c:v>
                </c:pt>
              </c:strCache>
            </c:strRef>
          </c:tx>
          <c:spPr>
            <a:solidFill>
              <a:schemeClr val="bg1">
                <a:lumMod val="75000"/>
              </a:schemeClr>
            </a:solidFill>
          </c:spPr>
          <c:invertIfNegative val="0"/>
          <c:cat>
            <c:multiLvlStrRef>
              <c:f>'Fig 3'!$A$24:$B$38</c:f>
              <c:multiLvlStrCache>
                <c:ptCount val="15"/>
                <c:lvl>
                  <c:pt idx="0">
                    <c:v>6. Gender</c:v>
                  </c:pt>
                  <c:pt idx="1">
                    <c:v>5. Impact</c:v>
                  </c:pt>
                  <c:pt idx="2">
                    <c:v>4. Sustainability</c:v>
                  </c:pt>
                  <c:pt idx="3">
                    <c:v>3. Efficiency</c:v>
                  </c:pt>
                  <c:pt idx="4">
                    <c:v>2. Effectiveness</c:v>
                  </c:pt>
                  <c:pt idx="5">
                    <c:v>1. Relevance </c:v>
                  </c:pt>
                  <c:pt idx="6">
                    <c:v>9. Recommendations</c:v>
                  </c:pt>
                  <c:pt idx="7">
                    <c:v>8. Credibility of evidence &amp; analysis</c:v>
                  </c:pt>
                  <c:pt idx="8">
                    <c:v>7. Evaluation questions &amp; criteria</c:v>
                  </c:pt>
                  <c:pt idx="9">
                    <c:v>6. Context of the initiative</c:v>
                  </c:pt>
                  <c:pt idx="10">
                    <c:v>5. Adequacy and use of M&amp;E</c:v>
                  </c:pt>
                  <c:pt idx="11">
                    <c:v>4. Methodology</c:v>
                  </c:pt>
                  <c:pt idx="12">
                    <c:v>3. Assessment of intervention logic</c:v>
                  </c:pt>
                  <c:pt idx="13">
                    <c:v>2. Scope of evaluation</c:v>
                  </c:pt>
                  <c:pt idx="14">
                    <c:v>1. Purpose of evaluation</c:v>
                  </c:pt>
                </c:lvl>
                <c:lvl>
                  <c:pt idx="0">
                    <c:v>Application of standard Australian aid quality criteria</c:v>
                  </c:pt>
                  <c:pt idx="6">
                    <c:v>Evaluation quality standards</c:v>
                  </c:pt>
                </c:lvl>
              </c:multiLvlStrCache>
            </c:multiLvlStrRef>
          </c:cat>
          <c:val>
            <c:numRef>
              <c:f>'Fig 3'!$E$24:$E$38</c:f>
              <c:numCache>
                <c:formatCode>General</c:formatCode>
                <c:ptCount val="15"/>
                <c:pt idx="0">
                  <c:v>24</c:v>
                </c:pt>
                <c:pt idx="1">
                  <c:v>42</c:v>
                </c:pt>
                <c:pt idx="2">
                  <c:v>13</c:v>
                </c:pt>
                <c:pt idx="3">
                  <c:v>9</c:v>
                </c:pt>
                <c:pt idx="4">
                  <c:v>5</c:v>
                </c:pt>
                <c:pt idx="5">
                  <c:v>16</c:v>
                </c:pt>
                <c:pt idx="6">
                  <c:v>0</c:v>
                </c:pt>
                <c:pt idx="7">
                  <c:v>0</c:v>
                </c:pt>
                <c:pt idx="8">
                  <c:v>0</c:v>
                </c:pt>
                <c:pt idx="9">
                  <c:v>0</c:v>
                </c:pt>
                <c:pt idx="10">
                  <c:v>1</c:v>
                </c:pt>
                <c:pt idx="11">
                  <c:v>0</c:v>
                </c:pt>
                <c:pt idx="12">
                  <c:v>4</c:v>
                </c:pt>
                <c:pt idx="13">
                  <c:v>1</c:v>
                </c:pt>
                <c:pt idx="14">
                  <c:v>0</c:v>
                </c:pt>
              </c:numCache>
            </c:numRef>
          </c:val>
        </c:ser>
        <c:ser>
          <c:idx val="0"/>
          <c:order val="2"/>
          <c:tx>
            <c:strRef>
              <c:f>'Fig 3'!$C$23</c:f>
              <c:strCache>
                <c:ptCount val="1"/>
                <c:pt idx="0">
                  <c:v>Not adequate</c:v>
                </c:pt>
              </c:strCache>
            </c:strRef>
          </c:tx>
          <c:spPr>
            <a:solidFill>
              <a:srgbClr val="F79646"/>
            </a:solidFill>
          </c:spPr>
          <c:invertIfNegative val="0"/>
          <c:cat>
            <c:multiLvlStrRef>
              <c:f>'Fig 3'!$A$24:$B$38</c:f>
              <c:multiLvlStrCache>
                <c:ptCount val="15"/>
                <c:lvl>
                  <c:pt idx="0">
                    <c:v>6. Gender</c:v>
                  </c:pt>
                  <c:pt idx="1">
                    <c:v>5. Impact</c:v>
                  </c:pt>
                  <c:pt idx="2">
                    <c:v>4. Sustainability</c:v>
                  </c:pt>
                  <c:pt idx="3">
                    <c:v>3. Efficiency</c:v>
                  </c:pt>
                  <c:pt idx="4">
                    <c:v>2. Effectiveness</c:v>
                  </c:pt>
                  <c:pt idx="5">
                    <c:v>1. Relevance </c:v>
                  </c:pt>
                  <c:pt idx="6">
                    <c:v>9. Recommendations</c:v>
                  </c:pt>
                  <c:pt idx="7">
                    <c:v>8. Credibility of evidence &amp; analysis</c:v>
                  </c:pt>
                  <c:pt idx="8">
                    <c:v>7. Evaluation questions &amp; criteria</c:v>
                  </c:pt>
                  <c:pt idx="9">
                    <c:v>6. Context of the initiative</c:v>
                  </c:pt>
                  <c:pt idx="10">
                    <c:v>5. Adequacy and use of M&amp;E</c:v>
                  </c:pt>
                  <c:pt idx="11">
                    <c:v>4. Methodology</c:v>
                  </c:pt>
                  <c:pt idx="12">
                    <c:v>3. Assessment of intervention logic</c:v>
                  </c:pt>
                  <c:pt idx="13">
                    <c:v>2. Scope of evaluation</c:v>
                  </c:pt>
                  <c:pt idx="14">
                    <c:v>1. Purpose of evaluation</c:v>
                  </c:pt>
                </c:lvl>
                <c:lvl>
                  <c:pt idx="0">
                    <c:v>Application of standard Australian aid quality criteria</c:v>
                  </c:pt>
                  <c:pt idx="6">
                    <c:v>Evaluation quality standards</c:v>
                  </c:pt>
                </c:lvl>
              </c:multiLvlStrCache>
            </c:multiLvlStrRef>
          </c:cat>
          <c:val>
            <c:numRef>
              <c:f>'Fig 3'!$C$24:$C$38</c:f>
              <c:numCache>
                <c:formatCode>#,##0_ ;\-#,##0\ </c:formatCode>
                <c:ptCount val="15"/>
                <c:pt idx="0">
                  <c:v>27</c:v>
                </c:pt>
                <c:pt idx="1">
                  <c:v>24</c:v>
                </c:pt>
                <c:pt idx="2">
                  <c:v>33</c:v>
                </c:pt>
                <c:pt idx="3">
                  <c:v>36</c:v>
                </c:pt>
                <c:pt idx="4">
                  <c:v>24</c:v>
                </c:pt>
                <c:pt idx="5">
                  <c:v>16</c:v>
                </c:pt>
                <c:pt idx="6">
                  <c:v>14</c:v>
                </c:pt>
                <c:pt idx="7">
                  <c:v>23</c:v>
                </c:pt>
                <c:pt idx="8">
                  <c:v>22</c:v>
                </c:pt>
                <c:pt idx="9">
                  <c:v>33</c:v>
                </c:pt>
                <c:pt idx="10">
                  <c:v>18</c:v>
                </c:pt>
                <c:pt idx="11">
                  <c:v>51</c:v>
                </c:pt>
                <c:pt idx="12">
                  <c:v>47</c:v>
                </c:pt>
                <c:pt idx="13">
                  <c:v>32</c:v>
                </c:pt>
                <c:pt idx="14">
                  <c:v>11</c:v>
                </c:pt>
              </c:numCache>
            </c:numRef>
          </c:val>
        </c:ser>
        <c:dLbls>
          <c:showLegendKey val="0"/>
          <c:showVal val="0"/>
          <c:showCatName val="0"/>
          <c:showSerName val="0"/>
          <c:showPercent val="0"/>
          <c:showBubbleSize val="0"/>
        </c:dLbls>
        <c:gapWidth val="150"/>
        <c:overlap val="100"/>
        <c:axId val="46889600"/>
        <c:axId val="46907776"/>
      </c:barChart>
      <c:catAx>
        <c:axId val="46889600"/>
        <c:scaling>
          <c:orientation val="minMax"/>
        </c:scaling>
        <c:delete val="0"/>
        <c:axPos val="l"/>
        <c:numFmt formatCode="General" sourceLinked="0"/>
        <c:majorTickMark val="none"/>
        <c:minorTickMark val="none"/>
        <c:tickLblPos val="nextTo"/>
        <c:crossAx val="46907776"/>
        <c:crosses val="autoZero"/>
        <c:auto val="1"/>
        <c:lblAlgn val="ctr"/>
        <c:lblOffset val="100"/>
        <c:noMultiLvlLbl val="0"/>
      </c:catAx>
      <c:valAx>
        <c:axId val="46907776"/>
        <c:scaling>
          <c:orientation val="minMax"/>
          <c:max val="90"/>
        </c:scaling>
        <c:delete val="0"/>
        <c:axPos val="b"/>
        <c:majorGridlines>
          <c:spPr>
            <a:ln>
              <a:noFill/>
            </a:ln>
          </c:spPr>
        </c:majorGridlines>
        <c:title>
          <c:tx>
            <c:rich>
              <a:bodyPr/>
              <a:lstStyle/>
              <a:p>
                <a:pPr>
                  <a:defRPr/>
                </a:pPr>
                <a:r>
                  <a:rPr lang="en-US"/>
                  <a:t>Number of evaluations</a:t>
                </a:r>
              </a:p>
            </c:rich>
          </c:tx>
          <c:overlay val="0"/>
        </c:title>
        <c:numFmt formatCode="#,##0_ ;\-#,##0\ " sourceLinked="1"/>
        <c:majorTickMark val="none"/>
        <c:minorTickMark val="none"/>
        <c:tickLblPos val="nextTo"/>
        <c:crossAx val="46889600"/>
        <c:crosses val="autoZero"/>
        <c:crossBetween val="between"/>
      </c:valAx>
      <c:spPr>
        <a:noFill/>
        <a:ln>
          <a:noFill/>
        </a:ln>
      </c:spPr>
    </c:plotArea>
    <c:legend>
      <c:legendPos val="b"/>
      <c:layout>
        <c:manualLayout>
          <c:xMode val="edge"/>
          <c:yMode val="edge"/>
          <c:x val="0.40483709381972199"/>
          <c:y val="0.93202289600257304"/>
          <c:w val="0.56480674554015897"/>
          <c:h val="5.0168832902285299E-2"/>
        </c:manualLayout>
      </c:layout>
      <c:overlay val="0"/>
    </c:legend>
    <c:plotVisOnly val="1"/>
    <c:dispBlanksAs val="gap"/>
    <c:showDLblsOverMax val="0"/>
  </c:chart>
  <c:spPr>
    <a:ln>
      <a:noFill/>
    </a:ln>
  </c:spPr>
  <c:txPr>
    <a:bodyPr/>
    <a:lstStyle/>
    <a:p>
      <a:pPr>
        <a:defRPr sz="850">
          <a:latin typeface="Franklin Gothic Book"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'Fig 5'!$H$4</c:f>
              <c:strCache>
                <c:ptCount val="1"/>
                <c:pt idx="0">
                  <c:v>Very high quality</c:v>
                </c:pt>
              </c:strCache>
            </c:strRef>
          </c:tx>
          <c:spPr>
            <a:solidFill>
              <a:srgbClr val="00B050"/>
            </a:solidFill>
          </c:spPr>
          <c:invertIfNegative val="0"/>
          <c:cat>
            <c:strRef>
              <c:f>'Fig 5'!$B$5:$B$6</c:f>
              <c:strCache>
                <c:ptCount val="2"/>
                <c:pt idx="0">
                  <c:v>Independent progress reports</c:v>
                </c:pt>
                <c:pt idx="1">
                  <c:v>Independent completion reports</c:v>
                </c:pt>
              </c:strCache>
            </c:strRef>
          </c:cat>
          <c:val>
            <c:numRef>
              <c:f>'Fig 5'!$H$5:$H$6</c:f>
              <c:numCache>
                <c:formatCode>0%</c:formatCode>
                <c:ptCount val="2"/>
                <c:pt idx="0">
                  <c:v>7.8431372549019607E-2</c:v>
                </c:pt>
                <c:pt idx="1">
                  <c:v>2.94117647058823E-2</c:v>
                </c:pt>
              </c:numCache>
            </c:numRef>
          </c:val>
        </c:ser>
        <c:ser>
          <c:idx val="1"/>
          <c:order val="1"/>
          <c:tx>
            <c:strRef>
              <c:f>'Fig 5'!$G$4</c:f>
              <c:strCache>
                <c:ptCount val="1"/>
                <c:pt idx="0">
                  <c:v>Good quality</c:v>
                </c:pt>
              </c:strCache>
            </c:strRef>
          </c:tx>
          <c:spPr>
            <a:solidFill>
              <a:srgbClr val="92D050"/>
            </a:solidFill>
          </c:spPr>
          <c:invertIfNegative val="0"/>
          <c:cat>
            <c:strRef>
              <c:f>'Fig 5'!$B$5:$B$6</c:f>
              <c:strCache>
                <c:ptCount val="2"/>
                <c:pt idx="0">
                  <c:v>Independent progress reports</c:v>
                </c:pt>
                <c:pt idx="1">
                  <c:v>Independent completion reports</c:v>
                </c:pt>
              </c:strCache>
            </c:strRef>
          </c:cat>
          <c:val>
            <c:numRef>
              <c:f>'Fig 5'!$G$5:$G$6</c:f>
              <c:numCache>
                <c:formatCode>0%</c:formatCode>
                <c:ptCount val="2"/>
                <c:pt idx="0">
                  <c:v>0.23529411764705899</c:v>
                </c:pt>
                <c:pt idx="1">
                  <c:v>0.38235294117647101</c:v>
                </c:pt>
              </c:numCache>
            </c:numRef>
          </c:val>
        </c:ser>
        <c:ser>
          <c:idx val="2"/>
          <c:order val="2"/>
          <c:tx>
            <c:strRef>
              <c:f>'Fig 5'!$F$4</c:f>
              <c:strCache>
                <c:ptCount val="1"/>
                <c:pt idx="0">
                  <c:v>Adequate quality</c:v>
                </c:pt>
              </c:strCache>
            </c:strRef>
          </c:tx>
          <c:spPr>
            <a:solidFill>
              <a:srgbClr val="FFFF00"/>
            </a:solidFill>
          </c:spPr>
          <c:invertIfNegative val="0"/>
          <c:cat>
            <c:strRef>
              <c:f>'Fig 5'!$B$5:$B$6</c:f>
              <c:strCache>
                <c:ptCount val="2"/>
                <c:pt idx="0">
                  <c:v>Independent progress reports</c:v>
                </c:pt>
                <c:pt idx="1">
                  <c:v>Independent completion reports</c:v>
                </c:pt>
              </c:strCache>
            </c:strRef>
          </c:cat>
          <c:val>
            <c:numRef>
              <c:f>'Fig 5'!$F$5:$F$6</c:f>
              <c:numCache>
                <c:formatCode>0%</c:formatCode>
                <c:ptCount val="2"/>
                <c:pt idx="0">
                  <c:v>0.45098039215686297</c:v>
                </c:pt>
                <c:pt idx="1">
                  <c:v>0.26470588235294101</c:v>
                </c:pt>
              </c:numCache>
            </c:numRef>
          </c:val>
        </c:ser>
        <c:ser>
          <c:idx val="3"/>
          <c:order val="3"/>
          <c:tx>
            <c:strRef>
              <c:f>'Fig 5'!$E$4</c:f>
              <c:strCache>
                <c:ptCount val="1"/>
                <c:pt idx="0">
                  <c:v>Less than adequate quality</c:v>
                </c:pt>
              </c:strCache>
            </c:strRef>
          </c:tx>
          <c:spPr>
            <a:solidFill>
              <a:schemeClr val="accent6"/>
            </a:solidFill>
          </c:spPr>
          <c:invertIfNegative val="0"/>
          <c:cat>
            <c:strRef>
              <c:f>'Fig 5'!$B$5:$B$6</c:f>
              <c:strCache>
                <c:ptCount val="2"/>
                <c:pt idx="0">
                  <c:v>Independent progress reports</c:v>
                </c:pt>
                <c:pt idx="1">
                  <c:v>Independent completion reports</c:v>
                </c:pt>
              </c:strCache>
            </c:strRef>
          </c:cat>
          <c:val>
            <c:numRef>
              <c:f>'Fig 5'!$E$5:$E$6</c:f>
              <c:numCache>
                <c:formatCode>0%</c:formatCode>
                <c:ptCount val="2"/>
                <c:pt idx="0">
                  <c:v>0.17647058823529399</c:v>
                </c:pt>
                <c:pt idx="1">
                  <c:v>0.20588235294117599</c:v>
                </c:pt>
              </c:numCache>
            </c:numRef>
          </c:val>
        </c:ser>
        <c:ser>
          <c:idx val="4"/>
          <c:order val="4"/>
          <c:tx>
            <c:strRef>
              <c:f>'Fig 5'!$D$4</c:f>
              <c:strCache>
                <c:ptCount val="1"/>
                <c:pt idx="0">
                  <c:v>Poor quality</c:v>
                </c:pt>
              </c:strCache>
            </c:strRef>
          </c:tx>
          <c:spPr>
            <a:solidFill>
              <a:schemeClr val="accent6">
                <a:lumMod val="75000"/>
              </a:schemeClr>
            </a:solidFill>
          </c:spPr>
          <c:invertIfNegative val="0"/>
          <c:cat>
            <c:strRef>
              <c:f>'Fig 5'!$B$5:$B$6</c:f>
              <c:strCache>
                <c:ptCount val="2"/>
                <c:pt idx="0">
                  <c:v>Independent progress reports</c:v>
                </c:pt>
                <c:pt idx="1">
                  <c:v>Independent completion reports</c:v>
                </c:pt>
              </c:strCache>
            </c:strRef>
          </c:cat>
          <c:val>
            <c:numRef>
              <c:f>'Fig 5'!$D$5:$D$6</c:f>
              <c:numCache>
                <c:formatCode>0%</c:formatCode>
                <c:ptCount val="2"/>
                <c:pt idx="0">
                  <c:v>3.9215686274509803E-2</c:v>
                </c:pt>
                <c:pt idx="1">
                  <c:v>8.8235294117646995E-2</c:v>
                </c:pt>
              </c:numCache>
            </c:numRef>
          </c:val>
        </c:ser>
        <c:ser>
          <c:idx val="5"/>
          <c:order val="5"/>
          <c:tx>
            <c:strRef>
              <c:f>'Fig 5'!$C$4</c:f>
              <c:strCache>
                <c:ptCount val="1"/>
                <c:pt idx="0">
                  <c:v>Very poor quality</c:v>
                </c:pt>
              </c:strCache>
            </c:strRef>
          </c:tx>
          <c:spPr>
            <a:solidFill>
              <a:schemeClr val="accent2"/>
            </a:solidFill>
          </c:spPr>
          <c:invertIfNegative val="0"/>
          <c:cat>
            <c:strRef>
              <c:f>'Fig 5'!$B$5:$B$6</c:f>
              <c:strCache>
                <c:ptCount val="2"/>
                <c:pt idx="0">
                  <c:v>Independent progress reports</c:v>
                </c:pt>
                <c:pt idx="1">
                  <c:v>Independent completion reports</c:v>
                </c:pt>
              </c:strCache>
            </c:strRef>
          </c:cat>
          <c:val>
            <c:numRef>
              <c:f>'Fig 5'!$C$5:$C$6</c:f>
              <c:numCache>
                <c:formatCode>0%</c:formatCode>
                <c:ptCount val="2"/>
                <c:pt idx="0">
                  <c:v>1.9607843137254902E-2</c:v>
                </c:pt>
                <c:pt idx="1">
                  <c:v>2.94117647058823E-2</c:v>
                </c:pt>
              </c:numCache>
            </c:numRef>
          </c:val>
        </c:ser>
        <c:dLbls>
          <c:showLegendKey val="0"/>
          <c:showVal val="0"/>
          <c:showCatName val="0"/>
          <c:showSerName val="0"/>
          <c:showPercent val="0"/>
          <c:showBubbleSize val="0"/>
        </c:dLbls>
        <c:gapWidth val="150"/>
        <c:overlap val="100"/>
        <c:axId val="46935424"/>
        <c:axId val="46949504"/>
      </c:barChart>
      <c:catAx>
        <c:axId val="46935424"/>
        <c:scaling>
          <c:orientation val="minMax"/>
        </c:scaling>
        <c:delete val="0"/>
        <c:axPos val="b"/>
        <c:numFmt formatCode="General" sourceLinked="0"/>
        <c:majorTickMark val="none"/>
        <c:minorTickMark val="none"/>
        <c:tickLblPos val="nextTo"/>
        <c:txPr>
          <a:bodyPr/>
          <a:lstStyle/>
          <a:p>
            <a:pPr>
              <a:defRPr sz="850">
                <a:latin typeface="Franklin Gothic Book" pitchFamily="34" charset="0"/>
              </a:defRPr>
            </a:pPr>
            <a:endParaRPr lang="en-US"/>
          </a:p>
        </c:txPr>
        <c:crossAx val="46949504"/>
        <c:crosses val="autoZero"/>
        <c:auto val="1"/>
        <c:lblAlgn val="ctr"/>
        <c:lblOffset val="100"/>
        <c:noMultiLvlLbl val="0"/>
      </c:catAx>
      <c:valAx>
        <c:axId val="46949504"/>
        <c:scaling>
          <c:orientation val="minMax"/>
        </c:scaling>
        <c:delete val="0"/>
        <c:axPos val="l"/>
        <c:majorGridlines>
          <c:spPr>
            <a:ln>
              <a:noFill/>
            </a:ln>
          </c:spPr>
        </c:majorGridlines>
        <c:title>
          <c:tx>
            <c:rich>
              <a:bodyPr rot="-5400000" vert="horz"/>
              <a:lstStyle/>
              <a:p>
                <a:pPr>
                  <a:defRPr sz="850">
                    <a:latin typeface="Franklin Gothic Book" pitchFamily="34" charset="0"/>
                  </a:defRPr>
                </a:pPr>
                <a:r>
                  <a:rPr lang="en-US" sz="850">
                    <a:latin typeface="Franklin Gothic Book" pitchFamily="34" charset="0"/>
                  </a:rPr>
                  <a:t>Percentage of evaluation reports</a:t>
                </a:r>
              </a:p>
            </c:rich>
          </c:tx>
          <c:overlay val="0"/>
        </c:title>
        <c:numFmt formatCode="0%" sourceLinked="1"/>
        <c:majorTickMark val="none"/>
        <c:minorTickMark val="none"/>
        <c:tickLblPos val="nextTo"/>
        <c:txPr>
          <a:bodyPr/>
          <a:lstStyle/>
          <a:p>
            <a:pPr>
              <a:defRPr sz="850">
                <a:latin typeface="Franklin Gothic Book" pitchFamily="34" charset="0"/>
              </a:defRPr>
            </a:pPr>
            <a:endParaRPr lang="en-US"/>
          </a:p>
        </c:txPr>
        <c:crossAx val="46935424"/>
        <c:crosses val="autoZero"/>
        <c:crossBetween val="between"/>
      </c:valAx>
      <c:spPr>
        <a:ln>
          <a:noFill/>
        </a:ln>
      </c:spPr>
    </c:plotArea>
    <c:legend>
      <c:legendPos val="r"/>
      <c:overlay val="0"/>
      <c:txPr>
        <a:bodyPr/>
        <a:lstStyle/>
        <a:p>
          <a:pPr>
            <a:defRPr sz="850">
              <a:latin typeface="Franklin Gothic Book" pitchFamily="34" charset="0"/>
            </a:defRPr>
          </a:pPr>
          <a:endParaRPr lang="en-US"/>
        </a:p>
      </c:txPr>
    </c:legend>
    <c:plotVisOnly val="1"/>
    <c:dispBlanksAs val="gap"/>
    <c:showDLblsOverMax val="0"/>
  </c:chart>
  <c:spPr>
    <a:ln>
      <a:noFill/>
    </a:ln>
  </c:spPr>
  <c:txPr>
    <a:bodyPr/>
    <a:lstStyle/>
    <a:p>
      <a:pPr>
        <a:defRPr sz="900">
          <a:latin typeface="+mj-lt"/>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1"/>
          <c:order val="0"/>
          <c:tx>
            <c:v>Adequate quality</c:v>
          </c:tx>
          <c:spPr>
            <a:solidFill>
              <a:srgbClr val="92D050"/>
            </a:solidFill>
          </c:spPr>
          <c:invertIfNegative val="0"/>
          <c:cat>
            <c:strRef>
              <c:f>'Fig 7'!$A$3:$A$7</c:f>
              <c:strCache>
                <c:ptCount val="5"/>
                <c:pt idx="0">
                  <c:v>1</c:v>
                </c:pt>
                <c:pt idx="1">
                  <c:v>2</c:v>
                </c:pt>
                <c:pt idx="2">
                  <c:v>3</c:v>
                </c:pt>
                <c:pt idx="3">
                  <c:v>4</c:v>
                </c:pt>
                <c:pt idx="4">
                  <c:v>5 to 8</c:v>
                </c:pt>
              </c:strCache>
            </c:strRef>
          </c:cat>
          <c:val>
            <c:numRef>
              <c:f>'Fig 7'!$F$3:$F$7</c:f>
              <c:numCache>
                <c:formatCode>0%</c:formatCode>
                <c:ptCount val="5"/>
                <c:pt idx="0">
                  <c:v>0.69230769230769196</c:v>
                </c:pt>
                <c:pt idx="1">
                  <c:v>0.74193548387096797</c:v>
                </c:pt>
                <c:pt idx="2">
                  <c:v>0.875</c:v>
                </c:pt>
                <c:pt idx="3">
                  <c:v>0.875</c:v>
                </c:pt>
                <c:pt idx="4">
                  <c:v>0.6</c:v>
                </c:pt>
              </c:numCache>
            </c:numRef>
          </c:val>
        </c:ser>
        <c:ser>
          <c:idx val="0"/>
          <c:order val="1"/>
          <c:tx>
            <c:v>Not adequate quality</c:v>
          </c:tx>
          <c:spPr>
            <a:solidFill>
              <a:srgbClr val="F79646"/>
            </a:solidFill>
          </c:spPr>
          <c:invertIfNegative val="0"/>
          <c:cat>
            <c:strRef>
              <c:f>'Fig 7'!$A$3:$A$7</c:f>
              <c:strCache>
                <c:ptCount val="5"/>
                <c:pt idx="0">
                  <c:v>1</c:v>
                </c:pt>
                <c:pt idx="1">
                  <c:v>2</c:v>
                </c:pt>
                <c:pt idx="2">
                  <c:v>3</c:v>
                </c:pt>
                <c:pt idx="3">
                  <c:v>4</c:v>
                </c:pt>
                <c:pt idx="4">
                  <c:v>5 to 8</c:v>
                </c:pt>
              </c:strCache>
            </c:strRef>
          </c:cat>
          <c:val>
            <c:numRef>
              <c:f>'Fig 7'!$E$3:$E$7</c:f>
              <c:numCache>
                <c:formatCode>0%</c:formatCode>
                <c:ptCount val="5"/>
                <c:pt idx="0">
                  <c:v>0.30769230769230799</c:v>
                </c:pt>
                <c:pt idx="1">
                  <c:v>0.25806451612903197</c:v>
                </c:pt>
                <c:pt idx="2">
                  <c:v>0.125</c:v>
                </c:pt>
                <c:pt idx="3">
                  <c:v>0.125</c:v>
                </c:pt>
                <c:pt idx="4">
                  <c:v>0.4</c:v>
                </c:pt>
              </c:numCache>
            </c:numRef>
          </c:val>
        </c:ser>
        <c:dLbls>
          <c:showLegendKey val="0"/>
          <c:showVal val="0"/>
          <c:showCatName val="0"/>
          <c:showSerName val="0"/>
          <c:showPercent val="0"/>
          <c:showBubbleSize val="0"/>
        </c:dLbls>
        <c:gapWidth val="150"/>
        <c:overlap val="100"/>
        <c:axId val="46962944"/>
        <c:axId val="46977408"/>
      </c:barChart>
      <c:catAx>
        <c:axId val="46962944"/>
        <c:scaling>
          <c:orientation val="minMax"/>
        </c:scaling>
        <c:delete val="0"/>
        <c:axPos val="b"/>
        <c:title>
          <c:tx>
            <c:rich>
              <a:bodyPr/>
              <a:lstStyle/>
              <a:p>
                <a:pPr>
                  <a:defRPr/>
                </a:pPr>
                <a:r>
                  <a:rPr lang="en-US"/>
                  <a:t>Number of team members</a:t>
                </a:r>
              </a:p>
            </c:rich>
          </c:tx>
          <c:overlay val="0"/>
        </c:title>
        <c:numFmt formatCode="General" sourceLinked="0"/>
        <c:majorTickMark val="none"/>
        <c:minorTickMark val="none"/>
        <c:tickLblPos val="nextTo"/>
        <c:crossAx val="46977408"/>
        <c:crosses val="autoZero"/>
        <c:auto val="1"/>
        <c:lblAlgn val="ctr"/>
        <c:lblOffset val="100"/>
        <c:noMultiLvlLbl val="0"/>
      </c:catAx>
      <c:valAx>
        <c:axId val="46977408"/>
        <c:scaling>
          <c:orientation val="minMax"/>
        </c:scaling>
        <c:delete val="0"/>
        <c:axPos val="l"/>
        <c:majorGridlines>
          <c:spPr>
            <a:ln>
              <a:noFill/>
            </a:ln>
          </c:spPr>
        </c:majorGridlines>
        <c:title>
          <c:tx>
            <c:rich>
              <a:bodyPr rot="-5400000" vert="horz"/>
              <a:lstStyle/>
              <a:p>
                <a:pPr>
                  <a:defRPr/>
                </a:pPr>
                <a:r>
                  <a:rPr lang="en-US"/>
                  <a:t>Percentage of evaluations</a:t>
                </a:r>
              </a:p>
            </c:rich>
          </c:tx>
          <c:overlay val="0"/>
        </c:title>
        <c:numFmt formatCode="0%" sourceLinked="1"/>
        <c:majorTickMark val="none"/>
        <c:minorTickMark val="none"/>
        <c:tickLblPos val="nextTo"/>
        <c:crossAx val="46962944"/>
        <c:crosses val="autoZero"/>
        <c:crossBetween val="between"/>
      </c:valAx>
    </c:plotArea>
    <c:legend>
      <c:legendPos val="r"/>
      <c:overlay val="0"/>
    </c:legend>
    <c:plotVisOnly val="1"/>
    <c:dispBlanksAs val="gap"/>
    <c:showDLblsOverMax val="0"/>
  </c:chart>
  <c:spPr>
    <a:ln>
      <a:noFill/>
    </a:ln>
  </c:spPr>
  <c:txPr>
    <a:bodyPr/>
    <a:lstStyle/>
    <a:p>
      <a:pPr>
        <a:defRPr sz="850">
          <a:latin typeface="Franklin Gothic Book"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296180099036865"/>
          <c:y val="5.44106871197974E-2"/>
          <c:w val="0.63447587354409318"/>
          <c:h val="0.81207224499137398"/>
        </c:manualLayout>
      </c:layout>
      <c:barChart>
        <c:barDir val="bar"/>
        <c:grouping val="clustered"/>
        <c:varyColors val="0"/>
        <c:ser>
          <c:idx val="2"/>
          <c:order val="0"/>
          <c:tx>
            <c:strRef>
              <c:f>'Fig 10'!$A$73</c:f>
              <c:strCache>
                <c:ptCount val="1"/>
                <c:pt idx="0">
                  <c:v>Partner-led evaluations</c:v>
                </c:pt>
              </c:strCache>
            </c:strRef>
          </c:tx>
          <c:spPr>
            <a:solidFill>
              <a:srgbClr val="AABAD7"/>
            </a:solidFill>
            <a:ln>
              <a:noFill/>
            </a:ln>
          </c:spPr>
          <c:invertIfNegative val="0"/>
          <c:cat>
            <c:strRef>
              <c:f>'Fig 10'!$B$71:$P$71</c:f>
              <c:strCache>
                <c:ptCount val="15"/>
                <c:pt idx="0">
                  <c:v>6. Gender equality</c:v>
                </c:pt>
                <c:pt idx="1">
                  <c:v>5. Impact</c:v>
                </c:pt>
                <c:pt idx="2">
                  <c:v>4. Sustainability</c:v>
                </c:pt>
                <c:pt idx="3">
                  <c:v>3. Efficiency</c:v>
                </c:pt>
                <c:pt idx="4">
                  <c:v>2. Effectiveness</c:v>
                </c:pt>
                <c:pt idx="5">
                  <c:v>1. Relevance</c:v>
                </c:pt>
                <c:pt idx="6">
                  <c:v> 9. Recommendations</c:v>
                </c:pt>
                <c:pt idx="7">
                  <c:v>8. Credibility of evidence &amp; analysis</c:v>
                </c:pt>
                <c:pt idx="8">
                  <c:v>7. Evaluation questions &amp; criteria</c:v>
                </c:pt>
                <c:pt idx="9">
                  <c:v>6. Context</c:v>
                </c:pt>
                <c:pt idx="10">
                  <c:v>5. Adequacy and use of M&amp;E</c:v>
                </c:pt>
                <c:pt idx="11">
                  <c:v>4. Methodology</c:v>
                </c:pt>
                <c:pt idx="12">
                  <c:v>3. Assessment of intervention logic</c:v>
                </c:pt>
                <c:pt idx="13">
                  <c:v>2. Scope</c:v>
                </c:pt>
                <c:pt idx="14">
                  <c:v>1. Purpose</c:v>
                </c:pt>
              </c:strCache>
            </c:strRef>
          </c:cat>
          <c:val>
            <c:numRef>
              <c:f>'Fig 10'!$B$73:$P$73</c:f>
              <c:numCache>
                <c:formatCode>General</c:formatCode>
                <c:ptCount val="15"/>
                <c:pt idx="0">
                  <c:v>0.44444444444444442</c:v>
                </c:pt>
                <c:pt idx="1">
                  <c:v>0.5714285714285714</c:v>
                </c:pt>
                <c:pt idx="2">
                  <c:v>0.6</c:v>
                </c:pt>
                <c:pt idx="3">
                  <c:v>0.5714285714285714</c:v>
                </c:pt>
                <c:pt idx="4">
                  <c:v>0.6428571428571429</c:v>
                </c:pt>
                <c:pt idx="5">
                  <c:v>0.84615384615384615</c:v>
                </c:pt>
                <c:pt idx="6">
                  <c:v>0.7142857142857143</c:v>
                </c:pt>
                <c:pt idx="7">
                  <c:v>0.7142857142857143</c:v>
                </c:pt>
                <c:pt idx="8">
                  <c:v>0.7142857142857143</c:v>
                </c:pt>
                <c:pt idx="9">
                  <c:v>0.7857142857142857</c:v>
                </c:pt>
                <c:pt idx="10">
                  <c:v>0.6428571428571429</c:v>
                </c:pt>
                <c:pt idx="11">
                  <c:v>0.35714285714285715</c:v>
                </c:pt>
                <c:pt idx="12">
                  <c:v>0.5</c:v>
                </c:pt>
                <c:pt idx="13">
                  <c:v>0.61538461538461542</c:v>
                </c:pt>
                <c:pt idx="14">
                  <c:v>0.9285714285714286</c:v>
                </c:pt>
              </c:numCache>
            </c:numRef>
          </c:val>
        </c:ser>
        <c:ser>
          <c:idx val="0"/>
          <c:order val="1"/>
          <c:tx>
            <c:strRef>
              <c:f>'Fig 10'!$A$72</c:f>
              <c:strCache>
                <c:ptCount val="1"/>
                <c:pt idx="0">
                  <c:v>Evaluations managed by the former AusAID alone</c:v>
                </c:pt>
              </c:strCache>
            </c:strRef>
          </c:tx>
          <c:spPr>
            <a:solidFill>
              <a:srgbClr val="40699C"/>
            </a:solidFill>
          </c:spPr>
          <c:invertIfNegative val="0"/>
          <c:cat>
            <c:strRef>
              <c:f>'Fig 10'!$B$71:$P$71</c:f>
              <c:strCache>
                <c:ptCount val="15"/>
                <c:pt idx="0">
                  <c:v>6. Gender equality</c:v>
                </c:pt>
                <c:pt idx="1">
                  <c:v>5. Impact</c:v>
                </c:pt>
                <c:pt idx="2">
                  <c:v>4. Sustainability</c:v>
                </c:pt>
                <c:pt idx="3">
                  <c:v>3. Efficiency</c:v>
                </c:pt>
                <c:pt idx="4">
                  <c:v>2. Effectiveness</c:v>
                </c:pt>
                <c:pt idx="5">
                  <c:v>1. Relevance</c:v>
                </c:pt>
                <c:pt idx="6">
                  <c:v> 9. Recommendations</c:v>
                </c:pt>
                <c:pt idx="7">
                  <c:v>8. Credibility of evidence &amp; analysis</c:v>
                </c:pt>
                <c:pt idx="8">
                  <c:v>7. Evaluation questions &amp; criteria</c:v>
                </c:pt>
                <c:pt idx="9">
                  <c:v>6. Context</c:v>
                </c:pt>
                <c:pt idx="10">
                  <c:v>5. Adequacy and use of M&amp;E</c:v>
                </c:pt>
                <c:pt idx="11">
                  <c:v>4. Methodology</c:v>
                </c:pt>
                <c:pt idx="12">
                  <c:v>3. Assessment of intervention logic</c:v>
                </c:pt>
                <c:pt idx="13">
                  <c:v>2. Scope</c:v>
                </c:pt>
                <c:pt idx="14">
                  <c:v>1. Purpose</c:v>
                </c:pt>
              </c:strCache>
            </c:strRef>
          </c:cat>
          <c:val>
            <c:numRef>
              <c:f>'Fig 10'!$B$72:$P$72</c:f>
              <c:numCache>
                <c:formatCode>General</c:formatCode>
                <c:ptCount val="15"/>
                <c:pt idx="0">
                  <c:v>0.60377358490566035</c:v>
                </c:pt>
                <c:pt idx="1">
                  <c:v>0.44736842105263158</c:v>
                </c:pt>
                <c:pt idx="2">
                  <c:v>0.55555555555555558</c:v>
                </c:pt>
                <c:pt idx="3">
                  <c:v>0.53125</c:v>
                </c:pt>
                <c:pt idx="4">
                  <c:v>0.73134328358208955</c:v>
                </c:pt>
                <c:pt idx="5">
                  <c:v>0.75862068965517238</c:v>
                </c:pt>
                <c:pt idx="6">
                  <c:v>0.875</c:v>
                </c:pt>
                <c:pt idx="7">
                  <c:v>0.75</c:v>
                </c:pt>
                <c:pt idx="8">
                  <c:v>0.76388888888888884</c:v>
                </c:pt>
                <c:pt idx="9">
                  <c:v>0.59722222222222221</c:v>
                </c:pt>
                <c:pt idx="10">
                  <c:v>0.83098591549295775</c:v>
                </c:pt>
                <c:pt idx="11">
                  <c:v>0.41666666666666669</c:v>
                </c:pt>
                <c:pt idx="12">
                  <c:v>0.41176470588235292</c:v>
                </c:pt>
                <c:pt idx="13">
                  <c:v>0.625</c:v>
                </c:pt>
                <c:pt idx="14">
                  <c:v>0.875</c:v>
                </c:pt>
              </c:numCache>
            </c:numRef>
          </c:val>
        </c:ser>
        <c:dLbls>
          <c:showLegendKey val="0"/>
          <c:showVal val="0"/>
          <c:showCatName val="0"/>
          <c:showSerName val="0"/>
          <c:showPercent val="0"/>
          <c:showBubbleSize val="0"/>
        </c:dLbls>
        <c:gapWidth val="150"/>
        <c:axId val="47033728"/>
        <c:axId val="47052288"/>
      </c:barChart>
      <c:catAx>
        <c:axId val="47033728"/>
        <c:scaling>
          <c:orientation val="minMax"/>
        </c:scaling>
        <c:delete val="0"/>
        <c:axPos val="l"/>
        <c:title>
          <c:tx>
            <c:rich>
              <a:bodyPr rot="-5400000" vert="horz"/>
              <a:lstStyle/>
              <a:p>
                <a:pPr>
                  <a:defRPr b="1"/>
                </a:pPr>
                <a:r>
                  <a:rPr lang="en-US" b="1"/>
                  <a:t>Application of standard Australian aid quality criteria                                                               Evaluation quality standards</a:t>
                </a:r>
              </a:p>
            </c:rich>
          </c:tx>
          <c:layout>
            <c:manualLayout>
              <c:xMode val="edge"/>
              <c:yMode val="edge"/>
              <c:x val="5.4987485456176911E-4"/>
              <c:y val="0.14869749210864061"/>
            </c:manualLayout>
          </c:layout>
          <c:overlay val="0"/>
        </c:title>
        <c:numFmt formatCode="General" sourceLinked="0"/>
        <c:majorTickMark val="none"/>
        <c:minorTickMark val="none"/>
        <c:tickLblPos val="nextTo"/>
        <c:txPr>
          <a:bodyPr/>
          <a:lstStyle/>
          <a:p>
            <a:pPr>
              <a:defRPr sz="800"/>
            </a:pPr>
            <a:endParaRPr lang="en-US"/>
          </a:p>
        </c:txPr>
        <c:crossAx val="47052288"/>
        <c:crosses val="autoZero"/>
        <c:auto val="1"/>
        <c:lblAlgn val="ctr"/>
        <c:lblOffset val="100"/>
        <c:noMultiLvlLbl val="0"/>
      </c:catAx>
      <c:valAx>
        <c:axId val="47052288"/>
        <c:scaling>
          <c:orientation val="minMax"/>
        </c:scaling>
        <c:delete val="0"/>
        <c:axPos val="b"/>
        <c:majorGridlines/>
        <c:title>
          <c:tx>
            <c:rich>
              <a:bodyPr/>
              <a:lstStyle/>
              <a:p>
                <a:pPr>
                  <a:defRPr b="1"/>
                </a:pPr>
                <a:r>
                  <a:rPr lang="en-US" b="1"/>
                  <a:t>% adequate</a:t>
                </a:r>
              </a:p>
            </c:rich>
          </c:tx>
          <c:layout>
            <c:manualLayout>
              <c:xMode val="edge"/>
              <c:yMode val="edge"/>
              <c:x val="0.56282806706577604"/>
              <c:y val="0.89901585757539904"/>
            </c:manualLayout>
          </c:layout>
          <c:overlay val="0"/>
        </c:title>
        <c:numFmt formatCode="0%" sourceLinked="0"/>
        <c:majorTickMark val="none"/>
        <c:minorTickMark val="none"/>
        <c:tickLblPos val="nextTo"/>
        <c:txPr>
          <a:bodyPr/>
          <a:lstStyle/>
          <a:p>
            <a:pPr>
              <a:defRPr sz="700"/>
            </a:pPr>
            <a:endParaRPr lang="en-US"/>
          </a:p>
        </c:txPr>
        <c:crossAx val="47033728"/>
        <c:crosses val="autoZero"/>
        <c:crossBetween val="between"/>
      </c:valAx>
    </c:plotArea>
    <c:legend>
      <c:legendPos val="r"/>
      <c:layout>
        <c:manualLayout>
          <c:xMode val="edge"/>
          <c:yMode val="edge"/>
          <c:x val="0.29982457619557101"/>
          <c:y val="0.93890853376216099"/>
          <c:w val="0.67431019738964504"/>
          <c:h val="4.0790683943919402E-2"/>
        </c:manualLayout>
      </c:layout>
      <c:overlay val="0"/>
      <c:txPr>
        <a:bodyPr rot="0"/>
        <a:lstStyle/>
        <a:p>
          <a:pPr>
            <a:defRPr/>
          </a:pPr>
          <a:endParaRPr lang="en-US"/>
        </a:p>
      </c:txPr>
    </c:legend>
    <c:plotVisOnly val="1"/>
    <c:dispBlanksAs val="gap"/>
    <c:showDLblsOverMax val="0"/>
  </c:chart>
  <c:spPr>
    <a:ln>
      <a:noFill/>
    </a:ln>
  </c:spPr>
  <c:txPr>
    <a:bodyPr/>
    <a:lstStyle/>
    <a:p>
      <a:pPr>
        <a:defRPr sz="850" b="0">
          <a:latin typeface="Franklin Gothic Book"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4E97C-7A4B-4B49-A9F7-79F02BB69523}"/>
</file>

<file path=customXml/itemProps10.xml><?xml version="1.0" encoding="utf-8"?>
<ds:datastoreItem xmlns:ds="http://schemas.openxmlformats.org/officeDocument/2006/customXml" ds:itemID="{6752A5A5-5C13-4AE9-BFCE-C1017F07C361}"/>
</file>

<file path=customXml/itemProps11.xml><?xml version="1.0" encoding="utf-8"?>
<ds:datastoreItem xmlns:ds="http://schemas.openxmlformats.org/officeDocument/2006/customXml" ds:itemID="{627C01A2-020E-4BF5-8363-E25B59FE664F}"/>
</file>

<file path=customXml/itemProps2.xml><?xml version="1.0" encoding="utf-8"?>
<ds:datastoreItem xmlns:ds="http://schemas.openxmlformats.org/officeDocument/2006/customXml" ds:itemID="{CE4CF30A-4726-4383-98A3-6B98108D12B4}"/>
</file>

<file path=customXml/itemProps3.xml><?xml version="1.0" encoding="utf-8"?>
<ds:datastoreItem xmlns:ds="http://schemas.openxmlformats.org/officeDocument/2006/customXml" ds:itemID="{CAFE7D74-8B26-47E7-9A1F-389CD69DA2E3}"/>
</file>

<file path=customXml/itemProps4.xml><?xml version="1.0" encoding="utf-8"?>
<ds:datastoreItem xmlns:ds="http://schemas.openxmlformats.org/officeDocument/2006/customXml" ds:itemID="{04FB3180-9D0E-4553-BCB7-593146E654C7}"/>
</file>

<file path=customXml/itemProps5.xml><?xml version="1.0" encoding="utf-8"?>
<ds:datastoreItem xmlns:ds="http://schemas.openxmlformats.org/officeDocument/2006/customXml" ds:itemID="{7A34C1B8-BBAB-46F5-9C85-47DDBB07A0D0}"/>
</file>

<file path=customXml/itemProps6.xml><?xml version="1.0" encoding="utf-8"?>
<ds:datastoreItem xmlns:ds="http://schemas.openxmlformats.org/officeDocument/2006/customXml" ds:itemID="{33D7FD53-24D9-4E93-B180-434F2813D3FF}"/>
</file>

<file path=customXml/itemProps7.xml><?xml version="1.0" encoding="utf-8"?>
<ds:datastoreItem xmlns:ds="http://schemas.openxmlformats.org/officeDocument/2006/customXml" ds:itemID="{EE215B89-C3A8-4862-8504-C56B78613BD8}"/>
</file>

<file path=customXml/itemProps8.xml><?xml version="1.0" encoding="utf-8"?>
<ds:datastoreItem xmlns:ds="http://schemas.openxmlformats.org/officeDocument/2006/customXml" ds:itemID="{F7828D09-AF88-45E9-AA68-9A23117F22C8}"/>
</file>

<file path=customXml/itemProps9.xml><?xml version="1.0" encoding="utf-8"?>
<ds:datastoreItem xmlns:ds="http://schemas.openxmlformats.org/officeDocument/2006/customXml" ds:itemID="{05596BDA-8A90-4D84-B79C-5372D1DAE490}"/>
</file>

<file path=docProps/app.xml><?xml version="1.0" encoding="utf-8"?>
<Properties xmlns="http://schemas.openxmlformats.org/officeDocument/2006/extended-properties" xmlns:vt="http://schemas.openxmlformats.org/officeDocument/2006/docPropsVTypes">
  <Template>69F1FCE1</Template>
  <TotalTime>0</TotalTime>
  <Pages>103</Pages>
  <Words>38074</Words>
  <Characters>215044</Characters>
  <Application>Microsoft Office Word</Application>
  <DocSecurity>0</DocSecurity>
  <Lines>4788</Lines>
  <Paragraphs>2125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2014-06-20T01:06:00Z</dcterms:created>
  <dcterms:modified xsi:type="dcterms:W3CDTF">2014-06-20T01:06:00Z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0x0101003B97E0CA36F93F49A064E94984C37C74</vt:lpwstr>
  </property>
  <property fmtid="{D5CDD505-2E9C-101B-9397-08002B2CF9AE}" pid="3" name="Order">
    <vt:r8>12300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