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782C" w14:textId="77777777" w:rsidR="00D21A75" w:rsidRPr="00F12A21" w:rsidRDefault="00C0083D" w:rsidP="00D21A75">
      <w:pPr>
        <w:suppressAutoHyphens w:val="0"/>
        <w:spacing w:before="0" w:after="120" w:line="440" w:lineRule="atLeast"/>
        <w:rPr>
          <w:lang w:val="en-AU"/>
        </w:rPr>
      </w:pPr>
      <w:bookmarkStart w:id="0" w:name="_GoBack"/>
      <w:bookmarkEnd w:id="0"/>
      <w:r w:rsidRPr="00B92E1E">
        <w:rPr>
          <w:noProof/>
          <w:lang w:val="en-AU" w:eastAsia="en-AU"/>
        </w:rPr>
        <w:drawing>
          <wp:anchor distT="0" distB="0" distL="114300" distR="114300" simplePos="0" relativeHeight="251661312" behindDoc="1" locked="1" layoutInCell="1" allowOverlap="1" wp14:anchorId="01ECEC65" wp14:editId="79358906">
            <wp:simplePos x="0" y="0"/>
            <wp:positionH relativeFrom="page">
              <wp:posOffset>914400</wp:posOffset>
            </wp:positionH>
            <wp:positionV relativeFrom="page">
              <wp:posOffset>1227455</wp:posOffset>
            </wp:positionV>
            <wp:extent cx="3168000" cy="554400"/>
            <wp:effectExtent l="0" t="0" r="0" b="0"/>
            <wp:wrapNone/>
            <wp:docPr id="2" name="Picture 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p>
    <w:p w14:paraId="19A51836" w14:textId="77777777" w:rsidR="00265D84" w:rsidRPr="00F12A21" w:rsidRDefault="00265D84" w:rsidP="00265D84">
      <w:pPr>
        <w:suppressAutoHyphens w:val="0"/>
        <w:spacing w:before="0" w:after="0" w:line="240" w:lineRule="auto"/>
        <w:rPr>
          <w:rFonts w:asciiTheme="majorHAnsi" w:eastAsiaTheme="minorEastAsia" w:hAnsiTheme="majorHAnsi"/>
          <w:b/>
          <w:color w:val="000000" w:themeColor="text1"/>
          <w:lang w:val="en-AU"/>
        </w:rPr>
      </w:pPr>
    </w:p>
    <w:p w14:paraId="6D9E9C7E" w14:textId="77777777" w:rsidR="00265D84" w:rsidRPr="00F12A21" w:rsidRDefault="00265D84" w:rsidP="00265D84">
      <w:pPr>
        <w:suppressAutoHyphens w:val="0"/>
        <w:spacing w:before="0" w:after="0" w:line="240" w:lineRule="auto"/>
        <w:rPr>
          <w:rFonts w:asciiTheme="majorHAnsi" w:eastAsiaTheme="minorEastAsia" w:hAnsiTheme="majorHAnsi"/>
          <w:b/>
          <w:color w:val="000000" w:themeColor="text1"/>
          <w:lang w:val="en-AU"/>
        </w:rPr>
      </w:pPr>
    </w:p>
    <w:p w14:paraId="78E6758C" w14:textId="77777777" w:rsidR="00C0083D" w:rsidRPr="00F12A21" w:rsidRDefault="00C0083D">
      <w:pPr>
        <w:suppressAutoHyphens w:val="0"/>
        <w:spacing w:before="0" w:after="120" w:line="440" w:lineRule="atLeast"/>
        <w:rPr>
          <w:lang w:val="en-AU"/>
        </w:rPr>
      </w:pPr>
      <w:r w:rsidRPr="00C0083D">
        <w:rPr>
          <w:noProof/>
          <w:lang w:val="en-AU" w:eastAsia="en-AU"/>
        </w:rPr>
        <mc:AlternateContent>
          <mc:Choice Requires="wps">
            <w:drawing>
              <wp:anchor distT="45720" distB="45720" distL="114300" distR="114300" simplePos="0" relativeHeight="251659264" behindDoc="0" locked="0" layoutInCell="1" allowOverlap="1" wp14:anchorId="15D69D13" wp14:editId="6554B00D">
                <wp:simplePos x="0" y="0"/>
                <wp:positionH relativeFrom="margin">
                  <wp:posOffset>-46727</wp:posOffset>
                </wp:positionH>
                <wp:positionV relativeFrom="paragraph">
                  <wp:posOffset>6236459</wp:posOffset>
                </wp:positionV>
                <wp:extent cx="5628640" cy="1460665"/>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8640" cy="1460665"/>
                        </a:xfrm>
                        <a:prstGeom prst="rect">
                          <a:avLst/>
                        </a:prstGeom>
                        <a:noFill/>
                        <a:ln w="9525">
                          <a:noFill/>
                          <a:miter lim="800000"/>
                          <a:headEnd/>
                          <a:tailEnd/>
                        </a:ln>
                      </wps:spPr>
                      <wps:txbx>
                        <w:txbxContent>
                          <w:p w14:paraId="44AE459A" w14:textId="77777777" w:rsidR="00D06E89" w:rsidRDefault="00D06E89" w:rsidP="00C0083D">
                            <w:pPr>
                              <w:pStyle w:val="Title"/>
                              <w:rPr>
                                <w:rFonts w:asciiTheme="minorHAnsi" w:hAnsiTheme="minorHAnsi"/>
                                <w:caps w:val="0"/>
                                <w:color w:val="FFFFFF" w:themeColor="background1"/>
                              </w:rPr>
                            </w:pPr>
                            <w:r>
                              <w:rPr>
                                <w:rFonts w:asciiTheme="minorHAnsi" w:hAnsiTheme="minorHAnsi"/>
                                <w:color w:val="FFFFFF" w:themeColor="background1"/>
                              </w:rPr>
                              <w:t>p</w:t>
                            </w:r>
                            <w:r>
                              <w:rPr>
                                <w:rFonts w:asciiTheme="minorHAnsi" w:hAnsiTheme="minorHAnsi"/>
                                <w:caps w:val="0"/>
                                <w:color w:val="FFFFFF" w:themeColor="background1"/>
                              </w:rPr>
                              <w:t>reventing Sexual Exploitation, Abuse and Harassment Policy</w:t>
                            </w:r>
                            <w:r w:rsidRPr="00F20FEC">
                              <w:rPr>
                                <w:rFonts w:asciiTheme="minorHAnsi" w:hAnsiTheme="minorHAnsi"/>
                                <w:caps w:val="0"/>
                                <w:color w:val="FFFFFF" w:themeColor="background1"/>
                              </w:rPr>
                              <w:t xml:space="preserve"> </w:t>
                            </w:r>
                          </w:p>
                          <w:p w14:paraId="6CB0F185" w14:textId="77777777" w:rsidR="00D06E89" w:rsidRPr="00C0083D" w:rsidRDefault="00C72A65" w:rsidP="00C0083D">
                            <w:pPr>
                              <w:rPr>
                                <w:b/>
                                <w:color w:val="FFFFFF" w:themeColor="background1"/>
                                <w:lang w:val="en-AU"/>
                              </w:rPr>
                            </w:pPr>
                            <w:r>
                              <w:rPr>
                                <w:b/>
                                <w:color w:val="FFFFFF" w:themeColor="background1"/>
                                <w:lang w:val="en-AU"/>
                              </w:rPr>
                              <w:t xml:space="preserve">4 </w:t>
                            </w:r>
                            <w:r w:rsidR="00D06E89" w:rsidRPr="00C0083D">
                              <w:rPr>
                                <w:b/>
                                <w:color w:val="FFFFFF" w:themeColor="background1"/>
                                <w:lang w:val="en-AU"/>
                              </w:rPr>
                              <w:t>April 2019</w:t>
                            </w:r>
                          </w:p>
                          <w:p w14:paraId="5B2E6D95" w14:textId="77777777" w:rsidR="00D06E89" w:rsidRDefault="00D06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69D13" id="_x0000_t202" coordsize="21600,21600" o:spt="202" path="m,l,21600r21600,l21600,xe">
                <v:stroke joinstyle="miter"/>
                <v:path gradientshapeok="t" o:connecttype="rect"/>
              </v:shapetype>
              <v:shape id="Text Box 2" o:spid="_x0000_s1026" type="#_x0000_t202" style="position:absolute;margin-left:-3.7pt;margin-top:491.05pt;width:443.2pt;height:1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" filled="f" stroked="f">
                <v:textbox>
                  <w:txbxContent>
                    <w:p w14:paraId="44AE459A" w14:textId="77777777" w:rsidR="00D06E89" w:rsidRDefault="00D06E89" w:rsidP="00C0083D">
                      <w:pPr>
                        <w:pStyle w:val="Title"/>
                        <w:rPr>
                          <w:rFonts w:asciiTheme="minorHAnsi" w:hAnsiTheme="minorHAnsi"/>
                          <w:caps w:val="0"/>
                          <w:color w:val="FFFFFF" w:themeColor="background1"/>
                        </w:rPr>
                      </w:pPr>
                      <w:r>
                        <w:rPr>
                          <w:rFonts w:asciiTheme="minorHAnsi" w:hAnsiTheme="minorHAnsi"/>
                          <w:color w:val="FFFFFF" w:themeColor="background1"/>
                        </w:rPr>
                        <w:t>p</w:t>
                      </w:r>
                      <w:r>
                        <w:rPr>
                          <w:rFonts w:asciiTheme="minorHAnsi" w:hAnsiTheme="minorHAnsi"/>
                          <w:caps w:val="0"/>
                          <w:color w:val="FFFFFF" w:themeColor="background1"/>
                        </w:rPr>
                        <w:t>reventing Sexual Exploitation, Abuse and Harassment Policy</w:t>
                      </w:r>
                      <w:r w:rsidRPr="00F20FEC">
                        <w:rPr>
                          <w:rFonts w:asciiTheme="minorHAnsi" w:hAnsiTheme="minorHAnsi"/>
                          <w:caps w:val="0"/>
                          <w:color w:val="FFFFFF" w:themeColor="background1"/>
                        </w:rPr>
                        <w:t xml:space="preserve"> </w:t>
                      </w:r>
                    </w:p>
                    <w:p w14:paraId="6CB0F185" w14:textId="77777777" w:rsidR="00D06E89" w:rsidRPr="00C0083D" w:rsidRDefault="00C72A65" w:rsidP="00C0083D">
                      <w:pPr>
                        <w:rPr>
                          <w:b/>
                          <w:color w:val="FFFFFF" w:themeColor="background1"/>
                          <w:lang w:val="en-AU"/>
                        </w:rPr>
                      </w:pPr>
                      <w:r>
                        <w:rPr>
                          <w:b/>
                          <w:color w:val="FFFFFF" w:themeColor="background1"/>
                          <w:lang w:val="en-AU"/>
                        </w:rPr>
                        <w:t xml:space="preserve">4 </w:t>
                      </w:r>
                      <w:r w:rsidR="00D06E89" w:rsidRPr="00C0083D">
                        <w:rPr>
                          <w:b/>
                          <w:color w:val="FFFFFF" w:themeColor="background1"/>
                          <w:lang w:val="en-AU"/>
                        </w:rPr>
                        <w:t>April 2019</w:t>
                      </w:r>
                    </w:p>
                    <w:p w14:paraId="5B2E6D95" w14:textId="77777777" w:rsidR="00D06E89" w:rsidRDefault="00D06E89"/>
                  </w:txbxContent>
                </v:textbox>
                <w10:wrap type="square" anchorx="margin"/>
              </v:shape>
            </w:pict>
          </mc:Fallback>
        </mc:AlternateContent>
      </w:r>
      <w:r w:rsidR="00B462C3" w:rsidRPr="00F12A21">
        <w:rPr>
          <w:lang w:val="en-AU"/>
        </w:rPr>
        <w:br w:type="page"/>
      </w:r>
    </w:p>
    <w:p w14:paraId="1F2EC71F" w14:textId="77777777" w:rsidR="00983E15" w:rsidRDefault="00983E15" w:rsidP="00924C80">
      <w:pPr>
        <w:pStyle w:val="Heading2"/>
        <w:rPr>
          <w:lang w:val="en-AU"/>
        </w:rPr>
      </w:pPr>
      <w:r w:rsidRPr="00983E15">
        <w:rPr>
          <w:lang w:val="en-AU"/>
        </w:rPr>
        <w:lastRenderedPageBreak/>
        <w:t>Contents</w:t>
      </w:r>
    </w:p>
    <w:p w14:paraId="6099A981" w14:textId="77777777" w:rsidR="00924C80" w:rsidRDefault="00924C80" w:rsidP="00924C80">
      <w:pPr>
        <w:rPr>
          <w:lang w:val="en-AU"/>
        </w:rPr>
      </w:pPr>
    </w:p>
    <w:p w14:paraId="0208B161" w14:textId="77777777" w:rsidR="00924C80" w:rsidRPr="00924C80" w:rsidRDefault="00924C80" w:rsidP="00924C80">
      <w:pPr>
        <w:rPr>
          <w:lang w:val="en-AU"/>
        </w:rPr>
      </w:pPr>
    </w:p>
    <w:p w14:paraId="22897EDA" w14:textId="77777777" w:rsidR="00983E15" w:rsidRPr="00983E15" w:rsidRDefault="00AF523B"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hyperlink w:anchor="Secretary_Foreword" w:history="1">
        <w:r w:rsidR="00983E15" w:rsidRPr="00B848A0">
          <w:rPr>
            <w:b/>
            <w:caps/>
            <w:color w:val="65C5B4" w:themeColor="accent1"/>
            <w:sz w:val="28"/>
          </w:rPr>
          <w:t xml:space="preserve">SECRETARY’S FOREWORD </w:t>
        </w:r>
      </w:hyperlink>
      <w:r w:rsidR="00983E15" w:rsidRPr="00983E15">
        <w:rPr>
          <w:b/>
          <w:caps/>
          <w:color w:val="65C5B4" w:themeColor="accent1"/>
          <w:sz w:val="28"/>
        </w:rPr>
        <w:t xml:space="preserve"> </w:t>
      </w:r>
      <w:r w:rsidR="008F5FBB">
        <w:rPr>
          <w:b/>
          <w:caps/>
          <w:color w:val="65C5B4" w:themeColor="accent1"/>
          <w:sz w:val="28"/>
        </w:rPr>
        <w:t xml:space="preserve">                                                                                            3</w:t>
      </w:r>
      <w:r w:rsidR="00983E15" w:rsidRPr="00983E15">
        <w:rPr>
          <w:b/>
          <w:caps/>
          <w:color w:val="65C5B4" w:themeColor="accent1"/>
          <w:sz w:val="28"/>
        </w:rPr>
        <w:fldChar w:fldCharType="begin"/>
      </w:r>
      <w:r w:rsidR="00983E15" w:rsidRPr="00983E15">
        <w:rPr>
          <w:b/>
          <w:caps/>
          <w:color w:val="65C5B4" w:themeColor="accent1"/>
          <w:sz w:val="28"/>
        </w:rPr>
        <w:instrText xml:space="preserve"> TOC \o "2-2" \h \z \t "Heading 1,1,Heading 1 Numbered,1,Heading 1 small space after,1,Heading 1 Numbered small space after,1" </w:instrText>
      </w:r>
      <w:r w:rsidR="00983E15" w:rsidRPr="00983E15">
        <w:rPr>
          <w:b/>
          <w:caps/>
          <w:color w:val="65C5B4" w:themeColor="accent1"/>
          <w:sz w:val="28"/>
        </w:rPr>
        <w:fldChar w:fldCharType="separate"/>
      </w:r>
      <w:hyperlink w:anchor="_Toc505156537" w:history="1"/>
    </w:p>
    <w:p w14:paraId="0FD435E9"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1.</w:t>
      </w:r>
      <w:r w:rsidR="00BB76C5">
        <w:rPr>
          <w:b/>
          <w:caps/>
          <w:color w:val="65C5B4" w:themeColor="accent1"/>
          <w:sz w:val="28"/>
        </w:rPr>
        <w:t xml:space="preserve"> </w:t>
      </w:r>
      <w:hyperlink w:anchor="Introduction" w:history="1">
        <w:r w:rsidR="00983E15" w:rsidRPr="00B848A0">
          <w:rPr>
            <w:b/>
            <w:caps/>
            <w:color w:val="65C5B4" w:themeColor="accent1"/>
            <w:sz w:val="28"/>
          </w:rPr>
          <w:t>INTRODUCTION</w:t>
        </w:r>
      </w:hyperlink>
      <w:hyperlink w:anchor="_Toc505156538" w:history="1">
        <w:r w:rsidR="00983E15" w:rsidRPr="00983E15">
          <w:rPr>
            <w:b/>
            <w:caps/>
            <w:webHidden/>
            <w:color w:val="65C5B4" w:themeColor="accent1"/>
            <w:sz w:val="28"/>
          </w:rPr>
          <w:tab/>
        </w:r>
        <w:r w:rsidR="00983E15">
          <w:rPr>
            <w:b/>
            <w:caps/>
            <w:webHidden/>
            <w:color w:val="65C5B4" w:themeColor="accent1"/>
            <w:sz w:val="28"/>
          </w:rPr>
          <w:t>4</w:t>
        </w:r>
      </w:hyperlink>
    </w:p>
    <w:p w14:paraId="5B24E56A"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2. </w:t>
      </w:r>
      <w:hyperlink w:anchor="Scope" w:history="1">
        <w:r>
          <w:rPr>
            <w:b/>
            <w:caps/>
            <w:color w:val="65C5B4" w:themeColor="accent1"/>
            <w:sz w:val="28"/>
          </w:rPr>
          <w:t>SCOPE</w:t>
        </w:r>
        <w:r w:rsidR="00983E15" w:rsidRPr="00983E15">
          <w:rPr>
            <w:b/>
            <w:caps/>
            <w:color w:val="65C5B4" w:themeColor="accent1"/>
            <w:sz w:val="28"/>
          </w:rPr>
          <w:t xml:space="preserve"> </w:t>
        </w:r>
        <w:r w:rsidR="00983E15" w:rsidRPr="00983E15">
          <w:rPr>
            <w:b/>
            <w:caps/>
            <w:webHidden/>
            <w:color w:val="65C5B4" w:themeColor="accent1"/>
            <w:sz w:val="28"/>
          </w:rPr>
          <w:tab/>
        </w:r>
        <w:r w:rsidR="00983E15">
          <w:rPr>
            <w:b/>
            <w:caps/>
            <w:webHidden/>
            <w:color w:val="65C5B4" w:themeColor="accent1"/>
            <w:sz w:val="28"/>
          </w:rPr>
          <w:t>5</w:t>
        </w:r>
      </w:hyperlink>
    </w:p>
    <w:p w14:paraId="3181EF12"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3. </w:t>
      </w:r>
      <w:hyperlink w:anchor="Principles" w:history="1">
        <w:r w:rsidR="00983E15" w:rsidRPr="00983E15">
          <w:rPr>
            <w:b/>
            <w:caps/>
            <w:color w:val="65C5B4" w:themeColor="accent1"/>
            <w:sz w:val="28"/>
          </w:rPr>
          <w:t xml:space="preserve">POLICY PRINCIPLES </w:t>
        </w:r>
        <w:r w:rsidR="00983E15" w:rsidRPr="00983E15">
          <w:rPr>
            <w:b/>
            <w:caps/>
            <w:webHidden/>
            <w:color w:val="65C5B4" w:themeColor="accent1"/>
            <w:sz w:val="28"/>
          </w:rPr>
          <w:tab/>
        </w:r>
        <w:r w:rsidR="00983E15">
          <w:rPr>
            <w:b/>
            <w:caps/>
            <w:webHidden/>
            <w:color w:val="65C5B4" w:themeColor="accent1"/>
            <w:sz w:val="28"/>
          </w:rPr>
          <w:t>6</w:t>
        </w:r>
      </w:hyperlink>
    </w:p>
    <w:p w14:paraId="60BD5E07"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4. </w:t>
      </w:r>
      <w:hyperlink w:anchor="Risk" w:history="1">
        <w:r w:rsidR="00983E15" w:rsidRPr="00983E15">
          <w:rPr>
            <w:b/>
            <w:caps/>
            <w:color w:val="65C5B4" w:themeColor="accent1"/>
            <w:sz w:val="28"/>
          </w:rPr>
          <w:t xml:space="preserve">RISK ASSESSMENT </w:t>
        </w:r>
        <w:r w:rsidR="00983E15" w:rsidRPr="00983E15">
          <w:rPr>
            <w:b/>
            <w:caps/>
            <w:webHidden/>
            <w:color w:val="65C5B4" w:themeColor="accent1"/>
            <w:sz w:val="28"/>
          </w:rPr>
          <w:tab/>
        </w:r>
        <w:r w:rsidR="00983E15">
          <w:rPr>
            <w:b/>
            <w:caps/>
            <w:webHidden/>
            <w:color w:val="65C5B4" w:themeColor="accent1"/>
            <w:sz w:val="28"/>
          </w:rPr>
          <w:t>8</w:t>
        </w:r>
      </w:hyperlink>
    </w:p>
    <w:p w14:paraId="5BCD203D"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5. </w:t>
      </w:r>
      <w:hyperlink w:anchor="Reporting" w:history="1">
        <w:r w:rsidR="00983E15" w:rsidRPr="00983E15">
          <w:rPr>
            <w:b/>
            <w:caps/>
            <w:color w:val="65C5B4" w:themeColor="accent1"/>
            <w:sz w:val="28"/>
          </w:rPr>
          <w:t xml:space="preserve">REPORTING </w:t>
        </w:r>
        <w:r w:rsidR="00983E15" w:rsidRPr="00983E15">
          <w:rPr>
            <w:b/>
            <w:caps/>
            <w:webHidden/>
            <w:color w:val="65C5B4" w:themeColor="accent1"/>
            <w:sz w:val="28"/>
          </w:rPr>
          <w:tab/>
        </w:r>
        <w:r w:rsidR="00983E15">
          <w:rPr>
            <w:b/>
            <w:caps/>
            <w:webHidden/>
            <w:color w:val="65C5B4" w:themeColor="accent1"/>
            <w:sz w:val="28"/>
          </w:rPr>
          <w:t>9</w:t>
        </w:r>
      </w:hyperlink>
    </w:p>
    <w:p w14:paraId="675A9B00"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6. </w:t>
      </w:r>
      <w:hyperlink w:anchor="Compliance" w:history="1">
        <w:r w:rsidR="00983E15" w:rsidRPr="00B848A0">
          <w:rPr>
            <w:b/>
            <w:caps/>
            <w:color w:val="65C5B4" w:themeColor="accent1"/>
            <w:sz w:val="28"/>
          </w:rPr>
          <w:t>COMPLIANCE AND ASSURANCE</w:t>
        </w:r>
      </w:hyperlink>
      <w:r w:rsidR="00983E15" w:rsidRPr="00983E15">
        <w:rPr>
          <w:b/>
          <w:caps/>
          <w:color w:val="65C5B4" w:themeColor="accent1"/>
          <w:sz w:val="28"/>
        </w:rPr>
        <w:t xml:space="preserve"> </w:t>
      </w:r>
      <w:hyperlink w:anchor="_Toc505156543" w:history="1">
        <w:r w:rsidR="00983E15" w:rsidRPr="00983E15">
          <w:rPr>
            <w:b/>
            <w:caps/>
            <w:webHidden/>
            <w:color w:val="65C5B4" w:themeColor="accent1"/>
            <w:sz w:val="28"/>
          </w:rPr>
          <w:tab/>
        </w:r>
        <w:r w:rsidR="00983E15">
          <w:rPr>
            <w:b/>
            <w:caps/>
            <w:webHidden/>
            <w:color w:val="65C5B4" w:themeColor="accent1"/>
            <w:sz w:val="28"/>
          </w:rPr>
          <w:t>10</w:t>
        </w:r>
      </w:hyperlink>
    </w:p>
    <w:p w14:paraId="19F93CD9"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7. </w:t>
      </w:r>
      <w:hyperlink w:anchor="Implementation" w:history="1">
        <w:r w:rsidR="00983E15" w:rsidRPr="00B848A0">
          <w:rPr>
            <w:b/>
            <w:caps/>
            <w:color w:val="65C5B4" w:themeColor="accent1"/>
            <w:sz w:val="28"/>
          </w:rPr>
          <w:t>IMPLEMENTATION AND DATE OF EFFECT</w:t>
        </w:r>
      </w:hyperlink>
      <w:hyperlink w:anchor="_Toc505156544" w:history="1">
        <w:r w:rsidR="00983E15" w:rsidRPr="00983E15">
          <w:rPr>
            <w:b/>
            <w:caps/>
            <w:webHidden/>
            <w:color w:val="65C5B4" w:themeColor="accent1"/>
            <w:sz w:val="28"/>
          </w:rPr>
          <w:tab/>
        </w:r>
        <w:r w:rsidR="00983E15">
          <w:rPr>
            <w:b/>
            <w:caps/>
            <w:webHidden/>
            <w:color w:val="65C5B4" w:themeColor="accent1"/>
            <w:sz w:val="28"/>
          </w:rPr>
          <w:t>10</w:t>
        </w:r>
      </w:hyperlink>
    </w:p>
    <w:p w14:paraId="09A00F40" w14:textId="77777777" w:rsidR="00983E15" w:rsidRPr="00983E15" w:rsidRDefault="00D11A0F"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r>
        <w:rPr>
          <w:b/>
          <w:caps/>
          <w:color w:val="65C5B4" w:themeColor="accent1"/>
          <w:sz w:val="28"/>
        </w:rPr>
        <w:t xml:space="preserve">Attachment A. </w:t>
      </w:r>
      <w:hyperlink w:anchor="Standards" w:history="1">
        <w:r w:rsidR="00983E15" w:rsidRPr="00983E15">
          <w:rPr>
            <w:b/>
            <w:caps/>
            <w:color w:val="65C5B4" w:themeColor="accent1"/>
            <w:sz w:val="28"/>
          </w:rPr>
          <w:t>MINIMUM STandards</w:t>
        </w:r>
        <w:r w:rsidR="00983E15" w:rsidRPr="00983E15">
          <w:rPr>
            <w:b/>
            <w:caps/>
            <w:webHidden/>
            <w:color w:val="65C5B4" w:themeColor="accent1"/>
            <w:sz w:val="28"/>
          </w:rPr>
          <w:tab/>
        </w:r>
        <w:r w:rsidR="00983E15">
          <w:rPr>
            <w:b/>
            <w:caps/>
            <w:webHidden/>
            <w:color w:val="65C5B4" w:themeColor="accent1"/>
            <w:sz w:val="28"/>
          </w:rPr>
          <w:t>11</w:t>
        </w:r>
      </w:hyperlink>
    </w:p>
    <w:p w14:paraId="5C75C97D" w14:textId="77777777" w:rsidR="00983E15" w:rsidRPr="00983E15" w:rsidRDefault="00AF523B" w:rsidP="00983E15">
      <w:pPr>
        <w:pBdr>
          <w:top w:val="single" w:sz="4" w:space="6" w:color="65C5B4" w:themeColor="accent1"/>
          <w:between w:val="single" w:sz="4" w:space="6" w:color="65C5B4" w:themeColor="accent1"/>
        </w:pBdr>
        <w:tabs>
          <w:tab w:val="left" w:pos="680"/>
          <w:tab w:val="right" w:pos="9639"/>
        </w:tabs>
        <w:spacing w:after="100" w:line="320" w:lineRule="atLeast"/>
        <w:rPr>
          <w:b/>
          <w:caps/>
          <w:color w:val="65C5B4" w:themeColor="accent1"/>
          <w:sz w:val="28"/>
        </w:rPr>
      </w:pPr>
      <w:hyperlink w:anchor="Glossary" w:history="1">
        <w:r w:rsidR="00983E15" w:rsidRPr="00983E15">
          <w:rPr>
            <w:b/>
            <w:caps/>
            <w:color w:val="65C5B4" w:themeColor="accent1"/>
            <w:sz w:val="28"/>
          </w:rPr>
          <w:t xml:space="preserve">glossary </w:t>
        </w:r>
        <w:r w:rsidR="00983E15" w:rsidRPr="00983E15">
          <w:rPr>
            <w:b/>
            <w:caps/>
            <w:webHidden/>
            <w:color w:val="65C5B4" w:themeColor="accent1"/>
            <w:sz w:val="28"/>
          </w:rPr>
          <w:tab/>
        </w:r>
        <w:r w:rsidR="00983E15">
          <w:rPr>
            <w:b/>
            <w:caps/>
            <w:webHidden/>
            <w:color w:val="65C5B4" w:themeColor="accent1"/>
            <w:sz w:val="28"/>
          </w:rPr>
          <w:t>13</w:t>
        </w:r>
      </w:hyperlink>
    </w:p>
    <w:p w14:paraId="2DBFA5F0" w14:textId="77777777" w:rsidR="00983E15" w:rsidRDefault="00983E15" w:rsidP="00983E15">
      <w:pPr>
        <w:pBdr>
          <w:top w:val="single" w:sz="4" w:space="6" w:color="65C5B4" w:themeColor="accent1"/>
          <w:between w:val="single" w:sz="4" w:space="6" w:color="65C5B4" w:themeColor="accent1"/>
        </w:pBdr>
        <w:tabs>
          <w:tab w:val="left" w:pos="680"/>
          <w:tab w:val="right" w:pos="9639"/>
        </w:tabs>
        <w:spacing w:after="100" w:line="320" w:lineRule="atLeast"/>
        <w:rPr>
          <w:lang w:val="en-AU"/>
        </w:rPr>
      </w:pPr>
      <w:r w:rsidRPr="00983E15">
        <w:rPr>
          <w:b/>
          <w:caps/>
          <w:color w:val="65C5B4" w:themeColor="accent1"/>
          <w:sz w:val="28"/>
        </w:rPr>
        <w:fldChar w:fldCharType="end"/>
      </w:r>
    </w:p>
    <w:p w14:paraId="2C4DC6C0" w14:textId="77777777" w:rsidR="00983E15" w:rsidRDefault="00983E15" w:rsidP="00983E15">
      <w:pPr>
        <w:rPr>
          <w:lang w:val="en-AU"/>
        </w:rPr>
      </w:pPr>
    </w:p>
    <w:p w14:paraId="3ECE7011" w14:textId="77777777" w:rsidR="00983E15" w:rsidRDefault="00983E15" w:rsidP="00983E15">
      <w:pPr>
        <w:rPr>
          <w:lang w:val="en-AU"/>
        </w:rPr>
      </w:pPr>
    </w:p>
    <w:p w14:paraId="10AE1E7C" w14:textId="77777777" w:rsidR="00983E15" w:rsidRDefault="00983E15" w:rsidP="00983E15">
      <w:pPr>
        <w:rPr>
          <w:lang w:val="en-AU"/>
        </w:rPr>
      </w:pPr>
    </w:p>
    <w:p w14:paraId="02D43A84" w14:textId="77777777" w:rsidR="00983E15" w:rsidRDefault="00983E15" w:rsidP="00983E15">
      <w:pPr>
        <w:rPr>
          <w:lang w:val="en-AU"/>
        </w:rPr>
      </w:pPr>
    </w:p>
    <w:p w14:paraId="22D587A9" w14:textId="77777777" w:rsidR="00983E15" w:rsidRDefault="00983E15" w:rsidP="00983E15">
      <w:pPr>
        <w:rPr>
          <w:lang w:val="en-AU"/>
        </w:rPr>
      </w:pPr>
    </w:p>
    <w:p w14:paraId="74C23097" w14:textId="77777777" w:rsidR="00983E15" w:rsidRDefault="00983E15" w:rsidP="00983E15">
      <w:pPr>
        <w:rPr>
          <w:lang w:val="en-AU"/>
        </w:rPr>
      </w:pPr>
    </w:p>
    <w:p w14:paraId="58CF0BA9" w14:textId="77777777" w:rsidR="00924C80" w:rsidRDefault="00924C80" w:rsidP="00983E15">
      <w:pPr>
        <w:rPr>
          <w:lang w:val="en-AU"/>
        </w:rPr>
      </w:pPr>
    </w:p>
    <w:p w14:paraId="19FF4783" w14:textId="77777777" w:rsidR="00924C80" w:rsidRDefault="00924C80" w:rsidP="00983E15">
      <w:pPr>
        <w:rPr>
          <w:lang w:val="en-AU"/>
        </w:rPr>
      </w:pPr>
    </w:p>
    <w:p w14:paraId="71671C64" w14:textId="77777777" w:rsidR="00924C80" w:rsidRDefault="00924C80" w:rsidP="00983E15">
      <w:pPr>
        <w:rPr>
          <w:lang w:val="en-AU"/>
        </w:rPr>
      </w:pPr>
    </w:p>
    <w:p w14:paraId="1BB92430" w14:textId="77777777" w:rsidR="00924C80" w:rsidRPr="00983E15" w:rsidRDefault="00924C80" w:rsidP="00983E15">
      <w:pPr>
        <w:rPr>
          <w:lang w:val="en-AU"/>
        </w:rPr>
      </w:pPr>
    </w:p>
    <w:p w14:paraId="28AE02A8" w14:textId="77777777" w:rsidR="00B462C3" w:rsidRPr="00F12A21" w:rsidRDefault="00A513FC" w:rsidP="00DA3EDC">
      <w:pPr>
        <w:pStyle w:val="Heading2"/>
        <w:rPr>
          <w:lang w:val="en-AU"/>
        </w:rPr>
      </w:pPr>
      <w:bookmarkStart w:id="1" w:name="Secretary_Foreword"/>
      <w:r>
        <w:rPr>
          <w:lang w:val="en-AU"/>
        </w:rPr>
        <w:t xml:space="preserve">secretary’s </w:t>
      </w:r>
      <w:r w:rsidR="002B67F8">
        <w:rPr>
          <w:lang w:val="en-AU"/>
        </w:rPr>
        <w:t>Foreword</w:t>
      </w:r>
      <w:r w:rsidR="00A556EF">
        <w:rPr>
          <w:lang w:val="en-AU"/>
        </w:rPr>
        <w:t xml:space="preserve">  </w:t>
      </w:r>
    </w:p>
    <w:bookmarkEnd w:id="1"/>
    <w:p w14:paraId="36A8A9DE" w14:textId="77777777" w:rsidR="00BE3781" w:rsidRDefault="00BE3781" w:rsidP="00F12A21">
      <w:pPr>
        <w:suppressAutoHyphens w:val="0"/>
        <w:spacing w:before="0" w:after="120" w:line="240" w:lineRule="auto"/>
        <w:rPr>
          <w:lang w:val="en-AU"/>
        </w:rPr>
      </w:pPr>
    </w:p>
    <w:p w14:paraId="7F898462" w14:textId="77777777" w:rsidR="00F46ADD" w:rsidRPr="00990EAE" w:rsidRDefault="00A513FC" w:rsidP="00F12A21">
      <w:pPr>
        <w:suppressAutoHyphens w:val="0"/>
        <w:spacing w:before="0" w:after="120" w:line="240" w:lineRule="auto"/>
        <w:rPr>
          <w:lang w:val="en-AU"/>
        </w:rPr>
      </w:pPr>
      <w:r w:rsidRPr="00990EAE">
        <w:rPr>
          <w:lang w:val="en-AU"/>
        </w:rPr>
        <w:t xml:space="preserve">I am pleased to present the Department’s Preventing Sexual Exploitation, Abuse and Harassment Policy.  </w:t>
      </w:r>
    </w:p>
    <w:p w14:paraId="59A8A287" w14:textId="77777777" w:rsidR="00F31A06" w:rsidRDefault="00BB76C5" w:rsidP="00F12A21">
      <w:pPr>
        <w:suppressAutoHyphens w:val="0"/>
        <w:spacing w:before="0" w:after="120" w:line="240" w:lineRule="auto"/>
        <w:rPr>
          <w:lang w:val="en-AU"/>
        </w:rPr>
      </w:pPr>
      <w:r>
        <w:rPr>
          <w:lang w:val="en-AU"/>
        </w:rPr>
        <w:t>We all have a</w:t>
      </w:r>
      <w:r w:rsidR="00491EEA" w:rsidRPr="00990EAE">
        <w:rPr>
          <w:lang w:val="en-AU"/>
        </w:rPr>
        <w:t xml:space="preserve"> respo</w:t>
      </w:r>
      <w:r w:rsidR="00CF15B9">
        <w:rPr>
          <w:lang w:val="en-AU"/>
        </w:rPr>
        <w:t xml:space="preserve">nsibility to act in an ethical </w:t>
      </w:r>
      <w:r w:rsidR="00491EEA" w:rsidRPr="00990EAE">
        <w:rPr>
          <w:lang w:val="en-AU"/>
        </w:rPr>
        <w:t>and transparent</w:t>
      </w:r>
      <w:r w:rsidR="00DE303E">
        <w:rPr>
          <w:lang w:val="en-AU"/>
        </w:rPr>
        <w:t xml:space="preserve"> way</w:t>
      </w:r>
      <w:r w:rsidR="00FF0589">
        <w:rPr>
          <w:lang w:val="en-AU"/>
        </w:rPr>
        <w:t xml:space="preserve"> to build</w:t>
      </w:r>
      <w:r w:rsidR="00F31A06">
        <w:rPr>
          <w:lang w:val="en-AU"/>
        </w:rPr>
        <w:t xml:space="preserve"> a </w:t>
      </w:r>
      <w:r w:rsidR="00CF15B9">
        <w:rPr>
          <w:lang w:val="en-AU"/>
        </w:rPr>
        <w:t xml:space="preserve">respectful </w:t>
      </w:r>
      <w:r w:rsidR="00F31A06">
        <w:rPr>
          <w:lang w:val="en-AU"/>
        </w:rPr>
        <w:t xml:space="preserve">working culture that </w:t>
      </w:r>
      <w:r w:rsidR="00FF0589">
        <w:rPr>
          <w:lang w:val="en-AU"/>
        </w:rPr>
        <w:t>rejects</w:t>
      </w:r>
      <w:r w:rsidR="00F31A06">
        <w:rPr>
          <w:lang w:val="en-AU"/>
        </w:rPr>
        <w:t xml:space="preserve"> inappropriate behaviour, </w:t>
      </w:r>
      <w:r w:rsidR="00CF15B9">
        <w:rPr>
          <w:lang w:val="en-AU"/>
        </w:rPr>
        <w:t xml:space="preserve">and </w:t>
      </w:r>
      <w:r w:rsidR="00F31A06">
        <w:rPr>
          <w:lang w:val="en-AU"/>
        </w:rPr>
        <w:t xml:space="preserve">where staff and communities feel supported and valued. </w:t>
      </w:r>
      <w:r w:rsidR="00FF0589">
        <w:rPr>
          <w:lang w:val="en-AU"/>
        </w:rPr>
        <w:t xml:space="preserve"> </w:t>
      </w:r>
      <w:r w:rsidR="00CF15B9">
        <w:rPr>
          <w:lang w:val="en-AU"/>
        </w:rPr>
        <w:t xml:space="preserve">While </w:t>
      </w:r>
      <w:r w:rsidR="005F2948">
        <w:rPr>
          <w:lang w:val="en-AU"/>
        </w:rPr>
        <w:t xml:space="preserve">there has been significant media coverage of </w:t>
      </w:r>
      <w:r w:rsidR="00CF15B9">
        <w:rPr>
          <w:lang w:val="en-AU"/>
        </w:rPr>
        <w:t>sexual misconduct in the aid sector</w:t>
      </w:r>
      <w:r w:rsidR="00946AE3">
        <w:rPr>
          <w:lang w:val="en-AU"/>
        </w:rPr>
        <w:t xml:space="preserve"> recently</w:t>
      </w:r>
      <w:r w:rsidR="00CF15B9">
        <w:rPr>
          <w:lang w:val="en-AU"/>
        </w:rPr>
        <w:t>, no sector</w:t>
      </w:r>
      <w:r w:rsidR="007F19D4">
        <w:rPr>
          <w:lang w:val="en-AU"/>
        </w:rPr>
        <w:t>, region or workplace</w:t>
      </w:r>
      <w:r w:rsidR="00CF15B9">
        <w:rPr>
          <w:lang w:val="en-AU"/>
        </w:rPr>
        <w:t xml:space="preserve"> is immune. </w:t>
      </w:r>
      <w:r w:rsidR="00FF0589">
        <w:rPr>
          <w:lang w:val="en-AU"/>
        </w:rPr>
        <w:t xml:space="preserve"> </w:t>
      </w:r>
      <w:r w:rsidR="00CF15B9">
        <w:rPr>
          <w:lang w:val="en-AU"/>
        </w:rPr>
        <w:t>For this reason,</w:t>
      </w:r>
      <w:r w:rsidR="00A760A7">
        <w:rPr>
          <w:lang w:val="en-AU"/>
        </w:rPr>
        <w:t xml:space="preserve"> the Policy applies to all DFAT </w:t>
      </w:r>
      <w:r w:rsidR="00DA3EDC">
        <w:rPr>
          <w:lang w:val="en-AU"/>
        </w:rPr>
        <w:t>business</w:t>
      </w:r>
      <w:r w:rsidR="007F19D4">
        <w:rPr>
          <w:lang w:val="en-AU"/>
        </w:rPr>
        <w:t xml:space="preserve">, in Australia and </w:t>
      </w:r>
      <w:r w:rsidR="00460E66">
        <w:rPr>
          <w:lang w:val="en-AU"/>
        </w:rPr>
        <w:t>overseas</w:t>
      </w:r>
      <w:r w:rsidR="007F19D4">
        <w:rPr>
          <w:lang w:val="en-AU"/>
        </w:rPr>
        <w:t>.</w:t>
      </w:r>
    </w:p>
    <w:p w14:paraId="357009DB" w14:textId="77777777" w:rsidR="00990EAE" w:rsidRDefault="00797B82" w:rsidP="00F12A21">
      <w:pPr>
        <w:suppressAutoHyphens w:val="0"/>
        <w:spacing w:before="0" w:after="120" w:line="240" w:lineRule="auto"/>
        <w:rPr>
          <w:lang w:val="en-AU"/>
        </w:rPr>
      </w:pPr>
      <w:r>
        <w:rPr>
          <w:lang w:val="en-AU"/>
        </w:rPr>
        <w:t xml:space="preserve">This </w:t>
      </w:r>
      <w:r w:rsidR="00491EEA" w:rsidRPr="00990EAE">
        <w:rPr>
          <w:lang w:val="en-AU"/>
        </w:rPr>
        <w:t xml:space="preserve">Policy </w:t>
      </w:r>
      <w:r w:rsidR="00BB76C5">
        <w:rPr>
          <w:lang w:val="en-AU"/>
        </w:rPr>
        <w:t>requires</w:t>
      </w:r>
      <w:r w:rsidR="00990EAE" w:rsidRPr="00990EAE">
        <w:rPr>
          <w:lang w:val="en-AU"/>
        </w:rPr>
        <w:t xml:space="preserve"> </w:t>
      </w:r>
      <w:r w:rsidR="00E71929">
        <w:rPr>
          <w:lang w:val="en-AU"/>
        </w:rPr>
        <w:t xml:space="preserve">a heightened </w:t>
      </w:r>
      <w:r w:rsidR="00990EAE" w:rsidRPr="00990EAE">
        <w:rPr>
          <w:lang w:val="en-AU"/>
        </w:rPr>
        <w:t xml:space="preserve">commitment and </w:t>
      </w:r>
      <w:r w:rsidR="00491EEA" w:rsidRPr="00990EAE">
        <w:rPr>
          <w:lang w:val="en-AU"/>
        </w:rPr>
        <w:t xml:space="preserve">new ways of doing </w:t>
      </w:r>
      <w:r w:rsidR="009B302A">
        <w:rPr>
          <w:lang w:val="en-AU"/>
        </w:rPr>
        <w:t>business</w:t>
      </w:r>
      <w:r w:rsidR="00990EAE" w:rsidRPr="00990EAE">
        <w:rPr>
          <w:lang w:val="en-AU"/>
        </w:rPr>
        <w:t xml:space="preserve">. </w:t>
      </w:r>
      <w:r w:rsidR="00FF0589">
        <w:rPr>
          <w:lang w:val="en-AU"/>
        </w:rPr>
        <w:t xml:space="preserve"> </w:t>
      </w:r>
      <w:r w:rsidR="00BB76C5">
        <w:rPr>
          <w:lang w:val="en-AU"/>
        </w:rPr>
        <w:t>We have an opportunity to provide leadership by choosing to partner with—and fund— only those organisations which are prepared to meet the standards we set.</w:t>
      </w:r>
    </w:p>
    <w:p w14:paraId="2636F738" w14:textId="77777777" w:rsidR="00FA4C8C" w:rsidRDefault="00990EAE" w:rsidP="00F12A21">
      <w:pPr>
        <w:suppressAutoHyphens w:val="0"/>
        <w:spacing w:before="0" w:after="120" w:line="240" w:lineRule="auto"/>
        <w:rPr>
          <w:lang w:val="en-AU"/>
        </w:rPr>
      </w:pPr>
      <w:r w:rsidRPr="00990EAE">
        <w:rPr>
          <w:lang w:val="en-AU"/>
        </w:rPr>
        <w:t xml:space="preserve">Sexual exploitation, abuse and harassment </w:t>
      </w:r>
      <w:r w:rsidR="003F4046">
        <w:rPr>
          <w:lang w:val="en-AU"/>
        </w:rPr>
        <w:t xml:space="preserve">are insidious and </w:t>
      </w:r>
      <w:r w:rsidRPr="00990EAE">
        <w:rPr>
          <w:lang w:val="en-AU"/>
        </w:rPr>
        <w:t xml:space="preserve">require a </w:t>
      </w:r>
      <w:r>
        <w:rPr>
          <w:lang w:val="en-AU"/>
        </w:rPr>
        <w:t>long-term</w:t>
      </w:r>
      <w:r w:rsidR="007F19D4">
        <w:rPr>
          <w:lang w:val="en-AU"/>
        </w:rPr>
        <w:t>, global</w:t>
      </w:r>
      <w:r>
        <w:rPr>
          <w:lang w:val="en-AU"/>
        </w:rPr>
        <w:t xml:space="preserve"> </w:t>
      </w:r>
      <w:r w:rsidRPr="00990EAE">
        <w:rPr>
          <w:lang w:val="en-AU"/>
        </w:rPr>
        <w:t xml:space="preserve">solution. DFAT </w:t>
      </w:r>
      <w:r w:rsidR="00FA4C8C">
        <w:rPr>
          <w:lang w:val="en-AU"/>
        </w:rPr>
        <w:t xml:space="preserve">will take every opportunity </w:t>
      </w:r>
      <w:r w:rsidR="00953429">
        <w:rPr>
          <w:lang w:val="en-AU"/>
        </w:rPr>
        <w:t xml:space="preserve">to advocate </w:t>
      </w:r>
      <w:r w:rsidR="007F19D4">
        <w:rPr>
          <w:lang w:val="en-AU"/>
        </w:rPr>
        <w:t>on this issue</w:t>
      </w:r>
      <w:r w:rsidR="00DE303E">
        <w:rPr>
          <w:lang w:val="en-AU"/>
        </w:rPr>
        <w:t xml:space="preserve"> – </w:t>
      </w:r>
      <w:r w:rsidR="00DA5B93">
        <w:rPr>
          <w:lang w:val="en-AU"/>
        </w:rPr>
        <w:t xml:space="preserve">to </w:t>
      </w:r>
      <w:r w:rsidR="00DE303E">
        <w:rPr>
          <w:lang w:val="en-AU"/>
        </w:rPr>
        <w:t>governments, organisations, and business</w:t>
      </w:r>
      <w:r w:rsidR="00953429">
        <w:rPr>
          <w:lang w:val="en-AU"/>
        </w:rPr>
        <w:t xml:space="preserve">. </w:t>
      </w:r>
      <w:r w:rsidR="00FF0589">
        <w:rPr>
          <w:lang w:val="en-AU"/>
        </w:rPr>
        <w:t xml:space="preserve"> </w:t>
      </w:r>
      <w:r w:rsidR="00953429">
        <w:rPr>
          <w:lang w:val="en-AU"/>
        </w:rPr>
        <w:t xml:space="preserve">We will use our voice in </w:t>
      </w:r>
      <w:r w:rsidR="003F4046">
        <w:rPr>
          <w:lang w:val="en-AU"/>
        </w:rPr>
        <w:t>everyday conversations as well as in</w:t>
      </w:r>
      <w:r w:rsidR="00DE303E">
        <w:rPr>
          <w:lang w:val="en-AU"/>
        </w:rPr>
        <w:t xml:space="preserve"> international </w:t>
      </w:r>
      <w:r w:rsidR="003F4046">
        <w:rPr>
          <w:lang w:val="en-AU"/>
        </w:rPr>
        <w:t>meetings</w:t>
      </w:r>
      <w:r w:rsidR="00807F17">
        <w:rPr>
          <w:lang w:val="en-AU"/>
        </w:rPr>
        <w:br/>
      </w:r>
      <w:r w:rsidR="00E71929">
        <w:rPr>
          <w:lang w:val="en-AU"/>
        </w:rPr>
        <w:t>We will be transparent about our</w:t>
      </w:r>
      <w:r w:rsidR="007F19D4">
        <w:rPr>
          <w:lang w:val="en-AU"/>
        </w:rPr>
        <w:t xml:space="preserve"> own </w:t>
      </w:r>
      <w:r w:rsidR="003F4046">
        <w:rPr>
          <w:lang w:val="en-AU"/>
        </w:rPr>
        <w:t>endeavours, and will share our findings.</w:t>
      </w:r>
    </w:p>
    <w:p w14:paraId="25B6DEF6" w14:textId="77777777" w:rsidR="00E71929" w:rsidRDefault="00E71929" w:rsidP="00E71929">
      <w:pPr>
        <w:suppressAutoHyphens w:val="0"/>
        <w:spacing w:before="0" w:after="120" w:line="240" w:lineRule="auto"/>
        <w:rPr>
          <w:lang w:val="en-AU"/>
        </w:rPr>
      </w:pPr>
      <w:r>
        <w:rPr>
          <w:lang w:val="en-AU"/>
        </w:rPr>
        <w:t xml:space="preserve">I </w:t>
      </w:r>
      <w:r w:rsidR="00BB76C5">
        <w:rPr>
          <w:lang w:val="en-AU"/>
        </w:rPr>
        <w:t>thank</w:t>
      </w:r>
      <w:r>
        <w:rPr>
          <w:lang w:val="en-AU"/>
        </w:rPr>
        <w:t xml:space="preserve"> </w:t>
      </w:r>
      <w:r w:rsidR="00FF0589">
        <w:rPr>
          <w:lang w:val="en-AU"/>
        </w:rPr>
        <w:t>everyone</w:t>
      </w:r>
      <w:r>
        <w:rPr>
          <w:lang w:val="en-AU"/>
        </w:rPr>
        <w:t xml:space="preserve"> who contributed to this Policy. </w:t>
      </w:r>
      <w:r w:rsidR="00FF0589">
        <w:rPr>
          <w:lang w:val="en-AU"/>
        </w:rPr>
        <w:t xml:space="preserve"> </w:t>
      </w:r>
      <w:r w:rsidR="003F4046">
        <w:rPr>
          <w:lang w:val="en-AU"/>
        </w:rPr>
        <w:t xml:space="preserve">This Policy will be </w:t>
      </w:r>
      <w:r w:rsidR="00BE3781">
        <w:rPr>
          <w:lang w:val="en-AU"/>
        </w:rPr>
        <w:t xml:space="preserve">independently </w:t>
      </w:r>
      <w:r w:rsidR="00A4189C">
        <w:rPr>
          <w:lang w:val="en-AU"/>
        </w:rPr>
        <w:t>reviewed</w:t>
      </w:r>
      <w:r w:rsidR="003F4046">
        <w:rPr>
          <w:lang w:val="en-AU"/>
        </w:rPr>
        <w:t xml:space="preserve"> </w:t>
      </w:r>
      <w:r w:rsidR="00BE3781">
        <w:rPr>
          <w:lang w:val="en-AU"/>
        </w:rPr>
        <w:t>in</w:t>
      </w:r>
      <w:r w:rsidR="00807F17">
        <w:rPr>
          <w:lang w:val="en-AU"/>
        </w:rPr>
        <w:br/>
      </w:r>
      <w:r w:rsidR="00BE3781">
        <w:rPr>
          <w:lang w:val="en-AU"/>
        </w:rPr>
        <w:t>mid-2020</w:t>
      </w:r>
      <w:r w:rsidR="003F4046">
        <w:rPr>
          <w:lang w:val="en-AU"/>
        </w:rPr>
        <w:t xml:space="preserve">. </w:t>
      </w:r>
      <w:r w:rsidR="00FF0589">
        <w:rPr>
          <w:lang w:val="en-AU"/>
        </w:rPr>
        <w:t xml:space="preserve"> </w:t>
      </w:r>
      <w:r>
        <w:rPr>
          <w:lang w:val="en-AU"/>
        </w:rPr>
        <w:t xml:space="preserve">We look forward to continuing to </w:t>
      </w:r>
      <w:r w:rsidR="00DA5B93">
        <w:rPr>
          <w:lang w:val="en-AU"/>
        </w:rPr>
        <w:t>engage</w:t>
      </w:r>
      <w:r w:rsidR="008D4073">
        <w:rPr>
          <w:lang w:val="en-AU"/>
        </w:rPr>
        <w:t xml:space="preserve"> with</w:t>
      </w:r>
      <w:r w:rsidR="00DA5B93">
        <w:rPr>
          <w:lang w:val="en-AU"/>
        </w:rPr>
        <w:t xml:space="preserve"> and </w:t>
      </w:r>
      <w:r>
        <w:rPr>
          <w:lang w:val="en-AU"/>
        </w:rPr>
        <w:t xml:space="preserve">learn from others </w:t>
      </w:r>
      <w:r w:rsidR="003F4046">
        <w:rPr>
          <w:lang w:val="en-AU"/>
        </w:rPr>
        <w:t>as we</w:t>
      </w:r>
      <w:r>
        <w:rPr>
          <w:lang w:val="en-AU"/>
        </w:rPr>
        <w:t xml:space="preserve"> strengthen</w:t>
      </w:r>
      <w:r w:rsidR="00807F17">
        <w:rPr>
          <w:lang w:val="en-AU"/>
        </w:rPr>
        <w:br/>
      </w:r>
      <w:r>
        <w:rPr>
          <w:lang w:val="en-AU"/>
        </w:rPr>
        <w:t>and refine our approach</w:t>
      </w:r>
      <w:r w:rsidR="00DA3EDC">
        <w:rPr>
          <w:lang w:val="en-AU"/>
        </w:rPr>
        <w:t xml:space="preserve"> to this </w:t>
      </w:r>
      <w:r w:rsidR="00FF0589">
        <w:rPr>
          <w:lang w:val="en-AU"/>
        </w:rPr>
        <w:t>important</w:t>
      </w:r>
      <w:r w:rsidR="00DA3EDC">
        <w:rPr>
          <w:lang w:val="en-AU"/>
        </w:rPr>
        <w:t xml:space="preserve"> issue</w:t>
      </w:r>
      <w:r>
        <w:rPr>
          <w:lang w:val="en-AU"/>
        </w:rPr>
        <w:t xml:space="preserve">. </w:t>
      </w:r>
    </w:p>
    <w:p w14:paraId="73943F02" w14:textId="77777777" w:rsidR="00E71929" w:rsidRDefault="00E71929" w:rsidP="00F12A21">
      <w:pPr>
        <w:suppressAutoHyphens w:val="0"/>
        <w:spacing w:before="0" w:after="120" w:line="240" w:lineRule="auto"/>
        <w:rPr>
          <w:lang w:val="en-AU"/>
        </w:rPr>
      </w:pPr>
    </w:p>
    <w:p w14:paraId="1942200C" w14:textId="77777777" w:rsidR="001267AD" w:rsidRDefault="001267AD" w:rsidP="00F12A21">
      <w:pPr>
        <w:suppressAutoHyphens w:val="0"/>
        <w:spacing w:before="0" w:after="120" w:line="240" w:lineRule="auto"/>
        <w:rPr>
          <w:lang w:val="en-AU"/>
        </w:rPr>
      </w:pPr>
    </w:p>
    <w:p w14:paraId="18D42AA1" w14:textId="77777777" w:rsidR="00D82905" w:rsidRDefault="00D82905" w:rsidP="00F12A21">
      <w:pPr>
        <w:suppressAutoHyphens w:val="0"/>
        <w:spacing w:before="0" w:after="120" w:line="240" w:lineRule="auto"/>
        <w:rPr>
          <w:lang w:val="en-AU"/>
        </w:rPr>
      </w:pPr>
    </w:p>
    <w:p w14:paraId="1E7413CB" w14:textId="77777777" w:rsidR="001267AD" w:rsidRPr="00990EAE" w:rsidRDefault="001267AD" w:rsidP="00F12A21">
      <w:pPr>
        <w:suppressAutoHyphens w:val="0"/>
        <w:spacing w:before="0" w:after="120" w:line="240" w:lineRule="auto"/>
        <w:rPr>
          <w:lang w:val="en-AU"/>
        </w:rPr>
      </w:pPr>
    </w:p>
    <w:p w14:paraId="66281A27" w14:textId="77777777" w:rsidR="008D4073" w:rsidRDefault="008D4073" w:rsidP="00D82905">
      <w:pPr>
        <w:suppressAutoHyphens w:val="0"/>
        <w:spacing w:before="0" w:after="0" w:line="440" w:lineRule="atLeast"/>
        <w:rPr>
          <w:lang w:val="en-AU"/>
        </w:rPr>
      </w:pPr>
    </w:p>
    <w:p w14:paraId="2B8027FB" w14:textId="77777777" w:rsidR="003F4046" w:rsidRPr="003F4046" w:rsidRDefault="003F4046" w:rsidP="00936405">
      <w:pPr>
        <w:suppressAutoHyphens w:val="0"/>
        <w:spacing w:before="0" w:after="0" w:line="240" w:lineRule="auto"/>
        <w:rPr>
          <w:lang w:val="en-AU"/>
        </w:rPr>
      </w:pPr>
      <w:r w:rsidRPr="003F4046">
        <w:rPr>
          <w:lang w:val="en-AU"/>
        </w:rPr>
        <w:t>Frances Adamson</w:t>
      </w:r>
    </w:p>
    <w:p w14:paraId="6E8A8B8B" w14:textId="77777777" w:rsidR="003F4046" w:rsidRPr="003F4046" w:rsidRDefault="003F4046" w:rsidP="00936405">
      <w:pPr>
        <w:suppressAutoHyphens w:val="0"/>
        <w:spacing w:before="0" w:after="0" w:line="240" w:lineRule="auto"/>
        <w:rPr>
          <w:lang w:val="en-AU"/>
        </w:rPr>
      </w:pPr>
      <w:r w:rsidRPr="003F4046">
        <w:rPr>
          <w:lang w:val="en-AU"/>
        </w:rPr>
        <w:t>Secretary</w:t>
      </w:r>
    </w:p>
    <w:p w14:paraId="541838A6" w14:textId="77777777" w:rsidR="003F4046" w:rsidRPr="003F4046" w:rsidRDefault="003F4046" w:rsidP="00936405">
      <w:pPr>
        <w:suppressAutoHyphens w:val="0"/>
        <w:spacing w:before="0" w:after="0" w:line="240" w:lineRule="auto"/>
        <w:rPr>
          <w:lang w:val="en-AU"/>
        </w:rPr>
      </w:pPr>
      <w:r w:rsidRPr="003F4046">
        <w:rPr>
          <w:lang w:val="en-AU"/>
        </w:rPr>
        <w:t>Department of Foreign Affairs and Trade</w:t>
      </w:r>
    </w:p>
    <w:p w14:paraId="40421A89" w14:textId="77777777" w:rsidR="00D37F27" w:rsidRDefault="003F4046" w:rsidP="00936405">
      <w:pPr>
        <w:suppressAutoHyphens w:val="0"/>
        <w:spacing w:before="0" w:after="0" w:line="240" w:lineRule="auto"/>
        <w:rPr>
          <w:color w:val="FF0000"/>
          <w:lang w:val="en-AU"/>
        </w:rPr>
      </w:pPr>
      <w:r w:rsidRPr="003F4046">
        <w:rPr>
          <w:lang w:val="en-AU"/>
        </w:rPr>
        <w:t>April 2019</w:t>
      </w:r>
      <w:r w:rsidR="00D37F27">
        <w:rPr>
          <w:color w:val="FF0000"/>
          <w:lang w:val="en-AU"/>
        </w:rPr>
        <w:br w:type="page"/>
      </w:r>
    </w:p>
    <w:p w14:paraId="4300D8A1" w14:textId="77777777" w:rsidR="00AA774F" w:rsidRPr="00307E81" w:rsidRDefault="002B67F8" w:rsidP="00DC184B">
      <w:pPr>
        <w:pStyle w:val="Heading2"/>
        <w:numPr>
          <w:ilvl w:val="0"/>
          <w:numId w:val="8"/>
        </w:numPr>
        <w:rPr>
          <w:lang w:val="en-AU"/>
        </w:rPr>
      </w:pPr>
      <w:bookmarkStart w:id="2" w:name="Introduction"/>
      <w:r>
        <w:rPr>
          <w:lang w:val="en-AU"/>
        </w:rPr>
        <w:lastRenderedPageBreak/>
        <w:t>introduction</w:t>
      </w:r>
    </w:p>
    <w:bookmarkEnd w:id="2"/>
    <w:p w14:paraId="128370AF" w14:textId="77777777" w:rsidR="00CE471E" w:rsidRPr="00E50746" w:rsidRDefault="00CE471E" w:rsidP="00E50746">
      <w:pPr>
        <w:suppressAutoHyphens w:val="0"/>
        <w:spacing w:before="0" w:after="120" w:line="240" w:lineRule="auto"/>
        <w:rPr>
          <w:lang w:val="en-AU"/>
        </w:rPr>
      </w:pPr>
      <w:r w:rsidRPr="00CE471E">
        <w:rPr>
          <w:lang w:val="en-AU"/>
        </w:rPr>
        <w:t>The Department of Foreign Affairs and Trade (DFAT) does not tolerate sexual exp</w:t>
      </w:r>
      <w:r>
        <w:rPr>
          <w:lang w:val="en-AU"/>
        </w:rPr>
        <w:t xml:space="preserve">loitation, abuse or harassment </w:t>
      </w:r>
      <w:r w:rsidR="00E10AD6">
        <w:rPr>
          <w:lang w:val="en-AU"/>
        </w:rPr>
        <w:t xml:space="preserve">(SEAH) of any kind. This </w:t>
      </w:r>
      <w:r w:rsidR="00D37F27">
        <w:rPr>
          <w:lang w:val="en-AU"/>
        </w:rPr>
        <w:t>applies</w:t>
      </w:r>
      <w:r w:rsidR="00E10AD6">
        <w:rPr>
          <w:lang w:val="en-AU"/>
        </w:rPr>
        <w:t xml:space="preserve"> to </w:t>
      </w:r>
      <w:r w:rsidR="00D37F27">
        <w:rPr>
          <w:lang w:val="en-AU"/>
        </w:rPr>
        <w:t xml:space="preserve">our own organisation and extends to </w:t>
      </w:r>
      <w:r w:rsidR="00E10AD6">
        <w:rPr>
          <w:lang w:val="en-AU"/>
        </w:rPr>
        <w:t xml:space="preserve">those we work with. </w:t>
      </w:r>
      <w:r>
        <w:rPr>
          <w:lang w:val="en-AU"/>
        </w:rPr>
        <w:t>Along</w:t>
      </w:r>
      <w:r w:rsidR="00C87038">
        <w:rPr>
          <w:lang w:val="en-AU"/>
        </w:rPr>
        <w:t>side others</w:t>
      </w:r>
      <w:r>
        <w:rPr>
          <w:lang w:val="en-AU"/>
        </w:rPr>
        <w:t xml:space="preserve">, we </w:t>
      </w:r>
      <w:r w:rsidR="00061A40">
        <w:rPr>
          <w:lang w:val="en-AU"/>
        </w:rPr>
        <w:t>continue</w:t>
      </w:r>
      <w:r>
        <w:rPr>
          <w:lang w:val="en-AU"/>
        </w:rPr>
        <w:t xml:space="preserve"> </w:t>
      </w:r>
      <w:r w:rsidR="00E10AD6">
        <w:rPr>
          <w:lang w:val="en-AU"/>
        </w:rPr>
        <w:t xml:space="preserve">to strengthen our approach to safeguarding – by </w:t>
      </w:r>
      <w:r>
        <w:rPr>
          <w:lang w:val="en-AU"/>
        </w:rPr>
        <w:t>enhancing accountability, improving support for people affected, and driving cultural change through strong leadership.</w:t>
      </w:r>
      <w:r w:rsidR="00E50746">
        <w:rPr>
          <w:lang w:val="en-AU"/>
        </w:rPr>
        <w:t xml:space="preserve"> </w:t>
      </w:r>
    </w:p>
    <w:p w14:paraId="57869508" w14:textId="77777777" w:rsidR="00E10AD6" w:rsidRDefault="00061A40" w:rsidP="00C87038">
      <w:pPr>
        <w:suppressAutoHyphens w:val="0"/>
        <w:spacing w:before="0" w:after="120" w:line="240" w:lineRule="auto"/>
        <w:rPr>
          <w:lang w:val="en-AU"/>
        </w:rPr>
      </w:pPr>
      <w:r w:rsidRPr="0041385A">
        <w:rPr>
          <w:lang w:val="en-AU"/>
        </w:rPr>
        <w:t xml:space="preserve">The Policy </w:t>
      </w:r>
      <w:r w:rsidR="004A3934" w:rsidRPr="0041385A">
        <w:rPr>
          <w:lang w:val="en-AU"/>
        </w:rPr>
        <w:t xml:space="preserve">outlines </w:t>
      </w:r>
      <w:r w:rsidR="0041385A" w:rsidRPr="0041385A">
        <w:rPr>
          <w:lang w:val="en-AU"/>
        </w:rPr>
        <w:t xml:space="preserve">both </w:t>
      </w:r>
      <w:r w:rsidR="004A3934" w:rsidRPr="0041385A">
        <w:rPr>
          <w:lang w:val="en-AU"/>
        </w:rPr>
        <w:t xml:space="preserve">expectations and requirements for </w:t>
      </w:r>
      <w:r w:rsidR="006432AA">
        <w:rPr>
          <w:lang w:val="en-AU"/>
        </w:rPr>
        <w:t xml:space="preserve">DFAT </w:t>
      </w:r>
      <w:r w:rsidR="00AF42CE">
        <w:rPr>
          <w:lang w:val="en-AU"/>
        </w:rPr>
        <w:t xml:space="preserve">staff and </w:t>
      </w:r>
      <w:r w:rsidR="0026449F">
        <w:rPr>
          <w:lang w:val="en-AU"/>
        </w:rPr>
        <w:t xml:space="preserve">our </w:t>
      </w:r>
      <w:r w:rsidR="000917AB">
        <w:rPr>
          <w:lang w:val="en-AU"/>
        </w:rPr>
        <w:t>partner</w:t>
      </w:r>
      <w:r w:rsidR="00B33AA1" w:rsidRPr="0041385A">
        <w:rPr>
          <w:lang w:val="en-AU"/>
        </w:rPr>
        <w:t xml:space="preserve">s to </w:t>
      </w:r>
      <w:r w:rsidR="004A3934" w:rsidRPr="0041385A">
        <w:rPr>
          <w:lang w:val="en-AU"/>
        </w:rPr>
        <w:t xml:space="preserve">manage </w:t>
      </w:r>
      <w:r w:rsidR="00C87038">
        <w:rPr>
          <w:lang w:val="en-AU"/>
        </w:rPr>
        <w:t>the risk of SEAH and SEAH incidents</w:t>
      </w:r>
      <w:r w:rsidR="0041385A" w:rsidRPr="0041385A">
        <w:rPr>
          <w:lang w:val="en-AU"/>
        </w:rPr>
        <w:t xml:space="preserve">, </w:t>
      </w:r>
      <w:r w:rsidR="00B33AA1" w:rsidRPr="0041385A">
        <w:rPr>
          <w:lang w:val="en-AU"/>
        </w:rPr>
        <w:t xml:space="preserve">should </w:t>
      </w:r>
      <w:r w:rsidR="0041385A" w:rsidRPr="0041385A">
        <w:rPr>
          <w:lang w:val="en-AU"/>
        </w:rPr>
        <w:t xml:space="preserve">they </w:t>
      </w:r>
      <w:r w:rsidR="00B33AA1" w:rsidRPr="0041385A">
        <w:rPr>
          <w:lang w:val="en-AU"/>
        </w:rPr>
        <w:t xml:space="preserve">occur in the delivery of DFAT </w:t>
      </w:r>
      <w:r w:rsidR="00C37CF2">
        <w:rPr>
          <w:lang w:val="en-AU"/>
        </w:rPr>
        <w:t>business</w:t>
      </w:r>
      <w:r w:rsidR="00B33AA1" w:rsidRPr="0041385A">
        <w:rPr>
          <w:lang w:val="en-AU"/>
        </w:rPr>
        <w:t xml:space="preserve">. </w:t>
      </w:r>
      <w:r w:rsidR="004A2AEF" w:rsidRPr="0041385A">
        <w:rPr>
          <w:lang w:val="en-AU"/>
        </w:rPr>
        <w:t>Preventing SEAH (PSEAH) is a shared responsibility.</w:t>
      </w:r>
      <w:r w:rsidR="004A2AEF">
        <w:rPr>
          <w:lang w:val="en-AU"/>
        </w:rPr>
        <w:t xml:space="preserve"> </w:t>
      </w:r>
      <w:r w:rsidR="00625148" w:rsidRPr="0041385A">
        <w:rPr>
          <w:lang w:val="en-AU"/>
        </w:rPr>
        <w:t xml:space="preserve">All organisations </w:t>
      </w:r>
      <w:r w:rsidR="0041385A">
        <w:rPr>
          <w:lang w:val="en-AU"/>
        </w:rPr>
        <w:t>must</w:t>
      </w:r>
      <w:r w:rsidR="0041385A" w:rsidRPr="0041385A">
        <w:rPr>
          <w:lang w:val="en-AU"/>
        </w:rPr>
        <w:t xml:space="preserve"> </w:t>
      </w:r>
      <w:r w:rsidR="00625148" w:rsidRPr="0041385A">
        <w:rPr>
          <w:lang w:val="en-AU"/>
        </w:rPr>
        <w:t>play an active role in addressing SEAH that occurs in the course of t</w:t>
      </w:r>
      <w:r w:rsidR="004A2AEF">
        <w:rPr>
          <w:lang w:val="en-AU"/>
        </w:rPr>
        <w:t>heir business — o</w:t>
      </w:r>
      <w:r w:rsidR="00E10AD6" w:rsidRPr="0041385A">
        <w:rPr>
          <w:lang w:val="en-AU"/>
        </w:rPr>
        <w:t>nly if all parties take action will we have meaningful change.</w:t>
      </w:r>
      <w:r w:rsidR="00E10AD6">
        <w:rPr>
          <w:lang w:val="en-AU"/>
        </w:rPr>
        <w:t xml:space="preserve"> </w:t>
      </w:r>
      <w:r w:rsidR="00797B82">
        <w:rPr>
          <w:lang w:val="en-AU"/>
        </w:rPr>
        <w:t xml:space="preserve">The </w:t>
      </w:r>
      <w:r w:rsidR="004A2AEF">
        <w:rPr>
          <w:lang w:val="en-AU"/>
        </w:rPr>
        <w:t>Policy</w:t>
      </w:r>
      <w:r w:rsidR="00C87038" w:rsidRPr="0041385A">
        <w:rPr>
          <w:lang w:val="en-AU"/>
        </w:rPr>
        <w:t xml:space="preserve"> places the onus on </w:t>
      </w:r>
      <w:r w:rsidR="0026449F">
        <w:rPr>
          <w:lang w:val="en-AU"/>
        </w:rPr>
        <w:t>all</w:t>
      </w:r>
      <w:r w:rsidR="004A2AEF">
        <w:rPr>
          <w:lang w:val="en-AU"/>
        </w:rPr>
        <w:t xml:space="preserve"> </w:t>
      </w:r>
      <w:r w:rsidR="00DA3EDC">
        <w:rPr>
          <w:lang w:val="en-AU"/>
        </w:rPr>
        <w:t xml:space="preserve">DFAT </w:t>
      </w:r>
      <w:r w:rsidR="00C87038" w:rsidRPr="0041385A">
        <w:rPr>
          <w:lang w:val="en-AU"/>
        </w:rPr>
        <w:t xml:space="preserve">partners to manage </w:t>
      </w:r>
      <w:r w:rsidR="00936405">
        <w:rPr>
          <w:lang w:val="en-AU"/>
        </w:rPr>
        <w:t>the risk of SEAH</w:t>
      </w:r>
      <w:r w:rsidR="00C87038" w:rsidRPr="0041385A">
        <w:rPr>
          <w:lang w:val="en-AU"/>
        </w:rPr>
        <w:t>.</w:t>
      </w:r>
    </w:p>
    <w:p w14:paraId="61103B3B" w14:textId="77777777" w:rsidR="00A62B89" w:rsidRDefault="00A760A7" w:rsidP="00E10AD6">
      <w:pPr>
        <w:suppressAutoHyphens w:val="0"/>
        <w:spacing w:before="0" w:after="120" w:line="240" w:lineRule="auto"/>
        <w:rPr>
          <w:lang w:val="en-AU"/>
        </w:rPr>
      </w:pPr>
      <w:r w:rsidRPr="009B1237">
        <w:rPr>
          <w:noProof/>
          <w:color w:val="FF0000"/>
          <w:lang w:val="en-AU" w:eastAsia="en-AU"/>
        </w:rPr>
        <mc:AlternateContent>
          <mc:Choice Requires="wps">
            <w:drawing>
              <wp:anchor distT="45720" distB="45720" distL="114300" distR="114300" simplePos="0" relativeHeight="251663360" behindDoc="0" locked="0" layoutInCell="1" allowOverlap="1" wp14:anchorId="7CF2CDDE" wp14:editId="793626C0">
                <wp:simplePos x="0" y="0"/>
                <wp:positionH relativeFrom="margin">
                  <wp:posOffset>-21590</wp:posOffset>
                </wp:positionH>
                <wp:positionV relativeFrom="paragraph">
                  <wp:posOffset>419735</wp:posOffset>
                </wp:positionV>
                <wp:extent cx="5724525" cy="517779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5177790"/>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950BCD4" w14:textId="77777777" w:rsidR="00D06E89" w:rsidRPr="00D37F27" w:rsidRDefault="00411AD3" w:rsidP="00D37F27">
                            <w:pPr>
                              <w:pStyle w:val="Heading2"/>
                              <w:spacing w:before="120"/>
                              <w:rPr>
                                <w:lang w:val="en-AU"/>
                              </w:rPr>
                            </w:pPr>
                            <w:r>
                              <w:rPr>
                                <w:caps w:val="0"/>
                                <w:lang w:val="en-AU"/>
                              </w:rPr>
                              <w:t>Key d</w:t>
                            </w:r>
                            <w:r w:rsidR="00D06E89" w:rsidRPr="00D37F27">
                              <w:rPr>
                                <w:caps w:val="0"/>
                                <w:lang w:val="en-AU"/>
                              </w:rPr>
                              <w:t>efinitions</w:t>
                            </w:r>
                          </w:p>
                          <w:p w14:paraId="0968EF0E" w14:textId="77777777" w:rsidR="00D06E89" w:rsidRDefault="00D06E89" w:rsidP="00857D2D">
                            <w:r>
                              <w:t xml:space="preserve">This Policy uses the following </w:t>
                            </w:r>
                            <w:r w:rsidR="00A74E00">
                              <w:t>descriptions</w:t>
                            </w:r>
                            <w:r>
                              <w:t xml:space="preserve"> of sexual </w:t>
                            </w:r>
                            <w:r w:rsidR="00DA3EDC">
                              <w:t>exploitation</w:t>
                            </w:r>
                            <w:r>
                              <w:t xml:space="preserve">, sexual </w:t>
                            </w:r>
                            <w:r w:rsidR="00DA3EDC">
                              <w:t>abuse</w:t>
                            </w:r>
                            <w:r>
                              <w:t xml:space="preserve"> and sexual harassment</w:t>
                            </w:r>
                            <w:r w:rsidR="00460E66">
                              <w:t xml:space="preserve">, which combine international and Australian </w:t>
                            </w:r>
                            <w:r w:rsidR="00A74E00">
                              <w:t>definitions</w:t>
                            </w:r>
                            <w:r>
                              <w:t xml:space="preserve">: </w:t>
                            </w:r>
                          </w:p>
                          <w:p w14:paraId="19A79DFE" w14:textId="77777777" w:rsidR="00D06E89" w:rsidRDefault="00D06E89" w:rsidP="00551631">
                            <w:r w:rsidRPr="00857D2D">
                              <w:rPr>
                                <w:b/>
                              </w:rPr>
                              <w:t>Sexual exploitation:</w:t>
                            </w:r>
                            <w:r>
                              <w:t xml:space="preserve"> </w:t>
                            </w:r>
                            <w:r w:rsidRPr="00551631">
                              <w:t>Any actual or attempted abuse of a position of vulnerability, differential power, or trust for sexual purposes. I</w:t>
                            </w:r>
                            <w:r>
                              <w:t>t i</w:t>
                            </w:r>
                            <w:r w:rsidRPr="00551631">
                              <w:t>ncludes profiting monetarily, socially, or politically from sexual exploitation of another.</w:t>
                            </w:r>
                          </w:p>
                          <w:p w14:paraId="4E64CBB3" w14:textId="77777777" w:rsidR="00D06E89" w:rsidRPr="00D37F27" w:rsidRDefault="00D06E89" w:rsidP="00857D2D">
                            <w:pPr>
                              <w:rPr>
                                <w:i/>
                              </w:rPr>
                            </w:pPr>
                            <w:r w:rsidRPr="00FC0A66">
                              <w:rPr>
                                <w:b/>
                              </w:rPr>
                              <w:t>Sexual abuse:</w:t>
                            </w:r>
                            <w:r>
                              <w:t xml:space="preserve"> </w:t>
                            </w:r>
                            <w:r w:rsidR="00460E66" w:rsidRPr="00460E66">
                              <w:t>The actual or threatened physical intrusion of a sexual nature, whether by force or under unequal or coercive conditions. It covers sexual offences including but not limited to: attempted rape (which includes attempts to force someone to perform oral sex); and sexual assault (which includes non-consensual kissing and touching). All sexual activity with so</w:t>
                            </w:r>
                            <w:r w:rsidR="00460E66">
                              <w:t>meone under the age of consent</w:t>
                            </w:r>
                            <w:r w:rsidR="00A74E00" w:rsidRPr="00A74E00">
                              <w:t xml:space="preserve"> </w:t>
                            </w:r>
                            <w:r w:rsidR="00A74E00">
                              <w:t>(</w:t>
                            </w:r>
                            <w:r w:rsidR="00A74E00" w:rsidRPr="00A74E00">
                              <w:t xml:space="preserve">in the law of the host country or </w:t>
                            </w:r>
                            <w:r w:rsidR="00A74E00">
                              <w:t>under</w:t>
                            </w:r>
                            <w:r w:rsidR="00A74E00" w:rsidRPr="00A74E00">
                              <w:t xml:space="preserve"> Australian Capital Territory</w:t>
                            </w:r>
                            <w:r w:rsidR="00A74E00">
                              <w:t xml:space="preserve"> law</w:t>
                            </w:r>
                            <w:r w:rsidR="00A74E00" w:rsidRPr="00A74E00">
                              <w:t xml:space="preserve"> </w:t>
                            </w:r>
                            <w:r w:rsidR="00A74E00">
                              <w:t>[</w:t>
                            </w:r>
                            <w:r w:rsidR="00A74E00" w:rsidRPr="00A74E00">
                              <w:t>16 years</w:t>
                            </w:r>
                            <w:r w:rsidR="00A74E00">
                              <w:t>]</w:t>
                            </w:r>
                            <w:r w:rsidR="00A74E00" w:rsidRPr="00A74E00">
                              <w:t>, whichever</w:t>
                            </w:r>
                            <w:r w:rsidR="00A74E00">
                              <w:t xml:space="preserve"> is greater)</w:t>
                            </w:r>
                            <w:r w:rsidR="00460E66">
                              <w:t xml:space="preserve"> </w:t>
                            </w:r>
                            <w:r w:rsidR="00460E66" w:rsidRPr="00460E66">
                              <w:t>is considered to be sexual abuse.</w:t>
                            </w:r>
                          </w:p>
                          <w:p w14:paraId="0BE7753C" w14:textId="77777777" w:rsidR="00460E66" w:rsidRDefault="00D06E89" w:rsidP="00460E66">
                            <w:r w:rsidRPr="00FC0A66">
                              <w:rPr>
                                <w:b/>
                              </w:rPr>
                              <w:t>Sexual harassment</w:t>
                            </w:r>
                            <w:r>
                              <w:t>:</w:t>
                            </w:r>
                            <w:r w:rsidRPr="00FC0A66">
                              <w:t xml:space="preserve"> </w:t>
                            </w:r>
                            <w:r w:rsidR="00460E66">
                              <w:t xml:space="preserve">A person sexually harasses another person if the person makes an unwelcome sexual advance or an unwelcome request for sexual favours, or engages in other unwelcome conduct of a sexual nature, in circumstances in which a reasonable person, having regard to all the circumstances, would have anticipated the possibility that the person harassed would be offended, humiliated or intimidated. </w:t>
                            </w:r>
                          </w:p>
                          <w:p w14:paraId="49894527" w14:textId="77777777" w:rsidR="00D06E89" w:rsidRDefault="00460E66" w:rsidP="00460E66">
                            <w:r>
                              <w:t>Sexual harassment can take various forms. It can be obvious or indirect, physical or verbal, repeated or one-off and perpetrated by any person of any gender towards any person of any gender. Sexual harassment can be perpetrated against beneficiaries, community members, citizens, as well as staff and personnel.</w:t>
                            </w:r>
                          </w:p>
                          <w:p w14:paraId="322ED883" w14:textId="77777777" w:rsidR="00D06E89" w:rsidRPr="004F3648" w:rsidRDefault="00D06E89" w:rsidP="00FC0A66">
                            <w:pPr>
                              <w:rPr>
                                <w:i/>
                              </w:rPr>
                            </w:pPr>
                            <w:r>
                              <w:t xml:space="preserve">For more definitions, see </w:t>
                            </w:r>
                            <w:r w:rsidR="009603BD">
                              <w:rPr>
                                <w:i/>
                              </w:rPr>
                              <w:t>Glossary</w:t>
                            </w:r>
                            <w:r>
                              <w:rPr>
                                <w:i/>
                              </w:rPr>
                              <w:t>.</w:t>
                            </w:r>
                          </w:p>
                          <w:p w14:paraId="4A34F048" w14:textId="77777777" w:rsidR="00D06E89" w:rsidRDefault="00D06E89" w:rsidP="00857D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CF2CDDE" id="_x0000_s1027" style="position:absolute;margin-left:-1.7pt;margin-top:33.05pt;width:450.75pt;height:407.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" fillcolor="white [3201]" strokecolor="#65c5b4 [3204]" strokeweight="1pt">
                <v:stroke joinstyle="miter"/>
                <v:textbox>
                  <w:txbxContent>
                    <w:p w14:paraId="5950BCD4" w14:textId="77777777" w:rsidR="00D06E89" w:rsidRPr="00D37F27" w:rsidRDefault="00411AD3" w:rsidP="00D37F27">
                      <w:pPr>
                        <w:pStyle w:val="Heading2"/>
                        <w:spacing w:before="120"/>
                        <w:rPr>
                          <w:lang w:val="en-AU"/>
                        </w:rPr>
                      </w:pPr>
                      <w:r>
                        <w:rPr>
                          <w:caps w:val="0"/>
                          <w:lang w:val="en-AU"/>
                        </w:rPr>
                        <w:t>Key d</w:t>
                      </w:r>
                      <w:r w:rsidR="00D06E89" w:rsidRPr="00D37F27">
                        <w:rPr>
                          <w:caps w:val="0"/>
                          <w:lang w:val="en-AU"/>
                        </w:rPr>
                        <w:t>efinitions</w:t>
                      </w:r>
                    </w:p>
                    <w:p w14:paraId="0968EF0E" w14:textId="77777777" w:rsidR="00D06E89" w:rsidRDefault="00D06E89" w:rsidP="00857D2D">
                      <w:r>
                        <w:t xml:space="preserve">This Policy uses the following </w:t>
                      </w:r>
                      <w:r w:rsidR="00A74E00">
                        <w:t>descriptions</w:t>
                      </w:r>
                      <w:r>
                        <w:t xml:space="preserve"> of sexual </w:t>
                      </w:r>
                      <w:r w:rsidR="00DA3EDC">
                        <w:t>exploitation</w:t>
                      </w:r>
                      <w:r>
                        <w:t xml:space="preserve">, sexual </w:t>
                      </w:r>
                      <w:r w:rsidR="00DA3EDC">
                        <w:t>abuse</w:t>
                      </w:r>
                      <w:r>
                        <w:t xml:space="preserve"> and sexual harassment</w:t>
                      </w:r>
                      <w:r w:rsidR="00460E66">
                        <w:t xml:space="preserve">, which combine international and Australian </w:t>
                      </w:r>
                      <w:r w:rsidR="00A74E00">
                        <w:t>definitions</w:t>
                      </w:r>
                      <w:r>
                        <w:t xml:space="preserve">: </w:t>
                      </w:r>
                    </w:p>
                    <w:p w14:paraId="19A79DFE" w14:textId="77777777" w:rsidR="00D06E89" w:rsidRDefault="00D06E89" w:rsidP="00551631">
                      <w:r w:rsidRPr="00857D2D">
                        <w:rPr>
                          <w:b/>
                        </w:rPr>
                        <w:t>Sexual exploitation:</w:t>
                      </w:r>
                      <w:r>
                        <w:t xml:space="preserve"> </w:t>
                      </w:r>
                      <w:r w:rsidRPr="00551631">
                        <w:t>Any actual or attempted abuse of a position of vulnerability, differential power, or trust for sexual purposes. I</w:t>
                      </w:r>
                      <w:r>
                        <w:t>t i</w:t>
                      </w:r>
                      <w:r w:rsidRPr="00551631">
                        <w:t>ncludes profiting monetarily, socially, or politically from sexual exploitation of another.</w:t>
                      </w:r>
                    </w:p>
                    <w:p w14:paraId="4E64CBB3" w14:textId="77777777" w:rsidR="00D06E89" w:rsidRPr="00D37F27" w:rsidRDefault="00D06E89" w:rsidP="00857D2D">
                      <w:pPr>
                        <w:rPr>
                          <w:i/>
                        </w:rPr>
                      </w:pPr>
                      <w:r w:rsidRPr="00FC0A66">
                        <w:rPr>
                          <w:b/>
                        </w:rPr>
                        <w:t>Sexual abuse:</w:t>
                      </w:r>
                      <w:r>
                        <w:t xml:space="preserve"> </w:t>
                      </w:r>
                      <w:r w:rsidR="00460E66" w:rsidRPr="00460E66">
                        <w:t>The actual or threatened physical intrusion of a sexual nature, whether by force or under unequal or coercive conditions. It covers sexual offences including but not limited to: attempted rape (which includes attempts to force someone to perform oral sex); and sexual assault (which includes non-consensual kissing and touching). All sexual activity with so</w:t>
                      </w:r>
                      <w:r w:rsidR="00460E66">
                        <w:t>meone under the age of consent</w:t>
                      </w:r>
                      <w:r w:rsidR="00A74E00" w:rsidRPr="00A74E00">
                        <w:t xml:space="preserve"> </w:t>
                      </w:r>
                      <w:r w:rsidR="00A74E00">
                        <w:t>(</w:t>
                      </w:r>
                      <w:r w:rsidR="00A74E00" w:rsidRPr="00A74E00">
                        <w:t xml:space="preserve">in the law of the host country or </w:t>
                      </w:r>
                      <w:r w:rsidR="00A74E00">
                        <w:t>under</w:t>
                      </w:r>
                      <w:r w:rsidR="00A74E00" w:rsidRPr="00A74E00">
                        <w:t xml:space="preserve"> Australian Capital Territory</w:t>
                      </w:r>
                      <w:r w:rsidR="00A74E00">
                        <w:t xml:space="preserve"> law</w:t>
                      </w:r>
                      <w:r w:rsidR="00A74E00" w:rsidRPr="00A74E00">
                        <w:t xml:space="preserve"> </w:t>
                      </w:r>
                      <w:r w:rsidR="00A74E00">
                        <w:t>[</w:t>
                      </w:r>
                      <w:r w:rsidR="00A74E00" w:rsidRPr="00A74E00">
                        <w:t>16 years</w:t>
                      </w:r>
                      <w:r w:rsidR="00A74E00">
                        <w:t>]</w:t>
                      </w:r>
                      <w:r w:rsidR="00A74E00" w:rsidRPr="00A74E00">
                        <w:t>, whichever</w:t>
                      </w:r>
                      <w:r w:rsidR="00A74E00">
                        <w:t xml:space="preserve"> is greater)</w:t>
                      </w:r>
                      <w:r w:rsidR="00460E66">
                        <w:t xml:space="preserve"> </w:t>
                      </w:r>
                      <w:r w:rsidR="00460E66" w:rsidRPr="00460E66">
                        <w:t>is considered to be sexual abuse.</w:t>
                      </w:r>
                    </w:p>
                    <w:p w14:paraId="0BE7753C" w14:textId="77777777" w:rsidR="00460E66" w:rsidRDefault="00D06E89" w:rsidP="00460E66">
                      <w:r w:rsidRPr="00FC0A66">
                        <w:rPr>
                          <w:b/>
                        </w:rPr>
                        <w:t>Sexual harassment</w:t>
                      </w:r>
                      <w:r>
                        <w:t>:</w:t>
                      </w:r>
                      <w:r w:rsidRPr="00FC0A66">
                        <w:t xml:space="preserve"> </w:t>
                      </w:r>
                      <w:r w:rsidR="00460E66">
                        <w:t xml:space="preserve">A person sexually harasses another person if the person makes an unwelcome sexual advance or an unwelcome request for sexual favours, or engages in other unwelcome conduct of a sexual nature, in circumstances in which a reasonable person, having regard to all the circumstances, would have anticipated the possibility that the person harassed would be offended, humiliated or intimidated. </w:t>
                      </w:r>
                    </w:p>
                    <w:p w14:paraId="49894527" w14:textId="77777777" w:rsidR="00D06E89" w:rsidRDefault="00460E66" w:rsidP="00460E66">
                      <w:r>
                        <w:t>Sexual harassment can take various forms. It can be obvious or indirect, physical or verbal, repeated or one-off and perpetrated by any person of any gender towards any person of any gender. Sexual harassment can be perpetrated against beneficiaries, community members, citizens, as well as staff and personnel.</w:t>
                      </w:r>
                    </w:p>
                    <w:p w14:paraId="322ED883" w14:textId="77777777" w:rsidR="00D06E89" w:rsidRPr="004F3648" w:rsidRDefault="00D06E89" w:rsidP="00FC0A66">
                      <w:pPr>
                        <w:rPr>
                          <w:i/>
                        </w:rPr>
                      </w:pPr>
                      <w:r>
                        <w:t xml:space="preserve">For more definitions, see </w:t>
                      </w:r>
                      <w:r w:rsidR="009603BD">
                        <w:rPr>
                          <w:i/>
                        </w:rPr>
                        <w:t>Glossary</w:t>
                      </w:r>
                      <w:r>
                        <w:rPr>
                          <w:i/>
                        </w:rPr>
                        <w:t>.</w:t>
                      </w:r>
                    </w:p>
                    <w:p w14:paraId="4A34F048" w14:textId="77777777" w:rsidR="00D06E89" w:rsidRDefault="00D06E89" w:rsidP="00857D2D"/>
                  </w:txbxContent>
                </v:textbox>
                <w10:wrap type="square" anchorx="margin"/>
              </v:roundrect>
            </w:pict>
          </mc:Fallback>
        </mc:AlternateContent>
      </w:r>
      <w:r w:rsidR="00797B82">
        <w:rPr>
          <w:lang w:val="en-AU"/>
        </w:rPr>
        <w:t xml:space="preserve">The </w:t>
      </w:r>
      <w:r w:rsidR="00A62B89">
        <w:rPr>
          <w:lang w:val="en-AU"/>
        </w:rPr>
        <w:t xml:space="preserve">Policy is </w:t>
      </w:r>
      <w:r w:rsidR="00BB76C5">
        <w:rPr>
          <w:lang w:val="en-AU"/>
        </w:rPr>
        <w:t>able to be adapted</w:t>
      </w:r>
      <w:r w:rsidR="00A62B89">
        <w:rPr>
          <w:lang w:val="en-AU"/>
        </w:rPr>
        <w:t xml:space="preserve"> to the many contexts in which DFAT </w:t>
      </w:r>
      <w:r w:rsidR="00C37CF2">
        <w:rPr>
          <w:lang w:val="en-AU"/>
        </w:rPr>
        <w:t>business is delivered</w:t>
      </w:r>
      <w:r w:rsidR="00FC6600">
        <w:rPr>
          <w:lang w:val="en-AU"/>
        </w:rPr>
        <w:t xml:space="preserve">. </w:t>
      </w:r>
      <w:r w:rsidR="006432AA">
        <w:rPr>
          <w:lang w:val="en-AU"/>
        </w:rPr>
        <w:t xml:space="preserve">DFAT staff and </w:t>
      </w:r>
      <w:r w:rsidR="000917AB">
        <w:rPr>
          <w:lang w:val="en-AU"/>
        </w:rPr>
        <w:t>partner</w:t>
      </w:r>
      <w:r w:rsidR="00FC6600">
        <w:rPr>
          <w:lang w:val="en-AU"/>
        </w:rPr>
        <w:t>s will need to</w:t>
      </w:r>
      <w:r w:rsidR="000C6441">
        <w:rPr>
          <w:lang w:val="en-AU"/>
        </w:rPr>
        <w:t xml:space="preserve"> apply judgment based on the</w:t>
      </w:r>
      <w:r w:rsidR="00D82905">
        <w:rPr>
          <w:lang w:val="en-AU"/>
        </w:rPr>
        <w:t xml:space="preserve"> risk</w:t>
      </w:r>
      <w:r w:rsidR="000C6441">
        <w:rPr>
          <w:lang w:val="en-AU"/>
        </w:rPr>
        <w:t xml:space="preserve"> context</w:t>
      </w:r>
      <w:r w:rsidR="00950544">
        <w:rPr>
          <w:lang w:val="en-AU"/>
        </w:rPr>
        <w:t xml:space="preserve"> in which they are operating</w:t>
      </w:r>
      <w:r w:rsidR="000C6441">
        <w:rPr>
          <w:lang w:val="en-AU"/>
        </w:rPr>
        <w:t>.</w:t>
      </w:r>
      <w:r w:rsidR="00A62B89">
        <w:rPr>
          <w:lang w:val="en-AU"/>
        </w:rPr>
        <w:t xml:space="preserve">  </w:t>
      </w:r>
    </w:p>
    <w:p w14:paraId="6BF2DA10" w14:textId="77777777" w:rsidR="00CE471E" w:rsidRPr="00CE471E" w:rsidRDefault="00CE471E" w:rsidP="00CE471E">
      <w:pPr>
        <w:suppressAutoHyphens w:val="0"/>
        <w:spacing w:before="0" w:after="120" w:line="240" w:lineRule="auto"/>
        <w:rPr>
          <w:lang w:val="en-AU"/>
        </w:rPr>
      </w:pPr>
      <w:r w:rsidRPr="00CE471E">
        <w:rPr>
          <w:lang w:val="en-AU"/>
        </w:rPr>
        <w:t xml:space="preserve">DFAT </w:t>
      </w:r>
      <w:r w:rsidR="006F28E2">
        <w:rPr>
          <w:lang w:val="en-AU"/>
        </w:rPr>
        <w:t>will give</w:t>
      </w:r>
      <w:r w:rsidR="000917AB">
        <w:rPr>
          <w:lang w:val="en-AU"/>
        </w:rPr>
        <w:t xml:space="preserve"> practical effect to </w:t>
      </w:r>
      <w:r w:rsidR="00797B82">
        <w:rPr>
          <w:lang w:val="en-AU"/>
        </w:rPr>
        <w:t xml:space="preserve">the </w:t>
      </w:r>
      <w:r w:rsidR="000917AB">
        <w:rPr>
          <w:lang w:val="en-AU"/>
        </w:rPr>
        <w:t>P</w:t>
      </w:r>
      <w:r w:rsidRPr="00CE471E">
        <w:rPr>
          <w:lang w:val="en-AU"/>
        </w:rPr>
        <w:t>olicy through agreements</w:t>
      </w:r>
      <w:r w:rsidR="00D53AFF">
        <w:rPr>
          <w:lang w:val="en-AU"/>
        </w:rPr>
        <w:t xml:space="preserve">, </w:t>
      </w:r>
      <w:r w:rsidR="00AC58A2">
        <w:rPr>
          <w:lang w:val="en-AU"/>
        </w:rPr>
        <w:t>reporting requirement</w:t>
      </w:r>
      <w:r w:rsidR="00FC6600">
        <w:rPr>
          <w:lang w:val="en-AU"/>
        </w:rPr>
        <w:t>s</w:t>
      </w:r>
      <w:r w:rsidR="00D53AFF">
        <w:rPr>
          <w:lang w:val="en-AU"/>
        </w:rPr>
        <w:t xml:space="preserve"> and regular communication to our staff and </w:t>
      </w:r>
      <w:r w:rsidR="000917AB">
        <w:rPr>
          <w:lang w:val="en-AU"/>
        </w:rPr>
        <w:t>partner</w:t>
      </w:r>
      <w:r w:rsidR="00D53AFF">
        <w:rPr>
          <w:lang w:val="en-AU"/>
        </w:rPr>
        <w:t>s</w:t>
      </w:r>
      <w:r w:rsidRPr="00CE471E">
        <w:rPr>
          <w:lang w:val="en-AU"/>
        </w:rPr>
        <w:t xml:space="preserve">. </w:t>
      </w:r>
      <w:r w:rsidR="00625148">
        <w:rPr>
          <w:lang w:val="en-AU"/>
        </w:rPr>
        <w:t>In recognition of the requirements</w:t>
      </w:r>
      <w:r w:rsidR="00061A40">
        <w:rPr>
          <w:lang w:val="en-AU"/>
        </w:rPr>
        <w:t xml:space="preserve"> and expectations</w:t>
      </w:r>
      <w:r w:rsidR="00625148">
        <w:rPr>
          <w:lang w:val="en-AU"/>
        </w:rPr>
        <w:t xml:space="preserve"> under </w:t>
      </w:r>
      <w:r w:rsidR="00797B82">
        <w:rPr>
          <w:lang w:val="en-AU"/>
        </w:rPr>
        <w:t>the</w:t>
      </w:r>
      <w:r w:rsidR="00625148">
        <w:rPr>
          <w:lang w:val="en-AU"/>
        </w:rPr>
        <w:t xml:space="preserve"> Policy, </w:t>
      </w:r>
      <w:r w:rsidR="00625148" w:rsidRPr="00936405">
        <w:rPr>
          <w:b/>
          <w:lang w:val="en-AU"/>
        </w:rPr>
        <w:t>it will be implemented incrementally</w:t>
      </w:r>
      <w:r w:rsidR="00061A40">
        <w:rPr>
          <w:lang w:val="en-AU"/>
        </w:rPr>
        <w:t xml:space="preserve"> </w:t>
      </w:r>
      <w:r w:rsidR="004E1F73">
        <w:rPr>
          <w:lang w:val="en-AU"/>
        </w:rPr>
        <w:t>—</w:t>
      </w:r>
      <w:r w:rsidR="00061A40">
        <w:rPr>
          <w:lang w:val="en-AU"/>
        </w:rPr>
        <w:t xml:space="preserve"> see </w:t>
      </w:r>
      <w:r w:rsidR="00061A40" w:rsidRPr="00950544">
        <w:rPr>
          <w:i/>
          <w:lang w:val="en-AU"/>
        </w:rPr>
        <w:t xml:space="preserve">Section 7 </w:t>
      </w:r>
      <w:r w:rsidR="004E1F73">
        <w:rPr>
          <w:lang w:val="en-AU"/>
        </w:rPr>
        <w:t>—</w:t>
      </w:r>
      <w:r w:rsidR="00061A40" w:rsidRPr="00950544">
        <w:rPr>
          <w:i/>
          <w:lang w:val="en-AU"/>
        </w:rPr>
        <w:t xml:space="preserve"> Implementation and date of effect</w:t>
      </w:r>
      <w:r w:rsidR="00061A40" w:rsidRPr="00FC6600">
        <w:rPr>
          <w:i/>
          <w:lang w:val="en-AU"/>
        </w:rPr>
        <w:t xml:space="preserve">. </w:t>
      </w:r>
      <w:r w:rsidR="004A2AEF">
        <w:rPr>
          <w:lang w:val="en-AU"/>
        </w:rPr>
        <w:t>DFAT will review the Policy</w:t>
      </w:r>
      <w:r w:rsidR="00864F7B" w:rsidRPr="00FC6600">
        <w:rPr>
          <w:lang w:val="en-AU"/>
        </w:rPr>
        <w:t xml:space="preserve"> </w:t>
      </w:r>
      <w:r w:rsidR="00F03E43">
        <w:rPr>
          <w:lang w:val="en-AU"/>
        </w:rPr>
        <w:t>after 12 months</w:t>
      </w:r>
      <w:r w:rsidR="000F5A9F" w:rsidRPr="00FC6600">
        <w:rPr>
          <w:lang w:val="en-AU"/>
        </w:rPr>
        <w:t xml:space="preserve">, </w:t>
      </w:r>
      <w:r w:rsidR="00061A40" w:rsidRPr="00FC6600">
        <w:rPr>
          <w:lang w:val="en-AU"/>
        </w:rPr>
        <w:t>then every three years</w:t>
      </w:r>
      <w:r w:rsidR="00864F7B" w:rsidRPr="00FC6600">
        <w:rPr>
          <w:lang w:val="en-AU"/>
        </w:rPr>
        <w:t>. DFAT</w:t>
      </w:r>
      <w:r w:rsidR="00864F7B">
        <w:rPr>
          <w:lang w:val="en-AU"/>
        </w:rPr>
        <w:t xml:space="preserve"> appreciates our </w:t>
      </w:r>
      <w:r w:rsidR="000917AB">
        <w:rPr>
          <w:lang w:val="en-AU"/>
        </w:rPr>
        <w:t>partner</w:t>
      </w:r>
      <w:r w:rsidR="005A6A35">
        <w:rPr>
          <w:lang w:val="en-AU"/>
        </w:rPr>
        <w:t xml:space="preserve">s </w:t>
      </w:r>
      <w:r w:rsidR="005A6A35">
        <w:rPr>
          <w:lang w:val="en-AU"/>
        </w:rPr>
        <w:lastRenderedPageBreak/>
        <w:t>collaborative approach in</w:t>
      </w:r>
      <w:r w:rsidR="00864F7B">
        <w:rPr>
          <w:lang w:val="en-AU"/>
        </w:rPr>
        <w:t xml:space="preserve"> develop</w:t>
      </w:r>
      <w:r w:rsidR="00057D73">
        <w:rPr>
          <w:lang w:val="en-AU"/>
        </w:rPr>
        <w:t xml:space="preserve">ing </w:t>
      </w:r>
      <w:r w:rsidR="00797B82">
        <w:rPr>
          <w:lang w:val="en-AU"/>
        </w:rPr>
        <w:t xml:space="preserve">the </w:t>
      </w:r>
      <w:r w:rsidR="00864F7B">
        <w:rPr>
          <w:lang w:val="en-AU"/>
        </w:rPr>
        <w:t xml:space="preserve">Policy and looks forward to </w:t>
      </w:r>
      <w:r w:rsidR="00057D73">
        <w:rPr>
          <w:lang w:val="en-AU"/>
        </w:rPr>
        <w:t xml:space="preserve">ongoing </w:t>
      </w:r>
      <w:r w:rsidR="00BE6B9B">
        <w:rPr>
          <w:lang w:val="en-AU"/>
        </w:rPr>
        <w:t xml:space="preserve">collaboration </w:t>
      </w:r>
      <w:r w:rsidR="00057D73">
        <w:rPr>
          <w:lang w:val="en-AU"/>
        </w:rPr>
        <w:t xml:space="preserve">during </w:t>
      </w:r>
      <w:r w:rsidR="009D0AA1">
        <w:rPr>
          <w:lang w:val="en-AU"/>
        </w:rPr>
        <w:t>implementation</w:t>
      </w:r>
      <w:r w:rsidR="00877F6F">
        <w:rPr>
          <w:lang w:val="en-AU"/>
        </w:rPr>
        <w:t>.</w:t>
      </w:r>
    </w:p>
    <w:p w14:paraId="5EA484D5" w14:textId="77777777" w:rsidR="00CE471E" w:rsidRPr="00CE471E" w:rsidRDefault="00FA0CC4" w:rsidP="00CE471E">
      <w:pPr>
        <w:suppressAutoHyphens w:val="0"/>
        <w:spacing w:before="0" w:after="120" w:line="240" w:lineRule="auto"/>
        <w:rPr>
          <w:lang w:val="en-AU"/>
        </w:rPr>
      </w:pPr>
      <w:r w:rsidRPr="00FA0CC4">
        <w:rPr>
          <w:lang w:val="en-AU"/>
        </w:rPr>
        <w:t xml:space="preserve">This Policy </w:t>
      </w:r>
      <w:r>
        <w:rPr>
          <w:lang w:val="en-AU"/>
        </w:rPr>
        <w:t>addresses</w:t>
      </w:r>
      <w:r w:rsidRPr="00FA0CC4">
        <w:rPr>
          <w:lang w:val="en-AU"/>
        </w:rPr>
        <w:t xml:space="preserve"> the sexual exploitation, a</w:t>
      </w:r>
      <w:r>
        <w:rPr>
          <w:lang w:val="en-AU"/>
        </w:rPr>
        <w:t xml:space="preserve">buse and harassment of adults. </w:t>
      </w:r>
      <w:r w:rsidRPr="00FA0CC4">
        <w:rPr>
          <w:lang w:val="en-AU"/>
        </w:rPr>
        <w:t xml:space="preserve">It does not replace DFAT’s Child Protection Policy. The Child Protection Policy can be found at </w:t>
      </w:r>
      <w:hyperlink r:id="rId9" w:history="1">
        <w:r w:rsidRPr="005F0A7F">
          <w:rPr>
            <w:rStyle w:val="Hyperlink"/>
            <w:lang w:val="en-AU"/>
          </w:rPr>
          <w:t>www.dfat.gov.au/childprotection</w:t>
        </w:r>
      </w:hyperlink>
      <w:r>
        <w:rPr>
          <w:lang w:val="en-AU"/>
        </w:rPr>
        <w:t xml:space="preserve"> a</w:t>
      </w:r>
      <w:r w:rsidRPr="00FA0CC4">
        <w:rPr>
          <w:lang w:val="en-AU"/>
        </w:rPr>
        <w:t xml:space="preserve">nd details what DFAT officers and partners are required to do in circumstances where a child is being abused, is suspected of being abused, or is at risk of abuse.  </w:t>
      </w:r>
    </w:p>
    <w:p w14:paraId="6888C44E" w14:textId="77777777" w:rsidR="00B462C3" w:rsidRDefault="00BB3D26" w:rsidP="00DC184B">
      <w:pPr>
        <w:pStyle w:val="Heading2"/>
        <w:numPr>
          <w:ilvl w:val="0"/>
          <w:numId w:val="8"/>
        </w:numPr>
        <w:rPr>
          <w:lang w:val="en-AU"/>
        </w:rPr>
      </w:pPr>
      <w:bookmarkStart w:id="3" w:name="_Toc532567371"/>
      <w:bookmarkStart w:id="4" w:name="Scope"/>
      <w:bookmarkEnd w:id="3"/>
      <w:r>
        <w:rPr>
          <w:lang w:val="en-AU"/>
        </w:rPr>
        <w:t>scope</w:t>
      </w:r>
    </w:p>
    <w:bookmarkEnd w:id="4"/>
    <w:p w14:paraId="61DFD7E0" w14:textId="77777777" w:rsidR="00B33AA1" w:rsidRDefault="00BB522D" w:rsidP="00BB3D26">
      <w:pPr>
        <w:suppressAutoHyphens w:val="0"/>
        <w:spacing w:before="0" w:after="120" w:line="240" w:lineRule="auto"/>
        <w:rPr>
          <w:lang w:val="en-AU"/>
        </w:rPr>
      </w:pPr>
      <w:r>
        <w:rPr>
          <w:lang w:val="en-AU"/>
        </w:rPr>
        <w:t xml:space="preserve">There are </w:t>
      </w:r>
      <w:r w:rsidR="00EE6203">
        <w:rPr>
          <w:lang w:val="en-AU"/>
        </w:rPr>
        <w:t>four</w:t>
      </w:r>
      <w:r>
        <w:rPr>
          <w:lang w:val="en-AU"/>
        </w:rPr>
        <w:t xml:space="preserve"> groups in </w:t>
      </w:r>
      <w:r w:rsidR="005A6A35">
        <w:rPr>
          <w:lang w:val="en-AU"/>
        </w:rPr>
        <w:t>p</w:t>
      </w:r>
      <w:r w:rsidR="00057D73">
        <w:rPr>
          <w:lang w:val="en-AU"/>
        </w:rPr>
        <w:t xml:space="preserve">olicy </w:t>
      </w:r>
      <w:r>
        <w:rPr>
          <w:lang w:val="en-AU"/>
        </w:rPr>
        <w:t xml:space="preserve">scope: </w:t>
      </w:r>
    </w:p>
    <w:p w14:paraId="636989A9" w14:textId="77777777" w:rsidR="00864F7B" w:rsidRPr="00BB522D" w:rsidRDefault="00864F7B" w:rsidP="00DC184B">
      <w:pPr>
        <w:pStyle w:val="ListParagraph"/>
        <w:numPr>
          <w:ilvl w:val="0"/>
          <w:numId w:val="13"/>
        </w:numPr>
        <w:suppressAutoHyphens w:val="0"/>
        <w:spacing w:before="0" w:after="120" w:line="240" w:lineRule="auto"/>
        <w:rPr>
          <w:lang w:val="en-AU"/>
        </w:rPr>
      </w:pPr>
      <w:r w:rsidRPr="00DA3EDC">
        <w:rPr>
          <w:b/>
          <w:lang w:val="en-AU"/>
        </w:rPr>
        <w:t>DFAT staff</w:t>
      </w:r>
      <w:r w:rsidR="00C13E3D" w:rsidRPr="00BB522D">
        <w:rPr>
          <w:lang w:val="en-AU"/>
        </w:rPr>
        <w:t xml:space="preserve">, </w:t>
      </w:r>
      <w:r w:rsidR="00AB37F9">
        <w:rPr>
          <w:lang w:val="en-AU"/>
        </w:rPr>
        <w:t>specifically</w:t>
      </w:r>
      <w:r w:rsidR="006F28E2" w:rsidRPr="00BB522D">
        <w:rPr>
          <w:lang w:val="en-AU"/>
        </w:rPr>
        <w:t>:</w:t>
      </w:r>
    </w:p>
    <w:p w14:paraId="62D2F7B4" w14:textId="77777777" w:rsidR="00864F7B" w:rsidRPr="00C13E3D" w:rsidRDefault="00C13E3D" w:rsidP="00DC184B">
      <w:pPr>
        <w:pStyle w:val="ListParagraph"/>
        <w:numPr>
          <w:ilvl w:val="0"/>
          <w:numId w:val="11"/>
        </w:numPr>
        <w:suppressAutoHyphens w:val="0"/>
        <w:spacing w:before="0" w:after="120" w:line="240" w:lineRule="auto"/>
        <w:rPr>
          <w:i/>
          <w:lang w:val="en-AU"/>
        </w:rPr>
      </w:pPr>
      <w:r>
        <w:rPr>
          <w:lang w:val="en-AU"/>
        </w:rPr>
        <w:t xml:space="preserve">DFAT </w:t>
      </w:r>
      <w:r w:rsidR="004327EA">
        <w:rPr>
          <w:lang w:val="en-AU"/>
        </w:rPr>
        <w:t>employees engaged pursuant to</w:t>
      </w:r>
      <w:r>
        <w:rPr>
          <w:lang w:val="en-AU"/>
        </w:rPr>
        <w:t xml:space="preserve"> the </w:t>
      </w:r>
      <w:r w:rsidRPr="00C13E3D">
        <w:rPr>
          <w:i/>
          <w:lang w:val="en-AU"/>
        </w:rPr>
        <w:t>Public Service Act 1999</w:t>
      </w:r>
    </w:p>
    <w:p w14:paraId="52759007" w14:textId="77777777" w:rsidR="00ED5E6F" w:rsidRDefault="00ED5E6F" w:rsidP="00DC184B">
      <w:pPr>
        <w:pStyle w:val="ListParagraph"/>
        <w:numPr>
          <w:ilvl w:val="0"/>
          <w:numId w:val="11"/>
        </w:numPr>
        <w:suppressAutoHyphens w:val="0"/>
        <w:spacing w:before="0" w:after="120" w:line="240" w:lineRule="auto"/>
        <w:rPr>
          <w:lang w:val="en-AU"/>
        </w:rPr>
      </w:pPr>
      <w:r w:rsidRPr="003F33F4">
        <w:rPr>
          <w:lang w:val="en-AU"/>
        </w:rPr>
        <w:t>Locally engaged staff</w:t>
      </w:r>
      <w:r w:rsidR="004327EA">
        <w:rPr>
          <w:lang w:val="en-AU"/>
        </w:rPr>
        <w:t xml:space="preserve"> (LES) employed outside Australia</w:t>
      </w:r>
    </w:p>
    <w:p w14:paraId="03233C01" w14:textId="77777777" w:rsidR="00331484" w:rsidRDefault="004327EA" w:rsidP="00DC184B">
      <w:pPr>
        <w:pStyle w:val="ListParagraph"/>
        <w:numPr>
          <w:ilvl w:val="0"/>
          <w:numId w:val="11"/>
        </w:numPr>
        <w:suppressAutoHyphens w:val="0"/>
        <w:spacing w:before="0" w:after="120" w:line="240" w:lineRule="auto"/>
        <w:rPr>
          <w:lang w:val="en-AU"/>
        </w:rPr>
      </w:pPr>
      <w:r>
        <w:rPr>
          <w:lang w:val="en-AU"/>
        </w:rPr>
        <w:t>Independent contractors working in DFAT.</w:t>
      </w:r>
    </w:p>
    <w:p w14:paraId="79C1B592" w14:textId="77777777" w:rsidR="00BB522D" w:rsidRPr="00F71E04" w:rsidRDefault="00FC6600" w:rsidP="00D26327">
      <w:pPr>
        <w:suppressAutoHyphens w:val="0"/>
        <w:spacing w:afterLines="60" w:after="144" w:line="240" w:lineRule="auto"/>
        <w:rPr>
          <w:lang w:val="en-AU"/>
        </w:rPr>
      </w:pPr>
      <w:r>
        <w:rPr>
          <w:lang w:val="en-AU"/>
        </w:rPr>
        <w:t xml:space="preserve">DFAT </w:t>
      </w:r>
      <w:r w:rsidR="004D62F7">
        <w:rPr>
          <w:lang w:val="en-AU"/>
        </w:rPr>
        <w:t xml:space="preserve">staff are </w:t>
      </w:r>
      <w:r w:rsidR="007C15C7">
        <w:rPr>
          <w:lang w:val="en-AU"/>
        </w:rPr>
        <w:t xml:space="preserve">expected to </w:t>
      </w:r>
      <w:r w:rsidR="00D26327">
        <w:rPr>
          <w:lang w:val="en-AU"/>
        </w:rPr>
        <w:t>comply with the principles and reporting requirements specified in this</w:t>
      </w:r>
      <w:r w:rsidR="007C15C7">
        <w:rPr>
          <w:lang w:val="en-AU"/>
        </w:rPr>
        <w:t xml:space="preserve"> Policy</w:t>
      </w:r>
      <w:r w:rsidR="00D26327">
        <w:rPr>
          <w:lang w:val="en-AU"/>
        </w:rPr>
        <w:t xml:space="preserve">. </w:t>
      </w:r>
      <w:r w:rsidR="007C15C7">
        <w:rPr>
          <w:lang w:val="en-AU"/>
        </w:rPr>
        <w:t xml:space="preserve">DFAT staff are </w:t>
      </w:r>
      <w:r>
        <w:rPr>
          <w:lang w:val="en-AU"/>
        </w:rPr>
        <w:t xml:space="preserve">reminded of </w:t>
      </w:r>
      <w:r w:rsidR="00AB37F9">
        <w:rPr>
          <w:lang w:val="en-AU"/>
        </w:rPr>
        <w:t>other</w:t>
      </w:r>
      <w:r>
        <w:rPr>
          <w:lang w:val="en-AU"/>
        </w:rPr>
        <w:t xml:space="preserve"> obligations</w:t>
      </w:r>
      <w:r w:rsidR="004327EA">
        <w:rPr>
          <w:lang w:val="en-AU"/>
        </w:rPr>
        <w:t xml:space="preserve"> which may apply to them, including the</w:t>
      </w:r>
      <w:r w:rsidR="004D62F7">
        <w:rPr>
          <w:lang w:val="en-AU"/>
        </w:rPr>
        <w:t xml:space="preserve"> </w:t>
      </w:r>
      <w:r w:rsidR="004D62F7" w:rsidRPr="005A6A35">
        <w:rPr>
          <w:i/>
          <w:lang w:val="en-AU"/>
        </w:rPr>
        <w:t xml:space="preserve">Australian Public Service </w:t>
      </w:r>
      <w:r w:rsidR="005A6A35" w:rsidRPr="005A6A35">
        <w:rPr>
          <w:i/>
          <w:lang w:val="en-AU"/>
        </w:rPr>
        <w:t xml:space="preserve">(APS) </w:t>
      </w:r>
      <w:r w:rsidR="00BA5B7A" w:rsidRPr="005A6A35">
        <w:rPr>
          <w:i/>
          <w:lang w:val="en-AU"/>
        </w:rPr>
        <w:t>Values</w:t>
      </w:r>
      <w:r w:rsidR="00BA5B7A">
        <w:rPr>
          <w:lang w:val="en-AU"/>
        </w:rPr>
        <w:t xml:space="preserve"> and</w:t>
      </w:r>
      <w:r w:rsidR="005A6A35">
        <w:rPr>
          <w:lang w:val="en-AU"/>
        </w:rPr>
        <w:t xml:space="preserve"> </w:t>
      </w:r>
      <w:r w:rsidR="005A6A35" w:rsidRPr="005A6A35">
        <w:rPr>
          <w:i/>
          <w:lang w:val="en-AU"/>
        </w:rPr>
        <w:t>APS</w:t>
      </w:r>
      <w:r w:rsidR="00BA5B7A" w:rsidRPr="005A6A35">
        <w:rPr>
          <w:i/>
          <w:lang w:val="en-AU"/>
        </w:rPr>
        <w:t xml:space="preserve"> </w:t>
      </w:r>
      <w:r w:rsidR="004D62F7" w:rsidRPr="005A6A35">
        <w:rPr>
          <w:i/>
          <w:lang w:val="en-AU"/>
        </w:rPr>
        <w:t>Code of Conduct</w:t>
      </w:r>
      <w:r w:rsidR="009123DB">
        <w:rPr>
          <w:lang w:val="en-AU"/>
        </w:rPr>
        <w:t>,</w:t>
      </w:r>
      <w:r w:rsidR="00BA5B7A" w:rsidRPr="00BA5B7A">
        <w:t xml:space="preserve"> </w:t>
      </w:r>
      <w:r w:rsidR="00BA5B7A">
        <w:t xml:space="preserve">the </w:t>
      </w:r>
      <w:r w:rsidR="00BA5B7A" w:rsidRPr="005A6A35">
        <w:rPr>
          <w:i/>
        </w:rPr>
        <w:t>DFAT Code of Conduct for Overseas Service</w:t>
      </w:r>
      <w:r w:rsidR="00BA5B7A">
        <w:t>,</w:t>
      </w:r>
      <w:r w:rsidR="00BA5B7A" w:rsidRPr="00BA5B7A">
        <w:t xml:space="preserve"> </w:t>
      </w:r>
      <w:r w:rsidR="0041385A">
        <w:t>the</w:t>
      </w:r>
      <w:r w:rsidR="004327EA">
        <w:t xml:space="preserve"> applicable</w:t>
      </w:r>
      <w:r w:rsidR="0041385A">
        <w:t xml:space="preserve"> </w:t>
      </w:r>
      <w:r w:rsidR="0041385A" w:rsidRPr="005A6A35">
        <w:rPr>
          <w:i/>
        </w:rPr>
        <w:t>LES Code of Conduct</w:t>
      </w:r>
      <w:r w:rsidR="0041385A">
        <w:t xml:space="preserve">, </w:t>
      </w:r>
      <w:r w:rsidR="00BA5B7A">
        <w:t xml:space="preserve">the </w:t>
      </w:r>
      <w:r w:rsidR="00BA5B7A" w:rsidRPr="005A6A35">
        <w:rPr>
          <w:i/>
          <w:lang w:val="en-AU"/>
        </w:rPr>
        <w:t>DFAT Conduct and Ethics Manual</w:t>
      </w:r>
      <w:r w:rsidR="00BA5B7A">
        <w:rPr>
          <w:lang w:val="en-AU"/>
        </w:rPr>
        <w:t>,</w:t>
      </w:r>
      <w:r w:rsidR="004D62F7">
        <w:rPr>
          <w:lang w:val="en-AU"/>
        </w:rPr>
        <w:t xml:space="preserve"> and </w:t>
      </w:r>
      <w:r w:rsidR="00BA5B7A" w:rsidRPr="005A6A35">
        <w:rPr>
          <w:i/>
          <w:lang w:val="en-AU"/>
        </w:rPr>
        <w:t>DFAT’s</w:t>
      </w:r>
      <w:r w:rsidR="00F71E04" w:rsidRPr="005A6A35">
        <w:rPr>
          <w:i/>
          <w:lang w:val="en-AU"/>
        </w:rPr>
        <w:t xml:space="preserve"> </w:t>
      </w:r>
      <w:r w:rsidR="00F46ADD" w:rsidRPr="005A6A35">
        <w:rPr>
          <w:i/>
          <w:lang w:val="en-AU"/>
        </w:rPr>
        <w:t>Anti</w:t>
      </w:r>
      <w:r w:rsidR="009123DB" w:rsidRPr="005A6A35">
        <w:rPr>
          <w:i/>
          <w:lang w:val="en-AU"/>
        </w:rPr>
        <w:t>-</w:t>
      </w:r>
      <w:r w:rsidR="00F46ADD" w:rsidRPr="005A6A35">
        <w:rPr>
          <w:i/>
          <w:lang w:val="en-AU"/>
        </w:rPr>
        <w:t>bullying, Harass</w:t>
      </w:r>
      <w:r w:rsidR="009123DB" w:rsidRPr="005A6A35">
        <w:rPr>
          <w:i/>
          <w:lang w:val="en-AU"/>
        </w:rPr>
        <w:t>ment and Discrimination Policy</w:t>
      </w:r>
      <w:r w:rsidR="00F46ADD">
        <w:rPr>
          <w:lang w:val="en-AU"/>
        </w:rPr>
        <w:t>.</w:t>
      </w:r>
    </w:p>
    <w:p w14:paraId="175F9FA0" w14:textId="77777777" w:rsidR="00864F7B" w:rsidRPr="00BB522D" w:rsidRDefault="00971FA7" w:rsidP="00DC184B">
      <w:pPr>
        <w:pStyle w:val="ListParagraph"/>
        <w:numPr>
          <w:ilvl w:val="0"/>
          <w:numId w:val="13"/>
        </w:numPr>
        <w:suppressAutoHyphens w:val="0"/>
        <w:spacing w:afterLines="60" w:after="144" w:line="240" w:lineRule="auto"/>
        <w:rPr>
          <w:lang w:val="en-AU"/>
        </w:rPr>
      </w:pPr>
      <w:r w:rsidRPr="00971FA7">
        <w:rPr>
          <w:b/>
          <w:lang w:val="en-AU"/>
        </w:rPr>
        <w:t>DFAT p</w:t>
      </w:r>
      <w:r w:rsidR="00C37CF2" w:rsidRPr="00971FA7">
        <w:rPr>
          <w:b/>
          <w:lang w:val="en-AU"/>
        </w:rPr>
        <w:t>artners</w:t>
      </w:r>
      <w:r w:rsidR="00C37CF2">
        <w:rPr>
          <w:lang w:val="en-AU"/>
        </w:rPr>
        <w:t xml:space="preserve"> </w:t>
      </w:r>
      <w:r w:rsidR="00BB76C5">
        <w:rPr>
          <w:lang w:val="en-AU"/>
        </w:rPr>
        <w:t>who</w:t>
      </w:r>
      <w:r w:rsidR="00C37CF2">
        <w:rPr>
          <w:lang w:val="en-AU"/>
        </w:rPr>
        <w:t xml:space="preserve"> have agreements in place with DFAT</w:t>
      </w:r>
      <w:r w:rsidR="00F33ABA">
        <w:rPr>
          <w:lang w:val="en-AU"/>
        </w:rPr>
        <w:t xml:space="preserve"> (funded and unfunded). </w:t>
      </w:r>
      <w:r w:rsidR="00C13E3D" w:rsidRPr="00BB522D">
        <w:rPr>
          <w:lang w:val="en-AU"/>
        </w:rPr>
        <w:t xml:space="preserve">This </w:t>
      </w:r>
      <w:r w:rsidR="00C37CF2">
        <w:rPr>
          <w:lang w:val="en-AU"/>
        </w:rPr>
        <w:t>includes, but is not limited to</w:t>
      </w:r>
      <w:r w:rsidR="00C13E3D" w:rsidRPr="00BB522D">
        <w:rPr>
          <w:lang w:val="en-AU"/>
        </w:rPr>
        <w:t>:</w:t>
      </w:r>
    </w:p>
    <w:p w14:paraId="4A7B71CD" w14:textId="77777777" w:rsidR="00877F6F" w:rsidRPr="00952768" w:rsidRDefault="00877F6F" w:rsidP="00DC184B">
      <w:pPr>
        <w:pStyle w:val="ListParagraph"/>
        <w:numPr>
          <w:ilvl w:val="0"/>
          <w:numId w:val="10"/>
        </w:numPr>
        <w:suppressAutoHyphens w:val="0"/>
        <w:spacing w:afterLines="60" w:after="144" w:line="240" w:lineRule="auto"/>
        <w:rPr>
          <w:lang w:val="en-AU"/>
        </w:rPr>
      </w:pPr>
      <w:r w:rsidRPr="00952768">
        <w:rPr>
          <w:lang w:val="en-AU"/>
        </w:rPr>
        <w:t>Contractors</w:t>
      </w:r>
      <w:r w:rsidR="00BB522D">
        <w:rPr>
          <w:lang w:val="en-AU"/>
        </w:rPr>
        <w:t xml:space="preserve"> and their personnel</w:t>
      </w:r>
    </w:p>
    <w:p w14:paraId="7CC9938B" w14:textId="77777777" w:rsidR="00877F6F" w:rsidRDefault="00877F6F" w:rsidP="00DC184B">
      <w:pPr>
        <w:pStyle w:val="ListParagraph"/>
        <w:numPr>
          <w:ilvl w:val="0"/>
          <w:numId w:val="10"/>
        </w:numPr>
        <w:suppressAutoHyphens w:val="0"/>
        <w:spacing w:afterLines="60" w:after="144" w:line="240" w:lineRule="auto"/>
        <w:rPr>
          <w:lang w:val="en-AU"/>
        </w:rPr>
      </w:pPr>
      <w:r w:rsidRPr="00952768">
        <w:rPr>
          <w:lang w:val="en-AU"/>
        </w:rPr>
        <w:t>Consultants, advisors and contracted individuals</w:t>
      </w:r>
    </w:p>
    <w:p w14:paraId="5C2E460A" w14:textId="77777777" w:rsidR="00877F6F" w:rsidRDefault="0004544F" w:rsidP="00DC184B">
      <w:pPr>
        <w:pStyle w:val="ListParagraph"/>
        <w:numPr>
          <w:ilvl w:val="0"/>
          <w:numId w:val="10"/>
        </w:numPr>
        <w:suppressAutoHyphens w:val="0"/>
        <w:spacing w:afterLines="60" w:after="144" w:line="240" w:lineRule="auto"/>
        <w:rPr>
          <w:lang w:val="en-AU"/>
        </w:rPr>
      </w:pPr>
      <w:r>
        <w:rPr>
          <w:lang w:val="en-AU"/>
        </w:rPr>
        <w:t>Non-g</w:t>
      </w:r>
      <w:r w:rsidR="00877F6F" w:rsidRPr="00952768">
        <w:rPr>
          <w:lang w:val="en-AU"/>
        </w:rPr>
        <w:t>overnment a</w:t>
      </w:r>
      <w:r w:rsidR="006432AA">
        <w:rPr>
          <w:lang w:val="en-AU"/>
        </w:rPr>
        <w:t>nd civil society organisations</w:t>
      </w:r>
      <w:r w:rsidR="00877F6F" w:rsidRPr="00952768">
        <w:rPr>
          <w:lang w:val="en-AU"/>
        </w:rPr>
        <w:t xml:space="preserve"> </w:t>
      </w:r>
    </w:p>
    <w:p w14:paraId="7641C1ED" w14:textId="77777777" w:rsidR="00AB37F9" w:rsidRDefault="00AB37F9" w:rsidP="00DC184B">
      <w:pPr>
        <w:pStyle w:val="ListParagraph"/>
        <w:numPr>
          <w:ilvl w:val="0"/>
          <w:numId w:val="10"/>
        </w:numPr>
        <w:suppressAutoHyphens w:val="0"/>
        <w:spacing w:afterLines="60" w:after="144" w:line="240" w:lineRule="auto"/>
        <w:rPr>
          <w:lang w:val="en-AU"/>
        </w:rPr>
      </w:pPr>
      <w:r>
        <w:rPr>
          <w:lang w:val="en-AU"/>
        </w:rPr>
        <w:t>Sponsorship partners</w:t>
      </w:r>
    </w:p>
    <w:p w14:paraId="53B98833" w14:textId="77777777" w:rsidR="00551631" w:rsidRPr="00BA5B7A" w:rsidRDefault="00551631" w:rsidP="00DC184B">
      <w:pPr>
        <w:pStyle w:val="ListParagraph"/>
        <w:numPr>
          <w:ilvl w:val="0"/>
          <w:numId w:val="10"/>
        </w:numPr>
        <w:suppressAutoHyphens w:val="0"/>
        <w:spacing w:afterLines="60" w:after="144" w:line="240" w:lineRule="auto"/>
        <w:rPr>
          <w:lang w:val="en-AU"/>
        </w:rPr>
      </w:pPr>
      <w:r w:rsidRPr="00BA5B7A">
        <w:rPr>
          <w:lang w:val="en-AU"/>
        </w:rPr>
        <w:t>Board members</w:t>
      </w:r>
    </w:p>
    <w:p w14:paraId="0FAAE3F9" w14:textId="77777777" w:rsidR="00877F6F" w:rsidRPr="00952768" w:rsidRDefault="005A6A35" w:rsidP="00DC184B">
      <w:pPr>
        <w:pStyle w:val="ListParagraph"/>
        <w:numPr>
          <w:ilvl w:val="0"/>
          <w:numId w:val="10"/>
        </w:numPr>
        <w:suppressAutoHyphens w:val="0"/>
        <w:spacing w:afterLines="60" w:after="144" w:line="240" w:lineRule="auto"/>
        <w:rPr>
          <w:lang w:val="en-AU"/>
        </w:rPr>
      </w:pPr>
      <w:r>
        <w:rPr>
          <w:lang w:val="en-AU"/>
        </w:rPr>
        <w:t>Australian Volunteers P</w:t>
      </w:r>
      <w:r w:rsidR="00877F6F" w:rsidRPr="00952768">
        <w:rPr>
          <w:lang w:val="en-AU"/>
        </w:rPr>
        <w:t xml:space="preserve">rogram participants and host organisations </w:t>
      </w:r>
    </w:p>
    <w:p w14:paraId="29F879F6" w14:textId="77777777" w:rsidR="00877F6F" w:rsidRDefault="00877F6F" w:rsidP="00DC184B">
      <w:pPr>
        <w:pStyle w:val="ListParagraph"/>
        <w:numPr>
          <w:ilvl w:val="0"/>
          <w:numId w:val="10"/>
        </w:numPr>
        <w:suppressAutoHyphens w:val="0"/>
        <w:spacing w:afterLines="60" w:after="144" w:line="240" w:lineRule="auto"/>
        <w:rPr>
          <w:lang w:val="en-AU"/>
        </w:rPr>
      </w:pPr>
      <w:r w:rsidRPr="00952768">
        <w:rPr>
          <w:lang w:val="en-AU"/>
        </w:rPr>
        <w:t xml:space="preserve">Recipients and awardees under the Australia Awards, New Colombo Plan, </w:t>
      </w:r>
      <w:r w:rsidR="00036AED">
        <w:rPr>
          <w:lang w:val="en-AU"/>
        </w:rPr>
        <w:t xml:space="preserve">Alumni, </w:t>
      </w:r>
      <w:r w:rsidRPr="00952768">
        <w:rPr>
          <w:lang w:val="en-AU"/>
        </w:rPr>
        <w:t xml:space="preserve">and other </w:t>
      </w:r>
      <w:r w:rsidR="000F5A9F">
        <w:rPr>
          <w:lang w:val="en-AU"/>
        </w:rPr>
        <w:t xml:space="preserve">DFAT funded </w:t>
      </w:r>
      <w:r w:rsidRPr="00952768">
        <w:rPr>
          <w:lang w:val="en-AU"/>
        </w:rPr>
        <w:t>scholarship programs</w:t>
      </w:r>
    </w:p>
    <w:p w14:paraId="3C6B962E" w14:textId="77777777" w:rsidR="00675872" w:rsidRDefault="00675872" w:rsidP="00DC184B">
      <w:pPr>
        <w:pStyle w:val="ListParagraph"/>
        <w:numPr>
          <w:ilvl w:val="0"/>
          <w:numId w:val="10"/>
        </w:numPr>
        <w:suppressAutoHyphens w:val="0"/>
        <w:spacing w:afterLines="60" w:after="144" w:line="240" w:lineRule="auto"/>
        <w:rPr>
          <w:lang w:val="en-AU"/>
        </w:rPr>
      </w:pPr>
      <w:r>
        <w:rPr>
          <w:lang w:val="en-AU"/>
        </w:rPr>
        <w:t>Seconded staff to and from DFAT</w:t>
      </w:r>
    </w:p>
    <w:p w14:paraId="066D24F4" w14:textId="77777777" w:rsidR="00877F6F" w:rsidRDefault="00877F6F" w:rsidP="00EE6203">
      <w:pPr>
        <w:pStyle w:val="ListParagraph"/>
        <w:numPr>
          <w:ilvl w:val="0"/>
          <w:numId w:val="10"/>
        </w:numPr>
        <w:suppressAutoHyphens w:val="0"/>
        <w:spacing w:afterLines="60" w:after="144" w:line="240" w:lineRule="auto"/>
        <w:rPr>
          <w:lang w:val="en-AU"/>
        </w:rPr>
      </w:pPr>
      <w:r w:rsidRPr="00EE6203">
        <w:rPr>
          <w:lang w:val="en-AU"/>
        </w:rPr>
        <w:t>DFAT grant recipients, including under the Australian NGO Cooperation Program (A</w:t>
      </w:r>
      <w:r w:rsidR="000F7346">
        <w:rPr>
          <w:lang w:val="en-AU"/>
        </w:rPr>
        <w:t>NCP), Direct Aid Program (DAP)</w:t>
      </w:r>
      <w:r w:rsidRPr="00EE6203">
        <w:rPr>
          <w:lang w:val="en-AU"/>
        </w:rPr>
        <w:t xml:space="preserve">, </w:t>
      </w:r>
      <w:r w:rsidR="00AB37F9">
        <w:rPr>
          <w:lang w:val="en-AU"/>
        </w:rPr>
        <w:t xml:space="preserve">Sports </w:t>
      </w:r>
      <w:r w:rsidR="00936405">
        <w:rPr>
          <w:lang w:val="en-AU"/>
        </w:rPr>
        <w:t>Diplomacy programs</w:t>
      </w:r>
      <w:r w:rsidR="00AB37F9">
        <w:rPr>
          <w:lang w:val="en-AU"/>
        </w:rPr>
        <w:t xml:space="preserve">, public diplomacy programs (including funding to </w:t>
      </w:r>
      <w:r w:rsidR="00057D73">
        <w:rPr>
          <w:lang w:val="en-AU"/>
        </w:rPr>
        <w:t>F</w:t>
      </w:r>
      <w:r w:rsidR="00AB37F9">
        <w:rPr>
          <w:lang w:val="en-AU"/>
        </w:rPr>
        <w:t xml:space="preserve">oundations, </w:t>
      </w:r>
      <w:r w:rsidR="00057D73">
        <w:rPr>
          <w:lang w:val="en-AU"/>
        </w:rPr>
        <w:t>C</w:t>
      </w:r>
      <w:r w:rsidR="00AB37F9">
        <w:rPr>
          <w:lang w:val="en-AU"/>
        </w:rPr>
        <w:t xml:space="preserve">ouncils and </w:t>
      </w:r>
      <w:r w:rsidR="005A6A35">
        <w:rPr>
          <w:lang w:val="en-AU"/>
        </w:rPr>
        <w:t>I</w:t>
      </w:r>
      <w:r w:rsidR="00AB37F9">
        <w:rPr>
          <w:lang w:val="en-AU"/>
        </w:rPr>
        <w:t>nstitutes)</w:t>
      </w:r>
      <w:r w:rsidR="0065528F">
        <w:rPr>
          <w:lang w:val="en-AU"/>
        </w:rPr>
        <w:t>,</w:t>
      </w:r>
      <w:r w:rsidR="00AB37F9">
        <w:rPr>
          <w:lang w:val="en-AU"/>
        </w:rPr>
        <w:t xml:space="preserve"> </w:t>
      </w:r>
      <w:r w:rsidR="00950544" w:rsidRPr="00EE6203">
        <w:rPr>
          <w:lang w:val="en-AU"/>
        </w:rPr>
        <w:t xml:space="preserve">and </w:t>
      </w:r>
      <w:r w:rsidRPr="00EE6203">
        <w:rPr>
          <w:lang w:val="en-AU"/>
        </w:rPr>
        <w:t>Friendship Grants</w:t>
      </w:r>
      <w:r w:rsidR="005A6A35">
        <w:rPr>
          <w:lang w:val="en-AU"/>
        </w:rPr>
        <w:t>.</w:t>
      </w:r>
    </w:p>
    <w:p w14:paraId="242F47A2" w14:textId="77777777" w:rsidR="005861BF" w:rsidRPr="005861BF" w:rsidRDefault="005861BF" w:rsidP="005861BF">
      <w:pPr>
        <w:suppressAutoHyphens w:val="0"/>
        <w:spacing w:afterLines="60" w:after="144" w:line="240" w:lineRule="auto"/>
        <w:rPr>
          <w:lang w:val="en-AU"/>
        </w:rPr>
      </w:pPr>
      <w:r>
        <w:rPr>
          <w:lang w:val="en-AU"/>
        </w:rPr>
        <w:t xml:space="preserve">These groups are expected to </w:t>
      </w:r>
      <w:r w:rsidRPr="00936405">
        <w:rPr>
          <w:b/>
          <w:lang w:val="en-AU"/>
        </w:rPr>
        <w:t>apply the Policy commensurate with the level of SEAH risk</w:t>
      </w:r>
      <w:r>
        <w:rPr>
          <w:lang w:val="en-AU"/>
        </w:rPr>
        <w:t xml:space="preserve"> associated with </w:t>
      </w:r>
      <w:r w:rsidR="00D26327">
        <w:rPr>
          <w:lang w:val="en-AU"/>
        </w:rPr>
        <w:t>the activity and their organisation</w:t>
      </w:r>
      <w:r>
        <w:rPr>
          <w:lang w:val="en-AU"/>
        </w:rPr>
        <w:t xml:space="preserve">. More information is provided in </w:t>
      </w:r>
      <w:r w:rsidRPr="005861BF">
        <w:rPr>
          <w:i/>
          <w:lang w:val="en-AU"/>
        </w:rPr>
        <w:t xml:space="preserve">Section </w:t>
      </w:r>
      <w:r w:rsidR="009603BD">
        <w:rPr>
          <w:i/>
          <w:lang w:val="en-AU"/>
        </w:rPr>
        <w:t>4</w:t>
      </w:r>
      <w:r w:rsidRPr="005861BF">
        <w:rPr>
          <w:i/>
          <w:lang w:val="en-AU"/>
        </w:rPr>
        <w:t xml:space="preserve"> </w:t>
      </w:r>
      <w:r w:rsidR="004E1F73">
        <w:rPr>
          <w:lang w:val="en-AU"/>
        </w:rPr>
        <w:t>—</w:t>
      </w:r>
      <w:r w:rsidRPr="005861BF">
        <w:rPr>
          <w:i/>
          <w:lang w:val="en-AU"/>
        </w:rPr>
        <w:t xml:space="preserve"> Risk </w:t>
      </w:r>
      <w:r w:rsidR="009F249A">
        <w:rPr>
          <w:i/>
          <w:lang w:val="en-AU"/>
        </w:rPr>
        <w:t>assessment.</w:t>
      </w:r>
    </w:p>
    <w:p w14:paraId="44DBE506" w14:textId="77777777" w:rsidR="00EE6203" w:rsidRPr="005861BF" w:rsidRDefault="005861BF" w:rsidP="005861BF">
      <w:pPr>
        <w:pStyle w:val="ListParagraph"/>
        <w:numPr>
          <w:ilvl w:val="0"/>
          <w:numId w:val="13"/>
        </w:numPr>
        <w:suppressAutoHyphens w:val="0"/>
        <w:spacing w:afterLines="60" w:after="144" w:line="240" w:lineRule="auto"/>
        <w:rPr>
          <w:lang w:val="en-AU"/>
        </w:rPr>
      </w:pPr>
      <w:r w:rsidRPr="00971FA7">
        <w:rPr>
          <w:b/>
          <w:lang w:val="en-AU"/>
        </w:rPr>
        <w:t>Partner governments and multilateral organisations</w:t>
      </w:r>
      <w:r w:rsidR="007C15C7">
        <w:rPr>
          <w:lang w:val="en-AU"/>
        </w:rPr>
        <w:t>:</w:t>
      </w:r>
    </w:p>
    <w:p w14:paraId="42EDE27C" w14:textId="77777777" w:rsidR="000F5A9F" w:rsidRDefault="00ED5E6F" w:rsidP="00DC184B">
      <w:pPr>
        <w:pStyle w:val="ListParagraph"/>
        <w:numPr>
          <w:ilvl w:val="0"/>
          <w:numId w:val="10"/>
        </w:numPr>
        <w:suppressAutoHyphens w:val="0"/>
        <w:spacing w:afterLines="60" w:after="144" w:line="240" w:lineRule="auto"/>
        <w:rPr>
          <w:lang w:val="en-AU"/>
        </w:rPr>
      </w:pPr>
      <w:r>
        <w:rPr>
          <w:lang w:val="en-AU"/>
        </w:rPr>
        <w:t xml:space="preserve">Australian Government </w:t>
      </w:r>
      <w:r w:rsidR="0004544F">
        <w:rPr>
          <w:lang w:val="en-AU"/>
        </w:rPr>
        <w:t xml:space="preserve">and Australian State and Territory Government </w:t>
      </w:r>
      <w:r>
        <w:rPr>
          <w:lang w:val="en-AU"/>
        </w:rPr>
        <w:t>agencies</w:t>
      </w:r>
      <w:r w:rsidR="00BA5B7A">
        <w:rPr>
          <w:lang w:val="en-AU"/>
        </w:rPr>
        <w:t xml:space="preserve"> </w:t>
      </w:r>
      <w:r w:rsidR="00BB76C5">
        <w:rPr>
          <w:lang w:val="en-AU"/>
        </w:rPr>
        <w:t>which</w:t>
      </w:r>
      <w:r w:rsidR="0004544F">
        <w:rPr>
          <w:lang w:val="en-AU"/>
        </w:rPr>
        <w:t xml:space="preserve"> have agreements in place with DFAT (funded or unfunded)</w:t>
      </w:r>
    </w:p>
    <w:p w14:paraId="3B167794" w14:textId="77777777" w:rsidR="00ED5E6F" w:rsidRDefault="00ED5E6F" w:rsidP="00DC184B">
      <w:pPr>
        <w:pStyle w:val="ListParagraph"/>
        <w:numPr>
          <w:ilvl w:val="0"/>
          <w:numId w:val="10"/>
        </w:numPr>
        <w:suppressAutoHyphens w:val="0"/>
        <w:spacing w:afterLines="60" w:after="144" w:line="240" w:lineRule="auto"/>
        <w:rPr>
          <w:lang w:val="en-AU"/>
        </w:rPr>
      </w:pPr>
      <w:r>
        <w:rPr>
          <w:lang w:val="en-AU"/>
        </w:rPr>
        <w:t>Multilateral partners</w:t>
      </w:r>
    </w:p>
    <w:p w14:paraId="67F63C02" w14:textId="77777777" w:rsidR="00877F6F" w:rsidRDefault="006C7BB9" w:rsidP="00DC184B">
      <w:pPr>
        <w:pStyle w:val="ListParagraph"/>
        <w:numPr>
          <w:ilvl w:val="0"/>
          <w:numId w:val="10"/>
        </w:numPr>
        <w:suppressAutoHyphens w:val="0"/>
        <w:spacing w:afterLines="60" w:after="144" w:line="240" w:lineRule="auto"/>
        <w:rPr>
          <w:lang w:val="en-AU"/>
        </w:rPr>
      </w:pPr>
      <w:r>
        <w:rPr>
          <w:lang w:val="en-AU"/>
        </w:rPr>
        <w:t>Other p</w:t>
      </w:r>
      <w:r w:rsidR="00551631">
        <w:rPr>
          <w:lang w:val="en-AU"/>
        </w:rPr>
        <w:t>artner governments</w:t>
      </w:r>
      <w:r w:rsidR="005A6A35">
        <w:rPr>
          <w:lang w:val="en-AU"/>
        </w:rPr>
        <w:t>.</w:t>
      </w:r>
    </w:p>
    <w:p w14:paraId="6C69115C" w14:textId="77777777" w:rsidR="00BB522D" w:rsidRPr="007C15C7" w:rsidRDefault="005861BF" w:rsidP="007C15C7">
      <w:pPr>
        <w:suppressAutoHyphens w:val="0"/>
        <w:spacing w:afterLines="60" w:after="144" w:line="240" w:lineRule="auto"/>
        <w:rPr>
          <w:lang w:val="en-AU"/>
        </w:rPr>
      </w:pPr>
      <w:r>
        <w:rPr>
          <w:lang w:val="en-AU"/>
        </w:rPr>
        <w:t xml:space="preserve">These groups are expected to </w:t>
      </w:r>
      <w:r w:rsidRPr="00BA5B7A">
        <w:rPr>
          <w:lang w:val="en-AU"/>
        </w:rPr>
        <w:t xml:space="preserve">act in accordance </w:t>
      </w:r>
      <w:r>
        <w:rPr>
          <w:lang w:val="en-AU"/>
        </w:rPr>
        <w:t xml:space="preserve">with the </w:t>
      </w:r>
      <w:r w:rsidRPr="00BA5B7A">
        <w:rPr>
          <w:lang w:val="en-AU"/>
        </w:rPr>
        <w:t>principles</w:t>
      </w:r>
      <w:r w:rsidR="0065528F">
        <w:rPr>
          <w:lang w:val="en-AU"/>
        </w:rPr>
        <w:t xml:space="preserve"> and reporting requirements</w:t>
      </w:r>
      <w:r w:rsidRPr="00BA5B7A">
        <w:rPr>
          <w:lang w:val="en-AU"/>
        </w:rPr>
        <w:t xml:space="preserve"> outlined in this Policy. They must also abide by their own relevant policies, international declarations</w:t>
      </w:r>
      <w:r>
        <w:rPr>
          <w:lang w:val="en-AU"/>
        </w:rPr>
        <w:t>,</w:t>
      </w:r>
      <w:r w:rsidRPr="00BA5B7A">
        <w:rPr>
          <w:lang w:val="en-AU"/>
        </w:rPr>
        <w:t xml:space="preserve"> conventions, agreements and domestic legal frameworks that relate to preventing sexual exploitation, abuse and harassment.</w:t>
      </w:r>
      <w:r w:rsidRPr="00BA5B7A">
        <w:t xml:space="preserve"> Through our partnership agreements and board memberships, DFAT will </w:t>
      </w:r>
      <w:r w:rsidRPr="00BA5B7A">
        <w:lastRenderedPageBreak/>
        <w:t>ensure PSEAH is part of due diligence processes for these organisations</w:t>
      </w:r>
      <w:r>
        <w:t>, and seek assurances of their application</w:t>
      </w:r>
      <w:r w:rsidRPr="00BA5B7A">
        <w:t>.</w:t>
      </w:r>
      <w:r>
        <w:t xml:space="preserve"> </w:t>
      </w:r>
    </w:p>
    <w:p w14:paraId="15CBE133" w14:textId="77777777" w:rsidR="005861BF" w:rsidRPr="00BE6BC1" w:rsidRDefault="00BB522D" w:rsidP="00BE6BC1">
      <w:pPr>
        <w:pStyle w:val="ListParagraph"/>
        <w:numPr>
          <w:ilvl w:val="0"/>
          <w:numId w:val="13"/>
        </w:numPr>
        <w:suppressAutoHyphens w:val="0"/>
        <w:spacing w:before="0" w:afterLines="60" w:after="144" w:line="240" w:lineRule="auto"/>
        <w:ind w:left="357" w:hanging="357"/>
        <w:rPr>
          <w:lang w:val="en-AU"/>
        </w:rPr>
      </w:pPr>
      <w:r w:rsidRPr="00971FA7">
        <w:rPr>
          <w:b/>
          <w:lang w:val="en-AU"/>
        </w:rPr>
        <w:t>Downstream</w:t>
      </w:r>
      <w:r w:rsidR="00B33AA1" w:rsidRPr="00971FA7">
        <w:rPr>
          <w:b/>
          <w:lang w:val="en-AU"/>
        </w:rPr>
        <w:t xml:space="preserve"> </w:t>
      </w:r>
      <w:r w:rsidR="00675872" w:rsidRPr="00971FA7">
        <w:rPr>
          <w:b/>
          <w:lang w:val="en-AU"/>
        </w:rPr>
        <w:t xml:space="preserve">DFAT </w:t>
      </w:r>
      <w:r w:rsidR="003904E1" w:rsidRPr="00971FA7">
        <w:rPr>
          <w:b/>
          <w:lang w:val="en-AU"/>
        </w:rPr>
        <w:t>partners</w:t>
      </w:r>
      <w:r w:rsidR="00971FA7">
        <w:rPr>
          <w:lang w:val="en-AU"/>
        </w:rPr>
        <w:t>, that is,</w:t>
      </w:r>
      <w:r w:rsidR="004327EA">
        <w:rPr>
          <w:lang w:val="en-AU"/>
        </w:rPr>
        <w:t xml:space="preserve"> contractors, subcontractors, partners and any other entity engaged by DFAT partners to perform any DFAT-related work</w:t>
      </w:r>
      <w:r w:rsidR="003904E1" w:rsidRPr="005861BF">
        <w:rPr>
          <w:lang w:val="en-AU"/>
        </w:rPr>
        <w:t xml:space="preserve">. </w:t>
      </w:r>
      <w:r w:rsidR="00675872" w:rsidRPr="005861BF">
        <w:rPr>
          <w:lang w:val="en-AU"/>
        </w:rPr>
        <w:t xml:space="preserve">Application of the Policy to downstream partners </w:t>
      </w:r>
      <w:r w:rsidR="003904E1" w:rsidRPr="005861BF">
        <w:rPr>
          <w:lang w:val="en-AU"/>
        </w:rPr>
        <w:t xml:space="preserve">is the responsibility of the partner with whom DFAT has an agreement. </w:t>
      </w:r>
      <w:r w:rsidR="00D26327">
        <w:rPr>
          <w:lang w:val="en-AU"/>
        </w:rPr>
        <w:t xml:space="preserve">DFAT will require evidence of this application as part of </w:t>
      </w:r>
      <w:r w:rsidR="00936405">
        <w:rPr>
          <w:lang w:val="en-AU"/>
        </w:rPr>
        <w:t>their</w:t>
      </w:r>
      <w:r w:rsidR="00D26327">
        <w:rPr>
          <w:lang w:val="en-AU"/>
        </w:rPr>
        <w:t xml:space="preserve"> risk management processes.</w:t>
      </w:r>
    </w:p>
    <w:p w14:paraId="498B0EDC" w14:textId="77777777" w:rsidR="00BB3D26" w:rsidRPr="00BE6BC1" w:rsidRDefault="00BB3D26" w:rsidP="00BE6BC1">
      <w:pPr>
        <w:pStyle w:val="Heading2"/>
        <w:numPr>
          <w:ilvl w:val="0"/>
          <w:numId w:val="8"/>
        </w:numPr>
        <w:rPr>
          <w:lang w:val="en-AU"/>
        </w:rPr>
      </w:pPr>
      <w:bookmarkStart w:id="5" w:name="Principles"/>
      <w:r w:rsidRPr="00BB3D26">
        <w:rPr>
          <w:lang w:val="en-AU"/>
        </w:rPr>
        <w:t>Principles</w:t>
      </w:r>
    </w:p>
    <w:bookmarkEnd w:id="5"/>
    <w:p w14:paraId="76C5E3A3" w14:textId="77777777" w:rsidR="0083325D" w:rsidRPr="00072EC9" w:rsidRDefault="00797B82" w:rsidP="00072EC9">
      <w:pPr>
        <w:rPr>
          <w:lang w:val="en-AU"/>
        </w:rPr>
      </w:pPr>
      <w:r>
        <w:rPr>
          <w:lang w:val="en-AU"/>
        </w:rPr>
        <w:t xml:space="preserve">The </w:t>
      </w:r>
      <w:r w:rsidR="00C254F4">
        <w:rPr>
          <w:lang w:val="en-AU"/>
        </w:rPr>
        <w:t xml:space="preserve">Policy is underpinned by </w:t>
      </w:r>
      <w:r w:rsidR="00AC58A2">
        <w:rPr>
          <w:lang w:val="en-AU"/>
        </w:rPr>
        <w:t xml:space="preserve">the six </w:t>
      </w:r>
      <w:r w:rsidR="00C254F4">
        <w:rPr>
          <w:lang w:val="en-AU"/>
        </w:rPr>
        <w:t>principles</w:t>
      </w:r>
      <w:r w:rsidR="00AC58A2">
        <w:rPr>
          <w:lang w:val="en-AU"/>
        </w:rPr>
        <w:t xml:space="preserve"> outlined below</w:t>
      </w:r>
      <w:r w:rsidR="009E4CD1">
        <w:rPr>
          <w:lang w:val="en-AU"/>
        </w:rPr>
        <w:t>. The principles</w:t>
      </w:r>
      <w:r w:rsidR="00036AED">
        <w:rPr>
          <w:lang w:val="en-AU"/>
        </w:rPr>
        <w:t xml:space="preserve"> reflect Australia’s international commitments to address SEAH</w:t>
      </w:r>
      <w:r w:rsidR="0083325D">
        <w:rPr>
          <w:rStyle w:val="FootnoteReference"/>
          <w:lang w:val="en-AU"/>
        </w:rPr>
        <w:footnoteReference w:id="1"/>
      </w:r>
      <w:r w:rsidR="0083325D">
        <w:rPr>
          <w:lang w:val="en-AU"/>
        </w:rPr>
        <w:t xml:space="preserve"> and Australian initiatives to reduce violence against women and their children.</w:t>
      </w:r>
      <w:r w:rsidR="0083325D">
        <w:rPr>
          <w:rStyle w:val="FootnoteReference"/>
          <w:lang w:val="en-AU"/>
        </w:rPr>
        <w:footnoteReference w:id="2"/>
      </w:r>
    </w:p>
    <w:p w14:paraId="5BBE1E7E" w14:textId="77777777" w:rsidR="0083325D" w:rsidRPr="00AD3128" w:rsidRDefault="0083325D" w:rsidP="007219FB">
      <w:pPr>
        <w:keepNext/>
        <w:rPr>
          <w:b/>
          <w:lang w:val="en-AU"/>
        </w:rPr>
      </w:pPr>
      <w:r>
        <w:rPr>
          <w:b/>
          <w:lang w:val="en-AU"/>
        </w:rPr>
        <w:t xml:space="preserve">Principle 1: </w:t>
      </w:r>
      <w:r w:rsidRPr="00AD3128">
        <w:rPr>
          <w:b/>
          <w:lang w:val="en-AU"/>
        </w:rPr>
        <w:t>Zero tolerance of inaction</w:t>
      </w:r>
    </w:p>
    <w:p w14:paraId="27A4A8E2" w14:textId="77777777" w:rsidR="0083325D" w:rsidRDefault="0083325D" w:rsidP="00C40F11">
      <w:pPr>
        <w:rPr>
          <w:lang w:val="en-AU"/>
        </w:rPr>
      </w:pPr>
      <w:r>
        <w:rPr>
          <w:lang w:val="en-AU"/>
        </w:rPr>
        <w:t>Sexual exploitation, abuse and harassment are never acceptable. DFAT recognises that achieving a significant reduction in SEAH is a long-term endeavour. Zero tolerance is not the same as zero incidents. Reports of incidents may increase as organisations improve safeguards. Increasing reports may indicate growing awareness of SEAH and changing attitudes, with victims/survivors feeling more comfortable to report and organisations more likely to take action. The reporting of incidents and responses is an indicator that the risk of SEAH is being managed appropriately.</w:t>
      </w:r>
    </w:p>
    <w:p w14:paraId="72EFA929" w14:textId="77777777" w:rsidR="00DA3EDC" w:rsidRDefault="0083325D" w:rsidP="00DA3EDC">
      <w:pPr>
        <w:rPr>
          <w:lang w:val="en-AU"/>
        </w:rPr>
      </w:pPr>
      <w:r>
        <w:rPr>
          <w:lang w:val="en-AU"/>
        </w:rPr>
        <w:t>For this Policy, DFAT defines zero tolerance as acting on every allegation in a fair and reasonable way with due regard for procedural fairness.</w:t>
      </w:r>
    </w:p>
    <w:p w14:paraId="6F397989" w14:textId="77777777" w:rsidR="0083325D" w:rsidRPr="00DA3EDC" w:rsidRDefault="0083325D" w:rsidP="00DA3EDC">
      <w:pPr>
        <w:rPr>
          <w:lang w:val="en-AU"/>
        </w:rPr>
      </w:pPr>
      <w:r w:rsidRPr="00DA3EDC">
        <w:rPr>
          <w:b/>
          <w:lang w:val="en-AU"/>
        </w:rPr>
        <w:t>Principle 2: Strong leadership accelerates culture change</w:t>
      </w:r>
    </w:p>
    <w:p w14:paraId="0AF86F7D" w14:textId="77777777" w:rsidR="0083325D" w:rsidRDefault="0083325D" w:rsidP="00337927">
      <w:pPr>
        <w:rPr>
          <w:lang w:val="en-AU"/>
        </w:rPr>
      </w:pPr>
      <w:r>
        <w:rPr>
          <w:lang w:val="en-AU"/>
        </w:rPr>
        <w:t xml:space="preserve">Culture change is underway in many organisations. Strong leadership is essential for accelerating the pace of change. Leaders set organisational culture. DFAT expects leaders to set clear expectations and model respectful behaviour in their interactions at work. This will support communities, victims/survivors and whistleblowers to feel safe, report concerns and be assured their allegations are taken seriously.  </w:t>
      </w:r>
    </w:p>
    <w:p w14:paraId="77D9C57B" w14:textId="77777777" w:rsidR="0083325D" w:rsidRDefault="0083325D" w:rsidP="00337927">
      <w:pPr>
        <w:rPr>
          <w:lang w:val="en-AU"/>
        </w:rPr>
      </w:pPr>
      <w:r>
        <w:rPr>
          <w:lang w:val="en-AU"/>
        </w:rPr>
        <w:t>Strong leaders address SEAH by taking measures to improve diversity and inclusion. Diverse and inclusive organisations have lower levels of harassment and discrimination</w:t>
      </w:r>
      <w:r>
        <w:rPr>
          <w:rStyle w:val="FootnoteReference"/>
          <w:lang w:val="en-AU"/>
        </w:rPr>
        <w:footnoteReference w:id="3"/>
      </w:r>
      <w:r>
        <w:rPr>
          <w:lang w:val="en-AU"/>
        </w:rPr>
        <w:t>. This can include strong, actionable human resource procedures that embed gender equality and PSEAH; inclusion of PSEAH discussions on board meeting agendas; having senior champions responsible for PSEAH and encouraging staff gender balance particularly in senior roles. Leaders should encourage scrutiny of their own behaviour and that of senior management.</w:t>
      </w:r>
    </w:p>
    <w:p w14:paraId="78833A01" w14:textId="77777777" w:rsidR="0083325D" w:rsidRPr="00DA3EDC" w:rsidRDefault="0083325D" w:rsidP="00DA3EDC">
      <w:pPr>
        <w:keepNext/>
        <w:rPr>
          <w:b/>
          <w:lang w:val="en-AU"/>
        </w:rPr>
      </w:pPr>
      <w:r w:rsidRPr="00DA3EDC">
        <w:rPr>
          <w:b/>
          <w:lang w:val="en-AU"/>
        </w:rPr>
        <w:t>Principle 3: Victim/survivor needs are prioritised</w:t>
      </w:r>
    </w:p>
    <w:p w14:paraId="5D552695" w14:textId="77777777" w:rsidR="0083325D" w:rsidRDefault="0083325D" w:rsidP="008E05BD">
      <w:pPr>
        <w:rPr>
          <w:lang w:val="en-AU"/>
        </w:rPr>
      </w:pPr>
      <w:r>
        <w:rPr>
          <w:lang w:val="en-AU"/>
        </w:rPr>
        <w:t>Action to address SEAH should be underpinned by a “do no harm” approach prioritising</w:t>
      </w:r>
      <w:r w:rsidRPr="00CC456A">
        <w:rPr>
          <w:lang w:val="en-AU"/>
        </w:rPr>
        <w:t xml:space="preserve"> the rights, needs, and wishes of the </w:t>
      </w:r>
      <w:r>
        <w:rPr>
          <w:lang w:val="en-AU"/>
        </w:rPr>
        <w:t>victim/</w:t>
      </w:r>
      <w:r w:rsidRPr="00CC456A">
        <w:rPr>
          <w:lang w:val="en-AU"/>
        </w:rPr>
        <w:t>survivor</w:t>
      </w:r>
      <w:r>
        <w:rPr>
          <w:lang w:val="en-AU"/>
        </w:rPr>
        <w:t>, while ensuring procedural fairness to all parties</w:t>
      </w:r>
      <w:r w:rsidRPr="00CC456A">
        <w:rPr>
          <w:lang w:val="en-AU"/>
        </w:rPr>
        <w:t>.</w:t>
      </w:r>
      <w:r>
        <w:rPr>
          <w:lang w:val="en-AU"/>
        </w:rPr>
        <w:t xml:space="preserve"> This approach:</w:t>
      </w:r>
    </w:p>
    <w:p w14:paraId="26B60376" w14:textId="77777777" w:rsidR="0083325D" w:rsidRPr="006E019C" w:rsidRDefault="0083325D" w:rsidP="00DC184B">
      <w:pPr>
        <w:pStyle w:val="ListParagraph"/>
        <w:numPr>
          <w:ilvl w:val="0"/>
          <w:numId w:val="17"/>
        </w:numPr>
        <w:rPr>
          <w:lang w:val="en-AU"/>
        </w:rPr>
      </w:pPr>
      <w:r w:rsidRPr="006E019C">
        <w:rPr>
          <w:lang w:val="en-AU"/>
        </w:rPr>
        <w:lastRenderedPageBreak/>
        <w:t>treats the victim/survivor with dignity and respect</w:t>
      </w:r>
    </w:p>
    <w:p w14:paraId="2FAF9DD6" w14:textId="77777777" w:rsidR="0083325D" w:rsidRPr="006E019C" w:rsidRDefault="0083325D" w:rsidP="00DC184B">
      <w:pPr>
        <w:pStyle w:val="ListParagraph"/>
        <w:numPr>
          <w:ilvl w:val="0"/>
          <w:numId w:val="17"/>
        </w:numPr>
        <w:rPr>
          <w:lang w:val="en-AU"/>
        </w:rPr>
      </w:pPr>
      <w:r w:rsidRPr="006E019C">
        <w:rPr>
          <w:lang w:val="en-AU"/>
        </w:rPr>
        <w:t xml:space="preserve">involves </w:t>
      </w:r>
      <w:r w:rsidR="00936405">
        <w:rPr>
          <w:lang w:val="en-AU"/>
        </w:rPr>
        <w:t>the victim/survivor</w:t>
      </w:r>
      <w:r w:rsidRPr="006E019C">
        <w:rPr>
          <w:lang w:val="en-AU"/>
        </w:rPr>
        <w:t xml:space="preserve"> in decision making</w:t>
      </w:r>
    </w:p>
    <w:p w14:paraId="7F46D7A8" w14:textId="77777777" w:rsidR="0083325D" w:rsidRPr="006E019C" w:rsidRDefault="0083325D" w:rsidP="00DC184B">
      <w:pPr>
        <w:pStyle w:val="ListParagraph"/>
        <w:numPr>
          <w:ilvl w:val="0"/>
          <w:numId w:val="17"/>
        </w:numPr>
        <w:rPr>
          <w:lang w:val="en-AU"/>
        </w:rPr>
      </w:pPr>
      <w:r w:rsidRPr="006E019C">
        <w:rPr>
          <w:lang w:val="en-AU"/>
        </w:rPr>
        <w:t xml:space="preserve">provides </w:t>
      </w:r>
      <w:r w:rsidR="00936405">
        <w:rPr>
          <w:lang w:val="en-AU"/>
        </w:rPr>
        <w:t>the victim/survivor</w:t>
      </w:r>
      <w:r w:rsidRPr="006E019C">
        <w:rPr>
          <w:lang w:val="en-AU"/>
        </w:rPr>
        <w:t xml:space="preserve"> with comprehensive information</w:t>
      </w:r>
    </w:p>
    <w:p w14:paraId="5BCC3BB8" w14:textId="77777777" w:rsidR="0083325D" w:rsidRPr="006E019C" w:rsidRDefault="0083325D" w:rsidP="00DC184B">
      <w:pPr>
        <w:pStyle w:val="ListParagraph"/>
        <w:numPr>
          <w:ilvl w:val="0"/>
          <w:numId w:val="17"/>
        </w:numPr>
        <w:rPr>
          <w:lang w:val="en-AU"/>
        </w:rPr>
      </w:pPr>
      <w:r w:rsidRPr="006E019C">
        <w:rPr>
          <w:lang w:val="en-AU"/>
        </w:rPr>
        <w:t>protects privacy and confidentiality</w:t>
      </w:r>
    </w:p>
    <w:p w14:paraId="451BED11" w14:textId="77777777" w:rsidR="0083325D" w:rsidRPr="006E019C" w:rsidRDefault="0083325D" w:rsidP="00DC184B">
      <w:pPr>
        <w:pStyle w:val="ListParagraph"/>
        <w:numPr>
          <w:ilvl w:val="0"/>
          <w:numId w:val="17"/>
        </w:numPr>
        <w:rPr>
          <w:lang w:val="en-AU"/>
        </w:rPr>
      </w:pPr>
      <w:r w:rsidRPr="006E019C">
        <w:rPr>
          <w:lang w:val="en-AU"/>
        </w:rPr>
        <w:t xml:space="preserve">does not discriminate based on gender, age, race/ethnicity, ability, sexual orientation, or other characteristics  </w:t>
      </w:r>
    </w:p>
    <w:p w14:paraId="5B627C3E" w14:textId="77777777" w:rsidR="0083325D" w:rsidRPr="00E345E0" w:rsidRDefault="0083325D" w:rsidP="00E345E0">
      <w:pPr>
        <w:pStyle w:val="ListParagraph"/>
        <w:numPr>
          <w:ilvl w:val="0"/>
          <w:numId w:val="17"/>
        </w:numPr>
        <w:rPr>
          <w:lang w:val="en-AU"/>
        </w:rPr>
      </w:pPr>
      <w:r w:rsidRPr="006E019C">
        <w:rPr>
          <w:lang w:val="en-AU"/>
        </w:rPr>
        <w:t>considers the need for counselling and health services to assist the victim/survivor with their recovery</w:t>
      </w:r>
      <w:r w:rsidRPr="006E019C">
        <w:rPr>
          <w:rStyle w:val="FootnoteReference"/>
          <w:lang w:val="en-AU"/>
        </w:rPr>
        <w:t xml:space="preserve"> </w:t>
      </w:r>
      <w:r>
        <w:rPr>
          <w:rStyle w:val="FootnoteReference"/>
          <w:lang w:val="en-AU"/>
        </w:rPr>
        <w:footnoteReference w:id="4"/>
      </w:r>
      <w:r w:rsidR="00936405">
        <w:rPr>
          <w:lang w:val="en-AU"/>
        </w:rPr>
        <w:t>.</w:t>
      </w:r>
    </w:p>
    <w:p w14:paraId="35BEED10" w14:textId="77777777" w:rsidR="0083325D" w:rsidRPr="00DA3EDC" w:rsidRDefault="0083325D" w:rsidP="00DA3EDC">
      <w:pPr>
        <w:rPr>
          <w:b/>
          <w:lang w:val="en-AU"/>
        </w:rPr>
      </w:pPr>
      <w:r w:rsidRPr="00DA3EDC">
        <w:rPr>
          <w:b/>
          <w:lang w:val="en-AU"/>
        </w:rPr>
        <w:t>Principle 4: P</w:t>
      </w:r>
      <w:r w:rsidR="00DA3EDC">
        <w:rPr>
          <w:b/>
          <w:lang w:val="en-AU"/>
        </w:rPr>
        <w:t>reventing Sexual Exploitation, Abuse and Harassment is</w:t>
      </w:r>
      <w:r w:rsidRPr="00DA3EDC">
        <w:rPr>
          <w:b/>
          <w:lang w:val="en-AU"/>
        </w:rPr>
        <w:t xml:space="preserve"> a shared responsibility</w:t>
      </w:r>
    </w:p>
    <w:p w14:paraId="78993F2C" w14:textId="77777777" w:rsidR="0083325D" w:rsidRDefault="00DA3EDC" w:rsidP="00BB3D26">
      <w:pPr>
        <w:rPr>
          <w:lang w:val="en-AU"/>
        </w:rPr>
      </w:pPr>
      <w:r w:rsidRPr="00DA3EDC">
        <w:rPr>
          <w:lang w:val="en-AU"/>
        </w:rPr>
        <w:t>Preventing Sexual Exploitation, Abuse and Harassment</w:t>
      </w:r>
      <w:r w:rsidR="0083325D" w:rsidRPr="00394904">
        <w:rPr>
          <w:lang w:val="en-AU"/>
        </w:rPr>
        <w:t xml:space="preserve"> is</w:t>
      </w:r>
      <w:r w:rsidR="0083325D" w:rsidRPr="003F33F4">
        <w:rPr>
          <w:lang w:val="en-AU"/>
        </w:rPr>
        <w:t xml:space="preserve"> everyone’s responsibility. Real change </w:t>
      </w:r>
      <w:r w:rsidR="0083325D">
        <w:rPr>
          <w:lang w:val="en-AU"/>
        </w:rPr>
        <w:t xml:space="preserve">to reduce SEAH </w:t>
      </w:r>
      <w:r w:rsidR="0083325D" w:rsidRPr="003F33F4">
        <w:rPr>
          <w:lang w:val="en-AU"/>
        </w:rPr>
        <w:t>will not occur unless every sector plays a role</w:t>
      </w:r>
      <w:r w:rsidR="0083325D">
        <w:rPr>
          <w:lang w:val="en-AU"/>
        </w:rPr>
        <w:t xml:space="preserve"> — </w:t>
      </w:r>
      <w:r w:rsidR="0083325D" w:rsidRPr="003F33F4">
        <w:rPr>
          <w:lang w:val="en-AU"/>
        </w:rPr>
        <w:t xml:space="preserve">government, business, </w:t>
      </w:r>
      <w:r>
        <w:rPr>
          <w:lang w:val="en-AU"/>
        </w:rPr>
        <w:t>non-government organisations</w:t>
      </w:r>
      <w:r w:rsidR="0083325D" w:rsidRPr="003F33F4">
        <w:rPr>
          <w:lang w:val="en-AU"/>
        </w:rPr>
        <w:t xml:space="preserve">, </w:t>
      </w:r>
      <w:r w:rsidR="0083325D">
        <w:rPr>
          <w:lang w:val="en-AU"/>
        </w:rPr>
        <w:t xml:space="preserve">institutions, </w:t>
      </w:r>
      <w:r>
        <w:rPr>
          <w:lang w:val="en-AU"/>
        </w:rPr>
        <w:t xml:space="preserve">communities and </w:t>
      </w:r>
      <w:r w:rsidR="0083325D" w:rsidRPr="003F33F4">
        <w:rPr>
          <w:lang w:val="en-AU"/>
        </w:rPr>
        <w:t>individuals.</w:t>
      </w:r>
      <w:r w:rsidR="0083325D">
        <w:rPr>
          <w:lang w:val="en-AU"/>
        </w:rPr>
        <w:t xml:space="preserve"> DFAT requires the commitment, support and investment of </w:t>
      </w:r>
      <w:r w:rsidR="00946AE3">
        <w:rPr>
          <w:lang w:val="en-AU"/>
        </w:rPr>
        <w:t xml:space="preserve">its </w:t>
      </w:r>
      <w:r w:rsidR="0083325D">
        <w:rPr>
          <w:lang w:val="en-AU"/>
        </w:rPr>
        <w:t>partners for this Policy to be effective. All organisations have a responsibility to build their capacity to deal sensitively and effectively with SEAH that occurs in the course of their work.</w:t>
      </w:r>
    </w:p>
    <w:p w14:paraId="2A197C50" w14:textId="77777777" w:rsidR="0083325D" w:rsidRPr="00DA3EDC" w:rsidRDefault="0083325D" w:rsidP="00DA3EDC">
      <w:pPr>
        <w:rPr>
          <w:b/>
          <w:lang w:val="en-AU"/>
        </w:rPr>
      </w:pPr>
      <w:r w:rsidRPr="00DA3EDC">
        <w:rPr>
          <w:b/>
          <w:lang w:val="en-AU"/>
        </w:rPr>
        <w:t>Principle 5: Gender inequality and other power imbalances are addressed</w:t>
      </w:r>
    </w:p>
    <w:p w14:paraId="2EC2D052" w14:textId="77777777" w:rsidR="00DA493A" w:rsidRDefault="007F05C7" w:rsidP="00BB3D26">
      <w:pPr>
        <w:rPr>
          <w:lang w:val="en-AU"/>
        </w:rPr>
      </w:pPr>
      <w:r>
        <w:rPr>
          <w:lang w:val="en-AU"/>
        </w:rPr>
        <w:t>Available data indicates that the</w:t>
      </w:r>
      <w:r w:rsidR="0083325D">
        <w:rPr>
          <w:lang w:val="en-AU"/>
        </w:rPr>
        <w:t xml:space="preserve"> majority of SEAH victim</w:t>
      </w:r>
      <w:r>
        <w:rPr>
          <w:lang w:val="en-AU"/>
        </w:rPr>
        <w:t>s</w:t>
      </w:r>
      <w:r w:rsidR="0083325D">
        <w:rPr>
          <w:lang w:val="en-AU"/>
        </w:rPr>
        <w:t>/survivors are female and the majority of perpetrators are male</w:t>
      </w:r>
      <w:r w:rsidR="0083325D">
        <w:rPr>
          <w:rStyle w:val="FootnoteReference"/>
          <w:lang w:val="en-AU"/>
        </w:rPr>
        <w:footnoteReference w:id="5"/>
      </w:r>
      <w:r w:rsidR="0083325D">
        <w:rPr>
          <w:lang w:val="en-AU"/>
        </w:rPr>
        <w:t>.</w:t>
      </w:r>
      <w:r w:rsidR="00DA493A">
        <w:rPr>
          <w:lang w:val="en-AU"/>
        </w:rPr>
        <w:t xml:space="preserve"> However, </w:t>
      </w:r>
      <w:r w:rsidR="00DA3EDC">
        <w:rPr>
          <w:lang w:val="en-AU"/>
        </w:rPr>
        <w:t>there are also</w:t>
      </w:r>
      <w:r>
        <w:rPr>
          <w:lang w:val="en-AU"/>
        </w:rPr>
        <w:t xml:space="preserve"> other power imbalances</w:t>
      </w:r>
      <w:r w:rsidR="00E94E7C">
        <w:rPr>
          <w:lang w:val="en-AU"/>
        </w:rPr>
        <w:t xml:space="preserve"> at play</w:t>
      </w:r>
      <w:r w:rsidR="008749DE">
        <w:rPr>
          <w:lang w:val="en-AU"/>
        </w:rPr>
        <w:t xml:space="preserve">. </w:t>
      </w:r>
      <w:r w:rsidR="00AD6648">
        <w:rPr>
          <w:lang w:val="en-AU"/>
        </w:rPr>
        <w:t xml:space="preserve">Inequalities based on </w:t>
      </w:r>
      <w:r w:rsidR="00FC1683">
        <w:rPr>
          <w:lang w:val="en-AU"/>
        </w:rPr>
        <w:t xml:space="preserve">the distinctions of worker/beneficiary; ability/disability; </w:t>
      </w:r>
      <w:r w:rsidR="00AD6648">
        <w:rPr>
          <w:lang w:val="en-AU"/>
        </w:rPr>
        <w:t xml:space="preserve">ethnic </w:t>
      </w:r>
      <w:r w:rsidR="00C013DA">
        <w:rPr>
          <w:lang w:val="en-AU"/>
        </w:rPr>
        <w:t>and I</w:t>
      </w:r>
      <w:r w:rsidR="008749DE">
        <w:rPr>
          <w:lang w:val="en-AU"/>
        </w:rPr>
        <w:t xml:space="preserve">ndigenous </w:t>
      </w:r>
      <w:r w:rsidR="00337927">
        <w:rPr>
          <w:lang w:val="en-AU"/>
        </w:rPr>
        <w:t xml:space="preserve">status; religion; </w:t>
      </w:r>
      <w:r w:rsidR="00AD6648">
        <w:rPr>
          <w:lang w:val="en-AU"/>
        </w:rPr>
        <w:t>gender i</w:t>
      </w:r>
      <w:r w:rsidR="00FC1683">
        <w:rPr>
          <w:lang w:val="en-AU"/>
        </w:rPr>
        <w:t>dentity and sexual orientation; age;</w:t>
      </w:r>
      <w:r w:rsidR="008749DE">
        <w:rPr>
          <w:lang w:val="en-AU"/>
        </w:rPr>
        <w:t xml:space="preserve"> health and poverty, can also result in SEAH. The intersection of </w:t>
      </w:r>
      <w:r w:rsidR="00E10D24">
        <w:rPr>
          <w:lang w:val="en-AU"/>
        </w:rPr>
        <w:t xml:space="preserve">gender with other forms of inequality </w:t>
      </w:r>
      <w:r w:rsidR="008749DE">
        <w:rPr>
          <w:lang w:val="en-AU"/>
        </w:rPr>
        <w:t>can further increase the likelihood of SEAH occurring.</w:t>
      </w:r>
      <w:r w:rsidR="00B531B0">
        <w:rPr>
          <w:lang w:val="en-AU"/>
        </w:rPr>
        <w:t xml:space="preserve"> Engagement with intended beneficiaries should be based on respect for diversity, promotion of gender equality and social inclusion, accountability, and a strong “do no harm” </w:t>
      </w:r>
      <w:r w:rsidR="00936405">
        <w:rPr>
          <w:lang w:val="en-AU"/>
        </w:rPr>
        <w:t>focus</w:t>
      </w:r>
      <w:r w:rsidR="00B531B0">
        <w:rPr>
          <w:lang w:val="en-AU"/>
        </w:rPr>
        <w:t>.</w:t>
      </w:r>
    </w:p>
    <w:p w14:paraId="677FAA5C" w14:textId="77777777" w:rsidR="00696FA3" w:rsidRDefault="00FA0CC4" w:rsidP="00696FA3">
      <w:pPr>
        <w:rPr>
          <w:lang w:val="en-AU"/>
        </w:rPr>
      </w:pPr>
      <w:r>
        <w:rPr>
          <w:lang w:val="en-AU"/>
        </w:rPr>
        <w:t>Although they are not in scope for this Policy, c</w:t>
      </w:r>
      <w:r w:rsidR="00EC07E1">
        <w:rPr>
          <w:lang w:val="en-AU"/>
        </w:rPr>
        <w:t xml:space="preserve">hildren are at </w:t>
      </w:r>
      <w:r w:rsidR="009338DF">
        <w:rPr>
          <w:lang w:val="en-AU"/>
        </w:rPr>
        <w:t xml:space="preserve">high </w:t>
      </w:r>
      <w:r w:rsidR="00EC07E1">
        <w:rPr>
          <w:lang w:val="en-AU"/>
        </w:rPr>
        <w:t xml:space="preserve">risk of SEAH </w:t>
      </w:r>
      <w:r w:rsidR="004E1F73">
        <w:rPr>
          <w:lang w:val="en-AU"/>
        </w:rPr>
        <w:t>—</w:t>
      </w:r>
      <w:r w:rsidR="00EC07E1">
        <w:rPr>
          <w:lang w:val="en-AU"/>
        </w:rPr>
        <w:t xml:space="preserve"> particularly children with disability, children living in residential or institutional care, children who have experienced previous trauma or a</w:t>
      </w:r>
      <w:r w:rsidR="00FC1683">
        <w:rPr>
          <w:lang w:val="en-AU"/>
        </w:rPr>
        <w:t>b</w:t>
      </w:r>
      <w:r w:rsidR="00EC07E1">
        <w:rPr>
          <w:lang w:val="en-AU"/>
        </w:rPr>
        <w:t xml:space="preserve">use, trafficked children, and </w:t>
      </w:r>
      <w:r w:rsidR="00DA3EDC">
        <w:rPr>
          <w:lang w:val="en-AU"/>
        </w:rPr>
        <w:t>gender diverse children</w:t>
      </w:r>
      <w:r w:rsidR="00EC07E1">
        <w:rPr>
          <w:lang w:val="en-AU"/>
        </w:rPr>
        <w:t xml:space="preserve"> and young people.</w:t>
      </w:r>
      <w:r>
        <w:rPr>
          <w:lang w:val="en-AU"/>
        </w:rPr>
        <w:t xml:space="preserve"> DFAT’s</w:t>
      </w:r>
      <w:r w:rsidRPr="00FA0CC4">
        <w:rPr>
          <w:lang w:val="en-AU"/>
        </w:rPr>
        <w:t xml:space="preserve"> Child Protection Policy can be found at </w:t>
      </w:r>
      <w:hyperlink r:id="rId10" w:history="1">
        <w:r w:rsidRPr="005F0A7F">
          <w:rPr>
            <w:rStyle w:val="Hyperlink"/>
            <w:lang w:val="en-AU"/>
          </w:rPr>
          <w:t>www.dfat.gov.au/childprotection</w:t>
        </w:r>
      </w:hyperlink>
      <w:r>
        <w:rPr>
          <w:lang w:val="en-AU"/>
        </w:rPr>
        <w:t xml:space="preserve">. </w:t>
      </w:r>
      <w:r w:rsidR="00EC07E1">
        <w:rPr>
          <w:lang w:val="en-AU"/>
        </w:rPr>
        <w:t xml:space="preserve"> </w:t>
      </w:r>
    </w:p>
    <w:p w14:paraId="27B76FD4" w14:textId="77777777" w:rsidR="00946AE3" w:rsidRPr="00696FA3" w:rsidRDefault="00675B83" w:rsidP="00696FA3">
      <w:pPr>
        <w:rPr>
          <w:lang w:val="en-AU"/>
        </w:rPr>
      </w:pPr>
      <w:r w:rsidRPr="00946AE3">
        <w:rPr>
          <w:b/>
          <w:lang w:val="en-AU"/>
        </w:rPr>
        <w:t xml:space="preserve">Principle 6: </w:t>
      </w:r>
      <w:r w:rsidR="00850B1E" w:rsidRPr="00946AE3">
        <w:rPr>
          <w:b/>
          <w:lang w:val="en-AU"/>
        </w:rPr>
        <w:t>Stronger reporting will enhance</w:t>
      </w:r>
      <w:r w:rsidR="00E47BDC" w:rsidRPr="00946AE3">
        <w:rPr>
          <w:b/>
          <w:lang w:val="en-AU"/>
        </w:rPr>
        <w:t xml:space="preserve"> accountability and transparency</w:t>
      </w:r>
    </w:p>
    <w:p w14:paraId="4349F1C8" w14:textId="77777777" w:rsidR="00A25FA2" w:rsidRPr="00946AE3" w:rsidRDefault="00331484" w:rsidP="00946AE3">
      <w:pPr>
        <w:rPr>
          <w:b/>
          <w:lang w:val="en-AU"/>
        </w:rPr>
      </w:pPr>
      <w:r w:rsidRPr="00946AE3">
        <w:rPr>
          <w:lang w:val="en-AU"/>
        </w:rPr>
        <w:t>S</w:t>
      </w:r>
      <w:r w:rsidR="00DA3EDC" w:rsidRPr="00946AE3">
        <w:rPr>
          <w:lang w:val="en-AU"/>
        </w:rPr>
        <w:t>exual exploitation, abuse and harassment</w:t>
      </w:r>
      <w:r w:rsidR="00287FAD" w:rsidRPr="00946AE3">
        <w:rPr>
          <w:lang w:val="en-AU"/>
        </w:rPr>
        <w:t xml:space="preserve"> is a failure of responsibility. </w:t>
      </w:r>
      <w:r w:rsidR="00F42519" w:rsidRPr="00946AE3">
        <w:rPr>
          <w:lang w:val="en-AU"/>
        </w:rPr>
        <w:t xml:space="preserve">The organisations and individuals who deliver DFAT </w:t>
      </w:r>
      <w:r w:rsidR="00C37CF2" w:rsidRPr="00946AE3">
        <w:rPr>
          <w:lang w:val="en-AU"/>
        </w:rPr>
        <w:t>business</w:t>
      </w:r>
      <w:r w:rsidR="00F42519" w:rsidRPr="00946AE3">
        <w:rPr>
          <w:lang w:val="en-AU"/>
        </w:rPr>
        <w:t xml:space="preserve"> are not only accountable to DFAT, but also to </w:t>
      </w:r>
      <w:r w:rsidR="00597C30" w:rsidRPr="00946AE3">
        <w:rPr>
          <w:lang w:val="en-AU"/>
        </w:rPr>
        <w:t xml:space="preserve">the </w:t>
      </w:r>
      <w:r w:rsidR="00F42519" w:rsidRPr="00946AE3">
        <w:rPr>
          <w:lang w:val="en-AU"/>
        </w:rPr>
        <w:t>communities, customers and clients</w:t>
      </w:r>
      <w:r w:rsidR="00597C30" w:rsidRPr="00946AE3">
        <w:rPr>
          <w:lang w:val="en-AU"/>
        </w:rPr>
        <w:t xml:space="preserve"> for whom the </w:t>
      </w:r>
      <w:r w:rsidR="00C37CF2" w:rsidRPr="00946AE3">
        <w:rPr>
          <w:lang w:val="en-AU"/>
        </w:rPr>
        <w:t>business</w:t>
      </w:r>
      <w:r w:rsidR="00597C30" w:rsidRPr="00946AE3">
        <w:rPr>
          <w:lang w:val="en-AU"/>
        </w:rPr>
        <w:t xml:space="preserve"> is intended</w:t>
      </w:r>
      <w:r w:rsidR="00F42519" w:rsidRPr="00946AE3">
        <w:rPr>
          <w:lang w:val="en-AU"/>
        </w:rPr>
        <w:t xml:space="preserve">. </w:t>
      </w:r>
      <w:r w:rsidR="00597C30" w:rsidRPr="00946AE3">
        <w:rPr>
          <w:lang w:val="en-AU"/>
        </w:rPr>
        <w:t xml:space="preserve">Stronger reporting allows DFAT to better monitor SEAH, understand </w:t>
      </w:r>
      <w:r w:rsidR="00C013DA" w:rsidRPr="00946AE3">
        <w:rPr>
          <w:lang w:val="en-AU"/>
        </w:rPr>
        <w:t xml:space="preserve">risks, improve assurance </w:t>
      </w:r>
      <w:r w:rsidR="00597C30" w:rsidRPr="00946AE3">
        <w:rPr>
          <w:lang w:val="en-AU"/>
        </w:rPr>
        <w:t xml:space="preserve">and work with organisations to </w:t>
      </w:r>
      <w:r w:rsidR="00287FAD" w:rsidRPr="00946AE3">
        <w:rPr>
          <w:lang w:val="en-AU"/>
        </w:rPr>
        <w:t>improve systems and safeguards</w:t>
      </w:r>
      <w:r w:rsidR="00597C30" w:rsidRPr="00946AE3">
        <w:rPr>
          <w:lang w:val="en-AU"/>
        </w:rPr>
        <w:t xml:space="preserve"> accordingly. </w:t>
      </w:r>
      <w:r w:rsidR="00675B83" w:rsidRPr="00946AE3">
        <w:rPr>
          <w:lang w:val="en-AU"/>
        </w:rPr>
        <w:t>Reporting will also help to focus organisations on the issue by providing a regular prompt that PSEAH is a core obligation of their work.</w:t>
      </w:r>
      <w:r w:rsidR="004F1D07" w:rsidRPr="00946AE3">
        <w:rPr>
          <w:noProof/>
          <w:color w:val="FF0000"/>
          <w:lang w:val="en-AU" w:eastAsia="en-AU"/>
        </w:rPr>
        <w:t xml:space="preserve"> </w:t>
      </w:r>
    </w:p>
    <w:p w14:paraId="06CD505D" w14:textId="77777777" w:rsidR="00F03E43" w:rsidRDefault="00F03E43">
      <w:pPr>
        <w:suppressAutoHyphens w:val="0"/>
        <w:spacing w:before="0" w:after="120" w:line="440" w:lineRule="atLeast"/>
        <w:rPr>
          <w:rFonts w:asciiTheme="majorHAnsi" w:eastAsiaTheme="majorEastAsia" w:hAnsiTheme="majorHAnsi" w:cstheme="majorBidi"/>
          <w:caps/>
          <w:sz w:val="38"/>
          <w:szCs w:val="26"/>
          <w:highlight w:val="lightGray"/>
          <w:lang w:val="en-AU"/>
        </w:rPr>
      </w:pPr>
      <w:r>
        <w:rPr>
          <w:highlight w:val="lightGray"/>
          <w:lang w:val="en-AU"/>
        </w:rPr>
        <w:br w:type="page"/>
      </w:r>
    </w:p>
    <w:p w14:paraId="0D90B6F0" w14:textId="77777777" w:rsidR="00E47BDC" w:rsidRPr="00BE6BC1" w:rsidRDefault="00936E33" w:rsidP="00F03E43">
      <w:pPr>
        <w:pStyle w:val="Heading2"/>
        <w:numPr>
          <w:ilvl w:val="0"/>
          <w:numId w:val="8"/>
        </w:numPr>
        <w:rPr>
          <w:lang w:val="en-AU"/>
        </w:rPr>
      </w:pPr>
      <w:bookmarkStart w:id="6" w:name="Risk"/>
      <w:r>
        <w:rPr>
          <w:lang w:val="en-AU"/>
        </w:rPr>
        <w:t>Risk assessment</w:t>
      </w:r>
    </w:p>
    <w:bookmarkEnd w:id="6"/>
    <w:p w14:paraId="03C6BCAE" w14:textId="5C6BC0E5" w:rsidR="00C63235" w:rsidRDefault="00EF5B55" w:rsidP="00EF5B55">
      <w:pPr>
        <w:rPr>
          <w:lang w:val="en-AU"/>
        </w:rPr>
      </w:pPr>
      <w:r w:rsidRPr="00EF5B55">
        <w:rPr>
          <w:lang w:val="en-AU"/>
        </w:rPr>
        <w:t xml:space="preserve">The </w:t>
      </w:r>
      <w:r w:rsidR="009338DF">
        <w:rPr>
          <w:lang w:val="en-AU"/>
        </w:rPr>
        <w:t>P</w:t>
      </w:r>
      <w:r w:rsidRPr="00EF5B55">
        <w:rPr>
          <w:lang w:val="en-AU"/>
        </w:rPr>
        <w:t xml:space="preserve">olicy </w:t>
      </w:r>
      <w:r w:rsidR="00936E33">
        <w:rPr>
          <w:lang w:val="en-AU"/>
        </w:rPr>
        <w:t>takes</w:t>
      </w:r>
      <w:r w:rsidRPr="00EF5B55">
        <w:rPr>
          <w:lang w:val="en-AU"/>
        </w:rPr>
        <w:t xml:space="preserve"> a risk-based, proportional approach to </w:t>
      </w:r>
      <w:r w:rsidR="009F249A">
        <w:rPr>
          <w:lang w:val="en-AU"/>
        </w:rPr>
        <w:t xml:space="preserve">PSEAH. </w:t>
      </w:r>
      <w:r w:rsidR="005A6A35">
        <w:rPr>
          <w:lang w:val="en-AU"/>
        </w:rPr>
        <w:t xml:space="preserve">DFAT staff and </w:t>
      </w:r>
      <w:r w:rsidR="00C63235">
        <w:rPr>
          <w:lang w:val="en-AU"/>
        </w:rPr>
        <w:t xml:space="preserve">partners </w:t>
      </w:r>
      <w:r w:rsidR="005A6A35">
        <w:rPr>
          <w:lang w:val="en-AU"/>
        </w:rPr>
        <w:t xml:space="preserve">must </w:t>
      </w:r>
      <w:r w:rsidR="00C63235">
        <w:rPr>
          <w:lang w:val="en-AU"/>
        </w:rPr>
        <w:t xml:space="preserve">assess the level of risk for SEAH occurring, and apply </w:t>
      </w:r>
      <w:r w:rsidR="009E4CD1">
        <w:rPr>
          <w:lang w:val="en-AU"/>
        </w:rPr>
        <w:t xml:space="preserve">the </w:t>
      </w:r>
      <w:r w:rsidR="00936405">
        <w:rPr>
          <w:lang w:val="en-AU"/>
        </w:rPr>
        <w:t xml:space="preserve">PSEAH </w:t>
      </w:r>
      <w:r w:rsidR="009E4CD1">
        <w:rPr>
          <w:lang w:val="en-AU"/>
        </w:rPr>
        <w:t>M</w:t>
      </w:r>
      <w:r w:rsidR="00C63235">
        <w:rPr>
          <w:lang w:val="en-AU"/>
        </w:rPr>
        <w:t xml:space="preserve">inimum </w:t>
      </w:r>
      <w:r w:rsidR="009E4CD1">
        <w:rPr>
          <w:lang w:val="en-AU"/>
        </w:rPr>
        <w:t>S</w:t>
      </w:r>
      <w:r w:rsidR="00C63235">
        <w:rPr>
          <w:lang w:val="en-AU"/>
        </w:rPr>
        <w:t xml:space="preserve">tandards </w:t>
      </w:r>
      <w:r w:rsidR="00936405">
        <w:rPr>
          <w:lang w:val="en-AU"/>
        </w:rPr>
        <w:t xml:space="preserve">(Attachment A) </w:t>
      </w:r>
      <w:r w:rsidR="00C63235">
        <w:rPr>
          <w:lang w:val="en-AU"/>
        </w:rPr>
        <w:t xml:space="preserve">accordingly (see flow diagram below). </w:t>
      </w:r>
      <w:r w:rsidR="000917AB" w:rsidRPr="00971FA7">
        <w:rPr>
          <w:lang w:val="en-AU"/>
        </w:rPr>
        <w:t>Guidance on assessing the risk of SEAH</w:t>
      </w:r>
      <w:r w:rsidR="00AA5CA1">
        <w:rPr>
          <w:lang w:val="en-AU"/>
        </w:rPr>
        <w:t xml:space="preserve"> </w:t>
      </w:r>
      <w:r w:rsidR="000E5D01">
        <w:rPr>
          <w:lang w:val="en-AU"/>
        </w:rPr>
        <w:t>is</w:t>
      </w:r>
      <w:r w:rsidR="00AA5CA1">
        <w:rPr>
          <w:lang w:val="en-AU"/>
        </w:rPr>
        <w:t xml:space="preserve"> </w:t>
      </w:r>
      <w:r w:rsidR="00C63235">
        <w:rPr>
          <w:lang w:val="en-AU"/>
        </w:rPr>
        <w:t xml:space="preserve">provided to assist </w:t>
      </w:r>
      <w:r w:rsidR="00946AE3">
        <w:rPr>
          <w:lang w:val="en-AU"/>
        </w:rPr>
        <w:t xml:space="preserve">DFAT </w:t>
      </w:r>
      <w:r w:rsidR="000917AB">
        <w:rPr>
          <w:lang w:val="en-AU"/>
        </w:rPr>
        <w:t>partner</w:t>
      </w:r>
      <w:r w:rsidR="00C63235" w:rsidRPr="00EF5B55">
        <w:rPr>
          <w:lang w:val="en-AU"/>
        </w:rPr>
        <w:t>s</w:t>
      </w:r>
      <w:r w:rsidR="00C63235">
        <w:rPr>
          <w:lang w:val="en-AU"/>
        </w:rPr>
        <w:t xml:space="preserve"> </w:t>
      </w:r>
      <w:r w:rsidR="00D82905">
        <w:rPr>
          <w:lang w:val="en-AU"/>
        </w:rPr>
        <w:t>determine</w:t>
      </w:r>
      <w:r w:rsidR="005A6A35">
        <w:rPr>
          <w:lang w:val="en-AU"/>
        </w:rPr>
        <w:t xml:space="preserve"> the level of risk</w:t>
      </w:r>
      <w:r w:rsidR="00C63235">
        <w:rPr>
          <w:lang w:val="en-AU"/>
        </w:rPr>
        <w:t>.</w:t>
      </w:r>
      <w:r w:rsidR="005A6A35">
        <w:rPr>
          <w:lang w:val="en-AU"/>
        </w:rPr>
        <w:t xml:space="preserve"> </w:t>
      </w:r>
      <w:r w:rsidR="004E3138">
        <w:rPr>
          <w:lang w:val="en-AU"/>
        </w:rPr>
        <w:t xml:space="preserve">PSEAH Minimum Standards </w:t>
      </w:r>
      <w:r w:rsidR="009E4CD1">
        <w:rPr>
          <w:lang w:val="en-AU"/>
        </w:rPr>
        <w:t>are then</w:t>
      </w:r>
      <w:r w:rsidR="00C63235">
        <w:rPr>
          <w:lang w:val="en-AU"/>
        </w:rPr>
        <w:t xml:space="preserve"> applied commensurate with the </w:t>
      </w:r>
      <w:r w:rsidR="005A6A35">
        <w:rPr>
          <w:lang w:val="en-AU"/>
        </w:rPr>
        <w:t>level of risk</w:t>
      </w:r>
      <w:r w:rsidR="00C63235">
        <w:rPr>
          <w:lang w:val="en-AU"/>
        </w:rPr>
        <w:t xml:space="preserve"> identified</w:t>
      </w:r>
      <w:r w:rsidR="005B5E11">
        <w:rPr>
          <w:lang w:val="en-AU"/>
        </w:rPr>
        <w:t xml:space="preserve"> (Diagram 1 refers)</w:t>
      </w:r>
      <w:r w:rsidR="00C63235">
        <w:rPr>
          <w:lang w:val="en-AU"/>
        </w:rPr>
        <w:t xml:space="preserve">. </w:t>
      </w:r>
      <w:r w:rsidR="005A6A35">
        <w:rPr>
          <w:lang w:val="en-AU"/>
        </w:rPr>
        <w:t xml:space="preserve">There will be some instances where, </w:t>
      </w:r>
      <w:r w:rsidR="00576358">
        <w:rPr>
          <w:lang w:val="en-AU"/>
        </w:rPr>
        <w:t>in line with taking a proportional approach</w:t>
      </w:r>
      <w:r w:rsidR="005A6A35">
        <w:rPr>
          <w:lang w:val="en-AU"/>
        </w:rPr>
        <w:t>, the Minimum Standards will not apply.</w:t>
      </w:r>
      <w:r w:rsidR="00C63235">
        <w:rPr>
          <w:lang w:val="en-AU"/>
        </w:rPr>
        <w:t xml:space="preserve"> </w:t>
      </w:r>
      <w:r w:rsidR="004E3138">
        <w:rPr>
          <w:lang w:val="en-AU"/>
        </w:rPr>
        <w:t xml:space="preserve">This </w:t>
      </w:r>
      <w:r w:rsidR="000B4793">
        <w:rPr>
          <w:lang w:val="en-AU"/>
        </w:rPr>
        <w:t>is</w:t>
      </w:r>
      <w:r w:rsidR="004E3138">
        <w:rPr>
          <w:lang w:val="en-AU"/>
        </w:rPr>
        <w:t xml:space="preserve"> outlined in greater detail in </w:t>
      </w:r>
      <w:r w:rsidR="00971FA7">
        <w:rPr>
          <w:lang w:val="en-AU"/>
        </w:rPr>
        <w:t xml:space="preserve">the </w:t>
      </w:r>
      <w:r w:rsidR="00971FA7" w:rsidRPr="00971FA7">
        <w:rPr>
          <w:lang w:val="en-AU"/>
        </w:rPr>
        <w:t>Guidance.</w:t>
      </w:r>
    </w:p>
    <w:p w14:paraId="7A41081E" w14:textId="77777777" w:rsidR="005B5E11" w:rsidRDefault="005B5E11" w:rsidP="00EF5B55">
      <w:pPr>
        <w:rPr>
          <w:sz w:val="20"/>
          <w:szCs w:val="20"/>
          <w:lang w:val="en-AU"/>
        </w:rPr>
      </w:pPr>
    </w:p>
    <w:p w14:paraId="2BE16DD9" w14:textId="77777777" w:rsidR="00D82905" w:rsidRPr="00D82905" w:rsidRDefault="00D82905" w:rsidP="00EF5B55">
      <w:pPr>
        <w:rPr>
          <w:sz w:val="20"/>
          <w:szCs w:val="20"/>
          <w:lang w:val="en-AU"/>
        </w:rPr>
      </w:pPr>
      <w:r>
        <w:rPr>
          <w:sz w:val="20"/>
          <w:szCs w:val="20"/>
          <w:lang w:val="en-AU"/>
        </w:rPr>
        <w:t xml:space="preserve">Diagram 1:  </w:t>
      </w:r>
      <w:r w:rsidRPr="005B5E11">
        <w:rPr>
          <w:i/>
          <w:sz w:val="20"/>
          <w:szCs w:val="20"/>
          <w:lang w:val="en-AU"/>
        </w:rPr>
        <w:t>Establishing the level of SEAH risk</w:t>
      </w:r>
    </w:p>
    <w:p w14:paraId="023FD68F" w14:textId="77777777" w:rsidR="0083325D" w:rsidRPr="00EF5B55" w:rsidRDefault="0083325D" w:rsidP="00EF5B55">
      <w:pPr>
        <w:rPr>
          <w:lang w:val="en-AU"/>
        </w:rPr>
      </w:pPr>
      <w:r>
        <w:rPr>
          <w:noProof/>
          <w:lang w:val="en-AU" w:eastAsia="en-AU"/>
        </w:rPr>
        <w:drawing>
          <wp:inline distT="0" distB="0" distL="0" distR="0" wp14:anchorId="73BA854A" wp14:editId="4BBCCC90">
            <wp:extent cx="5591175" cy="3853678"/>
            <wp:effectExtent l="0" t="0" r="0" b="0"/>
            <wp:docPr id="201" name="Picture 201" descr="cid:image001.png@01D4DFE9.ECAC0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DFE9.ECAC0E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98683" cy="3858853"/>
                    </a:xfrm>
                    <a:prstGeom prst="rect">
                      <a:avLst/>
                    </a:prstGeom>
                    <a:noFill/>
                    <a:ln>
                      <a:noFill/>
                    </a:ln>
                  </pic:spPr>
                </pic:pic>
              </a:graphicData>
            </a:graphic>
          </wp:inline>
        </w:drawing>
      </w:r>
    </w:p>
    <w:p w14:paraId="6616CC51" w14:textId="77777777" w:rsidR="004E3138" w:rsidRDefault="004E3138" w:rsidP="0022196A">
      <w:pPr>
        <w:rPr>
          <w:lang w:val="en-AU"/>
        </w:rPr>
      </w:pPr>
      <w:r>
        <w:rPr>
          <w:lang w:val="en-AU"/>
        </w:rPr>
        <w:t>Risk and decision-making processes and documents need to reflect this assessment. This does not need to be a standalone procedure, and can be incorporated into existing activity planning and risk management processes.</w:t>
      </w:r>
    </w:p>
    <w:p w14:paraId="13A92B41" w14:textId="77777777" w:rsidR="009E4CD1" w:rsidRDefault="0022196A" w:rsidP="0022196A">
      <w:pPr>
        <w:rPr>
          <w:lang w:val="en-AU"/>
        </w:rPr>
      </w:pPr>
      <w:r>
        <w:rPr>
          <w:lang w:val="en-AU"/>
        </w:rPr>
        <w:t xml:space="preserve">It is the responsibility of </w:t>
      </w:r>
      <w:r w:rsidR="00AA5CA1">
        <w:rPr>
          <w:lang w:val="en-AU"/>
        </w:rPr>
        <w:t>DFAT</w:t>
      </w:r>
      <w:r>
        <w:rPr>
          <w:lang w:val="en-AU"/>
        </w:rPr>
        <w:t xml:space="preserve"> partners to ensure </w:t>
      </w:r>
      <w:r w:rsidR="004E3138">
        <w:rPr>
          <w:lang w:val="en-AU"/>
        </w:rPr>
        <w:t>controls are</w:t>
      </w:r>
      <w:r>
        <w:rPr>
          <w:lang w:val="en-AU"/>
        </w:rPr>
        <w:t xml:space="preserve"> in</w:t>
      </w:r>
      <w:r w:rsidR="000917AB">
        <w:rPr>
          <w:lang w:val="en-AU"/>
        </w:rPr>
        <w:t xml:space="preserve"> place to manage and monitor the risk of SEAH</w:t>
      </w:r>
      <w:r>
        <w:rPr>
          <w:lang w:val="en-AU"/>
        </w:rPr>
        <w:t xml:space="preserve"> and ensure processes are adhered to. It is the responsibility of DFAT to ensure that partners have SEAH </w:t>
      </w:r>
      <w:r w:rsidR="004E3138">
        <w:rPr>
          <w:lang w:val="en-AU"/>
        </w:rPr>
        <w:t>controls</w:t>
      </w:r>
      <w:r>
        <w:rPr>
          <w:lang w:val="en-AU"/>
        </w:rPr>
        <w:t xml:space="preserve"> i</w:t>
      </w:r>
      <w:r w:rsidR="00936405">
        <w:rPr>
          <w:lang w:val="en-AU"/>
        </w:rPr>
        <w:t>n place and that those partners</w:t>
      </w:r>
      <w:r>
        <w:rPr>
          <w:lang w:val="en-AU"/>
        </w:rPr>
        <w:t xml:space="preserve"> systems and assurance processes are robust.</w:t>
      </w:r>
    </w:p>
    <w:p w14:paraId="5BED0F57" w14:textId="77777777" w:rsidR="009E4CD1" w:rsidRDefault="009E4CD1">
      <w:pPr>
        <w:suppressAutoHyphens w:val="0"/>
        <w:spacing w:before="0" w:after="120" w:line="440" w:lineRule="atLeast"/>
        <w:rPr>
          <w:lang w:val="en-AU"/>
        </w:rPr>
      </w:pPr>
      <w:r>
        <w:rPr>
          <w:lang w:val="en-AU"/>
        </w:rPr>
        <w:br w:type="page"/>
      </w:r>
    </w:p>
    <w:bookmarkStart w:id="7" w:name="Reporting"/>
    <w:p w14:paraId="30725552" w14:textId="77777777" w:rsidR="007219FB" w:rsidRPr="00F03E43" w:rsidRDefault="009E4CD1" w:rsidP="00F03E43">
      <w:pPr>
        <w:pStyle w:val="ListParagraph"/>
        <w:numPr>
          <w:ilvl w:val="0"/>
          <w:numId w:val="8"/>
        </w:numPr>
        <w:rPr>
          <w:rFonts w:asciiTheme="majorHAnsi" w:eastAsiaTheme="majorEastAsia" w:hAnsiTheme="majorHAnsi" w:cstheme="majorBidi"/>
          <w:sz w:val="38"/>
          <w:szCs w:val="26"/>
          <w:lang w:val="en-AU"/>
        </w:rPr>
      </w:pPr>
      <w:r w:rsidRPr="009B1237">
        <w:rPr>
          <w:noProof/>
          <w:color w:val="FF0000"/>
          <w:lang w:val="en-AU" w:eastAsia="en-AU"/>
        </w:rPr>
        <mc:AlternateContent>
          <mc:Choice Requires="wps">
            <w:drawing>
              <wp:anchor distT="45720" distB="45720" distL="114300" distR="114300" simplePos="0" relativeHeight="251665408" behindDoc="0" locked="0" layoutInCell="1" allowOverlap="1" wp14:anchorId="269A76C2" wp14:editId="3FE6A95D">
                <wp:simplePos x="0" y="0"/>
                <wp:positionH relativeFrom="margin">
                  <wp:posOffset>-127000</wp:posOffset>
                </wp:positionH>
                <wp:positionV relativeFrom="paragraph">
                  <wp:posOffset>192</wp:posOffset>
                </wp:positionV>
                <wp:extent cx="5835650" cy="4796155"/>
                <wp:effectExtent l="0" t="0" r="12700" b="234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796155"/>
                        </a:xfrm>
                        <a:prstGeom prst="round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26F48CA" w14:textId="77777777" w:rsidR="00D06E89" w:rsidRPr="00D37F27" w:rsidRDefault="00D06E89" w:rsidP="004F1D07">
                            <w:pPr>
                              <w:pStyle w:val="Heading2"/>
                              <w:spacing w:before="120"/>
                              <w:rPr>
                                <w:lang w:val="en-AU"/>
                              </w:rPr>
                            </w:pPr>
                            <w:r>
                              <w:rPr>
                                <w:caps w:val="0"/>
                                <w:lang w:val="en-AU"/>
                              </w:rPr>
                              <w:t>Exploitative sex and relationships</w:t>
                            </w:r>
                          </w:p>
                          <w:p w14:paraId="0248213D" w14:textId="77777777" w:rsidR="00D06E89" w:rsidRDefault="00D06E89" w:rsidP="004F1D07">
                            <w:r>
                              <w:t xml:space="preserve">Men and women can be sexually exploited through </w:t>
                            </w:r>
                            <w:r w:rsidRPr="00952F24">
                              <w:rPr>
                                <w:b/>
                              </w:rPr>
                              <w:t>transactional sex</w:t>
                            </w:r>
                            <w:r>
                              <w:t xml:space="preserve"> (the </w:t>
                            </w:r>
                            <w:r w:rsidRPr="002A1209">
                              <w:t>exchange of money, employment, goods or services for sex</w:t>
                            </w:r>
                            <w:r>
                              <w:t xml:space="preserve"> or sexual acts), even in places where sex work is legal. After a crisis, people may engage in transactional sex to generate income and meet basic survival needs. They may not identify with the term “sex worker”. For a person purchasing sex in this setting, it is often impossible to distinguish between exploitative and non-exploitative transactional sex.   </w:t>
                            </w:r>
                          </w:p>
                          <w:p w14:paraId="242FC8F4" w14:textId="77777777" w:rsidR="00D06E89" w:rsidRDefault="00D06E89" w:rsidP="004F1D07">
                            <w:r w:rsidRPr="00394904">
                              <w:rPr>
                                <w:b/>
                              </w:rPr>
                              <w:t>Fraternisation</w:t>
                            </w:r>
                            <w:r w:rsidRPr="002A1209">
                              <w:rPr>
                                <w:b/>
                              </w:rPr>
                              <w:t xml:space="preserve"> </w:t>
                            </w:r>
                            <w:r>
                              <w:t>refers to a</w:t>
                            </w:r>
                            <w:r w:rsidRPr="002A1209">
                              <w:t xml:space="preserve">ny relationship </w:t>
                            </w:r>
                            <w:r>
                              <w:t xml:space="preserve">occurring in the course of conducting business, </w:t>
                            </w:r>
                            <w:r w:rsidR="00DA3EDC">
                              <w:t>that involves —</w:t>
                            </w:r>
                            <w:r w:rsidRPr="002A1209">
                              <w:t xml:space="preserve"> or appears to involve</w:t>
                            </w:r>
                            <w:r w:rsidR="00DA3EDC">
                              <w:t xml:space="preserve"> —</w:t>
                            </w:r>
                            <w:r w:rsidRPr="002A1209">
                              <w:t xml:space="preserve"> partiality, preferential treatment or improper use of rank or position including but not limited to voluntary sexua</w:t>
                            </w:r>
                            <w:r>
                              <w:t xml:space="preserve">l behaviour. It includes </w:t>
                            </w:r>
                            <w:r w:rsidRPr="002A1209">
                              <w:t>sexual behaviour not amounting to intercourse, a close and emotional relationship involving public displays of affection or private intimacy and the public expression of intimate relations.</w:t>
                            </w:r>
                          </w:p>
                          <w:p w14:paraId="583CEE0F" w14:textId="77777777" w:rsidR="00D06E89" w:rsidRDefault="00D06E89" w:rsidP="006A2B9C">
                            <w:r>
                              <w:t xml:space="preserve">Where there are significant power imbalances at play (based on gender, age, ability, </w:t>
                            </w:r>
                            <w:r w:rsidRPr="00D81B85">
                              <w:t>authority, so</w:t>
                            </w:r>
                            <w:r>
                              <w:t>cial and economic inequality, etc) the potential for exploitative transactional sex and fraternisation is heightened.</w:t>
                            </w:r>
                          </w:p>
                          <w:p w14:paraId="34859B34" w14:textId="7680B654" w:rsidR="00D06E89" w:rsidRDefault="00D06E89" w:rsidP="004F1D07">
                            <w:r>
                              <w:t xml:space="preserve">It is important that DFAT staff and partners </w:t>
                            </w:r>
                            <w:r w:rsidR="00900171">
                              <w:t>consider</w:t>
                            </w:r>
                            <w:r w:rsidR="009B302A">
                              <w:t xml:space="preserve"> whether the contexts in which they are working give rise to </w:t>
                            </w:r>
                            <w:r>
                              <w:t xml:space="preserve">exploitative sex and fraternisation. </w:t>
                            </w:r>
                            <w:r w:rsidR="00946AE3">
                              <w:t xml:space="preserve">The </w:t>
                            </w:r>
                            <w:r>
                              <w:t>risk assessment guidance associated with this Policy</w:t>
                            </w:r>
                            <w:r w:rsidR="00AA5CA1">
                              <w:t xml:space="preserve"> </w:t>
                            </w:r>
                            <w:r>
                              <w:t>will help to determine the likelihood of transactional sex or fraternisation constituting sexual exploitation. Where DFAT business is classified as “very high risk”, Minimum Standards 6 and 7 of this Policy, relating to the prohibition of transactional sex and fraternisation respectively, will apply. For more information, see Attachment A.</w:t>
                            </w:r>
                          </w:p>
                          <w:p w14:paraId="049FE6FF" w14:textId="77777777" w:rsidR="00D06E89" w:rsidRDefault="00D06E89" w:rsidP="004F1D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69A76C2" id="_x0000_s1028" style="position:absolute;left:0;text-align:left;margin-left:-10pt;margin-top:0;width:459.5pt;height:377.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" fillcolor="white [3201]" strokecolor="#65c5b4 [3204]" strokeweight="1pt">
                <v:stroke joinstyle="miter"/>
                <v:textbox>
                  <w:txbxContent>
                    <w:p w14:paraId="026F48CA" w14:textId="77777777" w:rsidR="00D06E89" w:rsidRPr="00D37F27" w:rsidRDefault="00D06E89" w:rsidP="004F1D07">
                      <w:pPr>
                        <w:pStyle w:val="Heading2"/>
                        <w:spacing w:before="120"/>
                        <w:rPr>
                          <w:lang w:val="en-AU"/>
                        </w:rPr>
                      </w:pPr>
                      <w:r>
                        <w:rPr>
                          <w:caps w:val="0"/>
                          <w:lang w:val="en-AU"/>
                        </w:rPr>
                        <w:t>Exploitative sex and relationships</w:t>
                      </w:r>
                    </w:p>
                    <w:p w14:paraId="0248213D" w14:textId="77777777" w:rsidR="00D06E89" w:rsidRDefault="00D06E89" w:rsidP="004F1D07">
                      <w:r>
                        <w:t xml:space="preserve">Men and women can be sexually exploited through </w:t>
                      </w:r>
                      <w:r w:rsidRPr="00952F24">
                        <w:rPr>
                          <w:b/>
                        </w:rPr>
                        <w:t>transactional sex</w:t>
                      </w:r>
                      <w:r>
                        <w:t xml:space="preserve"> (the </w:t>
                      </w:r>
                      <w:r w:rsidRPr="002A1209">
                        <w:t>exchange of money, employment, goods or services for sex</w:t>
                      </w:r>
                      <w:r>
                        <w:t xml:space="preserve"> or sexual acts), even in places where sex work is legal. After a crisis, people may engage in transactional sex to generate income and meet basic survival needs. They may not identify with the term “sex worker”. For a person purchasing sex in this setting, it is often impossible to distinguish between exploitative and non-exploitative transactional sex.   </w:t>
                      </w:r>
                    </w:p>
                    <w:p w14:paraId="242FC8F4" w14:textId="77777777" w:rsidR="00D06E89" w:rsidRDefault="00D06E89" w:rsidP="004F1D07">
                      <w:r w:rsidRPr="00394904">
                        <w:rPr>
                          <w:b/>
                        </w:rPr>
                        <w:t>Fraternisation</w:t>
                      </w:r>
                      <w:r w:rsidRPr="002A1209">
                        <w:rPr>
                          <w:b/>
                        </w:rPr>
                        <w:t xml:space="preserve"> </w:t>
                      </w:r>
                      <w:r>
                        <w:t>refers to a</w:t>
                      </w:r>
                      <w:r w:rsidRPr="002A1209">
                        <w:t xml:space="preserve">ny relationship </w:t>
                      </w:r>
                      <w:r>
                        <w:t xml:space="preserve">occurring in the course of conducting business, </w:t>
                      </w:r>
                      <w:r w:rsidR="00DA3EDC">
                        <w:t>that involves —</w:t>
                      </w:r>
                      <w:r w:rsidRPr="002A1209">
                        <w:t xml:space="preserve"> or appears to involve</w:t>
                      </w:r>
                      <w:r w:rsidR="00DA3EDC">
                        <w:t xml:space="preserve"> —</w:t>
                      </w:r>
                      <w:r w:rsidRPr="002A1209">
                        <w:t xml:space="preserve"> partiality, preferential treatment or improper use of rank or position including but not limited to voluntary sexua</w:t>
                      </w:r>
                      <w:r>
                        <w:t xml:space="preserve">l behaviour. It includes </w:t>
                      </w:r>
                      <w:r w:rsidRPr="002A1209">
                        <w:t>sexual behaviour not amounting to intercourse, a close and emotional relationship involving public displays of affection or private intimacy and the public expression of intimate relations.</w:t>
                      </w:r>
                    </w:p>
                    <w:p w14:paraId="583CEE0F" w14:textId="77777777" w:rsidR="00D06E89" w:rsidRDefault="00D06E89" w:rsidP="006A2B9C">
                      <w:r>
                        <w:t xml:space="preserve">Where there are significant power imbalances at play (based on gender, age, ability, </w:t>
                      </w:r>
                      <w:r w:rsidRPr="00D81B85">
                        <w:t>authority, so</w:t>
                      </w:r>
                      <w:r>
                        <w:t>cial and economic inequality, etc) the potential for exploitative transactional sex and fraternisation is heightened.</w:t>
                      </w:r>
                    </w:p>
                    <w:p w14:paraId="34859B34" w14:textId="7680B654" w:rsidR="00D06E89" w:rsidRDefault="00D06E89" w:rsidP="004F1D07">
                      <w:r>
                        <w:t xml:space="preserve">It is important that DFAT staff and partners </w:t>
                      </w:r>
                      <w:r w:rsidR="00900171">
                        <w:t>consider</w:t>
                      </w:r>
                      <w:r w:rsidR="009B302A">
                        <w:t xml:space="preserve"> whether the contexts in which they are working give rise to </w:t>
                      </w:r>
                      <w:r>
                        <w:t xml:space="preserve">exploitative sex and fraternisation. </w:t>
                      </w:r>
                      <w:r w:rsidR="00946AE3">
                        <w:t xml:space="preserve">The </w:t>
                      </w:r>
                      <w:r>
                        <w:t>risk assessment guidance associated with this Policy</w:t>
                      </w:r>
                      <w:r w:rsidR="00AA5CA1">
                        <w:t xml:space="preserve"> </w:t>
                      </w:r>
                      <w:r>
                        <w:t>will help to determine the likelihood of transactional sex or fraternisation constituting sexual exploitation. Where DFAT business is classified as “very high risk”, Minimum Standards 6 and 7 of this Policy, relating to the prohibition of transactional sex and fraternisation respectively, will apply. For more information, see Attachment A.</w:t>
                      </w:r>
                    </w:p>
                    <w:p w14:paraId="049FE6FF" w14:textId="77777777" w:rsidR="00D06E89" w:rsidRDefault="00D06E89" w:rsidP="004F1D07"/>
                  </w:txbxContent>
                </v:textbox>
                <w10:wrap type="topAndBottom" anchorx="margin"/>
              </v:roundrect>
            </w:pict>
          </mc:Fallback>
        </mc:AlternateContent>
      </w:r>
      <w:r w:rsidR="007219FB" w:rsidRPr="00F03E43">
        <w:rPr>
          <w:rFonts w:asciiTheme="majorHAnsi" w:eastAsiaTheme="majorEastAsia" w:hAnsiTheme="majorHAnsi" w:cstheme="majorBidi"/>
          <w:caps/>
          <w:sz w:val="38"/>
          <w:szCs w:val="26"/>
          <w:lang w:val="en-AU"/>
        </w:rPr>
        <w:t>reporting</w:t>
      </w:r>
    </w:p>
    <w:bookmarkEnd w:id="7"/>
    <w:p w14:paraId="056D7498" w14:textId="77777777" w:rsidR="00AC6CDA" w:rsidRDefault="00046377" w:rsidP="00261653">
      <w:pPr>
        <w:spacing w:after="240"/>
        <w:rPr>
          <w:rFonts w:ascii="Calibri Light" w:hAnsi="Calibri Light" w:cs="Calibri Light"/>
          <w:color w:val="44546A"/>
          <w:lang w:val="en-CA"/>
        </w:rPr>
      </w:pPr>
      <w:r>
        <w:rPr>
          <w:rFonts w:ascii="Calibri Light" w:hAnsi="Calibri Light" w:cs="Calibri Light"/>
          <w:color w:val="495965"/>
          <w:lang w:val="en-CA"/>
        </w:rPr>
        <w:t>Reporting</w:t>
      </w:r>
      <w:r w:rsidR="00CF735F" w:rsidRPr="00046377">
        <w:rPr>
          <w:rFonts w:ascii="Calibri Light" w:hAnsi="Calibri Light" w:cs="Calibri Light"/>
          <w:color w:val="495965"/>
          <w:lang w:val="en-CA"/>
        </w:rPr>
        <w:t xml:space="preserve"> </w:t>
      </w:r>
      <w:r>
        <w:rPr>
          <w:rFonts w:ascii="Calibri Light" w:hAnsi="Calibri Light" w:cs="Calibri Light"/>
          <w:color w:val="495965"/>
          <w:lang w:val="en-CA"/>
        </w:rPr>
        <w:t>helps us to</w:t>
      </w:r>
      <w:r w:rsidR="00FD218E" w:rsidRPr="00046377">
        <w:rPr>
          <w:rFonts w:ascii="Calibri Light" w:hAnsi="Calibri Light" w:cs="Calibri Light"/>
          <w:color w:val="495965"/>
          <w:lang w:val="en-CA"/>
        </w:rPr>
        <w:t xml:space="preserve"> monitor</w:t>
      </w:r>
      <w:r w:rsidR="008A7920" w:rsidRPr="00046377">
        <w:rPr>
          <w:rFonts w:ascii="Calibri Light" w:hAnsi="Calibri Light" w:cs="Calibri Light"/>
          <w:color w:val="495965"/>
          <w:lang w:val="en-CA"/>
        </w:rPr>
        <w:t xml:space="preserve"> SEAH incident</w:t>
      </w:r>
      <w:r w:rsidR="00F702CA" w:rsidRPr="00F702CA">
        <w:rPr>
          <w:rFonts w:ascii="Calibri Light" w:hAnsi="Calibri Light" w:cs="Calibri Light"/>
          <w:color w:val="495965"/>
          <w:lang w:val="en-CA"/>
        </w:rPr>
        <w:t xml:space="preserve"> </w:t>
      </w:r>
      <w:r w:rsidR="00F702CA" w:rsidRPr="00046377">
        <w:rPr>
          <w:rFonts w:ascii="Calibri Light" w:hAnsi="Calibri Light" w:cs="Calibri Light"/>
          <w:color w:val="495965"/>
          <w:lang w:val="en-CA"/>
        </w:rPr>
        <w:t>management</w:t>
      </w:r>
      <w:r w:rsidR="008A7920" w:rsidRPr="00046377">
        <w:rPr>
          <w:rFonts w:ascii="Calibri Light" w:hAnsi="Calibri Light" w:cs="Calibri Light"/>
          <w:color w:val="495965"/>
          <w:lang w:val="en-CA"/>
        </w:rPr>
        <w:t>.</w:t>
      </w:r>
      <w:r w:rsidR="008A7920">
        <w:rPr>
          <w:rFonts w:ascii="Calibri Light" w:hAnsi="Calibri Light" w:cs="Calibri Light"/>
          <w:color w:val="495965"/>
          <w:lang w:val="en-CA"/>
        </w:rPr>
        <w:t xml:space="preserve"> </w:t>
      </w:r>
      <w:r>
        <w:rPr>
          <w:rFonts w:ascii="Calibri Light" w:hAnsi="Calibri Light" w:cs="Calibri Light"/>
          <w:color w:val="495965"/>
          <w:lang w:val="en-CA"/>
        </w:rPr>
        <w:t xml:space="preserve">When </w:t>
      </w:r>
      <w:r w:rsidR="00900171">
        <w:rPr>
          <w:rFonts w:ascii="Calibri Light" w:hAnsi="Calibri Light" w:cs="Calibri Light"/>
          <w:color w:val="495965"/>
          <w:lang w:val="en-CA"/>
        </w:rPr>
        <w:t xml:space="preserve">alleged </w:t>
      </w:r>
      <w:r>
        <w:rPr>
          <w:rFonts w:ascii="Calibri Light" w:hAnsi="Calibri Light" w:cs="Calibri Light"/>
          <w:color w:val="495965"/>
          <w:lang w:val="en-CA"/>
        </w:rPr>
        <w:t>incidents</w:t>
      </w:r>
      <w:r w:rsidR="007768C8">
        <w:rPr>
          <w:rFonts w:ascii="Calibri Light" w:hAnsi="Calibri Light" w:cs="Calibri Light"/>
          <w:color w:val="495965"/>
          <w:lang w:val="en-CA"/>
        </w:rPr>
        <w:t xml:space="preserve"> are reported</w:t>
      </w:r>
      <w:r>
        <w:rPr>
          <w:rFonts w:ascii="Calibri Light" w:hAnsi="Calibri Light" w:cs="Calibri Light"/>
          <w:color w:val="495965"/>
          <w:lang w:val="en-CA"/>
        </w:rPr>
        <w:t xml:space="preserve">, we will </w:t>
      </w:r>
      <w:r w:rsidR="007B5281">
        <w:rPr>
          <w:rFonts w:ascii="Calibri Light" w:hAnsi="Calibri Light" w:cs="Calibri Light"/>
          <w:color w:val="495965"/>
          <w:lang w:val="en-CA"/>
        </w:rPr>
        <w:t xml:space="preserve">work with the organisation or individual to </w:t>
      </w:r>
      <w:r>
        <w:rPr>
          <w:rFonts w:ascii="Calibri Light" w:hAnsi="Calibri Light" w:cs="Calibri Light"/>
          <w:color w:val="495965"/>
          <w:lang w:val="en-CA"/>
        </w:rPr>
        <w:t xml:space="preserve">track </w:t>
      </w:r>
      <w:r w:rsidR="007B5281">
        <w:rPr>
          <w:rFonts w:ascii="Calibri Light" w:hAnsi="Calibri Light" w:cs="Calibri Light"/>
          <w:color w:val="495965"/>
          <w:lang w:val="en-CA"/>
        </w:rPr>
        <w:t>incident</w:t>
      </w:r>
      <w:r>
        <w:rPr>
          <w:rFonts w:ascii="Calibri Light" w:hAnsi="Calibri Light" w:cs="Calibri Light"/>
          <w:color w:val="495965"/>
          <w:lang w:val="en-CA"/>
        </w:rPr>
        <w:t xml:space="preserve"> </w:t>
      </w:r>
      <w:r w:rsidR="007768C8">
        <w:rPr>
          <w:rFonts w:ascii="Calibri Light" w:hAnsi="Calibri Light" w:cs="Calibri Light"/>
          <w:color w:val="495965"/>
          <w:lang w:val="en-CA"/>
        </w:rPr>
        <w:t>management</w:t>
      </w:r>
      <w:r>
        <w:rPr>
          <w:rFonts w:ascii="Calibri Light" w:hAnsi="Calibri Light" w:cs="Calibri Light"/>
          <w:color w:val="495965"/>
          <w:lang w:val="en-CA"/>
        </w:rPr>
        <w:t xml:space="preserve">. </w:t>
      </w:r>
      <w:r w:rsidR="008A7920">
        <w:rPr>
          <w:rFonts w:ascii="Calibri Light" w:hAnsi="Calibri Light" w:cs="Calibri Light"/>
          <w:color w:val="495965"/>
          <w:lang w:val="en-CA"/>
        </w:rPr>
        <w:t xml:space="preserve">Over time, reporting </w:t>
      </w:r>
      <w:r w:rsidR="00CF735F">
        <w:rPr>
          <w:rFonts w:ascii="Calibri Light" w:hAnsi="Calibri Light" w:cs="Calibri Light"/>
          <w:color w:val="495965"/>
          <w:lang w:val="en-CA"/>
        </w:rPr>
        <w:t>will allow</w:t>
      </w:r>
      <w:r w:rsidR="00917B69">
        <w:rPr>
          <w:rFonts w:ascii="Calibri Light" w:hAnsi="Calibri Light" w:cs="Calibri Light"/>
          <w:color w:val="495965"/>
          <w:lang w:val="en-CA"/>
        </w:rPr>
        <w:t xml:space="preserve"> us to analyse trends </w:t>
      </w:r>
      <w:r w:rsidR="007768C8">
        <w:rPr>
          <w:rFonts w:ascii="Calibri Light" w:hAnsi="Calibri Light" w:cs="Calibri Light"/>
          <w:color w:val="495965"/>
          <w:lang w:val="en-CA"/>
        </w:rPr>
        <w:t xml:space="preserve">and improve </w:t>
      </w:r>
      <w:r w:rsidR="00917B69">
        <w:rPr>
          <w:rFonts w:ascii="Calibri Light" w:hAnsi="Calibri Light" w:cs="Calibri Light"/>
          <w:color w:val="495965"/>
          <w:lang w:val="en-CA"/>
        </w:rPr>
        <w:t xml:space="preserve">prevention and response strategies. </w:t>
      </w:r>
      <w:r w:rsidR="00917B69" w:rsidRPr="00A930BF">
        <w:rPr>
          <w:rFonts w:ascii="Calibri Light" w:hAnsi="Calibri Light" w:cs="Calibri Light"/>
          <w:color w:val="44546A"/>
          <w:lang w:val="en-CA"/>
        </w:rPr>
        <w:t xml:space="preserve">In </w:t>
      </w:r>
      <w:r w:rsidR="007768C8">
        <w:rPr>
          <w:rFonts w:ascii="Calibri Light" w:hAnsi="Calibri Light" w:cs="Calibri Light"/>
          <w:color w:val="44546A"/>
          <w:lang w:val="en-CA"/>
        </w:rPr>
        <w:t xml:space="preserve">line </w:t>
      </w:r>
      <w:r w:rsidR="00917B69" w:rsidRPr="00A930BF">
        <w:rPr>
          <w:rFonts w:ascii="Calibri Light" w:hAnsi="Calibri Light" w:cs="Calibri Light"/>
          <w:color w:val="44546A"/>
          <w:lang w:val="en-CA"/>
        </w:rPr>
        <w:t>with our transparency agenda</w:t>
      </w:r>
      <w:r w:rsidR="00CF735F">
        <w:rPr>
          <w:rFonts w:ascii="Calibri Light" w:hAnsi="Calibri Light" w:cs="Calibri Light"/>
          <w:color w:val="44546A"/>
          <w:lang w:val="en-CA"/>
        </w:rPr>
        <w:t>,</w:t>
      </w:r>
      <w:r w:rsidR="00917B69" w:rsidRPr="00A930BF">
        <w:rPr>
          <w:rFonts w:ascii="Calibri Light" w:hAnsi="Calibri Light" w:cs="Calibri Light"/>
          <w:color w:val="44546A"/>
          <w:lang w:val="en-CA"/>
        </w:rPr>
        <w:t xml:space="preserve"> DFAT will report annually on </w:t>
      </w:r>
      <w:r w:rsidR="000917AB">
        <w:rPr>
          <w:rFonts w:ascii="Calibri Light" w:hAnsi="Calibri Light" w:cs="Calibri Light"/>
          <w:color w:val="44546A"/>
          <w:lang w:val="en-CA"/>
        </w:rPr>
        <w:t>P</w:t>
      </w:r>
      <w:r w:rsidR="00917B69">
        <w:rPr>
          <w:rFonts w:ascii="Calibri Light" w:hAnsi="Calibri Light" w:cs="Calibri Light"/>
          <w:color w:val="44546A"/>
          <w:lang w:val="en-CA"/>
        </w:rPr>
        <w:t xml:space="preserve">olicy implementation </w:t>
      </w:r>
      <w:r w:rsidR="00995FB8">
        <w:rPr>
          <w:rFonts w:ascii="Calibri Light" w:hAnsi="Calibri Light" w:cs="Calibri Light"/>
          <w:color w:val="44546A"/>
          <w:lang w:val="en-CA"/>
        </w:rPr>
        <w:t>—</w:t>
      </w:r>
      <w:r w:rsidR="00917B69">
        <w:rPr>
          <w:rFonts w:ascii="Calibri Light" w:hAnsi="Calibri Light" w:cs="Calibri Light"/>
          <w:color w:val="44546A"/>
          <w:lang w:val="en-CA"/>
        </w:rPr>
        <w:t xml:space="preserve"> not individual cases. </w:t>
      </w:r>
    </w:p>
    <w:p w14:paraId="531EA849" w14:textId="77777777" w:rsidR="00B96367" w:rsidRPr="00B96367" w:rsidRDefault="007768C8" w:rsidP="00B96367">
      <w:pPr>
        <w:spacing w:after="240"/>
        <w:rPr>
          <w:rFonts w:ascii="Calibri Light" w:hAnsi="Calibri Light" w:cs="Calibri Light"/>
          <w:color w:val="495965"/>
          <w:lang w:val="en-CA"/>
        </w:rPr>
      </w:pPr>
      <w:r>
        <w:rPr>
          <w:rFonts w:ascii="Calibri Light" w:hAnsi="Calibri Light" w:cs="Calibri Light"/>
          <w:color w:val="495965"/>
          <w:lang w:val="en-CA"/>
        </w:rPr>
        <w:t xml:space="preserve">In accordance with Principle 3 </w:t>
      </w:r>
      <w:r>
        <w:rPr>
          <w:lang w:val="en-AU"/>
        </w:rPr>
        <w:t>—</w:t>
      </w:r>
      <w:r>
        <w:rPr>
          <w:rFonts w:ascii="Calibri Light" w:hAnsi="Calibri Light" w:cs="Calibri Light"/>
          <w:color w:val="495965"/>
          <w:lang w:val="en-CA"/>
        </w:rPr>
        <w:t xml:space="preserve"> </w:t>
      </w:r>
      <w:r w:rsidRPr="00B96367">
        <w:rPr>
          <w:rFonts w:ascii="Calibri Light" w:hAnsi="Calibri Light" w:cs="Calibri Light"/>
          <w:i/>
          <w:color w:val="495965"/>
          <w:lang w:val="en-CA"/>
        </w:rPr>
        <w:t xml:space="preserve">Victim/survivor needs </w:t>
      </w:r>
      <w:r>
        <w:rPr>
          <w:rFonts w:ascii="Calibri Light" w:hAnsi="Calibri Light" w:cs="Calibri Light"/>
          <w:i/>
          <w:color w:val="495965"/>
          <w:lang w:val="en-CA"/>
        </w:rPr>
        <w:t xml:space="preserve">are </w:t>
      </w:r>
      <w:r w:rsidRPr="00B96367">
        <w:rPr>
          <w:rFonts w:ascii="Calibri Light" w:hAnsi="Calibri Light" w:cs="Calibri Light"/>
          <w:i/>
          <w:color w:val="495965"/>
          <w:lang w:val="en-CA"/>
        </w:rPr>
        <w:t>prioritised</w:t>
      </w:r>
      <w:r w:rsidR="00971FA7">
        <w:rPr>
          <w:rFonts w:ascii="Calibri Light" w:hAnsi="Calibri Light" w:cs="Calibri Light"/>
          <w:i/>
          <w:color w:val="495965"/>
          <w:lang w:val="en-CA"/>
        </w:rPr>
        <w:t xml:space="preserve"> — </w:t>
      </w:r>
      <w:r w:rsidR="005B5E11">
        <w:t>victims’</w:t>
      </w:r>
      <w:r w:rsidR="00971FA7">
        <w:t xml:space="preserve"> and </w:t>
      </w:r>
      <w:r w:rsidR="00CF735F">
        <w:t>survivors’ safety</w:t>
      </w:r>
      <w:r w:rsidR="00C12922">
        <w:t xml:space="preserve"> and wellbeing</w:t>
      </w:r>
      <w:r w:rsidR="00CF735F">
        <w:t xml:space="preserve"> </w:t>
      </w:r>
      <w:r w:rsidR="0081321B">
        <w:t>must</w:t>
      </w:r>
      <w:r w:rsidR="00CF735F">
        <w:t xml:space="preserve"> be paramount to reporting and their information treated confidentially. </w:t>
      </w:r>
      <w:r w:rsidR="00C12922">
        <w:t xml:space="preserve">Whistleblowers </w:t>
      </w:r>
      <w:r w:rsidR="0081321B">
        <w:t>must</w:t>
      </w:r>
      <w:r w:rsidR="00C12922">
        <w:t xml:space="preserve"> similarly feel safe and protected during the reporting process.</w:t>
      </w:r>
    </w:p>
    <w:p w14:paraId="5A2AD3C8" w14:textId="77777777" w:rsidR="00FC2381" w:rsidRPr="00261653" w:rsidRDefault="00FC2381" w:rsidP="00FC2381">
      <w:pPr>
        <w:spacing w:after="240"/>
        <w:rPr>
          <w:rFonts w:ascii="Calibri Light" w:hAnsi="Calibri Light" w:cs="Calibri Light"/>
          <w:color w:val="495965"/>
          <w:lang w:val="en-CA"/>
        </w:rPr>
      </w:pPr>
      <w:r w:rsidRPr="00261653">
        <w:rPr>
          <w:rFonts w:ascii="Calibri Light" w:hAnsi="Calibri Light" w:cs="Calibri Light"/>
          <w:color w:val="495965"/>
          <w:lang w:val="en-CA"/>
        </w:rPr>
        <w:t xml:space="preserve">DFAT expects </w:t>
      </w:r>
      <w:r w:rsidR="008A7920">
        <w:rPr>
          <w:rFonts w:ascii="Calibri Light" w:hAnsi="Calibri Light" w:cs="Calibri Light"/>
          <w:color w:val="495965"/>
          <w:lang w:val="en-CA"/>
        </w:rPr>
        <w:t>two</w:t>
      </w:r>
      <w:r w:rsidRPr="00261653">
        <w:rPr>
          <w:rFonts w:ascii="Calibri Light" w:hAnsi="Calibri Light" w:cs="Calibri Light"/>
          <w:color w:val="495965"/>
          <w:lang w:val="en-CA"/>
        </w:rPr>
        <w:t xml:space="preserve"> kinds of </w:t>
      </w:r>
      <w:r w:rsidR="008A7920">
        <w:rPr>
          <w:rFonts w:ascii="Calibri Light" w:hAnsi="Calibri Light" w:cs="Calibri Light"/>
          <w:color w:val="495965"/>
          <w:lang w:val="en-CA"/>
        </w:rPr>
        <w:t xml:space="preserve">incident </w:t>
      </w:r>
      <w:r w:rsidRPr="00261653">
        <w:rPr>
          <w:rFonts w:ascii="Calibri Light" w:hAnsi="Calibri Light" w:cs="Calibri Light"/>
          <w:color w:val="495965"/>
          <w:lang w:val="en-CA"/>
        </w:rPr>
        <w:t>reporting:</w:t>
      </w:r>
    </w:p>
    <w:p w14:paraId="380B82A3" w14:textId="77777777" w:rsidR="00FC2381" w:rsidRDefault="00F9132A" w:rsidP="00DC184B">
      <w:pPr>
        <w:numPr>
          <w:ilvl w:val="0"/>
          <w:numId w:val="16"/>
        </w:numPr>
        <w:spacing w:after="240"/>
        <w:contextualSpacing/>
        <w:rPr>
          <w:rFonts w:ascii="Calibri Light" w:hAnsi="Calibri Light" w:cs="Calibri Light"/>
          <w:color w:val="495965"/>
          <w:lang w:val="en-CA"/>
        </w:rPr>
      </w:pPr>
      <w:r w:rsidRPr="00971FA7">
        <w:rPr>
          <w:rFonts w:ascii="Calibri Light" w:hAnsi="Calibri Light" w:cs="Calibri Light"/>
          <w:b/>
          <w:color w:val="495965"/>
          <w:lang w:val="en-CA"/>
        </w:rPr>
        <w:t>M</w:t>
      </w:r>
      <w:r w:rsidR="00FC2381" w:rsidRPr="00971FA7">
        <w:rPr>
          <w:rFonts w:ascii="Calibri Light" w:hAnsi="Calibri Light" w:cs="Calibri Light"/>
          <w:b/>
          <w:color w:val="495965"/>
          <w:lang w:val="en-CA"/>
        </w:rPr>
        <w:t>andatory</w:t>
      </w:r>
      <w:r w:rsidRPr="00971FA7">
        <w:rPr>
          <w:rFonts w:ascii="Calibri Light" w:hAnsi="Calibri Light" w:cs="Calibri Light"/>
          <w:b/>
          <w:color w:val="495965"/>
          <w:lang w:val="en-CA"/>
        </w:rPr>
        <w:t xml:space="preserve"> and immediate</w:t>
      </w:r>
      <w:r>
        <w:rPr>
          <w:rFonts w:ascii="Calibri Light" w:hAnsi="Calibri Light" w:cs="Calibri Light"/>
          <w:color w:val="495965"/>
          <w:lang w:val="en-CA"/>
        </w:rPr>
        <w:t xml:space="preserve"> </w:t>
      </w:r>
      <w:r w:rsidRPr="00F9132A">
        <w:rPr>
          <w:rFonts w:ascii="Calibri Light" w:hAnsi="Calibri Light" w:cs="Calibri Light"/>
          <w:color w:val="495965"/>
          <w:lang w:val="en-CA"/>
        </w:rPr>
        <w:t xml:space="preserve">(within </w:t>
      </w:r>
      <w:r w:rsidR="00995FB8">
        <w:rPr>
          <w:rFonts w:ascii="Calibri Light" w:hAnsi="Calibri Light" w:cs="Calibri Light"/>
          <w:color w:val="495965"/>
          <w:lang w:val="en-CA"/>
        </w:rPr>
        <w:t>two working days</w:t>
      </w:r>
      <w:r w:rsidRPr="00F9132A">
        <w:rPr>
          <w:rFonts w:ascii="Calibri Light" w:hAnsi="Calibri Light" w:cs="Calibri Light"/>
          <w:color w:val="495965"/>
          <w:lang w:val="en-CA"/>
        </w:rPr>
        <w:t xml:space="preserve"> of b</w:t>
      </w:r>
      <w:r>
        <w:rPr>
          <w:rFonts w:ascii="Calibri Light" w:hAnsi="Calibri Light" w:cs="Calibri Light"/>
          <w:color w:val="495965"/>
          <w:lang w:val="en-CA"/>
        </w:rPr>
        <w:t>ecoming aware of an</w:t>
      </w:r>
      <w:r w:rsidR="00900171">
        <w:rPr>
          <w:rFonts w:ascii="Calibri Light" w:hAnsi="Calibri Light" w:cs="Calibri Light"/>
          <w:color w:val="495965"/>
          <w:lang w:val="en-CA"/>
        </w:rPr>
        <w:t xml:space="preserve"> alleged</w:t>
      </w:r>
      <w:r>
        <w:rPr>
          <w:rFonts w:ascii="Calibri Light" w:hAnsi="Calibri Light" w:cs="Calibri Light"/>
          <w:color w:val="495965"/>
          <w:lang w:val="en-CA"/>
        </w:rPr>
        <w:t xml:space="preserve"> </w:t>
      </w:r>
      <w:r w:rsidR="0081321B">
        <w:rPr>
          <w:rFonts w:ascii="Calibri Light" w:hAnsi="Calibri Light" w:cs="Calibri Light"/>
          <w:color w:val="495965"/>
          <w:lang w:val="en-CA"/>
        </w:rPr>
        <w:t>incident</w:t>
      </w:r>
      <w:r>
        <w:rPr>
          <w:rFonts w:ascii="Calibri Light" w:hAnsi="Calibri Light" w:cs="Calibri Light"/>
          <w:color w:val="495965"/>
          <w:lang w:val="en-CA"/>
        </w:rPr>
        <w:t>) reporting by</w:t>
      </w:r>
      <w:r w:rsidR="00FC2381" w:rsidRPr="00261653">
        <w:rPr>
          <w:rFonts w:ascii="Calibri Light" w:hAnsi="Calibri Light" w:cs="Calibri Light"/>
          <w:color w:val="495965"/>
          <w:lang w:val="en-CA"/>
        </w:rPr>
        <w:t xml:space="preserve"> all </w:t>
      </w:r>
      <w:r w:rsidR="006432AA">
        <w:rPr>
          <w:rFonts w:ascii="Calibri Light" w:hAnsi="Calibri Light" w:cs="Calibri Light"/>
          <w:color w:val="495965"/>
          <w:lang w:val="en-CA"/>
        </w:rPr>
        <w:t xml:space="preserve">staff and </w:t>
      </w:r>
      <w:r w:rsidR="00AA5CA1">
        <w:rPr>
          <w:rFonts w:ascii="Calibri Light" w:hAnsi="Calibri Light" w:cs="Calibri Light"/>
          <w:color w:val="495965"/>
          <w:lang w:val="en-CA"/>
        </w:rPr>
        <w:t>DFAT</w:t>
      </w:r>
      <w:r w:rsidR="000917AB">
        <w:rPr>
          <w:rFonts w:ascii="Calibri Light" w:hAnsi="Calibri Light" w:cs="Calibri Light"/>
          <w:color w:val="495965"/>
          <w:lang w:val="en-CA"/>
        </w:rPr>
        <w:t xml:space="preserve"> partner</w:t>
      </w:r>
      <w:r w:rsidR="00FC2381" w:rsidRPr="00261653">
        <w:rPr>
          <w:rFonts w:ascii="Calibri Light" w:hAnsi="Calibri Light" w:cs="Calibri Light"/>
          <w:color w:val="495965"/>
          <w:lang w:val="en-CA"/>
        </w:rPr>
        <w:t xml:space="preserve">s </w:t>
      </w:r>
      <w:r>
        <w:rPr>
          <w:rFonts w:ascii="Calibri Light" w:hAnsi="Calibri Light" w:cs="Calibri Light"/>
          <w:color w:val="495965"/>
          <w:lang w:val="en-CA"/>
        </w:rPr>
        <w:t xml:space="preserve">of </w:t>
      </w:r>
      <w:r w:rsidR="00FC2381" w:rsidRPr="00261653">
        <w:rPr>
          <w:rFonts w:ascii="Calibri Light" w:hAnsi="Calibri Light" w:cs="Calibri Light"/>
          <w:color w:val="495965"/>
          <w:lang w:val="en-CA"/>
        </w:rPr>
        <w:t xml:space="preserve">any </w:t>
      </w:r>
      <w:r w:rsidR="00900171">
        <w:rPr>
          <w:rFonts w:ascii="Calibri Light" w:hAnsi="Calibri Light" w:cs="Calibri Light"/>
          <w:color w:val="495965"/>
          <w:lang w:val="en-CA"/>
        </w:rPr>
        <w:t xml:space="preserve">alleged </w:t>
      </w:r>
      <w:r w:rsidR="0081321B">
        <w:rPr>
          <w:rFonts w:ascii="Calibri Light" w:hAnsi="Calibri Light" w:cs="Calibri Light"/>
          <w:color w:val="495965"/>
          <w:lang w:val="en-CA"/>
        </w:rPr>
        <w:t>incident</w:t>
      </w:r>
      <w:r w:rsidR="00BA54B3" w:rsidRPr="00261653">
        <w:rPr>
          <w:rFonts w:ascii="Calibri Light" w:hAnsi="Calibri Light" w:cs="Calibri Light"/>
          <w:color w:val="495965"/>
          <w:lang w:val="en-CA"/>
        </w:rPr>
        <w:t xml:space="preserve"> </w:t>
      </w:r>
      <w:r w:rsidR="00FC2381" w:rsidRPr="00261653">
        <w:rPr>
          <w:rFonts w:ascii="Calibri Light" w:hAnsi="Calibri Light" w:cs="Calibri Light"/>
          <w:color w:val="495965"/>
          <w:lang w:val="en-CA"/>
        </w:rPr>
        <w:t>of sexual exp</w:t>
      </w:r>
      <w:r w:rsidR="00261653" w:rsidRPr="00261653">
        <w:rPr>
          <w:rFonts w:ascii="Calibri Light" w:hAnsi="Calibri Light" w:cs="Calibri Light"/>
          <w:color w:val="495965"/>
          <w:lang w:val="en-CA"/>
        </w:rPr>
        <w:t>loitation, abuse or harassment</w:t>
      </w:r>
      <w:r>
        <w:rPr>
          <w:rFonts w:ascii="Calibri Light" w:hAnsi="Calibri Light" w:cs="Calibri Light"/>
          <w:color w:val="495965"/>
          <w:lang w:val="en-CA"/>
        </w:rPr>
        <w:t xml:space="preserve"> related to the delivery of </w:t>
      </w:r>
      <w:r w:rsidR="00D60437">
        <w:rPr>
          <w:rFonts w:ascii="Calibri Light" w:hAnsi="Calibri Light" w:cs="Calibri Light"/>
          <w:color w:val="495965"/>
          <w:lang w:val="en-CA"/>
        </w:rPr>
        <w:t xml:space="preserve">DFAT </w:t>
      </w:r>
      <w:r>
        <w:rPr>
          <w:rFonts w:ascii="Calibri Light" w:hAnsi="Calibri Light" w:cs="Calibri Light"/>
          <w:color w:val="495965"/>
          <w:lang w:val="en-CA"/>
        </w:rPr>
        <w:t>business</w:t>
      </w:r>
      <w:r w:rsidR="00971FA7">
        <w:rPr>
          <w:rFonts w:ascii="Calibri Light" w:hAnsi="Calibri Light" w:cs="Calibri Light"/>
          <w:color w:val="495965"/>
          <w:lang w:val="en-CA"/>
        </w:rPr>
        <w:t>. This includes any</w:t>
      </w:r>
      <w:r w:rsidR="00900171">
        <w:rPr>
          <w:rFonts w:ascii="Calibri Light" w:hAnsi="Calibri Light" w:cs="Calibri Light"/>
          <w:color w:val="495965"/>
          <w:lang w:val="en-CA"/>
        </w:rPr>
        <w:t xml:space="preserve"> alleged</w:t>
      </w:r>
      <w:r w:rsidR="00971FA7">
        <w:rPr>
          <w:rFonts w:ascii="Calibri Light" w:hAnsi="Calibri Light" w:cs="Calibri Light"/>
          <w:color w:val="495965"/>
          <w:lang w:val="en-CA"/>
        </w:rPr>
        <w:t xml:space="preserve"> incident</w:t>
      </w:r>
      <w:r>
        <w:rPr>
          <w:rFonts w:ascii="Calibri Light" w:hAnsi="Calibri Light" w:cs="Calibri Light"/>
          <w:color w:val="495965"/>
          <w:lang w:val="en-CA"/>
        </w:rPr>
        <w:t xml:space="preserve"> </w:t>
      </w:r>
      <w:r w:rsidR="00FC2381" w:rsidRPr="00F9132A">
        <w:rPr>
          <w:rFonts w:ascii="Calibri Light" w:hAnsi="Calibri Light" w:cs="Calibri Light"/>
          <w:color w:val="495965"/>
          <w:lang w:val="en-CA"/>
        </w:rPr>
        <w:t>that poses a signif</w:t>
      </w:r>
      <w:r w:rsidR="00261653" w:rsidRPr="00F9132A">
        <w:rPr>
          <w:rFonts w:ascii="Calibri Light" w:hAnsi="Calibri Light" w:cs="Calibri Light"/>
          <w:color w:val="495965"/>
          <w:lang w:val="en-CA"/>
        </w:rPr>
        <w:t xml:space="preserve">icant reputational risk to DFAT. For example, an allegation against </w:t>
      </w:r>
      <w:r w:rsidR="006432AA">
        <w:rPr>
          <w:rFonts w:ascii="Calibri Light" w:hAnsi="Calibri Light" w:cs="Calibri Light"/>
          <w:color w:val="495965"/>
          <w:lang w:val="en-CA"/>
        </w:rPr>
        <w:t>a senior staff member</w:t>
      </w:r>
      <w:r w:rsidR="00261653" w:rsidRPr="00F9132A">
        <w:rPr>
          <w:rFonts w:ascii="Calibri Light" w:hAnsi="Calibri Light" w:cs="Calibri Light"/>
          <w:color w:val="495965"/>
          <w:lang w:val="en-CA"/>
        </w:rPr>
        <w:t xml:space="preserve"> of a partner organisation. </w:t>
      </w:r>
    </w:p>
    <w:p w14:paraId="2C9F7F08" w14:textId="77777777" w:rsidR="00047BC6" w:rsidRPr="00047BC6" w:rsidRDefault="00027DA6" w:rsidP="00DC184B">
      <w:pPr>
        <w:numPr>
          <w:ilvl w:val="0"/>
          <w:numId w:val="16"/>
        </w:numPr>
        <w:spacing w:after="240"/>
        <w:contextualSpacing/>
        <w:rPr>
          <w:rFonts w:ascii="Calibri Light" w:hAnsi="Calibri Light" w:cs="Calibri Light"/>
          <w:color w:val="495965"/>
          <w:lang w:val="en-CA"/>
        </w:rPr>
      </w:pPr>
      <w:r>
        <w:rPr>
          <w:rFonts w:ascii="Calibri Light" w:hAnsi="Calibri Light" w:cs="Calibri Light"/>
          <w:b/>
          <w:color w:val="495965"/>
          <w:lang w:val="en-CA"/>
        </w:rPr>
        <w:t>Mandatory</w:t>
      </w:r>
      <w:r w:rsidR="00EE0E6B" w:rsidRPr="00971FA7">
        <w:rPr>
          <w:rFonts w:ascii="Calibri Light" w:hAnsi="Calibri Light" w:cs="Calibri Light"/>
          <w:b/>
          <w:color w:val="495965"/>
          <w:lang w:val="en-CA"/>
        </w:rPr>
        <w:t xml:space="preserve"> </w:t>
      </w:r>
      <w:r w:rsidR="00047BC6" w:rsidRPr="00971FA7">
        <w:rPr>
          <w:rFonts w:ascii="Calibri Light" w:hAnsi="Calibri Light" w:cs="Calibri Light"/>
          <w:b/>
          <w:color w:val="495965"/>
          <w:lang w:val="en-CA"/>
        </w:rPr>
        <w:t>reporting</w:t>
      </w:r>
      <w:r w:rsidR="00047BC6">
        <w:rPr>
          <w:rFonts w:ascii="Calibri Light" w:hAnsi="Calibri Light" w:cs="Calibri Light"/>
          <w:color w:val="495965"/>
          <w:lang w:val="en-CA"/>
        </w:rPr>
        <w:t xml:space="preserve"> (within five working days) </w:t>
      </w:r>
      <w:r w:rsidR="00047BC6" w:rsidRPr="00047BC6">
        <w:rPr>
          <w:rFonts w:ascii="Calibri Light" w:hAnsi="Calibri Light" w:cs="Calibri Light"/>
          <w:color w:val="495965"/>
          <w:lang w:val="en-CA"/>
        </w:rPr>
        <w:t xml:space="preserve">by all </w:t>
      </w:r>
      <w:r w:rsidR="006432AA">
        <w:rPr>
          <w:rFonts w:ascii="Calibri Light" w:hAnsi="Calibri Light" w:cs="Calibri Light"/>
          <w:color w:val="495965"/>
          <w:lang w:val="en-CA"/>
        </w:rPr>
        <w:t xml:space="preserve">staff and </w:t>
      </w:r>
      <w:r w:rsidR="00AA5CA1">
        <w:rPr>
          <w:rFonts w:ascii="Calibri Light" w:hAnsi="Calibri Light" w:cs="Calibri Light"/>
          <w:color w:val="495965"/>
          <w:lang w:val="en-CA"/>
        </w:rPr>
        <w:t>DFAT</w:t>
      </w:r>
      <w:r w:rsidR="000917AB">
        <w:rPr>
          <w:rFonts w:ascii="Calibri Light" w:hAnsi="Calibri Light" w:cs="Calibri Light"/>
          <w:color w:val="495965"/>
          <w:lang w:val="en-CA"/>
        </w:rPr>
        <w:t xml:space="preserve"> partner</w:t>
      </w:r>
      <w:r w:rsidR="00047BC6" w:rsidRPr="00047BC6">
        <w:rPr>
          <w:rFonts w:ascii="Calibri Light" w:hAnsi="Calibri Light" w:cs="Calibri Light"/>
          <w:color w:val="495965"/>
          <w:lang w:val="en-CA"/>
        </w:rPr>
        <w:t xml:space="preserve">s of any alleged </w:t>
      </w:r>
      <w:r w:rsidR="000917AB">
        <w:rPr>
          <w:rFonts w:ascii="Calibri Light" w:hAnsi="Calibri Light" w:cs="Calibri Light"/>
          <w:color w:val="495965"/>
          <w:lang w:val="en-CA"/>
        </w:rPr>
        <w:t>P</w:t>
      </w:r>
      <w:r w:rsidR="00BA54B3">
        <w:rPr>
          <w:rFonts w:ascii="Calibri Light" w:hAnsi="Calibri Light" w:cs="Calibri Light"/>
          <w:color w:val="495965"/>
          <w:lang w:val="en-CA"/>
        </w:rPr>
        <w:t xml:space="preserve">olicy </w:t>
      </w:r>
      <w:r w:rsidR="00047BC6">
        <w:rPr>
          <w:rFonts w:ascii="Calibri Light" w:hAnsi="Calibri Light" w:cs="Calibri Light"/>
          <w:color w:val="495965"/>
          <w:lang w:val="en-CA"/>
        </w:rPr>
        <w:t>non-compliance</w:t>
      </w:r>
      <w:r w:rsidR="00D26327" w:rsidRPr="00D26327">
        <w:rPr>
          <w:rFonts w:ascii="Calibri Light" w:hAnsi="Calibri Light" w:cs="Calibri Light"/>
          <w:color w:val="495965"/>
          <w:lang w:val="en-CA"/>
        </w:rPr>
        <w:t>; f</w:t>
      </w:r>
      <w:r w:rsidR="00D60437" w:rsidRPr="00D26327">
        <w:rPr>
          <w:rFonts w:ascii="Calibri Light" w:hAnsi="Calibri Light" w:cs="Calibri Light"/>
          <w:color w:val="495965"/>
          <w:lang w:val="en-CA"/>
        </w:rPr>
        <w:t>or example,</w:t>
      </w:r>
      <w:r w:rsidR="00D26327">
        <w:rPr>
          <w:rFonts w:ascii="Calibri Light" w:hAnsi="Calibri Light" w:cs="Calibri Light"/>
          <w:color w:val="495965"/>
          <w:lang w:val="en-CA"/>
        </w:rPr>
        <w:t xml:space="preserve"> failure to </w:t>
      </w:r>
      <w:r w:rsidR="000917AB">
        <w:rPr>
          <w:rFonts w:ascii="Calibri Light" w:hAnsi="Calibri Light" w:cs="Calibri Light"/>
          <w:color w:val="495965"/>
          <w:lang w:val="en-CA"/>
        </w:rPr>
        <w:t xml:space="preserve">adhere to </w:t>
      </w:r>
      <w:r w:rsidR="00576358">
        <w:rPr>
          <w:rFonts w:ascii="Calibri Light" w:hAnsi="Calibri Light" w:cs="Calibri Light"/>
          <w:color w:val="495965"/>
          <w:lang w:val="en-CA"/>
        </w:rPr>
        <w:t xml:space="preserve">the </w:t>
      </w:r>
      <w:r w:rsidR="00936405">
        <w:rPr>
          <w:rFonts w:ascii="Calibri Light" w:hAnsi="Calibri Light" w:cs="Calibri Light"/>
          <w:color w:val="495965"/>
          <w:lang w:val="en-CA"/>
        </w:rPr>
        <w:t xml:space="preserve">PSEAH Policy </w:t>
      </w:r>
      <w:r w:rsidR="00576358">
        <w:rPr>
          <w:rFonts w:ascii="Calibri Light" w:hAnsi="Calibri Light" w:cs="Calibri Light"/>
          <w:color w:val="495965"/>
          <w:lang w:val="en-CA"/>
        </w:rPr>
        <w:t>M</w:t>
      </w:r>
      <w:r w:rsidR="000917AB">
        <w:rPr>
          <w:rFonts w:ascii="Calibri Light" w:hAnsi="Calibri Light" w:cs="Calibri Light"/>
          <w:color w:val="495965"/>
          <w:lang w:val="en-CA"/>
        </w:rPr>
        <w:t xml:space="preserve">inimum </w:t>
      </w:r>
      <w:r w:rsidR="00576358">
        <w:rPr>
          <w:rFonts w:ascii="Calibri Light" w:hAnsi="Calibri Light" w:cs="Calibri Light"/>
          <w:color w:val="495965"/>
          <w:lang w:val="en-CA"/>
        </w:rPr>
        <w:t>S</w:t>
      </w:r>
      <w:r w:rsidR="000917AB">
        <w:rPr>
          <w:rFonts w:ascii="Calibri Light" w:hAnsi="Calibri Light" w:cs="Calibri Light"/>
          <w:color w:val="495965"/>
          <w:lang w:val="en-CA"/>
        </w:rPr>
        <w:t>tandards or</w:t>
      </w:r>
      <w:r w:rsidR="00971FA7">
        <w:rPr>
          <w:rFonts w:ascii="Calibri Light" w:hAnsi="Calibri Light" w:cs="Calibri Light"/>
          <w:color w:val="495965"/>
          <w:lang w:val="en-CA"/>
        </w:rPr>
        <w:t xml:space="preserve"> </w:t>
      </w:r>
      <w:r w:rsidR="00936405">
        <w:rPr>
          <w:rFonts w:ascii="Calibri Light" w:hAnsi="Calibri Light" w:cs="Calibri Light"/>
          <w:color w:val="495965"/>
          <w:lang w:val="en-CA"/>
        </w:rPr>
        <w:t>principles.</w:t>
      </w:r>
    </w:p>
    <w:p w14:paraId="7DD92B3F" w14:textId="77777777" w:rsidR="00FC2381" w:rsidRPr="00F03E43" w:rsidRDefault="00FC2381" w:rsidP="00F03E43">
      <w:pPr>
        <w:keepNext/>
        <w:rPr>
          <w:rFonts w:ascii="Calibri Light" w:hAnsi="Calibri Light" w:cs="Calibri Light"/>
          <w:b/>
          <w:color w:val="495965"/>
          <w:lang w:val="en-CA"/>
        </w:rPr>
      </w:pPr>
      <w:r w:rsidRPr="00F03E43">
        <w:rPr>
          <w:rFonts w:ascii="Calibri Light" w:hAnsi="Calibri Light" w:cs="Calibri Light"/>
          <w:b/>
          <w:color w:val="495965"/>
          <w:lang w:val="en-CA"/>
        </w:rPr>
        <w:t xml:space="preserve">Who </w:t>
      </w:r>
      <w:r w:rsidR="002B187A" w:rsidRPr="00F03E43">
        <w:rPr>
          <w:rFonts w:ascii="Calibri Light" w:hAnsi="Calibri Light" w:cs="Calibri Light"/>
          <w:b/>
          <w:color w:val="495965"/>
          <w:lang w:val="en-CA"/>
        </w:rPr>
        <w:t>reports</w:t>
      </w:r>
    </w:p>
    <w:p w14:paraId="0F5D0BD2" w14:textId="77777777" w:rsidR="00FC2381" w:rsidRDefault="00FC2381" w:rsidP="00A65984">
      <w:pPr>
        <w:rPr>
          <w:rFonts w:ascii="Calibri Light" w:hAnsi="Calibri Light" w:cs="Calibri Light"/>
          <w:bCs/>
          <w:color w:val="495965"/>
        </w:rPr>
      </w:pPr>
      <w:r w:rsidRPr="00FC2381">
        <w:rPr>
          <w:rFonts w:ascii="Calibri Light" w:hAnsi="Calibri Light" w:cs="Calibri Light"/>
          <w:bCs/>
          <w:color w:val="495965"/>
        </w:rPr>
        <w:t xml:space="preserve">All </w:t>
      </w:r>
      <w:r w:rsidR="006432AA">
        <w:rPr>
          <w:rFonts w:ascii="Calibri Light" w:hAnsi="Calibri Light" w:cs="Calibri Light"/>
          <w:bCs/>
          <w:color w:val="495965"/>
        </w:rPr>
        <w:t xml:space="preserve">DFAT staff and </w:t>
      </w:r>
      <w:r w:rsidR="000917AB">
        <w:rPr>
          <w:rFonts w:ascii="Calibri Light" w:hAnsi="Calibri Light" w:cs="Calibri Light"/>
          <w:bCs/>
          <w:color w:val="495965"/>
        </w:rPr>
        <w:t>partner</w:t>
      </w:r>
      <w:r w:rsidR="00F9132A">
        <w:rPr>
          <w:rFonts w:ascii="Calibri Light" w:hAnsi="Calibri Light" w:cs="Calibri Light"/>
          <w:bCs/>
          <w:color w:val="495965"/>
        </w:rPr>
        <w:t xml:space="preserve">s as defined under </w:t>
      </w:r>
      <w:r w:rsidR="00797B82">
        <w:rPr>
          <w:rFonts w:ascii="Calibri Light" w:hAnsi="Calibri Light" w:cs="Calibri Light"/>
          <w:bCs/>
          <w:color w:val="495965"/>
        </w:rPr>
        <w:t>the</w:t>
      </w:r>
      <w:r w:rsidR="00F9132A">
        <w:rPr>
          <w:rFonts w:ascii="Calibri Light" w:hAnsi="Calibri Light" w:cs="Calibri Light"/>
          <w:bCs/>
          <w:color w:val="495965"/>
        </w:rPr>
        <w:t xml:space="preserve"> P</w:t>
      </w:r>
      <w:r w:rsidRPr="00FC2381">
        <w:rPr>
          <w:rFonts w:ascii="Calibri Light" w:hAnsi="Calibri Light" w:cs="Calibri Light"/>
          <w:bCs/>
          <w:color w:val="495965"/>
        </w:rPr>
        <w:t xml:space="preserve">olicy’s scope (see </w:t>
      </w:r>
      <w:r w:rsidRPr="00D60437">
        <w:rPr>
          <w:rFonts w:ascii="Calibri Light" w:hAnsi="Calibri Light" w:cs="Calibri Light"/>
          <w:bCs/>
          <w:i/>
          <w:color w:val="495965"/>
        </w:rPr>
        <w:t>Section 3 - Scope</w:t>
      </w:r>
      <w:r w:rsidR="00047BC6">
        <w:rPr>
          <w:rFonts w:ascii="Calibri Light" w:hAnsi="Calibri Light" w:cs="Calibri Light"/>
          <w:bCs/>
          <w:color w:val="495965"/>
        </w:rPr>
        <w:t xml:space="preserve">) must report any </w:t>
      </w:r>
      <w:r w:rsidR="00900171">
        <w:rPr>
          <w:rFonts w:ascii="Calibri Light" w:hAnsi="Calibri Light" w:cs="Calibri Light"/>
          <w:bCs/>
          <w:color w:val="495965"/>
        </w:rPr>
        <w:t xml:space="preserve">alleged </w:t>
      </w:r>
      <w:r w:rsidR="0081321B">
        <w:rPr>
          <w:rFonts w:ascii="Calibri Light" w:hAnsi="Calibri Light" w:cs="Calibri Light"/>
          <w:bCs/>
          <w:color w:val="495965"/>
        </w:rPr>
        <w:t>incident</w:t>
      </w:r>
      <w:r w:rsidR="00047BC6">
        <w:rPr>
          <w:rFonts w:ascii="Calibri Light" w:hAnsi="Calibri Light" w:cs="Calibri Light"/>
          <w:bCs/>
          <w:color w:val="495965"/>
        </w:rPr>
        <w:t>s of</w:t>
      </w:r>
      <w:r w:rsidRPr="00FC2381">
        <w:rPr>
          <w:rFonts w:ascii="Calibri Light" w:hAnsi="Calibri Light" w:cs="Calibri Light"/>
          <w:bCs/>
          <w:color w:val="495965"/>
        </w:rPr>
        <w:t xml:space="preserve"> sexual exploi</w:t>
      </w:r>
      <w:r w:rsidR="000917AB">
        <w:rPr>
          <w:rFonts w:ascii="Calibri Light" w:hAnsi="Calibri Light" w:cs="Calibri Light"/>
          <w:bCs/>
          <w:color w:val="495965"/>
        </w:rPr>
        <w:t>tation, abuse or harassment or P</w:t>
      </w:r>
      <w:r w:rsidRPr="00FC2381">
        <w:rPr>
          <w:rFonts w:ascii="Calibri Light" w:hAnsi="Calibri Light" w:cs="Calibri Light"/>
          <w:bCs/>
          <w:color w:val="495965"/>
        </w:rPr>
        <w:t xml:space="preserve">olicy non-compliance. </w:t>
      </w:r>
    </w:p>
    <w:p w14:paraId="7F9B3B8C" w14:textId="77777777" w:rsidR="00FC2381" w:rsidRPr="00FC2381" w:rsidRDefault="00FC2381" w:rsidP="00FC2381">
      <w:pPr>
        <w:rPr>
          <w:rFonts w:ascii="Calibri Light" w:hAnsi="Calibri Light" w:cs="Calibri Light"/>
          <w:b/>
          <w:color w:val="495965"/>
          <w:lang w:val="en-CA"/>
        </w:rPr>
      </w:pPr>
      <w:r w:rsidRPr="004E761B">
        <w:rPr>
          <w:rFonts w:ascii="Calibri Light" w:hAnsi="Calibri Light" w:cs="Calibri Light"/>
          <w:b/>
          <w:color w:val="495965"/>
          <w:lang w:val="en-CA"/>
        </w:rPr>
        <w:t xml:space="preserve">What </w:t>
      </w:r>
      <w:r w:rsidR="002B187A">
        <w:rPr>
          <w:rFonts w:ascii="Calibri Light" w:hAnsi="Calibri Light" w:cs="Calibri Light"/>
          <w:b/>
          <w:color w:val="495965"/>
          <w:lang w:val="en-CA"/>
        </w:rPr>
        <w:t>is reported</w:t>
      </w:r>
    </w:p>
    <w:p w14:paraId="014855E9" w14:textId="77777777" w:rsidR="00FC4125" w:rsidRDefault="00FC4125" w:rsidP="00FC2381">
      <w:pPr>
        <w:rPr>
          <w:rFonts w:ascii="Calibri Light" w:hAnsi="Calibri Light" w:cs="Calibri Light"/>
          <w:color w:val="495965"/>
          <w:lang w:val="en-CA"/>
        </w:rPr>
      </w:pPr>
      <w:r w:rsidRPr="00FC4125">
        <w:rPr>
          <w:rFonts w:ascii="Calibri Light" w:hAnsi="Calibri Light" w:cs="Calibri Light"/>
          <w:color w:val="495965"/>
          <w:lang w:val="en-CA"/>
        </w:rPr>
        <w:t xml:space="preserve">Reporting </w:t>
      </w:r>
      <w:r w:rsidR="004E761B">
        <w:rPr>
          <w:rFonts w:ascii="Calibri Light" w:hAnsi="Calibri Light" w:cs="Calibri Light"/>
          <w:color w:val="495965"/>
          <w:lang w:val="en-CA"/>
        </w:rPr>
        <w:t xml:space="preserve">is </w:t>
      </w:r>
      <w:r w:rsidRPr="00FC4125">
        <w:rPr>
          <w:rFonts w:ascii="Calibri Light" w:hAnsi="Calibri Light" w:cs="Calibri Light"/>
          <w:color w:val="495965"/>
          <w:lang w:val="en-CA"/>
        </w:rPr>
        <w:t>for</w:t>
      </w:r>
      <w:r w:rsidR="0050087C">
        <w:rPr>
          <w:rFonts w:ascii="Calibri Light" w:hAnsi="Calibri Light" w:cs="Calibri Light"/>
          <w:color w:val="495965"/>
          <w:lang w:val="en-CA"/>
        </w:rPr>
        <w:t xml:space="preserve"> any suspected or alleged cases of SEAH perpetrated by anyone within scope of the Policy in connection with official duties or business.</w:t>
      </w:r>
    </w:p>
    <w:p w14:paraId="4F147C6C" w14:textId="77777777" w:rsidR="008A7920" w:rsidRPr="00B15049" w:rsidRDefault="008A7920" w:rsidP="00B15049">
      <w:pPr>
        <w:spacing w:after="240"/>
        <w:rPr>
          <w:rFonts w:ascii="Calibri Light" w:hAnsi="Calibri Light" w:cs="Calibri Light"/>
          <w:color w:val="495965"/>
          <w:lang w:val="en-CA"/>
        </w:rPr>
      </w:pPr>
      <w:r>
        <w:rPr>
          <w:rFonts w:ascii="Calibri Light" w:hAnsi="Calibri Light" w:cs="Calibri Light"/>
          <w:color w:val="495965"/>
          <w:lang w:val="en-CA"/>
        </w:rPr>
        <w:t xml:space="preserve">If in doubt, staff and </w:t>
      </w:r>
      <w:r w:rsidR="00AA5CA1">
        <w:rPr>
          <w:rFonts w:ascii="Calibri Light" w:hAnsi="Calibri Light" w:cs="Calibri Light"/>
          <w:color w:val="495965"/>
          <w:lang w:val="en-CA"/>
        </w:rPr>
        <w:t xml:space="preserve">DFAT </w:t>
      </w:r>
      <w:r>
        <w:rPr>
          <w:rFonts w:ascii="Calibri Light" w:hAnsi="Calibri Light" w:cs="Calibri Light"/>
          <w:color w:val="495965"/>
          <w:lang w:val="en-CA"/>
        </w:rPr>
        <w:t xml:space="preserve">partners should </w:t>
      </w:r>
      <w:r w:rsidR="00B15049">
        <w:rPr>
          <w:rFonts w:ascii="Calibri Light" w:hAnsi="Calibri Light" w:cs="Calibri Light"/>
          <w:color w:val="495965"/>
          <w:lang w:val="en-CA"/>
        </w:rPr>
        <w:t>report an</w:t>
      </w:r>
      <w:r w:rsidR="00900171">
        <w:rPr>
          <w:rFonts w:ascii="Calibri Light" w:hAnsi="Calibri Light" w:cs="Calibri Light"/>
          <w:color w:val="495965"/>
          <w:lang w:val="en-CA"/>
        </w:rPr>
        <w:t xml:space="preserve"> alleged</w:t>
      </w:r>
      <w:r w:rsidR="00B15049">
        <w:rPr>
          <w:rFonts w:ascii="Calibri Light" w:hAnsi="Calibri Light" w:cs="Calibri Light"/>
          <w:color w:val="495965"/>
          <w:lang w:val="en-CA"/>
        </w:rPr>
        <w:t xml:space="preserve"> incident</w:t>
      </w:r>
      <w:r>
        <w:rPr>
          <w:rFonts w:ascii="Calibri Light" w:hAnsi="Calibri Light" w:cs="Calibri Light"/>
          <w:color w:val="495965"/>
          <w:lang w:val="en-CA"/>
        </w:rPr>
        <w:t xml:space="preserve">. In line with </w:t>
      </w:r>
      <w:r w:rsidR="002B187A">
        <w:rPr>
          <w:rFonts w:ascii="Calibri Light" w:hAnsi="Calibri Light" w:cs="Calibri Light"/>
          <w:color w:val="495965"/>
          <w:lang w:val="en-CA"/>
        </w:rPr>
        <w:t>P</w:t>
      </w:r>
      <w:r>
        <w:rPr>
          <w:rFonts w:ascii="Calibri Light" w:hAnsi="Calibri Light" w:cs="Calibri Light"/>
          <w:color w:val="495965"/>
          <w:lang w:val="en-CA"/>
        </w:rPr>
        <w:t>rinciple</w:t>
      </w:r>
      <w:r w:rsidR="002B187A">
        <w:rPr>
          <w:rFonts w:ascii="Calibri Light" w:hAnsi="Calibri Light" w:cs="Calibri Light"/>
          <w:color w:val="495965"/>
          <w:lang w:val="en-CA"/>
        </w:rPr>
        <w:t xml:space="preserve"> 1  </w:t>
      </w:r>
      <w:r w:rsidR="0050087C">
        <w:rPr>
          <w:rFonts w:ascii="Calibri Light" w:hAnsi="Calibri Light" w:cs="Calibri Light"/>
          <w:color w:val="495965"/>
          <w:lang w:val="en-CA"/>
        </w:rPr>
        <w:t xml:space="preserve">— </w:t>
      </w:r>
      <w:r w:rsidR="00E345E0">
        <w:rPr>
          <w:rFonts w:ascii="Calibri Light" w:hAnsi="Calibri Light" w:cs="Calibri Light"/>
          <w:color w:val="495965"/>
          <w:lang w:val="en-CA"/>
        </w:rPr>
        <w:br/>
      </w:r>
      <w:r w:rsidR="002B187A" w:rsidRPr="0050087C">
        <w:rPr>
          <w:rFonts w:ascii="Calibri Light" w:hAnsi="Calibri Light" w:cs="Calibri Light"/>
          <w:i/>
          <w:color w:val="495965"/>
          <w:lang w:val="en-CA"/>
        </w:rPr>
        <w:t>Z</w:t>
      </w:r>
      <w:r w:rsidRPr="0050087C">
        <w:rPr>
          <w:rFonts w:ascii="Calibri Light" w:hAnsi="Calibri Light" w:cs="Calibri Light"/>
          <w:i/>
          <w:color w:val="495965"/>
          <w:lang w:val="en-CA"/>
        </w:rPr>
        <w:t>ero tolerance of inaction</w:t>
      </w:r>
      <w:r w:rsidR="00971FA7">
        <w:rPr>
          <w:rFonts w:ascii="Calibri Light" w:hAnsi="Calibri Light" w:cs="Calibri Light"/>
          <w:color w:val="495965"/>
          <w:lang w:val="en-CA"/>
        </w:rPr>
        <w:t xml:space="preserve"> —</w:t>
      </w:r>
      <w:r>
        <w:rPr>
          <w:rFonts w:ascii="Calibri Light" w:hAnsi="Calibri Light" w:cs="Calibri Light"/>
          <w:color w:val="495965"/>
          <w:lang w:val="en-CA"/>
        </w:rPr>
        <w:t xml:space="preserve"> individuals and o</w:t>
      </w:r>
      <w:r w:rsidRPr="00261653">
        <w:rPr>
          <w:rFonts w:ascii="Calibri Light" w:hAnsi="Calibri Light" w:cs="Calibri Light"/>
          <w:color w:val="495965"/>
          <w:lang w:val="en-CA"/>
        </w:rPr>
        <w:t>rganisations found not report</w:t>
      </w:r>
      <w:r w:rsidR="002B187A">
        <w:rPr>
          <w:rFonts w:ascii="Calibri Light" w:hAnsi="Calibri Light" w:cs="Calibri Light"/>
          <w:color w:val="495965"/>
          <w:lang w:val="en-CA"/>
        </w:rPr>
        <w:t>ing</w:t>
      </w:r>
      <w:r w:rsidR="00900171">
        <w:rPr>
          <w:rFonts w:ascii="Calibri Light" w:hAnsi="Calibri Light" w:cs="Calibri Light"/>
          <w:color w:val="495965"/>
          <w:lang w:val="en-CA"/>
        </w:rPr>
        <w:t xml:space="preserve"> alleged</w:t>
      </w:r>
      <w:r w:rsidRPr="00261653">
        <w:rPr>
          <w:rFonts w:ascii="Calibri Light" w:hAnsi="Calibri Light" w:cs="Calibri Light"/>
          <w:color w:val="495965"/>
          <w:lang w:val="en-CA"/>
        </w:rPr>
        <w:t xml:space="preserve"> incidents will be viewed as </w:t>
      </w:r>
      <w:r w:rsidR="009B302A">
        <w:rPr>
          <w:rFonts w:ascii="Calibri Light" w:hAnsi="Calibri Light" w:cs="Calibri Light"/>
          <w:color w:val="495965"/>
          <w:lang w:val="en-CA"/>
        </w:rPr>
        <w:t>being non-complian</w:t>
      </w:r>
      <w:r w:rsidR="00936405">
        <w:rPr>
          <w:rFonts w:ascii="Calibri Light" w:hAnsi="Calibri Light" w:cs="Calibri Light"/>
          <w:color w:val="495965"/>
          <w:lang w:val="en-CA"/>
        </w:rPr>
        <w:t>t</w:t>
      </w:r>
      <w:r w:rsidR="009B302A">
        <w:rPr>
          <w:rFonts w:ascii="Calibri Light" w:hAnsi="Calibri Light" w:cs="Calibri Light"/>
          <w:color w:val="495965"/>
          <w:lang w:val="en-CA"/>
        </w:rPr>
        <w:t>.</w:t>
      </w:r>
      <w:r w:rsidRPr="00FC4125">
        <w:t xml:space="preserve"> </w:t>
      </w:r>
    </w:p>
    <w:p w14:paraId="5FF61E97" w14:textId="77777777" w:rsidR="007C15C7" w:rsidRDefault="007C15C7" w:rsidP="00FC2381">
      <w:pPr>
        <w:rPr>
          <w:rFonts w:ascii="Calibri Light" w:hAnsi="Calibri Light" w:cs="Calibri Light"/>
          <w:color w:val="495965"/>
          <w:lang w:val="en-CA"/>
        </w:rPr>
      </w:pPr>
      <w:r>
        <w:rPr>
          <w:rFonts w:ascii="Calibri Light" w:hAnsi="Calibri Light" w:cs="Calibri Light"/>
          <w:bCs/>
          <w:color w:val="495965"/>
        </w:rPr>
        <w:t xml:space="preserve">Reports of abuse or exploitation of individuals under the age of 18 years </w:t>
      </w:r>
      <w:r w:rsidR="004347E0">
        <w:rPr>
          <w:rFonts w:ascii="Calibri Light" w:hAnsi="Calibri Light" w:cs="Calibri Light"/>
          <w:bCs/>
          <w:color w:val="495965"/>
        </w:rPr>
        <w:t>must</w:t>
      </w:r>
      <w:r>
        <w:rPr>
          <w:rFonts w:ascii="Calibri Light" w:hAnsi="Calibri Light" w:cs="Calibri Light"/>
          <w:bCs/>
          <w:color w:val="495965"/>
        </w:rPr>
        <w:t xml:space="preserve"> follow DFAT’s</w:t>
      </w:r>
      <w:r w:rsidRPr="007C15C7">
        <w:t xml:space="preserve"> </w:t>
      </w:r>
      <w:r w:rsidRPr="007C15C7">
        <w:rPr>
          <w:rFonts w:ascii="Calibri Light" w:hAnsi="Calibri Light" w:cs="Calibri Light"/>
          <w:bCs/>
          <w:color w:val="495965"/>
        </w:rPr>
        <w:t xml:space="preserve">Child Protection Policy – see </w:t>
      </w:r>
      <w:hyperlink r:id="rId13" w:history="1">
        <w:r w:rsidRPr="00B7679A">
          <w:rPr>
            <w:rStyle w:val="Hyperlink"/>
            <w:rFonts w:ascii="Calibri Light" w:hAnsi="Calibri Light" w:cs="Calibri Light"/>
            <w:bCs/>
          </w:rPr>
          <w:t>www.dfat.gov.au/childprotection</w:t>
        </w:r>
      </w:hyperlink>
      <w:r>
        <w:rPr>
          <w:rFonts w:ascii="Calibri Light" w:hAnsi="Calibri Light" w:cs="Calibri Light"/>
          <w:bCs/>
          <w:color w:val="495965"/>
        </w:rPr>
        <w:t xml:space="preserve">. </w:t>
      </w:r>
    </w:p>
    <w:p w14:paraId="0000669E" w14:textId="77777777" w:rsidR="00FC2381" w:rsidRPr="00FC2381" w:rsidRDefault="00FC2381" w:rsidP="00D054D7">
      <w:pPr>
        <w:keepNext/>
        <w:rPr>
          <w:rFonts w:ascii="Calibri Light" w:hAnsi="Calibri Light" w:cs="Calibri Light"/>
          <w:b/>
          <w:bCs/>
          <w:color w:val="495965"/>
        </w:rPr>
      </w:pPr>
      <w:r>
        <w:rPr>
          <w:rFonts w:ascii="Calibri Light" w:hAnsi="Calibri Light" w:cs="Calibri Light"/>
          <w:b/>
          <w:bCs/>
          <w:color w:val="495965"/>
        </w:rPr>
        <w:t xml:space="preserve">How to report </w:t>
      </w:r>
    </w:p>
    <w:p w14:paraId="2A6D741F" w14:textId="77777777" w:rsidR="0050087C" w:rsidRDefault="00FC2381" w:rsidP="00FC2381">
      <w:pPr>
        <w:rPr>
          <w:rFonts w:ascii="Calibri Light" w:hAnsi="Calibri Light" w:cs="Calibri Light"/>
          <w:bCs/>
          <w:color w:val="495965"/>
        </w:rPr>
      </w:pPr>
      <w:r w:rsidRPr="00FC2381">
        <w:rPr>
          <w:rFonts w:ascii="Calibri Light" w:hAnsi="Calibri Light" w:cs="Calibri Light"/>
          <w:bCs/>
          <w:color w:val="495965"/>
        </w:rPr>
        <w:t xml:space="preserve">All reports of </w:t>
      </w:r>
      <w:r w:rsidR="00900171">
        <w:rPr>
          <w:rFonts w:ascii="Calibri Light" w:hAnsi="Calibri Light" w:cs="Calibri Light"/>
          <w:bCs/>
          <w:color w:val="495965"/>
        </w:rPr>
        <w:t xml:space="preserve">alleged </w:t>
      </w:r>
      <w:r w:rsidRPr="00FC2381">
        <w:rPr>
          <w:rFonts w:ascii="Calibri Light" w:hAnsi="Calibri Light" w:cs="Calibri Light"/>
          <w:bCs/>
          <w:color w:val="495965"/>
        </w:rPr>
        <w:t xml:space="preserve">SEAH </w:t>
      </w:r>
      <w:r w:rsidR="00B15049" w:rsidRPr="00900171">
        <w:rPr>
          <w:rFonts w:ascii="Calibri Light" w:hAnsi="Calibri Light" w:cs="Calibri Light"/>
          <w:bCs/>
          <w:color w:val="495965"/>
        </w:rPr>
        <w:t>incidents</w:t>
      </w:r>
      <w:r w:rsidRPr="00FC2381">
        <w:rPr>
          <w:rFonts w:ascii="Calibri Light" w:hAnsi="Calibri Light" w:cs="Calibri Light"/>
          <w:bCs/>
          <w:color w:val="495965"/>
        </w:rPr>
        <w:t xml:space="preserve"> should be made using the DFAT Sexual Exploitation, Abuse and Harassment Incident </w:t>
      </w:r>
      <w:r w:rsidR="00BB76C5">
        <w:rPr>
          <w:rFonts w:ascii="Calibri Light" w:hAnsi="Calibri Light" w:cs="Calibri Light"/>
          <w:bCs/>
          <w:color w:val="495965"/>
        </w:rPr>
        <w:t>Notification Form (</w:t>
      </w:r>
      <w:hyperlink r:id="rId14" w:history="1">
        <w:r w:rsidR="00BB76C5" w:rsidRPr="00C54234">
          <w:rPr>
            <w:rStyle w:val="Hyperlink"/>
            <w:rFonts w:ascii="Calibri Light" w:hAnsi="Calibri Light" w:cs="Calibri Light"/>
            <w:bCs/>
          </w:rPr>
          <w:t>www.dfat.gov.au/pseah</w:t>
        </w:r>
      </w:hyperlink>
      <w:r w:rsidR="00BB76C5">
        <w:rPr>
          <w:rFonts w:ascii="Calibri Light" w:hAnsi="Calibri Light" w:cs="Calibri Light"/>
          <w:bCs/>
          <w:color w:val="495965"/>
        </w:rPr>
        <w:t xml:space="preserve">) </w:t>
      </w:r>
      <w:r w:rsidRPr="00FC2381">
        <w:rPr>
          <w:rFonts w:ascii="Calibri Light" w:hAnsi="Calibri Light" w:cs="Calibri Light"/>
          <w:bCs/>
          <w:color w:val="495965"/>
        </w:rPr>
        <w:t xml:space="preserve">and emailed to </w:t>
      </w:r>
      <w:hyperlink r:id="rId15" w:history="1">
        <w:r w:rsidR="0050087C" w:rsidRPr="007B7F8A">
          <w:rPr>
            <w:rStyle w:val="Hyperlink"/>
            <w:rFonts w:ascii="Calibri Light" w:hAnsi="Calibri Light" w:cs="Calibri Light"/>
            <w:bCs/>
          </w:rPr>
          <w:t>seah.reports@dfat.gov.au</w:t>
        </w:r>
      </w:hyperlink>
      <w:r w:rsidRPr="00967762">
        <w:rPr>
          <w:rFonts w:ascii="Calibri Light" w:hAnsi="Calibri Light" w:cs="Calibri Light"/>
          <w:bCs/>
          <w:color w:val="495965"/>
        </w:rPr>
        <w:t>.</w:t>
      </w:r>
      <w:r w:rsidRPr="00FC2381">
        <w:rPr>
          <w:rFonts w:ascii="Calibri Light" w:hAnsi="Calibri Light" w:cs="Calibri Light"/>
          <w:bCs/>
          <w:color w:val="495965"/>
        </w:rPr>
        <w:t xml:space="preserve"> </w:t>
      </w:r>
    </w:p>
    <w:p w14:paraId="440C8FFF" w14:textId="77777777" w:rsidR="00FC2381" w:rsidRDefault="00FC2381" w:rsidP="00FC2381">
      <w:pPr>
        <w:rPr>
          <w:rFonts w:ascii="Calibri Light" w:hAnsi="Calibri Light" w:cs="Calibri Light"/>
          <w:bCs/>
          <w:color w:val="495965"/>
        </w:rPr>
      </w:pPr>
      <w:r w:rsidRPr="00FC2381">
        <w:rPr>
          <w:rFonts w:ascii="Calibri Light" w:hAnsi="Calibri Light" w:cs="Calibri Light"/>
          <w:bCs/>
          <w:color w:val="495965"/>
        </w:rPr>
        <w:t xml:space="preserve">DFAT staff are reminded of their additional </w:t>
      </w:r>
      <w:r w:rsidR="00A930BF">
        <w:rPr>
          <w:rFonts w:ascii="Calibri Light" w:hAnsi="Calibri Light" w:cs="Calibri Light"/>
          <w:bCs/>
          <w:color w:val="495965"/>
        </w:rPr>
        <w:t>reporting obligations under DFAT’s Anti-</w:t>
      </w:r>
      <w:r w:rsidR="00971FA7">
        <w:rPr>
          <w:rFonts w:ascii="Calibri Light" w:hAnsi="Calibri Light" w:cs="Calibri Light"/>
          <w:bCs/>
          <w:color w:val="495965"/>
        </w:rPr>
        <w:t>b</w:t>
      </w:r>
      <w:r w:rsidRPr="00FC2381">
        <w:rPr>
          <w:rFonts w:ascii="Calibri Light" w:hAnsi="Calibri Light" w:cs="Calibri Light"/>
          <w:bCs/>
          <w:color w:val="495965"/>
        </w:rPr>
        <w:t>ullying, Haras</w:t>
      </w:r>
      <w:r w:rsidR="0050087C">
        <w:rPr>
          <w:rFonts w:ascii="Calibri Light" w:hAnsi="Calibri Light" w:cs="Calibri Light"/>
          <w:bCs/>
          <w:color w:val="495965"/>
        </w:rPr>
        <w:t>sment and Discrimination Policy</w:t>
      </w:r>
      <w:r w:rsidR="00A930BF" w:rsidRPr="00967762">
        <w:rPr>
          <w:rFonts w:ascii="Calibri Light" w:hAnsi="Calibri Light" w:cs="Calibri Light"/>
          <w:bCs/>
          <w:color w:val="495965"/>
        </w:rPr>
        <w:t>.</w:t>
      </w:r>
      <w:r w:rsidR="00F9132A">
        <w:rPr>
          <w:rFonts w:ascii="Calibri Light" w:hAnsi="Calibri Light" w:cs="Calibri Light"/>
          <w:bCs/>
          <w:color w:val="495965"/>
        </w:rPr>
        <w:t xml:space="preserve"> </w:t>
      </w:r>
    </w:p>
    <w:p w14:paraId="30FCFCE2" w14:textId="77777777" w:rsidR="003B1EF2" w:rsidRDefault="00A930BF" w:rsidP="00FC2381">
      <w:pPr>
        <w:rPr>
          <w:rFonts w:ascii="Calibri Light" w:hAnsi="Calibri Light" w:cs="Calibri Light"/>
          <w:bCs/>
          <w:color w:val="495965"/>
          <w:lang w:val="en-CA"/>
        </w:rPr>
      </w:pPr>
      <w:r w:rsidRPr="00A930BF">
        <w:rPr>
          <w:rFonts w:ascii="Calibri Light" w:hAnsi="Calibri Light" w:cs="Calibri Light"/>
          <w:bCs/>
          <w:color w:val="495965"/>
          <w:lang w:val="en-CA"/>
        </w:rPr>
        <w:t xml:space="preserve">Where safe to do so, and when in accordance to the wishes of the victims, survivors and whistleblowers, </w:t>
      </w:r>
      <w:r w:rsidRPr="00FC093F">
        <w:rPr>
          <w:rFonts w:ascii="Calibri Light" w:hAnsi="Calibri Light" w:cs="Calibri Light"/>
          <w:b/>
          <w:bCs/>
          <w:color w:val="495965"/>
          <w:u w:val="single"/>
          <w:lang w:val="en-CA"/>
        </w:rPr>
        <w:t>all</w:t>
      </w:r>
      <w:r w:rsidR="00900171" w:rsidRPr="00FC093F">
        <w:rPr>
          <w:rFonts w:ascii="Calibri Light" w:hAnsi="Calibri Light" w:cs="Calibri Light"/>
          <w:b/>
          <w:bCs/>
          <w:color w:val="495965"/>
          <w:u w:val="single"/>
          <w:lang w:val="en-CA"/>
        </w:rPr>
        <w:t xml:space="preserve"> alleged</w:t>
      </w:r>
      <w:r w:rsidRPr="00FC093F">
        <w:rPr>
          <w:rFonts w:ascii="Calibri Light" w:hAnsi="Calibri Light" w:cs="Calibri Light"/>
          <w:b/>
          <w:bCs/>
          <w:color w:val="495965"/>
          <w:u w:val="single"/>
          <w:lang w:val="en-CA"/>
        </w:rPr>
        <w:t xml:space="preserve"> SEAH </w:t>
      </w:r>
      <w:r w:rsidR="0081321B" w:rsidRPr="00FC093F">
        <w:rPr>
          <w:rFonts w:ascii="Calibri Light" w:hAnsi="Calibri Light" w:cs="Calibri Light"/>
          <w:b/>
          <w:bCs/>
          <w:color w:val="495965"/>
          <w:u w:val="single"/>
          <w:lang w:val="en-CA"/>
        </w:rPr>
        <w:t>incident</w:t>
      </w:r>
      <w:r w:rsidRPr="00FC093F">
        <w:rPr>
          <w:rFonts w:ascii="Calibri Light" w:hAnsi="Calibri Light" w:cs="Calibri Light"/>
          <w:b/>
          <w:bCs/>
          <w:color w:val="495965"/>
          <w:u w:val="single"/>
          <w:lang w:val="en-CA"/>
        </w:rPr>
        <w:t xml:space="preserve">s </w:t>
      </w:r>
      <w:r w:rsidR="0050087C" w:rsidRPr="00FC093F">
        <w:rPr>
          <w:rFonts w:ascii="Calibri Light" w:hAnsi="Calibri Light" w:cs="Calibri Light"/>
          <w:b/>
          <w:bCs/>
          <w:color w:val="495965"/>
          <w:u w:val="single"/>
          <w:lang w:val="en-CA"/>
        </w:rPr>
        <w:t xml:space="preserve">that involve a criminal aspect </w:t>
      </w:r>
      <w:r w:rsidR="005407CC" w:rsidRPr="00FC093F">
        <w:rPr>
          <w:rFonts w:ascii="Calibri Light" w:hAnsi="Calibri Light" w:cs="Calibri Light"/>
          <w:b/>
          <w:bCs/>
          <w:color w:val="495965"/>
          <w:u w:val="single"/>
          <w:lang w:val="en-CA"/>
        </w:rPr>
        <w:t>should be reported</w:t>
      </w:r>
      <w:r w:rsidR="00AA3CD5" w:rsidRPr="00FC093F">
        <w:rPr>
          <w:rFonts w:ascii="Calibri Light" w:hAnsi="Calibri Light" w:cs="Calibri Light"/>
          <w:b/>
          <w:bCs/>
          <w:color w:val="495965"/>
          <w:u w:val="single"/>
          <w:lang w:val="en-CA"/>
        </w:rPr>
        <w:t xml:space="preserve"> </w:t>
      </w:r>
      <w:r w:rsidRPr="00FC093F">
        <w:rPr>
          <w:rFonts w:ascii="Calibri Light" w:hAnsi="Calibri Light" w:cs="Calibri Light"/>
          <w:b/>
          <w:bCs/>
          <w:color w:val="495965"/>
          <w:u w:val="single"/>
          <w:lang w:val="en-CA"/>
        </w:rPr>
        <w:t>through the correct local law enforcement channels</w:t>
      </w:r>
      <w:r w:rsidRPr="00A930BF">
        <w:rPr>
          <w:rFonts w:ascii="Calibri Light" w:hAnsi="Calibri Light" w:cs="Calibri Light"/>
          <w:bCs/>
          <w:color w:val="495965"/>
          <w:lang w:val="en-CA"/>
        </w:rPr>
        <w:t xml:space="preserve">. </w:t>
      </w:r>
      <w:r w:rsidR="00B96DFB">
        <w:rPr>
          <w:rFonts w:ascii="Calibri Light" w:hAnsi="Calibri Light" w:cs="Calibri Light"/>
          <w:bCs/>
          <w:color w:val="495965"/>
          <w:lang w:val="en-CA"/>
        </w:rPr>
        <w:t>To protect the privacy of alleged perpetrators, victims/survivors, and whistleblowers,</w:t>
      </w:r>
      <w:r w:rsidR="003B1EF2">
        <w:rPr>
          <w:rFonts w:ascii="Calibri Light" w:hAnsi="Calibri Light" w:cs="Calibri Light"/>
          <w:bCs/>
          <w:color w:val="495965"/>
          <w:lang w:val="en-CA"/>
        </w:rPr>
        <w:t xml:space="preserve"> information provided to DFAT will be handled in accordance with the </w:t>
      </w:r>
      <w:r w:rsidR="003B1EF2" w:rsidRPr="003B1EF2">
        <w:rPr>
          <w:rFonts w:ascii="Calibri Light" w:hAnsi="Calibri Light" w:cs="Calibri Light"/>
          <w:bCs/>
          <w:i/>
          <w:color w:val="495965"/>
          <w:lang w:val="en-CA"/>
        </w:rPr>
        <w:t>Privacy Act 1988 (Cth).</w:t>
      </w:r>
    </w:p>
    <w:p w14:paraId="747E3C5F" w14:textId="77777777" w:rsidR="00EE0E6B" w:rsidRPr="00A930BF" w:rsidRDefault="00EE0E6B" w:rsidP="00FC2381">
      <w:pPr>
        <w:rPr>
          <w:rFonts w:ascii="Calibri Light" w:hAnsi="Calibri Light" w:cs="Calibri Light"/>
          <w:bCs/>
          <w:color w:val="495965"/>
          <w:lang w:val="en-CA"/>
        </w:rPr>
      </w:pPr>
      <w:r w:rsidRPr="00971FA7">
        <w:rPr>
          <w:rFonts w:ascii="Calibri Light" w:hAnsi="Calibri Light" w:cs="Calibri Light"/>
          <w:bCs/>
          <w:color w:val="495965"/>
          <w:lang w:val="en-CA"/>
        </w:rPr>
        <w:t>Annual reporting</w:t>
      </w:r>
      <w:r>
        <w:rPr>
          <w:rFonts w:ascii="Calibri Light" w:hAnsi="Calibri Light" w:cs="Calibri Light"/>
          <w:bCs/>
          <w:color w:val="495965"/>
          <w:lang w:val="en-CA"/>
        </w:rPr>
        <w:t xml:space="preserve"> requirements will be detailed in agreements where required.</w:t>
      </w:r>
    </w:p>
    <w:p w14:paraId="29DEF349" w14:textId="77777777" w:rsidR="00E17CD8" w:rsidRPr="00BE6BC1" w:rsidRDefault="00F03E43" w:rsidP="00BE6BC1">
      <w:pPr>
        <w:pStyle w:val="Heading2"/>
        <w:rPr>
          <w:lang w:val="en-AU"/>
        </w:rPr>
      </w:pPr>
      <w:r>
        <w:rPr>
          <w:lang w:val="en-AU"/>
        </w:rPr>
        <w:t>6</w:t>
      </w:r>
      <w:r w:rsidR="007219FB">
        <w:rPr>
          <w:lang w:val="en-AU"/>
        </w:rPr>
        <w:t xml:space="preserve">. </w:t>
      </w:r>
      <w:bookmarkStart w:id="8" w:name="Compliance"/>
      <w:r w:rsidR="005E7477">
        <w:rPr>
          <w:lang w:val="en-AU"/>
        </w:rPr>
        <w:t>compliance and assurance</w:t>
      </w:r>
      <w:bookmarkEnd w:id="8"/>
    </w:p>
    <w:p w14:paraId="69280B36" w14:textId="77777777" w:rsidR="00E17CD8" w:rsidRPr="00046377" w:rsidRDefault="00E17CD8" w:rsidP="00BB3D26">
      <w:pPr>
        <w:rPr>
          <w:lang w:val="en-AU"/>
        </w:rPr>
      </w:pPr>
      <w:r w:rsidRPr="00E17CD8">
        <w:rPr>
          <w:lang w:val="en-AU"/>
        </w:rPr>
        <w:t xml:space="preserve">DFAT will monitor compliance </w:t>
      </w:r>
      <w:r w:rsidR="00597C30">
        <w:rPr>
          <w:lang w:val="en-AU"/>
        </w:rPr>
        <w:t xml:space="preserve">through a range of approaches including </w:t>
      </w:r>
      <w:r w:rsidRPr="00E17CD8">
        <w:rPr>
          <w:lang w:val="en-AU"/>
        </w:rPr>
        <w:t xml:space="preserve">performance assessments, reviews, </w:t>
      </w:r>
      <w:r w:rsidR="002F2105">
        <w:rPr>
          <w:lang w:val="en-AU"/>
        </w:rPr>
        <w:t>non</w:t>
      </w:r>
      <w:r w:rsidR="00A930BF">
        <w:rPr>
          <w:lang w:val="en-AU"/>
        </w:rPr>
        <w:t>-</w:t>
      </w:r>
      <w:r w:rsidR="002F2105">
        <w:rPr>
          <w:lang w:val="en-AU"/>
        </w:rPr>
        <w:t xml:space="preserve">government organisation </w:t>
      </w:r>
      <w:r w:rsidRPr="00E17CD8">
        <w:rPr>
          <w:lang w:val="en-AU"/>
        </w:rPr>
        <w:t>accreditation process</w:t>
      </w:r>
      <w:r>
        <w:rPr>
          <w:lang w:val="en-AU"/>
        </w:rPr>
        <w:t>es</w:t>
      </w:r>
      <w:r w:rsidR="002F2105">
        <w:rPr>
          <w:lang w:val="en-AU"/>
        </w:rPr>
        <w:t xml:space="preserve"> and</w:t>
      </w:r>
      <w:r w:rsidRPr="00E17CD8">
        <w:rPr>
          <w:lang w:val="en-AU"/>
        </w:rPr>
        <w:t xml:space="preserve"> </w:t>
      </w:r>
      <w:r>
        <w:rPr>
          <w:lang w:val="en-AU"/>
        </w:rPr>
        <w:t>due diligence</w:t>
      </w:r>
      <w:r w:rsidR="00A930BF">
        <w:rPr>
          <w:lang w:val="en-AU"/>
        </w:rPr>
        <w:t xml:space="preserve"> checks</w:t>
      </w:r>
      <w:r w:rsidRPr="00E17CD8">
        <w:rPr>
          <w:i/>
          <w:lang w:val="en-AU"/>
        </w:rPr>
        <w:t>.</w:t>
      </w:r>
      <w:r w:rsidR="00597C30">
        <w:rPr>
          <w:i/>
          <w:lang w:val="en-AU"/>
        </w:rPr>
        <w:t xml:space="preserve"> </w:t>
      </w:r>
      <w:r w:rsidR="00597C30" w:rsidRPr="00264C53">
        <w:rPr>
          <w:lang w:val="en-AU"/>
        </w:rPr>
        <w:t xml:space="preserve">Partner organisations are expected to put in place </w:t>
      </w:r>
      <w:r w:rsidR="00264C53" w:rsidRPr="00264C53">
        <w:rPr>
          <w:lang w:val="en-AU"/>
        </w:rPr>
        <w:t>appropriate risk</w:t>
      </w:r>
      <w:r w:rsidR="00971FA7">
        <w:rPr>
          <w:lang w:val="en-AU"/>
        </w:rPr>
        <w:t>-</w:t>
      </w:r>
      <w:r w:rsidR="00264C53" w:rsidRPr="00264C53">
        <w:rPr>
          <w:lang w:val="en-AU"/>
        </w:rPr>
        <w:t xml:space="preserve">based </w:t>
      </w:r>
      <w:r w:rsidR="00264C53" w:rsidRPr="00046377">
        <w:rPr>
          <w:lang w:val="en-AU"/>
        </w:rPr>
        <w:t xml:space="preserve">measures to </w:t>
      </w:r>
      <w:r w:rsidR="002F2105" w:rsidRPr="00046377">
        <w:rPr>
          <w:lang w:val="en-AU"/>
        </w:rPr>
        <w:t xml:space="preserve">ensure </w:t>
      </w:r>
      <w:r w:rsidR="00264C53" w:rsidRPr="00046377">
        <w:rPr>
          <w:lang w:val="en-AU"/>
        </w:rPr>
        <w:t>they and their suppliers comply with this Policy.</w:t>
      </w:r>
    </w:p>
    <w:p w14:paraId="404312B3" w14:textId="77777777" w:rsidR="00BB3D26" w:rsidRDefault="00E17CD8" w:rsidP="00BB3D26">
      <w:pPr>
        <w:rPr>
          <w:lang w:val="en-AU"/>
        </w:rPr>
      </w:pPr>
      <w:r w:rsidRPr="00046377">
        <w:rPr>
          <w:lang w:val="en-AU"/>
        </w:rPr>
        <w:t xml:space="preserve">Non-compliance with requirements may lead to </w:t>
      </w:r>
      <w:r w:rsidR="00DF0727">
        <w:rPr>
          <w:lang w:val="en-AU"/>
        </w:rPr>
        <w:t xml:space="preserve">DFAT suspending or terminating an </w:t>
      </w:r>
      <w:r w:rsidR="00917B69" w:rsidRPr="00046377">
        <w:rPr>
          <w:lang w:val="en-AU"/>
        </w:rPr>
        <w:t>agreement</w:t>
      </w:r>
      <w:r w:rsidR="00DF0727">
        <w:rPr>
          <w:lang w:val="en-AU"/>
        </w:rPr>
        <w:t xml:space="preserve"> with a partner</w:t>
      </w:r>
      <w:r w:rsidRPr="00046377">
        <w:rPr>
          <w:lang w:val="en-AU"/>
        </w:rPr>
        <w:t>.</w:t>
      </w:r>
      <w:r w:rsidR="00AA5CA1">
        <w:rPr>
          <w:lang w:val="en-AU"/>
        </w:rPr>
        <w:t xml:space="preserve"> More information on Policy non-compliance will be </w:t>
      </w:r>
      <w:r w:rsidR="00AA5CA1" w:rsidRPr="000B4793">
        <w:rPr>
          <w:lang w:val="en-AU"/>
        </w:rPr>
        <w:t>forthcoming</w:t>
      </w:r>
      <w:r w:rsidR="00AA5CA1">
        <w:rPr>
          <w:lang w:val="en-AU"/>
        </w:rPr>
        <w:t xml:space="preserve"> at </w:t>
      </w:r>
      <w:hyperlink r:id="rId16" w:history="1">
        <w:r w:rsidR="00AA5CA1" w:rsidRPr="00751655">
          <w:rPr>
            <w:rStyle w:val="Hyperlink"/>
            <w:lang w:val="en-AU"/>
          </w:rPr>
          <w:t>www.dfat.gov.au/pseah</w:t>
        </w:r>
      </w:hyperlink>
      <w:r w:rsidR="00AA5CA1">
        <w:rPr>
          <w:lang w:val="en-AU"/>
        </w:rPr>
        <w:t xml:space="preserve">. </w:t>
      </w:r>
    </w:p>
    <w:p w14:paraId="68312F12" w14:textId="77777777" w:rsidR="00BB3D26" w:rsidRPr="00F03E43" w:rsidRDefault="00BB3D26" w:rsidP="00F03E43">
      <w:pPr>
        <w:pStyle w:val="Heading2"/>
        <w:numPr>
          <w:ilvl w:val="0"/>
          <w:numId w:val="30"/>
        </w:numPr>
        <w:rPr>
          <w:lang w:val="en-AU"/>
        </w:rPr>
      </w:pPr>
      <w:bookmarkStart w:id="9" w:name="Implementation"/>
      <w:r w:rsidRPr="007219FB">
        <w:rPr>
          <w:lang w:val="en-AU"/>
        </w:rPr>
        <w:t>Implementation</w:t>
      </w:r>
      <w:r w:rsidR="00E50485" w:rsidRPr="007219FB">
        <w:rPr>
          <w:lang w:val="en-AU"/>
        </w:rPr>
        <w:t xml:space="preserve"> and date of effect</w:t>
      </w:r>
    </w:p>
    <w:bookmarkEnd w:id="9"/>
    <w:p w14:paraId="41E7C1C5" w14:textId="77777777" w:rsidR="009E4CD1" w:rsidRDefault="009E4CD1" w:rsidP="00934CA6">
      <w:pPr>
        <w:spacing w:after="240"/>
        <w:rPr>
          <w:rFonts w:ascii="Calibri Light" w:hAnsi="Calibri Light" w:cs="Calibri Light"/>
          <w:color w:val="44546A"/>
          <w:lang w:val="en-CA"/>
        </w:rPr>
      </w:pPr>
      <w:r w:rsidRPr="009E4CD1">
        <w:rPr>
          <w:rFonts w:ascii="Calibri Light" w:hAnsi="Calibri Light" w:cs="Calibri Light"/>
          <w:color w:val="44546A"/>
          <w:lang w:val="en-CA"/>
        </w:rPr>
        <w:t xml:space="preserve">The Policy will be implemented incrementally from 1 July 2019. More information on implementation can be found </w:t>
      </w:r>
      <w:r>
        <w:rPr>
          <w:rFonts w:ascii="Calibri Light" w:hAnsi="Calibri Light" w:cs="Calibri Light"/>
          <w:color w:val="44546A"/>
          <w:lang w:val="en-CA"/>
        </w:rPr>
        <w:t>at</w:t>
      </w:r>
      <w:r w:rsidRPr="009E4CD1">
        <w:rPr>
          <w:rFonts w:ascii="Calibri Light" w:hAnsi="Calibri Light" w:cs="Calibri Light"/>
          <w:color w:val="44546A"/>
          <w:lang w:val="en-CA"/>
        </w:rPr>
        <w:t xml:space="preserve"> </w:t>
      </w:r>
      <w:hyperlink r:id="rId17" w:history="1">
        <w:r w:rsidRPr="00B74CA5">
          <w:rPr>
            <w:rStyle w:val="Hyperlink"/>
            <w:rFonts w:ascii="Calibri Light" w:hAnsi="Calibri Light" w:cs="Calibri Light"/>
            <w:lang w:val="en-CA"/>
          </w:rPr>
          <w:t>www.dfat.gov.au/pseah</w:t>
        </w:r>
      </w:hyperlink>
      <w:r>
        <w:rPr>
          <w:rFonts w:ascii="Calibri Light" w:hAnsi="Calibri Light" w:cs="Calibri Light"/>
          <w:color w:val="44546A"/>
          <w:lang w:val="en-CA"/>
        </w:rPr>
        <w:t xml:space="preserve"> </w:t>
      </w:r>
    </w:p>
    <w:p w14:paraId="7301828C" w14:textId="77777777" w:rsidR="0050087C" w:rsidRDefault="0050087C" w:rsidP="00934CA6">
      <w:pPr>
        <w:spacing w:after="240"/>
        <w:rPr>
          <w:rFonts w:ascii="Calibri Light" w:hAnsi="Calibri Light" w:cs="Calibri Light"/>
          <w:color w:val="44546A"/>
          <w:lang w:val="en-CA"/>
        </w:rPr>
      </w:pPr>
      <w:r>
        <w:rPr>
          <w:rFonts w:ascii="Calibri Light" w:hAnsi="Calibri Light" w:cs="Calibri Light"/>
          <w:color w:val="44546A"/>
          <w:lang w:val="en-CA"/>
        </w:rPr>
        <w:t>For enquiries, guidance, or inf</w:t>
      </w:r>
      <w:r w:rsidR="00113C7A">
        <w:rPr>
          <w:rFonts w:ascii="Calibri Light" w:hAnsi="Calibri Light" w:cs="Calibri Light"/>
          <w:color w:val="44546A"/>
          <w:lang w:val="en-CA"/>
        </w:rPr>
        <w:t>ormation on the PSEAH Policy:</w:t>
      </w:r>
    </w:p>
    <w:p w14:paraId="1BFA28DA" w14:textId="77777777" w:rsidR="00113C7A" w:rsidRDefault="00113C7A" w:rsidP="00F03E43">
      <w:pPr>
        <w:spacing w:after="120"/>
        <w:rPr>
          <w:rFonts w:ascii="Calibri Light" w:hAnsi="Calibri Light" w:cs="Calibri Light"/>
          <w:color w:val="44546A"/>
          <w:lang w:val="en-CA"/>
        </w:rPr>
      </w:pPr>
      <w:r>
        <w:rPr>
          <w:rFonts w:ascii="Calibri Light" w:hAnsi="Calibri Light" w:cs="Calibri Light"/>
          <w:color w:val="44546A"/>
          <w:lang w:val="en-CA"/>
        </w:rPr>
        <w:t xml:space="preserve">Email: </w:t>
      </w:r>
      <w:hyperlink r:id="rId18" w:history="1">
        <w:r w:rsidR="00971FA7" w:rsidRPr="00DA3C0E">
          <w:rPr>
            <w:rStyle w:val="Hyperlink"/>
            <w:rFonts w:ascii="Calibri Light" w:hAnsi="Calibri Light" w:cs="Calibri Light"/>
            <w:lang w:val="en-CA"/>
          </w:rPr>
          <w:t>seah.reports@dfat.gov.au</w:t>
        </w:r>
      </w:hyperlink>
    </w:p>
    <w:p w14:paraId="66FDED90" w14:textId="77777777" w:rsidR="00113C7A" w:rsidRDefault="00113C7A" w:rsidP="00F03E43">
      <w:pPr>
        <w:spacing w:after="120"/>
        <w:rPr>
          <w:rFonts w:ascii="Calibri Light" w:hAnsi="Calibri Light" w:cs="Calibri Light"/>
          <w:color w:val="44546A"/>
          <w:lang w:val="en-CA"/>
        </w:rPr>
      </w:pPr>
      <w:r>
        <w:rPr>
          <w:rFonts w:ascii="Calibri Light" w:hAnsi="Calibri Light" w:cs="Calibri Light"/>
          <w:color w:val="44546A"/>
          <w:lang w:val="en-CA"/>
        </w:rPr>
        <w:t>Telephone: +61 2 6178 5100</w:t>
      </w:r>
    </w:p>
    <w:p w14:paraId="368F9A42" w14:textId="77777777" w:rsidR="007234C9" w:rsidRDefault="00113C7A" w:rsidP="00F03E43">
      <w:pPr>
        <w:spacing w:after="120"/>
        <w:rPr>
          <w:rFonts w:ascii="Calibri Light" w:hAnsi="Calibri Light" w:cs="Calibri Light"/>
          <w:color w:val="44546A"/>
          <w:lang w:val="en-CA"/>
        </w:rPr>
      </w:pPr>
      <w:r>
        <w:rPr>
          <w:rFonts w:ascii="Calibri Light" w:hAnsi="Calibri Light" w:cs="Calibri Light"/>
          <w:color w:val="44546A"/>
          <w:lang w:val="en-CA"/>
        </w:rPr>
        <w:t xml:space="preserve">Web: </w:t>
      </w:r>
      <w:hyperlink r:id="rId19" w:history="1">
        <w:r w:rsidR="009E4CD1" w:rsidRPr="00B74CA5">
          <w:rPr>
            <w:rStyle w:val="Hyperlink"/>
            <w:rFonts w:ascii="Calibri Light" w:hAnsi="Calibri Light" w:cs="Calibri Light"/>
            <w:lang w:val="en-CA"/>
          </w:rPr>
          <w:t>www.dfat.gov.au/pseah</w:t>
        </w:r>
      </w:hyperlink>
      <w:r w:rsidR="009E4CD1">
        <w:rPr>
          <w:rFonts w:ascii="Calibri Light" w:hAnsi="Calibri Light" w:cs="Calibri Light"/>
          <w:color w:val="44546A"/>
          <w:lang w:val="en-CA"/>
        </w:rPr>
        <w:t xml:space="preserve"> </w:t>
      </w:r>
    </w:p>
    <w:p w14:paraId="49698DB8" w14:textId="77777777" w:rsidR="007234C9" w:rsidRDefault="007234C9" w:rsidP="00D21A75">
      <w:pPr>
        <w:suppressAutoHyphens w:val="0"/>
        <w:spacing w:before="0" w:after="120" w:line="440" w:lineRule="atLeast"/>
        <w:sectPr w:rsidR="007234C9" w:rsidSect="00CE426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134" w:left="1440" w:header="708" w:footer="57" w:gutter="0"/>
          <w:pgNumType w:start="1"/>
          <w:cols w:space="708"/>
          <w:titlePg/>
          <w:docGrid w:linePitch="360"/>
        </w:sectPr>
      </w:pPr>
    </w:p>
    <w:p w14:paraId="716EB710" w14:textId="77777777" w:rsidR="00D06E89" w:rsidRPr="00D06E89" w:rsidRDefault="00D06E89" w:rsidP="00D06E89">
      <w:pPr>
        <w:keepNext/>
        <w:keepLines/>
        <w:spacing w:before="0" w:after="0" w:line="360" w:lineRule="atLeast"/>
        <w:contextualSpacing/>
        <w:jc w:val="right"/>
        <w:outlineLvl w:val="2"/>
        <w:rPr>
          <w:rFonts w:ascii="Calibri" w:eastAsia="MS Gothic" w:hAnsi="Calibri" w:cs="Times New Roman"/>
          <w:b/>
          <w:bCs/>
          <w:color w:val="495965"/>
          <w:sz w:val="24"/>
          <w:szCs w:val="24"/>
          <w:lang w:val="en-AU"/>
        </w:rPr>
      </w:pPr>
      <w:r w:rsidRPr="00D06E89">
        <w:rPr>
          <w:rFonts w:ascii="Calibri" w:eastAsia="MS Gothic" w:hAnsi="Calibri" w:cs="Times New Roman"/>
          <w:b/>
          <w:bCs/>
          <w:color w:val="495965"/>
          <w:sz w:val="24"/>
          <w:szCs w:val="24"/>
          <w:lang w:val="en-AU"/>
        </w:rPr>
        <w:t>ATTACHMENT A</w:t>
      </w:r>
    </w:p>
    <w:p w14:paraId="3F71DE3E" w14:textId="77777777" w:rsidR="00934CA6" w:rsidRPr="005F2948" w:rsidRDefault="00934CA6" w:rsidP="009E4CD1">
      <w:pPr>
        <w:spacing w:after="0"/>
        <w:ind w:firstLine="425"/>
        <w:rPr>
          <w:rFonts w:asciiTheme="majorHAnsi" w:eastAsiaTheme="majorEastAsia" w:hAnsiTheme="majorHAnsi" w:cstheme="majorBidi"/>
          <w:caps/>
          <w:sz w:val="38"/>
          <w:szCs w:val="26"/>
          <w:lang w:val="en-AU"/>
        </w:rPr>
      </w:pPr>
      <w:bookmarkStart w:id="10" w:name="Standards"/>
      <w:r w:rsidRPr="005F2948">
        <w:rPr>
          <w:rFonts w:asciiTheme="majorHAnsi" w:eastAsiaTheme="majorEastAsia" w:hAnsiTheme="majorHAnsi" w:cstheme="majorBidi"/>
          <w:caps/>
          <w:sz w:val="38"/>
          <w:szCs w:val="26"/>
          <w:lang w:val="en-AU"/>
        </w:rPr>
        <w:t xml:space="preserve">Minimum Standards </w:t>
      </w:r>
    </w:p>
    <w:bookmarkEnd w:id="10"/>
    <w:p w14:paraId="0E67CD10" w14:textId="7BE840CC" w:rsidR="004347C0" w:rsidRPr="009E4CD1" w:rsidRDefault="009B302A" w:rsidP="005F2948">
      <w:pPr>
        <w:suppressAutoHyphens w:val="0"/>
        <w:spacing w:before="0" w:after="160" w:line="259" w:lineRule="auto"/>
        <w:ind w:left="425" w:right="516"/>
        <w:rPr>
          <w:color w:val="000000" w:themeColor="text1"/>
          <w:lang w:val="en-AU"/>
        </w:rPr>
      </w:pPr>
      <w:r w:rsidRPr="009B302A">
        <w:rPr>
          <w:color w:val="auto"/>
          <w:lang w:val="en-AU"/>
        </w:rPr>
        <w:t xml:space="preserve">The Policy takes a risk-based, proportional approach to PSEAH. DFAT staff and partners must assess the level of risk for SEAH occurring, and apply minimum standards accordingly. Guidance on assessing the risk of SEAH </w:t>
      </w:r>
      <w:r w:rsidR="000E5D01">
        <w:rPr>
          <w:color w:val="auto"/>
          <w:lang w:val="en-AU"/>
        </w:rPr>
        <w:t>is</w:t>
      </w:r>
      <w:r w:rsidRPr="009B302A">
        <w:rPr>
          <w:color w:val="auto"/>
          <w:lang w:val="en-AU"/>
        </w:rPr>
        <w:t xml:space="preserve"> provided to assist DFAT partners </w:t>
      </w:r>
      <w:r w:rsidR="005B5E11">
        <w:rPr>
          <w:color w:val="auto"/>
          <w:lang w:val="en-AU"/>
        </w:rPr>
        <w:t>determine</w:t>
      </w:r>
      <w:r w:rsidRPr="009B302A">
        <w:rPr>
          <w:color w:val="auto"/>
          <w:lang w:val="en-AU"/>
        </w:rPr>
        <w:t xml:space="preserve"> the level of risk. </w:t>
      </w:r>
      <w:r>
        <w:rPr>
          <w:color w:val="auto"/>
          <w:lang w:val="en-AU"/>
        </w:rPr>
        <w:t xml:space="preserve">The </w:t>
      </w:r>
      <w:r w:rsidRPr="009B302A">
        <w:rPr>
          <w:color w:val="auto"/>
          <w:lang w:val="en-AU"/>
        </w:rPr>
        <w:t xml:space="preserve">PSEAH Minimum Standards </w:t>
      </w:r>
      <w:r w:rsidR="009E4CD1">
        <w:rPr>
          <w:color w:val="auto"/>
          <w:lang w:val="en-AU"/>
        </w:rPr>
        <w:t>are then</w:t>
      </w:r>
      <w:r w:rsidRPr="009B302A">
        <w:rPr>
          <w:color w:val="auto"/>
          <w:lang w:val="en-AU"/>
        </w:rPr>
        <w:t xml:space="preserve"> applied commensurate with the level of risk identified</w:t>
      </w:r>
      <w:r w:rsidRPr="009E4CD1">
        <w:rPr>
          <w:color w:val="000000" w:themeColor="text1"/>
          <w:lang w:val="en-AU"/>
        </w:rPr>
        <w:t>.</w:t>
      </w:r>
    </w:p>
    <w:tbl>
      <w:tblPr>
        <w:tblStyle w:val="TableGrid"/>
        <w:tblW w:w="469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688"/>
        <w:gridCol w:w="4676"/>
        <w:gridCol w:w="4240"/>
        <w:gridCol w:w="710"/>
        <w:gridCol w:w="710"/>
        <w:gridCol w:w="708"/>
        <w:gridCol w:w="708"/>
      </w:tblGrid>
      <w:tr w:rsidR="00F9335E" w:rsidRPr="00B25419" w14:paraId="1402FCF6" w14:textId="77777777" w:rsidTr="00BB76C5">
        <w:trPr>
          <w:trHeight w:val="567"/>
          <w:tblHeader/>
          <w:jc w:val="center"/>
        </w:trPr>
        <w:tc>
          <w:tcPr>
            <w:tcW w:w="5000" w:type="pct"/>
            <w:gridSpan w:val="7"/>
            <w:tcBorders>
              <w:bottom w:val="single" w:sz="4" w:space="0" w:color="A6A6A6" w:themeColor="background1" w:themeShade="A6"/>
            </w:tcBorders>
            <w:shd w:val="clear" w:color="auto" w:fill="A2DCD1" w:themeFill="accent1" w:themeFillTint="99"/>
          </w:tcPr>
          <w:p w14:paraId="3F329ECD" w14:textId="77777777" w:rsidR="00F9335E" w:rsidRPr="00FB7228" w:rsidRDefault="00F9335E" w:rsidP="007768C8">
            <w:pPr>
              <w:jc w:val="center"/>
              <w:rPr>
                <w:rFonts w:ascii="Calibri Light" w:hAnsi="Calibri Light" w:cs="Calibri Light"/>
                <w:b/>
                <w:color w:val="FFFFFF" w:themeColor="background1"/>
                <w:sz w:val="22"/>
                <w:szCs w:val="22"/>
              </w:rPr>
            </w:pPr>
            <w:r w:rsidRPr="00FB7228">
              <w:rPr>
                <w:rFonts w:ascii="Calibri Light" w:hAnsi="Calibri Light" w:cs="Calibri Light"/>
                <w:b/>
                <w:color w:val="FFFFFF" w:themeColor="background1"/>
                <w:sz w:val="22"/>
                <w:szCs w:val="22"/>
              </w:rPr>
              <w:t>DFAT PSEAH Minimum Standards</w:t>
            </w:r>
          </w:p>
        </w:tc>
      </w:tr>
      <w:tr w:rsidR="00F9335E" w:rsidRPr="00B25419" w14:paraId="759D60E3" w14:textId="77777777" w:rsidTr="00BB76C5">
        <w:trPr>
          <w:trHeight w:val="567"/>
          <w:tblHeader/>
          <w:jc w:val="center"/>
        </w:trPr>
        <w:tc>
          <w:tcPr>
            <w:tcW w:w="931" w:type="pct"/>
            <w:vMerge w:val="restart"/>
            <w:shd w:val="clear" w:color="auto" w:fill="C1E7E0" w:themeFill="accent1" w:themeFillTint="66"/>
            <w:vAlign w:val="center"/>
          </w:tcPr>
          <w:p w14:paraId="51AF1EB7"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 xml:space="preserve">Minimum </w:t>
            </w:r>
            <w:r>
              <w:rPr>
                <w:rFonts w:ascii="Calibri Light" w:hAnsi="Calibri Light" w:cs="Calibri Light"/>
                <w:b/>
                <w:sz w:val="22"/>
                <w:szCs w:val="22"/>
              </w:rPr>
              <w:t>s</w:t>
            </w:r>
            <w:r w:rsidRPr="00FB7228">
              <w:rPr>
                <w:rFonts w:ascii="Calibri Light" w:hAnsi="Calibri Light" w:cs="Calibri Light"/>
                <w:b/>
                <w:sz w:val="22"/>
                <w:szCs w:val="22"/>
              </w:rPr>
              <w:t>tandard</w:t>
            </w:r>
          </w:p>
        </w:tc>
        <w:tc>
          <w:tcPr>
            <w:tcW w:w="3087" w:type="pct"/>
            <w:gridSpan w:val="2"/>
            <w:shd w:val="clear" w:color="auto" w:fill="C1E7E0" w:themeFill="accent1" w:themeFillTint="66"/>
          </w:tcPr>
          <w:p w14:paraId="463A38E8"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Obligation</w:t>
            </w:r>
          </w:p>
        </w:tc>
        <w:tc>
          <w:tcPr>
            <w:tcW w:w="982" w:type="pct"/>
            <w:gridSpan w:val="4"/>
            <w:shd w:val="clear" w:color="auto" w:fill="C1E7E0" w:themeFill="accent1" w:themeFillTint="66"/>
            <w:vAlign w:val="center"/>
          </w:tcPr>
          <w:p w14:paraId="42A601BC"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Applies to</w:t>
            </w:r>
          </w:p>
        </w:tc>
      </w:tr>
      <w:tr w:rsidR="00F9335E" w:rsidRPr="00B25419" w14:paraId="4ACC4AF6" w14:textId="77777777" w:rsidTr="00BB76C5">
        <w:trPr>
          <w:trHeight w:val="915"/>
          <w:tblHeader/>
          <w:jc w:val="center"/>
        </w:trPr>
        <w:tc>
          <w:tcPr>
            <w:tcW w:w="931" w:type="pct"/>
            <w:vMerge/>
            <w:tcBorders>
              <w:bottom w:val="single" w:sz="4" w:space="0" w:color="A6A6A6" w:themeColor="background1" w:themeShade="A6"/>
            </w:tcBorders>
            <w:shd w:val="clear" w:color="auto" w:fill="C1E7E0" w:themeFill="accent1" w:themeFillTint="66"/>
          </w:tcPr>
          <w:p w14:paraId="319ACB45" w14:textId="77777777" w:rsidR="00F9335E" w:rsidRPr="00FB7228" w:rsidRDefault="00F9335E" w:rsidP="007768C8">
            <w:pPr>
              <w:jc w:val="center"/>
              <w:rPr>
                <w:rFonts w:ascii="Calibri Light" w:hAnsi="Calibri Light" w:cs="Calibri Light"/>
                <w:b/>
                <w:sz w:val="22"/>
                <w:szCs w:val="22"/>
              </w:rPr>
            </w:pPr>
          </w:p>
        </w:tc>
        <w:tc>
          <w:tcPr>
            <w:tcW w:w="1619" w:type="pct"/>
            <w:shd w:val="clear" w:color="auto" w:fill="C1E7E0" w:themeFill="accent1" w:themeFillTint="66"/>
            <w:vAlign w:val="center"/>
          </w:tcPr>
          <w:p w14:paraId="1A74D1A3" w14:textId="77777777" w:rsidR="00F9335E" w:rsidRPr="00FB7228" w:rsidRDefault="00F9335E" w:rsidP="007768C8">
            <w:pPr>
              <w:spacing w:before="0"/>
              <w:jc w:val="center"/>
              <w:rPr>
                <w:rFonts w:ascii="Calibri Light" w:hAnsi="Calibri Light" w:cs="Calibri Light"/>
                <w:b/>
                <w:sz w:val="22"/>
                <w:szCs w:val="22"/>
              </w:rPr>
            </w:pPr>
            <w:r w:rsidRPr="00FB7228">
              <w:rPr>
                <w:rFonts w:ascii="Calibri Light" w:hAnsi="Calibri Light" w:cs="Calibri Light"/>
                <w:b/>
                <w:sz w:val="22"/>
                <w:szCs w:val="22"/>
              </w:rPr>
              <w:t>Organisations</w:t>
            </w:r>
          </w:p>
          <w:p w14:paraId="0E9B1D34" w14:textId="77777777" w:rsidR="00F9335E" w:rsidRPr="00FB7228" w:rsidRDefault="00F9335E" w:rsidP="007768C8">
            <w:pPr>
              <w:jc w:val="center"/>
              <w:rPr>
                <w:rFonts w:ascii="Calibri Light" w:hAnsi="Calibri Light" w:cs="Calibri Light"/>
                <w:b/>
                <w:sz w:val="22"/>
                <w:szCs w:val="22"/>
              </w:rPr>
            </w:pPr>
          </w:p>
        </w:tc>
        <w:tc>
          <w:tcPr>
            <w:tcW w:w="1467" w:type="pct"/>
            <w:shd w:val="clear" w:color="auto" w:fill="C1E7E0" w:themeFill="accent1" w:themeFillTint="66"/>
            <w:vAlign w:val="center"/>
          </w:tcPr>
          <w:p w14:paraId="6FBC1633"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Individuals</w:t>
            </w:r>
          </w:p>
          <w:p w14:paraId="1DAC9937" w14:textId="77777777" w:rsidR="00F9335E" w:rsidRPr="00FB7228" w:rsidRDefault="00F9335E" w:rsidP="007768C8">
            <w:pPr>
              <w:jc w:val="center"/>
              <w:rPr>
                <w:rFonts w:ascii="Calibri Light" w:hAnsi="Calibri Light" w:cs="Calibri Light"/>
                <w:b/>
                <w:sz w:val="22"/>
                <w:szCs w:val="22"/>
              </w:rPr>
            </w:pPr>
          </w:p>
        </w:tc>
        <w:tc>
          <w:tcPr>
            <w:tcW w:w="246" w:type="pct"/>
            <w:shd w:val="clear" w:color="auto" w:fill="C1E7E0" w:themeFill="accent1" w:themeFillTint="66"/>
            <w:vAlign w:val="center"/>
          </w:tcPr>
          <w:p w14:paraId="017EA209"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 xml:space="preserve">Low Risk </w:t>
            </w:r>
          </w:p>
        </w:tc>
        <w:tc>
          <w:tcPr>
            <w:tcW w:w="246" w:type="pct"/>
            <w:shd w:val="clear" w:color="auto" w:fill="C1E7E0" w:themeFill="accent1" w:themeFillTint="66"/>
            <w:vAlign w:val="center"/>
          </w:tcPr>
          <w:p w14:paraId="721AD895"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Med Risk</w:t>
            </w:r>
          </w:p>
        </w:tc>
        <w:tc>
          <w:tcPr>
            <w:tcW w:w="245" w:type="pct"/>
            <w:shd w:val="clear" w:color="auto" w:fill="C1E7E0" w:themeFill="accent1" w:themeFillTint="66"/>
            <w:vAlign w:val="center"/>
          </w:tcPr>
          <w:p w14:paraId="0AF3B782"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High Risk</w:t>
            </w:r>
          </w:p>
        </w:tc>
        <w:tc>
          <w:tcPr>
            <w:tcW w:w="245" w:type="pct"/>
            <w:shd w:val="clear" w:color="auto" w:fill="C1E7E0" w:themeFill="accent1" w:themeFillTint="66"/>
            <w:vAlign w:val="center"/>
          </w:tcPr>
          <w:p w14:paraId="42D39A1E"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 xml:space="preserve">Very High Risk </w:t>
            </w:r>
          </w:p>
        </w:tc>
      </w:tr>
      <w:tr w:rsidR="00F9335E" w:rsidRPr="00E46809" w14:paraId="7F60EEAD" w14:textId="77777777" w:rsidTr="00B748A2">
        <w:trPr>
          <w:trHeight w:hRule="exact" w:val="1886"/>
          <w:jc w:val="center"/>
        </w:trPr>
        <w:tc>
          <w:tcPr>
            <w:tcW w:w="931" w:type="pct"/>
            <w:shd w:val="clear" w:color="auto" w:fill="E0F3EF" w:themeFill="accent1" w:themeFillTint="33"/>
            <w:vAlign w:val="center"/>
          </w:tcPr>
          <w:p w14:paraId="1A64A5F2" w14:textId="77777777" w:rsidR="00F9335E" w:rsidRPr="00E345E0" w:rsidRDefault="000917AB" w:rsidP="00113C7A">
            <w:pPr>
              <w:jc w:val="center"/>
              <w:rPr>
                <w:rFonts w:asciiTheme="majorHAnsi" w:hAnsiTheme="majorHAnsi" w:cstheme="majorHAnsi"/>
                <w:sz w:val="22"/>
                <w:szCs w:val="22"/>
              </w:rPr>
            </w:pPr>
            <w:r w:rsidRPr="00E345E0">
              <w:rPr>
                <w:rStyle w:val="Strong"/>
                <w:rFonts w:ascii="Calibri Light" w:hAnsi="Calibri Light" w:cs="Calibri Light"/>
                <w:sz w:val="22"/>
                <w:szCs w:val="22"/>
                <w14:props3d w14:extrusionH="0" w14:contourW="0" w14:prstMaterial="warmMatte"/>
              </w:rPr>
              <w:t>1. Have a PSEAH p</w:t>
            </w:r>
            <w:r w:rsidR="00F9335E" w:rsidRPr="00E345E0">
              <w:rPr>
                <w:rStyle w:val="Strong"/>
                <w:rFonts w:ascii="Calibri Light" w:hAnsi="Calibri Light" w:cs="Calibri Light"/>
                <w:sz w:val="22"/>
                <w:szCs w:val="22"/>
                <w14:props3d w14:extrusionH="0" w14:contourW="0" w14:prstMaterial="warmMatte"/>
              </w:rPr>
              <w:t xml:space="preserve">olicy or other documented policies and procedures </w:t>
            </w:r>
            <w:r w:rsidR="00113C7A" w:rsidRPr="00E345E0">
              <w:rPr>
                <w:rStyle w:val="Strong"/>
                <w:rFonts w:ascii="Calibri Light" w:hAnsi="Calibri Light" w:cs="Calibri Light"/>
                <w:sz w:val="22"/>
                <w:szCs w:val="22"/>
                <w14:props3d w14:extrusionH="0" w14:contourW="0" w14:prstMaterial="warmMatte"/>
              </w:rPr>
              <w:t>i</w:t>
            </w:r>
            <w:r w:rsidR="00F9335E" w:rsidRPr="00E345E0">
              <w:rPr>
                <w:rStyle w:val="Strong"/>
                <w:rFonts w:ascii="Calibri Light" w:hAnsi="Calibri Light" w:cs="Calibri Light"/>
                <w:sz w:val="22"/>
                <w:szCs w:val="22"/>
                <w14:props3d w14:extrusionH="0" w14:contourW="0" w14:prstMaterial="warmMatte"/>
              </w:rPr>
              <w:t>n place and clearly co</w:t>
            </w:r>
            <w:r w:rsidRPr="00E345E0">
              <w:rPr>
                <w:rStyle w:val="Strong"/>
                <w:rFonts w:ascii="Calibri Light" w:hAnsi="Calibri Light" w:cs="Calibri Light"/>
                <w:sz w:val="22"/>
                <w:szCs w:val="22"/>
                <w14:props3d w14:extrusionH="0" w14:contourW="0" w14:prstMaterial="warmMatte"/>
              </w:rPr>
              <w:t>mmunicate expectations of this P</w:t>
            </w:r>
            <w:r w:rsidR="00F9335E" w:rsidRPr="00E345E0">
              <w:rPr>
                <w:rStyle w:val="Strong"/>
                <w:rFonts w:ascii="Calibri Light" w:hAnsi="Calibri Light" w:cs="Calibri Light"/>
                <w:sz w:val="22"/>
                <w:szCs w:val="22"/>
                <w14:props3d w14:extrusionH="0" w14:contourW="0" w14:prstMaterial="warmMatte"/>
              </w:rPr>
              <w:t>olicy.</w:t>
            </w:r>
          </w:p>
        </w:tc>
        <w:tc>
          <w:tcPr>
            <w:tcW w:w="1619" w:type="pct"/>
            <w:shd w:val="clear" w:color="auto" w:fill="EEF5E7" w:themeFill="accent2" w:themeFillTint="33"/>
            <w:vAlign w:val="center"/>
          </w:tcPr>
          <w:p w14:paraId="223F01F1" w14:textId="77777777" w:rsidR="00F9335E" w:rsidRPr="00FB7228" w:rsidRDefault="00A65984" w:rsidP="009E4CD1">
            <w:pPr>
              <w:jc w:val="center"/>
              <w:rPr>
                <w:rFonts w:ascii="Calibri Light" w:hAnsi="Calibri Light" w:cs="Calibri Light"/>
                <w:sz w:val="22"/>
                <w:szCs w:val="22"/>
              </w:rPr>
            </w:pPr>
            <w:r>
              <w:rPr>
                <w:rFonts w:ascii="Calibri Light" w:hAnsi="Calibri Light" w:cs="Calibri Light"/>
                <w:sz w:val="22"/>
                <w:szCs w:val="22"/>
              </w:rPr>
              <w:t>M</w:t>
            </w:r>
            <w:r w:rsidR="000917AB">
              <w:rPr>
                <w:rFonts w:ascii="Calibri Light" w:hAnsi="Calibri Light" w:cs="Calibri Light"/>
                <w:sz w:val="22"/>
                <w:szCs w:val="22"/>
              </w:rPr>
              <w:t>ust have a PSEAH p</w:t>
            </w:r>
            <w:r w:rsidR="00F9335E" w:rsidRPr="00FB7228">
              <w:rPr>
                <w:rFonts w:ascii="Calibri Light" w:hAnsi="Calibri Light" w:cs="Calibri Light"/>
                <w:sz w:val="22"/>
                <w:szCs w:val="22"/>
              </w:rPr>
              <w:t xml:space="preserve">olicy or </w:t>
            </w:r>
            <w:r w:rsidR="009E4CD1">
              <w:rPr>
                <w:rFonts w:ascii="Calibri Light" w:hAnsi="Calibri Light" w:cs="Calibri Light"/>
                <w:sz w:val="22"/>
                <w:szCs w:val="22"/>
              </w:rPr>
              <w:t>other</w:t>
            </w:r>
            <w:r w:rsidR="00F9335E" w:rsidRPr="00FB7228">
              <w:rPr>
                <w:rFonts w:ascii="Calibri Light" w:hAnsi="Calibri Light" w:cs="Calibri Light"/>
                <w:sz w:val="22"/>
                <w:szCs w:val="22"/>
              </w:rPr>
              <w:t xml:space="preserve"> documented policies and procedures in place, which clearly</w:t>
            </w:r>
            <w:r w:rsidR="000917AB">
              <w:rPr>
                <w:rFonts w:ascii="Calibri Light" w:hAnsi="Calibri Light" w:cs="Calibri Light"/>
                <w:sz w:val="22"/>
                <w:szCs w:val="22"/>
              </w:rPr>
              <w:t xml:space="preserve"> meet the expectations of this P</w:t>
            </w:r>
            <w:r w:rsidR="00F9335E" w:rsidRPr="00FB7228">
              <w:rPr>
                <w:rFonts w:ascii="Calibri Light" w:hAnsi="Calibri Light" w:cs="Calibri Light"/>
                <w:sz w:val="22"/>
                <w:szCs w:val="22"/>
              </w:rPr>
              <w:t>olicy.</w:t>
            </w:r>
          </w:p>
        </w:tc>
        <w:tc>
          <w:tcPr>
            <w:tcW w:w="1467" w:type="pct"/>
            <w:shd w:val="clear" w:color="auto" w:fill="EEF5E7" w:themeFill="accent2" w:themeFillTint="33"/>
            <w:vAlign w:val="center"/>
          </w:tcPr>
          <w:p w14:paraId="663A49E6" w14:textId="77777777" w:rsidR="00F9335E" w:rsidRPr="00FB7228" w:rsidRDefault="00A65984" w:rsidP="005F2948">
            <w:pPr>
              <w:jc w:val="center"/>
              <w:rPr>
                <w:rFonts w:ascii="Calibri Light" w:hAnsi="Calibri Light" w:cs="Calibri Light"/>
                <w:sz w:val="22"/>
                <w:szCs w:val="22"/>
              </w:rPr>
            </w:pPr>
            <w:r>
              <w:rPr>
                <w:rFonts w:ascii="Calibri Light" w:hAnsi="Calibri Light" w:cs="Calibri Light"/>
                <w:sz w:val="22"/>
                <w:szCs w:val="22"/>
              </w:rPr>
              <w:t>S</w:t>
            </w:r>
            <w:r w:rsidR="00900171">
              <w:rPr>
                <w:rFonts w:ascii="Calibri Light" w:hAnsi="Calibri Light" w:cs="Calibri Light"/>
                <w:sz w:val="22"/>
                <w:szCs w:val="22"/>
              </w:rPr>
              <w:t>ign a document outlining appropriate and enfo</w:t>
            </w:r>
            <w:r w:rsidR="005F2948">
              <w:rPr>
                <w:rFonts w:ascii="Calibri Light" w:hAnsi="Calibri Light" w:cs="Calibri Light"/>
                <w:sz w:val="22"/>
                <w:szCs w:val="22"/>
              </w:rPr>
              <w:t>rceable standards of</w:t>
            </w:r>
            <w:r w:rsidR="00900171">
              <w:rPr>
                <w:rFonts w:ascii="Calibri Light" w:hAnsi="Calibri Light" w:cs="Calibri Light"/>
                <w:sz w:val="22"/>
                <w:szCs w:val="22"/>
              </w:rPr>
              <w:t xml:space="preserve"> conduct</w:t>
            </w:r>
            <w:r w:rsidR="00F9335E">
              <w:rPr>
                <w:rFonts w:ascii="Calibri Light" w:hAnsi="Calibri Light" w:cs="Calibri Light"/>
                <w:sz w:val="22"/>
                <w:szCs w:val="22"/>
              </w:rPr>
              <w:t xml:space="preserve">, compliant with the requirements of this Policy </w:t>
            </w:r>
          </w:p>
        </w:tc>
        <w:tc>
          <w:tcPr>
            <w:tcW w:w="246" w:type="pct"/>
            <w:shd w:val="clear" w:color="auto" w:fill="DDECD0" w:themeFill="accent2" w:themeFillTint="66"/>
            <w:vAlign w:val="center"/>
          </w:tcPr>
          <w:p w14:paraId="6531E41B"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6" w:type="pct"/>
            <w:shd w:val="clear" w:color="auto" w:fill="DDECD0" w:themeFill="accent2" w:themeFillTint="66"/>
            <w:vAlign w:val="center"/>
          </w:tcPr>
          <w:p w14:paraId="4608BAB2"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57EF252A"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0C71A8AF"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r>
      <w:tr w:rsidR="00F9335E" w:rsidRPr="00E46809" w14:paraId="51473F59" w14:textId="77777777" w:rsidTr="00B748A2">
        <w:trPr>
          <w:trHeight w:hRule="exact" w:val="1975"/>
          <w:jc w:val="center"/>
        </w:trPr>
        <w:tc>
          <w:tcPr>
            <w:tcW w:w="931" w:type="pct"/>
            <w:shd w:val="clear" w:color="auto" w:fill="E0F3EF" w:themeFill="accent1" w:themeFillTint="33"/>
            <w:vAlign w:val="center"/>
          </w:tcPr>
          <w:p w14:paraId="44B17063" w14:textId="77777777" w:rsidR="00F9335E" w:rsidRPr="00FB7228" w:rsidRDefault="00F9335E" w:rsidP="007768C8">
            <w:pPr>
              <w:jc w:val="center"/>
              <w:rPr>
                <w:rStyle w:val="Strong"/>
                <w:rFonts w:ascii="Calibri Light" w:hAnsi="Calibri Light" w:cs="Calibri Light"/>
                <w:sz w:val="22"/>
                <w:szCs w:val="22"/>
                <w14:props3d w14:extrusionH="0" w14:contourW="0" w14:prstMaterial="warmMatte"/>
              </w:rPr>
            </w:pPr>
            <w:r w:rsidRPr="00FB7228">
              <w:rPr>
                <w:rStyle w:val="Strong"/>
                <w:rFonts w:ascii="Calibri Light" w:hAnsi="Calibri Light" w:cs="Calibri Light"/>
                <w:sz w:val="22"/>
                <w:szCs w:val="22"/>
                <w14:props3d w14:extrusionH="0" w14:contourW="0" w14:prstMaterial="warmMatte"/>
              </w:rPr>
              <w:t>2. Have reporting and investigation procedures in place.</w:t>
            </w:r>
          </w:p>
        </w:tc>
        <w:tc>
          <w:tcPr>
            <w:tcW w:w="1619" w:type="pct"/>
            <w:shd w:val="clear" w:color="auto" w:fill="EEF5E7" w:themeFill="accent2" w:themeFillTint="33"/>
            <w:vAlign w:val="center"/>
          </w:tcPr>
          <w:p w14:paraId="66316473" w14:textId="77777777" w:rsidR="00F9335E" w:rsidRPr="00FB7228" w:rsidRDefault="00F9335E" w:rsidP="00113C7A">
            <w:pPr>
              <w:jc w:val="center"/>
              <w:rPr>
                <w:rFonts w:ascii="Calibri Light" w:hAnsi="Calibri Light" w:cs="Calibri Light"/>
                <w:sz w:val="22"/>
                <w:szCs w:val="22"/>
              </w:rPr>
            </w:pPr>
            <w:r w:rsidRPr="00FB7228">
              <w:rPr>
                <w:rFonts w:ascii="Calibri Light" w:hAnsi="Calibri Light" w:cs="Calibri Light"/>
                <w:sz w:val="22"/>
                <w:szCs w:val="22"/>
              </w:rPr>
              <w:t xml:space="preserve">The PSEAH </w:t>
            </w:r>
            <w:r w:rsidR="009B302A">
              <w:rPr>
                <w:rFonts w:ascii="Calibri Light" w:hAnsi="Calibri Light" w:cs="Calibri Light"/>
                <w:sz w:val="22"/>
                <w:szCs w:val="22"/>
              </w:rPr>
              <w:t>policy</w:t>
            </w:r>
            <w:r w:rsidR="009E4CD1">
              <w:rPr>
                <w:rFonts w:ascii="Calibri Light" w:hAnsi="Calibri Light" w:cs="Calibri Light"/>
                <w:sz w:val="22"/>
                <w:szCs w:val="22"/>
              </w:rPr>
              <w:t>, or equivalent,</w:t>
            </w:r>
            <w:r w:rsidR="009B302A">
              <w:rPr>
                <w:rFonts w:ascii="Calibri Light" w:hAnsi="Calibri Light" w:cs="Calibri Light"/>
                <w:sz w:val="22"/>
                <w:szCs w:val="22"/>
              </w:rPr>
              <w:t xml:space="preserve"> documents</w:t>
            </w:r>
            <w:r w:rsidRPr="00FB7228">
              <w:rPr>
                <w:rFonts w:ascii="Calibri Light" w:hAnsi="Calibri Light" w:cs="Calibri Light"/>
                <w:sz w:val="22"/>
                <w:szCs w:val="22"/>
              </w:rPr>
              <w:t xml:space="preserve"> how SEAH </w:t>
            </w:r>
            <w:r w:rsidR="0081321B">
              <w:rPr>
                <w:rFonts w:ascii="Calibri Light" w:hAnsi="Calibri Light" w:cs="Calibri Light"/>
                <w:sz w:val="22"/>
                <w:szCs w:val="22"/>
              </w:rPr>
              <w:t>incidents</w:t>
            </w:r>
            <w:r w:rsidRPr="00FB7228">
              <w:rPr>
                <w:rFonts w:ascii="Calibri Light" w:hAnsi="Calibri Light" w:cs="Calibri Light"/>
                <w:sz w:val="22"/>
                <w:szCs w:val="22"/>
              </w:rPr>
              <w:t xml:space="preserve"> will be managed, reported and investigated. Reporting and investigation processes must include engagement of and reporting to senior management and executive boards</w:t>
            </w:r>
            <w:r w:rsidR="00113C7A">
              <w:rPr>
                <w:rFonts w:ascii="Calibri Light" w:hAnsi="Calibri Light" w:cs="Calibri Light"/>
                <w:sz w:val="22"/>
                <w:szCs w:val="22"/>
              </w:rPr>
              <w:t>.</w:t>
            </w:r>
            <w:r w:rsidRPr="00FB7228">
              <w:rPr>
                <w:rFonts w:ascii="Calibri Light" w:hAnsi="Calibri Light" w:cs="Calibri Light"/>
                <w:sz w:val="22"/>
                <w:szCs w:val="22"/>
              </w:rPr>
              <w:t xml:space="preserve"> </w:t>
            </w:r>
          </w:p>
        </w:tc>
        <w:tc>
          <w:tcPr>
            <w:tcW w:w="1467" w:type="pct"/>
            <w:shd w:val="clear" w:color="auto" w:fill="EEF5E7" w:themeFill="accent2" w:themeFillTint="33"/>
            <w:vAlign w:val="center"/>
          </w:tcPr>
          <w:p w14:paraId="0FE76B7E" w14:textId="77777777" w:rsidR="00F9335E" w:rsidRPr="00FB7228" w:rsidRDefault="00A65984" w:rsidP="00900171">
            <w:pPr>
              <w:jc w:val="center"/>
              <w:rPr>
                <w:rFonts w:ascii="Calibri Light" w:hAnsi="Calibri Light" w:cs="Calibri Light"/>
                <w:sz w:val="22"/>
                <w:szCs w:val="22"/>
              </w:rPr>
            </w:pPr>
            <w:r>
              <w:rPr>
                <w:rFonts w:ascii="Calibri Light" w:hAnsi="Calibri Light" w:cs="Calibri Light"/>
                <w:sz w:val="22"/>
                <w:szCs w:val="22"/>
              </w:rPr>
              <w:t>T</w:t>
            </w:r>
            <w:r w:rsidR="00F9335E" w:rsidRPr="00FB7228">
              <w:rPr>
                <w:rFonts w:ascii="Calibri Light" w:hAnsi="Calibri Light" w:cs="Calibri Light"/>
                <w:sz w:val="22"/>
                <w:szCs w:val="22"/>
              </w:rPr>
              <w:t xml:space="preserve">hrough a </w:t>
            </w:r>
            <w:r w:rsidR="00900171">
              <w:rPr>
                <w:rFonts w:ascii="Calibri Light" w:hAnsi="Calibri Light" w:cs="Calibri Light"/>
                <w:sz w:val="22"/>
                <w:szCs w:val="22"/>
              </w:rPr>
              <w:t>document which outlines appropriate and enfo</w:t>
            </w:r>
            <w:r w:rsidR="005F2948">
              <w:rPr>
                <w:rFonts w:ascii="Calibri Light" w:hAnsi="Calibri Light" w:cs="Calibri Light"/>
                <w:sz w:val="22"/>
                <w:szCs w:val="22"/>
              </w:rPr>
              <w:t xml:space="preserve">rceable standards of </w:t>
            </w:r>
            <w:r w:rsidR="00900171">
              <w:rPr>
                <w:rFonts w:ascii="Calibri Light" w:hAnsi="Calibri Light" w:cs="Calibri Light"/>
                <w:sz w:val="22"/>
                <w:szCs w:val="22"/>
              </w:rPr>
              <w:t>conduct</w:t>
            </w:r>
            <w:r w:rsidR="00F9335E" w:rsidRPr="00FB7228">
              <w:rPr>
                <w:rFonts w:ascii="Calibri Light" w:hAnsi="Calibri Light" w:cs="Calibri Light"/>
                <w:sz w:val="22"/>
                <w:szCs w:val="22"/>
              </w:rPr>
              <w:t>, confirm aware</w:t>
            </w:r>
            <w:r w:rsidR="00113C7A">
              <w:rPr>
                <w:rFonts w:ascii="Calibri Light" w:hAnsi="Calibri Light" w:cs="Calibri Light"/>
                <w:sz w:val="22"/>
                <w:szCs w:val="22"/>
              </w:rPr>
              <w:t>ness</w:t>
            </w:r>
            <w:r w:rsidR="00F9335E" w:rsidRPr="00FB7228">
              <w:rPr>
                <w:rFonts w:ascii="Calibri Light" w:hAnsi="Calibri Light" w:cs="Calibri Light"/>
                <w:sz w:val="22"/>
                <w:szCs w:val="22"/>
              </w:rPr>
              <w:t xml:space="preserve"> of DFAT’s PSEAH reporting requirements for concerns or </w:t>
            </w:r>
            <w:r w:rsidR="0081321B">
              <w:rPr>
                <w:rFonts w:ascii="Calibri Light" w:hAnsi="Calibri Light" w:cs="Calibri Light"/>
                <w:sz w:val="22"/>
                <w:szCs w:val="22"/>
              </w:rPr>
              <w:t>incident</w:t>
            </w:r>
            <w:r w:rsidR="00F9335E" w:rsidRPr="00FB7228">
              <w:rPr>
                <w:rFonts w:ascii="Calibri Light" w:hAnsi="Calibri Light" w:cs="Calibri Light"/>
                <w:sz w:val="22"/>
                <w:szCs w:val="22"/>
              </w:rPr>
              <w:t>s and policy non-compliance.</w:t>
            </w:r>
          </w:p>
        </w:tc>
        <w:tc>
          <w:tcPr>
            <w:tcW w:w="246" w:type="pct"/>
            <w:shd w:val="clear" w:color="auto" w:fill="DDECD0" w:themeFill="accent2" w:themeFillTint="66"/>
            <w:vAlign w:val="center"/>
          </w:tcPr>
          <w:p w14:paraId="3C1380D6"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6" w:type="pct"/>
            <w:shd w:val="clear" w:color="auto" w:fill="DDECD0" w:themeFill="accent2" w:themeFillTint="66"/>
            <w:vAlign w:val="center"/>
          </w:tcPr>
          <w:p w14:paraId="53427732"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37E390C2" w14:textId="77777777" w:rsidR="004363C6"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p w14:paraId="303522EB" w14:textId="77777777" w:rsidR="004363C6" w:rsidRPr="004363C6" w:rsidRDefault="004363C6" w:rsidP="004363C6">
            <w:pPr>
              <w:rPr>
                <w:rFonts w:ascii="Calibri Light" w:hAnsi="Calibri Light" w:cs="Calibri Light"/>
                <w:sz w:val="22"/>
                <w:szCs w:val="22"/>
              </w:rPr>
            </w:pPr>
          </w:p>
          <w:p w14:paraId="01894CF1" w14:textId="77777777" w:rsidR="004363C6" w:rsidRPr="004363C6" w:rsidRDefault="004363C6" w:rsidP="004363C6">
            <w:pPr>
              <w:rPr>
                <w:rFonts w:ascii="Calibri Light" w:hAnsi="Calibri Light" w:cs="Calibri Light"/>
                <w:sz w:val="22"/>
                <w:szCs w:val="22"/>
              </w:rPr>
            </w:pPr>
          </w:p>
          <w:p w14:paraId="0B597C8A" w14:textId="77777777" w:rsidR="004363C6" w:rsidRPr="004363C6" w:rsidRDefault="004363C6" w:rsidP="004363C6">
            <w:pPr>
              <w:rPr>
                <w:rFonts w:ascii="Calibri Light" w:hAnsi="Calibri Light" w:cs="Calibri Light"/>
                <w:sz w:val="22"/>
                <w:szCs w:val="22"/>
              </w:rPr>
            </w:pPr>
          </w:p>
          <w:p w14:paraId="030B7C73" w14:textId="77777777" w:rsidR="004363C6" w:rsidRPr="004363C6" w:rsidRDefault="004363C6" w:rsidP="004363C6">
            <w:pPr>
              <w:rPr>
                <w:rFonts w:ascii="Calibri Light" w:hAnsi="Calibri Light" w:cs="Calibri Light"/>
                <w:sz w:val="22"/>
                <w:szCs w:val="22"/>
              </w:rPr>
            </w:pPr>
          </w:p>
          <w:p w14:paraId="6AB1FD3D" w14:textId="77777777" w:rsidR="004363C6" w:rsidRPr="004363C6" w:rsidRDefault="004363C6" w:rsidP="004363C6">
            <w:pPr>
              <w:rPr>
                <w:rFonts w:ascii="Calibri Light" w:hAnsi="Calibri Light" w:cs="Calibri Light"/>
                <w:sz w:val="22"/>
                <w:szCs w:val="22"/>
              </w:rPr>
            </w:pPr>
          </w:p>
          <w:p w14:paraId="494CEADC" w14:textId="77777777" w:rsidR="004363C6" w:rsidRDefault="004363C6" w:rsidP="004363C6">
            <w:pPr>
              <w:rPr>
                <w:rFonts w:ascii="Calibri Light" w:hAnsi="Calibri Light" w:cs="Calibri Light"/>
                <w:sz w:val="22"/>
                <w:szCs w:val="22"/>
              </w:rPr>
            </w:pPr>
          </w:p>
          <w:p w14:paraId="26DADCFB" w14:textId="77777777" w:rsidR="004363C6" w:rsidRPr="004363C6" w:rsidRDefault="004363C6" w:rsidP="004363C6">
            <w:pPr>
              <w:rPr>
                <w:rFonts w:ascii="Calibri Light" w:hAnsi="Calibri Light" w:cs="Calibri Light"/>
                <w:sz w:val="22"/>
                <w:szCs w:val="22"/>
              </w:rPr>
            </w:pPr>
          </w:p>
          <w:p w14:paraId="355C419B" w14:textId="77777777" w:rsidR="00F9335E" w:rsidRPr="004363C6" w:rsidRDefault="00F9335E" w:rsidP="004363C6">
            <w:pPr>
              <w:rPr>
                <w:rFonts w:ascii="Calibri Light" w:hAnsi="Calibri Light" w:cs="Calibri Light"/>
                <w:sz w:val="22"/>
                <w:szCs w:val="22"/>
              </w:rPr>
            </w:pPr>
          </w:p>
        </w:tc>
        <w:tc>
          <w:tcPr>
            <w:tcW w:w="245" w:type="pct"/>
            <w:shd w:val="clear" w:color="auto" w:fill="DDECD0" w:themeFill="accent2" w:themeFillTint="66"/>
            <w:vAlign w:val="center"/>
          </w:tcPr>
          <w:p w14:paraId="2F4DA888"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r>
      <w:tr w:rsidR="00F9335E" w:rsidRPr="00E46809" w14:paraId="3BA4696E" w14:textId="77777777" w:rsidTr="00B748A2">
        <w:trPr>
          <w:trHeight w:hRule="exact" w:val="1611"/>
          <w:jc w:val="center"/>
        </w:trPr>
        <w:tc>
          <w:tcPr>
            <w:tcW w:w="931" w:type="pct"/>
            <w:shd w:val="clear" w:color="auto" w:fill="E0F3EF" w:themeFill="accent1" w:themeFillTint="33"/>
            <w:vAlign w:val="center"/>
          </w:tcPr>
          <w:p w14:paraId="35562049" w14:textId="77777777" w:rsidR="00F9335E" w:rsidRPr="00FB7228" w:rsidRDefault="00F9335E" w:rsidP="00A65984">
            <w:pPr>
              <w:spacing w:before="60"/>
              <w:jc w:val="center"/>
              <w:rPr>
                <w:rStyle w:val="Strong"/>
                <w:rFonts w:ascii="Calibri Light" w:hAnsi="Calibri Light" w:cs="Calibri Light"/>
                <w:sz w:val="22"/>
                <w:szCs w:val="22"/>
                <w14:props3d w14:extrusionH="0" w14:contourW="0" w14:prstMaterial="warmMatte"/>
              </w:rPr>
            </w:pPr>
            <w:r w:rsidRPr="00FB7228">
              <w:rPr>
                <w:rStyle w:val="Strong"/>
                <w:rFonts w:ascii="Calibri Light" w:hAnsi="Calibri Light" w:cs="Calibri Light"/>
                <w:sz w:val="22"/>
                <w:szCs w:val="22"/>
                <w14:props3d w14:extrusionH="0" w14:contourW="0" w14:prstMaterial="warmMatte"/>
              </w:rPr>
              <w:t xml:space="preserve">3. Have risk management </w:t>
            </w:r>
            <w:r>
              <w:rPr>
                <w:rStyle w:val="Strong"/>
                <w:rFonts w:ascii="Calibri Light" w:hAnsi="Calibri Light" w:cs="Calibri Light"/>
                <w:sz w:val="22"/>
                <w:szCs w:val="22"/>
                <w14:props3d w14:extrusionH="0" w14:contourW="0" w14:prstMaterial="warmMatte"/>
              </w:rPr>
              <w:t xml:space="preserve">processes </w:t>
            </w:r>
            <w:r w:rsidRPr="00FB7228">
              <w:rPr>
                <w:rStyle w:val="Strong"/>
                <w:rFonts w:ascii="Calibri Light" w:hAnsi="Calibri Light" w:cs="Calibri Light"/>
                <w:sz w:val="22"/>
                <w:szCs w:val="22"/>
                <w14:props3d w14:extrusionH="0" w14:contourW="0" w14:prstMaterial="warmMatte"/>
              </w:rPr>
              <w:t xml:space="preserve">that </w:t>
            </w:r>
            <w:r w:rsidR="00A65984">
              <w:rPr>
                <w:rStyle w:val="Strong"/>
                <w:rFonts w:ascii="Calibri Light" w:hAnsi="Calibri Light" w:cs="Calibri Light"/>
                <w:sz w:val="22"/>
                <w:szCs w:val="22"/>
                <w14:props3d w14:extrusionH="0" w14:contourW="0" w14:prstMaterial="warmMatte"/>
              </w:rPr>
              <w:t xml:space="preserve">include </w:t>
            </w:r>
            <w:r>
              <w:rPr>
                <w:rStyle w:val="Strong"/>
                <w:rFonts w:ascii="Calibri Light" w:hAnsi="Calibri Light" w:cs="Calibri Light"/>
                <w:sz w:val="22"/>
                <w:szCs w:val="22"/>
                <w14:props3d w14:extrusionH="0" w14:contourW="0" w14:prstMaterial="warmMatte"/>
              </w:rPr>
              <w:t xml:space="preserve">the </w:t>
            </w:r>
            <w:r w:rsidRPr="00FB7228">
              <w:rPr>
                <w:rStyle w:val="Strong"/>
                <w:rFonts w:ascii="Calibri Light" w:hAnsi="Calibri Light" w:cs="Calibri Light"/>
                <w:sz w:val="22"/>
                <w:szCs w:val="22"/>
                <w14:props3d w14:extrusionH="0" w14:contourW="0" w14:prstMaterial="warmMatte"/>
              </w:rPr>
              <w:t>risk</w:t>
            </w:r>
            <w:r>
              <w:rPr>
                <w:rStyle w:val="Strong"/>
                <w:rFonts w:ascii="Calibri Light" w:hAnsi="Calibri Light" w:cs="Calibri Light"/>
                <w:sz w:val="22"/>
                <w:szCs w:val="22"/>
                <w14:props3d w14:extrusionH="0" w14:contourW="0" w14:prstMaterial="warmMatte"/>
              </w:rPr>
              <w:t xml:space="preserve"> of SEAH</w:t>
            </w:r>
            <w:r w:rsidRPr="00FB7228">
              <w:rPr>
                <w:rStyle w:val="Strong"/>
                <w:rFonts w:ascii="Calibri Light" w:hAnsi="Calibri Light" w:cs="Calibri Light"/>
                <w:sz w:val="22"/>
                <w:szCs w:val="22"/>
                <w14:props3d w14:extrusionH="0" w14:contourW="0" w14:prstMaterial="warmMatte"/>
              </w:rPr>
              <w:t>.</w:t>
            </w:r>
          </w:p>
        </w:tc>
        <w:tc>
          <w:tcPr>
            <w:tcW w:w="1619" w:type="pct"/>
            <w:shd w:val="clear" w:color="auto" w:fill="EEF5E7" w:themeFill="accent2" w:themeFillTint="33"/>
            <w:vAlign w:val="center"/>
          </w:tcPr>
          <w:p w14:paraId="44215A06" w14:textId="77777777" w:rsidR="00F9335E" w:rsidRPr="00FB7228" w:rsidRDefault="00A65984" w:rsidP="00DD7E8D">
            <w:pPr>
              <w:spacing w:before="60"/>
              <w:jc w:val="center"/>
              <w:rPr>
                <w:rFonts w:ascii="Calibri Light" w:hAnsi="Calibri Light" w:cs="Calibri Light"/>
                <w:sz w:val="22"/>
                <w:szCs w:val="22"/>
                <w:lang w:val="en-AU"/>
                <w14:props3d w14:extrusionH="0" w14:contourW="0" w14:prstMaterial="warmMatte"/>
              </w:rPr>
            </w:pPr>
            <w:r>
              <w:rPr>
                <w:rFonts w:ascii="Calibri Light" w:hAnsi="Calibri Light" w:cs="Calibri Light"/>
                <w:sz w:val="22"/>
                <w:szCs w:val="22"/>
                <w:lang w:val="en-AU"/>
                <w14:props3d w14:extrusionH="0" w14:contourW="0" w14:prstMaterial="warmMatte"/>
              </w:rPr>
              <w:t xml:space="preserve">Have </w:t>
            </w:r>
            <w:r w:rsidR="00F9335E" w:rsidRPr="00FB7228">
              <w:rPr>
                <w:rFonts w:ascii="Calibri Light" w:hAnsi="Calibri Light" w:cs="Calibri Light"/>
                <w:sz w:val="22"/>
                <w:szCs w:val="22"/>
                <w:lang w:val="en-AU"/>
                <w14:props3d w14:extrusionH="0" w14:contourW="0" w14:prstMaterial="warmMatte"/>
              </w:rPr>
              <w:t>effective risk management</w:t>
            </w:r>
            <w:r w:rsidR="00F9335E">
              <w:rPr>
                <w:rFonts w:ascii="Calibri Light" w:hAnsi="Calibri Light" w:cs="Calibri Light"/>
                <w:sz w:val="22"/>
                <w:szCs w:val="22"/>
                <w:lang w:val="en-AU"/>
                <w14:props3d w14:extrusionH="0" w14:contourW="0" w14:prstMaterial="warmMatte"/>
              </w:rPr>
              <w:t xml:space="preserve"> processes</w:t>
            </w:r>
            <w:r w:rsidR="00F9335E" w:rsidRPr="00FB7228">
              <w:rPr>
                <w:rFonts w:ascii="Calibri Light" w:hAnsi="Calibri Light" w:cs="Calibri Light"/>
                <w:sz w:val="22"/>
                <w:szCs w:val="22"/>
                <w:lang w:val="en-AU"/>
                <w14:props3d w14:extrusionH="0" w14:contourW="0" w14:prstMaterial="warmMatte"/>
              </w:rPr>
              <w:t xml:space="preserve"> that include consideration of </w:t>
            </w:r>
            <w:r w:rsidR="00F9335E">
              <w:rPr>
                <w:rFonts w:ascii="Calibri Light" w:hAnsi="Calibri Light" w:cs="Calibri Light"/>
                <w:sz w:val="22"/>
                <w:szCs w:val="22"/>
                <w:lang w:val="en-AU"/>
                <w14:props3d w14:extrusionH="0" w14:contourW="0" w14:prstMaterial="warmMatte"/>
              </w:rPr>
              <w:t>the risk of SEAH</w:t>
            </w:r>
            <w:r w:rsidR="00F9335E" w:rsidRPr="00FB7228">
              <w:rPr>
                <w:rFonts w:ascii="Calibri Light" w:hAnsi="Calibri Light" w:cs="Calibri Light"/>
                <w:sz w:val="22"/>
                <w:szCs w:val="22"/>
                <w:lang w:val="en-AU"/>
                <w14:props3d w14:extrusionH="0" w14:contourW="0" w14:prstMaterial="warmMatte"/>
              </w:rPr>
              <w:t xml:space="preserve">. The process </w:t>
            </w:r>
            <w:r w:rsidR="009E4CD1">
              <w:rPr>
                <w:rFonts w:ascii="Calibri Light" w:hAnsi="Calibri Light" w:cs="Calibri Light"/>
                <w:sz w:val="22"/>
                <w:szCs w:val="22"/>
                <w:lang w:val="en-AU"/>
                <w14:props3d w14:extrusionH="0" w14:contourW="0" w14:prstMaterial="warmMatte"/>
              </w:rPr>
              <w:t xml:space="preserve">must </w:t>
            </w:r>
            <w:r w:rsidR="00F9335E" w:rsidRPr="00FB7228">
              <w:rPr>
                <w:rFonts w:ascii="Calibri Light" w:hAnsi="Calibri Light" w:cs="Calibri Light"/>
                <w:sz w:val="22"/>
                <w:szCs w:val="22"/>
                <w:lang w:val="en-AU"/>
                <w14:props3d w14:extrusionH="0" w14:contourW="0" w14:prstMaterial="warmMatte"/>
              </w:rPr>
              <w:t>document the controls already in place or to be implemented to reduce or remove risk</w:t>
            </w:r>
            <w:r>
              <w:rPr>
                <w:rFonts w:ascii="Calibri Light" w:hAnsi="Calibri Light" w:cs="Calibri Light"/>
                <w:sz w:val="22"/>
                <w:szCs w:val="22"/>
                <w:lang w:val="en-AU"/>
                <w14:props3d w14:extrusionH="0" w14:contourW="0" w14:prstMaterial="warmMatte"/>
              </w:rPr>
              <w:t>s</w:t>
            </w:r>
            <w:r w:rsidR="00113C7A">
              <w:rPr>
                <w:rFonts w:ascii="Calibri Light" w:hAnsi="Calibri Light" w:cs="Calibri Light"/>
                <w:sz w:val="22"/>
                <w:szCs w:val="22"/>
                <w:lang w:val="en-AU"/>
                <w14:props3d w14:extrusionH="0" w14:contourW="0" w14:prstMaterial="warmMatte"/>
              </w:rPr>
              <w:t>.</w:t>
            </w:r>
          </w:p>
        </w:tc>
        <w:tc>
          <w:tcPr>
            <w:tcW w:w="1467" w:type="pct"/>
            <w:shd w:val="clear" w:color="auto" w:fill="EEF5E7" w:themeFill="accent2" w:themeFillTint="33"/>
            <w:vAlign w:val="center"/>
          </w:tcPr>
          <w:p w14:paraId="4E877949" w14:textId="77777777" w:rsidR="00F9335E" w:rsidRPr="00FB7228" w:rsidRDefault="009E4CD1" w:rsidP="00DD7E8D">
            <w:pPr>
              <w:spacing w:before="60"/>
              <w:jc w:val="center"/>
              <w:rPr>
                <w:rFonts w:ascii="Calibri Light" w:hAnsi="Calibri Light" w:cs="Calibri Light"/>
                <w:sz w:val="22"/>
                <w:szCs w:val="22"/>
                <w14:props3d w14:extrusionH="0" w14:contourW="0" w14:prstMaterial="warmMatte"/>
              </w:rPr>
            </w:pPr>
            <w:r>
              <w:rPr>
                <w:rFonts w:ascii="Calibri Light" w:hAnsi="Calibri Light" w:cs="Calibri Light"/>
                <w:sz w:val="22"/>
                <w:szCs w:val="22"/>
                <w:lang w:val="en-AU"/>
                <w14:props3d w14:extrusionH="0" w14:contourW="0" w14:prstMaterial="warmMatte"/>
              </w:rPr>
              <w:t>Must</w:t>
            </w:r>
            <w:r w:rsidR="00F9335E" w:rsidRPr="00FB7228">
              <w:rPr>
                <w:rFonts w:ascii="Calibri Light" w:hAnsi="Calibri Light" w:cs="Calibri Light"/>
                <w:sz w:val="22"/>
                <w:szCs w:val="22"/>
                <w:lang w:val="en-AU"/>
                <w14:props3d w14:extrusionH="0" w14:contourW="0" w14:prstMaterial="warmMatte"/>
              </w:rPr>
              <w:t xml:space="preserve"> meet the reporting requirements under their agre</w:t>
            </w:r>
            <w:r w:rsidR="000917AB">
              <w:rPr>
                <w:rFonts w:ascii="Calibri Light" w:hAnsi="Calibri Light" w:cs="Calibri Light"/>
                <w:sz w:val="22"/>
                <w:szCs w:val="22"/>
                <w:lang w:val="en-AU"/>
                <w14:props3d w14:extrusionH="0" w14:contourW="0" w14:prstMaterial="warmMatte"/>
              </w:rPr>
              <w:t>ement, aligned to DFAT’s PSEAH P</w:t>
            </w:r>
            <w:r w:rsidR="00F9335E" w:rsidRPr="00FB7228">
              <w:rPr>
                <w:rFonts w:ascii="Calibri Light" w:hAnsi="Calibri Light" w:cs="Calibri Light"/>
                <w:sz w:val="22"/>
                <w:szCs w:val="22"/>
                <w:lang w:val="en-AU"/>
                <w14:props3d w14:extrusionH="0" w14:contourW="0" w14:prstMaterial="warmMatte"/>
              </w:rPr>
              <w:t>olicy.</w:t>
            </w:r>
          </w:p>
        </w:tc>
        <w:tc>
          <w:tcPr>
            <w:tcW w:w="246" w:type="pct"/>
            <w:shd w:val="clear" w:color="auto" w:fill="D9D9D9" w:themeFill="background1" w:themeFillShade="D9"/>
            <w:vAlign w:val="center"/>
          </w:tcPr>
          <w:p w14:paraId="3E44CEF2"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6" w:type="pct"/>
            <w:shd w:val="clear" w:color="auto" w:fill="DDECD0" w:themeFill="accent2" w:themeFillTint="66"/>
            <w:vAlign w:val="center"/>
          </w:tcPr>
          <w:p w14:paraId="70C3E331"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25EFC15E"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79DA02A5"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r>
      <w:tr w:rsidR="00F9335E" w:rsidRPr="00E46809" w14:paraId="726FAA9A" w14:textId="77777777" w:rsidTr="00B748A2">
        <w:trPr>
          <w:trHeight w:hRule="exact" w:val="1414"/>
          <w:jc w:val="center"/>
        </w:trPr>
        <w:tc>
          <w:tcPr>
            <w:tcW w:w="931" w:type="pct"/>
            <w:shd w:val="clear" w:color="auto" w:fill="E0F3EF" w:themeFill="accent1" w:themeFillTint="33"/>
            <w:vAlign w:val="center"/>
          </w:tcPr>
          <w:p w14:paraId="2D6D739C" w14:textId="77777777" w:rsidR="00F9335E" w:rsidRPr="00FB7228" w:rsidRDefault="00F9335E" w:rsidP="007768C8">
            <w:pPr>
              <w:spacing w:before="60"/>
              <w:jc w:val="center"/>
              <w:rPr>
                <w:rStyle w:val="Strong"/>
                <w:rFonts w:ascii="Calibri Light" w:hAnsi="Calibri Light" w:cs="Calibri Light"/>
                <w:b w:val="0"/>
                <w:sz w:val="22"/>
                <w:szCs w:val="22"/>
              </w:rPr>
            </w:pPr>
            <w:r w:rsidRPr="00FB7228">
              <w:rPr>
                <w:rStyle w:val="Strong"/>
                <w:rFonts w:ascii="Calibri Light" w:hAnsi="Calibri Light" w:cs="Calibri Light"/>
                <w:sz w:val="22"/>
                <w:szCs w:val="22"/>
              </w:rPr>
              <w:t>4.</w:t>
            </w:r>
            <w:r w:rsidRPr="00FB7228">
              <w:rPr>
                <w:sz w:val="22"/>
                <w:szCs w:val="22"/>
              </w:rPr>
              <w:t xml:space="preserve"> </w:t>
            </w:r>
            <w:r w:rsidRPr="00FB7228">
              <w:rPr>
                <w:rStyle w:val="Strong"/>
                <w:rFonts w:ascii="Calibri Light" w:hAnsi="Calibri Light" w:cs="Calibri Light"/>
                <w:sz w:val="22"/>
                <w:szCs w:val="22"/>
              </w:rPr>
              <w:t>Effective PSEAH training in place.</w:t>
            </w:r>
          </w:p>
        </w:tc>
        <w:tc>
          <w:tcPr>
            <w:tcW w:w="1619" w:type="pct"/>
            <w:shd w:val="clear" w:color="auto" w:fill="EEF5E7" w:themeFill="accent2" w:themeFillTint="33"/>
            <w:vAlign w:val="center"/>
          </w:tcPr>
          <w:p w14:paraId="5AF8E88F" w14:textId="77777777" w:rsidR="00F9335E" w:rsidRPr="00FB7228" w:rsidRDefault="009E4CD1" w:rsidP="009E4CD1">
            <w:pPr>
              <w:spacing w:before="60"/>
              <w:jc w:val="center"/>
              <w:rPr>
                <w:rStyle w:val="Strong"/>
                <w:rFonts w:ascii="Calibri Light" w:hAnsi="Calibri Light" w:cs="Calibri Light"/>
                <w:b w:val="0"/>
                <w:bCs w:val="0"/>
                <w:sz w:val="22"/>
                <w:szCs w:val="22"/>
              </w:rPr>
            </w:pPr>
            <w:r>
              <w:rPr>
                <w:rStyle w:val="Strong"/>
                <w:rFonts w:ascii="Calibri Light" w:hAnsi="Calibri Light" w:cs="Calibri Light"/>
                <w:b w:val="0"/>
                <w:sz w:val="22"/>
                <w:szCs w:val="22"/>
              </w:rPr>
              <w:t>PSEAH t</w:t>
            </w:r>
            <w:r w:rsidR="00F9335E" w:rsidRPr="00FB7228">
              <w:rPr>
                <w:rStyle w:val="Strong"/>
                <w:rFonts w:ascii="Calibri Light" w:hAnsi="Calibri Light" w:cs="Calibri Light"/>
                <w:b w:val="0"/>
                <w:sz w:val="22"/>
                <w:szCs w:val="22"/>
              </w:rPr>
              <w:t xml:space="preserve">raining for personnel, including downstream partners and individuals that deliver DFAT </w:t>
            </w:r>
            <w:r w:rsidR="00A760A7">
              <w:rPr>
                <w:rStyle w:val="Strong"/>
                <w:rFonts w:ascii="Calibri Light" w:hAnsi="Calibri Light" w:cs="Calibri Light"/>
                <w:b w:val="0"/>
                <w:sz w:val="22"/>
                <w:szCs w:val="22"/>
              </w:rPr>
              <w:t>business</w:t>
            </w:r>
            <w:r w:rsidR="00E345E0">
              <w:rPr>
                <w:rStyle w:val="Strong"/>
                <w:rFonts w:ascii="Calibri Light" w:hAnsi="Calibri Light" w:cs="Calibri Light"/>
                <w:b w:val="0"/>
                <w:sz w:val="22"/>
                <w:szCs w:val="22"/>
              </w:rPr>
              <w:t>.</w:t>
            </w:r>
          </w:p>
        </w:tc>
        <w:tc>
          <w:tcPr>
            <w:tcW w:w="1467" w:type="pct"/>
            <w:shd w:val="clear" w:color="auto" w:fill="EEF5E7" w:themeFill="accent2" w:themeFillTint="33"/>
            <w:vAlign w:val="center"/>
          </w:tcPr>
          <w:p w14:paraId="19FE9B54" w14:textId="77777777" w:rsidR="00F9335E" w:rsidRPr="00FB7228" w:rsidRDefault="00861CFB" w:rsidP="007768C8">
            <w:pPr>
              <w:spacing w:before="60"/>
              <w:jc w:val="center"/>
              <w:rPr>
                <w:rStyle w:val="Strong"/>
                <w:rFonts w:ascii="Calibri Light" w:hAnsi="Calibri Light" w:cs="Calibri Light"/>
                <w:b w:val="0"/>
                <w:bCs w:val="0"/>
                <w:sz w:val="22"/>
                <w:szCs w:val="22"/>
              </w:rPr>
            </w:pPr>
            <w:r>
              <w:rPr>
                <w:rStyle w:val="Strong"/>
                <w:rFonts w:ascii="Calibri Light" w:hAnsi="Calibri Light" w:cs="Calibri Light"/>
                <w:b w:val="0"/>
                <w:sz w:val="22"/>
                <w:szCs w:val="22"/>
              </w:rPr>
              <w:t>C</w:t>
            </w:r>
            <w:r w:rsidR="00F9335E" w:rsidRPr="000F2E65">
              <w:rPr>
                <w:rStyle w:val="Strong"/>
                <w:rFonts w:ascii="Calibri Light" w:hAnsi="Calibri Light" w:cs="Calibri Light"/>
                <w:b w:val="0"/>
                <w:sz w:val="22"/>
                <w:szCs w:val="22"/>
              </w:rPr>
              <w:t>omplete PSEAH training and provide evidence of this.</w:t>
            </w:r>
          </w:p>
        </w:tc>
        <w:tc>
          <w:tcPr>
            <w:tcW w:w="246" w:type="pct"/>
            <w:shd w:val="clear" w:color="auto" w:fill="D9D9D9" w:themeFill="background1" w:themeFillShade="D9"/>
            <w:vAlign w:val="center"/>
          </w:tcPr>
          <w:p w14:paraId="5799B623"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6" w:type="pct"/>
            <w:shd w:val="clear" w:color="auto" w:fill="D9D9D9" w:themeFill="background1" w:themeFillShade="D9"/>
            <w:vAlign w:val="center"/>
          </w:tcPr>
          <w:p w14:paraId="3EED47A3"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5" w:type="pct"/>
            <w:shd w:val="clear" w:color="auto" w:fill="DDECD0" w:themeFill="accent2" w:themeFillTint="66"/>
            <w:vAlign w:val="center"/>
          </w:tcPr>
          <w:p w14:paraId="2FE219C6"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10038771"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r>
      <w:tr w:rsidR="00F9335E" w:rsidRPr="00E46809" w14:paraId="1FCF3B1B" w14:textId="77777777" w:rsidTr="00B748A2">
        <w:trPr>
          <w:trHeight w:hRule="exact" w:val="2055"/>
          <w:jc w:val="center"/>
        </w:trPr>
        <w:tc>
          <w:tcPr>
            <w:tcW w:w="931" w:type="pct"/>
            <w:shd w:val="clear" w:color="auto" w:fill="E0F3EF" w:themeFill="accent1" w:themeFillTint="33"/>
            <w:vAlign w:val="center"/>
          </w:tcPr>
          <w:p w14:paraId="40F0CAC2" w14:textId="77777777" w:rsidR="00F9335E" w:rsidRPr="00FB7228" w:rsidRDefault="00F9335E" w:rsidP="007768C8">
            <w:pPr>
              <w:spacing w:before="60"/>
              <w:jc w:val="center"/>
              <w:rPr>
                <w:rStyle w:val="Strong"/>
                <w:rFonts w:ascii="Calibri Light" w:hAnsi="Calibri Light" w:cs="Calibri Light"/>
                <w:b w:val="0"/>
                <w:sz w:val="22"/>
                <w:szCs w:val="22"/>
                <w14:props3d w14:extrusionH="0" w14:contourW="0" w14:prstMaterial="warmMatte"/>
              </w:rPr>
            </w:pPr>
            <w:r w:rsidRPr="00FB7228">
              <w:rPr>
                <w:rStyle w:val="Strong"/>
                <w:rFonts w:ascii="Calibri Light" w:hAnsi="Calibri Light" w:cs="Calibri Light"/>
                <w:sz w:val="22"/>
                <w:szCs w:val="22"/>
                <w14:props3d w14:extrusionH="0" w14:contourW="0" w14:prstMaterial="warmMatte"/>
              </w:rPr>
              <w:t>5.</w:t>
            </w:r>
            <w:r w:rsidRPr="00FB7228">
              <w:rPr>
                <w:sz w:val="22"/>
                <w:szCs w:val="22"/>
              </w:rPr>
              <w:t xml:space="preserve"> </w:t>
            </w:r>
            <w:r w:rsidRPr="00FB7228">
              <w:rPr>
                <w:rStyle w:val="Strong"/>
                <w:rFonts w:ascii="Calibri Light" w:hAnsi="Calibri Light" w:cs="Calibri Light"/>
                <w:sz w:val="22"/>
                <w:szCs w:val="22"/>
                <w14:props3d w14:extrusionH="0" w14:contourW="0" w14:prstMaterial="warmMatte"/>
              </w:rPr>
              <w:t xml:space="preserve">Recruitment and screening processes and employment practices address and manage </w:t>
            </w:r>
            <w:r>
              <w:rPr>
                <w:rStyle w:val="Strong"/>
                <w:rFonts w:ascii="Calibri Light" w:hAnsi="Calibri Light" w:cs="Calibri Light"/>
                <w:sz w:val="22"/>
                <w:szCs w:val="22"/>
                <w14:props3d w14:extrusionH="0" w14:contourW="0" w14:prstMaterial="warmMatte"/>
              </w:rPr>
              <w:t xml:space="preserve">the risk of </w:t>
            </w:r>
            <w:r w:rsidRPr="00FB7228">
              <w:rPr>
                <w:rStyle w:val="Strong"/>
                <w:rFonts w:ascii="Calibri Light" w:hAnsi="Calibri Light" w:cs="Calibri Light"/>
                <w:sz w:val="22"/>
                <w:szCs w:val="22"/>
                <w14:props3d w14:extrusionH="0" w14:contourW="0" w14:prstMaterial="warmMatte"/>
              </w:rPr>
              <w:t>SEAH.</w:t>
            </w:r>
          </w:p>
        </w:tc>
        <w:tc>
          <w:tcPr>
            <w:tcW w:w="1619" w:type="pct"/>
            <w:shd w:val="clear" w:color="auto" w:fill="EEF5E7" w:themeFill="accent2" w:themeFillTint="33"/>
            <w:vAlign w:val="center"/>
          </w:tcPr>
          <w:p w14:paraId="709F5535" w14:textId="77777777" w:rsidR="00F9335E" w:rsidRPr="00FB7228" w:rsidRDefault="009E4CD1" w:rsidP="00900171">
            <w:pPr>
              <w:spacing w:before="60"/>
              <w:jc w:val="center"/>
              <w:rPr>
                <w:rFonts w:ascii="Calibri Light" w:hAnsi="Calibri Light" w:cs="Calibri Light"/>
                <w:sz w:val="22"/>
                <w:szCs w:val="22"/>
                <w14:props3d w14:extrusionH="0" w14:contourW="0" w14:prstMaterial="warmMatte"/>
              </w:rPr>
            </w:pPr>
            <w:r>
              <w:rPr>
                <w:rFonts w:ascii="Calibri Light" w:hAnsi="Calibri Light" w:cs="Calibri Light"/>
                <w:sz w:val="22"/>
                <w:szCs w:val="22"/>
                <w14:props3d w14:extrusionH="0" w14:contourW="0" w14:prstMaterial="warmMatte"/>
              </w:rPr>
              <w:t>Can</w:t>
            </w:r>
            <w:r w:rsidR="00F9335E" w:rsidRPr="00FB7228">
              <w:rPr>
                <w:rFonts w:ascii="Calibri Light" w:hAnsi="Calibri Light" w:cs="Calibri Light"/>
                <w:sz w:val="22"/>
                <w:szCs w:val="22"/>
                <w14:props3d w14:extrusionH="0" w14:contourW="0" w14:prstMaterial="warmMatte"/>
              </w:rPr>
              <w:t xml:space="preserve"> demonstrate robust PSEAH recruitment and screening processes for all personnel/consultants including </w:t>
            </w:r>
            <w:r w:rsidR="00900171">
              <w:rPr>
                <w:rFonts w:ascii="Calibri Light" w:hAnsi="Calibri Light" w:cs="Calibri Light"/>
                <w:sz w:val="22"/>
                <w:szCs w:val="22"/>
                <w14:props3d w14:extrusionH="0" w14:contourW="0" w14:prstMaterial="warmMatte"/>
              </w:rPr>
              <w:t>having in place appropriate and enforceable standards of conduct.</w:t>
            </w:r>
          </w:p>
        </w:tc>
        <w:tc>
          <w:tcPr>
            <w:tcW w:w="1467" w:type="pct"/>
            <w:shd w:val="clear" w:color="auto" w:fill="EEF5E7" w:themeFill="accent2" w:themeFillTint="33"/>
            <w:vAlign w:val="center"/>
          </w:tcPr>
          <w:p w14:paraId="2B94BF34" w14:textId="77777777" w:rsidR="00F9335E" w:rsidRPr="00FB7228" w:rsidRDefault="00900171" w:rsidP="00DD7E8D">
            <w:pPr>
              <w:spacing w:before="60"/>
              <w:jc w:val="center"/>
              <w:rPr>
                <w:rFonts w:ascii="Calibri Light" w:hAnsi="Calibri Light" w:cs="Calibri Light"/>
                <w:sz w:val="22"/>
                <w:szCs w:val="22"/>
                <w14:props3d w14:extrusionH="0" w14:contourW="0" w14:prstMaterial="warmMatte"/>
              </w:rPr>
            </w:pPr>
            <w:r>
              <w:rPr>
                <w:rFonts w:ascii="Calibri Light" w:hAnsi="Calibri Light" w:cs="Calibri Light"/>
                <w:sz w:val="22"/>
                <w:szCs w:val="22"/>
                <w14:props3d w14:extrusionH="0" w14:contourW="0" w14:prstMaterial="warmMatte"/>
              </w:rPr>
              <w:t>Based on a risk assessment, assurances could include p</w:t>
            </w:r>
            <w:r w:rsidR="00F9335E" w:rsidRPr="00FB7228">
              <w:rPr>
                <w:rFonts w:ascii="Calibri Light" w:hAnsi="Calibri Light" w:cs="Calibri Light"/>
                <w:sz w:val="22"/>
                <w:szCs w:val="22"/>
                <w14:props3d w14:extrusionH="0" w14:contourW="0" w14:prstMaterial="warmMatte"/>
              </w:rPr>
              <w:t>rovid</w:t>
            </w:r>
            <w:r>
              <w:rPr>
                <w:rFonts w:ascii="Calibri Light" w:hAnsi="Calibri Light" w:cs="Calibri Light"/>
                <w:sz w:val="22"/>
                <w:szCs w:val="22"/>
                <w14:props3d w14:extrusionH="0" w14:contourW="0" w14:prstMaterial="warmMatte"/>
              </w:rPr>
              <w:t>ing</w:t>
            </w:r>
            <w:r w:rsidR="00F9335E" w:rsidRPr="00FB7228">
              <w:rPr>
                <w:rFonts w:ascii="Calibri Light" w:hAnsi="Calibri Light" w:cs="Calibri Light"/>
                <w:sz w:val="22"/>
                <w:szCs w:val="22"/>
                <w14:props3d w14:extrusionH="0" w14:contourW="0" w14:prstMaterial="warmMatte"/>
              </w:rPr>
              <w:t xml:space="preserve"> a recent police check, working with vulnerable people check or location specific equivalent that provides assurance reasonable SEAH precautions have been taken.</w:t>
            </w:r>
            <w:r>
              <w:rPr>
                <w:rFonts w:ascii="Calibri Light" w:hAnsi="Calibri Light" w:cs="Calibri Light"/>
                <w:sz w:val="22"/>
                <w:szCs w:val="22"/>
                <w14:props3d w14:extrusionH="0" w14:contourW="0" w14:prstMaterial="warmMatte"/>
              </w:rPr>
              <w:t xml:space="preserve"> Local requirements must also be followed.</w:t>
            </w:r>
          </w:p>
        </w:tc>
        <w:tc>
          <w:tcPr>
            <w:tcW w:w="246" w:type="pct"/>
            <w:shd w:val="clear" w:color="auto" w:fill="D9D9D9" w:themeFill="background1" w:themeFillShade="D9"/>
            <w:vAlign w:val="center"/>
          </w:tcPr>
          <w:p w14:paraId="0477E591"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6" w:type="pct"/>
            <w:shd w:val="clear" w:color="auto" w:fill="D9D9D9" w:themeFill="background1" w:themeFillShade="D9"/>
            <w:vAlign w:val="center"/>
          </w:tcPr>
          <w:p w14:paraId="06AE9D95"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5" w:type="pct"/>
            <w:shd w:val="clear" w:color="auto" w:fill="DDECD0" w:themeFill="accent2" w:themeFillTint="66"/>
            <w:vAlign w:val="center"/>
          </w:tcPr>
          <w:p w14:paraId="73E00F8E"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c>
          <w:tcPr>
            <w:tcW w:w="245" w:type="pct"/>
            <w:shd w:val="clear" w:color="auto" w:fill="DDECD0" w:themeFill="accent2" w:themeFillTint="66"/>
            <w:vAlign w:val="center"/>
          </w:tcPr>
          <w:p w14:paraId="75C19DCA"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r>
      <w:tr w:rsidR="00F9335E" w:rsidRPr="00E46809" w14:paraId="56903B36" w14:textId="77777777" w:rsidTr="00B748A2">
        <w:trPr>
          <w:trHeight w:hRule="exact" w:val="1869"/>
          <w:jc w:val="center"/>
        </w:trPr>
        <w:tc>
          <w:tcPr>
            <w:tcW w:w="931" w:type="pct"/>
            <w:shd w:val="clear" w:color="auto" w:fill="E0F3EF" w:themeFill="accent1" w:themeFillTint="33"/>
            <w:vAlign w:val="center"/>
          </w:tcPr>
          <w:p w14:paraId="6C1B43DC" w14:textId="77777777" w:rsidR="00F9335E" w:rsidRPr="00FB7228" w:rsidRDefault="00F9335E" w:rsidP="009E4CD1">
            <w:pPr>
              <w:jc w:val="center"/>
              <w:rPr>
                <w:rStyle w:val="Strong"/>
                <w:rFonts w:ascii="Calibri Light" w:hAnsi="Calibri Light" w:cs="Calibri Light"/>
                <w:b w:val="0"/>
                <w:sz w:val="22"/>
                <w:szCs w:val="22"/>
                <w14:props3d w14:extrusionH="0" w14:contourW="0" w14:prstMaterial="warmMatte"/>
              </w:rPr>
            </w:pPr>
            <w:r w:rsidRPr="00FB7228">
              <w:rPr>
                <w:rStyle w:val="Strong"/>
                <w:rFonts w:ascii="Calibri Light" w:hAnsi="Calibri Light" w:cs="Calibri Light"/>
                <w:sz w:val="22"/>
                <w:szCs w:val="22"/>
                <w14:props3d w14:extrusionH="0" w14:contourW="0" w14:prstMaterial="warmMatte"/>
              </w:rPr>
              <w:t>6.</w:t>
            </w:r>
            <w:r w:rsidRPr="00FB7228">
              <w:rPr>
                <w:sz w:val="22"/>
                <w:szCs w:val="22"/>
              </w:rPr>
              <w:t xml:space="preserve"> </w:t>
            </w:r>
            <w:r w:rsidRPr="00FB7228">
              <w:rPr>
                <w:rStyle w:val="Strong"/>
                <w:rFonts w:ascii="Calibri Light" w:hAnsi="Calibri Light" w:cs="Calibri Light"/>
                <w:sz w:val="22"/>
                <w:szCs w:val="22"/>
                <w14:props3d w14:extrusionH="0" w14:contourW="0" w14:prstMaterial="warmMatte"/>
              </w:rPr>
              <w:t xml:space="preserve">Prohibit transactional sex for all personnel, while engaged in the direct delivery of DFAT </w:t>
            </w:r>
            <w:r>
              <w:rPr>
                <w:rStyle w:val="Strong"/>
                <w:rFonts w:ascii="Calibri Light" w:hAnsi="Calibri Light" w:cs="Calibri Light"/>
                <w:sz w:val="22"/>
                <w:szCs w:val="22"/>
                <w14:props3d w14:extrusionH="0" w14:contourW="0" w14:prstMaterial="warmMatte"/>
              </w:rPr>
              <w:t>business</w:t>
            </w:r>
          </w:p>
        </w:tc>
        <w:tc>
          <w:tcPr>
            <w:tcW w:w="1619" w:type="pct"/>
            <w:shd w:val="clear" w:color="auto" w:fill="EEF5E7" w:themeFill="accent2" w:themeFillTint="33"/>
            <w:vAlign w:val="center"/>
          </w:tcPr>
          <w:p w14:paraId="6D0752F1" w14:textId="77777777" w:rsidR="00F9335E" w:rsidRPr="00FB7228" w:rsidRDefault="00861CFB" w:rsidP="009E4CD1">
            <w:pPr>
              <w:jc w:val="center"/>
              <w:rPr>
                <w:rStyle w:val="Strong"/>
                <w:rFonts w:ascii="Calibri Light" w:eastAsiaTheme="minorHAnsi" w:hAnsi="Calibri Light" w:cs="Calibri Light"/>
                <w:b w:val="0"/>
                <w:sz w:val="22"/>
                <w:szCs w:val="22"/>
                <w14:props3d w14:extrusionH="0" w14:contourW="0" w14:prstMaterial="warmMatte"/>
              </w:rPr>
            </w:pPr>
            <w:r>
              <w:rPr>
                <w:rStyle w:val="Strong"/>
                <w:rFonts w:ascii="Calibri Light" w:hAnsi="Calibri Light" w:cs="Calibri Light"/>
                <w:b w:val="0"/>
                <w:sz w:val="22"/>
                <w:szCs w:val="22"/>
                <w14:props3d w14:extrusionH="0" w14:contourW="0" w14:prstMaterial="warmMatte"/>
              </w:rPr>
              <w:t>P</w:t>
            </w:r>
            <w:r w:rsidR="00F9335E" w:rsidRPr="00FB7228">
              <w:rPr>
                <w:rStyle w:val="Strong"/>
                <w:rFonts w:ascii="Calibri Light" w:hAnsi="Calibri Light" w:cs="Calibri Light"/>
                <w:b w:val="0"/>
                <w:sz w:val="22"/>
                <w:szCs w:val="22"/>
                <w14:props3d w14:extrusionH="0" w14:contourW="0" w14:prstMaterial="warmMatte"/>
              </w:rPr>
              <w:t>rohibit</w:t>
            </w:r>
            <w:r w:rsidR="009E4CD1">
              <w:rPr>
                <w:rStyle w:val="Strong"/>
                <w:rFonts w:ascii="Calibri Light" w:hAnsi="Calibri Light" w:cs="Calibri Light"/>
                <w:b w:val="0"/>
                <w:sz w:val="22"/>
                <w:szCs w:val="22"/>
                <w14:props3d w14:extrusionH="0" w14:contourW="0" w14:prstMaterial="warmMatte"/>
              </w:rPr>
              <w:t>s transactional sex in the field</w:t>
            </w:r>
            <w:r w:rsidR="00F9335E" w:rsidRPr="00FB7228">
              <w:rPr>
                <w:rStyle w:val="Strong"/>
                <w:rFonts w:ascii="Calibri Light" w:hAnsi="Calibri Light" w:cs="Calibri Light"/>
                <w:b w:val="0"/>
                <w:sz w:val="22"/>
                <w:szCs w:val="22"/>
                <w14:props3d w14:extrusionH="0" w14:contourW="0" w14:prstMaterial="warmMatte"/>
              </w:rPr>
              <w:t xml:space="preserve"> for </w:t>
            </w:r>
            <w:r w:rsidR="009E4CD1">
              <w:rPr>
                <w:rStyle w:val="Strong"/>
                <w:rFonts w:ascii="Calibri Light" w:hAnsi="Calibri Light" w:cs="Calibri Light"/>
                <w:b w:val="0"/>
                <w:sz w:val="22"/>
                <w:szCs w:val="22"/>
                <w14:props3d w14:extrusionH="0" w14:contourW="0" w14:prstMaterial="warmMatte"/>
              </w:rPr>
              <w:t>all</w:t>
            </w:r>
            <w:r w:rsidR="00F9335E" w:rsidRPr="00FB7228">
              <w:rPr>
                <w:rStyle w:val="Strong"/>
                <w:rFonts w:ascii="Calibri Light" w:hAnsi="Calibri Light" w:cs="Calibri Light"/>
                <w:b w:val="0"/>
                <w:sz w:val="22"/>
                <w:szCs w:val="22"/>
                <w14:props3d w14:extrusionH="0" w14:contourW="0" w14:prstMaterial="warmMatte"/>
              </w:rPr>
              <w:t xml:space="preserve"> staff </w:t>
            </w:r>
            <w:r w:rsidR="009E4CD1">
              <w:rPr>
                <w:rStyle w:val="Strong"/>
                <w:rFonts w:ascii="Calibri Light" w:hAnsi="Calibri Light" w:cs="Calibri Light"/>
                <w:b w:val="0"/>
                <w:sz w:val="22"/>
                <w:szCs w:val="22"/>
                <w14:props3d w14:extrusionH="0" w14:contourW="0" w14:prstMaterial="warmMatte"/>
              </w:rPr>
              <w:t xml:space="preserve">and downstream partners </w:t>
            </w:r>
            <w:r w:rsidR="00F9335E">
              <w:rPr>
                <w:rStyle w:val="Strong"/>
                <w:rFonts w:ascii="Calibri Light" w:hAnsi="Calibri Light" w:cs="Calibri Light"/>
                <w:b w:val="0"/>
                <w:sz w:val="22"/>
                <w:szCs w:val="22"/>
                <w14:props3d w14:extrusionH="0" w14:contourW="0" w14:prstMaterial="warmMatte"/>
              </w:rPr>
              <w:t xml:space="preserve">while </w:t>
            </w:r>
            <w:r w:rsidR="00F9335E" w:rsidRPr="00FB7228">
              <w:rPr>
                <w:rStyle w:val="Strong"/>
                <w:rFonts w:ascii="Calibri Light" w:hAnsi="Calibri Light" w:cs="Calibri Light"/>
                <w:b w:val="0"/>
                <w:sz w:val="22"/>
                <w:szCs w:val="22"/>
                <w14:props3d w14:extrusionH="0" w14:contourW="0" w14:prstMaterial="warmMatte"/>
              </w:rPr>
              <w:t xml:space="preserve">engaged in the delivery of DFAT </w:t>
            </w:r>
            <w:r w:rsidR="00F9335E">
              <w:rPr>
                <w:rStyle w:val="Strong"/>
                <w:rFonts w:ascii="Calibri Light" w:hAnsi="Calibri Light" w:cs="Calibri Light"/>
                <w:b w:val="0"/>
                <w:sz w:val="22"/>
                <w:szCs w:val="22"/>
                <w14:props3d w14:extrusionH="0" w14:contourW="0" w14:prstMaterial="warmMatte"/>
              </w:rPr>
              <w:t>business</w:t>
            </w:r>
          </w:p>
        </w:tc>
        <w:tc>
          <w:tcPr>
            <w:tcW w:w="1467" w:type="pct"/>
            <w:shd w:val="clear" w:color="auto" w:fill="EEF5E7" w:themeFill="accent2" w:themeFillTint="33"/>
            <w:vAlign w:val="center"/>
          </w:tcPr>
          <w:p w14:paraId="4D05E9DA" w14:textId="77777777" w:rsidR="00F9335E" w:rsidRPr="00FB7228" w:rsidRDefault="00F9335E" w:rsidP="009E4CD1">
            <w:pPr>
              <w:jc w:val="center"/>
              <w:rPr>
                <w:rFonts w:ascii="Calibri Light" w:hAnsi="Calibri Light" w:cs="Calibri Light"/>
                <w:b/>
                <w:sz w:val="22"/>
                <w:szCs w:val="22"/>
              </w:rPr>
            </w:pPr>
            <w:r w:rsidRPr="00FB7228">
              <w:rPr>
                <w:rStyle w:val="Strong"/>
                <w:rFonts w:ascii="Calibri Light" w:hAnsi="Calibri Light" w:cs="Calibri Light"/>
                <w:b w:val="0"/>
                <w:sz w:val="22"/>
                <w:szCs w:val="22"/>
                <w14:props3d w14:extrusionH="0" w14:contourW="0" w14:prstMaterial="warmMatte"/>
              </w:rPr>
              <w:t xml:space="preserve">Employment agreements include clauses prohibiting transactional sex while </w:t>
            </w:r>
            <w:r w:rsidR="00A4189C">
              <w:rPr>
                <w:rStyle w:val="Strong"/>
                <w:rFonts w:ascii="Calibri Light" w:hAnsi="Calibri Light" w:cs="Calibri Light"/>
                <w:b w:val="0"/>
                <w:sz w:val="22"/>
                <w:szCs w:val="22"/>
                <w14:props3d w14:extrusionH="0" w14:contourW="0" w14:prstMaterial="warmMatte"/>
              </w:rPr>
              <w:t>engaged in</w:t>
            </w:r>
            <w:r w:rsidR="009E4CD1">
              <w:rPr>
                <w:rStyle w:val="Strong"/>
                <w:rFonts w:ascii="Calibri Light" w:hAnsi="Calibri Light" w:cs="Calibri Light"/>
                <w:b w:val="0"/>
                <w:sz w:val="22"/>
                <w:szCs w:val="22"/>
                <w14:props3d w14:extrusionH="0" w14:contourW="0" w14:prstMaterial="warmMatte"/>
              </w:rPr>
              <w:t xml:space="preserve"> the delivery</w:t>
            </w:r>
            <w:r w:rsidRPr="00FB7228">
              <w:rPr>
                <w:rStyle w:val="Strong"/>
                <w:rFonts w:ascii="Calibri Light" w:hAnsi="Calibri Light" w:cs="Calibri Light"/>
                <w:b w:val="0"/>
                <w:sz w:val="22"/>
                <w:szCs w:val="22"/>
                <w14:props3d w14:extrusionH="0" w14:contourW="0" w14:prstMaterial="warmMatte"/>
              </w:rPr>
              <w:t xml:space="preserve"> </w:t>
            </w:r>
            <w:r w:rsidR="009E4CD1">
              <w:rPr>
                <w:rStyle w:val="Strong"/>
                <w:rFonts w:ascii="Calibri Light" w:hAnsi="Calibri Light" w:cs="Calibri Light"/>
                <w:b w:val="0"/>
                <w:sz w:val="22"/>
                <w:szCs w:val="22"/>
                <w14:props3d w14:extrusionH="0" w14:contourW="0" w14:prstMaterial="warmMatte"/>
              </w:rPr>
              <w:t>of</w:t>
            </w:r>
            <w:r w:rsidRPr="00FB7228">
              <w:rPr>
                <w:rStyle w:val="Strong"/>
                <w:rFonts w:ascii="Calibri Light" w:hAnsi="Calibri Light" w:cs="Calibri Light"/>
                <w:b w:val="0"/>
                <w:sz w:val="22"/>
                <w:szCs w:val="22"/>
                <w14:props3d w14:extrusionH="0" w14:contourW="0" w14:prstMaterial="warmMatte"/>
              </w:rPr>
              <w:t xml:space="preserve"> DFAT </w:t>
            </w:r>
            <w:r>
              <w:rPr>
                <w:rStyle w:val="Strong"/>
                <w:rFonts w:ascii="Calibri Light" w:hAnsi="Calibri Light" w:cs="Calibri Light"/>
                <w:b w:val="0"/>
                <w:sz w:val="22"/>
                <w:szCs w:val="22"/>
                <w14:props3d w14:extrusionH="0" w14:contourW="0" w14:prstMaterial="warmMatte"/>
              </w:rPr>
              <w:t>business</w:t>
            </w:r>
            <w:r w:rsidRPr="00FB7228">
              <w:rPr>
                <w:rStyle w:val="Strong"/>
                <w:rFonts w:ascii="Calibri Light" w:hAnsi="Calibri Light" w:cs="Calibri Light"/>
                <w:b w:val="0"/>
                <w:sz w:val="22"/>
                <w:szCs w:val="22"/>
                <w14:props3d w14:extrusionH="0" w14:contourW="0" w14:prstMaterial="warmMatte"/>
              </w:rPr>
              <w:t>.</w:t>
            </w:r>
          </w:p>
        </w:tc>
        <w:tc>
          <w:tcPr>
            <w:tcW w:w="246" w:type="pct"/>
            <w:shd w:val="clear" w:color="auto" w:fill="D9D9D9" w:themeFill="background1" w:themeFillShade="D9"/>
            <w:vAlign w:val="center"/>
          </w:tcPr>
          <w:p w14:paraId="76E9253C"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6" w:type="pct"/>
            <w:shd w:val="clear" w:color="auto" w:fill="D9D9D9" w:themeFill="background1" w:themeFillShade="D9"/>
            <w:vAlign w:val="center"/>
          </w:tcPr>
          <w:p w14:paraId="69467537"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5" w:type="pct"/>
            <w:shd w:val="clear" w:color="auto" w:fill="D9D9D9" w:themeFill="background1" w:themeFillShade="D9"/>
            <w:vAlign w:val="center"/>
          </w:tcPr>
          <w:p w14:paraId="4F0BBA16" w14:textId="77777777" w:rsidR="00F9335E" w:rsidRPr="00FB7228" w:rsidRDefault="00F9335E" w:rsidP="007768C8">
            <w:pPr>
              <w:jc w:val="center"/>
              <w:rPr>
                <w:rFonts w:ascii="Calibri Light" w:hAnsi="Calibri Light" w:cs="Calibri Light"/>
                <w:b/>
                <w:sz w:val="22"/>
                <w:szCs w:val="22"/>
              </w:rPr>
            </w:pPr>
            <w:r w:rsidRPr="00FB7228">
              <w:rPr>
                <w:rFonts w:ascii="Calibri Light" w:hAnsi="Calibri Light" w:cs="Calibri Light"/>
                <w:b/>
                <w:sz w:val="22"/>
                <w:szCs w:val="22"/>
              </w:rPr>
              <w:t>X</w:t>
            </w:r>
          </w:p>
        </w:tc>
        <w:tc>
          <w:tcPr>
            <w:tcW w:w="245" w:type="pct"/>
            <w:shd w:val="clear" w:color="auto" w:fill="DDECD0" w:themeFill="accent2" w:themeFillTint="66"/>
            <w:vAlign w:val="center"/>
          </w:tcPr>
          <w:p w14:paraId="0FEEC88B" w14:textId="77777777" w:rsidR="00F9335E" w:rsidRPr="00FB7228" w:rsidRDefault="00F9335E" w:rsidP="007768C8">
            <w:pPr>
              <w:jc w:val="center"/>
              <w:rPr>
                <w:rFonts w:ascii="Calibri Light" w:hAnsi="Calibri Light" w:cs="Calibri Light"/>
                <w:b/>
                <w:sz w:val="22"/>
                <w:szCs w:val="22"/>
              </w:rPr>
            </w:pPr>
            <w:r w:rsidRPr="00FB7228">
              <w:rPr>
                <w:rFonts w:ascii="Segoe UI Symbol" w:hAnsi="Segoe UI Symbol" w:cs="Segoe UI Symbol"/>
                <w:b/>
                <w:sz w:val="22"/>
                <w:szCs w:val="22"/>
              </w:rPr>
              <w:t>✓</w:t>
            </w:r>
          </w:p>
        </w:tc>
      </w:tr>
      <w:tr w:rsidR="00F9335E" w:rsidRPr="00E46809" w14:paraId="6A98F09A" w14:textId="77777777" w:rsidTr="00B748A2">
        <w:trPr>
          <w:trHeight w:hRule="exact" w:val="1812"/>
          <w:jc w:val="center"/>
        </w:trPr>
        <w:tc>
          <w:tcPr>
            <w:tcW w:w="931" w:type="pct"/>
            <w:shd w:val="clear" w:color="auto" w:fill="E0F3EF" w:themeFill="accent1" w:themeFillTint="33"/>
            <w:vAlign w:val="center"/>
          </w:tcPr>
          <w:p w14:paraId="763C61BA" w14:textId="77777777" w:rsidR="00F9335E" w:rsidRPr="00081D82" w:rsidRDefault="00F9335E" w:rsidP="005F2948">
            <w:pPr>
              <w:pStyle w:val="NormalIndented"/>
              <w:spacing w:before="60" w:line="240" w:lineRule="auto"/>
              <w:ind w:left="0"/>
              <w:jc w:val="center"/>
              <w:rPr>
                <w:rStyle w:val="Strong"/>
                <w:rFonts w:ascii="Calibri Light" w:hAnsi="Calibri Light" w:cs="Calibri Light"/>
                <w:b w:val="0"/>
                <w:sz w:val="22"/>
                <w:szCs w:val="22"/>
                <w14:props3d w14:extrusionH="0" w14:contourW="0" w14:prstMaterial="warmMatte"/>
              </w:rPr>
            </w:pPr>
            <w:r w:rsidRPr="00081D82">
              <w:rPr>
                <w:rStyle w:val="Strong"/>
                <w:rFonts w:ascii="Calibri Light" w:hAnsi="Calibri Light" w:cs="Calibri Light"/>
                <w:sz w:val="22"/>
                <w:szCs w:val="22"/>
                <w14:props3d w14:extrusionH="0" w14:contourW="0" w14:prstMaterial="warmMatte"/>
              </w:rPr>
              <w:t xml:space="preserve">7. Prohibit fraternisation for all non-national personnel, while engaged in the direct delivery of the DFAT </w:t>
            </w:r>
            <w:r>
              <w:rPr>
                <w:rStyle w:val="Strong"/>
                <w:rFonts w:ascii="Calibri Light" w:hAnsi="Calibri Light" w:cs="Calibri Light"/>
                <w:sz w:val="22"/>
                <w:szCs w:val="22"/>
                <w14:props3d w14:extrusionH="0" w14:contourW="0" w14:prstMaterial="warmMatte"/>
              </w:rPr>
              <w:t>business</w:t>
            </w:r>
          </w:p>
        </w:tc>
        <w:tc>
          <w:tcPr>
            <w:tcW w:w="1619" w:type="pct"/>
            <w:shd w:val="clear" w:color="auto" w:fill="EEF5E7" w:themeFill="accent2" w:themeFillTint="33"/>
            <w:vAlign w:val="center"/>
          </w:tcPr>
          <w:p w14:paraId="057E17FB" w14:textId="77777777" w:rsidR="00F9335E" w:rsidRPr="00081D82" w:rsidRDefault="00861CFB" w:rsidP="00DD7E8D">
            <w:pPr>
              <w:pStyle w:val="NormalIndented"/>
              <w:spacing w:after="120"/>
              <w:ind w:left="0"/>
              <w:jc w:val="center"/>
              <w:rPr>
                <w:rFonts w:ascii="Calibri Light" w:hAnsi="Calibri Light" w:cs="Calibri Light"/>
                <w:bCs/>
                <w:sz w:val="22"/>
                <w:szCs w:val="22"/>
              </w:rPr>
            </w:pPr>
            <w:r>
              <w:rPr>
                <w:rFonts w:ascii="Calibri Light" w:hAnsi="Calibri Light" w:cs="Calibri Light"/>
                <w:bCs/>
                <w:sz w:val="22"/>
                <w:szCs w:val="22"/>
              </w:rPr>
              <w:t>P</w:t>
            </w:r>
            <w:r w:rsidR="00F9335E" w:rsidRPr="00081D82">
              <w:rPr>
                <w:rFonts w:ascii="Calibri Light" w:hAnsi="Calibri Light" w:cs="Calibri Light"/>
                <w:bCs/>
                <w:sz w:val="22"/>
                <w:szCs w:val="22"/>
              </w:rPr>
              <w:t>rohib</w:t>
            </w:r>
            <w:r w:rsidR="009E4CD1">
              <w:rPr>
                <w:rFonts w:ascii="Calibri Light" w:hAnsi="Calibri Light" w:cs="Calibri Light"/>
                <w:bCs/>
                <w:sz w:val="22"/>
                <w:szCs w:val="22"/>
              </w:rPr>
              <w:t>its fraternisation for all non-</w:t>
            </w:r>
            <w:r w:rsidR="00F9335E" w:rsidRPr="00081D82">
              <w:rPr>
                <w:rFonts w:ascii="Calibri Light" w:hAnsi="Calibri Light" w:cs="Calibri Light"/>
                <w:bCs/>
                <w:sz w:val="22"/>
                <w:szCs w:val="22"/>
              </w:rPr>
              <w:t xml:space="preserve">national personnel in the field </w:t>
            </w:r>
            <w:r w:rsidR="009E4CD1">
              <w:rPr>
                <w:rFonts w:ascii="Calibri Light" w:hAnsi="Calibri Light" w:cs="Calibri Light"/>
                <w:bCs/>
                <w:sz w:val="22"/>
                <w:szCs w:val="22"/>
              </w:rPr>
              <w:t>while</w:t>
            </w:r>
            <w:r w:rsidR="00F9335E" w:rsidRPr="00081D82">
              <w:rPr>
                <w:rFonts w:ascii="Calibri Light" w:hAnsi="Calibri Light" w:cs="Calibri Light"/>
                <w:bCs/>
                <w:sz w:val="22"/>
                <w:szCs w:val="22"/>
              </w:rPr>
              <w:t xml:space="preserve"> engaged in the delivery of DFAT </w:t>
            </w:r>
            <w:r w:rsidR="00F9335E">
              <w:rPr>
                <w:rFonts w:ascii="Calibri Light" w:hAnsi="Calibri Light" w:cs="Calibri Light"/>
                <w:bCs/>
                <w:sz w:val="22"/>
                <w:szCs w:val="22"/>
              </w:rPr>
              <w:t>business</w:t>
            </w:r>
          </w:p>
        </w:tc>
        <w:tc>
          <w:tcPr>
            <w:tcW w:w="1467" w:type="pct"/>
            <w:shd w:val="clear" w:color="auto" w:fill="EEF5E7" w:themeFill="accent2" w:themeFillTint="33"/>
            <w:vAlign w:val="center"/>
          </w:tcPr>
          <w:p w14:paraId="516AB1F4" w14:textId="77777777" w:rsidR="00F9335E" w:rsidRPr="00081D82" w:rsidRDefault="00F9335E" w:rsidP="00DD7E8D">
            <w:pPr>
              <w:pStyle w:val="NormalIndented"/>
              <w:spacing w:after="120"/>
              <w:ind w:left="0"/>
              <w:jc w:val="center"/>
              <w:rPr>
                <w:rFonts w:ascii="Calibri Light" w:hAnsi="Calibri Light" w:cs="Calibri Light"/>
                <w:bCs/>
                <w:sz w:val="22"/>
                <w:szCs w:val="22"/>
              </w:rPr>
            </w:pPr>
            <w:r w:rsidRPr="00081D82">
              <w:rPr>
                <w:rFonts w:ascii="Calibri Light" w:hAnsi="Calibri Light" w:cs="Calibri Light"/>
                <w:bCs/>
                <w:sz w:val="22"/>
                <w:szCs w:val="22"/>
              </w:rPr>
              <w:t>Employment agreements include clauses prohibi</w:t>
            </w:r>
            <w:r w:rsidR="009E4CD1">
              <w:rPr>
                <w:rFonts w:ascii="Calibri Light" w:hAnsi="Calibri Light" w:cs="Calibri Light"/>
                <w:bCs/>
                <w:sz w:val="22"/>
                <w:szCs w:val="22"/>
              </w:rPr>
              <w:t>ting fraternisation for all non-n</w:t>
            </w:r>
            <w:r w:rsidRPr="00081D82">
              <w:rPr>
                <w:rFonts w:ascii="Calibri Light" w:hAnsi="Calibri Light" w:cs="Calibri Light"/>
                <w:bCs/>
                <w:sz w:val="22"/>
                <w:szCs w:val="22"/>
              </w:rPr>
              <w:t xml:space="preserve">ational individuals </w:t>
            </w:r>
            <w:r>
              <w:rPr>
                <w:rFonts w:ascii="Calibri Light" w:hAnsi="Calibri Light" w:cs="Calibri Light"/>
                <w:bCs/>
                <w:sz w:val="22"/>
                <w:szCs w:val="22"/>
              </w:rPr>
              <w:t>while</w:t>
            </w:r>
            <w:r w:rsidRPr="00081D82">
              <w:rPr>
                <w:rFonts w:ascii="Calibri Light" w:hAnsi="Calibri Light" w:cs="Calibri Light"/>
                <w:bCs/>
                <w:sz w:val="22"/>
                <w:szCs w:val="22"/>
              </w:rPr>
              <w:t xml:space="preserve"> engaged in the delivery of DFAT </w:t>
            </w:r>
            <w:r>
              <w:rPr>
                <w:rFonts w:ascii="Calibri Light" w:hAnsi="Calibri Light" w:cs="Calibri Light"/>
                <w:bCs/>
                <w:sz w:val="22"/>
                <w:szCs w:val="22"/>
              </w:rPr>
              <w:t>business</w:t>
            </w:r>
          </w:p>
        </w:tc>
        <w:tc>
          <w:tcPr>
            <w:tcW w:w="246" w:type="pct"/>
            <w:shd w:val="clear" w:color="auto" w:fill="D9D9D9" w:themeFill="background1" w:themeFillShade="D9"/>
            <w:vAlign w:val="center"/>
          </w:tcPr>
          <w:p w14:paraId="0539B935" w14:textId="77777777" w:rsidR="00F9335E" w:rsidRPr="00081D82" w:rsidRDefault="00F9335E" w:rsidP="007768C8">
            <w:pPr>
              <w:jc w:val="center"/>
              <w:rPr>
                <w:rFonts w:ascii="Calibri Light" w:hAnsi="Calibri Light" w:cs="Calibri Light"/>
                <w:b/>
                <w:sz w:val="22"/>
                <w:szCs w:val="22"/>
              </w:rPr>
            </w:pPr>
            <w:r w:rsidRPr="00081D82">
              <w:rPr>
                <w:rFonts w:ascii="Calibri Light" w:hAnsi="Calibri Light" w:cs="Calibri Light"/>
                <w:b/>
                <w:sz w:val="22"/>
                <w:szCs w:val="22"/>
              </w:rPr>
              <w:t>X</w:t>
            </w:r>
          </w:p>
        </w:tc>
        <w:tc>
          <w:tcPr>
            <w:tcW w:w="246" w:type="pct"/>
            <w:shd w:val="clear" w:color="auto" w:fill="D9D9D9" w:themeFill="background1" w:themeFillShade="D9"/>
            <w:vAlign w:val="center"/>
          </w:tcPr>
          <w:p w14:paraId="1282D862" w14:textId="77777777" w:rsidR="00F9335E" w:rsidRPr="00081D82" w:rsidRDefault="00F9335E" w:rsidP="007768C8">
            <w:pPr>
              <w:jc w:val="center"/>
              <w:rPr>
                <w:rFonts w:asciiTheme="majorHAnsi" w:hAnsiTheme="majorHAnsi" w:cs="Calibri Light"/>
                <w:b/>
                <w:sz w:val="22"/>
                <w:szCs w:val="22"/>
              </w:rPr>
            </w:pPr>
            <w:r w:rsidRPr="00081D82">
              <w:rPr>
                <w:rFonts w:asciiTheme="majorHAnsi" w:hAnsiTheme="majorHAnsi" w:cs="Segoe UI Symbol"/>
                <w:b/>
                <w:sz w:val="22"/>
                <w:szCs w:val="22"/>
              </w:rPr>
              <w:t>X</w:t>
            </w:r>
          </w:p>
        </w:tc>
        <w:tc>
          <w:tcPr>
            <w:tcW w:w="245" w:type="pct"/>
            <w:shd w:val="clear" w:color="auto" w:fill="D9D9D9" w:themeFill="background1" w:themeFillShade="D9"/>
            <w:vAlign w:val="center"/>
          </w:tcPr>
          <w:p w14:paraId="40B3EEEF" w14:textId="77777777" w:rsidR="00F9335E" w:rsidRPr="00081D82" w:rsidRDefault="00F9335E" w:rsidP="007768C8">
            <w:pPr>
              <w:jc w:val="center"/>
              <w:rPr>
                <w:rFonts w:asciiTheme="majorHAnsi" w:hAnsiTheme="majorHAnsi" w:cs="Segoe UI Symbol"/>
                <w:b/>
                <w:sz w:val="22"/>
                <w:szCs w:val="22"/>
              </w:rPr>
            </w:pPr>
            <w:r w:rsidRPr="00081D82">
              <w:rPr>
                <w:rFonts w:asciiTheme="majorHAnsi" w:hAnsiTheme="majorHAnsi" w:cs="Segoe UI Symbol"/>
                <w:b/>
                <w:sz w:val="22"/>
                <w:szCs w:val="22"/>
              </w:rPr>
              <w:t>X</w:t>
            </w:r>
          </w:p>
        </w:tc>
        <w:tc>
          <w:tcPr>
            <w:tcW w:w="245" w:type="pct"/>
            <w:shd w:val="clear" w:color="auto" w:fill="DDECD0" w:themeFill="accent2" w:themeFillTint="66"/>
            <w:vAlign w:val="center"/>
          </w:tcPr>
          <w:p w14:paraId="51E21DAA" w14:textId="77777777" w:rsidR="00F9335E" w:rsidRPr="00081D82" w:rsidRDefault="00F9335E" w:rsidP="007768C8">
            <w:pPr>
              <w:jc w:val="center"/>
              <w:rPr>
                <w:rFonts w:ascii="Segoe UI Symbol" w:hAnsi="Segoe UI Symbol" w:cs="Segoe UI Symbol"/>
                <w:sz w:val="22"/>
                <w:szCs w:val="22"/>
              </w:rPr>
            </w:pPr>
            <w:r w:rsidRPr="00081D82">
              <w:rPr>
                <w:rFonts w:ascii="Segoe UI Symbol" w:hAnsi="Segoe UI Symbol" w:cs="Segoe UI Symbol"/>
                <w:b/>
                <w:sz w:val="22"/>
                <w:szCs w:val="22"/>
              </w:rPr>
              <w:t>✓</w:t>
            </w:r>
          </w:p>
        </w:tc>
      </w:tr>
    </w:tbl>
    <w:p w14:paraId="085328BA" w14:textId="77777777" w:rsidR="00934CA6" w:rsidRPr="00B038FE" w:rsidRDefault="00934CA6" w:rsidP="00934CA6"/>
    <w:p w14:paraId="49429634" w14:textId="77777777" w:rsidR="00934CA6" w:rsidRDefault="00934CA6" w:rsidP="00D21A75">
      <w:pPr>
        <w:suppressAutoHyphens w:val="0"/>
        <w:spacing w:before="0" w:after="120" w:line="440" w:lineRule="atLeast"/>
        <w:sectPr w:rsidR="00934CA6" w:rsidSect="004363C6">
          <w:headerReference w:type="default" r:id="rId26"/>
          <w:pgSz w:w="16838" w:h="11906" w:orient="landscape"/>
          <w:pgMar w:top="720" w:right="720" w:bottom="720" w:left="720" w:header="709" w:footer="219" w:gutter="0"/>
          <w:cols w:space="708"/>
          <w:docGrid w:linePitch="360"/>
        </w:sectPr>
      </w:pPr>
    </w:p>
    <w:p w14:paraId="1A89328B" w14:textId="77777777" w:rsidR="00E23DE9" w:rsidRPr="005F2948" w:rsidRDefault="00E23DE9" w:rsidP="005F2948">
      <w:pPr>
        <w:rPr>
          <w:rFonts w:asciiTheme="majorHAnsi" w:eastAsiaTheme="majorEastAsia" w:hAnsiTheme="majorHAnsi" w:cstheme="majorBidi"/>
          <w:caps/>
          <w:sz w:val="38"/>
          <w:szCs w:val="26"/>
          <w:lang w:val="en-AU"/>
        </w:rPr>
      </w:pPr>
      <w:bookmarkStart w:id="11" w:name="Glossary"/>
      <w:r w:rsidRPr="005F2948">
        <w:rPr>
          <w:rFonts w:asciiTheme="majorHAnsi" w:eastAsiaTheme="majorEastAsia" w:hAnsiTheme="majorHAnsi" w:cstheme="majorBidi"/>
          <w:caps/>
          <w:sz w:val="38"/>
          <w:szCs w:val="26"/>
          <w:lang w:val="en-AU"/>
        </w:rPr>
        <w:t>Glossary</w:t>
      </w:r>
    </w:p>
    <w:bookmarkEnd w:id="11"/>
    <w:tbl>
      <w:tblPr>
        <w:tblStyle w:val="PlainTable3"/>
        <w:tblW w:w="9406" w:type="dxa"/>
        <w:tblLook w:val="04A0" w:firstRow="1" w:lastRow="0" w:firstColumn="1" w:lastColumn="0" w:noHBand="0" w:noVBand="1"/>
      </w:tblPr>
      <w:tblGrid>
        <w:gridCol w:w="2596"/>
        <w:gridCol w:w="6810"/>
      </w:tblGrid>
      <w:tr w:rsidR="007B5281" w14:paraId="1A041C0A" w14:textId="77777777" w:rsidTr="007F05C7">
        <w:trPr>
          <w:cnfStyle w:val="100000000000" w:firstRow="1" w:lastRow="0" w:firstColumn="0" w:lastColumn="0" w:oddVBand="0" w:evenVBand="0" w:oddHBand="0" w:evenHBand="0" w:firstRowFirstColumn="0" w:firstRowLastColumn="0" w:lastRowFirstColumn="0" w:lastRowLastColumn="0"/>
          <w:trHeight w:val="484"/>
        </w:trPr>
        <w:tc>
          <w:tcPr>
            <w:cnfStyle w:val="001000000100" w:firstRow="0" w:lastRow="0" w:firstColumn="1" w:lastColumn="0" w:oddVBand="0" w:evenVBand="0" w:oddHBand="0" w:evenHBand="0" w:firstRowFirstColumn="1" w:firstRowLastColumn="0" w:lastRowFirstColumn="0" w:lastRowLastColumn="0"/>
            <w:tcW w:w="2596" w:type="dxa"/>
          </w:tcPr>
          <w:p w14:paraId="1C64B652" w14:textId="77777777" w:rsidR="007B5281" w:rsidRDefault="007B5281" w:rsidP="007768C8"/>
        </w:tc>
        <w:tc>
          <w:tcPr>
            <w:tcW w:w="6810" w:type="dxa"/>
          </w:tcPr>
          <w:p w14:paraId="5EB327A0" w14:textId="77777777" w:rsidR="007B5281" w:rsidRDefault="007B5281" w:rsidP="007768C8">
            <w:pPr>
              <w:cnfStyle w:val="100000000000" w:firstRow="1" w:lastRow="0" w:firstColumn="0" w:lastColumn="0" w:oddVBand="0" w:evenVBand="0" w:oddHBand="0" w:evenHBand="0" w:firstRowFirstColumn="0" w:firstRowLastColumn="0" w:lastRowFirstColumn="0" w:lastRowLastColumn="0"/>
            </w:pPr>
          </w:p>
        </w:tc>
      </w:tr>
      <w:tr w:rsidR="007B5281" w14:paraId="30B0BD19" w14:textId="77777777" w:rsidTr="007F05C7">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2596" w:type="dxa"/>
            <w:tcBorders>
              <w:top w:val="single" w:sz="4" w:space="0" w:color="7F7F7F" w:themeColor="text1" w:themeTint="80"/>
            </w:tcBorders>
            <w:shd w:val="solid" w:color="E0F3EF" w:themeColor="accent1" w:themeTint="33" w:fill="F2F2F2" w:themeFill="background1" w:themeFillShade="F2"/>
          </w:tcPr>
          <w:p w14:paraId="2AB4693A" w14:textId="77777777" w:rsidR="007B5281" w:rsidRDefault="005B5E11" w:rsidP="007768C8">
            <w:r>
              <w:t>aGREEMENT</w:t>
            </w:r>
          </w:p>
        </w:tc>
        <w:tc>
          <w:tcPr>
            <w:tcW w:w="6810" w:type="dxa"/>
            <w:tcBorders>
              <w:top w:val="single" w:sz="4" w:space="0" w:color="7F7F7F" w:themeColor="text1" w:themeTint="80"/>
            </w:tcBorders>
            <w:shd w:val="solid" w:color="E0F3EF" w:themeColor="accent1" w:themeTint="33" w:fill="F2F2F2" w:themeFill="background1" w:themeFillShade="F2"/>
          </w:tcPr>
          <w:p w14:paraId="66359562" w14:textId="77777777" w:rsidR="007B5281" w:rsidRDefault="007B5281" w:rsidP="007768C8">
            <w:pPr>
              <w:cnfStyle w:val="000000100000" w:firstRow="0" w:lastRow="0" w:firstColumn="0" w:lastColumn="0" w:oddVBand="0" w:evenVBand="0" w:oddHBand="1" w:evenHBand="0" w:firstRowFirstColumn="0" w:firstRowLastColumn="0" w:lastRowFirstColumn="0" w:lastRowLastColumn="0"/>
            </w:pPr>
            <w:r>
              <w:t xml:space="preserve">A contract, grant agreement or other arrangement entered into by DFAT and a DFAT partner, whether legally binding or not. </w:t>
            </w:r>
          </w:p>
        </w:tc>
      </w:tr>
      <w:tr w:rsidR="007B5281" w14:paraId="4B25DA4C"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07534286" w14:textId="77777777" w:rsidR="007B5281" w:rsidRDefault="007B5281" w:rsidP="007768C8">
            <w:r>
              <w:t>CHILD/children</w:t>
            </w:r>
          </w:p>
        </w:tc>
        <w:tc>
          <w:tcPr>
            <w:tcW w:w="6810" w:type="dxa"/>
          </w:tcPr>
          <w:p w14:paraId="202BCB60" w14:textId="77777777" w:rsidR="007B5281" w:rsidRDefault="007B5281" w:rsidP="005F2948">
            <w:pPr>
              <w:cnfStyle w:val="000000000000" w:firstRow="0" w:lastRow="0" w:firstColumn="0" w:lastColumn="0" w:oddVBand="0" w:evenVBand="0" w:oddHBand="0" w:evenHBand="0" w:firstRowFirstColumn="0" w:firstRowLastColumn="0" w:lastRowFirstColumn="0" w:lastRowLastColumn="0"/>
            </w:pPr>
            <w:r>
              <w:t xml:space="preserve">In accordance with the United Nations Convention of the Rights of the Child, ‘child’ means every human being under the age of 18 unless under the law applicable to the child, majority is attained earlier. For the purposes of this </w:t>
            </w:r>
            <w:r w:rsidR="00113C7A">
              <w:t>P</w:t>
            </w:r>
            <w:r>
              <w:t>olicy, DFAT considers a child to be a person under the age of 18 years.</w:t>
            </w:r>
          </w:p>
        </w:tc>
      </w:tr>
      <w:tr w:rsidR="007B5281" w14:paraId="3F99D126"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solid" w:color="E0F3EF" w:themeColor="accent1" w:themeTint="33" w:fill="F2F2F2" w:themeFill="background1" w:themeFillShade="F2"/>
          </w:tcPr>
          <w:p w14:paraId="063466D6" w14:textId="77777777" w:rsidR="007B5281" w:rsidRDefault="007B5281" w:rsidP="007768C8">
            <w:r>
              <w:t>CONTRACTOR(S)</w:t>
            </w:r>
          </w:p>
        </w:tc>
        <w:tc>
          <w:tcPr>
            <w:tcW w:w="6810" w:type="dxa"/>
            <w:shd w:val="solid" w:color="E0F3EF" w:themeColor="accent1" w:themeTint="33" w:fill="F2F2F2" w:themeFill="background1" w:themeFillShade="F2"/>
          </w:tcPr>
          <w:p w14:paraId="2359CF53" w14:textId="77777777" w:rsidR="007B5281" w:rsidRDefault="007B5281" w:rsidP="007768C8">
            <w:pPr>
              <w:cnfStyle w:val="000000100000" w:firstRow="0" w:lastRow="0" w:firstColumn="0" w:lastColumn="0" w:oddVBand="0" w:evenVBand="0" w:oddHBand="1" w:evenHBand="0" w:firstRowFirstColumn="0" w:firstRowLastColumn="0" w:lastRowFirstColumn="0" w:lastRowLastColumn="0"/>
            </w:pPr>
            <w:r>
              <w:t>A person or entity engaged pursuant to a contract for services.  Includes:</w:t>
            </w:r>
          </w:p>
          <w:p w14:paraId="477363BE" w14:textId="77777777" w:rsidR="007B5281" w:rsidRDefault="00394242" w:rsidP="007B5281">
            <w:pPr>
              <w:pStyle w:val="ListParagraph"/>
              <w:numPr>
                <w:ilvl w:val="0"/>
                <w:numId w:val="23"/>
              </w:num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r>
              <w:t>s</w:t>
            </w:r>
            <w:r w:rsidR="007B5281">
              <w:t xml:space="preserve">pecified personnel nominated in a head agreement with an intermediary company (the contractor) to which a payment is made (although the specified personnel may themselves be employees and not independent contractors): or </w:t>
            </w:r>
          </w:p>
          <w:p w14:paraId="30C63988" w14:textId="77777777" w:rsidR="007B5281" w:rsidRDefault="007B5281" w:rsidP="007B5281">
            <w:pPr>
              <w:pStyle w:val="ListParagraph"/>
              <w:numPr>
                <w:ilvl w:val="0"/>
                <w:numId w:val="23"/>
              </w:numPr>
              <w:suppressAutoHyphens w:val="0"/>
              <w:spacing w:before="0" w:after="0" w:line="240" w:lineRule="auto"/>
              <w:cnfStyle w:val="000000100000" w:firstRow="0" w:lastRow="0" w:firstColumn="0" w:lastColumn="0" w:oddVBand="0" w:evenVBand="0" w:oddHBand="1" w:evenHBand="0" w:firstRowFirstColumn="0" w:firstRowLastColumn="0" w:lastRowFirstColumn="0" w:lastRowLastColumn="0"/>
            </w:pPr>
            <w:r>
              <w:t>If the person performing the service is the service provider; he/she is an independent contractor.</w:t>
            </w:r>
            <w:r w:rsidDel="00993322">
              <w:t xml:space="preserve"> </w:t>
            </w:r>
          </w:p>
        </w:tc>
      </w:tr>
      <w:tr w:rsidR="007B5281" w14:paraId="2243C205"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0AF9883B" w14:textId="77777777" w:rsidR="007B5281" w:rsidRDefault="005B5E11" w:rsidP="00946AE3">
            <w:r>
              <w:t>DFAT PARTNER</w:t>
            </w:r>
          </w:p>
        </w:tc>
        <w:tc>
          <w:tcPr>
            <w:tcW w:w="6810" w:type="dxa"/>
          </w:tcPr>
          <w:p w14:paraId="21EC08B7" w14:textId="77777777" w:rsidR="007B5281" w:rsidRPr="006370C2" w:rsidRDefault="00394242" w:rsidP="007768C8">
            <w:pPr>
              <w:cnfStyle w:val="000000000000" w:firstRow="0" w:lastRow="0" w:firstColumn="0" w:lastColumn="0" w:oddVBand="0" w:evenVBand="0" w:oddHBand="0" w:evenHBand="0" w:firstRowFirstColumn="0" w:firstRowLastColumn="0" w:lastRowFirstColumn="0" w:lastRowLastColumn="0"/>
            </w:pPr>
            <w:r>
              <w:t>I</w:t>
            </w:r>
            <w:r w:rsidR="007B5281" w:rsidRPr="006370C2">
              <w:t xml:space="preserve">ncludes all suppliers, individuals and organisations </w:t>
            </w:r>
            <w:r>
              <w:t>with whom</w:t>
            </w:r>
            <w:r w:rsidR="007B5281" w:rsidRPr="006370C2">
              <w:t xml:space="preserve"> DFAT directly enters into an Agreement to deliver its objectives, including</w:t>
            </w:r>
            <w:r w:rsidR="007B5281">
              <w:t xml:space="preserve"> but not limited to</w:t>
            </w:r>
            <w:r w:rsidR="007B5281" w:rsidRPr="006370C2">
              <w:t xml:space="preserve">: </w:t>
            </w:r>
          </w:p>
          <w:p w14:paraId="771720AE" w14:textId="77777777" w:rsidR="007B5281" w:rsidRPr="006370C2" w:rsidRDefault="00394242" w:rsidP="007B5281">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t>s</w:t>
            </w:r>
            <w:r w:rsidR="007B5281" w:rsidRPr="006370C2">
              <w:t>uppliers of goods and services</w:t>
            </w:r>
          </w:p>
          <w:p w14:paraId="4D4DA8FF" w14:textId="77777777" w:rsidR="007B5281" w:rsidRPr="006370C2" w:rsidRDefault="007B5281" w:rsidP="007B5281">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rsidRPr="006370C2">
              <w:t xml:space="preserve">contractors and service providers including consultants, advisers and other </w:t>
            </w:r>
            <w:r w:rsidR="00394242">
              <w:t>directly contracted individuals</w:t>
            </w:r>
          </w:p>
          <w:p w14:paraId="37592D28" w14:textId="77777777" w:rsidR="007B5281" w:rsidRPr="006370C2" w:rsidRDefault="00394242" w:rsidP="007B5281">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t>n</w:t>
            </w:r>
            <w:r w:rsidR="007B5281" w:rsidRPr="006370C2">
              <w:t>on-Government Organisations (NGO), Civil Society Organisations (CS</w:t>
            </w:r>
            <w:r>
              <w:t>O)</w:t>
            </w:r>
          </w:p>
          <w:p w14:paraId="73262E4C" w14:textId="77777777" w:rsidR="007B5281" w:rsidRPr="006370C2" w:rsidRDefault="00394242" w:rsidP="007B5281">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t>grant recipients</w:t>
            </w:r>
          </w:p>
          <w:p w14:paraId="1ACB007D" w14:textId="77777777" w:rsidR="007B5281" w:rsidRPr="006370C2" w:rsidRDefault="00394242" w:rsidP="007B5281">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t>multilateral organisations</w:t>
            </w:r>
          </w:p>
          <w:p w14:paraId="78DE7E05" w14:textId="77777777" w:rsidR="007B5281" w:rsidRPr="006370C2" w:rsidRDefault="00394242" w:rsidP="007B5281">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t>p</w:t>
            </w:r>
            <w:r w:rsidR="007B5281" w:rsidRPr="006370C2">
              <w:t>artner governmen</w:t>
            </w:r>
            <w:r w:rsidR="007020F8">
              <w:t>ts and bilateral donor partners</w:t>
            </w:r>
          </w:p>
          <w:p w14:paraId="0A957204" w14:textId="77777777" w:rsidR="007B5281" w:rsidRDefault="00394242" w:rsidP="005F2948">
            <w:pPr>
              <w:numPr>
                <w:ilvl w:val="0"/>
                <w:numId w:val="24"/>
              </w:numPr>
              <w:suppressAutoHyphens w:val="0"/>
              <w:spacing w:before="0" w:after="0" w:line="240" w:lineRule="auto"/>
              <w:cnfStyle w:val="000000000000" w:firstRow="0" w:lastRow="0" w:firstColumn="0" w:lastColumn="0" w:oddVBand="0" w:evenVBand="0" w:oddHBand="0" w:evenHBand="0" w:firstRowFirstColumn="0" w:firstRowLastColumn="0" w:lastRowFirstColumn="0" w:lastRowLastColumn="0"/>
            </w:pPr>
            <w:r>
              <w:t>o</w:t>
            </w:r>
            <w:r w:rsidR="007B5281" w:rsidRPr="006370C2">
              <w:t>ther Australian Government entities.</w:t>
            </w:r>
          </w:p>
        </w:tc>
      </w:tr>
      <w:tr w:rsidR="007B5281" w14:paraId="3EB21C42"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clear" w:color="auto" w:fill="E0F3EF" w:themeFill="accent1" w:themeFillTint="33"/>
          </w:tcPr>
          <w:p w14:paraId="1C7706FF" w14:textId="77777777" w:rsidR="007B5281" w:rsidRDefault="007B5281" w:rsidP="007768C8">
            <w:r>
              <w:t>DFAT BUSINESS</w:t>
            </w:r>
          </w:p>
        </w:tc>
        <w:tc>
          <w:tcPr>
            <w:tcW w:w="6810" w:type="dxa"/>
            <w:shd w:val="clear" w:color="auto" w:fill="E0F3EF" w:themeFill="accent1" w:themeFillTint="33"/>
          </w:tcPr>
          <w:p w14:paraId="1D541B90" w14:textId="77777777" w:rsidR="007B5281" w:rsidRDefault="007B5281" w:rsidP="007768C8">
            <w:pPr>
              <w:cnfStyle w:val="000000100000" w:firstRow="0" w:lastRow="0" w:firstColumn="0" w:lastColumn="0" w:oddVBand="0" w:evenVBand="0" w:oddHBand="1" w:evenHBand="0" w:firstRowFirstColumn="0" w:firstRowLastColumn="0" w:lastRowFirstColumn="0" w:lastRowLastColumn="0"/>
            </w:pPr>
            <w:r>
              <w:t xml:space="preserve">Actions taken or work performed by a DFAT Partner pursuant to an Agreement. </w:t>
            </w:r>
          </w:p>
        </w:tc>
      </w:tr>
      <w:tr w:rsidR="007B5281" w14:paraId="62B65C58"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51F2EB9D" w14:textId="77777777" w:rsidR="007B5281" w:rsidRDefault="007B5281" w:rsidP="007768C8">
            <w:r>
              <w:t>DFAT STAFF</w:t>
            </w:r>
          </w:p>
        </w:tc>
        <w:tc>
          <w:tcPr>
            <w:tcW w:w="6810" w:type="dxa"/>
          </w:tcPr>
          <w:p w14:paraId="6F45C57E" w14:textId="77777777" w:rsidR="007B5281" w:rsidRDefault="007B5281" w:rsidP="007768C8">
            <w:pPr>
              <w:cnfStyle w:val="000000000000" w:firstRow="0" w:lastRow="0" w:firstColumn="0" w:lastColumn="0" w:oddVBand="0" w:evenVBand="0" w:oddHBand="0" w:evenHBand="0" w:firstRowFirstColumn="0" w:firstRowLastColumn="0" w:lastRowFirstColumn="0" w:lastRowLastColumn="0"/>
            </w:pPr>
            <w:r w:rsidRPr="006370C2">
              <w:t xml:space="preserve">A person engaged as an employee under section 22 of the </w:t>
            </w:r>
            <w:r w:rsidRPr="002F4FF4">
              <w:rPr>
                <w:i/>
              </w:rPr>
              <w:t xml:space="preserve">Public Service </w:t>
            </w:r>
            <w:r w:rsidRPr="002F4FF4">
              <w:rPr>
                <w:i/>
                <w:lang w:val="en-US"/>
              </w:rPr>
              <w:t xml:space="preserve">Act </w:t>
            </w:r>
            <w:r w:rsidRPr="002F4FF4">
              <w:rPr>
                <w:i/>
              </w:rPr>
              <w:t>1999</w:t>
            </w:r>
            <w:r w:rsidRPr="006370C2">
              <w:t xml:space="preserve"> as either an ongoing or non-ongoing employee, or a person engaged under a contract of employment by the Commonwealth outside of Australia.</w:t>
            </w:r>
            <w:r>
              <w:t xml:space="preserve"> For the purposes of this </w:t>
            </w:r>
            <w:r w:rsidR="00113C7A">
              <w:t>P</w:t>
            </w:r>
            <w:r>
              <w:t>olicy, Contractors are included i</w:t>
            </w:r>
            <w:r w:rsidR="005B5E11">
              <w:t>n the definition of DFAT Staff.</w:t>
            </w:r>
          </w:p>
        </w:tc>
      </w:tr>
      <w:tr w:rsidR="007B5281" w14:paraId="53DE9723"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clear" w:color="auto" w:fill="E0F3EF" w:themeFill="accent1" w:themeFillTint="33"/>
          </w:tcPr>
          <w:p w14:paraId="090199A1" w14:textId="77777777" w:rsidR="007B5281" w:rsidRDefault="007B5281" w:rsidP="007768C8">
            <w:r>
              <w:t>DOWNSTREAM PARTNER</w:t>
            </w:r>
          </w:p>
        </w:tc>
        <w:tc>
          <w:tcPr>
            <w:tcW w:w="6810" w:type="dxa"/>
            <w:shd w:val="clear" w:color="auto" w:fill="E0F3EF" w:themeFill="accent1" w:themeFillTint="33"/>
          </w:tcPr>
          <w:p w14:paraId="1D6F5A0E" w14:textId="77777777" w:rsidR="007B5281" w:rsidRDefault="007B5281" w:rsidP="007768C8">
            <w:pPr>
              <w:cnfStyle w:val="000000100000" w:firstRow="0" w:lastRow="0" w:firstColumn="0" w:lastColumn="0" w:oddVBand="0" w:evenVBand="0" w:oddHBand="1" w:evenHBand="0" w:firstRowFirstColumn="0" w:firstRowLastColumn="0" w:lastRowFirstColumn="0" w:lastRowLastColumn="0"/>
            </w:pPr>
            <w:r>
              <w:t>Suppliers, individuals and organisations</w:t>
            </w:r>
            <w:r w:rsidRPr="00385C45">
              <w:t xml:space="preserve"> who </w:t>
            </w:r>
            <w:r>
              <w:t>are engaged by a DFAT Partner to perform DFAT business</w:t>
            </w:r>
            <w:r w:rsidRPr="00385C45">
              <w:t>.</w:t>
            </w:r>
          </w:p>
        </w:tc>
      </w:tr>
      <w:tr w:rsidR="007B5281" w14:paraId="16DCF6EC"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1D590191" w14:textId="77777777" w:rsidR="007B5281" w:rsidRDefault="007B5281" w:rsidP="007768C8">
            <w:r w:rsidRPr="00F2685F">
              <w:t>fraternisation</w:t>
            </w:r>
          </w:p>
        </w:tc>
        <w:tc>
          <w:tcPr>
            <w:tcW w:w="6810" w:type="dxa"/>
          </w:tcPr>
          <w:p w14:paraId="7A9DE812" w14:textId="77777777" w:rsidR="007B5281" w:rsidRDefault="007B5281" w:rsidP="00900171">
            <w:pPr>
              <w:cnfStyle w:val="000000000000" w:firstRow="0" w:lastRow="0" w:firstColumn="0" w:lastColumn="0" w:oddVBand="0" w:evenVBand="0" w:oddHBand="0" w:evenHBand="0" w:firstRowFirstColumn="0" w:firstRowLastColumn="0" w:lastRowFirstColumn="0" w:lastRowLastColumn="0"/>
            </w:pPr>
            <w:r w:rsidRPr="00F2685F">
              <w:t>Any relationship that involves, or appears to involve, partiality, preferential treatment or improper use of rank or position including but not limited</w:t>
            </w:r>
            <w:r w:rsidR="00900171">
              <w:t xml:space="preserve"> to voluntary sexual behaviour. It could include</w:t>
            </w:r>
            <w:r w:rsidRPr="00F2685F">
              <w:t xml:space="preserve"> sexual behaviour not amounting to intercourse, a close and emotional relationship involving public displays of affection or private intimacy and the public ex</w:t>
            </w:r>
            <w:r w:rsidR="00AB2E33">
              <w:t>pression of intimate relations.</w:t>
            </w:r>
          </w:p>
        </w:tc>
      </w:tr>
      <w:tr w:rsidR="007B5281" w14:paraId="0ED84AAE"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clear" w:color="auto" w:fill="E0F3EF" w:themeFill="accent1" w:themeFillTint="33"/>
          </w:tcPr>
          <w:p w14:paraId="35F9834B" w14:textId="77777777" w:rsidR="007B5281" w:rsidRDefault="007B5281" w:rsidP="007768C8">
            <w:r>
              <w:t>grant</w:t>
            </w:r>
          </w:p>
        </w:tc>
        <w:tc>
          <w:tcPr>
            <w:tcW w:w="6810" w:type="dxa"/>
            <w:shd w:val="clear" w:color="auto" w:fill="E0F3EF" w:themeFill="accent1" w:themeFillTint="33"/>
          </w:tcPr>
          <w:p w14:paraId="402E99A1" w14:textId="77777777" w:rsidR="007B5281" w:rsidRDefault="007B5281" w:rsidP="007768C8">
            <w:pPr>
              <w:cnfStyle w:val="000000100000" w:firstRow="0" w:lastRow="0" w:firstColumn="0" w:lastColumn="0" w:oddVBand="0" w:evenVBand="0" w:oddHBand="1" w:evenHBand="0" w:firstRowFirstColumn="0" w:firstRowLastColumn="0" w:lastRowFirstColumn="0" w:lastRowLastColumn="0"/>
            </w:pPr>
            <w:r w:rsidRPr="00F867FF">
              <w:t>an arrangement for the provision of financial assistance by DFAT:</w:t>
            </w:r>
          </w:p>
          <w:p w14:paraId="56C896F8" w14:textId="77777777" w:rsidR="007B5281" w:rsidRDefault="007B5281" w:rsidP="00394242">
            <w:pPr>
              <w:pStyle w:val="ListParagraph"/>
              <w:numPr>
                <w:ilvl w:val="0"/>
                <w:numId w:val="29"/>
              </w:numPr>
              <w:suppressAutoHyphens w:val="0"/>
              <w:spacing w:before="0" w:after="0" w:line="256" w:lineRule="auto"/>
              <w:cnfStyle w:val="000000100000" w:firstRow="0" w:lastRow="0" w:firstColumn="0" w:lastColumn="0" w:oddVBand="0" w:evenVBand="0" w:oddHBand="1" w:evenHBand="0" w:firstRowFirstColumn="0" w:firstRowLastColumn="0" w:lastRowFirstColumn="0" w:lastRowLastColumn="0"/>
            </w:pPr>
            <w:r>
              <w:t>under which DFAT</w:t>
            </w:r>
            <w:r w:rsidR="00946AE3">
              <w:t xml:space="preserve"> money is to be paid to a DFAT p</w:t>
            </w:r>
            <w:r>
              <w:t>artner; and</w:t>
            </w:r>
          </w:p>
          <w:p w14:paraId="68548DFE" w14:textId="77777777" w:rsidR="007B5281" w:rsidRDefault="007B5281" w:rsidP="00946AE3">
            <w:pPr>
              <w:pStyle w:val="ListParagraph"/>
              <w:numPr>
                <w:ilvl w:val="0"/>
                <w:numId w:val="29"/>
              </w:numPr>
              <w:suppressAutoHyphens w:val="0"/>
              <w:spacing w:before="0" w:line="256" w:lineRule="auto"/>
              <w:cnfStyle w:val="000000100000" w:firstRow="0" w:lastRow="0" w:firstColumn="0" w:lastColumn="0" w:oddVBand="0" w:evenVBand="0" w:oddHBand="1" w:evenHBand="0" w:firstRowFirstColumn="0" w:firstRowLastColumn="0" w:lastRowFirstColumn="0" w:lastRowLastColumn="0"/>
            </w:pPr>
            <w:r>
              <w:t xml:space="preserve">which is intended to assist the DFAT </w:t>
            </w:r>
            <w:r w:rsidR="00946AE3">
              <w:t>p</w:t>
            </w:r>
            <w:r>
              <w:t>artner to achieve its objectives, as well as to help achieve one or more DFAT policy outcomes.</w:t>
            </w:r>
          </w:p>
        </w:tc>
      </w:tr>
      <w:tr w:rsidR="007B5281" w14:paraId="1620FE3B"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1AB59CED" w14:textId="77777777" w:rsidR="007B5281" w:rsidRDefault="007B5281" w:rsidP="007768C8">
            <w:r>
              <w:t>multilateral partner</w:t>
            </w:r>
          </w:p>
        </w:tc>
        <w:tc>
          <w:tcPr>
            <w:tcW w:w="6810" w:type="dxa"/>
          </w:tcPr>
          <w:p w14:paraId="4451EDEA" w14:textId="77777777" w:rsidR="007B5281" w:rsidRDefault="007B5281" w:rsidP="005F2948">
            <w:pPr>
              <w:cnfStyle w:val="000000000000" w:firstRow="0" w:lastRow="0" w:firstColumn="0" w:lastColumn="0" w:oddVBand="0" w:evenVBand="0" w:oddHBand="0" w:evenHBand="0" w:firstRowFirstColumn="0" w:firstRowLastColumn="0" w:lastRowFirstColumn="0" w:lastRowLastColumn="0"/>
            </w:pPr>
            <w:r w:rsidRPr="00603A06">
              <w:t xml:space="preserve">International </w:t>
            </w:r>
            <w:r>
              <w:t xml:space="preserve">intergovernmental </w:t>
            </w:r>
            <w:r w:rsidRPr="00603A06">
              <w:t>institutions with governmental membership. They include multilateral development banks, United Nations agencies and regional groupings.</w:t>
            </w:r>
          </w:p>
        </w:tc>
      </w:tr>
      <w:tr w:rsidR="007B5281" w14:paraId="705357A1"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clear" w:color="auto" w:fill="E0F3EF" w:themeFill="accent1" w:themeFillTint="33"/>
          </w:tcPr>
          <w:p w14:paraId="0AC5D735" w14:textId="77777777" w:rsidR="007B5281" w:rsidRDefault="007B5281" w:rsidP="007768C8">
            <w:r>
              <w:t>perpetrator</w:t>
            </w:r>
          </w:p>
        </w:tc>
        <w:tc>
          <w:tcPr>
            <w:tcW w:w="6810" w:type="dxa"/>
            <w:shd w:val="clear" w:color="auto" w:fill="E0F3EF" w:themeFill="accent1" w:themeFillTint="33"/>
          </w:tcPr>
          <w:p w14:paraId="62DDC174" w14:textId="77777777" w:rsidR="007B5281" w:rsidRDefault="007B5281" w:rsidP="005F2948">
            <w:pPr>
              <w:cnfStyle w:val="000000100000" w:firstRow="0" w:lastRow="0" w:firstColumn="0" w:lastColumn="0" w:oddVBand="0" w:evenVBand="0" w:oddHBand="1" w:evenHBand="0" w:firstRowFirstColumn="0" w:firstRowLastColumn="0" w:lastRowFirstColumn="0" w:lastRowLastColumn="0"/>
            </w:pPr>
            <w:r w:rsidRPr="000D743F">
              <w:t>A person (or group of persons) who commits an act of SEA</w:t>
            </w:r>
            <w:r>
              <w:t>H</w:t>
            </w:r>
            <w:r w:rsidRPr="000D743F">
              <w:t xml:space="preserve"> or other type of crime or offence.</w:t>
            </w:r>
          </w:p>
        </w:tc>
      </w:tr>
      <w:tr w:rsidR="007B5281" w14:paraId="0ABDCBFA"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4855A92F" w14:textId="77777777" w:rsidR="007B5281" w:rsidRDefault="005B5E11" w:rsidP="007768C8">
            <w:r>
              <w:t>Sexual Abuse</w:t>
            </w:r>
          </w:p>
        </w:tc>
        <w:tc>
          <w:tcPr>
            <w:tcW w:w="6810" w:type="dxa"/>
          </w:tcPr>
          <w:p w14:paraId="194846EB" w14:textId="77777777" w:rsidR="007B5281" w:rsidRDefault="009E4CD1" w:rsidP="007768C8">
            <w:pPr>
              <w:cnfStyle w:val="000000000000" w:firstRow="0" w:lastRow="0" w:firstColumn="0" w:lastColumn="0" w:oddVBand="0" w:evenVBand="0" w:oddHBand="0" w:evenHBand="0" w:firstRowFirstColumn="0" w:firstRowLastColumn="0" w:lastRowFirstColumn="0" w:lastRowLastColumn="0"/>
            </w:pPr>
            <w:r w:rsidRPr="009E4CD1">
              <w:t>The actual or threatened physical intrusion of a sexual nature, whether by force or under unequal or coercive conditions. It covers sexual offences including but not limited to: attempted rape (which includes attempts to force someone to perform oral sex); and sexual assault (which includes non-consensual kissing and touching). All sexual activity with someone under the age of consent</w:t>
            </w:r>
            <w:r>
              <w:rPr>
                <w:rStyle w:val="FootnoteReference"/>
              </w:rPr>
              <w:footnoteReference w:id="6"/>
            </w:r>
            <w:r w:rsidRPr="009E4CD1">
              <w:t xml:space="preserve">  is considered to be sexual abuse.  </w:t>
            </w:r>
          </w:p>
        </w:tc>
      </w:tr>
      <w:tr w:rsidR="007B5281" w14:paraId="32A1C662"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clear" w:color="auto" w:fill="E0F3EF" w:themeFill="accent1" w:themeFillTint="33"/>
          </w:tcPr>
          <w:p w14:paraId="2E46F510" w14:textId="77777777" w:rsidR="007B5281" w:rsidRDefault="007B5281" w:rsidP="007768C8">
            <w:r>
              <w:t>sexual exploitation</w:t>
            </w:r>
          </w:p>
        </w:tc>
        <w:tc>
          <w:tcPr>
            <w:tcW w:w="6810" w:type="dxa"/>
            <w:shd w:val="clear" w:color="auto" w:fill="E0F3EF" w:themeFill="accent1" w:themeFillTint="33"/>
          </w:tcPr>
          <w:p w14:paraId="733425F9" w14:textId="77777777" w:rsidR="007B5281" w:rsidRDefault="007B5281" w:rsidP="00AB2E33">
            <w:pPr>
              <w:cnfStyle w:val="000000100000" w:firstRow="0" w:lastRow="0" w:firstColumn="0" w:lastColumn="0" w:oddVBand="0" w:evenVBand="0" w:oddHBand="1" w:evenHBand="0" w:firstRowFirstColumn="0" w:firstRowLastColumn="0" w:lastRowFirstColumn="0" w:lastRowLastColumn="0"/>
            </w:pPr>
            <w:r w:rsidRPr="00B72DED">
              <w:t xml:space="preserve">Any actual or attempted abuse of a position of vulnerability, differential power, or trust for sexual purposes. It includes profiting monetarily, socially, or politically from </w:t>
            </w:r>
            <w:r w:rsidR="00AB2E33">
              <w:t>sexual exploitation of another.</w:t>
            </w:r>
          </w:p>
        </w:tc>
      </w:tr>
      <w:tr w:rsidR="007B5281" w14:paraId="408990E3" w14:textId="77777777" w:rsidTr="002615C1">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03445A13" w14:textId="77777777" w:rsidR="007B5281" w:rsidRDefault="005B5E11" w:rsidP="007768C8">
            <w:r>
              <w:t>sexual harassment</w:t>
            </w:r>
          </w:p>
        </w:tc>
        <w:tc>
          <w:tcPr>
            <w:tcW w:w="6810" w:type="dxa"/>
          </w:tcPr>
          <w:p w14:paraId="70402E6A" w14:textId="77777777" w:rsidR="00E345E0" w:rsidRDefault="00E345E0" w:rsidP="00E345E0">
            <w:pPr>
              <w:cnfStyle w:val="000000000000" w:firstRow="0" w:lastRow="0" w:firstColumn="0" w:lastColumn="0" w:oddVBand="0" w:evenVBand="0" w:oddHBand="0" w:evenHBand="0" w:firstRowFirstColumn="0" w:firstRowLastColumn="0" w:lastRowFirstColumn="0" w:lastRowLastColumn="0"/>
            </w:pPr>
            <w:r>
              <w:t xml:space="preserve">A person sexually harasses another person if the person makes an unwelcome sexual advance or an unwelcome request for sexual favours, or engages in other unwelcome conduct of a sexual nature, in circumstances in which a reasonable person, having regard to all the circumstances, would have anticipated the possibility that the person harassed would be offended, humiliated or intimidated. </w:t>
            </w:r>
          </w:p>
          <w:p w14:paraId="69419C75" w14:textId="77777777" w:rsidR="00E345E0" w:rsidRDefault="00E345E0" w:rsidP="00E345E0">
            <w:pPr>
              <w:cnfStyle w:val="000000000000" w:firstRow="0" w:lastRow="0" w:firstColumn="0" w:lastColumn="0" w:oddVBand="0" w:evenVBand="0" w:oddHBand="0" w:evenHBand="0" w:firstRowFirstColumn="0" w:firstRowLastColumn="0" w:lastRowFirstColumn="0" w:lastRowLastColumn="0"/>
            </w:pPr>
            <w:r>
              <w:t>Sexual harassment can take various forms. It can be obvious or indirect, physical or verbal, repeated or one-off and perpetrated by any person of any gender towards any person of any gender. Sexual harassment can be perpetrated against beneficiaries, community members, citizens, as well as staff and personnel.</w:t>
            </w:r>
          </w:p>
          <w:p w14:paraId="151C2054" w14:textId="77777777" w:rsidR="00E345E0" w:rsidRDefault="00E345E0" w:rsidP="00E345E0">
            <w:pPr>
              <w:cnfStyle w:val="000000000000" w:firstRow="0" w:lastRow="0" w:firstColumn="0" w:lastColumn="0" w:oddVBand="0" w:evenVBand="0" w:oddHBand="0" w:evenHBand="0" w:firstRowFirstColumn="0" w:firstRowLastColumn="0" w:lastRowFirstColumn="0" w:lastRowLastColumn="0"/>
            </w:pPr>
            <w:r>
              <w:t>Some examples of behaviour that may be sexual harassment include:</w:t>
            </w:r>
          </w:p>
          <w:p w14:paraId="7310F899"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staring or leering;</w:t>
            </w:r>
          </w:p>
          <w:p w14:paraId="6D1E0DB9"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unnecessary familiarity, such as unwelcome affection or touching;</w:t>
            </w:r>
          </w:p>
          <w:p w14:paraId="3501740F"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suggestive comments or jokes;</w:t>
            </w:r>
          </w:p>
          <w:p w14:paraId="13CE350D"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insults or taunts of a sexual nature;</w:t>
            </w:r>
          </w:p>
          <w:p w14:paraId="68D5DFC7"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intrusive questions or statements about your private life;</w:t>
            </w:r>
          </w:p>
          <w:p w14:paraId="6FF6CE00"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displaying posters magazines or screen savers of a sexual nature;</w:t>
            </w:r>
          </w:p>
          <w:p w14:paraId="6A49C7BD"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sending sexually explicit emails or text messages;</w:t>
            </w:r>
          </w:p>
          <w:p w14:paraId="2B8093AC"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inappropriate advances on social networking sites;</w:t>
            </w:r>
          </w:p>
          <w:p w14:paraId="7EAE0A8B"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accessing sexually explicit internet sites;</w:t>
            </w:r>
          </w:p>
          <w:p w14:paraId="75D76743" w14:textId="77777777" w:rsidR="00E345E0"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requests for sex or repeated unwanted requests to go out on dates; and</w:t>
            </w:r>
          </w:p>
          <w:p w14:paraId="63A15D6A" w14:textId="77777777" w:rsidR="007B5281" w:rsidRDefault="00E345E0" w:rsidP="00E345E0">
            <w:pPr>
              <w:pStyle w:val="ListParagraph"/>
              <w:numPr>
                <w:ilvl w:val="0"/>
                <w:numId w:val="31"/>
              </w:numPr>
              <w:cnfStyle w:val="000000000000" w:firstRow="0" w:lastRow="0" w:firstColumn="0" w:lastColumn="0" w:oddVBand="0" w:evenVBand="0" w:oddHBand="0" w:evenHBand="0" w:firstRowFirstColumn="0" w:firstRowLastColumn="0" w:lastRowFirstColumn="0" w:lastRowLastColumn="0"/>
            </w:pPr>
            <w:r>
              <w:t>behaviour that may also be considered to be an offence under criminal law such as physical assault, indecent exposure, sexual assault , stalking or obscene communications.</w:t>
            </w:r>
          </w:p>
        </w:tc>
      </w:tr>
      <w:tr w:rsidR="007B5281" w14:paraId="194D9DA4" w14:textId="77777777" w:rsidTr="002615C1">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596" w:type="dxa"/>
            <w:shd w:val="clear" w:color="auto" w:fill="E0F3EF" w:themeFill="accent1" w:themeFillTint="33"/>
          </w:tcPr>
          <w:p w14:paraId="78882516" w14:textId="77777777" w:rsidR="007B5281" w:rsidRDefault="007B5281" w:rsidP="007768C8">
            <w:r>
              <w:t>transactional sex</w:t>
            </w:r>
          </w:p>
        </w:tc>
        <w:tc>
          <w:tcPr>
            <w:tcW w:w="6810" w:type="dxa"/>
            <w:shd w:val="clear" w:color="auto" w:fill="E0F3EF" w:themeFill="accent1" w:themeFillTint="33"/>
          </w:tcPr>
          <w:p w14:paraId="1A03A7EB" w14:textId="77777777" w:rsidR="007B5281" w:rsidRDefault="007B5281" w:rsidP="007768C8">
            <w:pPr>
              <w:cnfStyle w:val="000000100000" w:firstRow="0" w:lastRow="0" w:firstColumn="0" w:lastColumn="0" w:oddVBand="0" w:evenVBand="0" w:oddHBand="1" w:evenHBand="0" w:firstRowFirstColumn="0" w:firstRowLastColumn="0" w:lastRowFirstColumn="0" w:lastRowLastColumn="0"/>
            </w:pPr>
            <w:r w:rsidRPr="0097136A">
              <w:t>The exchange of money, employment, goods or services fo</w:t>
            </w:r>
            <w:r>
              <w:t>r sex, including sexual favours.</w:t>
            </w:r>
          </w:p>
        </w:tc>
      </w:tr>
      <w:tr w:rsidR="007B5281" w14:paraId="769E45EC" w14:textId="77777777" w:rsidTr="007768C8">
        <w:trPr>
          <w:trHeight w:val="484"/>
        </w:trPr>
        <w:tc>
          <w:tcPr>
            <w:cnfStyle w:val="001000000000" w:firstRow="0" w:lastRow="0" w:firstColumn="1" w:lastColumn="0" w:oddVBand="0" w:evenVBand="0" w:oddHBand="0" w:evenHBand="0" w:firstRowFirstColumn="0" w:firstRowLastColumn="0" w:lastRowFirstColumn="0" w:lastRowLastColumn="0"/>
            <w:tcW w:w="2596" w:type="dxa"/>
          </w:tcPr>
          <w:p w14:paraId="51A56A0E" w14:textId="77777777" w:rsidR="007B5281" w:rsidRDefault="005B5E11" w:rsidP="00AB2E33">
            <w:r>
              <w:t>victim/survivor</w:t>
            </w:r>
          </w:p>
        </w:tc>
        <w:tc>
          <w:tcPr>
            <w:tcW w:w="6810" w:type="dxa"/>
          </w:tcPr>
          <w:p w14:paraId="51E26DE2" w14:textId="77777777" w:rsidR="007B5281" w:rsidRDefault="007B5281" w:rsidP="005F2948">
            <w:pPr>
              <w:cnfStyle w:val="000000000000" w:firstRow="0" w:lastRow="0" w:firstColumn="0" w:lastColumn="0" w:oddVBand="0" w:evenVBand="0" w:oddHBand="0" w:evenHBand="0" w:firstRowFirstColumn="0" w:firstRowLastColumn="0" w:lastRowFirstColumn="0" w:lastRowLastColumn="0"/>
            </w:pPr>
            <w:r>
              <w:t>A</w:t>
            </w:r>
            <w:r w:rsidRPr="000D743F">
              <w:t xml:space="preserve"> person who is, or has bee</w:t>
            </w:r>
            <w:r>
              <w:t xml:space="preserve">n, sexually exploited, harassed or abused. </w:t>
            </w:r>
          </w:p>
        </w:tc>
      </w:tr>
    </w:tbl>
    <w:p w14:paraId="30ED723C" w14:textId="77777777" w:rsidR="007B5281" w:rsidRDefault="007B5281" w:rsidP="007B5281"/>
    <w:sectPr w:rsidR="007B5281" w:rsidSect="004327EA">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24DC" w14:textId="77777777" w:rsidR="00E314EE" w:rsidRDefault="00E314EE" w:rsidP="00B70C2D">
      <w:pPr>
        <w:spacing w:before="0" w:after="0" w:line="240" w:lineRule="auto"/>
      </w:pPr>
      <w:r>
        <w:separator/>
      </w:r>
    </w:p>
  </w:endnote>
  <w:endnote w:type="continuationSeparator" w:id="0">
    <w:p w14:paraId="60FDB714" w14:textId="77777777" w:rsidR="00E314EE" w:rsidRDefault="00E314EE" w:rsidP="00B70C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BE72F" w14:textId="77777777" w:rsidR="00AF523B" w:rsidRDefault="00AF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16599"/>
      <w:docPartObj>
        <w:docPartGallery w:val="Page Numbers (Bottom of Page)"/>
        <w:docPartUnique/>
      </w:docPartObj>
    </w:sdtPr>
    <w:sdtEndPr>
      <w:rPr>
        <w:noProof/>
      </w:rPr>
    </w:sdtEndPr>
    <w:sdtContent>
      <w:p w14:paraId="02955272" w14:textId="4B4EE462" w:rsidR="00D06E89" w:rsidRDefault="00D06E89">
        <w:pPr>
          <w:pStyle w:val="Footer"/>
          <w:jc w:val="right"/>
        </w:pPr>
        <w:r>
          <w:fldChar w:fldCharType="begin"/>
        </w:r>
        <w:r>
          <w:instrText xml:space="preserve"> PAGE   \* MERGEFORMAT </w:instrText>
        </w:r>
        <w:r>
          <w:fldChar w:fldCharType="separate"/>
        </w:r>
        <w:r w:rsidR="00AF523B">
          <w:rPr>
            <w:noProof/>
          </w:rPr>
          <w:t>4</w:t>
        </w:r>
        <w:r>
          <w:rPr>
            <w:noProof/>
          </w:rPr>
          <w:fldChar w:fldCharType="end"/>
        </w:r>
      </w:p>
    </w:sdtContent>
  </w:sdt>
  <w:p w14:paraId="35888BFF" w14:textId="77777777" w:rsidR="00D06E89" w:rsidRDefault="00D06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597314"/>
      <w:docPartObj>
        <w:docPartGallery w:val="Page Numbers (Bottom of Page)"/>
        <w:docPartUnique/>
      </w:docPartObj>
    </w:sdtPr>
    <w:sdtEndPr>
      <w:rPr>
        <w:noProof/>
      </w:rPr>
    </w:sdtEndPr>
    <w:sdtContent>
      <w:p w14:paraId="1563D896" w14:textId="77777777" w:rsidR="00D06E89" w:rsidRDefault="00AF523B">
        <w:pPr>
          <w:pStyle w:val="Footer"/>
          <w:jc w:val="right"/>
        </w:pPr>
      </w:p>
    </w:sdtContent>
  </w:sdt>
  <w:p w14:paraId="3278AD76" w14:textId="77777777" w:rsidR="00D06E89" w:rsidRDefault="00D06E89">
    <w:pPr>
      <w:pStyle w:val="Footer"/>
    </w:pPr>
  </w:p>
  <w:p w14:paraId="5AA35FD5" w14:textId="77777777" w:rsidR="00D06E89" w:rsidRDefault="00D06E89"/>
  <w:p w14:paraId="48A051A9" w14:textId="77777777" w:rsidR="00D06E89" w:rsidRDefault="00D06E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393F" w14:textId="77777777" w:rsidR="00E314EE" w:rsidRDefault="00E314EE" w:rsidP="00B70C2D">
      <w:pPr>
        <w:spacing w:before="0" w:after="0" w:line="240" w:lineRule="auto"/>
      </w:pPr>
      <w:r>
        <w:separator/>
      </w:r>
    </w:p>
  </w:footnote>
  <w:footnote w:type="continuationSeparator" w:id="0">
    <w:p w14:paraId="7454EA5E" w14:textId="77777777" w:rsidR="00E314EE" w:rsidRDefault="00E314EE" w:rsidP="00B70C2D">
      <w:pPr>
        <w:spacing w:before="0" w:after="0" w:line="240" w:lineRule="auto"/>
      </w:pPr>
      <w:r>
        <w:continuationSeparator/>
      </w:r>
    </w:p>
  </w:footnote>
  <w:footnote w:id="1">
    <w:p w14:paraId="78B01919" w14:textId="77777777" w:rsidR="0083325D" w:rsidRPr="0083325D" w:rsidRDefault="0083325D" w:rsidP="00036AED">
      <w:pPr>
        <w:pStyle w:val="FootnoteText"/>
        <w:rPr>
          <w:sz w:val="20"/>
          <w:szCs w:val="20"/>
          <w:lang w:val="en-AU"/>
        </w:rPr>
      </w:pPr>
      <w:r w:rsidRPr="0083325D">
        <w:rPr>
          <w:rStyle w:val="FootnoteReference"/>
          <w:sz w:val="20"/>
          <w:szCs w:val="20"/>
        </w:rPr>
        <w:footnoteRef/>
      </w:r>
      <w:r w:rsidRPr="0083325D">
        <w:rPr>
          <w:sz w:val="20"/>
          <w:szCs w:val="20"/>
        </w:rPr>
        <w:t xml:space="preserve"> Chiefly, the Collective Statement of the Members of the Secretary-General’s Circle of Leadership on the Prevention of and Response to Sexual Exploitation and abuse in United Nations Operations; the Tidewater Joint Statement on Combating Sexual Exploitation and Abuse in the Develo</w:t>
      </w:r>
      <w:r>
        <w:rPr>
          <w:sz w:val="20"/>
          <w:szCs w:val="20"/>
        </w:rPr>
        <w:t xml:space="preserve">pment and Humanitarian Sectors; </w:t>
      </w:r>
      <w:r w:rsidRPr="0083325D">
        <w:rPr>
          <w:sz w:val="20"/>
          <w:szCs w:val="20"/>
        </w:rPr>
        <w:t>the Whistler Declaration on Protection from Sexual Exploitation and Abuse in International Assistance; and the commitments made by donors at the 2018 Uni</w:t>
      </w:r>
      <w:r w:rsidR="00411AD3">
        <w:rPr>
          <w:sz w:val="20"/>
          <w:szCs w:val="20"/>
        </w:rPr>
        <w:t>ted Kingdom Safeguarding Summit.</w:t>
      </w:r>
    </w:p>
  </w:footnote>
  <w:footnote w:id="2">
    <w:p w14:paraId="16BFC527" w14:textId="77777777" w:rsidR="0083325D" w:rsidRPr="0083325D" w:rsidRDefault="0083325D">
      <w:pPr>
        <w:pStyle w:val="FootnoteText"/>
        <w:rPr>
          <w:sz w:val="20"/>
          <w:szCs w:val="20"/>
          <w:lang w:val="en-AU"/>
        </w:rPr>
      </w:pPr>
      <w:r w:rsidRPr="0083325D">
        <w:rPr>
          <w:rStyle w:val="FootnoteReference"/>
          <w:sz w:val="20"/>
          <w:szCs w:val="20"/>
        </w:rPr>
        <w:footnoteRef/>
      </w:r>
      <w:r w:rsidRPr="0083325D">
        <w:rPr>
          <w:sz w:val="20"/>
          <w:szCs w:val="20"/>
        </w:rPr>
        <w:t xml:space="preserve"> </w:t>
      </w:r>
      <w:r w:rsidRPr="0083325D">
        <w:rPr>
          <w:sz w:val="20"/>
          <w:szCs w:val="20"/>
          <w:lang w:val="en-AU"/>
        </w:rPr>
        <w:t xml:space="preserve">In particular, the </w:t>
      </w:r>
      <w:r w:rsidRPr="0083325D">
        <w:rPr>
          <w:i/>
          <w:sz w:val="20"/>
          <w:szCs w:val="20"/>
          <w:lang w:val="en-AU"/>
        </w:rPr>
        <w:t>National Plan to Reduce Violence against Women and their Children, 2010-2022.</w:t>
      </w:r>
    </w:p>
  </w:footnote>
  <w:footnote w:id="3">
    <w:p w14:paraId="55FB2064" w14:textId="77777777" w:rsidR="0083325D" w:rsidRPr="0083325D" w:rsidRDefault="0083325D">
      <w:pPr>
        <w:pStyle w:val="FootnoteText"/>
        <w:rPr>
          <w:sz w:val="20"/>
          <w:szCs w:val="20"/>
          <w:lang w:val="en-AU"/>
        </w:rPr>
      </w:pPr>
      <w:r w:rsidRPr="0083325D">
        <w:rPr>
          <w:rStyle w:val="FootnoteReference"/>
          <w:sz w:val="20"/>
          <w:szCs w:val="20"/>
        </w:rPr>
        <w:footnoteRef/>
      </w:r>
      <w:r w:rsidRPr="0083325D">
        <w:rPr>
          <w:sz w:val="20"/>
          <w:szCs w:val="20"/>
        </w:rPr>
        <w:t xml:space="preserve"> </w:t>
      </w:r>
      <w:r w:rsidRPr="0083325D">
        <w:rPr>
          <w:sz w:val="20"/>
          <w:szCs w:val="20"/>
          <w:lang w:val="en-AU"/>
        </w:rPr>
        <w:t xml:space="preserve">Diversity Council of Australia, </w:t>
      </w:r>
      <w:r w:rsidRPr="00602612">
        <w:rPr>
          <w:i/>
          <w:sz w:val="20"/>
          <w:szCs w:val="20"/>
          <w:lang w:val="en-AU"/>
        </w:rPr>
        <w:t>Inclusion@Work Index</w:t>
      </w:r>
      <w:r w:rsidRPr="0083325D">
        <w:rPr>
          <w:sz w:val="20"/>
          <w:szCs w:val="20"/>
          <w:lang w:val="en-AU"/>
        </w:rPr>
        <w:t xml:space="preserve">, 2017-18, </w:t>
      </w:r>
      <w:hyperlink r:id="rId1" w:history="1">
        <w:r w:rsidRPr="0083325D">
          <w:rPr>
            <w:rStyle w:val="Hyperlink"/>
            <w:sz w:val="20"/>
            <w:szCs w:val="20"/>
            <w:lang w:val="en-AU"/>
          </w:rPr>
          <w:t>https://www.dca.org.au/research/project/inclusion-index</w:t>
        </w:r>
      </w:hyperlink>
      <w:r w:rsidRPr="0083325D">
        <w:rPr>
          <w:sz w:val="20"/>
          <w:szCs w:val="20"/>
          <w:lang w:val="en-AU"/>
        </w:rPr>
        <w:t xml:space="preserve"> </w:t>
      </w:r>
    </w:p>
  </w:footnote>
  <w:footnote w:id="4">
    <w:p w14:paraId="1E167126" w14:textId="77777777" w:rsidR="0083325D" w:rsidRPr="0083325D" w:rsidRDefault="0083325D" w:rsidP="006E019C">
      <w:pPr>
        <w:pStyle w:val="FootnoteText"/>
        <w:rPr>
          <w:sz w:val="20"/>
          <w:szCs w:val="20"/>
          <w:lang w:val="en-AU"/>
        </w:rPr>
      </w:pPr>
      <w:r w:rsidRPr="0083325D">
        <w:rPr>
          <w:rStyle w:val="FootnoteReference"/>
          <w:sz w:val="20"/>
          <w:szCs w:val="20"/>
        </w:rPr>
        <w:footnoteRef/>
      </w:r>
      <w:r w:rsidRPr="0083325D">
        <w:rPr>
          <w:sz w:val="20"/>
          <w:szCs w:val="20"/>
        </w:rPr>
        <w:t xml:space="preserve"> </w:t>
      </w:r>
      <w:r w:rsidR="00602612">
        <w:rPr>
          <w:sz w:val="20"/>
          <w:szCs w:val="20"/>
        </w:rPr>
        <w:t xml:space="preserve">UN Women, 2011, </w:t>
      </w:r>
      <w:r w:rsidR="00602612" w:rsidRPr="00602612">
        <w:rPr>
          <w:i/>
          <w:sz w:val="20"/>
          <w:szCs w:val="20"/>
        </w:rPr>
        <w:t>Virtual Knowledge Centre to End Violence against Women and Girls: Survivor Centred Approach</w:t>
      </w:r>
      <w:r w:rsidR="00602612">
        <w:rPr>
          <w:sz w:val="20"/>
          <w:szCs w:val="20"/>
        </w:rPr>
        <w:t xml:space="preserve">, </w:t>
      </w:r>
      <w:hyperlink r:id="rId2" w:history="1">
        <w:r w:rsidRPr="0083325D">
          <w:rPr>
            <w:rStyle w:val="Hyperlink"/>
            <w:rFonts w:ascii="Calibri" w:hAnsi="Calibri" w:cs="Times New Roman"/>
            <w:sz w:val="20"/>
            <w:szCs w:val="20"/>
            <w:lang w:val="en-AU"/>
          </w:rPr>
          <w:t>http://www.endvawnow.org/en/articles/652-survivor-centred-approach.html</w:t>
        </w:r>
      </w:hyperlink>
    </w:p>
  </w:footnote>
  <w:footnote w:id="5">
    <w:p w14:paraId="5DFF89F5" w14:textId="77777777" w:rsidR="0083325D" w:rsidRPr="00602612" w:rsidRDefault="0083325D" w:rsidP="00602612">
      <w:pPr>
        <w:pStyle w:val="FootnoteText"/>
        <w:rPr>
          <w:sz w:val="20"/>
          <w:szCs w:val="20"/>
          <w:lang w:val="en-AU"/>
        </w:rPr>
      </w:pPr>
      <w:r w:rsidRPr="0083325D">
        <w:rPr>
          <w:rStyle w:val="FootnoteReference"/>
          <w:sz w:val="20"/>
          <w:szCs w:val="20"/>
        </w:rPr>
        <w:footnoteRef/>
      </w:r>
      <w:r w:rsidRPr="0083325D">
        <w:rPr>
          <w:sz w:val="20"/>
          <w:szCs w:val="20"/>
        </w:rPr>
        <w:t xml:space="preserve"> </w:t>
      </w:r>
      <w:r w:rsidR="00602612">
        <w:rPr>
          <w:sz w:val="20"/>
          <w:szCs w:val="20"/>
          <w:lang w:val="en-AU"/>
        </w:rPr>
        <w:t xml:space="preserve">Victorian Institute of </w:t>
      </w:r>
      <w:r w:rsidRPr="0083325D">
        <w:rPr>
          <w:sz w:val="20"/>
          <w:szCs w:val="20"/>
          <w:lang w:val="en-AU"/>
        </w:rPr>
        <w:t>F</w:t>
      </w:r>
      <w:r w:rsidR="00602612">
        <w:rPr>
          <w:sz w:val="20"/>
          <w:szCs w:val="20"/>
          <w:lang w:val="en-AU"/>
        </w:rPr>
        <w:t xml:space="preserve">orensic </w:t>
      </w:r>
      <w:r w:rsidRPr="0083325D">
        <w:rPr>
          <w:sz w:val="20"/>
          <w:szCs w:val="20"/>
          <w:lang w:val="en-AU"/>
        </w:rPr>
        <w:t>M</w:t>
      </w:r>
      <w:r w:rsidR="00602612">
        <w:rPr>
          <w:sz w:val="20"/>
          <w:szCs w:val="20"/>
          <w:lang w:val="en-AU"/>
        </w:rPr>
        <w:t xml:space="preserve">edicine, 2018, </w:t>
      </w:r>
      <w:r w:rsidR="00602612" w:rsidRPr="00602612">
        <w:rPr>
          <w:i/>
          <w:sz w:val="20"/>
          <w:szCs w:val="20"/>
          <w:lang w:val="en-AU"/>
        </w:rPr>
        <w:t>Shaping the Path: Independent Review into the Practice and Response of ACFID Members in the Prevention of Sexual Misconduct,</w:t>
      </w:r>
      <w:r w:rsidR="00602612">
        <w:rPr>
          <w:sz w:val="20"/>
          <w:szCs w:val="20"/>
          <w:lang w:val="en-AU"/>
        </w:rPr>
        <w:t xml:space="preserve"> pp.47-60. </w:t>
      </w:r>
    </w:p>
  </w:footnote>
  <w:footnote w:id="6">
    <w:p w14:paraId="2F5C5CF6" w14:textId="77777777" w:rsidR="009E4CD1" w:rsidRPr="009E4CD1" w:rsidRDefault="009E4CD1">
      <w:pPr>
        <w:pStyle w:val="FootnoteText"/>
        <w:rPr>
          <w:sz w:val="20"/>
          <w:szCs w:val="20"/>
          <w:lang w:val="en-AU"/>
        </w:rPr>
      </w:pPr>
      <w:r w:rsidRPr="009E4CD1">
        <w:rPr>
          <w:rStyle w:val="FootnoteReference"/>
          <w:sz w:val="20"/>
          <w:szCs w:val="20"/>
        </w:rPr>
        <w:footnoteRef/>
      </w:r>
      <w:r w:rsidR="00602612">
        <w:rPr>
          <w:sz w:val="20"/>
          <w:szCs w:val="20"/>
        </w:rPr>
        <w:t xml:space="preserve"> </w:t>
      </w:r>
      <w:r w:rsidRPr="009E4CD1">
        <w:rPr>
          <w:sz w:val="20"/>
          <w:szCs w:val="20"/>
        </w:rPr>
        <w:t xml:space="preserve">Refers to age of consent requirements </w:t>
      </w:r>
      <w:r w:rsidRPr="009E4CD1">
        <w:rPr>
          <w:sz w:val="20"/>
          <w:szCs w:val="20"/>
          <w:lang w:val="en-GB"/>
        </w:rPr>
        <w:t xml:space="preserve">specified for sexual activity in the law of the host country or the age of consent under the law of the Australian Capital Territory (16 years), whichever sets the greatest age. </w:t>
      </w:r>
      <w:r w:rsidRPr="009E4CD1">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45C15" w14:textId="77777777" w:rsidR="00AF523B" w:rsidRDefault="00AF5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EF9E" w14:textId="77777777" w:rsidR="00D06E89" w:rsidRDefault="00D06E89" w:rsidP="00D21A75">
    <w:pPr>
      <w:pStyle w:val="Header"/>
      <w:tabs>
        <w:tab w:val="clear" w:pos="4513"/>
        <w:tab w:val="clear" w:pos="9026"/>
        <w:tab w:val="left" w:pos="5085"/>
      </w:tabs>
    </w:pPr>
    <w:r>
      <w:tab/>
    </w:r>
    <w:r w:rsidRPr="00B92E1E">
      <w:rPr>
        <w:noProof/>
        <w:lang w:val="en-AU" w:eastAsia="en-AU"/>
      </w:rPr>
      <w:drawing>
        <wp:anchor distT="0" distB="0" distL="114300" distR="114300" simplePos="0" relativeHeight="251657728" behindDoc="1" locked="1" layoutInCell="1" allowOverlap="1" wp14:anchorId="1B7B8B6C" wp14:editId="6DA07FD4">
          <wp:simplePos x="0" y="0"/>
          <wp:positionH relativeFrom="page">
            <wp:align>left</wp:align>
          </wp:positionH>
          <wp:positionV relativeFrom="page">
            <wp:align>top</wp:align>
          </wp:positionV>
          <wp:extent cx="7559040" cy="1066800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68000"/>
                  </a:xfrm>
                  <a:prstGeom prst="rect">
                    <a:avLst/>
                  </a:prstGeom>
                </pic:spPr>
              </pic:pic>
            </a:graphicData>
          </a:graphic>
          <wp14:sizeRelH relativeFrom="margin">
            <wp14:pctWidth>0</wp14:pctWidth>
          </wp14:sizeRelH>
          <wp14:sizeRelV relativeFrom="margin">
            <wp14:pctHeight>0</wp14:pctHeight>
          </wp14:sizeRelV>
        </wp:anchor>
      </w:drawing>
    </w:r>
  </w:p>
  <w:p w14:paraId="0ABA3B12" w14:textId="77777777" w:rsidR="00D06E89" w:rsidRDefault="00D06E89" w:rsidP="00381281">
    <w:pPr>
      <w:tabs>
        <w:tab w:val="left" w:pos="2415"/>
      </w:tabs>
    </w:pPr>
    <w:r>
      <w:tab/>
    </w:r>
  </w:p>
  <w:p w14:paraId="2578DDA2" w14:textId="77777777" w:rsidR="00D06E89" w:rsidRDefault="00D06E8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3EF4" w14:textId="77777777" w:rsidR="00D06E89" w:rsidRDefault="00D06E89" w:rsidP="00D21A75">
    <w:pPr>
      <w:pStyle w:val="Header"/>
      <w:jc w:val="center"/>
    </w:pPr>
    <w:r w:rsidRPr="00B90EB7">
      <w:rPr>
        <w:noProof/>
        <w:sz w:val="24"/>
        <w:lang w:val="en-AU" w:eastAsia="en-AU"/>
      </w:rPr>
      <w:drawing>
        <wp:anchor distT="0" distB="0" distL="114300" distR="114300" simplePos="0" relativeHeight="251656704" behindDoc="1" locked="1" layoutInCell="1" allowOverlap="1" wp14:anchorId="4154E0CD" wp14:editId="7040EAD1">
          <wp:simplePos x="0" y="0"/>
          <wp:positionH relativeFrom="page">
            <wp:align>left</wp:align>
          </wp:positionH>
          <wp:positionV relativeFrom="page">
            <wp:align>top</wp:align>
          </wp:positionV>
          <wp:extent cx="7559040" cy="1069276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p w14:paraId="2A8BDFB3" w14:textId="77777777" w:rsidR="00D06E89" w:rsidRDefault="00D06E89"/>
  <w:p w14:paraId="53118D53" w14:textId="77777777" w:rsidR="00D06E89" w:rsidRDefault="00D06E8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B8BA" w14:textId="77777777" w:rsidR="00D06E89" w:rsidRPr="00D06E89" w:rsidRDefault="00D06E89" w:rsidP="00D06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C6A7BF4"/>
    <w:multiLevelType w:val="hybridMultilevel"/>
    <w:tmpl w:val="09CAC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C273AB"/>
    <w:multiLevelType w:val="multilevel"/>
    <w:tmpl w:val="394C906C"/>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3" w15:restartNumberingAfterBreak="0">
    <w:nsid w:val="1063611B"/>
    <w:multiLevelType w:val="hybridMultilevel"/>
    <w:tmpl w:val="28467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70C9B"/>
    <w:multiLevelType w:val="hybridMultilevel"/>
    <w:tmpl w:val="6AB0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87745A5"/>
    <w:multiLevelType w:val="hybridMultilevel"/>
    <w:tmpl w:val="FF0AB1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D73A69"/>
    <w:multiLevelType w:val="hybridMultilevel"/>
    <w:tmpl w:val="058C1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F377F9"/>
    <w:multiLevelType w:val="hybridMultilevel"/>
    <w:tmpl w:val="94ECC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4E7960"/>
    <w:multiLevelType w:val="hybridMultilevel"/>
    <w:tmpl w:val="2C62F686"/>
    <w:lvl w:ilvl="0" w:tplc="2D8E2AF6">
      <w:start w:val="1"/>
      <w:numFmt w:val="decimal"/>
      <w:pStyle w:val="Recommendation"/>
      <w:lvlText w:val="%1."/>
      <w:lvlJc w:val="left"/>
      <w:pPr>
        <w:tabs>
          <w:tab w:val="num" w:pos="2163"/>
        </w:tabs>
        <w:ind w:left="2163" w:hanging="795"/>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0" w15:restartNumberingAfterBreak="0">
    <w:nsid w:val="21F15226"/>
    <w:multiLevelType w:val="hybridMultilevel"/>
    <w:tmpl w:val="64CC40E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B5D4548"/>
    <w:multiLevelType w:val="hybridMultilevel"/>
    <w:tmpl w:val="050CFB1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B9B159F"/>
    <w:multiLevelType w:val="multilevel"/>
    <w:tmpl w:val="21C2704C"/>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F980A75"/>
    <w:multiLevelType w:val="hybridMultilevel"/>
    <w:tmpl w:val="139484FA"/>
    <w:lvl w:ilvl="0" w:tplc="F7F87D0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771C02"/>
    <w:multiLevelType w:val="hybridMultilevel"/>
    <w:tmpl w:val="3D50B96A"/>
    <w:lvl w:ilvl="0" w:tplc="0C090001">
      <w:start w:val="1"/>
      <w:numFmt w:val="bullet"/>
      <w:lvlText w:val=""/>
      <w:lvlJc w:val="left"/>
      <w:pPr>
        <w:ind w:left="720" w:hanging="360"/>
      </w:pPr>
      <w:rPr>
        <w:rFonts w:ascii="Symbol" w:hAnsi="Symbol" w:hint="default"/>
      </w:rPr>
    </w:lvl>
    <w:lvl w:ilvl="1" w:tplc="3B3CF028">
      <w:start w:val="1"/>
      <w:numFmt w:val="bullet"/>
      <w:lvlText w:val="-"/>
      <w:lvlJc w:val="left"/>
      <w:pPr>
        <w:ind w:left="1440" w:hanging="360"/>
      </w:pPr>
      <w:rPr>
        <w:rFonts w:ascii="Calibri" w:eastAsiaTheme="minorEastAsia"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4A2E2C"/>
    <w:multiLevelType w:val="hybridMultilevel"/>
    <w:tmpl w:val="00AC01B2"/>
    <w:lvl w:ilvl="0" w:tplc="0C090001">
      <w:start w:val="1"/>
      <w:numFmt w:val="bullet"/>
      <w:lvlText w:val=""/>
      <w:lvlJc w:val="left"/>
      <w:pPr>
        <w:ind w:left="720" w:hanging="360"/>
      </w:pPr>
      <w:rPr>
        <w:rFonts w:ascii="Symbol" w:hAnsi="Symbo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CDA55A7"/>
    <w:multiLevelType w:val="hybridMultilevel"/>
    <w:tmpl w:val="3E2A1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0558F8"/>
    <w:multiLevelType w:val="hybridMultilevel"/>
    <w:tmpl w:val="2D124F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9D7D5B"/>
    <w:multiLevelType w:val="hybridMultilevel"/>
    <w:tmpl w:val="A18AAE0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1A54151"/>
    <w:multiLevelType w:val="multilevel"/>
    <w:tmpl w:val="D2A81C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650414BF"/>
    <w:multiLevelType w:val="multilevel"/>
    <w:tmpl w:val="50B4727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2457EF"/>
    <w:multiLevelType w:val="hybridMultilevel"/>
    <w:tmpl w:val="4DD2E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D91C27"/>
    <w:multiLevelType w:val="hybridMultilevel"/>
    <w:tmpl w:val="A880D3E2"/>
    <w:lvl w:ilvl="0" w:tplc="9C3ADCC8">
      <w:start w:val="1"/>
      <w:numFmt w:val="decimal"/>
      <w:pStyle w:val="Recommendations"/>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7166A5"/>
    <w:multiLevelType w:val="hybridMultilevel"/>
    <w:tmpl w:val="8A7E6B1E"/>
    <w:lvl w:ilvl="0" w:tplc="0C09000F">
      <w:start w:val="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20B69AB"/>
    <w:multiLevelType w:val="hybridMultilevel"/>
    <w:tmpl w:val="3840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A06143E"/>
    <w:multiLevelType w:val="hybridMultilevel"/>
    <w:tmpl w:val="F064D426"/>
    <w:lvl w:ilvl="0" w:tplc="0C09000F">
      <w:start w:val="8"/>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A6260EE"/>
    <w:multiLevelType w:val="hybridMultilevel"/>
    <w:tmpl w:val="47645690"/>
    <w:lvl w:ilvl="0" w:tplc="1040D372">
      <w:start w:val="1"/>
      <w:numFmt w:val="lowerLetter"/>
      <w:lvlText w:val="%1."/>
      <w:lvlJc w:val="left"/>
      <w:pPr>
        <w:ind w:left="720" w:hanging="360"/>
      </w:pPr>
      <w:rPr>
        <w:rFonts w:ascii="Arial" w:hAnsi="Arial" w:cs="Arial" w:hint="default"/>
        <w:sz w:val="21"/>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7C4371FF"/>
    <w:multiLevelType w:val="hybridMultilevel"/>
    <w:tmpl w:val="2F20537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7C5B0710"/>
    <w:multiLevelType w:val="hybridMultilevel"/>
    <w:tmpl w:val="50BCB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25"/>
  </w:num>
  <w:num w:numId="5">
    <w:abstractNumId w:val="12"/>
  </w:num>
  <w:num w:numId="6">
    <w:abstractNumId w:val="22"/>
  </w:num>
  <w:num w:numId="7">
    <w:abstractNumId w:val="9"/>
  </w:num>
  <w:num w:numId="8">
    <w:abstractNumId w:val="19"/>
  </w:num>
  <w:num w:numId="9">
    <w:abstractNumId w:val="10"/>
  </w:num>
  <w:num w:numId="10">
    <w:abstractNumId w:val="16"/>
  </w:num>
  <w:num w:numId="11">
    <w:abstractNumId w:val="21"/>
  </w:num>
  <w:num w:numId="12">
    <w:abstractNumId w:val="20"/>
  </w:num>
  <w:num w:numId="13">
    <w:abstractNumId w:val="11"/>
  </w:num>
  <w:num w:numId="14">
    <w:abstractNumId w:val="17"/>
  </w:num>
  <w:num w:numId="15">
    <w:abstractNumId w:val="26"/>
  </w:num>
  <w:num w:numId="16">
    <w:abstractNumId w:val="7"/>
  </w:num>
  <w:num w:numId="17">
    <w:abstractNumId w:val="4"/>
  </w:num>
  <w:num w:numId="18">
    <w:abstractNumId w:val="29"/>
  </w:num>
  <w:num w:numId="19">
    <w:abstractNumId w:val="14"/>
  </w:num>
  <w:num w:numId="20">
    <w:abstractNumId w:val="28"/>
  </w:num>
  <w:num w:numId="21">
    <w:abstractNumId w:val="6"/>
  </w:num>
  <w:num w:numId="22">
    <w:abstractNumId w:val="8"/>
  </w:num>
  <w:num w:numId="23">
    <w:abstractNumId w:val="1"/>
  </w:num>
  <w:num w:numId="24">
    <w:abstractNumId w:val="3"/>
  </w:num>
  <w:num w:numId="25">
    <w:abstractNumId w:val="18"/>
  </w:num>
  <w:num w:numId="26">
    <w:abstractNumId w:val="13"/>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15"/>
  </w:num>
  <w:num w:numId="30">
    <w:abstractNumId w:val="23"/>
  </w:num>
  <w:num w:numId="3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2D"/>
    <w:rsid w:val="00001086"/>
    <w:rsid w:val="000027FC"/>
    <w:rsid w:val="00002F61"/>
    <w:rsid w:val="000036D8"/>
    <w:rsid w:val="000108B6"/>
    <w:rsid w:val="00015DD4"/>
    <w:rsid w:val="00015F72"/>
    <w:rsid w:val="00020F40"/>
    <w:rsid w:val="00027DA6"/>
    <w:rsid w:val="00034238"/>
    <w:rsid w:val="00036AED"/>
    <w:rsid w:val="00036B47"/>
    <w:rsid w:val="0004136C"/>
    <w:rsid w:val="0004544F"/>
    <w:rsid w:val="00046377"/>
    <w:rsid w:val="00047BC6"/>
    <w:rsid w:val="00057D73"/>
    <w:rsid w:val="00061570"/>
    <w:rsid w:val="00061A40"/>
    <w:rsid w:val="00066424"/>
    <w:rsid w:val="00072EC9"/>
    <w:rsid w:val="0007793C"/>
    <w:rsid w:val="00081D82"/>
    <w:rsid w:val="000834BE"/>
    <w:rsid w:val="00084542"/>
    <w:rsid w:val="000917AB"/>
    <w:rsid w:val="000A6344"/>
    <w:rsid w:val="000B4793"/>
    <w:rsid w:val="000B733D"/>
    <w:rsid w:val="000C6441"/>
    <w:rsid w:val="000D2ED3"/>
    <w:rsid w:val="000D3360"/>
    <w:rsid w:val="000D382F"/>
    <w:rsid w:val="000D5696"/>
    <w:rsid w:val="000E42AD"/>
    <w:rsid w:val="000E5D01"/>
    <w:rsid w:val="000E6B43"/>
    <w:rsid w:val="000F0E3C"/>
    <w:rsid w:val="000F5A9F"/>
    <w:rsid w:val="000F70D8"/>
    <w:rsid w:val="000F7346"/>
    <w:rsid w:val="000F7FBA"/>
    <w:rsid w:val="0010734E"/>
    <w:rsid w:val="00113C7A"/>
    <w:rsid w:val="001163CE"/>
    <w:rsid w:val="00125D5A"/>
    <w:rsid w:val="001267AD"/>
    <w:rsid w:val="001270FA"/>
    <w:rsid w:val="00134FED"/>
    <w:rsid w:val="00137C4A"/>
    <w:rsid w:val="001416F2"/>
    <w:rsid w:val="00154511"/>
    <w:rsid w:val="001562EC"/>
    <w:rsid w:val="00166762"/>
    <w:rsid w:val="0016708B"/>
    <w:rsid w:val="00180279"/>
    <w:rsid w:val="00182235"/>
    <w:rsid w:val="00183198"/>
    <w:rsid w:val="00197ABE"/>
    <w:rsid w:val="001A6610"/>
    <w:rsid w:val="001B3046"/>
    <w:rsid w:val="001B3290"/>
    <w:rsid w:val="001B6408"/>
    <w:rsid w:val="001D1E96"/>
    <w:rsid w:val="001E78EF"/>
    <w:rsid w:val="001F19B1"/>
    <w:rsid w:val="001F665E"/>
    <w:rsid w:val="00215908"/>
    <w:rsid w:val="0022196A"/>
    <w:rsid w:val="00227B9C"/>
    <w:rsid w:val="0023216C"/>
    <w:rsid w:val="00237514"/>
    <w:rsid w:val="002615C1"/>
    <w:rsid w:val="00261653"/>
    <w:rsid w:val="0026449F"/>
    <w:rsid w:val="00264C53"/>
    <w:rsid w:val="002659FF"/>
    <w:rsid w:val="00265D3A"/>
    <w:rsid w:val="00265D84"/>
    <w:rsid w:val="00266CB1"/>
    <w:rsid w:val="00267638"/>
    <w:rsid w:val="00273599"/>
    <w:rsid w:val="00274FB5"/>
    <w:rsid w:val="0028190E"/>
    <w:rsid w:val="00285573"/>
    <w:rsid w:val="00285A20"/>
    <w:rsid w:val="00287FAD"/>
    <w:rsid w:val="00296B29"/>
    <w:rsid w:val="002A0B36"/>
    <w:rsid w:val="002A1209"/>
    <w:rsid w:val="002B187A"/>
    <w:rsid w:val="002B505D"/>
    <w:rsid w:val="002B67F8"/>
    <w:rsid w:val="002B79D8"/>
    <w:rsid w:val="002F0271"/>
    <w:rsid w:val="002F2105"/>
    <w:rsid w:val="002F4EF0"/>
    <w:rsid w:val="00307E81"/>
    <w:rsid w:val="00331484"/>
    <w:rsid w:val="00336826"/>
    <w:rsid w:val="00337927"/>
    <w:rsid w:val="00343B2E"/>
    <w:rsid w:val="00367CCC"/>
    <w:rsid w:val="00376B93"/>
    <w:rsid w:val="00381281"/>
    <w:rsid w:val="0038321E"/>
    <w:rsid w:val="00387C52"/>
    <w:rsid w:val="003904E1"/>
    <w:rsid w:val="00393CE3"/>
    <w:rsid w:val="00394242"/>
    <w:rsid w:val="00394904"/>
    <w:rsid w:val="003A0318"/>
    <w:rsid w:val="003A1A42"/>
    <w:rsid w:val="003B0F1A"/>
    <w:rsid w:val="003B1EF2"/>
    <w:rsid w:val="003B3069"/>
    <w:rsid w:val="003B52E7"/>
    <w:rsid w:val="003B5EE0"/>
    <w:rsid w:val="003B685A"/>
    <w:rsid w:val="003C52E0"/>
    <w:rsid w:val="003D3C02"/>
    <w:rsid w:val="003D48CA"/>
    <w:rsid w:val="003E11AA"/>
    <w:rsid w:val="003F33F4"/>
    <w:rsid w:val="003F36F0"/>
    <w:rsid w:val="003F4046"/>
    <w:rsid w:val="0040307A"/>
    <w:rsid w:val="00411AD3"/>
    <w:rsid w:val="0041385A"/>
    <w:rsid w:val="00414B73"/>
    <w:rsid w:val="0042004E"/>
    <w:rsid w:val="0042371A"/>
    <w:rsid w:val="004327EA"/>
    <w:rsid w:val="004347C0"/>
    <w:rsid w:val="004347E0"/>
    <w:rsid w:val="004363C6"/>
    <w:rsid w:val="00437044"/>
    <w:rsid w:val="00442BB2"/>
    <w:rsid w:val="00445030"/>
    <w:rsid w:val="0045705A"/>
    <w:rsid w:val="00460E66"/>
    <w:rsid w:val="004733D5"/>
    <w:rsid w:val="004807BC"/>
    <w:rsid w:val="004815A5"/>
    <w:rsid w:val="00491EEA"/>
    <w:rsid w:val="00493752"/>
    <w:rsid w:val="004A0CD4"/>
    <w:rsid w:val="004A1425"/>
    <w:rsid w:val="004A2AEF"/>
    <w:rsid w:val="004A3934"/>
    <w:rsid w:val="004A5016"/>
    <w:rsid w:val="004A5684"/>
    <w:rsid w:val="004A6803"/>
    <w:rsid w:val="004A70D1"/>
    <w:rsid w:val="004A722B"/>
    <w:rsid w:val="004B780A"/>
    <w:rsid w:val="004C304B"/>
    <w:rsid w:val="004D3B8E"/>
    <w:rsid w:val="004D62F7"/>
    <w:rsid w:val="004E1F73"/>
    <w:rsid w:val="004E3138"/>
    <w:rsid w:val="004E7378"/>
    <w:rsid w:val="004E761B"/>
    <w:rsid w:val="004F1D07"/>
    <w:rsid w:val="004F3648"/>
    <w:rsid w:val="004F3FFF"/>
    <w:rsid w:val="0050087C"/>
    <w:rsid w:val="00500B08"/>
    <w:rsid w:val="005014B2"/>
    <w:rsid w:val="00533213"/>
    <w:rsid w:val="005339DA"/>
    <w:rsid w:val="005360C3"/>
    <w:rsid w:val="0053682F"/>
    <w:rsid w:val="005407CC"/>
    <w:rsid w:val="005509A7"/>
    <w:rsid w:val="00551631"/>
    <w:rsid w:val="005548D7"/>
    <w:rsid w:val="00555425"/>
    <w:rsid w:val="00564531"/>
    <w:rsid w:val="00576358"/>
    <w:rsid w:val="00583F07"/>
    <w:rsid w:val="0058532D"/>
    <w:rsid w:val="0058585D"/>
    <w:rsid w:val="005861BF"/>
    <w:rsid w:val="00586F65"/>
    <w:rsid w:val="005902A7"/>
    <w:rsid w:val="00592459"/>
    <w:rsid w:val="00593E4A"/>
    <w:rsid w:val="00597C30"/>
    <w:rsid w:val="005A6120"/>
    <w:rsid w:val="005A6A35"/>
    <w:rsid w:val="005B5E11"/>
    <w:rsid w:val="005C39A8"/>
    <w:rsid w:val="005C5F5C"/>
    <w:rsid w:val="005D0820"/>
    <w:rsid w:val="005E5FEB"/>
    <w:rsid w:val="005E63F3"/>
    <w:rsid w:val="005E7477"/>
    <w:rsid w:val="005F0428"/>
    <w:rsid w:val="005F2948"/>
    <w:rsid w:val="00602612"/>
    <w:rsid w:val="006120BA"/>
    <w:rsid w:val="006152FA"/>
    <w:rsid w:val="00625148"/>
    <w:rsid w:val="00633768"/>
    <w:rsid w:val="006432AA"/>
    <w:rsid w:val="00645A58"/>
    <w:rsid w:val="00653A60"/>
    <w:rsid w:val="00654DEF"/>
    <w:rsid w:val="0065528F"/>
    <w:rsid w:val="00661400"/>
    <w:rsid w:val="00675872"/>
    <w:rsid w:val="00675B83"/>
    <w:rsid w:val="00675CB5"/>
    <w:rsid w:val="00681E5B"/>
    <w:rsid w:val="00683D74"/>
    <w:rsid w:val="00685503"/>
    <w:rsid w:val="00690BED"/>
    <w:rsid w:val="00696FA3"/>
    <w:rsid w:val="006A1825"/>
    <w:rsid w:val="006A2B9C"/>
    <w:rsid w:val="006B6977"/>
    <w:rsid w:val="006C0157"/>
    <w:rsid w:val="006C21BD"/>
    <w:rsid w:val="006C70DF"/>
    <w:rsid w:val="006C7BB9"/>
    <w:rsid w:val="006D1E53"/>
    <w:rsid w:val="006E019C"/>
    <w:rsid w:val="006F28E2"/>
    <w:rsid w:val="007020F8"/>
    <w:rsid w:val="00702179"/>
    <w:rsid w:val="00720006"/>
    <w:rsid w:val="007219FB"/>
    <w:rsid w:val="007234C9"/>
    <w:rsid w:val="007375AA"/>
    <w:rsid w:val="00740C50"/>
    <w:rsid w:val="007574F6"/>
    <w:rsid w:val="0076108E"/>
    <w:rsid w:val="007709DA"/>
    <w:rsid w:val="00773F38"/>
    <w:rsid w:val="007768C8"/>
    <w:rsid w:val="00791A9C"/>
    <w:rsid w:val="00795EB9"/>
    <w:rsid w:val="00797B82"/>
    <w:rsid w:val="007A2CE0"/>
    <w:rsid w:val="007A475C"/>
    <w:rsid w:val="007B5281"/>
    <w:rsid w:val="007C1243"/>
    <w:rsid w:val="007C15C7"/>
    <w:rsid w:val="007F05C7"/>
    <w:rsid w:val="007F19D4"/>
    <w:rsid w:val="00803C0D"/>
    <w:rsid w:val="00807F17"/>
    <w:rsid w:val="0081321B"/>
    <w:rsid w:val="0082497F"/>
    <w:rsid w:val="008316F0"/>
    <w:rsid w:val="00833064"/>
    <w:rsid w:val="0083325D"/>
    <w:rsid w:val="008336EB"/>
    <w:rsid w:val="00835E8D"/>
    <w:rsid w:val="00843F36"/>
    <w:rsid w:val="00850B1E"/>
    <w:rsid w:val="0085106B"/>
    <w:rsid w:val="0085696F"/>
    <w:rsid w:val="00857D2D"/>
    <w:rsid w:val="008616F5"/>
    <w:rsid w:val="00861CFB"/>
    <w:rsid w:val="008621B2"/>
    <w:rsid w:val="00864F7B"/>
    <w:rsid w:val="008749DE"/>
    <w:rsid w:val="00877F6F"/>
    <w:rsid w:val="008852EF"/>
    <w:rsid w:val="008963F4"/>
    <w:rsid w:val="008A7920"/>
    <w:rsid w:val="008B11AC"/>
    <w:rsid w:val="008B6057"/>
    <w:rsid w:val="008C0195"/>
    <w:rsid w:val="008D07E4"/>
    <w:rsid w:val="008D1A2D"/>
    <w:rsid w:val="008D23E8"/>
    <w:rsid w:val="008D25AF"/>
    <w:rsid w:val="008D4073"/>
    <w:rsid w:val="008E05BD"/>
    <w:rsid w:val="008E1766"/>
    <w:rsid w:val="008F5BC9"/>
    <w:rsid w:val="008F5FBB"/>
    <w:rsid w:val="00900171"/>
    <w:rsid w:val="0091035C"/>
    <w:rsid w:val="009123DB"/>
    <w:rsid w:val="00917B69"/>
    <w:rsid w:val="00924C80"/>
    <w:rsid w:val="00926B92"/>
    <w:rsid w:val="00927BFA"/>
    <w:rsid w:val="00927FB2"/>
    <w:rsid w:val="009338DF"/>
    <w:rsid w:val="00934CA6"/>
    <w:rsid w:val="00935AC7"/>
    <w:rsid w:val="00936405"/>
    <w:rsid w:val="00936E33"/>
    <w:rsid w:val="009373AB"/>
    <w:rsid w:val="00942DE0"/>
    <w:rsid w:val="00946AE3"/>
    <w:rsid w:val="00950544"/>
    <w:rsid w:val="00952768"/>
    <w:rsid w:val="00952F24"/>
    <w:rsid w:val="00953429"/>
    <w:rsid w:val="009603BD"/>
    <w:rsid w:val="00965155"/>
    <w:rsid w:val="00967762"/>
    <w:rsid w:val="00971FA7"/>
    <w:rsid w:val="009747BE"/>
    <w:rsid w:val="009817BE"/>
    <w:rsid w:val="00983E15"/>
    <w:rsid w:val="00984B8C"/>
    <w:rsid w:val="00986530"/>
    <w:rsid w:val="00990EAE"/>
    <w:rsid w:val="00991467"/>
    <w:rsid w:val="00994D4E"/>
    <w:rsid w:val="00995904"/>
    <w:rsid w:val="00995FB8"/>
    <w:rsid w:val="00997C71"/>
    <w:rsid w:val="009A455C"/>
    <w:rsid w:val="009A6699"/>
    <w:rsid w:val="009A71EB"/>
    <w:rsid w:val="009B19FA"/>
    <w:rsid w:val="009B302A"/>
    <w:rsid w:val="009D0AA1"/>
    <w:rsid w:val="009D1443"/>
    <w:rsid w:val="009E4925"/>
    <w:rsid w:val="009E4C7B"/>
    <w:rsid w:val="009E4CD1"/>
    <w:rsid w:val="009F249A"/>
    <w:rsid w:val="00A006C5"/>
    <w:rsid w:val="00A00918"/>
    <w:rsid w:val="00A20C82"/>
    <w:rsid w:val="00A259CB"/>
    <w:rsid w:val="00A25FA2"/>
    <w:rsid w:val="00A403C1"/>
    <w:rsid w:val="00A4189C"/>
    <w:rsid w:val="00A4639E"/>
    <w:rsid w:val="00A46EEA"/>
    <w:rsid w:val="00A513FC"/>
    <w:rsid w:val="00A556EF"/>
    <w:rsid w:val="00A57316"/>
    <w:rsid w:val="00A62B89"/>
    <w:rsid w:val="00A65984"/>
    <w:rsid w:val="00A71C8A"/>
    <w:rsid w:val="00A74E00"/>
    <w:rsid w:val="00A760A7"/>
    <w:rsid w:val="00A919DE"/>
    <w:rsid w:val="00A930BF"/>
    <w:rsid w:val="00AA3CD5"/>
    <w:rsid w:val="00AA5CA1"/>
    <w:rsid w:val="00AA687A"/>
    <w:rsid w:val="00AA6C4F"/>
    <w:rsid w:val="00AA774F"/>
    <w:rsid w:val="00AB2876"/>
    <w:rsid w:val="00AB2E33"/>
    <w:rsid w:val="00AB37F9"/>
    <w:rsid w:val="00AC31E7"/>
    <w:rsid w:val="00AC58A2"/>
    <w:rsid w:val="00AC6CDA"/>
    <w:rsid w:val="00AD3128"/>
    <w:rsid w:val="00AD659C"/>
    <w:rsid w:val="00AD6648"/>
    <w:rsid w:val="00AF42CE"/>
    <w:rsid w:val="00AF523B"/>
    <w:rsid w:val="00B0609E"/>
    <w:rsid w:val="00B15049"/>
    <w:rsid w:val="00B17B2E"/>
    <w:rsid w:val="00B206B5"/>
    <w:rsid w:val="00B33AA1"/>
    <w:rsid w:val="00B42E9C"/>
    <w:rsid w:val="00B462C3"/>
    <w:rsid w:val="00B531B0"/>
    <w:rsid w:val="00B55031"/>
    <w:rsid w:val="00B62682"/>
    <w:rsid w:val="00B633DE"/>
    <w:rsid w:val="00B70C2D"/>
    <w:rsid w:val="00B748A2"/>
    <w:rsid w:val="00B8136F"/>
    <w:rsid w:val="00B848A0"/>
    <w:rsid w:val="00B90576"/>
    <w:rsid w:val="00B9484A"/>
    <w:rsid w:val="00B95541"/>
    <w:rsid w:val="00B96367"/>
    <w:rsid w:val="00B96DFB"/>
    <w:rsid w:val="00BA2023"/>
    <w:rsid w:val="00BA54B3"/>
    <w:rsid w:val="00BA54ED"/>
    <w:rsid w:val="00BA5B7A"/>
    <w:rsid w:val="00BB3D26"/>
    <w:rsid w:val="00BB522D"/>
    <w:rsid w:val="00BB76C5"/>
    <w:rsid w:val="00BC67EC"/>
    <w:rsid w:val="00BE2DDC"/>
    <w:rsid w:val="00BE3781"/>
    <w:rsid w:val="00BE6B9B"/>
    <w:rsid w:val="00BE6BC1"/>
    <w:rsid w:val="00C0083D"/>
    <w:rsid w:val="00C013DA"/>
    <w:rsid w:val="00C12922"/>
    <w:rsid w:val="00C13E3D"/>
    <w:rsid w:val="00C1463C"/>
    <w:rsid w:val="00C17D11"/>
    <w:rsid w:val="00C2166C"/>
    <w:rsid w:val="00C254F4"/>
    <w:rsid w:val="00C26FB1"/>
    <w:rsid w:val="00C36D53"/>
    <w:rsid w:val="00C37BC2"/>
    <w:rsid w:val="00C37CF2"/>
    <w:rsid w:val="00C40F11"/>
    <w:rsid w:val="00C465B6"/>
    <w:rsid w:val="00C60E3F"/>
    <w:rsid w:val="00C63235"/>
    <w:rsid w:val="00C72A65"/>
    <w:rsid w:val="00C72C61"/>
    <w:rsid w:val="00C77FCE"/>
    <w:rsid w:val="00C81ADC"/>
    <w:rsid w:val="00C84112"/>
    <w:rsid w:val="00C87038"/>
    <w:rsid w:val="00C87389"/>
    <w:rsid w:val="00C90A22"/>
    <w:rsid w:val="00C93438"/>
    <w:rsid w:val="00CB4F6B"/>
    <w:rsid w:val="00CC456A"/>
    <w:rsid w:val="00CD4BD2"/>
    <w:rsid w:val="00CE426C"/>
    <w:rsid w:val="00CE471E"/>
    <w:rsid w:val="00CE6589"/>
    <w:rsid w:val="00CE7EBA"/>
    <w:rsid w:val="00CF15B9"/>
    <w:rsid w:val="00CF735F"/>
    <w:rsid w:val="00D054D7"/>
    <w:rsid w:val="00D06BDA"/>
    <w:rsid w:val="00D06E89"/>
    <w:rsid w:val="00D11A0F"/>
    <w:rsid w:val="00D16E8F"/>
    <w:rsid w:val="00D21A75"/>
    <w:rsid w:val="00D26040"/>
    <w:rsid w:val="00D26327"/>
    <w:rsid w:val="00D37F27"/>
    <w:rsid w:val="00D4187F"/>
    <w:rsid w:val="00D42FD8"/>
    <w:rsid w:val="00D53AFF"/>
    <w:rsid w:val="00D60437"/>
    <w:rsid w:val="00D65486"/>
    <w:rsid w:val="00D67E7B"/>
    <w:rsid w:val="00D82905"/>
    <w:rsid w:val="00D87312"/>
    <w:rsid w:val="00D928C9"/>
    <w:rsid w:val="00DA3C7A"/>
    <w:rsid w:val="00DA3EDC"/>
    <w:rsid w:val="00DA493A"/>
    <w:rsid w:val="00DA51DD"/>
    <w:rsid w:val="00DA5B93"/>
    <w:rsid w:val="00DA62CE"/>
    <w:rsid w:val="00DC184B"/>
    <w:rsid w:val="00DC1A82"/>
    <w:rsid w:val="00DD7E8D"/>
    <w:rsid w:val="00DE303E"/>
    <w:rsid w:val="00DF0727"/>
    <w:rsid w:val="00DF4FCD"/>
    <w:rsid w:val="00E034FC"/>
    <w:rsid w:val="00E03BB3"/>
    <w:rsid w:val="00E10AD6"/>
    <w:rsid w:val="00E10D24"/>
    <w:rsid w:val="00E12EFA"/>
    <w:rsid w:val="00E161E2"/>
    <w:rsid w:val="00E17CD8"/>
    <w:rsid w:val="00E21439"/>
    <w:rsid w:val="00E2358C"/>
    <w:rsid w:val="00E23DE9"/>
    <w:rsid w:val="00E27808"/>
    <w:rsid w:val="00E314EE"/>
    <w:rsid w:val="00E32FEE"/>
    <w:rsid w:val="00E345E0"/>
    <w:rsid w:val="00E36B3B"/>
    <w:rsid w:val="00E47A23"/>
    <w:rsid w:val="00E47BDC"/>
    <w:rsid w:val="00E50485"/>
    <w:rsid w:val="00E50746"/>
    <w:rsid w:val="00E6345C"/>
    <w:rsid w:val="00E71929"/>
    <w:rsid w:val="00E85E35"/>
    <w:rsid w:val="00E87D64"/>
    <w:rsid w:val="00E94E7C"/>
    <w:rsid w:val="00EB0C4B"/>
    <w:rsid w:val="00EB31AE"/>
    <w:rsid w:val="00EB5B76"/>
    <w:rsid w:val="00EC07E1"/>
    <w:rsid w:val="00ED5E6F"/>
    <w:rsid w:val="00EE0E6B"/>
    <w:rsid w:val="00EE6203"/>
    <w:rsid w:val="00EE7125"/>
    <w:rsid w:val="00EF5B55"/>
    <w:rsid w:val="00EF6174"/>
    <w:rsid w:val="00EF7B1E"/>
    <w:rsid w:val="00F03E43"/>
    <w:rsid w:val="00F1253C"/>
    <w:rsid w:val="00F12A21"/>
    <w:rsid w:val="00F15525"/>
    <w:rsid w:val="00F31A06"/>
    <w:rsid w:val="00F337E3"/>
    <w:rsid w:val="00F33ABA"/>
    <w:rsid w:val="00F42519"/>
    <w:rsid w:val="00F46ADD"/>
    <w:rsid w:val="00F545B5"/>
    <w:rsid w:val="00F5562C"/>
    <w:rsid w:val="00F57DB4"/>
    <w:rsid w:val="00F618F6"/>
    <w:rsid w:val="00F6200C"/>
    <w:rsid w:val="00F702CA"/>
    <w:rsid w:val="00F71C71"/>
    <w:rsid w:val="00F71E04"/>
    <w:rsid w:val="00F7344A"/>
    <w:rsid w:val="00F82AC4"/>
    <w:rsid w:val="00F9132A"/>
    <w:rsid w:val="00F9335E"/>
    <w:rsid w:val="00FA0CC4"/>
    <w:rsid w:val="00FA1A61"/>
    <w:rsid w:val="00FA1E5E"/>
    <w:rsid w:val="00FA2758"/>
    <w:rsid w:val="00FA40DE"/>
    <w:rsid w:val="00FA4C8C"/>
    <w:rsid w:val="00FB1FB5"/>
    <w:rsid w:val="00FB7228"/>
    <w:rsid w:val="00FC093F"/>
    <w:rsid w:val="00FC0A66"/>
    <w:rsid w:val="00FC1683"/>
    <w:rsid w:val="00FC1AA9"/>
    <w:rsid w:val="00FC2381"/>
    <w:rsid w:val="00FC4125"/>
    <w:rsid w:val="00FC6600"/>
    <w:rsid w:val="00FD218E"/>
    <w:rsid w:val="00FD547B"/>
    <w:rsid w:val="00FE487C"/>
    <w:rsid w:val="00FE7CBC"/>
    <w:rsid w:val="00FF0589"/>
    <w:rsid w:val="00FF1FF1"/>
    <w:rsid w:val="00FF67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CE4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125"/>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D16E8F"/>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D16E8F"/>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D16E8F"/>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D16E8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D16E8F"/>
    <w:pPr>
      <w:spacing w:line="200" w:lineRule="atLeast"/>
      <w:outlineLvl w:val="4"/>
    </w:pPr>
    <w:rPr>
      <w:b/>
      <w:sz w:val="22"/>
    </w:rPr>
  </w:style>
  <w:style w:type="paragraph" w:styleId="Heading6">
    <w:name w:val="heading 6"/>
    <w:basedOn w:val="Heading5"/>
    <w:next w:val="Normal"/>
    <w:link w:val="Heading6Char"/>
    <w:uiPriority w:val="9"/>
    <w:unhideWhenUsed/>
    <w:qFormat/>
    <w:rsid w:val="00D16E8F"/>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rsid w:val="00D16E8F"/>
    <w:pPr>
      <w:outlineLvl w:val="6"/>
    </w:pPr>
    <w:rPr>
      <w:i/>
      <w:iCs w:val="0"/>
    </w:rPr>
  </w:style>
  <w:style w:type="paragraph" w:styleId="Heading8">
    <w:name w:val="heading 8"/>
    <w:basedOn w:val="Heading7"/>
    <w:next w:val="Normal"/>
    <w:link w:val="Heading8Char"/>
    <w:uiPriority w:val="9"/>
    <w:semiHidden/>
    <w:unhideWhenUsed/>
    <w:qFormat/>
    <w:rsid w:val="00D16E8F"/>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D16E8F"/>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ed">
    <w:name w:val="Normal Indented"/>
    <w:basedOn w:val="Normal"/>
    <w:qFormat/>
    <w:rsid w:val="00D16E8F"/>
    <w:pPr>
      <w:ind w:left="284"/>
    </w:pPr>
  </w:style>
  <w:style w:type="paragraph" w:customStyle="1" w:styleId="Bullet1">
    <w:name w:val="Bullet 1"/>
    <w:basedOn w:val="Normal"/>
    <w:qFormat/>
    <w:rsid w:val="00D16E8F"/>
    <w:pPr>
      <w:numPr>
        <w:numId w:val="1"/>
      </w:numPr>
      <w:tabs>
        <w:tab w:val="left" w:pos="567"/>
      </w:tabs>
      <w:spacing w:before="60"/>
    </w:pPr>
  </w:style>
  <w:style w:type="paragraph" w:customStyle="1" w:styleId="Bullet2">
    <w:name w:val="Bullet 2"/>
    <w:basedOn w:val="Bullet1"/>
    <w:qFormat/>
    <w:rsid w:val="00D16E8F"/>
    <w:pPr>
      <w:numPr>
        <w:ilvl w:val="1"/>
      </w:numPr>
      <w:tabs>
        <w:tab w:val="clear" w:pos="568"/>
        <w:tab w:val="left" w:pos="851"/>
      </w:tabs>
    </w:pPr>
  </w:style>
  <w:style w:type="paragraph" w:customStyle="1" w:styleId="Bullet3">
    <w:name w:val="Bullet 3"/>
    <w:basedOn w:val="Bullet2"/>
    <w:qFormat/>
    <w:rsid w:val="00D16E8F"/>
    <w:pPr>
      <w:numPr>
        <w:ilvl w:val="2"/>
      </w:numPr>
      <w:tabs>
        <w:tab w:val="left" w:pos="1134"/>
      </w:tabs>
    </w:pPr>
  </w:style>
  <w:style w:type="paragraph" w:customStyle="1" w:styleId="NumberedList1">
    <w:name w:val="Numbered List 1"/>
    <w:basedOn w:val="Normal"/>
    <w:qFormat/>
    <w:rsid w:val="00D16E8F"/>
    <w:pPr>
      <w:numPr>
        <w:numId w:val="2"/>
      </w:numPr>
    </w:pPr>
  </w:style>
  <w:style w:type="paragraph" w:customStyle="1" w:styleId="NumberedList2">
    <w:name w:val="Numbered List 2"/>
    <w:basedOn w:val="NumberedList1"/>
    <w:qFormat/>
    <w:rsid w:val="00D16E8F"/>
    <w:pPr>
      <w:numPr>
        <w:ilvl w:val="1"/>
      </w:numPr>
      <w:spacing w:before="60"/>
    </w:pPr>
  </w:style>
  <w:style w:type="paragraph" w:customStyle="1" w:styleId="NumberedList3">
    <w:name w:val="Numbered List 3"/>
    <w:basedOn w:val="NumberedList2"/>
    <w:qFormat/>
    <w:rsid w:val="00D16E8F"/>
    <w:pPr>
      <w:numPr>
        <w:ilvl w:val="2"/>
      </w:numPr>
    </w:pPr>
  </w:style>
  <w:style w:type="paragraph" w:customStyle="1" w:styleId="Heading1Numbered">
    <w:name w:val="Heading 1 Numbered"/>
    <w:basedOn w:val="Heading1"/>
    <w:next w:val="Normal"/>
    <w:qFormat/>
    <w:rsid w:val="00D16E8F"/>
    <w:pPr>
      <w:numPr>
        <w:numId w:val="5"/>
      </w:numPr>
      <w:spacing w:after="3000" w:line="240" w:lineRule="auto"/>
    </w:pPr>
  </w:style>
  <w:style w:type="character" w:customStyle="1" w:styleId="Heading1Char">
    <w:name w:val="Heading 1 Char"/>
    <w:basedOn w:val="DefaultParagraphFont"/>
    <w:link w:val="Heading1"/>
    <w:uiPriority w:val="9"/>
    <w:rsid w:val="00D16E8F"/>
    <w:rPr>
      <w:rFonts w:asciiTheme="majorHAnsi" w:eastAsiaTheme="majorEastAsia" w:hAnsiTheme="majorHAnsi" w:cstheme="majorBidi"/>
      <w:b/>
      <w:bCs/>
      <w:caps/>
      <w:color w:val="495965" w:themeColor="text2"/>
      <w:sz w:val="38"/>
      <w:szCs w:val="28"/>
      <w:lang w:val="en-GB"/>
    </w:rPr>
  </w:style>
  <w:style w:type="paragraph" w:customStyle="1" w:styleId="Heading2Numbered">
    <w:name w:val="Heading 2 Numbered"/>
    <w:basedOn w:val="Heading2"/>
    <w:next w:val="Normal"/>
    <w:qFormat/>
    <w:rsid w:val="00D16E8F"/>
    <w:pPr>
      <w:numPr>
        <w:ilvl w:val="1"/>
        <w:numId w:val="5"/>
      </w:numPr>
      <w:spacing w:after="60"/>
    </w:pPr>
    <w:rPr>
      <w:bCs/>
    </w:rPr>
  </w:style>
  <w:style w:type="character" w:customStyle="1" w:styleId="Heading2Char">
    <w:name w:val="Heading 2 Char"/>
    <w:basedOn w:val="DefaultParagraphFont"/>
    <w:link w:val="Heading2"/>
    <w:uiPriority w:val="9"/>
    <w:rsid w:val="00D16E8F"/>
    <w:rPr>
      <w:rFonts w:asciiTheme="majorHAnsi" w:eastAsiaTheme="majorEastAsia" w:hAnsiTheme="majorHAnsi" w:cstheme="majorBidi"/>
      <w:caps/>
      <w:color w:val="495965" w:themeColor="text2"/>
      <w:sz w:val="38"/>
      <w:szCs w:val="26"/>
      <w:lang w:val="en-GB"/>
    </w:rPr>
  </w:style>
  <w:style w:type="paragraph" w:customStyle="1" w:styleId="Heading3Numbered">
    <w:name w:val="Heading 3 Numbered"/>
    <w:basedOn w:val="Heading3"/>
    <w:next w:val="Normal"/>
    <w:qFormat/>
    <w:rsid w:val="00D16E8F"/>
    <w:pPr>
      <w:numPr>
        <w:ilvl w:val="2"/>
        <w:numId w:val="5"/>
      </w:numPr>
      <w:spacing w:before="300" w:after="60"/>
    </w:pPr>
    <w:rPr>
      <w:szCs w:val="22"/>
      <w:lang w:val="en-GB"/>
    </w:rPr>
  </w:style>
  <w:style w:type="character" w:customStyle="1" w:styleId="Heading3Char">
    <w:name w:val="Heading 3 Char"/>
    <w:basedOn w:val="DefaultParagraphFont"/>
    <w:link w:val="Heading3"/>
    <w:uiPriority w:val="9"/>
    <w:rsid w:val="00D16E8F"/>
    <w:rPr>
      <w:rFonts w:asciiTheme="majorHAnsi" w:eastAsiaTheme="majorEastAsia" w:hAnsiTheme="majorHAnsi" w:cstheme="majorBidi"/>
      <w:bCs/>
      <w:color w:val="495965" w:themeColor="text2"/>
      <w:sz w:val="30"/>
      <w:szCs w:val="26"/>
    </w:rPr>
  </w:style>
  <w:style w:type="paragraph" w:customStyle="1" w:styleId="IntroPara">
    <w:name w:val="Intro Para"/>
    <w:basedOn w:val="Normal"/>
    <w:qFormat/>
    <w:rsid w:val="00D16E8F"/>
    <w:pPr>
      <w:spacing w:before="400" w:after="400" w:line="280" w:lineRule="exact"/>
    </w:pPr>
    <w:rPr>
      <w:b/>
      <w:color w:val="ACD08C" w:themeColor="accent2"/>
      <w:sz w:val="28"/>
    </w:rPr>
  </w:style>
  <w:style w:type="character" w:customStyle="1" w:styleId="LightGrey">
    <w:name w:val="Light Grey"/>
    <w:basedOn w:val="DefaultParagraphFont"/>
    <w:uiPriority w:val="1"/>
    <w:qFormat/>
    <w:locked/>
    <w:rsid w:val="00D16E8F"/>
    <w:rPr>
      <w:color w:val="B0BDC6" w:themeColor="text2" w:themeTint="66"/>
    </w:rPr>
  </w:style>
  <w:style w:type="paragraph" w:customStyle="1" w:styleId="QuoteAuthor">
    <w:name w:val="Quote Author"/>
    <w:basedOn w:val="Quote"/>
    <w:qFormat/>
    <w:rsid w:val="00D16E8F"/>
    <w:pPr>
      <w:spacing w:after="60" w:line="200" w:lineRule="atLeast"/>
    </w:pPr>
    <w:rPr>
      <w:sz w:val="16"/>
      <w:lang w:val="en-GB"/>
    </w:rPr>
  </w:style>
  <w:style w:type="paragraph" w:styleId="Quote">
    <w:name w:val="Quote"/>
    <w:basedOn w:val="Normal"/>
    <w:next w:val="Normal"/>
    <w:link w:val="QuoteChar"/>
    <w:uiPriority w:val="29"/>
    <w:qFormat/>
    <w:rsid w:val="00D16E8F"/>
    <w:pPr>
      <w:spacing w:before="0" w:after="180" w:line="320" w:lineRule="atLeast"/>
    </w:pPr>
    <w:rPr>
      <w:iCs/>
      <w:sz w:val="28"/>
      <w:lang w:val="en-AU"/>
    </w:rPr>
  </w:style>
  <w:style w:type="character" w:customStyle="1" w:styleId="QuoteChar">
    <w:name w:val="Quote Char"/>
    <w:basedOn w:val="DefaultParagraphFont"/>
    <w:link w:val="Quote"/>
    <w:uiPriority w:val="29"/>
    <w:rsid w:val="00D16E8F"/>
    <w:rPr>
      <w:iCs/>
      <w:color w:val="495965" w:themeColor="text2"/>
      <w:sz w:val="28"/>
    </w:rPr>
  </w:style>
  <w:style w:type="paragraph" w:customStyle="1" w:styleId="FootnoteSeparator">
    <w:name w:val="Footnote Separator"/>
    <w:basedOn w:val="Footer"/>
    <w:qFormat/>
    <w:rsid w:val="00D16E8F"/>
    <w:pPr>
      <w:tabs>
        <w:tab w:val="clear" w:pos="4513"/>
        <w:tab w:val="clear" w:pos="9026"/>
        <w:tab w:val="right" w:pos="9356"/>
        <w:tab w:val="center" w:pos="10036"/>
      </w:tabs>
      <w:spacing w:before="180" w:line="200" w:lineRule="atLeast"/>
    </w:pPr>
    <w:rPr>
      <w:sz w:val="16"/>
    </w:rPr>
  </w:style>
  <w:style w:type="paragraph" w:styleId="Footer">
    <w:name w:val="footer"/>
    <w:basedOn w:val="Normal"/>
    <w:link w:val="FooterChar"/>
    <w:uiPriority w:val="99"/>
    <w:unhideWhenUsed/>
    <w:rsid w:val="00D16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E8F"/>
  </w:style>
  <w:style w:type="paragraph" w:customStyle="1" w:styleId="TableText">
    <w:name w:val="Table Text"/>
    <w:basedOn w:val="Normal"/>
    <w:qFormat/>
    <w:rsid w:val="00D16E8F"/>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D16E8F"/>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D16E8F"/>
    <w:pPr>
      <w:spacing w:before="60"/>
    </w:pPr>
    <w:rPr>
      <w:rFonts w:ascii="Calibri" w:hAnsi="Calibri"/>
      <w:b/>
      <w:color w:val="FFFFFF" w:themeColor="background1"/>
    </w:rPr>
  </w:style>
  <w:style w:type="paragraph" w:customStyle="1" w:styleId="TableSourceNotes">
    <w:name w:val="Table Source Notes"/>
    <w:basedOn w:val="Normal"/>
    <w:qFormat/>
    <w:rsid w:val="00D16E8F"/>
    <w:pPr>
      <w:tabs>
        <w:tab w:val="left" w:pos="284"/>
      </w:tabs>
      <w:spacing w:line="160" w:lineRule="atLeast"/>
      <w:ind w:left="284" w:hanging="284"/>
      <w:contextualSpacing/>
    </w:pPr>
    <w:rPr>
      <w:sz w:val="12"/>
    </w:rPr>
  </w:style>
  <w:style w:type="paragraph" w:customStyle="1" w:styleId="TableBullet1">
    <w:name w:val="Table Bullet 1"/>
    <w:basedOn w:val="Bullet1"/>
    <w:qFormat/>
    <w:rsid w:val="00D16E8F"/>
    <w:pPr>
      <w:numPr>
        <w:numId w:val="0"/>
      </w:numPr>
      <w:spacing w:line="220" w:lineRule="atLeast"/>
    </w:pPr>
    <w:rPr>
      <w:rFonts w:ascii="Calibri" w:hAnsi="Calibri"/>
      <w:sz w:val="18"/>
    </w:rPr>
  </w:style>
  <w:style w:type="paragraph" w:customStyle="1" w:styleId="TableBullet2">
    <w:name w:val="Table Bullet 2"/>
    <w:basedOn w:val="Bullet2"/>
    <w:qFormat/>
    <w:rsid w:val="00D16E8F"/>
    <w:pPr>
      <w:numPr>
        <w:ilvl w:val="0"/>
        <w:numId w:val="0"/>
      </w:numPr>
      <w:spacing w:line="220" w:lineRule="atLeast"/>
    </w:pPr>
    <w:rPr>
      <w:rFonts w:ascii="Calibri" w:hAnsi="Calibri"/>
      <w:sz w:val="18"/>
    </w:rPr>
  </w:style>
  <w:style w:type="paragraph" w:customStyle="1" w:styleId="TableBullet3">
    <w:name w:val="Table Bullet 3"/>
    <w:basedOn w:val="Bullet3"/>
    <w:qFormat/>
    <w:rsid w:val="00D16E8F"/>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D16E8F"/>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D16E8F"/>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D16E8F"/>
    <w:pPr>
      <w:numPr>
        <w:ilvl w:val="0"/>
        <w:numId w:val="0"/>
      </w:numPr>
      <w:spacing w:line="220" w:lineRule="atLeast"/>
    </w:pPr>
    <w:rPr>
      <w:rFonts w:ascii="Calibri" w:hAnsi="Calibri"/>
      <w:sz w:val="18"/>
    </w:rPr>
  </w:style>
  <w:style w:type="paragraph" w:customStyle="1" w:styleId="PhotoCredit">
    <w:name w:val="Photo Credit"/>
    <w:basedOn w:val="Normal"/>
    <w:qFormat/>
    <w:rsid w:val="00D16E8F"/>
    <w:pPr>
      <w:spacing w:after="200" w:line="200" w:lineRule="atLeast"/>
      <w:jc w:val="right"/>
    </w:pPr>
    <w:rPr>
      <w:sz w:val="16"/>
    </w:rPr>
  </w:style>
  <w:style w:type="paragraph" w:customStyle="1" w:styleId="Heading1smallspaceafter">
    <w:name w:val="Heading 1 small space after"/>
    <w:basedOn w:val="Heading1"/>
    <w:qFormat/>
    <w:rsid w:val="00D16E8F"/>
    <w:pPr>
      <w:spacing w:after="600"/>
    </w:pPr>
  </w:style>
  <w:style w:type="paragraph" w:customStyle="1" w:styleId="Box1Text">
    <w:name w:val="Box 1 Text"/>
    <w:basedOn w:val="Normal"/>
    <w:qFormat/>
    <w:rsid w:val="00D16E8F"/>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D16E8F"/>
    <w:pPr>
      <w:keepNext/>
      <w:spacing w:line="300" w:lineRule="atLeast"/>
    </w:pPr>
    <w:rPr>
      <w:b/>
      <w:sz w:val="26"/>
    </w:rPr>
  </w:style>
  <w:style w:type="paragraph" w:customStyle="1" w:styleId="Box2Text">
    <w:name w:val="Box 2 Text"/>
    <w:basedOn w:val="Box1Text"/>
    <w:qFormat/>
    <w:rsid w:val="00D16E8F"/>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D16E8F"/>
    <w:pPr>
      <w:keepNext/>
      <w:spacing w:line="300" w:lineRule="atLeast"/>
    </w:pPr>
    <w:rPr>
      <w:b/>
      <w:sz w:val="26"/>
    </w:rPr>
  </w:style>
  <w:style w:type="paragraph" w:customStyle="1" w:styleId="Box1Bullet">
    <w:name w:val="Box 1 Bullet"/>
    <w:basedOn w:val="Box1Text"/>
    <w:qFormat/>
    <w:rsid w:val="00D16E8F"/>
    <w:pPr>
      <w:numPr>
        <w:numId w:val="3"/>
      </w:numPr>
    </w:pPr>
  </w:style>
  <w:style w:type="paragraph" w:customStyle="1" w:styleId="Box2Bullet">
    <w:name w:val="Box 2 Bullet"/>
    <w:basedOn w:val="Box2Text"/>
    <w:qFormat/>
    <w:rsid w:val="00D16E8F"/>
    <w:pPr>
      <w:numPr>
        <w:numId w:val="4"/>
      </w:numPr>
    </w:pPr>
  </w:style>
  <w:style w:type="paragraph" w:customStyle="1" w:styleId="Classification">
    <w:name w:val="Classification"/>
    <w:basedOn w:val="Header"/>
    <w:qFormat/>
    <w:rsid w:val="00D16E8F"/>
    <w:pPr>
      <w:spacing w:before="0" w:after="200"/>
      <w:contextualSpacing/>
      <w:jc w:val="center"/>
    </w:pPr>
    <w:rPr>
      <w:b/>
      <w:caps/>
      <w:color w:val="auto"/>
      <w:sz w:val="28"/>
    </w:rPr>
  </w:style>
  <w:style w:type="paragraph" w:styleId="Header">
    <w:name w:val="header"/>
    <w:basedOn w:val="Normal"/>
    <w:link w:val="HeaderChar"/>
    <w:uiPriority w:val="99"/>
    <w:unhideWhenUsed/>
    <w:rsid w:val="00D16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E8F"/>
  </w:style>
  <w:style w:type="paragraph" w:customStyle="1" w:styleId="Heading1Numberedsmallspaceafter">
    <w:name w:val="Heading 1 Numbered small space after"/>
    <w:basedOn w:val="Heading1Numbered"/>
    <w:qFormat/>
    <w:rsid w:val="00D16E8F"/>
    <w:pPr>
      <w:spacing w:after="600"/>
    </w:pPr>
  </w:style>
  <w:style w:type="character" w:customStyle="1" w:styleId="ColourAccent1">
    <w:name w:val="Colour Accent 1"/>
    <w:basedOn w:val="DefaultParagraphFont"/>
    <w:uiPriority w:val="1"/>
    <w:qFormat/>
    <w:locked/>
    <w:rsid w:val="00D16E8F"/>
    <w:rPr>
      <w:color w:val="65C5B4" w:themeColor="accent1"/>
    </w:rPr>
  </w:style>
  <w:style w:type="paragraph" w:customStyle="1" w:styleId="Footerlandscape">
    <w:name w:val="Footer landscape"/>
    <w:basedOn w:val="Normal"/>
    <w:qFormat/>
    <w:rsid w:val="00D16E8F"/>
    <w:pPr>
      <w:tabs>
        <w:tab w:val="right" w:pos="13041"/>
      </w:tabs>
      <w:spacing w:before="0" w:after="0" w:line="220" w:lineRule="atLeast"/>
      <w:ind w:left="284" w:right="-1307"/>
      <w:jc w:val="right"/>
    </w:pPr>
    <w:rPr>
      <w:rFonts w:ascii="Calibri Light" w:eastAsia="Calibri Light" w:hAnsi="Calibri Light" w:cs="Times New Roman"/>
      <w:noProof/>
      <w:sz w:val="14"/>
    </w:rPr>
  </w:style>
  <w:style w:type="character" w:customStyle="1" w:styleId="Heading4Char">
    <w:name w:val="Heading 4 Char"/>
    <w:basedOn w:val="DefaultParagraphFont"/>
    <w:link w:val="Heading4"/>
    <w:uiPriority w:val="9"/>
    <w:rsid w:val="00D16E8F"/>
    <w:rPr>
      <w:rFonts w:asciiTheme="majorHAnsi" w:eastAsiaTheme="majorEastAsia" w:hAnsiTheme="majorHAnsi" w:cstheme="majorBidi"/>
      <w:bCs/>
      <w:iCs/>
      <w:color w:val="495965" w:themeColor="text2"/>
      <w:sz w:val="24"/>
      <w:szCs w:val="26"/>
    </w:rPr>
  </w:style>
  <w:style w:type="character" w:customStyle="1" w:styleId="Heading5Char">
    <w:name w:val="Heading 5 Char"/>
    <w:basedOn w:val="DefaultParagraphFont"/>
    <w:link w:val="Heading5"/>
    <w:uiPriority w:val="9"/>
    <w:rsid w:val="00D16E8F"/>
    <w:rPr>
      <w:rFonts w:asciiTheme="majorHAnsi" w:eastAsiaTheme="majorEastAsia" w:hAnsiTheme="majorHAnsi" w:cstheme="majorBidi"/>
      <w:b/>
      <w:bCs/>
      <w:iCs/>
      <w:color w:val="495965" w:themeColor="text2"/>
      <w:szCs w:val="26"/>
    </w:rPr>
  </w:style>
  <w:style w:type="character" w:customStyle="1" w:styleId="Heading6Char">
    <w:name w:val="Heading 6 Char"/>
    <w:basedOn w:val="DefaultParagraphFont"/>
    <w:link w:val="Heading6"/>
    <w:uiPriority w:val="9"/>
    <w:rsid w:val="00D16E8F"/>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D16E8F"/>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D16E8F"/>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D16E8F"/>
    <w:rPr>
      <w:rFonts w:asciiTheme="majorHAnsi" w:eastAsiaTheme="majorEastAsia" w:hAnsiTheme="majorHAnsi" w:cstheme="majorBidi"/>
      <w:bCs/>
      <w:iCs/>
      <w:color w:val="272727" w:themeColor="text1" w:themeTint="D8"/>
      <w:sz w:val="21"/>
      <w:szCs w:val="21"/>
    </w:rPr>
  </w:style>
  <w:style w:type="paragraph" w:styleId="Caption">
    <w:name w:val="caption"/>
    <w:basedOn w:val="Normal"/>
    <w:next w:val="Normal"/>
    <w:uiPriority w:val="35"/>
    <w:unhideWhenUsed/>
    <w:qFormat/>
    <w:rsid w:val="00D16E8F"/>
    <w:pPr>
      <w:spacing w:before="240" w:after="180" w:line="240" w:lineRule="atLeast"/>
      <w:contextualSpacing/>
    </w:pPr>
    <w:rPr>
      <w:b/>
      <w:iCs/>
      <w:sz w:val="20"/>
      <w:szCs w:val="18"/>
    </w:rPr>
  </w:style>
  <w:style w:type="paragraph" w:styleId="Title">
    <w:name w:val="Title"/>
    <w:basedOn w:val="Heading1"/>
    <w:next w:val="Normal"/>
    <w:link w:val="TitleChar"/>
    <w:uiPriority w:val="10"/>
    <w:qFormat/>
    <w:rsid w:val="00D16E8F"/>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D16E8F"/>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D16E8F"/>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D16E8F"/>
    <w:rPr>
      <w:rFonts w:eastAsiaTheme="majorEastAsia" w:cstheme="majorBidi"/>
      <w:bCs/>
      <w:iCs/>
      <w:color w:val="495965" w:themeColor="text2"/>
      <w:kern w:val="28"/>
      <w:sz w:val="24"/>
      <w:szCs w:val="24"/>
    </w:rPr>
  </w:style>
  <w:style w:type="character" w:styleId="Strong">
    <w:name w:val="Strong"/>
    <w:basedOn w:val="DefaultParagraphFont"/>
    <w:uiPriority w:val="22"/>
    <w:qFormat/>
    <w:rsid w:val="00D16E8F"/>
    <w:rPr>
      <w:b/>
      <w:bCs/>
    </w:rPr>
  </w:style>
  <w:style w:type="character" w:styleId="Emphasis">
    <w:name w:val="Emphasis"/>
    <w:basedOn w:val="DefaultParagraphFont"/>
    <w:uiPriority w:val="20"/>
    <w:qFormat/>
    <w:rsid w:val="00D16E8F"/>
    <w:rPr>
      <w:i/>
      <w:iCs/>
    </w:rPr>
  </w:style>
  <w:style w:type="paragraph" w:styleId="NoSpacing">
    <w:name w:val="No Spacing"/>
    <w:link w:val="NoSpacingChar"/>
    <w:uiPriority w:val="1"/>
    <w:qFormat/>
    <w:rsid w:val="00D16E8F"/>
    <w:pPr>
      <w:suppressAutoHyphens/>
      <w:spacing w:after="0" w:line="240" w:lineRule="auto"/>
    </w:pPr>
    <w:rPr>
      <w:color w:val="495965" w:themeColor="text2"/>
      <w:sz w:val="19"/>
      <w:lang w:val="en-GB"/>
    </w:rPr>
  </w:style>
  <w:style w:type="character" w:customStyle="1" w:styleId="NoSpacingChar">
    <w:name w:val="No Spacing Char"/>
    <w:basedOn w:val="DefaultParagraphFont"/>
    <w:link w:val="NoSpacing"/>
    <w:uiPriority w:val="1"/>
    <w:rsid w:val="00D16E8F"/>
    <w:rPr>
      <w:color w:val="495965" w:themeColor="text2"/>
      <w:sz w:val="19"/>
      <w:lang w:val="en-GB"/>
    </w:rPr>
  </w:style>
  <w:style w:type="paragraph" w:styleId="ListParagraph">
    <w:name w:val="List Paragraph"/>
    <w:basedOn w:val="Normal"/>
    <w:uiPriority w:val="34"/>
    <w:qFormat/>
    <w:rsid w:val="00D16E8F"/>
    <w:pPr>
      <w:ind w:left="720"/>
      <w:contextualSpacing/>
    </w:pPr>
  </w:style>
  <w:style w:type="character" w:styleId="IntenseEmphasis">
    <w:name w:val="Intense Emphasis"/>
    <w:basedOn w:val="DefaultParagraphFont"/>
    <w:uiPriority w:val="21"/>
    <w:qFormat/>
    <w:rsid w:val="00D16E8F"/>
    <w:rPr>
      <w:b/>
      <w:i/>
      <w:iCs/>
      <w:color w:val="495965" w:themeColor="text2"/>
    </w:rPr>
  </w:style>
  <w:style w:type="paragraph" w:styleId="TOCHeading">
    <w:name w:val="TOC Heading"/>
    <w:basedOn w:val="Heading1"/>
    <w:next w:val="Normal"/>
    <w:uiPriority w:val="39"/>
    <w:unhideWhenUsed/>
    <w:qFormat/>
    <w:rsid w:val="00D16E8F"/>
    <w:pPr>
      <w:suppressAutoHyphens w:val="0"/>
      <w:contextualSpacing w:val="0"/>
      <w:outlineLvl w:val="9"/>
    </w:pPr>
    <w:rPr>
      <w:bCs w:val="0"/>
      <w:szCs w:val="32"/>
    </w:rPr>
  </w:style>
  <w:style w:type="paragraph" w:styleId="TOC3">
    <w:name w:val="toc 3"/>
    <w:basedOn w:val="Normal"/>
    <w:next w:val="Normal"/>
    <w:autoRedefine/>
    <w:uiPriority w:val="39"/>
    <w:unhideWhenUsed/>
    <w:rsid w:val="00D21A75"/>
    <w:pPr>
      <w:spacing w:after="100"/>
      <w:ind w:left="440"/>
    </w:pPr>
  </w:style>
  <w:style w:type="paragraph" w:styleId="TOC2">
    <w:name w:val="toc 2"/>
    <w:basedOn w:val="Normal"/>
    <w:next w:val="Normal"/>
    <w:autoRedefine/>
    <w:uiPriority w:val="39"/>
    <w:unhideWhenUsed/>
    <w:rsid w:val="00D21A75"/>
    <w:pPr>
      <w:spacing w:after="100"/>
      <w:ind w:left="220"/>
    </w:pPr>
  </w:style>
  <w:style w:type="character" w:styleId="Hyperlink">
    <w:name w:val="Hyperlink"/>
    <w:basedOn w:val="DefaultParagraphFont"/>
    <w:uiPriority w:val="99"/>
    <w:unhideWhenUsed/>
    <w:rsid w:val="00D21A75"/>
    <w:rPr>
      <w:color w:val="0000FF" w:themeColor="hyperlink"/>
      <w:u w:val="single"/>
    </w:rPr>
  </w:style>
  <w:style w:type="paragraph" w:styleId="TOC1">
    <w:name w:val="toc 1"/>
    <w:basedOn w:val="Normal"/>
    <w:next w:val="Normal"/>
    <w:autoRedefine/>
    <w:uiPriority w:val="39"/>
    <w:unhideWhenUsed/>
    <w:rsid w:val="00D21A75"/>
    <w:pPr>
      <w:suppressAutoHyphens w:val="0"/>
      <w:spacing w:before="0" w:after="100" w:line="259" w:lineRule="auto"/>
    </w:pPr>
    <w:rPr>
      <w:rFonts w:eastAsiaTheme="minorEastAsia" w:cs="Times New Roman"/>
      <w:color w:val="auto"/>
      <w:lang w:val="en-US"/>
    </w:rPr>
  </w:style>
  <w:style w:type="numbering" w:customStyle="1" w:styleId="NoList1">
    <w:name w:val="No List1"/>
    <w:next w:val="NoList"/>
    <w:uiPriority w:val="99"/>
    <w:semiHidden/>
    <w:unhideWhenUsed/>
    <w:rsid w:val="00B462C3"/>
  </w:style>
  <w:style w:type="paragraph" w:styleId="FootnoteText">
    <w:name w:val="footnote text"/>
    <w:basedOn w:val="Normal"/>
    <w:link w:val="FootnoteTextChar"/>
    <w:uiPriority w:val="99"/>
    <w:unhideWhenUsed/>
    <w:qFormat/>
    <w:rsid w:val="00B462C3"/>
    <w:pPr>
      <w:suppressAutoHyphens w:val="0"/>
      <w:spacing w:before="0" w:after="0" w:line="240" w:lineRule="auto"/>
    </w:pPr>
    <w:rPr>
      <w:rFonts w:eastAsia="MS Mincho"/>
      <w:color w:val="auto"/>
      <w:sz w:val="24"/>
      <w:szCs w:val="24"/>
      <w:lang w:val="en-US"/>
    </w:rPr>
  </w:style>
  <w:style w:type="character" w:customStyle="1" w:styleId="FootnoteTextChar">
    <w:name w:val="Footnote Text Char"/>
    <w:basedOn w:val="DefaultParagraphFont"/>
    <w:link w:val="FootnoteText"/>
    <w:uiPriority w:val="99"/>
    <w:rsid w:val="00B462C3"/>
    <w:rPr>
      <w:rFonts w:eastAsia="MS Mincho"/>
      <w:sz w:val="24"/>
      <w:szCs w:val="24"/>
      <w:lang w:val="en-US"/>
    </w:rPr>
  </w:style>
  <w:style w:type="character" w:styleId="FootnoteReference">
    <w:name w:val="footnote reference"/>
    <w:aliases w:val="referencia nota al pie,Referencia nota al pie,BVI fnr,BVI fnr Car Car,BVI fnr Car,BVI fnr Car Car Car Car,4_G,BVI fnr Char Char Char Char Char Char Char Char Char Char,ftref"/>
    <w:basedOn w:val="DefaultParagraphFont"/>
    <w:link w:val="BVIfnrCharCharCharCharCharCharCharCharChar"/>
    <w:uiPriority w:val="99"/>
    <w:unhideWhenUsed/>
    <w:rsid w:val="00B462C3"/>
    <w:rPr>
      <w:vertAlign w:val="superscript"/>
    </w:rPr>
  </w:style>
  <w:style w:type="paragraph" w:styleId="NormalWeb">
    <w:name w:val="Normal (Web)"/>
    <w:basedOn w:val="Normal"/>
    <w:uiPriority w:val="99"/>
    <w:unhideWhenUsed/>
    <w:rsid w:val="00B462C3"/>
    <w:pPr>
      <w:suppressAutoHyphens w:val="0"/>
      <w:spacing w:before="100" w:beforeAutospacing="1" w:after="100" w:afterAutospacing="1" w:line="240" w:lineRule="auto"/>
    </w:pPr>
    <w:rPr>
      <w:rFonts w:ascii="Times New Roman" w:eastAsia="MS Mincho" w:hAnsi="Times New Roman" w:cs="Times New Roman"/>
      <w:color w:val="auto"/>
      <w:sz w:val="20"/>
      <w:szCs w:val="20"/>
      <w:lang w:val="en-AU"/>
    </w:rPr>
  </w:style>
  <w:style w:type="character" w:customStyle="1" w:styleId="apple-converted-space">
    <w:name w:val="apple-converted-space"/>
    <w:basedOn w:val="DefaultParagraphFont"/>
    <w:rsid w:val="00B462C3"/>
  </w:style>
  <w:style w:type="character" w:styleId="CommentReference">
    <w:name w:val="annotation reference"/>
    <w:basedOn w:val="DefaultParagraphFont"/>
    <w:uiPriority w:val="99"/>
    <w:semiHidden/>
    <w:unhideWhenUsed/>
    <w:rsid w:val="00B462C3"/>
    <w:rPr>
      <w:sz w:val="18"/>
      <w:szCs w:val="18"/>
    </w:rPr>
  </w:style>
  <w:style w:type="paragraph" w:styleId="CommentText">
    <w:name w:val="annotation text"/>
    <w:basedOn w:val="Normal"/>
    <w:link w:val="CommentTextChar"/>
    <w:uiPriority w:val="99"/>
    <w:unhideWhenUsed/>
    <w:rsid w:val="00B462C3"/>
    <w:pPr>
      <w:suppressAutoHyphens w:val="0"/>
      <w:spacing w:before="0" w:after="0" w:line="240" w:lineRule="auto"/>
    </w:pPr>
    <w:rPr>
      <w:rFonts w:eastAsia="MS Mincho"/>
      <w:color w:val="auto"/>
      <w:sz w:val="24"/>
      <w:szCs w:val="24"/>
      <w:lang w:val="en-US"/>
    </w:rPr>
  </w:style>
  <w:style w:type="character" w:customStyle="1" w:styleId="CommentTextChar">
    <w:name w:val="Comment Text Char"/>
    <w:basedOn w:val="DefaultParagraphFont"/>
    <w:link w:val="CommentText"/>
    <w:uiPriority w:val="99"/>
    <w:rsid w:val="00B462C3"/>
    <w:rPr>
      <w:rFonts w:eastAsia="MS Mincho"/>
      <w:sz w:val="24"/>
      <w:szCs w:val="24"/>
      <w:lang w:val="en-US"/>
    </w:rPr>
  </w:style>
  <w:style w:type="paragraph" w:styleId="CommentSubject">
    <w:name w:val="annotation subject"/>
    <w:basedOn w:val="CommentText"/>
    <w:next w:val="CommentText"/>
    <w:link w:val="CommentSubjectChar"/>
    <w:uiPriority w:val="99"/>
    <w:semiHidden/>
    <w:unhideWhenUsed/>
    <w:rsid w:val="00B462C3"/>
    <w:rPr>
      <w:b/>
      <w:bCs/>
      <w:sz w:val="20"/>
      <w:szCs w:val="20"/>
    </w:rPr>
  </w:style>
  <w:style w:type="character" w:customStyle="1" w:styleId="CommentSubjectChar">
    <w:name w:val="Comment Subject Char"/>
    <w:basedOn w:val="CommentTextChar"/>
    <w:link w:val="CommentSubject"/>
    <w:uiPriority w:val="99"/>
    <w:semiHidden/>
    <w:rsid w:val="00B462C3"/>
    <w:rPr>
      <w:rFonts w:eastAsia="MS Mincho"/>
      <w:b/>
      <w:bCs/>
      <w:sz w:val="20"/>
      <w:szCs w:val="20"/>
      <w:lang w:val="en-US"/>
    </w:rPr>
  </w:style>
  <w:style w:type="paragraph" w:styleId="BalloonText">
    <w:name w:val="Balloon Text"/>
    <w:basedOn w:val="Normal"/>
    <w:link w:val="BalloonTextChar"/>
    <w:uiPriority w:val="99"/>
    <w:semiHidden/>
    <w:unhideWhenUsed/>
    <w:rsid w:val="00B462C3"/>
    <w:pPr>
      <w:suppressAutoHyphens w:val="0"/>
      <w:spacing w:before="0" w:after="0" w:line="240" w:lineRule="auto"/>
    </w:pPr>
    <w:rPr>
      <w:rFonts w:ascii="Lucida Grande" w:eastAsia="MS Mincho" w:hAnsi="Lucida Grande" w:cs="Lucida Grande"/>
      <w:color w:val="auto"/>
      <w:sz w:val="18"/>
      <w:szCs w:val="18"/>
      <w:lang w:val="en-US"/>
    </w:rPr>
  </w:style>
  <w:style w:type="character" w:customStyle="1" w:styleId="BalloonTextChar">
    <w:name w:val="Balloon Text Char"/>
    <w:basedOn w:val="DefaultParagraphFont"/>
    <w:link w:val="BalloonText"/>
    <w:uiPriority w:val="99"/>
    <w:semiHidden/>
    <w:rsid w:val="00B462C3"/>
    <w:rPr>
      <w:rFonts w:ascii="Lucida Grande" w:eastAsia="MS Mincho" w:hAnsi="Lucida Grande" w:cs="Lucida Grande"/>
      <w:sz w:val="18"/>
      <w:szCs w:val="18"/>
      <w:lang w:val="en-US"/>
    </w:rPr>
  </w:style>
  <w:style w:type="character" w:styleId="HTMLAcronym">
    <w:name w:val="HTML Acronym"/>
    <w:basedOn w:val="DefaultParagraphFont"/>
    <w:uiPriority w:val="99"/>
    <w:semiHidden/>
    <w:unhideWhenUsed/>
    <w:rsid w:val="00B462C3"/>
  </w:style>
  <w:style w:type="paragraph" w:styleId="TOC4">
    <w:name w:val="toc 4"/>
    <w:basedOn w:val="Normal"/>
    <w:next w:val="Normal"/>
    <w:autoRedefine/>
    <w:uiPriority w:val="39"/>
    <w:unhideWhenUsed/>
    <w:rsid w:val="00B462C3"/>
    <w:pPr>
      <w:pBdr>
        <w:between w:val="double" w:sz="6" w:space="0" w:color="auto"/>
      </w:pBdr>
      <w:suppressAutoHyphens w:val="0"/>
      <w:spacing w:before="0" w:after="0" w:line="240" w:lineRule="auto"/>
      <w:ind w:left="480"/>
    </w:pPr>
    <w:rPr>
      <w:rFonts w:eastAsia="MS Mincho"/>
      <w:color w:val="auto"/>
      <w:sz w:val="20"/>
      <w:szCs w:val="20"/>
      <w:lang w:val="en-US"/>
    </w:rPr>
  </w:style>
  <w:style w:type="paragraph" w:styleId="TOC5">
    <w:name w:val="toc 5"/>
    <w:basedOn w:val="Normal"/>
    <w:next w:val="Normal"/>
    <w:autoRedefine/>
    <w:uiPriority w:val="39"/>
    <w:unhideWhenUsed/>
    <w:rsid w:val="00B462C3"/>
    <w:pPr>
      <w:pBdr>
        <w:between w:val="double" w:sz="6" w:space="0" w:color="auto"/>
      </w:pBdr>
      <w:suppressAutoHyphens w:val="0"/>
      <w:spacing w:before="0" w:after="0" w:line="240" w:lineRule="auto"/>
      <w:ind w:left="720"/>
    </w:pPr>
    <w:rPr>
      <w:rFonts w:eastAsia="MS Mincho"/>
      <w:color w:val="auto"/>
      <w:sz w:val="20"/>
      <w:szCs w:val="20"/>
      <w:lang w:val="en-US"/>
    </w:rPr>
  </w:style>
  <w:style w:type="paragraph" w:styleId="TOC6">
    <w:name w:val="toc 6"/>
    <w:basedOn w:val="Normal"/>
    <w:next w:val="Normal"/>
    <w:autoRedefine/>
    <w:uiPriority w:val="39"/>
    <w:unhideWhenUsed/>
    <w:rsid w:val="00B462C3"/>
    <w:pPr>
      <w:pBdr>
        <w:between w:val="double" w:sz="6" w:space="0" w:color="auto"/>
      </w:pBdr>
      <w:suppressAutoHyphens w:val="0"/>
      <w:spacing w:before="0" w:after="0" w:line="240" w:lineRule="auto"/>
      <w:ind w:left="960"/>
    </w:pPr>
    <w:rPr>
      <w:rFonts w:eastAsia="MS Mincho"/>
      <w:color w:val="auto"/>
      <w:sz w:val="20"/>
      <w:szCs w:val="20"/>
      <w:lang w:val="en-US"/>
    </w:rPr>
  </w:style>
  <w:style w:type="paragraph" w:styleId="TOC7">
    <w:name w:val="toc 7"/>
    <w:basedOn w:val="Normal"/>
    <w:next w:val="Normal"/>
    <w:autoRedefine/>
    <w:uiPriority w:val="39"/>
    <w:unhideWhenUsed/>
    <w:rsid w:val="00B462C3"/>
    <w:pPr>
      <w:pBdr>
        <w:between w:val="double" w:sz="6" w:space="0" w:color="auto"/>
      </w:pBdr>
      <w:suppressAutoHyphens w:val="0"/>
      <w:spacing w:before="0" w:after="0" w:line="240" w:lineRule="auto"/>
      <w:ind w:left="1200"/>
    </w:pPr>
    <w:rPr>
      <w:rFonts w:eastAsia="MS Mincho"/>
      <w:color w:val="auto"/>
      <w:sz w:val="20"/>
      <w:szCs w:val="20"/>
      <w:lang w:val="en-US"/>
    </w:rPr>
  </w:style>
  <w:style w:type="paragraph" w:styleId="TOC8">
    <w:name w:val="toc 8"/>
    <w:basedOn w:val="Normal"/>
    <w:next w:val="Normal"/>
    <w:autoRedefine/>
    <w:uiPriority w:val="39"/>
    <w:unhideWhenUsed/>
    <w:rsid w:val="00B462C3"/>
    <w:pPr>
      <w:pBdr>
        <w:between w:val="double" w:sz="6" w:space="0" w:color="auto"/>
      </w:pBdr>
      <w:suppressAutoHyphens w:val="0"/>
      <w:spacing w:before="0" w:after="0" w:line="240" w:lineRule="auto"/>
      <w:ind w:left="1440"/>
    </w:pPr>
    <w:rPr>
      <w:rFonts w:eastAsia="MS Mincho"/>
      <w:color w:val="auto"/>
      <w:sz w:val="20"/>
      <w:szCs w:val="20"/>
      <w:lang w:val="en-US"/>
    </w:rPr>
  </w:style>
  <w:style w:type="paragraph" w:styleId="TOC9">
    <w:name w:val="toc 9"/>
    <w:basedOn w:val="Normal"/>
    <w:next w:val="Normal"/>
    <w:autoRedefine/>
    <w:uiPriority w:val="39"/>
    <w:unhideWhenUsed/>
    <w:rsid w:val="00B462C3"/>
    <w:pPr>
      <w:pBdr>
        <w:between w:val="double" w:sz="6" w:space="0" w:color="auto"/>
      </w:pBdr>
      <w:suppressAutoHyphens w:val="0"/>
      <w:spacing w:before="0" w:after="0" w:line="240" w:lineRule="auto"/>
      <w:ind w:left="1680"/>
    </w:pPr>
    <w:rPr>
      <w:rFonts w:eastAsia="MS Mincho"/>
      <w:color w:val="auto"/>
      <w:sz w:val="20"/>
      <w:szCs w:val="20"/>
      <w:lang w:val="en-US"/>
    </w:rPr>
  </w:style>
  <w:style w:type="character" w:styleId="PageNumber">
    <w:name w:val="page number"/>
    <w:rsid w:val="00B462C3"/>
  </w:style>
  <w:style w:type="paragraph" w:customStyle="1" w:styleId="Body">
    <w:name w:val="Body"/>
    <w:rsid w:val="00B462C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rPr>
  </w:style>
  <w:style w:type="paragraph" w:customStyle="1" w:styleId="SingleTxt">
    <w:name w:val="__Single Txt"/>
    <w:basedOn w:val="Normal"/>
    <w:qFormat/>
    <w:rsid w:val="00B462C3"/>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120" w:line="240" w:lineRule="atLeast"/>
      <w:ind w:left="1267" w:right="1267"/>
      <w:jc w:val="both"/>
    </w:pPr>
    <w:rPr>
      <w:rFonts w:ascii="Times New Roman" w:hAnsi="Times New Roman" w:cs="Times New Roman"/>
      <w:color w:val="auto"/>
      <w:spacing w:val="4"/>
      <w:w w:val="103"/>
      <w:kern w:val="14"/>
      <w:sz w:val="20"/>
      <w:szCs w:val="20"/>
    </w:rPr>
  </w:style>
  <w:style w:type="paragraph" w:customStyle="1" w:styleId="H1">
    <w:name w:val="_ H_1"/>
    <w:basedOn w:val="Normal"/>
    <w:next w:val="SingleTxt"/>
    <w:qFormat/>
    <w:rsid w:val="00B462C3"/>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before="0" w:after="0" w:line="270" w:lineRule="exact"/>
      <w:ind w:left="1267" w:right="1267" w:hanging="1267"/>
      <w:outlineLvl w:val="0"/>
    </w:pPr>
    <w:rPr>
      <w:rFonts w:ascii="Times New Roman" w:hAnsi="Times New Roman" w:cs="Times New Roman"/>
      <w:b/>
      <w:color w:val="auto"/>
      <w:spacing w:val="4"/>
      <w:w w:val="103"/>
      <w:kern w:val="14"/>
      <w:sz w:val="24"/>
      <w:szCs w:val="20"/>
    </w:rPr>
  </w:style>
  <w:style w:type="paragraph" w:customStyle="1" w:styleId="HCh">
    <w:name w:val="_ H _Ch"/>
    <w:basedOn w:val="H1"/>
    <w:next w:val="SingleTxt"/>
    <w:qFormat/>
    <w:rsid w:val="00B462C3"/>
  </w:style>
  <w:style w:type="character" w:customStyle="1" w:styleId="FollowedHyperlink1">
    <w:name w:val="FollowedHyperlink1"/>
    <w:basedOn w:val="DefaultParagraphFont"/>
    <w:uiPriority w:val="99"/>
    <w:semiHidden/>
    <w:unhideWhenUsed/>
    <w:rsid w:val="00B462C3"/>
    <w:rPr>
      <w:color w:val="800080"/>
      <w:u w:val="single"/>
    </w:rPr>
  </w:style>
  <w:style w:type="paragraph" w:styleId="Revision">
    <w:name w:val="Revision"/>
    <w:hidden/>
    <w:uiPriority w:val="99"/>
    <w:semiHidden/>
    <w:rsid w:val="00B462C3"/>
    <w:pPr>
      <w:spacing w:after="0" w:line="240" w:lineRule="auto"/>
    </w:pPr>
    <w:rPr>
      <w:rFonts w:eastAsia="MS Mincho"/>
      <w:sz w:val="24"/>
      <w:szCs w:val="24"/>
      <w:lang w:val="en-US"/>
    </w:rPr>
  </w:style>
  <w:style w:type="paragraph" w:customStyle="1" w:styleId="aolmailmsolistparagraph">
    <w:name w:val="aolmail_msolistparagraph"/>
    <w:basedOn w:val="Normal"/>
    <w:rsid w:val="00B462C3"/>
    <w:pPr>
      <w:suppressAutoHyphens w:val="0"/>
      <w:spacing w:before="100" w:beforeAutospacing="1" w:after="100" w:afterAutospacing="1" w:line="240" w:lineRule="auto"/>
    </w:pPr>
    <w:rPr>
      <w:rFonts w:ascii="Times New Roman" w:eastAsia="MS Mincho" w:hAnsi="Times New Roman" w:cs="Times New Roman"/>
      <w:color w:val="auto"/>
      <w:sz w:val="20"/>
      <w:szCs w:val="20"/>
      <w:lang w:val="en-AU"/>
    </w:rPr>
  </w:style>
  <w:style w:type="paragraph" w:customStyle="1" w:styleId="BVIfnrCharCharCharCharCharCharCharCharChar">
    <w:name w:val="BVI fnr Char Char Char Char Char Char Char Char Char"/>
    <w:aliases w:val="BVI fnr Car Car Char Char Char Char Char Char Char Char Char,BVI fnr Car Char Char Char Char Char Char Char Char Char Char"/>
    <w:basedOn w:val="Normal"/>
    <w:link w:val="FootnoteReference"/>
    <w:uiPriority w:val="99"/>
    <w:rsid w:val="00B462C3"/>
    <w:pPr>
      <w:suppressAutoHyphens w:val="0"/>
      <w:spacing w:before="0" w:after="160" w:line="240" w:lineRule="exact"/>
    </w:pPr>
    <w:rPr>
      <w:color w:val="auto"/>
      <w:vertAlign w:val="superscript"/>
      <w:lang w:val="en-AU"/>
    </w:rPr>
  </w:style>
  <w:style w:type="table" w:styleId="TableGrid">
    <w:name w:val="Table Grid"/>
    <w:basedOn w:val="TableNormal"/>
    <w:uiPriority w:val="39"/>
    <w:rsid w:val="00B462C3"/>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s">
    <w:name w:val="Recommendations"/>
    <w:basedOn w:val="ListParagraph"/>
    <w:qFormat/>
    <w:rsid w:val="00B462C3"/>
    <w:pPr>
      <w:numPr>
        <w:numId w:val="6"/>
      </w:numPr>
      <w:shd w:val="clear" w:color="auto" w:fill="C2D69B"/>
      <w:tabs>
        <w:tab w:val="num" w:pos="284"/>
      </w:tabs>
      <w:suppressAutoHyphens w:val="0"/>
      <w:spacing w:before="0" w:after="0" w:line="240" w:lineRule="auto"/>
      <w:ind w:left="284" w:hanging="284"/>
    </w:pPr>
    <w:rPr>
      <w:rFonts w:ascii="Calibri" w:eastAsia="MS Mincho" w:hAnsi="Calibri"/>
      <w:b/>
      <w:color w:val="000000"/>
      <w:lang w:val="en-US"/>
    </w:rPr>
  </w:style>
  <w:style w:type="paragraph" w:customStyle="1" w:styleId="Recommendation">
    <w:name w:val="Recommendation"/>
    <w:basedOn w:val="Normal"/>
    <w:rsid w:val="00B462C3"/>
    <w:pPr>
      <w:numPr>
        <w:numId w:val="7"/>
      </w:numPr>
      <w:pBdr>
        <w:top w:val="single" w:sz="12" w:space="12" w:color="FFFFFF"/>
        <w:left w:val="single" w:sz="6" w:space="12" w:color="FFFFFF"/>
        <w:bottom w:val="single" w:sz="6" w:space="12" w:color="FFFFFF"/>
        <w:right w:val="single" w:sz="6" w:space="12" w:color="FFFFFF"/>
      </w:pBdr>
      <w:shd w:val="pct20" w:color="auto" w:fill="auto"/>
      <w:suppressAutoHyphens w:val="0"/>
      <w:spacing w:before="0" w:after="240" w:line="220" w:lineRule="atLeast"/>
      <w:ind w:right="240"/>
      <w:jc w:val="both"/>
    </w:pPr>
    <w:rPr>
      <w:rFonts w:ascii="Arial Narrow" w:eastAsia="Times New Roman" w:hAnsi="Arial Narrow" w:cs="Times New Roman"/>
      <w:color w:val="auto"/>
      <w:spacing w:val="-5"/>
      <w:sz w:val="20"/>
      <w:szCs w:val="20"/>
    </w:rPr>
  </w:style>
  <w:style w:type="paragraph" w:customStyle="1" w:styleId="TableofRecommendations1">
    <w:name w:val="Table of Recommendations1"/>
    <w:basedOn w:val="Normal"/>
    <w:next w:val="Normal"/>
    <w:uiPriority w:val="99"/>
    <w:unhideWhenUsed/>
    <w:rsid w:val="00B462C3"/>
    <w:pPr>
      <w:suppressAutoHyphens w:val="0"/>
      <w:spacing w:before="0" w:after="0" w:line="240" w:lineRule="auto"/>
    </w:pPr>
    <w:rPr>
      <w:rFonts w:ascii="Calibri" w:eastAsia="MS Mincho" w:hAnsi="Calibri"/>
      <w:iCs/>
      <w:color w:val="auto"/>
      <w:szCs w:val="20"/>
      <w:lang w:val="en-US"/>
    </w:rPr>
  </w:style>
  <w:style w:type="paragraph" w:styleId="DocumentMap">
    <w:name w:val="Document Map"/>
    <w:basedOn w:val="Normal"/>
    <w:link w:val="DocumentMapChar"/>
    <w:uiPriority w:val="99"/>
    <w:semiHidden/>
    <w:unhideWhenUsed/>
    <w:rsid w:val="00B462C3"/>
    <w:pPr>
      <w:suppressAutoHyphens w:val="0"/>
      <w:spacing w:before="0" w:after="0" w:line="240" w:lineRule="auto"/>
    </w:pPr>
    <w:rPr>
      <w:rFonts w:ascii="Times New Roman" w:eastAsia="MS Mincho" w:hAnsi="Times New Roman" w:cs="Times New Roman"/>
      <w:color w:val="auto"/>
      <w:sz w:val="24"/>
      <w:szCs w:val="24"/>
      <w:lang w:val="en-US"/>
    </w:rPr>
  </w:style>
  <w:style w:type="character" w:customStyle="1" w:styleId="DocumentMapChar">
    <w:name w:val="Document Map Char"/>
    <w:basedOn w:val="DefaultParagraphFont"/>
    <w:link w:val="DocumentMap"/>
    <w:uiPriority w:val="99"/>
    <w:semiHidden/>
    <w:rsid w:val="00B462C3"/>
    <w:rPr>
      <w:rFonts w:ascii="Times New Roman" w:eastAsia="MS Mincho" w:hAnsi="Times New Roman" w:cs="Times New Roman"/>
      <w:sz w:val="24"/>
      <w:szCs w:val="24"/>
      <w:lang w:val="en-US"/>
    </w:rPr>
  </w:style>
  <w:style w:type="paragraph" w:customStyle="1" w:styleId="BodyA">
    <w:name w:val="Body A"/>
    <w:rsid w:val="00B462C3"/>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AU"/>
    </w:rPr>
  </w:style>
  <w:style w:type="character" w:customStyle="1" w:styleId="Hyperlink1">
    <w:name w:val="Hyperlink.1"/>
    <w:basedOn w:val="DefaultParagraphFont"/>
    <w:rsid w:val="00B462C3"/>
    <w:rPr>
      <w:u w:val="single" w:color="FF0000"/>
    </w:rPr>
  </w:style>
  <w:style w:type="character" w:customStyle="1" w:styleId="Hyperlink2">
    <w:name w:val="Hyperlink.2"/>
    <w:basedOn w:val="DefaultParagraphFont"/>
    <w:rsid w:val="00B462C3"/>
    <w:rPr>
      <w:u w:val="single" w:color="FF0000"/>
    </w:rPr>
  </w:style>
  <w:style w:type="character" w:customStyle="1" w:styleId="Hyperlink3">
    <w:name w:val="Hyperlink.3"/>
    <w:basedOn w:val="DefaultParagraphFont"/>
    <w:rsid w:val="00B462C3"/>
    <w:rPr>
      <w:u w:val="single" w:color="FF0000"/>
    </w:rPr>
  </w:style>
  <w:style w:type="character" w:customStyle="1" w:styleId="Hyperlink4">
    <w:name w:val="Hyperlink.4"/>
    <w:basedOn w:val="DefaultParagraphFont"/>
    <w:rsid w:val="00B462C3"/>
    <w:rPr>
      <w:u w:val="single" w:color="0000FF"/>
      <w:shd w:val="clear" w:color="auto" w:fill="FFFFFF"/>
    </w:rPr>
  </w:style>
  <w:style w:type="character" w:styleId="FollowedHyperlink">
    <w:name w:val="FollowedHyperlink"/>
    <w:basedOn w:val="DefaultParagraphFont"/>
    <w:uiPriority w:val="99"/>
    <w:semiHidden/>
    <w:unhideWhenUsed/>
    <w:rsid w:val="00B462C3"/>
    <w:rPr>
      <w:color w:val="800080" w:themeColor="followedHyperlink"/>
      <w:u w:val="single"/>
    </w:rPr>
  </w:style>
  <w:style w:type="paragraph" w:styleId="EndnoteText">
    <w:name w:val="endnote text"/>
    <w:basedOn w:val="Normal"/>
    <w:link w:val="EndnoteTextChar"/>
    <w:uiPriority w:val="99"/>
    <w:semiHidden/>
    <w:unhideWhenUsed/>
    <w:rsid w:val="00197AB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97ABE"/>
    <w:rPr>
      <w:color w:val="495965" w:themeColor="text2"/>
      <w:sz w:val="20"/>
      <w:szCs w:val="20"/>
      <w:lang w:val="en-GB"/>
    </w:rPr>
  </w:style>
  <w:style w:type="character" w:styleId="EndnoteReference">
    <w:name w:val="endnote reference"/>
    <w:basedOn w:val="DefaultParagraphFont"/>
    <w:uiPriority w:val="99"/>
    <w:semiHidden/>
    <w:unhideWhenUsed/>
    <w:rsid w:val="00197ABE"/>
    <w:rPr>
      <w:vertAlign w:val="superscript"/>
    </w:rPr>
  </w:style>
  <w:style w:type="paragraph" w:customStyle="1" w:styleId="Head2">
    <w:name w:val="Head2"/>
    <w:qFormat/>
    <w:rsid w:val="00A25FA2"/>
    <w:pPr>
      <w:spacing w:after="200" w:line="276" w:lineRule="auto"/>
    </w:pPr>
    <w:rPr>
      <w:rFonts w:eastAsia="MS Mincho"/>
      <w:b/>
      <w:color w:val="873243"/>
      <w:sz w:val="32"/>
    </w:rPr>
  </w:style>
  <w:style w:type="table" w:styleId="PlainTable3">
    <w:name w:val="Plain Table 3"/>
    <w:basedOn w:val="TableNormal"/>
    <w:uiPriority w:val="43"/>
    <w:rsid w:val="007234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828648">
      <w:bodyDiv w:val="1"/>
      <w:marLeft w:val="0"/>
      <w:marRight w:val="0"/>
      <w:marTop w:val="0"/>
      <w:marBottom w:val="0"/>
      <w:divBdr>
        <w:top w:val="none" w:sz="0" w:space="0" w:color="auto"/>
        <w:left w:val="none" w:sz="0" w:space="0" w:color="auto"/>
        <w:bottom w:val="none" w:sz="0" w:space="0" w:color="auto"/>
        <w:right w:val="none" w:sz="0" w:space="0" w:color="auto"/>
      </w:divBdr>
      <w:divsChild>
        <w:div w:id="190803946">
          <w:marLeft w:val="0"/>
          <w:marRight w:val="0"/>
          <w:marTop w:val="0"/>
          <w:marBottom w:val="0"/>
          <w:divBdr>
            <w:top w:val="none" w:sz="0" w:space="0" w:color="auto"/>
            <w:left w:val="none" w:sz="0" w:space="0" w:color="auto"/>
            <w:bottom w:val="none" w:sz="0" w:space="0" w:color="auto"/>
            <w:right w:val="none" w:sz="0" w:space="0" w:color="auto"/>
          </w:divBdr>
          <w:divsChild>
            <w:div w:id="164561857">
              <w:marLeft w:val="0"/>
              <w:marRight w:val="0"/>
              <w:marTop w:val="450"/>
              <w:marBottom w:val="0"/>
              <w:divBdr>
                <w:top w:val="none" w:sz="0" w:space="0" w:color="auto"/>
                <w:left w:val="none" w:sz="0" w:space="0" w:color="auto"/>
                <w:bottom w:val="none" w:sz="0" w:space="0" w:color="auto"/>
                <w:right w:val="none" w:sz="0" w:space="0" w:color="auto"/>
              </w:divBdr>
              <w:divsChild>
                <w:div w:id="1494754976">
                  <w:marLeft w:val="150"/>
                  <w:marRight w:val="150"/>
                  <w:marTop w:val="0"/>
                  <w:marBottom w:val="0"/>
                  <w:divBdr>
                    <w:top w:val="none" w:sz="0" w:space="0" w:color="auto"/>
                    <w:left w:val="none" w:sz="0" w:space="0" w:color="auto"/>
                    <w:bottom w:val="none" w:sz="0" w:space="0" w:color="auto"/>
                    <w:right w:val="none" w:sz="0" w:space="0" w:color="auto"/>
                  </w:divBdr>
                </w:div>
                <w:div w:id="1285231057">
                  <w:marLeft w:val="0"/>
                  <w:marRight w:val="0"/>
                  <w:marTop w:val="0"/>
                  <w:marBottom w:val="0"/>
                  <w:divBdr>
                    <w:top w:val="single" w:sz="6" w:space="0" w:color="031A29"/>
                    <w:left w:val="single" w:sz="6" w:space="0" w:color="031A29"/>
                    <w:bottom w:val="single" w:sz="6" w:space="0" w:color="0B4369"/>
                    <w:right w:val="single" w:sz="6" w:space="0" w:color="0B4369"/>
                  </w:divBdr>
                </w:div>
              </w:divsChild>
            </w:div>
          </w:divsChild>
        </w:div>
        <w:div w:id="797720412">
          <w:marLeft w:val="0"/>
          <w:marRight w:val="0"/>
          <w:marTop w:val="0"/>
          <w:marBottom w:val="0"/>
          <w:divBdr>
            <w:top w:val="none" w:sz="0" w:space="0" w:color="auto"/>
            <w:left w:val="none" w:sz="0" w:space="0" w:color="auto"/>
            <w:bottom w:val="none" w:sz="0" w:space="0" w:color="auto"/>
            <w:right w:val="none" w:sz="0" w:space="0" w:color="auto"/>
          </w:divBdr>
          <w:divsChild>
            <w:div w:id="1088035397">
              <w:marLeft w:val="0"/>
              <w:marRight w:val="0"/>
              <w:marTop w:val="0"/>
              <w:marBottom w:val="45"/>
              <w:divBdr>
                <w:top w:val="none" w:sz="0" w:space="0" w:color="auto"/>
                <w:left w:val="single" w:sz="6" w:space="0" w:color="D6D7D9"/>
                <w:bottom w:val="none" w:sz="0" w:space="0" w:color="auto"/>
                <w:right w:val="none" w:sz="0" w:space="0" w:color="auto"/>
              </w:divBdr>
            </w:div>
            <w:div w:id="357512354">
              <w:marLeft w:val="0"/>
              <w:marRight w:val="0"/>
              <w:marTop w:val="0"/>
              <w:marBottom w:val="0"/>
              <w:divBdr>
                <w:top w:val="none" w:sz="0" w:space="0" w:color="auto"/>
                <w:left w:val="none" w:sz="0" w:space="0" w:color="auto"/>
                <w:bottom w:val="none" w:sz="0" w:space="0" w:color="auto"/>
                <w:right w:val="none" w:sz="0" w:space="0" w:color="auto"/>
              </w:divBdr>
              <w:divsChild>
                <w:div w:id="1221746058">
                  <w:marLeft w:val="0"/>
                  <w:marRight w:val="0"/>
                  <w:marTop w:val="0"/>
                  <w:marBottom w:val="0"/>
                  <w:divBdr>
                    <w:top w:val="none" w:sz="0" w:space="0" w:color="auto"/>
                    <w:left w:val="none" w:sz="0" w:space="0" w:color="auto"/>
                    <w:bottom w:val="none" w:sz="0" w:space="0" w:color="auto"/>
                    <w:right w:val="none" w:sz="0" w:space="0" w:color="auto"/>
                  </w:divBdr>
                  <w:divsChild>
                    <w:div w:id="455834668">
                      <w:marLeft w:val="0"/>
                      <w:marRight w:val="0"/>
                      <w:marTop w:val="0"/>
                      <w:marBottom w:val="0"/>
                      <w:divBdr>
                        <w:top w:val="none" w:sz="0" w:space="0" w:color="auto"/>
                        <w:left w:val="none" w:sz="0" w:space="0" w:color="auto"/>
                        <w:bottom w:val="none" w:sz="0" w:space="0" w:color="auto"/>
                        <w:right w:val="none" w:sz="0" w:space="0" w:color="auto"/>
                      </w:divBdr>
                      <w:divsChild>
                        <w:div w:id="169492079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1318269343">
          <w:marLeft w:val="0"/>
          <w:marRight w:val="0"/>
          <w:marTop w:val="0"/>
          <w:marBottom w:val="0"/>
          <w:divBdr>
            <w:top w:val="none" w:sz="0" w:space="0" w:color="auto"/>
            <w:left w:val="none" w:sz="0" w:space="0" w:color="auto"/>
            <w:bottom w:val="none" w:sz="0" w:space="0" w:color="auto"/>
            <w:right w:val="none" w:sz="0" w:space="0" w:color="auto"/>
          </w:divBdr>
          <w:divsChild>
            <w:div w:id="1423716971">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 w:id="138618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at.gov.au/childprotection" TargetMode="External"/><Relationship Id="rId18" Type="http://schemas.openxmlformats.org/officeDocument/2006/relationships/hyperlink" Target="mailto:seah.reports@dfat.gov.a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cid:image001.png@01D4DFE9.ECAC0EE0" TargetMode="External"/><Relationship Id="rId17" Type="http://schemas.openxmlformats.org/officeDocument/2006/relationships/hyperlink" Target="http://www.dfat.gov.au/pseah"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fat.gov.au/pseah" TargetMode="External"/><Relationship Id="rId20" Type="http://schemas.openxmlformats.org/officeDocument/2006/relationships/header" Target="header1.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ah.reports@dfat.gov.a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dfat.gov.au/childprotection" TargetMode="External"/><Relationship Id="rId19" Type="http://schemas.openxmlformats.org/officeDocument/2006/relationships/hyperlink" Target="http://www.dfat.gov.au/pseah" TargetMode="Externa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dfat.gov.au/childprotection" TargetMode="External"/><Relationship Id="rId14" Type="http://schemas.openxmlformats.org/officeDocument/2006/relationships/hyperlink" Target="http://www.dfat.gov.au/pseah" TargetMode="External"/><Relationship Id="rId22" Type="http://schemas.openxmlformats.org/officeDocument/2006/relationships/footer" Target="footer1.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endvawnow.org/en/articles/652-survivor-centred-approach.html" TargetMode="External"/><Relationship Id="rId1" Type="http://schemas.openxmlformats.org/officeDocument/2006/relationships/hyperlink" Target="https://www.dca.org.au/research/project/inclusion-inde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A5D47913BF846A73E8E556C7459ED" ma:contentTypeVersion="1" ma:contentTypeDescription="Create a new document." ma:contentTypeScope="" ma:versionID="a339a0e8d63111da40bf4050c67d356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82421-16A8-4E2C-B6A4-B010B9A8F17E}"/>
</file>

<file path=customXml/itemProps2.xml><?xml version="1.0" encoding="utf-8"?>
<ds:datastoreItem xmlns:ds="http://schemas.openxmlformats.org/officeDocument/2006/customXml" ds:itemID="{85B10869-EEE9-4439-BA38-5CF9D41E535C}"/>
</file>

<file path=customXml/itemProps3.xml><?xml version="1.0" encoding="utf-8"?>
<ds:datastoreItem xmlns:ds="http://schemas.openxmlformats.org/officeDocument/2006/customXml" ds:itemID="{7510177A-F1A2-4E1F-8CDF-4ADEC92E0EC5}"/>
</file>

<file path=customXml/itemProps4.xml><?xml version="1.0" encoding="utf-8"?>
<ds:datastoreItem xmlns:ds="http://schemas.openxmlformats.org/officeDocument/2006/customXml" ds:itemID="{25C9806E-677A-40BD-BD7F-D696CDFE179C}"/>
</file>

<file path=docProps/app.xml><?xml version="1.0" encoding="utf-8"?>
<Properties xmlns="http://schemas.openxmlformats.org/officeDocument/2006/extended-properties" xmlns:vt="http://schemas.openxmlformats.org/officeDocument/2006/docPropsVTypes">
  <Template>Normal.dotm</Template>
  <TotalTime>0</TotalTime>
  <Pages>15</Pages>
  <Words>3901</Words>
  <Characters>22239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Preventing Sexual Exploitation Abuse and Harassment (PSEAH) Policy</dc:title>
  <dc:subject/>
  <dc:creator/>
  <cp:keywords/>
  <dc:description/>
  <cp:lastModifiedBy/>
  <cp:revision>1</cp:revision>
  <dcterms:created xsi:type="dcterms:W3CDTF">2019-07-31T05:42:00Z</dcterms:created>
  <dcterms:modified xsi:type="dcterms:W3CDTF">2019-07-31T05:42:00Z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bdc6b5d6-c89a-421c-ba93-926d51bdd992</vt:lpwstr>
  </property>
  <property fmtid="{D5CDD505-2E9C-101B-9397-08002B2CF9AE}" pid="3" name="SEC">
    <vt:lpwstr>UNCLASSIFIED</vt:lpwstr>
  </property>
  <property fmtid="{D5CDD505-2E9C-101B-9397-08002B2CF9AE}" pid="4" name="DLM">
    <vt:lpwstr>No DLM</vt:lpwstr>
  </property>
  <property fmtid="{D5CDD505-2E9C-101B-9397-08002B2CF9AE}" pid="5" name="xd_Signature">
    <vt:bool>false</vt:bool>
  </property>
  <property fmtid="{D5CDD505-2E9C-101B-9397-08002B2CF9AE}" pid="6" name="xd_ProgID">
    <vt:lpwstr/>
  </property>
  <property fmtid="{D5CDD505-2E9C-101B-9397-08002B2CF9AE}" pid="7" name="ContentTypeId">
    <vt:lpwstr>0x010100E6BA5D47913BF846A73E8E556C7459ED</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Order">
    <vt:r8>300</vt:r8>
  </property>
</Properties>
</file>