
<file path=[Content_Types].xml><?xml version="1.0" encoding="utf-8"?>
<Types xmlns="http://schemas.openxmlformats.org/package/2006/content-types">
  <Default Extension="rels" ContentType="application/vnd.openxmlformats-package.relationships+xml"/>
  <Default Extension="xml" ContentType="application/xml"/>
  <Override PartName="/word/drawings/drawing1.xml" ContentType="application/vnd.openxmlformats-officedocument.drawingml.chartshapes+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charts/chart1.xml" ContentType="application/vnd.openxmlformats-officedocument.drawingml.chart+xml"/>
  <Override PartName="/word/charts/chart2.xml" ContentType="application/vnd.openxmlformats-officedocument.drawingml.chart+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99A" w:rsidRPr="00367E77" w:rsidRDefault="0014199A" w:rsidP="0014199A">
      <w:pPr>
        <w:jc w:val="center"/>
        <w:rPr>
          <w:rFonts w:ascii="Times New Roman" w:hAnsi="Times New Roman" w:cs="Times New Roman"/>
          <w:b/>
        </w:rPr>
      </w:pPr>
      <w:r w:rsidRPr="00367E77">
        <w:rPr>
          <w:rFonts w:ascii="Times New Roman" w:hAnsi="Times New Roman" w:cs="Times New Roman"/>
          <w:b/>
        </w:rPr>
        <w:t>Report of Research Activities</w:t>
      </w:r>
      <w:r w:rsidR="007D0939" w:rsidRPr="00367E77">
        <w:rPr>
          <w:rFonts w:ascii="Times New Roman" w:hAnsi="Times New Roman" w:cs="Times New Roman"/>
          <w:b/>
        </w:rPr>
        <w:t xml:space="preserve"> and Expenditure</w:t>
      </w:r>
      <w:r w:rsidRPr="00367E77">
        <w:rPr>
          <w:rFonts w:ascii="Times New Roman" w:hAnsi="Times New Roman" w:cs="Times New Roman"/>
          <w:b/>
        </w:rPr>
        <w:t xml:space="preserve"> 2012 – </w:t>
      </w:r>
      <w:r w:rsidRPr="00367E77">
        <w:rPr>
          <w:rFonts w:ascii="Times New Roman" w:hAnsi="Times New Roman" w:cs="Times New Roman"/>
          <w:b/>
          <w:i/>
        </w:rPr>
        <w:t>Protection of Refugees with Disabilities</w:t>
      </w:r>
      <w:r w:rsidRPr="00367E77">
        <w:rPr>
          <w:rFonts w:ascii="Times New Roman" w:hAnsi="Times New Roman" w:cs="Times New Roman"/>
          <w:b/>
        </w:rPr>
        <w:t xml:space="preserve"> </w:t>
      </w:r>
    </w:p>
    <w:p w:rsidR="00325CFB" w:rsidRPr="00367E77" w:rsidRDefault="004B112F" w:rsidP="004B112F">
      <w:pPr>
        <w:jc w:val="center"/>
        <w:rPr>
          <w:rFonts w:ascii="Times New Roman" w:hAnsi="Times New Roman" w:cs="Times New Roman"/>
          <w:b/>
        </w:rPr>
      </w:pPr>
      <w:r w:rsidRPr="00367E77">
        <w:rPr>
          <w:rFonts w:ascii="Times New Roman" w:hAnsi="Times New Roman" w:cs="Times New Roman"/>
          <w:b/>
        </w:rPr>
        <w:t>REVIEW OF IMPLEMENTATION IN 2012</w:t>
      </w:r>
    </w:p>
    <w:p w:rsidR="007D428F" w:rsidRPr="00367E77" w:rsidRDefault="007D428F" w:rsidP="0014199A">
      <w:pPr>
        <w:jc w:val="both"/>
        <w:rPr>
          <w:rFonts w:ascii="Times New Roman" w:hAnsi="Times New Roman" w:cs="Times New Roman"/>
          <w:b/>
        </w:rPr>
      </w:pPr>
      <w:r w:rsidRPr="00367E77">
        <w:rPr>
          <w:rFonts w:ascii="Times New Roman" w:hAnsi="Times New Roman" w:cs="Times New Roman"/>
          <w:b/>
        </w:rPr>
        <w:t>Malaysia Fieldwork</w:t>
      </w:r>
    </w:p>
    <w:p w:rsidR="00926DB3" w:rsidRPr="00367E77" w:rsidRDefault="00C71998" w:rsidP="0014199A">
      <w:pPr>
        <w:jc w:val="both"/>
        <w:rPr>
          <w:rFonts w:ascii="Times New Roman" w:hAnsi="Times New Roman" w:cs="Times New Roman"/>
        </w:rPr>
      </w:pPr>
      <w:r w:rsidRPr="00367E77">
        <w:rPr>
          <w:rFonts w:ascii="Times New Roman" w:hAnsi="Times New Roman" w:cs="Times New Roman"/>
        </w:rPr>
        <w:t>The research team</w:t>
      </w:r>
      <w:r w:rsidR="007D428F" w:rsidRPr="00367E77">
        <w:rPr>
          <w:rFonts w:ascii="Times New Roman" w:hAnsi="Times New Roman" w:cs="Times New Roman"/>
        </w:rPr>
        <w:t xml:space="preserve"> travelled to M</w:t>
      </w:r>
      <w:r w:rsidRPr="00367E77">
        <w:rPr>
          <w:rFonts w:ascii="Times New Roman" w:hAnsi="Times New Roman" w:cs="Times New Roman"/>
        </w:rPr>
        <w:t>alaysia in early June 2012, and was joined by a</w:t>
      </w:r>
      <w:r w:rsidR="007D428F" w:rsidRPr="00367E77">
        <w:rPr>
          <w:rFonts w:ascii="Times New Roman" w:hAnsi="Times New Roman" w:cs="Times New Roman"/>
        </w:rPr>
        <w:t xml:space="preserve"> researcher already present in Malaysia who had experience working with UNHCR there. The research team employed mixed research methods. Researchers held qualitative focus and discussion groups with Refugee Ethnic Community representatives, Malaysian human rights NGOs and Malaysian Disabled Persons Organisations (DPOs), carried out interviews with UNHCR Malaysia officials, and using purposive sampling, conducted individual interviews with one hundred and fifty-one refugees and asylum seekers with disabilities (and their families) </w:t>
      </w:r>
      <w:bookmarkStart w:id="0" w:name="_GoBack"/>
      <w:bookmarkEnd w:id="0"/>
      <w:r w:rsidR="007D428F" w:rsidRPr="00367E77">
        <w:rPr>
          <w:rFonts w:ascii="Times New Roman" w:hAnsi="Times New Roman" w:cs="Times New Roman"/>
        </w:rPr>
        <w:t>in Kuala Lumpur and surrounding areas. Of these, 111 were adults and 40 were under 18 years of age. The vast majority of displaced persons in Malaysia come from Myanmar, from many different ethnic minority groups.</w:t>
      </w:r>
      <w:r w:rsidR="007D428F" w:rsidRPr="00367E77">
        <w:rPr>
          <w:rStyle w:val="FootnoteReference"/>
          <w:rFonts w:ascii="Times New Roman" w:hAnsi="Times New Roman" w:cs="Times New Roman"/>
        </w:rPr>
        <w:footnoteReference w:id="1"/>
      </w:r>
      <w:r w:rsidR="007D428F" w:rsidRPr="00367E77">
        <w:rPr>
          <w:rFonts w:ascii="Times New Roman" w:hAnsi="Times New Roman" w:cs="Times New Roman"/>
        </w:rPr>
        <w:t xml:space="preserve"> Others countries of origin include Sri Lanka, Afghanistan, Iran, Iraq, Palestine, Pakistan and Somalia. The researchers managed to speak with persons from all of the above countries, with the exception of Pakistan and Somalia. </w:t>
      </w:r>
    </w:p>
    <w:p w:rsidR="008657C3" w:rsidRPr="00367E77" w:rsidRDefault="008657C3" w:rsidP="0014199A">
      <w:pPr>
        <w:jc w:val="both"/>
        <w:rPr>
          <w:rFonts w:ascii="Times New Roman" w:hAnsi="Times New Roman" w:cs="Times New Roman"/>
        </w:rPr>
      </w:pPr>
    </w:p>
    <w:p w:rsidR="00926DB3" w:rsidRPr="00367E77" w:rsidRDefault="00926DB3" w:rsidP="0014199A">
      <w:pPr>
        <w:jc w:val="both"/>
        <w:rPr>
          <w:rFonts w:ascii="Times New Roman" w:hAnsi="Times New Roman" w:cs="Times New Roman"/>
        </w:rPr>
      </w:pPr>
    </w:p>
    <w:p w:rsidR="007D428F" w:rsidRPr="00367E77" w:rsidRDefault="007D428F" w:rsidP="0014199A">
      <w:pPr>
        <w:jc w:val="both"/>
        <w:rPr>
          <w:rFonts w:ascii="Times New Roman" w:hAnsi="Times New Roman" w:cs="Times New Roman"/>
        </w:rPr>
      </w:pPr>
      <w:r w:rsidRPr="00367E77">
        <w:rPr>
          <w:rFonts w:ascii="Times New Roman" w:hAnsi="Times New Roman" w:cs="Times New Roman"/>
          <w:noProof/>
        </w:rPr>
        <w:drawing>
          <wp:inline distT="0" distB="0" distL="0" distR="0">
            <wp:extent cx="5132705" cy="3381375"/>
            <wp:effectExtent l="19050" t="0" r="10795"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D428F" w:rsidRPr="00367E77" w:rsidRDefault="007D428F" w:rsidP="0014199A">
      <w:pPr>
        <w:jc w:val="both"/>
        <w:rPr>
          <w:rFonts w:ascii="Times New Roman" w:hAnsi="Times New Roman" w:cs="Times New Roman"/>
        </w:rPr>
      </w:pPr>
      <w:r w:rsidRPr="00367E77">
        <w:rPr>
          <w:rFonts w:ascii="Times New Roman" w:hAnsi="Times New Roman" w:cs="Times New Roman"/>
        </w:rPr>
        <w:t>Site visits were also undertaken to Refugee Community Learning Centres, refugee homes and UNHCR-partnered medical clinics.  Further to the above, UNHCR Malaysia commissioned a report on disability to examine their existing records of persons with disabilities</w:t>
      </w:r>
      <w:r w:rsidRPr="00367E77">
        <w:rPr>
          <w:rStyle w:val="FootnoteReference"/>
          <w:rFonts w:ascii="Times New Roman" w:hAnsi="Times New Roman" w:cs="Times New Roman"/>
        </w:rPr>
        <w:footnoteReference w:id="2"/>
      </w:r>
      <w:r w:rsidRPr="00367E77">
        <w:rPr>
          <w:rFonts w:ascii="Times New Roman" w:hAnsi="Times New Roman" w:cs="Times New Roman"/>
        </w:rPr>
        <w:t xml:space="preserve"> which was made available to the research team. </w:t>
      </w:r>
    </w:p>
    <w:p w:rsidR="005A49FC" w:rsidRPr="00367E77" w:rsidRDefault="005A49FC" w:rsidP="0014199A">
      <w:pPr>
        <w:jc w:val="both"/>
        <w:rPr>
          <w:rFonts w:ascii="Times New Roman" w:hAnsi="Times New Roman" w:cs="Times New Roman"/>
        </w:rPr>
      </w:pPr>
    </w:p>
    <w:p w:rsidR="00813B20" w:rsidRPr="00367E77" w:rsidRDefault="007D428F" w:rsidP="0014199A">
      <w:pPr>
        <w:jc w:val="both"/>
        <w:rPr>
          <w:rFonts w:ascii="Times New Roman" w:hAnsi="Times New Roman" w:cs="Times New Roman"/>
          <w:b/>
        </w:rPr>
      </w:pPr>
      <w:r w:rsidRPr="00367E77">
        <w:rPr>
          <w:rFonts w:ascii="Times New Roman" w:hAnsi="Times New Roman" w:cs="Times New Roman"/>
          <w:b/>
        </w:rPr>
        <w:t>Indonesia Fieldwork</w:t>
      </w:r>
    </w:p>
    <w:p w:rsidR="007D428F" w:rsidRPr="00367E77" w:rsidRDefault="007D428F" w:rsidP="0014199A">
      <w:pPr>
        <w:jc w:val="both"/>
        <w:rPr>
          <w:rFonts w:ascii="Times New Roman" w:hAnsi="Times New Roman" w:cs="Times New Roman"/>
        </w:rPr>
      </w:pPr>
      <w:r w:rsidRPr="00367E77">
        <w:rPr>
          <w:rFonts w:ascii="Times New Roman" w:hAnsi="Times New Roman" w:cs="Times New Roman"/>
        </w:rPr>
        <w:t>The research team travelled to Indonesia in late September</w:t>
      </w:r>
      <w:r w:rsidR="0014199A" w:rsidRPr="00367E77">
        <w:rPr>
          <w:rFonts w:ascii="Times New Roman" w:hAnsi="Times New Roman" w:cs="Times New Roman"/>
        </w:rPr>
        <w:t xml:space="preserve"> 2012</w:t>
      </w:r>
      <w:r w:rsidRPr="00367E77">
        <w:rPr>
          <w:rFonts w:ascii="Times New Roman" w:hAnsi="Times New Roman" w:cs="Times New Roman"/>
        </w:rPr>
        <w:t xml:space="preserve"> and spent two weeks carrying out similar research. The research was conducted in Jakarta, Bogor and Makassar.</w:t>
      </w:r>
      <w:r w:rsidR="0014199A" w:rsidRPr="00367E77">
        <w:rPr>
          <w:rFonts w:ascii="Times New Roman" w:hAnsi="Times New Roman" w:cs="Times New Roman"/>
        </w:rPr>
        <w:t xml:space="preserve"> The individual interview tool was slightly adapted following an assessment of its success and efficiency in Malaysia.</w:t>
      </w:r>
    </w:p>
    <w:p w:rsidR="00C71998" w:rsidRPr="00367E77" w:rsidRDefault="007D428F" w:rsidP="0014199A">
      <w:pPr>
        <w:jc w:val="both"/>
        <w:rPr>
          <w:rFonts w:ascii="Times New Roman" w:hAnsi="Times New Roman" w:cs="Times New Roman"/>
        </w:rPr>
      </w:pPr>
      <w:r w:rsidRPr="00367E77">
        <w:rPr>
          <w:rFonts w:ascii="Times New Roman" w:hAnsi="Times New Roman" w:cs="Times New Roman"/>
        </w:rPr>
        <w:t>In Jakarta, the team met with representatives from UNHCR Jakarta, as well as its implementing partner, the Church World Service (CWS). They also met with the International Organisation for Migration (IOM), the major organisation supporting refugees and asylum seekers both in detention and living in the community in Indonesia.  They also held a focus group for a number of Indonesian Disabled Persons’ Organisations to elicit their knowledge about and experience with displaced population</w:t>
      </w:r>
      <w:r w:rsidR="00325CFB" w:rsidRPr="00367E77">
        <w:rPr>
          <w:rFonts w:ascii="Times New Roman" w:hAnsi="Times New Roman" w:cs="Times New Roman"/>
        </w:rPr>
        <w:t>s</w:t>
      </w:r>
      <w:r w:rsidR="000544EB" w:rsidRPr="00367E77">
        <w:rPr>
          <w:rFonts w:ascii="Times New Roman" w:hAnsi="Times New Roman" w:cs="Times New Roman"/>
        </w:rPr>
        <w:t xml:space="preserve"> and to encourage further engagement in the future</w:t>
      </w:r>
      <w:r w:rsidRPr="00367E77">
        <w:rPr>
          <w:rFonts w:ascii="Times New Roman" w:hAnsi="Times New Roman" w:cs="Times New Roman"/>
        </w:rPr>
        <w:t xml:space="preserve">. </w:t>
      </w:r>
    </w:p>
    <w:p w:rsidR="00C71998" w:rsidRPr="00367E77" w:rsidRDefault="007D428F" w:rsidP="0014199A">
      <w:pPr>
        <w:jc w:val="both"/>
        <w:rPr>
          <w:rFonts w:ascii="Times New Roman" w:hAnsi="Times New Roman" w:cs="Times New Roman"/>
        </w:rPr>
      </w:pPr>
      <w:r w:rsidRPr="00367E77">
        <w:rPr>
          <w:rFonts w:ascii="Times New Roman" w:hAnsi="Times New Roman" w:cs="Times New Roman"/>
        </w:rPr>
        <w:t xml:space="preserve">In the Bogor area, the research team met with other IOM and CWS representatives. They toured the IOM and CWS centres, as well as </w:t>
      </w:r>
      <w:r w:rsidR="00EE4617" w:rsidRPr="00367E77">
        <w:rPr>
          <w:rFonts w:ascii="Times New Roman" w:hAnsi="Times New Roman" w:cs="Times New Roman"/>
        </w:rPr>
        <w:t xml:space="preserve">refugee </w:t>
      </w:r>
      <w:r w:rsidRPr="00367E77">
        <w:rPr>
          <w:rFonts w:ascii="Times New Roman" w:hAnsi="Times New Roman" w:cs="Times New Roman"/>
        </w:rPr>
        <w:t xml:space="preserve">community housing in Cisarua and surrounding areas and visited one of the CWS shelters for unaccompanied minors. They carried out </w:t>
      </w:r>
      <w:r w:rsidR="003F20BE" w:rsidRPr="00367E77">
        <w:rPr>
          <w:rFonts w:ascii="Times New Roman" w:hAnsi="Times New Roman" w:cs="Times New Roman"/>
        </w:rPr>
        <w:t xml:space="preserve">41 individual interviews with refugees and asylum seekers with disabilities. </w:t>
      </w:r>
    </w:p>
    <w:p w:rsidR="003F20BE" w:rsidRPr="00367E77" w:rsidRDefault="003F20BE" w:rsidP="0014199A">
      <w:pPr>
        <w:jc w:val="both"/>
        <w:rPr>
          <w:rFonts w:ascii="Times New Roman" w:hAnsi="Times New Roman" w:cs="Times New Roman"/>
        </w:rPr>
      </w:pPr>
      <w:r w:rsidRPr="00367E77">
        <w:rPr>
          <w:rFonts w:ascii="Times New Roman" w:hAnsi="Times New Roman" w:cs="Times New Roman"/>
        </w:rPr>
        <w:t xml:space="preserve">In Makassar, the research team met with the IOM representatives there. They visited the detention centre there and held an informal group discussion with over 60 detainees, to better understand the conditions in detention in terms of access to basic needs, as well as to health services. They also visited the community housing and conducted interviews with 17 persons with disabilities. </w:t>
      </w:r>
    </w:p>
    <w:p w:rsidR="003F20BE" w:rsidRPr="00367E77" w:rsidRDefault="00C71998" w:rsidP="0014199A">
      <w:pPr>
        <w:jc w:val="both"/>
        <w:rPr>
          <w:rFonts w:ascii="Times New Roman" w:hAnsi="Times New Roman" w:cs="Times New Roman"/>
        </w:rPr>
      </w:pPr>
      <w:r w:rsidRPr="00367E77">
        <w:rPr>
          <w:rFonts w:ascii="Times New Roman" w:hAnsi="Times New Roman" w:cs="Times New Roman"/>
        </w:rPr>
        <w:t>In all,</w:t>
      </w:r>
      <w:r w:rsidR="003F20BE" w:rsidRPr="00367E77">
        <w:rPr>
          <w:rFonts w:ascii="Times New Roman" w:hAnsi="Times New Roman" w:cs="Times New Roman"/>
        </w:rPr>
        <w:t xml:space="preserve"> a total of 58 individual interviews were conducted. Those interviewed came from Afghanistan, Iran, Iraq, Sri Lanka and Somalia. </w:t>
      </w:r>
      <w:r w:rsidRPr="00367E77">
        <w:rPr>
          <w:rFonts w:ascii="Times New Roman" w:hAnsi="Times New Roman" w:cs="Times New Roman"/>
        </w:rPr>
        <w:t>Nine of the participants were minors, and 14 participants were female. This largely reflects the high numbers of adult male refugees and asylum seekers in Indonesia.</w:t>
      </w:r>
    </w:p>
    <w:p w:rsidR="005A49FC" w:rsidRPr="00367E77" w:rsidRDefault="005A49FC" w:rsidP="0014199A">
      <w:pPr>
        <w:jc w:val="both"/>
        <w:rPr>
          <w:rFonts w:ascii="Times New Roman" w:hAnsi="Times New Roman" w:cs="Times New Roman"/>
        </w:rPr>
      </w:pPr>
    </w:p>
    <w:p w:rsidR="00926DB3" w:rsidRPr="00367E77" w:rsidRDefault="003F20BE" w:rsidP="0014199A">
      <w:pPr>
        <w:jc w:val="both"/>
        <w:rPr>
          <w:rFonts w:ascii="Times New Roman" w:hAnsi="Times New Roman" w:cs="Times New Roman"/>
          <w:b/>
        </w:rPr>
      </w:pPr>
      <w:r w:rsidRPr="00367E77">
        <w:rPr>
          <w:rFonts w:ascii="Times New Roman" w:hAnsi="Times New Roman" w:cs="Times New Roman"/>
          <w:b/>
          <w:noProof/>
        </w:rPr>
        <w:lastRenderedPageBreak/>
        <w:drawing>
          <wp:inline distT="0" distB="0" distL="0" distR="0">
            <wp:extent cx="4857750" cy="3629025"/>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26DB3" w:rsidRPr="00367E77" w:rsidRDefault="00926DB3" w:rsidP="0014199A">
      <w:pPr>
        <w:jc w:val="both"/>
        <w:rPr>
          <w:rFonts w:ascii="Times New Roman" w:hAnsi="Times New Roman" w:cs="Times New Roman"/>
          <w:b/>
        </w:rPr>
      </w:pPr>
      <w:r w:rsidRPr="00367E77">
        <w:rPr>
          <w:rFonts w:ascii="Times New Roman" w:hAnsi="Times New Roman" w:cs="Times New Roman"/>
          <w:b/>
        </w:rPr>
        <w:t>Data Analysis</w:t>
      </w:r>
      <w:r w:rsidR="001541BE" w:rsidRPr="00367E77">
        <w:rPr>
          <w:rFonts w:ascii="Times New Roman" w:hAnsi="Times New Roman" w:cs="Times New Roman"/>
          <w:b/>
        </w:rPr>
        <w:t xml:space="preserve"> </w:t>
      </w:r>
    </w:p>
    <w:p w:rsidR="00926DB3" w:rsidRPr="00367E77" w:rsidRDefault="00926DB3" w:rsidP="0014199A">
      <w:pPr>
        <w:jc w:val="both"/>
        <w:rPr>
          <w:rFonts w:ascii="Times New Roman" w:hAnsi="Times New Roman" w:cs="Times New Roman"/>
        </w:rPr>
      </w:pPr>
      <w:r w:rsidRPr="00367E77">
        <w:rPr>
          <w:rFonts w:ascii="Times New Roman" w:hAnsi="Times New Roman" w:cs="Times New Roman"/>
        </w:rPr>
        <w:t xml:space="preserve">The individual interview data collected during these two field trips has been aggregated to gain insight into the particular types of disability the participants have, how they acquired these disabilities, and the type and level of access they have to supportive services and devices to afford them an adequate standard of living. </w:t>
      </w:r>
      <w:r w:rsidR="00187E8F" w:rsidRPr="00367E77">
        <w:rPr>
          <w:rFonts w:ascii="Times New Roman" w:hAnsi="Times New Roman" w:cs="Times New Roman"/>
        </w:rPr>
        <w:t>All audio-</w:t>
      </w:r>
      <w:r w:rsidR="0014199A" w:rsidRPr="00367E77">
        <w:rPr>
          <w:rFonts w:ascii="Times New Roman" w:hAnsi="Times New Roman" w:cs="Times New Roman"/>
        </w:rPr>
        <w:t>recorded interviews with officials and others have been transcribed for use to support and elaborate key trends identified in the individual data. As a whole, this data will form the foundation of country-specific reports on disability in displacement</w:t>
      </w:r>
      <w:r w:rsidR="00187E8F" w:rsidRPr="00367E77">
        <w:rPr>
          <w:rFonts w:ascii="Times New Roman" w:hAnsi="Times New Roman" w:cs="Times New Roman"/>
        </w:rPr>
        <w:t>, which are being put together. It was also</w:t>
      </w:r>
      <w:r w:rsidR="0014199A" w:rsidRPr="00367E77">
        <w:rPr>
          <w:rFonts w:ascii="Times New Roman" w:hAnsi="Times New Roman" w:cs="Times New Roman"/>
        </w:rPr>
        <w:t xml:space="preserve"> drawn upon in papers presented by the research team at the symposium </w:t>
      </w:r>
      <w:r w:rsidR="0014199A" w:rsidRPr="00367E77">
        <w:rPr>
          <w:rFonts w:ascii="Times New Roman" w:hAnsi="Times New Roman" w:cs="Times New Roman"/>
          <w:i/>
        </w:rPr>
        <w:t>Creating New Futures for all: Children, Youth, Disability and Situations of Forced Migration,</w:t>
      </w:r>
      <w:r w:rsidR="00187E8F" w:rsidRPr="00367E77">
        <w:rPr>
          <w:rFonts w:ascii="Times New Roman" w:hAnsi="Times New Roman" w:cs="Times New Roman"/>
          <w:i/>
        </w:rPr>
        <w:t xml:space="preserve"> </w:t>
      </w:r>
      <w:r w:rsidR="00187E8F" w:rsidRPr="00367E77">
        <w:rPr>
          <w:rFonts w:ascii="Times New Roman" w:hAnsi="Times New Roman" w:cs="Times New Roman"/>
        </w:rPr>
        <w:t>which was held at the Sydney University Law School between 28</w:t>
      </w:r>
      <w:r w:rsidR="00187E8F" w:rsidRPr="00367E77">
        <w:rPr>
          <w:rFonts w:ascii="Times New Roman" w:hAnsi="Times New Roman" w:cs="Times New Roman"/>
          <w:vertAlign w:val="superscript"/>
        </w:rPr>
        <w:t>th</w:t>
      </w:r>
      <w:r w:rsidR="00187E8F" w:rsidRPr="00367E77">
        <w:rPr>
          <w:rFonts w:ascii="Times New Roman" w:hAnsi="Times New Roman" w:cs="Times New Roman"/>
        </w:rPr>
        <w:t xml:space="preserve"> and 30</w:t>
      </w:r>
      <w:r w:rsidR="00187E8F" w:rsidRPr="00367E77">
        <w:rPr>
          <w:rFonts w:ascii="Times New Roman" w:hAnsi="Times New Roman" w:cs="Times New Roman"/>
          <w:vertAlign w:val="superscript"/>
        </w:rPr>
        <w:t>th</w:t>
      </w:r>
      <w:r w:rsidR="00187E8F" w:rsidRPr="00367E77">
        <w:rPr>
          <w:rFonts w:ascii="Times New Roman" w:hAnsi="Times New Roman" w:cs="Times New Roman"/>
        </w:rPr>
        <w:t xml:space="preserve"> of November</w:t>
      </w:r>
      <w:r w:rsidR="0014199A" w:rsidRPr="00367E77">
        <w:rPr>
          <w:rFonts w:ascii="Times New Roman" w:hAnsi="Times New Roman" w:cs="Times New Roman"/>
        </w:rPr>
        <w:t xml:space="preserve">. </w:t>
      </w:r>
    </w:p>
    <w:p w:rsidR="00187E8F" w:rsidRPr="00367E77" w:rsidRDefault="00187E8F" w:rsidP="0014199A">
      <w:pPr>
        <w:jc w:val="both"/>
        <w:rPr>
          <w:rFonts w:ascii="Times New Roman" w:hAnsi="Times New Roman" w:cs="Times New Roman"/>
        </w:rPr>
      </w:pPr>
      <w:r w:rsidRPr="00367E77">
        <w:rPr>
          <w:rFonts w:ascii="Times New Roman" w:hAnsi="Times New Roman" w:cs="Times New Roman"/>
        </w:rPr>
        <w:t xml:space="preserve">Further to this, we have been able to progressively refine our disability identification tool, which forms a key component of our research. We are in talks with UNHCR and IOM about trialling and implementing this tool within their operations. </w:t>
      </w:r>
    </w:p>
    <w:p w:rsidR="007D0939" w:rsidRPr="00367E77" w:rsidRDefault="007D0939" w:rsidP="0014199A">
      <w:pPr>
        <w:jc w:val="both"/>
        <w:rPr>
          <w:rFonts w:ascii="Times New Roman" w:hAnsi="Times New Roman" w:cs="Times New Roman"/>
        </w:rPr>
      </w:pPr>
    </w:p>
    <w:p w:rsidR="007D0939" w:rsidRPr="00367E77" w:rsidRDefault="007D0939" w:rsidP="0014199A">
      <w:pPr>
        <w:jc w:val="both"/>
        <w:rPr>
          <w:rFonts w:ascii="Times New Roman" w:hAnsi="Times New Roman" w:cs="Times New Roman"/>
          <w:b/>
        </w:rPr>
      </w:pPr>
      <w:r w:rsidRPr="00367E77">
        <w:rPr>
          <w:rFonts w:ascii="Times New Roman" w:hAnsi="Times New Roman" w:cs="Times New Roman"/>
          <w:b/>
        </w:rPr>
        <w:t>Expenditure</w:t>
      </w:r>
    </w:p>
    <w:p w:rsidR="008175C1" w:rsidRPr="00367E77" w:rsidRDefault="007D0939" w:rsidP="0014199A">
      <w:pPr>
        <w:jc w:val="both"/>
        <w:rPr>
          <w:rFonts w:ascii="Times New Roman" w:hAnsi="Times New Roman" w:cs="Times New Roman"/>
        </w:rPr>
      </w:pPr>
      <w:r w:rsidRPr="00367E77">
        <w:rPr>
          <w:rFonts w:ascii="Times New Roman" w:hAnsi="Times New Roman" w:cs="Times New Roman"/>
        </w:rPr>
        <w:t xml:space="preserve">As will be seen in the acquittal, we </w:t>
      </w:r>
      <w:r w:rsidR="008175C1" w:rsidRPr="00367E77">
        <w:rPr>
          <w:rFonts w:ascii="Times New Roman" w:hAnsi="Times New Roman" w:cs="Times New Roman"/>
        </w:rPr>
        <w:t xml:space="preserve">finished the year </w:t>
      </w:r>
      <w:r w:rsidRPr="00367E77">
        <w:rPr>
          <w:rFonts w:ascii="Times New Roman" w:hAnsi="Times New Roman" w:cs="Times New Roman"/>
        </w:rPr>
        <w:t xml:space="preserve">under budget for the </w:t>
      </w:r>
      <w:r w:rsidR="008175C1" w:rsidRPr="00367E77">
        <w:rPr>
          <w:rFonts w:ascii="Times New Roman" w:hAnsi="Times New Roman" w:cs="Times New Roman"/>
        </w:rPr>
        <w:t xml:space="preserve">estimated </w:t>
      </w:r>
      <w:r w:rsidR="00AA2C4F" w:rsidRPr="00367E77">
        <w:rPr>
          <w:rFonts w:ascii="Times New Roman" w:hAnsi="Times New Roman" w:cs="Times New Roman"/>
        </w:rPr>
        <w:t>overseas airfares and</w:t>
      </w:r>
      <w:r w:rsidRPr="00367E77">
        <w:rPr>
          <w:rFonts w:ascii="Times New Roman" w:hAnsi="Times New Roman" w:cs="Times New Roman"/>
        </w:rPr>
        <w:t xml:space="preserve"> </w:t>
      </w:r>
      <w:r w:rsidR="003244A0">
        <w:rPr>
          <w:rFonts w:ascii="Times New Roman" w:hAnsi="Times New Roman" w:cs="Times New Roman"/>
        </w:rPr>
        <w:t xml:space="preserve">publication expenses </w:t>
      </w:r>
      <w:r w:rsidRPr="00367E77">
        <w:rPr>
          <w:rFonts w:ascii="Times New Roman" w:hAnsi="Times New Roman" w:cs="Times New Roman"/>
        </w:rPr>
        <w:t xml:space="preserve">for the project. There were modest variations in other areas. The main area where </w:t>
      </w:r>
      <w:r w:rsidR="004C5296">
        <w:rPr>
          <w:rFonts w:ascii="Times New Roman" w:hAnsi="Times New Roman" w:cs="Times New Roman"/>
        </w:rPr>
        <w:t>there has been a variation is</w:t>
      </w:r>
      <w:r w:rsidRPr="00367E77">
        <w:rPr>
          <w:rFonts w:ascii="Times New Roman" w:hAnsi="Times New Roman" w:cs="Times New Roman"/>
        </w:rPr>
        <w:t xml:space="preserve"> for consultancy costs. As we began planning our fieldwork, we were fortunate to find a skilled and experienced researcher in Malaysia. Having her on the ground there meant that she was able to prearrange our whole schedule for our main research trip to Kuala Lumpur, as well as being on hand to implement our research tools during our time there. </w:t>
      </w:r>
    </w:p>
    <w:p w:rsidR="00B07B50" w:rsidRPr="00367E77" w:rsidRDefault="007D0939" w:rsidP="0014199A">
      <w:pPr>
        <w:jc w:val="both"/>
        <w:rPr>
          <w:rFonts w:ascii="Times New Roman" w:hAnsi="Times New Roman" w:cs="Times New Roman"/>
        </w:rPr>
      </w:pPr>
      <w:r w:rsidRPr="00367E77">
        <w:rPr>
          <w:rFonts w:ascii="Times New Roman" w:hAnsi="Times New Roman" w:cs="Times New Roman"/>
        </w:rPr>
        <w:t xml:space="preserve">This meant that we </w:t>
      </w:r>
      <w:r w:rsidR="00EE4617" w:rsidRPr="00367E77">
        <w:rPr>
          <w:rFonts w:ascii="Times New Roman" w:hAnsi="Times New Roman" w:cs="Times New Roman"/>
        </w:rPr>
        <w:t>could</w:t>
      </w:r>
      <w:r w:rsidRPr="00367E77">
        <w:rPr>
          <w:rFonts w:ascii="Times New Roman" w:hAnsi="Times New Roman" w:cs="Times New Roman"/>
        </w:rPr>
        <w:t xml:space="preserve"> work extremely efficiently while there, </w:t>
      </w:r>
      <w:r w:rsidR="00EE4617" w:rsidRPr="00367E77">
        <w:rPr>
          <w:rFonts w:ascii="Times New Roman" w:hAnsi="Times New Roman" w:cs="Times New Roman"/>
        </w:rPr>
        <w:t xml:space="preserve">in turn </w:t>
      </w:r>
      <w:r w:rsidRPr="00367E77">
        <w:rPr>
          <w:rFonts w:ascii="Times New Roman" w:hAnsi="Times New Roman" w:cs="Times New Roman"/>
        </w:rPr>
        <w:t xml:space="preserve">meaning that we were able to collect a large amount of data in a shorter period of time than would have otherwise been possible, </w:t>
      </w:r>
      <w:r w:rsidRPr="00367E77">
        <w:rPr>
          <w:rFonts w:ascii="Times New Roman" w:hAnsi="Times New Roman" w:cs="Times New Roman"/>
        </w:rPr>
        <w:lastRenderedPageBreak/>
        <w:t xml:space="preserve">thus decreasing our expenditure on accommodation and other related travel expenses. </w:t>
      </w:r>
      <w:r w:rsidR="009E6E1C" w:rsidRPr="00367E77">
        <w:rPr>
          <w:rFonts w:ascii="Times New Roman" w:hAnsi="Times New Roman" w:cs="Times New Roman"/>
        </w:rPr>
        <w:t>Given the success we had with this consultant and with her being familiar with UNHCR processes and our research tools, we were able to include her in the Indonesian fieldwork, once again saving expenses on having to fly someone from Australia</w:t>
      </w:r>
      <w:r w:rsidR="00B07B50" w:rsidRPr="00367E77">
        <w:rPr>
          <w:rFonts w:ascii="Times New Roman" w:hAnsi="Times New Roman" w:cs="Times New Roman"/>
        </w:rPr>
        <w:t xml:space="preserve"> and increasing what we could get done in a short time</w:t>
      </w:r>
      <w:r w:rsidR="009E6E1C" w:rsidRPr="00367E77">
        <w:rPr>
          <w:rFonts w:ascii="Times New Roman" w:hAnsi="Times New Roman" w:cs="Times New Roman"/>
        </w:rPr>
        <w:t>.</w:t>
      </w:r>
    </w:p>
    <w:p w:rsidR="007D0939" w:rsidRPr="00367E77" w:rsidRDefault="00B07B50" w:rsidP="0014199A">
      <w:pPr>
        <w:jc w:val="both"/>
        <w:rPr>
          <w:rFonts w:ascii="Times New Roman" w:hAnsi="Times New Roman" w:cs="Times New Roman"/>
        </w:rPr>
      </w:pPr>
      <w:r w:rsidRPr="00367E77">
        <w:rPr>
          <w:rFonts w:ascii="Times New Roman" w:hAnsi="Times New Roman" w:cs="Times New Roman"/>
        </w:rPr>
        <w:t xml:space="preserve">However, this, along with some other modest variations (eg per diems and other </w:t>
      </w:r>
      <w:r w:rsidR="00EE4617" w:rsidRPr="00367E77">
        <w:rPr>
          <w:rFonts w:ascii="Times New Roman" w:hAnsi="Times New Roman" w:cs="Times New Roman"/>
        </w:rPr>
        <w:t xml:space="preserve">field work </w:t>
      </w:r>
      <w:r w:rsidRPr="00367E77">
        <w:rPr>
          <w:rFonts w:ascii="Times New Roman" w:hAnsi="Times New Roman" w:cs="Times New Roman"/>
        </w:rPr>
        <w:t>expenses</w:t>
      </w:r>
      <w:r w:rsidR="000D6061" w:rsidRPr="00367E77">
        <w:rPr>
          <w:rFonts w:ascii="Times New Roman" w:hAnsi="Times New Roman" w:cs="Times New Roman"/>
        </w:rPr>
        <w:t xml:space="preserve"> explained in the attached document</w:t>
      </w:r>
      <w:r w:rsidRPr="00367E77">
        <w:rPr>
          <w:rFonts w:ascii="Times New Roman" w:hAnsi="Times New Roman" w:cs="Times New Roman"/>
        </w:rPr>
        <w:t>) meant that the</w:t>
      </w:r>
      <w:r w:rsidR="00E21084" w:rsidRPr="00367E77">
        <w:rPr>
          <w:rFonts w:ascii="Times New Roman" w:hAnsi="Times New Roman" w:cs="Times New Roman"/>
        </w:rPr>
        <w:t xml:space="preserve"> amount of funding remaining</w:t>
      </w:r>
      <w:r w:rsidRPr="00367E77">
        <w:rPr>
          <w:rFonts w:ascii="Times New Roman" w:hAnsi="Times New Roman" w:cs="Times New Roman"/>
        </w:rPr>
        <w:t xml:space="preserve"> for Professor McCallum’s consultancy fees </w:t>
      </w:r>
      <w:r w:rsidR="00E21084" w:rsidRPr="00367E77">
        <w:rPr>
          <w:rFonts w:ascii="Times New Roman" w:hAnsi="Times New Roman" w:cs="Times New Roman"/>
        </w:rPr>
        <w:t>decreased.</w:t>
      </w:r>
      <w:r w:rsidR="000D6061" w:rsidRPr="00367E77">
        <w:rPr>
          <w:rFonts w:ascii="Times New Roman" w:hAnsi="Times New Roman" w:cs="Times New Roman"/>
        </w:rPr>
        <w:t xml:space="preserve">  He is prepared to wear this shortfall for 2012 to ensure that we remain within </w:t>
      </w:r>
      <w:r w:rsidR="00E06CA8">
        <w:rPr>
          <w:rFonts w:ascii="Times New Roman" w:hAnsi="Times New Roman" w:cs="Times New Roman"/>
        </w:rPr>
        <w:t>the total allocation from AusAID</w:t>
      </w:r>
      <w:r w:rsidR="000D6061" w:rsidRPr="00367E77">
        <w:rPr>
          <w:rFonts w:ascii="Times New Roman" w:hAnsi="Times New Roman" w:cs="Times New Roman"/>
        </w:rPr>
        <w:t>.</w:t>
      </w:r>
      <w:r w:rsidRPr="00367E77">
        <w:rPr>
          <w:rFonts w:ascii="Times New Roman" w:hAnsi="Times New Roman" w:cs="Times New Roman"/>
        </w:rPr>
        <w:t xml:space="preserve"> </w:t>
      </w:r>
    </w:p>
    <w:p w:rsidR="009B6734" w:rsidRPr="00367E77" w:rsidRDefault="009B6734" w:rsidP="004B112F">
      <w:pPr>
        <w:jc w:val="center"/>
        <w:rPr>
          <w:rFonts w:ascii="Times New Roman" w:hAnsi="Times New Roman" w:cs="Times New Roman"/>
          <w:b/>
          <w:u w:val="single"/>
        </w:rPr>
      </w:pPr>
      <w:r w:rsidRPr="00367E77">
        <w:rPr>
          <w:rFonts w:ascii="Times New Roman" w:hAnsi="Times New Roman" w:cs="Times New Roman"/>
          <w:b/>
        </w:rPr>
        <w:t>IMPLEMENTATION STRATEGY FOR 2013</w:t>
      </w:r>
    </w:p>
    <w:p w:rsidR="009B6734" w:rsidRPr="00367E77" w:rsidRDefault="009B6734" w:rsidP="009B6734">
      <w:pPr>
        <w:jc w:val="both"/>
        <w:rPr>
          <w:rFonts w:ascii="Times New Roman" w:hAnsi="Times New Roman" w:cs="Times New Roman"/>
          <w:b/>
        </w:rPr>
      </w:pPr>
      <w:r w:rsidRPr="00367E77">
        <w:rPr>
          <w:rFonts w:ascii="Times New Roman" w:hAnsi="Times New Roman" w:cs="Times New Roman"/>
          <w:b/>
        </w:rPr>
        <w:t>Field Trips</w:t>
      </w:r>
    </w:p>
    <w:p w:rsidR="009B6734" w:rsidRPr="00367E77" w:rsidRDefault="009B6734" w:rsidP="009B6734">
      <w:pPr>
        <w:jc w:val="both"/>
        <w:rPr>
          <w:rFonts w:ascii="Times New Roman" w:hAnsi="Times New Roman" w:cs="Times New Roman"/>
        </w:rPr>
      </w:pPr>
      <w:r w:rsidRPr="00367E77">
        <w:rPr>
          <w:rFonts w:ascii="Times New Roman" w:hAnsi="Times New Roman" w:cs="Times New Roman"/>
        </w:rPr>
        <w:t xml:space="preserve">This year, the research team will travel to Uganda and Bangladesh. Planning is already underway in terms of selecting an appropriate time for each of these trips. </w:t>
      </w:r>
    </w:p>
    <w:p w:rsidR="009B6734" w:rsidRPr="00367E77" w:rsidRDefault="009B6734" w:rsidP="009B6734">
      <w:pPr>
        <w:ind w:firstLine="720"/>
        <w:jc w:val="both"/>
        <w:rPr>
          <w:rFonts w:ascii="Times New Roman" w:hAnsi="Times New Roman" w:cs="Times New Roman"/>
          <w:i/>
          <w:u w:val="single"/>
        </w:rPr>
      </w:pPr>
      <w:r w:rsidRPr="00367E77">
        <w:rPr>
          <w:rFonts w:ascii="Times New Roman" w:hAnsi="Times New Roman" w:cs="Times New Roman"/>
          <w:i/>
          <w:u w:val="single"/>
        </w:rPr>
        <w:t>Individual questionnaire</w:t>
      </w:r>
    </w:p>
    <w:p w:rsidR="00F8625C" w:rsidRPr="00367E77" w:rsidRDefault="009B6734" w:rsidP="009B6734">
      <w:pPr>
        <w:jc w:val="both"/>
        <w:rPr>
          <w:rFonts w:ascii="Times New Roman" w:hAnsi="Times New Roman" w:cs="Times New Roman"/>
        </w:rPr>
      </w:pPr>
      <w:r w:rsidRPr="00367E77">
        <w:rPr>
          <w:rFonts w:ascii="Times New Roman" w:hAnsi="Times New Roman" w:cs="Times New Roman"/>
        </w:rPr>
        <w:t>Based on the research team’s experiences in 2012, including talks w</w:t>
      </w:r>
      <w:r w:rsidR="00F8625C" w:rsidRPr="00367E77">
        <w:rPr>
          <w:rFonts w:ascii="Times New Roman" w:hAnsi="Times New Roman" w:cs="Times New Roman"/>
        </w:rPr>
        <w:t xml:space="preserve">ith UNHCR representatives in Indonesia, Malaysia, Australia and </w:t>
      </w:r>
      <w:r w:rsidRPr="00367E77">
        <w:rPr>
          <w:rFonts w:ascii="Times New Roman" w:hAnsi="Times New Roman" w:cs="Times New Roman"/>
        </w:rPr>
        <w:t xml:space="preserve">Geneva, the team has emphasised the development of the </w:t>
      </w:r>
      <w:r w:rsidR="00F8625C" w:rsidRPr="00367E77">
        <w:rPr>
          <w:rFonts w:ascii="Times New Roman" w:hAnsi="Times New Roman" w:cs="Times New Roman"/>
        </w:rPr>
        <w:t xml:space="preserve">disability </w:t>
      </w:r>
      <w:r w:rsidRPr="00367E77">
        <w:rPr>
          <w:rFonts w:ascii="Times New Roman" w:hAnsi="Times New Roman" w:cs="Times New Roman"/>
        </w:rPr>
        <w:t xml:space="preserve">identification tool and supporting questions which form the questionnaire for use when interviewing individual refugees and asylum seekers. </w:t>
      </w:r>
      <w:r w:rsidR="00F8625C" w:rsidRPr="00367E77">
        <w:rPr>
          <w:rFonts w:ascii="Times New Roman" w:hAnsi="Times New Roman" w:cs="Times New Roman"/>
        </w:rPr>
        <w:t xml:space="preserve">UNHCR representatives have demonstrated an interest in trialling the disability identification tool section of the questionnaire, meaning that we have a strong interest in refining this. </w:t>
      </w:r>
    </w:p>
    <w:p w:rsidR="009B6734" w:rsidRPr="00367E77" w:rsidRDefault="009B6734" w:rsidP="009B6734">
      <w:pPr>
        <w:jc w:val="both"/>
        <w:rPr>
          <w:rFonts w:ascii="Times New Roman" w:hAnsi="Times New Roman" w:cs="Times New Roman"/>
        </w:rPr>
      </w:pPr>
      <w:r w:rsidRPr="00367E77">
        <w:rPr>
          <w:rFonts w:ascii="Times New Roman" w:hAnsi="Times New Roman" w:cs="Times New Roman"/>
        </w:rPr>
        <w:t xml:space="preserve">From our experiences in the field, we realised that we would need to remain flexible in terms of adjusting the </w:t>
      </w:r>
      <w:r w:rsidR="00F8625C" w:rsidRPr="00367E77">
        <w:rPr>
          <w:rFonts w:ascii="Times New Roman" w:hAnsi="Times New Roman" w:cs="Times New Roman"/>
        </w:rPr>
        <w:t>questionnaire</w:t>
      </w:r>
      <w:r w:rsidRPr="00367E77">
        <w:rPr>
          <w:rFonts w:ascii="Times New Roman" w:hAnsi="Times New Roman" w:cs="Times New Roman"/>
        </w:rPr>
        <w:t xml:space="preserve"> to best fit with conditions on the ground and to best explore pertinent issues. We also shortened it to make it more efficient to administer and reworked the format for easier data extraction and subsequent analysis. In 2013 we will continue to remain open to adjusting the questionnaire to best fit the situation on the ground and have already made some changes pre-emptively in order to help achieve this.</w:t>
      </w:r>
    </w:p>
    <w:p w:rsidR="009B6734" w:rsidRPr="00367E77" w:rsidRDefault="009B6734" w:rsidP="009B6734">
      <w:pPr>
        <w:ind w:firstLine="720"/>
        <w:jc w:val="both"/>
        <w:rPr>
          <w:rFonts w:ascii="Times New Roman" w:hAnsi="Times New Roman" w:cs="Times New Roman"/>
          <w:i/>
          <w:u w:val="single"/>
        </w:rPr>
      </w:pPr>
      <w:r w:rsidRPr="00367E77">
        <w:rPr>
          <w:rFonts w:ascii="Times New Roman" w:hAnsi="Times New Roman" w:cs="Times New Roman"/>
          <w:i/>
          <w:u w:val="single"/>
        </w:rPr>
        <w:t>Gatekeeper and participant outreach</w:t>
      </w:r>
    </w:p>
    <w:p w:rsidR="009B6734" w:rsidRPr="00367E77" w:rsidRDefault="009B6734" w:rsidP="009B6734">
      <w:pPr>
        <w:jc w:val="both"/>
        <w:rPr>
          <w:rFonts w:ascii="Times New Roman" w:hAnsi="Times New Roman" w:cs="Times New Roman"/>
        </w:rPr>
      </w:pPr>
      <w:r w:rsidRPr="00367E77">
        <w:rPr>
          <w:rFonts w:ascii="Times New Roman" w:hAnsi="Times New Roman" w:cs="Times New Roman"/>
        </w:rPr>
        <w:t xml:space="preserve">Further, experience in 2012 led us to value the importance of reaching out to country-based contacts as early as possible, as this proved invaluable in terms of being able to efficiently use the limited time we had in each country in a meaningful way. We therefore plan to begin contacting these persons immediately and at the same time progressively expand our contact base. </w:t>
      </w:r>
    </w:p>
    <w:p w:rsidR="009B6734" w:rsidRPr="00367E77" w:rsidRDefault="009B6734" w:rsidP="009B6734">
      <w:pPr>
        <w:jc w:val="both"/>
        <w:rPr>
          <w:rFonts w:ascii="Times New Roman" w:hAnsi="Times New Roman" w:cs="Times New Roman"/>
          <w:b/>
        </w:rPr>
      </w:pPr>
      <w:r w:rsidRPr="00367E77">
        <w:rPr>
          <w:rFonts w:ascii="Times New Roman" w:hAnsi="Times New Roman" w:cs="Times New Roman"/>
          <w:b/>
        </w:rPr>
        <w:t>Publications and other outputs</w:t>
      </w:r>
    </w:p>
    <w:p w:rsidR="006435FC" w:rsidRPr="00367E77" w:rsidRDefault="006435FC" w:rsidP="009B6734">
      <w:pPr>
        <w:jc w:val="both"/>
        <w:rPr>
          <w:rFonts w:ascii="Times New Roman" w:hAnsi="Times New Roman" w:cs="Times New Roman"/>
        </w:rPr>
      </w:pPr>
      <w:r w:rsidRPr="00367E77">
        <w:rPr>
          <w:rFonts w:ascii="Times New Roman" w:hAnsi="Times New Roman" w:cs="Times New Roman"/>
        </w:rPr>
        <w:t>Professors Crock and McCallum submitted two articles for publication in 2012</w:t>
      </w:r>
      <w:r w:rsidR="00367E77">
        <w:rPr>
          <w:rFonts w:ascii="Times New Roman" w:hAnsi="Times New Roman" w:cs="Times New Roman"/>
        </w:rPr>
        <w:t xml:space="preserve"> that are related to this AusAID</w:t>
      </w:r>
      <w:r w:rsidRPr="00367E77">
        <w:rPr>
          <w:rFonts w:ascii="Times New Roman" w:hAnsi="Times New Roman" w:cs="Times New Roman"/>
        </w:rPr>
        <w:t xml:space="preserve"> project.  These are:</w:t>
      </w:r>
    </w:p>
    <w:p w:rsidR="006435FC" w:rsidRPr="00367E77" w:rsidRDefault="006435FC" w:rsidP="006435FC">
      <w:pPr>
        <w:jc w:val="both"/>
        <w:rPr>
          <w:rFonts w:ascii="Times New Roman" w:hAnsi="Times New Roman" w:cs="Times New Roman"/>
          <w:b/>
        </w:rPr>
      </w:pPr>
      <w:r w:rsidRPr="00367E77">
        <w:rPr>
          <w:rFonts w:ascii="Times New Roman" w:hAnsi="Times New Roman" w:cs="Times New Roman"/>
          <w:b/>
          <w:bCs/>
        </w:rPr>
        <w:t>Mary Crock, Naomi Hart and Ron McCallum “War, Law and Disability: Ensuring Equality in Situations of Crisis”</w:t>
      </w:r>
      <w:r w:rsidRPr="00367E77">
        <w:rPr>
          <w:rFonts w:ascii="Times New Roman" w:hAnsi="Times New Roman" w:cs="Times New Roman"/>
          <w:b/>
        </w:rPr>
        <w:t xml:space="preserve">, book chapter forthcoming in an edited collection of papers relating to the 2012 Shafallah Forum </w:t>
      </w:r>
      <w:r w:rsidRPr="00367E77">
        <w:rPr>
          <w:rFonts w:ascii="Times New Roman" w:hAnsi="Times New Roman" w:cs="Times New Roman"/>
          <w:b/>
          <w:i/>
        </w:rPr>
        <w:t xml:space="preserve">Crisis, Conflict and Disability: Ensuring Equality </w:t>
      </w:r>
      <w:r w:rsidRPr="00367E77">
        <w:rPr>
          <w:rFonts w:ascii="Times New Roman" w:hAnsi="Times New Roman" w:cs="Times New Roman"/>
          <w:b/>
        </w:rPr>
        <w:t>to be published in 2013 through Hart Publishing.</w:t>
      </w:r>
    </w:p>
    <w:p w:rsidR="006435FC" w:rsidRPr="00367E77" w:rsidRDefault="006435FC" w:rsidP="006435FC">
      <w:pPr>
        <w:jc w:val="both"/>
        <w:rPr>
          <w:rFonts w:ascii="Times New Roman" w:hAnsi="Times New Roman" w:cs="Times New Roman"/>
          <w:b/>
          <w:bCs/>
        </w:rPr>
      </w:pPr>
      <w:r w:rsidRPr="00367E77">
        <w:rPr>
          <w:rFonts w:ascii="Times New Roman" w:hAnsi="Times New Roman" w:cs="Times New Roman"/>
          <w:b/>
          <w:bCs/>
        </w:rPr>
        <w:lastRenderedPageBreak/>
        <w:t xml:space="preserve">Mary Crock, Christine Ernst and Ron McCallum </w:t>
      </w:r>
      <w:r w:rsidRPr="00367E77">
        <w:rPr>
          <w:rFonts w:ascii="Times New Roman" w:hAnsi="Times New Roman" w:cs="Times New Roman"/>
          <w:b/>
        </w:rPr>
        <w:t xml:space="preserve">“Where Disability and Displacement Intersect: Asylum Seekers and Refugees with Disabilities” (2012) </w:t>
      </w:r>
      <w:r w:rsidRPr="00367E77">
        <w:rPr>
          <w:rFonts w:ascii="Times New Roman" w:hAnsi="Times New Roman" w:cs="Times New Roman"/>
          <w:b/>
          <w:i/>
        </w:rPr>
        <w:t>International Journal of Refugee Law</w:t>
      </w:r>
      <w:r w:rsidRPr="00367E77">
        <w:rPr>
          <w:rFonts w:ascii="Times New Roman" w:hAnsi="Times New Roman" w:cs="Times New Roman"/>
          <w:b/>
        </w:rPr>
        <w:t xml:space="preserve"> (forthcoming)</w:t>
      </w:r>
      <w:r w:rsidR="000D6061" w:rsidRPr="00367E77">
        <w:rPr>
          <w:rFonts w:ascii="Times New Roman" w:hAnsi="Times New Roman" w:cs="Times New Roman"/>
          <w:b/>
        </w:rPr>
        <w:t>.</w:t>
      </w:r>
      <w:r w:rsidRPr="00367E77">
        <w:rPr>
          <w:rFonts w:ascii="Times New Roman" w:hAnsi="Times New Roman" w:cs="Times New Roman"/>
          <w:b/>
        </w:rPr>
        <w:t xml:space="preserve"> </w:t>
      </w:r>
    </w:p>
    <w:p w:rsidR="009B6734" w:rsidRPr="00367E77" w:rsidRDefault="009B6734" w:rsidP="009B6734">
      <w:pPr>
        <w:jc w:val="both"/>
        <w:rPr>
          <w:rFonts w:ascii="Times New Roman" w:hAnsi="Times New Roman" w:cs="Times New Roman"/>
        </w:rPr>
      </w:pPr>
      <w:r w:rsidRPr="00367E77">
        <w:rPr>
          <w:rFonts w:ascii="Times New Roman" w:hAnsi="Times New Roman" w:cs="Times New Roman"/>
        </w:rPr>
        <w:t>A</w:t>
      </w:r>
      <w:r w:rsidR="006435FC" w:rsidRPr="00367E77">
        <w:rPr>
          <w:rFonts w:ascii="Times New Roman" w:hAnsi="Times New Roman" w:cs="Times New Roman"/>
        </w:rPr>
        <w:t>n</w:t>
      </w:r>
      <w:r w:rsidRPr="00367E77">
        <w:rPr>
          <w:rFonts w:ascii="Times New Roman" w:hAnsi="Times New Roman" w:cs="Times New Roman"/>
        </w:rPr>
        <w:t xml:space="preserve"> article exploring disability identification in displacement </w:t>
      </w:r>
      <w:r w:rsidR="00F8625C" w:rsidRPr="00367E77">
        <w:rPr>
          <w:rFonts w:ascii="Times New Roman" w:hAnsi="Times New Roman" w:cs="Times New Roman"/>
        </w:rPr>
        <w:t>is currently being</w:t>
      </w:r>
      <w:r w:rsidRPr="00367E77">
        <w:rPr>
          <w:rFonts w:ascii="Times New Roman" w:hAnsi="Times New Roman" w:cs="Times New Roman"/>
        </w:rPr>
        <w:t xml:space="preserve"> finalised and </w:t>
      </w:r>
      <w:r w:rsidR="00F8625C" w:rsidRPr="00367E77">
        <w:rPr>
          <w:rFonts w:ascii="Times New Roman" w:hAnsi="Times New Roman" w:cs="Times New Roman"/>
        </w:rPr>
        <w:t>publication options will subsequently be explored.</w:t>
      </w:r>
    </w:p>
    <w:p w:rsidR="009B6734" w:rsidRPr="00367E77" w:rsidRDefault="009B6734" w:rsidP="009B6734">
      <w:pPr>
        <w:jc w:val="both"/>
        <w:rPr>
          <w:rFonts w:ascii="Times New Roman" w:hAnsi="Times New Roman" w:cs="Times New Roman"/>
        </w:rPr>
      </w:pPr>
      <w:r w:rsidRPr="00367E77">
        <w:rPr>
          <w:rFonts w:ascii="Times New Roman" w:hAnsi="Times New Roman" w:cs="Times New Roman"/>
        </w:rPr>
        <w:t xml:space="preserve">Country reports for Malaysia and Indonesia will also be finalised and shared with stakeholders. In relation to this, the team will continue to advocate for a trial of the disability identification tool within UNHCR in Malaysia and IOM in Indonesia.  </w:t>
      </w:r>
    </w:p>
    <w:p w:rsidR="009B6734" w:rsidRPr="007D0939" w:rsidRDefault="009B6734" w:rsidP="0014199A">
      <w:pPr>
        <w:jc w:val="both"/>
        <w:rPr>
          <w:rFonts w:ascii="Times New Roman" w:hAnsi="Times New Roman" w:cs="Times New Roman"/>
        </w:rPr>
      </w:pPr>
    </w:p>
    <w:sectPr w:rsidR="009B6734" w:rsidRPr="007D0939" w:rsidSect="00813B2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B76" w:rsidRDefault="00E55B76" w:rsidP="007D428F">
      <w:pPr>
        <w:spacing w:after="0" w:line="240" w:lineRule="auto"/>
      </w:pPr>
      <w:r>
        <w:separator/>
      </w:r>
    </w:p>
  </w:endnote>
  <w:endnote w:type="continuationSeparator" w:id="0">
    <w:p w:rsidR="00E55B76" w:rsidRDefault="00E55B76" w:rsidP="007D4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59B" w:rsidRDefault="001935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320032"/>
      <w:docPartObj>
        <w:docPartGallery w:val="Page Numbers (Bottom of Page)"/>
        <w:docPartUnique/>
      </w:docPartObj>
    </w:sdtPr>
    <w:sdtEndPr>
      <w:rPr>
        <w:rFonts w:ascii="Times New Roman" w:hAnsi="Times New Roman" w:cs="Times New Roman"/>
      </w:rPr>
    </w:sdtEndPr>
    <w:sdtContent>
      <w:p w:rsidR="00993E65" w:rsidRPr="00993E65" w:rsidRDefault="00FA29D9">
        <w:pPr>
          <w:pStyle w:val="Footer"/>
          <w:jc w:val="right"/>
          <w:rPr>
            <w:rFonts w:ascii="Times New Roman" w:hAnsi="Times New Roman" w:cs="Times New Roman"/>
          </w:rPr>
        </w:pPr>
        <w:r w:rsidRPr="00993E65">
          <w:rPr>
            <w:rFonts w:ascii="Times New Roman" w:hAnsi="Times New Roman" w:cs="Times New Roman"/>
          </w:rPr>
          <w:fldChar w:fldCharType="begin"/>
        </w:r>
        <w:r w:rsidR="00993E65" w:rsidRPr="00993E65">
          <w:rPr>
            <w:rFonts w:ascii="Times New Roman" w:hAnsi="Times New Roman" w:cs="Times New Roman"/>
          </w:rPr>
          <w:instrText xml:space="preserve"> PAGE   \* MERGEFORMAT </w:instrText>
        </w:r>
        <w:r w:rsidRPr="00993E65">
          <w:rPr>
            <w:rFonts w:ascii="Times New Roman" w:hAnsi="Times New Roman" w:cs="Times New Roman"/>
          </w:rPr>
          <w:fldChar w:fldCharType="separate"/>
        </w:r>
        <w:r w:rsidR="0019359B">
          <w:rPr>
            <w:rFonts w:ascii="Times New Roman" w:hAnsi="Times New Roman" w:cs="Times New Roman"/>
            <w:noProof/>
          </w:rPr>
          <w:t>1</w:t>
        </w:r>
        <w:r w:rsidRPr="00993E65">
          <w:rPr>
            <w:rFonts w:ascii="Times New Roman" w:hAnsi="Times New Roman" w:cs="Times New Roman"/>
          </w:rPr>
          <w:fldChar w:fldCharType="end"/>
        </w:r>
      </w:p>
    </w:sdtContent>
  </w:sdt>
  <w:p w:rsidR="00993E65" w:rsidRDefault="00993E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59B" w:rsidRDefault="001935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B76" w:rsidRDefault="00E55B76" w:rsidP="007D428F">
      <w:pPr>
        <w:spacing w:after="0" w:line="240" w:lineRule="auto"/>
      </w:pPr>
      <w:r>
        <w:separator/>
      </w:r>
    </w:p>
  </w:footnote>
  <w:footnote w:type="continuationSeparator" w:id="0">
    <w:p w:rsidR="00E55B76" w:rsidRDefault="00E55B76" w:rsidP="007D428F">
      <w:pPr>
        <w:spacing w:after="0" w:line="240" w:lineRule="auto"/>
      </w:pPr>
      <w:r>
        <w:continuationSeparator/>
      </w:r>
    </w:p>
  </w:footnote>
  <w:footnote w:id="1">
    <w:p w:rsidR="007D428F" w:rsidRPr="00926DB3" w:rsidRDefault="007D428F" w:rsidP="007D428F">
      <w:pPr>
        <w:pStyle w:val="FootnoteText"/>
        <w:rPr>
          <w:rFonts w:ascii="Times New Roman" w:hAnsi="Times New Roman" w:cs="Times New Roman"/>
        </w:rPr>
      </w:pPr>
      <w:r w:rsidRPr="00926DB3">
        <w:rPr>
          <w:rStyle w:val="FootnoteReference"/>
          <w:rFonts w:ascii="Times New Roman" w:hAnsi="Times New Roman" w:cs="Times New Roman"/>
        </w:rPr>
        <w:footnoteRef/>
      </w:r>
      <w:r w:rsidRPr="00926DB3">
        <w:rPr>
          <w:rFonts w:ascii="Times New Roman" w:hAnsi="Times New Roman" w:cs="Times New Roman"/>
        </w:rPr>
        <w:t xml:space="preserve"> Total number from Myanmar registered with UNHCR, at end of June 2012, was 91400. UNHCR Malaysia, </w:t>
      </w:r>
      <w:r w:rsidRPr="00926DB3">
        <w:rPr>
          <w:rFonts w:ascii="Times New Roman" w:hAnsi="Times New Roman" w:cs="Times New Roman"/>
          <w:i/>
        </w:rPr>
        <w:t>Figures at a Glance,</w:t>
      </w:r>
      <w:r w:rsidRPr="00926DB3">
        <w:rPr>
          <w:rFonts w:ascii="Times New Roman" w:hAnsi="Times New Roman" w:cs="Times New Roman"/>
        </w:rPr>
        <w:t xml:space="preserve"> online, &lt;http://www.unhcr.org.my/About_Us-@-Figures_At_A_Glance.aspx&gt;. </w:t>
      </w:r>
    </w:p>
  </w:footnote>
  <w:footnote w:id="2">
    <w:p w:rsidR="007D428F" w:rsidRPr="00F22457" w:rsidRDefault="007D428F" w:rsidP="007D428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59B" w:rsidRDefault="001935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59B" w:rsidRDefault="001935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59B" w:rsidRDefault="001935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8F"/>
    <w:rsid w:val="00044CF3"/>
    <w:rsid w:val="000544EB"/>
    <w:rsid w:val="000D0F89"/>
    <w:rsid w:val="000D6061"/>
    <w:rsid w:val="0014199A"/>
    <w:rsid w:val="001541BE"/>
    <w:rsid w:val="00187E8F"/>
    <w:rsid w:val="0019359B"/>
    <w:rsid w:val="002D2A53"/>
    <w:rsid w:val="003244A0"/>
    <w:rsid w:val="00325CFB"/>
    <w:rsid w:val="00367E77"/>
    <w:rsid w:val="003B57FC"/>
    <w:rsid w:val="003D5968"/>
    <w:rsid w:val="003F20BE"/>
    <w:rsid w:val="003F5E2B"/>
    <w:rsid w:val="004B112F"/>
    <w:rsid w:val="004C39A4"/>
    <w:rsid w:val="004C5296"/>
    <w:rsid w:val="005A49FC"/>
    <w:rsid w:val="00622409"/>
    <w:rsid w:val="006435FC"/>
    <w:rsid w:val="007D0939"/>
    <w:rsid w:val="007D428F"/>
    <w:rsid w:val="00813B20"/>
    <w:rsid w:val="008175C1"/>
    <w:rsid w:val="008657C3"/>
    <w:rsid w:val="00926DB3"/>
    <w:rsid w:val="00993E65"/>
    <w:rsid w:val="009A0C36"/>
    <w:rsid w:val="009B6734"/>
    <w:rsid w:val="009E4F27"/>
    <w:rsid w:val="009E6E1C"/>
    <w:rsid w:val="00A63121"/>
    <w:rsid w:val="00AA2C4F"/>
    <w:rsid w:val="00AE4621"/>
    <w:rsid w:val="00B07B50"/>
    <w:rsid w:val="00C05C9C"/>
    <w:rsid w:val="00C520BA"/>
    <w:rsid w:val="00C71998"/>
    <w:rsid w:val="00C74DD5"/>
    <w:rsid w:val="00E06CA8"/>
    <w:rsid w:val="00E21084"/>
    <w:rsid w:val="00E55B76"/>
    <w:rsid w:val="00E6244F"/>
    <w:rsid w:val="00EE4617"/>
    <w:rsid w:val="00F10274"/>
    <w:rsid w:val="00F8625C"/>
    <w:rsid w:val="00FA29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D42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428F"/>
    <w:rPr>
      <w:sz w:val="20"/>
      <w:szCs w:val="20"/>
    </w:rPr>
  </w:style>
  <w:style w:type="character" w:styleId="FootnoteReference">
    <w:name w:val="footnote reference"/>
    <w:basedOn w:val="DefaultParagraphFont"/>
    <w:uiPriority w:val="99"/>
    <w:semiHidden/>
    <w:unhideWhenUsed/>
    <w:rsid w:val="007D428F"/>
    <w:rPr>
      <w:vertAlign w:val="superscript"/>
    </w:rPr>
  </w:style>
  <w:style w:type="paragraph" w:styleId="BalloonText">
    <w:name w:val="Balloon Text"/>
    <w:basedOn w:val="Normal"/>
    <w:link w:val="BalloonTextChar"/>
    <w:uiPriority w:val="99"/>
    <w:semiHidden/>
    <w:unhideWhenUsed/>
    <w:rsid w:val="007D4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28F"/>
    <w:rPr>
      <w:rFonts w:ascii="Tahoma" w:hAnsi="Tahoma" w:cs="Tahoma"/>
      <w:sz w:val="16"/>
      <w:szCs w:val="16"/>
    </w:rPr>
  </w:style>
  <w:style w:type="paragraph" w:styleId="Header">
    <w:name w:val="header"/>
    <w:basedOn w:val="Normal"/>
    <w:link w:val="HeaderChar"/>
    <w:uiPriority w:val="99"/>
    <w:unhideWhenUsed/>
    <w:rsid w:val="00993E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E65"/>
  </w:style>
  <w:style w:type="paragraph" w:styleId="Footer">
    <w:name w:val="footer"/>
    <w:basedOn w:val="Normal"/>
    <w:link w:val="FooterChar"/>
    <w:uiPriority w:val="99"/>
    <w:unhideWhenUsed/>
    <w:rsid w:val="00993E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E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D42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428F"/>
    <w:rPr>
      <w:sz w:val="20"/>
      <w:szCs w:val="20"/>
    </w:rPr>
  </w:style>
  <w:style w:type="character" w:styleId="FootnoteReference">
    <w:name w:val="footnote reference"/>
    <w:basedOn w:val="DefaultParagraphFont"/>
    <w:uiPriority w:val="99"/>
    <w:semiHidden/>
    <w:unhideWhenUsed/>
    <w:rsid w:val="007D428F"/>
    <w:rPr>
      <w:vertAlign w:val="superscript"/>
    </w:rPr>
  </w:style>
  <w:style w:type="paragraph" w:styleId="BalloonText">
    <w:name w:val="Balloon Text"/>
    <w:basedOn w:val="Normal"/>
    <w:link w:val="BalloonTextChar"/>
    <w:uiPriority w:val="99"/>
    <w:semiHidden/>
    <w:unhideWhenUsed/>
    <w:rsid w:val="007D4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28F"/>
    <w:rPr>
      <w:rFonts w:ascii="Tahoma" w:hAnsi="Tahoma" w:cs="Tahoma"/>
      <w:sz w:val="16"/>
      <w:szCs w:val="16"/>
    </w:rPr>
  </w:style>
  <w:style w:type="paragraph" w:styleId="Header">
    <w:name w:val="header"/>
    <w:basedOn w:val="Normal"/>
    <w:link w:val="HeaderChar"/>
    <w:uiPriority w:val="99"/>
    <w:unhideWhenUsed/>
    <w:rsid w:val="00993E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E65"/>
  </w:style>
  <w:style w:type="paragraph" w:styleId="Footer">
    <w:name w:val="footer"/>
    <w:basedOn w:val="Normal"/>
    <w:link w:val="FooterChar"/>
    <w:uiPriority w:val="99"/>
    <w:unhideWhenUsed/>
    <w:rsid w:val="00993E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17" Type="http://schemas.openxmlformats.org/officeDocument/2006/relationships/customXml" Target="../customXml/item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lsmi5747\My%20Documents\Dropbox\AusAID\Questionnaires\KL%20Interviews\Malaysia%20data%20and%20graph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lsmi5747\Application%20Data\Microsoft\Excel\Indonesia%20Aggregated%20Data%20(version%201).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Figure A: Individual</a:t>
            </a:r>
            <a:r>
              <a:rPr lang="en-US" sz="1200" baseline="0"/>
              <a:t> Interview </a:t>
            </a:r>
            <a:r>
              <a:rPr lang="en-US" sz="1200"/>
              <a:t>Participants by Country of Origin </a:t>
            </a:r>
          </a:p>
          <a:p>
            <a:pPr>
              <a:defRPr/>
            </a:pPr>
            <a:r>
              <a:rPr lang="en-US" sz="1200"/>
              <a:t>-</a:t>
            </a:r>
            <a:r>
              <a:rPr lang="en-US" sz="1200" baseline="0"/>
              <a:t> </a:t>
            </a:r>
            <a:r>
              <a:rPr lang="en-US" sz="1200"/>
              <a:t>Malaysia</a:t>
            </a:r>
          </a:p>
        </c:rich>
      </c:tx>
      <c:layout>
        <c:manualLayout>
          <c:xMode val="edge"/>
          <c:yMode val="edge"/>
          <c:x val="0.12040500502953963"/>
          <c:y val="0"/>
        </c:manualLayout>
      </c:layout>
      <c:overlay val="0"/>
    </c:title>
    <c:autoTitleDeleted val="0"/>
    <c:plotArea>
      <c:layout>
        <c:manualLayout>
          <c:layoutTarget val="inner"/>
          <c:xMode val="edge"/>
          <c:yMode val="edge"/>
          <c:x val="0.25366488040906332"/>
          <c:y val="0.22368969342749717"/>
          <c:w val="0.44813212526338453"/>
          <c:h val="0.62238006331682771"/>
        </c:manualLayout>
      </c:layout>
      <c:pieChart>
        <c:varyColors val="1"/>
        <c:ser>
          <c:idx val="0"/>
          <c:order val="0"/>
          <c:tx>
            <c:v>Countries of Origin</c:v>
          </c:tx>
          <c:spPr>
            <a:ln>
              <a:solidFill>
                <a:schemeClr val="tx1">
                  <a:lumMod val="50000"/>
                  <a:lumOff val="50000"/>
                </a:schemeClr>
              </a:solidFill>
            </a:ln>
          </c:spPr>
          <c:dPt>
            <c:idx val="0"/>
            <c:bubble3D val="0"/>
            <c:spPr>
              <a:solidFill>
                <a:schemeClr val="tx2">
                  <a:lumMod val="20000"/>
                  <a:lumOff val="80000"/>
                </a:schemeClr>
              </a:solidFill>
              <a:ln>
                <a:solidFill>
                  <a:schemeClr val="tx1">
                    <a:lumMod val="50000"/>
                    <a:lumOff val="50000"/>
                  </a:schemeClr>
                </a:solidFill>
              </a:ln>
            </c:spPr>
          </c:dPt>
          <c:dPt>
            <c:idx val="1"/>
            <c:bubble3D val="0"/>
            <c:spPr>
              <a:solidFill>
                <a:schemeClr val="accent2">
                  <a:lumMod val="40000"/>
                  <a:lumOff val="60000"/>
                </a:schemeClr>
              </a:solidFill>
              <a:ln>
                <a:solidFill>
                  <a:schemeClr val="tx1">
                    <a:lumMod val="50000"/>
                    <a:lumOff val="50000"/>
                  </a:schemeClr>
                </a:solidFill>
              </a:ln>
            </c:spPr>
          </c:dPt>
          <c:dPt>
            <c:idx val="2"/>
            <c:bubble3D val="0"/>
            <c:spPr>
              <a:solidFill>
                <a:schemeClr val="accent3">
                  <a:lumMod val="40000"/>
                  <a:lumOff val="60000"/>
                </a:schemeClr>
              </a:solidFill>
              <a:ln>
                <a:solidFill>
                  <a:schemeClr val="tx1">
                    <a:lumMod val="50000"/>
                    <a:lumOff val="50000"/>
                  </a:schemeClr>
                </a:solidFill>
              </a:ln>
            </c:spPr>
          </c:dPt>
          <c:dPt>
            <c:idx val="3"/>
            <c:bubble3D val="0"/>
            <c:spPr>
              <a:solidFill>
                <a:schemeClr val="accent4">
                  <a:lumMod val="40000"/>
                  <a:lumOff val="60000"/>
                </a:schemeClr>
              </a:solidFill>
              <a:ln>
                <a:solidFill>
                  <a:schemeClr val="tx1">
                    <a:lumMod val="50000"/>
                    <a:lumOff val="50000"/>
                  </a:schemeClr>
                </a:solidFill>
              </a:ln>
            </c:spPr>
          </c:dPt>
          <c:dLbls>
            <c:showLegendKey val="0"/>
            <c:showVal val="0"/>
            <c:showCatName val="1"/>
            <c:showSerName val="0"/>
            <c:showPercent val="1"/>
            <c:showBubbleSize val="0"/>
            <c:showLeaderLines val="1"/>
          </c:dLbls>
          <c:cat>
            <c:strLit>
              <c:ptCount val="4"/>
              <c:pt idx="0">
                <c:v>Myanmar</c:v>
              </c:pt>
              <c:pt idx="1">
                <c:v>Afghanistan</c:v>
              </c:pt>
              <c:pt idx="2">
                <c:v>Iran</c:v>
              </c:pt>
              <c:pt idx="3">
                <c:v>Sri Lanka</c:v>
              </c:pt>
            </c:strLit>
          </c:cat>
          <c:val>
            <c:numRef>
              <c:f>(Demographics!$C$17,Demographics!$C$20,Demographics!$C$24,Demographics!$C$27)</c:f>
              <c:numCache>
                <c:formatCode>General</c:formatCode>
                <c:ptCount val="4"/>
                <c:pt idx="0">
                  <c:v>112</c:v>
                </c:pt>
                <c:pt idx="1">
                  <c:v>4</c:v>
                </c:pt>
                <c:pt idx="2">
                  <c:v>5</c:v>
                </c:pt>
                <c:pt idx="3">
                  <c:v>30</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spPr>
    <a:solidFill>
      <a:schemeClr val="bg1"/>
    </a:soli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manualLayout>
          <c:layoutTarget val="inner"/>
          <c:xMode val="edge"/>
          <c:yMode val="edge"/>
          <c:x val="0.19722222222222224"/>
          <c:y val="0.26379096313748257"/>
          <c:w val="0.50968537731066876"/>
          <c:h val="0.62339471345609576"/>
        </c:manualLayout>
      </c:layout>
      <c:pieChart>
        <c:varyColors val="1"/>
        <c:ser>
          <c:idx val="0"/>
          <c:order val="0"/>
          <c:dPt>
            <c:idx val="0"/>
            <c:bubble3D val="0"/>
            <c:spPr>
              <a:solidFill>
                <a:schemeClr val="accent2">
                  <a:lumMod val="40000"/>
                  <a:lumOff val="60000"/>
                </a:schemeClr>
              </a:solidFill>
            </c:spPr>
          </c:dPt>
          <c:dPt>
            <c:idx val="1"/>
            <c:bubble3D val="0"/>
            <c:spPr>
              <a:solidFill>
                <a:schemeClr val="accent3">
                  <a:lumMod val="40000"/>
                  <a:lumOff val="60000"/>
                </a:schemeClr>
              </a:solidFill>
            </c:spPr>
          </c:dPt>
          <c:dPt>
            <c:idx val="2"/>
            <c:bubble3D val="0"/>
            <c:spPr>
              <a:solidFill>
                <a:schemeClr val="accent6">
                  <a:lumMod val="40000"/>
                  <a:lumOff val="60000"/>
                </a:schemeClr>
              </a:solidFill>
            </c:spPr>
          </c:dPt>
          <c:dPt>
            <c:idx val="3"/>
            <c:bubble3D val="0"/>
            <c:spPr>
              <a:solidFill>
                <a:schemeClr val="accent4">
                  <a:lumMod val="40000"/>
                  <a:lumOff val="60000"/>
                </a:schemeClr>
              </a:solidFill>
            </c:spPr>
          </c:dPt>
          <c:dPt>
            <c:idx val="4"/>
            <c:bubble3D val="0"/>
            <c:spPr>
              <a:solidFill>
                <a:schemeClr val="accent5">
                  <a:lumMod val="40000"/>
                  <a:lumOff val="60000"/>
                </a:schemeClr>
              </a:solidFill>
            </c:spPr>
          </c:dPt>
          <c:dLbls>
            <c:showLegendKey val="0"/>
            <c:showVal val="0"/>
            <c:showCatName val="1"/>
            <c:showSerName val="0"/>
            <c:showPercent val="1"/>
            <c:showBubbleSize val="0"/>
            <c:showLeaderLines val="1"/>
          </c:dLbls>
          <c:cat>
            <c:strRef>
              <c:f>Sheet3!$F$61:$F$65</c:f>
              <c:strCache>
                <c:ptCount val="5"/>
                <c:pt idx="0">
                  <c:v>Afghanistan </c:v>
                </c:pt>
                <c:pt idx="1">
                  <c:v>Iran</c:v>
                </c:pt>
                <c:pt idx="2">
                  <c:v>Iraq</c:v>
                </c:pt>
                <c:pt idx="3">
                  <c:v>Sri Lanka</c:v>
                </c:pt>
                <c:pt idx="4">
                  <c:v>Somalia</c:v>
                </c:pt>
              </c:strCache>
            </c:strRef>
          </c:cat>
          <c:val>
            <c:numRef>
              <c:f>Sheet3!$G$61:$G$65</c:f>
              <c:numCache>
                <c:formatCode>General</c:formatCode>
                <c:ptCount val="5"/>
                <c:pt idx="0">
                  <c:v>30</c:v>
                </c:pt>
                <c:pt idx="1">
                  <c:v>14</c:v>
                </c:pt>
                <c:pt idx="2">
                  <c:v>3</c:v>
                </c:pt>
                <c:pt idx="3">
                  <c:v>9</c:v>
                </c:pt>
                <c:pt idx="4">
                  <c:v>2</c:v>
                </c:pt>
              </c:numCache>
            </c:numRef>
          </c:val>
        </c:ser>
        <c:dLbls>
          <c:showLegendKey val="0"/>
          <c:showVal val="0"/>
          <c:showCatName val="0"/>
          <c:showSerName val="0"/>
          <c:showPercent val="0"/>
          <c:showBubbleSize val="0"/>
          <c:showLeaderLines val="1"/>
        </c:dLbls>
        <c:firstSliceAng val="0"/>
      </c:pieChart>
    </c:plotArea>
    <c:plotVisOnly val="1"/>
    <c:dispBlanksAs val="zero"/>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cdr:x>
      <cdr:y>0</cdr:y>
    </cdr:from>
    <cdr:to>
      <cdr:x>0.71667</cdr:x>
      <cdr:y>0.12153</cdr:y>
    </cdr:to>
    <cdr:sp macro="" textlink="">
      <cdr:nvSpPr>
        <cdr:cNvPr id="2" name="TextBox 1"/>
        <cdr:cNvSpPr txBox="1"/>
      </cdr:nvSpPr>
      <cdr:spPr>
        <a:xfrm xmlns:a="http://schemas.openxmlformats.org/drawingml/2006/main">
          <a:off x="1371600" y="-76200"/>
          <a:ext cx="1905000" cy="3333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0.04506</cdr:x>
      <cdr:y>0.03248</cdr:y>
    </cdr:from>
    <cdr:to>
      <cdr:x>0.98283</cdr:x>
      <cdr:y>0.15931</cdr:y>
    </cdr:to>
    <cdr:sp macro="" textlink="">
      <cdr:nvSpPr>
        <cdr:cNvPr id="3" name="TextBox 2"/>
        <cdr:cNvSpPr txBox="1"/>
      </cdr:nvSpPr>
      <cdr:spPr>
        <a:xfrm xmlns:a="http://schemas.openxmlformats.org/drawingml/2006/main">
          <a:off x="200026" y="126224"/>
          <a:ext cx="4162424" cy="49290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AU" sz="1200" b="1"/>
            <a:t>Figure B: Interview</a:t>
          </a:r>
          <a:r>
            <a:rPr lang="en-AU" sz="1200" b="1" baseline="0"/>
            <a:t> Participants  by Country of Origin - Indonesia</a:t>
          </a:r>
          <a:endParaRPr lang="en-AU" sz="1200" b="1"/>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527E9E-7F8E-4D7D-BCF4-6F10C2CF1423}"/>
</file>

<file path=customXml/itemProps2.xml><?xml version="1.0" encoding="utf-8"?>
<ds:datastoreItem xmlns:ds="http://schemas.openxmlformats.org/officeDocument/2006/customXml" ds:itemID="{9CE68CBE-F43E-4607-83CC-29A845DA1C01}"/>
</file>

<file path=customXml/itemProps3.xml><?xml version="1.0" encoding="utf-8"?>
<ds:datastoreItem xmlns:ds="http://schemas.openxmlformats.org/officeDocument/2006/customXml" ds:itemID="{125D1BE8-3DC0-4323-A299-9A01FD3376D7}"/>
</file>

<file path=docProps/app.xml><?xml version="1.0" encoding="utf-8"?>
<Properties xmlns="http://schemas.openxmlformats.org/officeDocument/2006/extended-properties" xmlns:vt="http://schemas.openxmlformats.org/officeDocument/2006/docPropsVTypes">
  <Template>Normal.dotm</Template>
  <TotalTime>0</TotalTime>
  <Pages>5</Pages>
  <Words>1322</Words>
  <Characters>7536</Characters>
  <Application>Microsoft Office Word</Application>
  <DocSecurity>0</DocSecurity>
  <Lines>62</Lines>
  <Paragraphs>17</Paragraphs>
  <ScaleCrop>false</ScaleCrop>
  <Company/>
  <LinksUpToDate>false</LinksUpToDate>
  <CharactersWithSpaces>8841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2013-04-02T00:28:00Z</dcterms:created>
  <dcterms:modified xsi:type="dcterms:W3CDTF">2013-04-02T00:28:00Z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