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596B" w14:textId="0B920862" w:rsidR="00D038A5" w:rsidRPr="00A909A9" w:rsidRDefault="007D7BA2" w:rsidP="004F6232">
      <w:pPr>
        <w:pStyle w:val="BodyText"/>
        <w:rPr>
          <w:b/>
          <w:bCs/>
          <w:color w:val="auto"/>
          <w:sz w:val="28"/>
          <w:szCs w:val="28"/>
        </w:rPr>
      </w:pPr>
      <w:r w:rsidRPr="00A909A9">
        <w:rPr>
          <w:b/>
          <w:bCs/>
          <w:color w:val="auto"/>
          <w:sz w:val="28"/>
          <w:szCs w:val="28"/>
        </w:rPr>
        <w:t xml:space="preserve">Australia Indonesia Partnership for Economic Development (Prospera) </w:t>
      </w:r>
    </w:p>
    <w:p w14:paraId="486DA10F" w14:textId="72AE7FCB" w:rsidR="004F6232" w:rsidRPr="00A909A9" w:rsidRDefault="004F6232" w:rsidP="004F6232">
      <w:pPr>
        <w:pStyle w:val="BodyText"/>
        <w:rPr>
          <w:b/>
          <w:bCs/>
          <w:color w:val="auto"/>
          <w:sz w:val="28"/>
          <w:szCs w:val="28"/>
        </w:rPr>
      </w:pPr>
      <w:r w:rsidRPr="00A909A9">
        <w:rPr>
          <w:b/>
          <w:bCs/>
          <w:color w:val="auto"/>
          <w:sz w:val="28"/>
          <w:szCs w:val="28"/>
        </w:rPr>
        <w:t xml:space="preserve">Management Response to the </w:t>
      </w:r>
      <w:r w:rsidR="00437BAC">
        <w:rPr>
          <w:b/>
          <w:bCs/>
          <w:color w:val="auto"/>
          <w:sz w:val="28"/>
          <w:szCs w:val="28"/>
        </w:rPr>
        <w:t xml:space="preserve">Prospera Independent </w:t>
      </w:r>
      <w:r w:rsidR="0073601C">
        <w:rPr>
          <w:b/>
          <w:bCs/>
          <w:color w:val="auto"/>
          <w:sz w:val="28"/>
          <w:szCs w:val="28"/>
        </w:rPr>
        <w:t xml:space="preserve">Strategic </w:t>
      </w:r>
      <w:r w:rsidR="00437BAC">
        <w:rPr>
          <w:b/>
          <w:bCs/>
          <w:color w:val="auto"/>
          <w:sz w:val="28"/>
          <w:szCs w:val="28"/>
        </w:rPr>
        <w:t xml:space="preserve">Evaluation </w:t>
      </w:r>
      <w:r w:rsidR="001C48F8">
        <w:rPr>
          <w:b/>
          <w:bCs/>
          <w:color w:val="auto"/>
          <w:sz w:val="28"/>
          <w:szCs w:val="28"/>
        </w:rPr>
        <w:t>(September 2024 – April 2025)</w:t>
      </w:r>
    </w:p>
    <w:p w14:paraId="63F93A07" w14:textId="64BC0B61" w:rsidR="00271AF2" w:rsidRPr="00A909A9" w:rsidRDefault="00271AF2" w:rsidP="00271AF2">
      <w:pPr>
        <w:pStyle w:val="Heading3"/>
        <w:rPr>
          <w:b/>
          <w:bCs w:val="0"/>
          <w:color w:val="auto"/>
        </w:rPr>
      </w:pPr>
      <w:r w:rsidRPr="00A909A9">
        <w:rPr>
          <w:b/>
          <w:bCs w:val="0"/>
          <w:color w:val="auto"/>
        </w:rPr>
        <w:t xml:space="preserve">Summary of </w:t>
      </w:r>
      <w:r w:rsidR="000A4A5A" w:rsidRPr="00A909A9">
        <w:rPr>
          <w:b/>
          <w:bCs w:val="0"/>
          <w:color w:val="auto"/>
        </w:rPr>
        <w:t>M</w:t>
      </w:r>
      <w:r w:rsidRPr="00A909A9">
        <w:rPr>
          <w:b/>
          <w:bCs w:val="0"/>
          <w:color w:val="auto"/>
        </w:rPr>
        <w:t xml:space="preserve">anagement </w:t>
      </w:r>
      <w:r w:rsidR="000A4A5A" w:rsidRPr="00A909A9">
        <w:rPr>
          <w:b/>
          <w:bCs w:val="0"/>
          <w:color w:val="auto"/>
        </w:rPr>
        <w:t>R</w:t>
      </w:r>
      <w:r w:rsidRPr="00A909A9">
        <w:rPr>
          <w:b/>
          <w:bCs w:val="0"/>
          <w:color w:val="auto"/>
        </w:rPr>
        <w:t xml:space="preserve">esponse </w:t>
      </w:r>
    </w:p>
    <w:p w14:paraId="1E078B2A" w14:textId="29ACADF8" w:rsidR="00304E10" w:rsidRPr="00A909A9" w:rsidRDefault="64D04CAD" w:rsidP="001109F7">
      <w:pPr>
        <w:pStyle w:val="BodyText"/>
        <w:rPr>
          <w:color w:val="auto"/>
        </w:rPr>
      </w:pPr>
      <w:r w:rsidRPr="55498A46">
        <w:rPr>
          <w:color w:val="auto"/>
        </w:rPr>
        <w:t>An Independent</w:t>
      </w:r>
      <w:r w:rsidR="0FB50403" w:rsidRPr="55498A46">
        <w:rPr>
          <w:color w:val="auto"/>
        </w:rPr>
        <w:t xml:space="preserve"> Strategic Evaluatio</w:t>
      </w:r>
      <w:r w:rsidR="0FB50403" w:rsidRPr="55498A46">
        <w:rPr>
          <w:rFonts w:eastAsiaTheme="minorEastAsia"/>
          <w:color w:val="auto"/>
        </w:rPr>
        <w:t xml:space="preserve">n </w:t>
      </w:r>
      <w:r w:rsidR="164575CB" w:rsidRPr="55498A46">
        <w:rPr>
          <w:rFonts w:eastAsiaTheme="minorEastAsia"/>
          <w:color w:val="auto"/>
        </w:rPr>
        <w:t xml:space="preserve">of </w:t>
      </w:r>
      <w:r w:rsidR="44EFD609" w:rsidRPr="55498A46">
        <w:rPr>
          <w:rFonts w:eastAsiaTheme="minorEastAsia"/>
          <w:color w:val="auto"/>
        </w:rPr>
        <w:t xml:space="preserve">the </w:t>
      </w:r>
      <w:r w:rsidR="164575CB" w:rsidRPr="55498A46">
        <w:rPr>
          <w:rFonts w:eastAsiaTheme="minorEastAsia"/>
          <w:color w:val="auto"/>
        </w:rPr>
        <w:t xml:space="preserve">Australia Indonesia Partnership for Economic Development (Prospera) </w:t>
      </w:r>
      <w:r w:rsidR="4510D39E" w:rsidRPr="55498A46">
        <w:rPr>
          <w:rFonts w:eastAsiaTheme="minorEastAsia"/>
          <w:color w:val="auto"/>
        </w:rPr>
        <w:t>w</w:t>
      </w:r>
      <w:r w:rsidR="0FB50403" w:rsidRPr="55498A46">
        <w:rPr>
          <w:rFonts w:eastAsiaTheme="minorEastAsia"/>
          <w:color w:val="auto"/>
        </w:rPr>
        <w:t>a</w:t>
      </w:r>
      <w:r w:rsidR="0FB50403" w:rsidRPr="55498A46">
        <w:rPr>
          <w:color w:val="auto"/>
        </w:rPr>
        <w:t xml:space="preserve">s undertaken </w:t>
      </w:r>
      <w:r w:rsidR="229336E1" w:rsidRPr="55498A46">
        <w:rPr>
          <w:color w:val="auto"/>
        </w:rPr>
        <w:t xml:space="preserve">from </w:t>
      </w:r>
      <w:r w:rsidR="0FB50403" w:rsidRPr="55498A46">
        <w:rPr>
          <w:color w:val="auto"/>
        </w:rPr>
        <w:t>September 2024</w:t>
      </w:r>
      <w:r w:rsidR="622733CA" w:rsidRPr="55498A46">
        <w:rPr>
          <w:color w:val="auto"/>
        </w:rPr>
        <w:t xml:space="preserve"> </w:t>
      </w:r>
      <w:r w:rsidR="229336E1" w:rsidRPr="55498A46">
        <w:rPr>
          <w:color w:val="auto"/>
        </w:rPr>
        <w:t xml:space="preserve">to </w:t>
      </w:r>
      <w:r w:rsidR="0FB50403" w:rsidRPr="55498A46">
        <w:rPr>
          <w:color w:val="auto"/>
        </w:rPr>
        <w:t>April 2025</w:t>
      </w:r>
      <w:r w:rsidR="76A6D12E" w:rsidRPr="55498A46">
        <w:rPr>
          <w:color w:val="auto"/>
        </w:rPr>
        <w:t xml:space="preserve"> </w:t>
      </w:r>
      <w:r w:rsidR="4D85BB67" w:rsidRPr="55498A46">
        <w:rPr>
          <w:color w:val="auto"/>
        </w:rPr>
        <w:t>to assess</w:t>
      </w:r>
      <w:r w:rsidR="5E95BFEB" w:rsidRPr="55498A46">
        <w:rPr>
          <w:color w:val="auto"/>
        </w:rPr>
        <w:t xml:space="preserve"> the relevance, effectiveness</w:t>
      </w:r>
      <w:r w:rsidR="462047F6" w:rsidRPr="55498A46">
        <w:rPr>
          <w:color w:val="auto"/>
        </w:rPr>
        <w:t xml:space="preserve">, </w:t>
      </w:r>
      <w:r w:rsidR="00822DA7">
        <w:rPr>
          <w:color w:val="auto"/>
        </w:rPr>
        <w:t xml:space="preserve">and </w:t>
      </w:r>
      <w:r w:rsidR="5E95BFEB" w:rsidRPr="55498A46">
        <w:rPr>
          <w:color w:val="auto"/>
        </w:rPr>
        <w:t>sustainability of the program</w:t>
      </w:r>
      <w:r w:rsidR="00822DA7">
        <w:rPr>
          <w:color w:val="auto"/>
        </w:rPr>
        <w:t>,</w:t>
      </w:r>
      <w:r w:rsidR="08D6F4E5" w:rsidRPr="55498A46">
        <w:rPr>
          <w:color w:val="auto"/>
        </w:rPr>
        <w:t xml:space="preserve"> and</w:t>
      </w:r>
      <w:r w:rsidR="08D6F4E5" w:rsidRPr="50FADFF9">
        <w:rPr>
          <w:color w:val="auto"/>
        </w:rPr>
        <w:t xml:space="preserve"> </w:t>
      </w:r>
      <w:r w:rsidR="001915F5">
        <w:rPr>
          <w:color w:val="auto"/>
        </w:rPr>
        <w:t>to</w:t>
      </w:r>
      <w:r w:rsidR="08D6F4E5" w:rsidRPr="55498A46">
        <w:rPr>
          <w:color w:val="auto"/>
        </w:rPr>
        <w:t xml:space="preserve"> inform decision-making for the next phase of Prospera</w:t>
      </w:r>
      <w:r w:rsidR="5E95BFEB" w:rsidRPr="55498A46">
        <w:rPr>
          <w:color w:val="auto"/>
        </w:rPr>
        <w:t>.</w:t>
      </w:r>
      <w:r w:rsidR="4888C1CD" w:rsidRPr="55498A46">
        <w:rPr>
          <w:color w:val="auto"/>
        </w:rPr>
        <w:t xml:space="preserve"> </w:t>
      </w:r>
      <w:r w:rsidR="0F6BFD6B" w:rsidRPr="55498A46">
        <w:rPr>
          <w:color w:val="auto"/>
        </w:rPr>
        <w:t xml:space="preserve">The evaluation covers the period from the commencement of Prospera in 2018 up until late 2024. </w:t>
      </w:r>
    </w:p>
    <w:p w14:paraId="19165AC3" w14:textId="323BDCB0" w:rsidR="001109F7" w:rsidRPr="00A909A9" w:rsidRDefault="229336E1" w:rsidP="00BD474A">
      <w:pPr>
        <w:pStyle w:val="BodyText"/>
        <w:rPr>
          <w:color w:val="auto"/>
        </w:rPr>
      </w:pPr>
      <w:r w:rsidRPr="55498A46">
        <w:rPr>
          <w:color w:val="auto"/>
        </w:rPr>
        <w:t xml:space="preserve">The </w:t>
      </w:r>
      <w:r w:rsidR="71FDF045" w:rsidRPr="55498A46">
        <w:rPr>
          <w:color w:val="auto"/>
        </w:rPr>
        <w:t xml:space="preserve">evaluation </w:t>
      </w:r>
      <w:r w:rsidRPr="55498A46">
        <w:rPr>
          <w:color w:val="auto"/>
        </w:rPr>
        <w:t xml:space="preserve">concluded </w:t>
      </w:r>
      <w:r w:rsidR="26407388" w:rsidRPr="55498A46">
        <w:rPr>
          <w:color w:val="auto"/>
        </w:rPr>
        <w:t xml:space="preserve">Prospera has </w:t>
      </w:r>
      <w:r w:rsidR="0BD41789" w:rsidRPr="55498A46">
        <w:rPr>
          <w:color w:val="auto"/>
        </w:rPr>
        <w:t>substantially</w:t>
      </w:r>
      <w:r w:rsidR="26407388" w:rsidRPr="55498A46">
        <w:rPr>
          <w:color w:val="auto"/>
        </w:rPr>
        <w:t xml:space="preserve"> contributed to Indonesia’s economic transformation, aligning with its design and strengthening the Australia-Indonesia bilateral relationship. </w:t>
      </w:r>
      <w:r w:rsidR="4888C1CD" w:rsidRPr="55498A46">
        <w:rPr>
          <w:color w:val="auto"/>
        </w:rPr>
        <w:t>Prospera</w:t>
      </w:r>
      <w:r w:rsidR="5F09A73E" w:rsidRPr="55498A46">
        <w:rPr>
          <w:color w:val="auto"/>
        </w:rPr>
        <w:t>’s activit</w:t>
      </w:r>
      <w:r w:rsidR="26407388" w:rsidRPr="55498A46">
        <w:rPr>
          <w:color w:val="auto"/>
        </w:rPr>
        <w:t xml:space="preserve">ies are </w:t>
      </w:r>
      <w:r w:rsidR="788F28F6" w:rsidRPr="55498A46">
        <w:rPr>
          <w:color w:val="auto"/>
        </w:rPr>
        <w:t xml:space="preserve">highly relevant to Indonesia’s </w:t>
      </w:r>
      <w:r w:rsidR="41364C9B" w:rsidRPr="55498A46">
        <w:rPr>
          <w:color w:val="auto"/>
        </w:rPr>
        <w:t>development</w:t>
      </w:r>
      <w:r w:rsidR="00053B5F">
        <w:rPr>
          <w:color w:val="auto"/>
        </w:rPr>
        <w:t>,</w:t>
      </w:r>
      <w:r w:rsidR="41364C9B" w:rsidRPr="55498A46">
        <w:rPr>
          <w:color w:val="auto"/>
        </w:rPr>
        <w:t xml:space="preserve"> addressing</w:t>
      </w:r>
      <w:r w:rsidR="788F28F6" w:rsidRPr="55498A46">
        <w:rPr>
          <w:color w:val="auto"/>
        </w:rPr>
        <w:t xml:space="preserve"> critical economic challenges, economic and governance priorities, and </w:t>
      </w:r>
      <w:r w:rsidR="007206F4">
        <w:rPr>
          <w:color w:val="auto"/>
        </w:rPr>
        <w:t xml:space="preserve">supporting progress towards </w:t>
      </w:r>
      <w:r w:rsidR="788F28F6" w:rsidRPr="55498A46">
        <w:rPr>
          <w:color w:val="auto"/>
        </w:rPr>
        <w:t>sustainable development goals.</w:t>
      </w:r>
      <w:r w:rsidR="26407388" w:rsidRPr="55498A46">
        <w:rPr>
          <w:color w:val="auto"/>
        </w:rPr>
        <w:t xml:space="preserve"> </w:t>
      </w:r>
      <w:r w:rsidR="0055084D">
        <w:rPr>
          <w:color w:val="auto"/>
        </w:rPr>
        <w:t>However,</w:t>
      </w:r>
      <w:r w:rsidR="0E87C1A5" w:rsidRPr="55498A46">
        <w:rPr>
          <w:color w:val="auto"/>
        </w:rPr>
        <w:t xml:space="preserve"> attributing specific outcomes to Prospera </w:t>
      </w:r>
      <w:r w:rsidR="61AB936C" w:rsidRPr="55498A46">
        <w:rPr>
          <w:color w:val="auto"/>
        </w:rPr>
        <w:t>was</w:t>
      </w:r>
      <w:r w:rsidR="0E87C1A5" w:rsidRPr="55498A46">
        <w:rPr>
          <w:color w:val="auto"/>
        </w:rPr>
        <w:t xml:space="preserve"> challenging due to the complex policy environment and its indirect influence on policymaking.</w:t>
      </w:r>
    </w:p>
    <w:p w14:paraId="6B34118E" w14:textId="77F713B7" w:rsidR="00271AF2" w:rsidRPr="00A909A9" w:rsidRDefault="054D9A8C" w:rsidP="001109F7">
      <w:pPr>
        <w:pStyle w:val="BodyText"/>
        <w:rPr>
          <w:color w:val="auto"/>
        </w:rPr>
      </w:pPr>
      <w:r w:rsidRPr="0084379A">
        <w:rPr>
          <w:color w:val="auto"/>
        </w:rPr>
        <w:t xml:space="preserve">DFAT </w:t>
      </w:r>
      <w:r w:rsidR="7C6B76A1" w:rsidRPr="0084379A">
        <w:rPr>
          <w:color w:val="auto"/>
        </w:rPr>
        <w:t xml:space="preserve">has agreed, in part or in full, to </w:t>
      </w:r>
      <w:r w:rsidR="00062CC4" w:rsidRPr="0084379A">
        <w:rPr>
          <w:color w:val="auto"/>
        </w:rPr>
        <w:t xml:space="preserve">most </w:t>
      </w:r>
      <w:r w:rsidR="0084379A" w:rsidRPr="0084379A">
        <w:rPr>
          <w:color w:val="auto"/>
        </w:rPr>
        <w:t>of the</w:t>
      </w:r>
      <w:r w:rsidR="7C6B76A1" w:rsidRPr="0084379A">
        <w:rPr>
          <w:color w:val="auto"/>
        </w:rPr>
        <w:t xml:space="preserve"> recommendations</w:t>
      </w:r>
      <w:r w:rsidR="7C6B76A1" w:rsidRPr="55498A46">
        <w:rPr>
          <w:color w:val="auto"/>
        </w:rPr>
        <w:t xml:space="preserve"> as detailed in the table below</w:t>
      </w:r>
      <w:r w:rsidR="347FE2AB" w:rsidRPr="55498A46">
        <w:rPr>
          <w:color w:val="auto"/>
        </w:rPr>
        <w:t xml:space="preserve">. </w:t>
      </w:r>
      <w:r w:rsidR="7C6B76A1" w:rsidRPr="55498A46">
        <w:rPr>
          <w:color w:val="auto"/>
        </w:rPr>
        <w:t xml:space="preserve"> </w:t>
      </w:r>
    </w:p>
    <w:p w14:paraId="47926DD2" w14:textId="460C605C" w:rsidR="00271AF2" w:rsidRPr="00A909A9" w:rsidRDefault="00D038A5" w:rsidP="00271AF2">
      <w:pPr>
        <w:pStyle w:val="Heading3"/>
        <w:rPr>
          <w:b/>
          <w:bCs w:val="0"/>
          <w:color w:val="auto"/>
        </w:rPr>
      </w:pPr>
      <w:r w:rsidRPr="00A909A9">
        <w:rPr>
          <w:b/>
          <w:bCs w:val="0"/>
          <w:color w:val="auto"/>
        </w:rPr>
        <w:t xml:space="preserve">Individual </w:t>
      </w:r>
      <w:r w:rsidR="00271AF2" w:rsidRPr="00A909A9">
        <w:rPr>
          <w:b/>
          <w:bCs w:val="0"/>
          <w:color w:val="auto"/>
        </w:rPr>
        <w:t xml:space="preserve">Management Response to the Recommendations </w:t>
      </w:r>
    </w:p>
    <w:tbl>
      <w:tblPr>
        <w:tblStyle w:val="DFATTable1"/>
        <w:tblW w:w="14170" w:type="dxa"/>
        <w:tblBorders>
          <w:top w:val="single" w:sz="4" w:space="0" w:color="4472C4" w:themeColor="accent1"/>
          <w:left w:val="single" w:sz="4" w:space="0" w:color="4472C4" w:themeColor="accent1"/>
          <w:right w:val="single" w:sz="4" w:space="0" w:color="4472C4" w:themeColor="accent1"/>
          <w:insideV w:val="single" w:sz="4" w:space="0" w:color="4472C4" w:themeColor="accent1"/>
        </w:tblBorders>
        <w:tblLayout w:type="fixed"/>
        <w:tblLook w:val="04A0" w:firstRow="1" w:lastRow="0" w:firstColumn="1" w:lastColumn="0" w:noHBand="0" w:noVBand="1"/>
      </w:tblPr>
      <w:tblGrid>
        <w:gridCol w:w="3823"/>
        <w:gridCol w:w="1662"/>
        <w:gridCol w:w="2899"/>
        <w:gridCol w:w="3518"/>
        <w:gridCol w:w="2268"/>
      </w:tblGrid>
      <w:tr w:rsidR="00FA5BBA" w:rsidRPr="004F798E" w14:paraId="65DA7409" w14:textId="77777777" w:rsidTr="194FF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76F9A3F5" w14:textId="096E6AF5" w:rsidR="00E90F39" w:rsidRPr="004F798E" w:rsidRDefault="00E90F39" w:rsidP="00811264">
            <w:pPr>
              <w:jc w:val="center"/>
              <w:rPr>
                <w:b/>
                <w:bCs/>
                <w:color w:val="auto"/>
                <w:lang w:val="en-AU"/>
              </w:rPr>
            </w:pPr>
            <w:r w:rsidRPr="004F798E">
              <w:rPr>
                <w:b/>
                <w:bCs/>
                <w:color w:val="auto"/>
              </w:rPr>
              <w:t>Recommendation</w:t>
            </w:r>
          </w:p>
        </w:tc>
        <w:tc>
          <w:tcPr>
            <w:tcW w:w="1662" w:type="dxa"/>
            <w:shd w:val="clear" w:color="auto" w:fill="auto"/>
          </w:tcPr>
          <w:p w14:paraId="6213E67D" w14:textId="4D24A593" w:rsidR="00E90F39" w:rsidRPr="004F798E" w:rsidRDefault="00E90F39" w:rsidP="00811264">
            <w:pPr>
              <w:jc w:val="center"/>
              <w:cnfStyle w:val="100000000000" w:firstRow="1" w:lastRow="0" w:firstColumn="0" w:lastColumn="0" w:oddVBand="0" w:evenVBand="0" w:oddHBand="0" w:evenHBand="0" w:firstRowFirstColumn="0" w:firstRowLastColumn="0" w:lastRowFirstColumn="0" w:lastRowLastColumn="0"/>
              <w:rPr>
                <w:b/>
                <w:bCs/>
                <w:color w:val="auto"/>
                <w:lang w:val="en-AU"/>
              </w:rPr>
            </w:pPr>
            <w:r w:rsidRPr="004F798E">
              <w:rPr>
                <w:b/>
                <w:bCs/>
                <w:color w:val="auto"/>
              </w:rPr>
              <w:t>Response</w:t>
            </w:r>
          </w:p>
        </w:tc>
        <w:tc>
          <w:tcPr>
            <w:tcW w:w="2899" w:type="dxa"/>
            <w:shd w:val="clear" w:color="auto" w:fill="auto"/>
          </w:tcPr>
          <w:p w14:paraId="728E1ABF" w14:textId="79F35279" w:rsidR="00E90F39" w:rsidRPr="004F798E" w:rsidRDefault="00E90F39" w:rsidP="00811264">
            <w:pPr>
              <w:jc w:val="center"/>
              <w:cnfStyle w:val="100000000000" w:firstRow="1" w:lastRow="0" w:firstColumn="0" w:lastColumn="0" w:oddVBand="0" w:evenVBand="0" w:oddHBand="0" w:evenHBand="0" w:firstRowFirstColumn="0" w:firstRowLastColumn="0" w:lastRowFirstColumn="0" w:lastRowLastColumn="0"/>
              <w:rPr>
                <w:b/>
                <w:bCs/>
                <w:color w:val="auto"/>
                <w:lang w:val="en-AU"/>
              </w:rPr>
            </w:pPr>
            <w:r w:rsidRPr="004F798E">
              <w:rPr>
                <w:b/>
                <w:bCs/>
                <w:color w:val="auto"/>
              </w:rPr>
              <w:t xml:space="preserve">Explanation </w:t>
            </w:r>
          </w:p>
        </w:tc>
        <w:tc>
          <w:tcPr>
            <w:tcW w:w="3518" w:type="dxa"/>
            <w:shd w:val="clear" w:color="auto" w:fill="auto"/>
          </w:tcPr>
          <w:p w14:paraId="3266399C" w14:textId="2AED7ADF" w:rsidR="00E90F39" w:rsidRPr="004F798E" w:rsidRDefault="00E90F39" w:rsidP="00811264">
            <w:pPr>
              <w:jc w:val="center"/>
              <w:cnfStyle w:val="100000000000" w:firstRow="1" w:lastRow="0" w:firstColumn="0" w:lastColumn="0" w:oddVBand="0" w:evenVBand="0" w:oddHBand="0" w:evenHBand="0" w:firstRowFirstColumn="0" w:firstRowLastColumn="0" w:lastRowFirstColumn="0" w:lastRowLastColumn="0"/>
              <w:rPr>
                <w:b/>
                <w:bCs/>
                <w:color w:val="auto"/>
              </w:rPr>
            </w:pPr>
            <w:r w:rsidRPr="004F798E">
              <w:rPr>
                <w:b/>
                <w:bCs/>
                <w:color w:val="auto"/>
              </w:rPr>
              <w:t>Action Plan</w:t>
            </w:r>
          </w:p>
        </w:tc>
        <w:tc>
          <w:tcPr>
            <w:tcW w:w="2268" w:type="dxa"/>
            <w:shd w:val="clear" w:color="auto" w:fill="auto"/>
          </w:tcPr>
          <w:p w14:paraId="50A505C0" w14:textId="720B3110" w:rsidR="00E90F39" w:rsidRPr="004F798E" w:rsidRDefault="00E90F39" w:rsidP="00811264">
            <w:pPr>
              <w:jc w:val="center"/>
              <w:cnfStyle w:val="100000000000" w:firstRow="1" w:lastRow="0" w:firstColumn="0" w:lastColumn="0" w:oddVBand="0" w:evenVBand="0" w:oddHBand="0" w:evenHBand="0" w:firstRowFirstColumn="0" w:firstRowLastColumn="0" w:lastRowFirstColumn="0" w:lastRowLastColumn="0"/>
              <w:rPr>
                <w:b/>
                <w:bCs/>
                <w:color w:val="auto"/>
                <w:lang w:val="en-AU"/>
              </w:rPr>
            </w:pPr>
            <w:r w:rsidRPr="004F798E">
              <w:rPr>
                <w:b/>
                <w:bCs/>
                <w:color w:val="auto"/>
              </w:rPr>
              <w:t>Timeframe</w:t>
            </w:r>
          </w:p>
        </w:tc>
      </w:tr>
      <w:tr w:rsidR="00FA5BBA" w:rsidRPr="004F798E" w14:paraId="09D31DF9" w14:textId="77777777" w:rsidTr="194FF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4D4B6287" w14:textId="6DD51EC7" w:rsidR="006257AA" w:rsidRPr="006257AA" w:rsidRDefault="006257AA" w:rsidP="00811264">
            <w:pPr>
              <w:rPr>
                <w:b/>
                <w:bCs/>
                <w:color w:val="auto"/>
                <w:lang w:val="en-AU"/>
              </w:rPr>
            </w:pPr>
            <w:r w:rsidRPr="006257AA">
              <w:rPr>
                <w:b/>
                <w:bCs/>
                <w:color w:val="auto"/>
                <w:lang w:val="en-AU"/>
              </w:rPr>
              <w:t>Recommendation 1</w:t>
            </w:r>
          </w:p>
          <w:p w14:paraId="08A25C95" w14:textId="7D16EC8A" w:rsidR="00E90F39" w:rsidRPr="00A419BD" w:rsidRDefault="3DECE98A" w:rsidP="00811264">
            <w:pPr>
              <w:rPr>
                <w:color w:val="auto"/>
                <w:lang w:val="en-AU"/>
              </w:rPr>
            </w:pPr>
            <w:r w:rsidRPr="00D56532">
              <w:rPr>
                <w:b/>
                <w:bCs/>
                <w:color w:val="auto"/>
                <w:lang w:val="en-AU"/>
              </w:rPr>
              <w:t>Strengthen use of the K</w:t>
            </w:r>
            <w:r w:rsidR="69BE5139" w:rsidRPr="00D56532">
              <w:rPr>
                <w:b/>
                <w:bCs/>
                <w:color w:val="auto"/>
                <w:lang w:val="en-AU"/>
              </w:rPr>
              <w:t xml:space="preserve">ey </w:t>
            </w:r>
            <w:r w:rsidRPr="00D56532">
              <w:rPr>
                <w:b/>
                <w:bCs/>
                <w:color w:val="auto"/>
                <w:lang w:val="en-AU"/>
              </w:rPr>
              <w:t>P</w:t>
            </w:r>
            <w:r w:rsidR="2EC58899" w:rsidRPr="00D56532">
              <w:rPr>
                <w:b/>
                <w:bCs/>
                <w:color w:val="auto"/>
                <w:lang w:val="en-AU"/>
              </w:rPr>
              <w:t xml:space="preserve">erformance and </w:t>
            </w:r>
            <w:r w:rsidRPr="00D56532">
              <w:rPr>
                <w:b/>
                <w:bCs/>
                <w:color w:val="auto"/>
                <w:lang w:val="en-AU"/>
              </w:rPr>
              <w:t>L</w:t>
            </w:r>
            <w:r w:rsidR="3C441A4C" w:rsidRPr="00D56532">
              <w:rPr>
                <w:b/>
                <w:bCs/>
                <w:color w:val="auto"/>
                <w:lang w:val="en-AU"/>
              </w:rPr>
              <w:t>earning</w:t>
            </w:r>
            <w:r w:rsidRPr="00D56532">
              <w:rPr>
                <w:b/>
                <w:bCs/>
                <w:color w:val="auto"/>
                <w:lang w:val="en-AU"/>
              </w:rPr>
              <w:t xml:space="preserve"> framework</w:t>
            </w:r>
            <w:r w:rsidR="558781C3" w:rsidRPr="00D56532">
              <w:rPr>
                <w:b/>
                <w:bCs/>
                <w:color w:val="auto"/>
                <w:lang w:val="en-AU"/>
              </w:rPr>
              <w:t xml:space="preserve"> (KPL)</w:t>
            </w:r>
            <w:r w:rsidR="0254A201" w:rsidRPr="00D56532">
              <w:rPr>
                <w:b/>
                <w:bCs/>
                <w:color w:val="auto"/>
                <w:lang w:val="en-AU"/>
              </w:rPr>
              <w:t>.</w:t>
            </w:r>
            <w:r w:rsidR="0254A201" w:rsidRPr="55498A46">
              <w:rPr>
                <w:color w:val="auto"/>
                <w:lang w:val="en-AU"/>
              </w:rPr>
              <w:t xml:space="preserve"> </w:t>
            </w:r>
            <w:r w:rsidRPr="55498A46">
              <w:rPr>
                <w:color w:val="auto"/>
                <w:lang w:val="en-AU"/>
              </w:rPr>
              <w:t xml:space="preserve">Reflect on the current KPL Framework, assess its strengths, weaknesses, and gaps in application, and use these insights to design a refined </w:t>
            </w:r>
            <w:r w:rsidR="007206F4">
              <w:rPr>
                <w:color w:val="auto"/>
                <w:lang w:val="en-AU"/>
              </w:rPr>
              <w:t>Monitoring, Evaluation and Learning (</w:t>
            </w:r>
            <w:r w:rsidRPr="55498A46">
              <w:rPr>
                <w:color w:val="auto"/>
                <w:lang w:val="en-AU"/>
              </w:rPr>
              <w:t>MEL</w:t>
            </w:r>
            <w:r w:rsidR="007206F4">
              <w:rPr>
                <w:color w:val="auto"/>
                <w:lang w:val="en-AU"/>
              </w:rPr>
              <w:t>)</w:t>
            </w:r>
            <w:r w:rsidRPr="55498A46">
              <w:rPr>
                <w:color w:val="auto"/>
                <w:lang w:val="en-AU"/>
              </w:rPr>
              <w:t xml:space="preserve"> framework for the next phase. Incorporate tools like contribution analysis, outcomes mapping, and outcomes harvesting, building on the existing KPL Framework </w:t>
            </w:r>
            <w:r w:rsidRPr="55498A46">
              <w:rPr>
                <w:color w:val="auto"/>
                <w:lang w:val="en-AU"/>
              </w:rPr>
              <w:lastRenderedPageBreak/>
              <w:t>to systematically track progress and assess impact.</w:t>
            </w:r>
          </w:p>
        </w:tc>
        <w:tc>
          <w:tcPr>
            <w:tcW w:w="1662" w:type="dxa"/>
            <w:shd w:val="clear" w:color="auto" w:fill="auto"/>
          </w:tcPr>
          <w:p w14:paraId="57C67567" w14:textId="50DD21E1" w:rsidR="00E90F39" w:rsidRPr="004F798E" w:rsidRDefault="00BD4094" w:rsidP="00811264">
            <w:pPr>
              <w:jc w:val="center"/>
              <w:cnfStyle w:val="000000100000" w:firstRow="0" w:lastRow="0" w:firstColumn="0" w:lastColumn="0" w:oddVBand="0" w:evenVBand="0" w:oddHBand="1" w:evenHBand="0" w:firstRowFirstColumn="0" w:firstRowLastColumn="0" w:lastRowFirstColumn="0" w:lastRowLastColumn="0"/>
              <w:rPr>
                <w:b/>
                <w:bCs/>
                <w:color w:val="auto"/>
                <w:lang w:val="en-AU"/>
              </w:rPr>
            </w:pPr>
            <w:r>
              <w:rPr>
                <w:b/>
                <w:bCs/>
                <w:color w:val="auto"/>
                <w:lang w:val="en-AU"/>
              </w:rPr>
              <w:lastRenderedPageBreak/>
              <w:t>Agree</w:t>
            </w:r>
          </w:p>
        </w:tc>
        <w:tc>
          <w:tcPr>
            <w:tcW w:w="2899" w:type="dxa"/>
            <w:shd w:val="clear" w:color="auto" w:fill="auto"/>
          </w:tcPr>
          <w:p w14:paraId="623DADF2" w14:textId="5834C798" w:rsidR="00E90F39" w:rsidRPr="004F798E" w:rsidRDefault="53D0E79A" w:rsidP="00811264">
            <w:pPr>
              <w:cnfStyle w:val="000000100000" w:firstRow="0" w:lastRow="0" w:firstColumn="0" w:lastColumn="0" w:oddVBand="0" w:evenVBand="0" w:oddHBand="1" w:evenHBand="0" w:firstRowFirstColumn="0" w:firstRowLastColumn="0" w:lastRowFirstColumn="0" w:lastRowLastColumn="0"/>
              <w:rPr>
                <w:color w:val="auto"/>
                <w:lang w:val="en-AU"/>
              </w:rPr>
            </w:pPr>
            <w:r w:rsidRPr="55498A46">
              <w:rPr>
                <w:color w:val="auto"/>
                <w:lang w:val="en-AU"/>
              </w:rPr>
              <w:t xml:space="preserve">DFAT </w:t>
            </w:r>
            <w:r w:rsidR="59595C00" w:rsidRPr="55498A46">
              <w:rPr>
                <w:color w:val="auto"/>
                <w:lang w:val="en-AU"/>
              </w:rPr>
              <w:t>agrees with the recommendation</w:t>
            </w:r>
            <w:r w:rsidR="00686FE8">
              <w:rPr>
                <w:color w:val="auto"/>
                <w:lang w:val="en-AU"/>
              </w:rPr>
              <w:t xml:space="preserve">. </w:t>
            </w:r>
          </w:p>
        </w:tc>
        <w:tc>
          <w:tcPr>
            <w:tcW w:w="3518" w:type="dxa"/>
            <w:shd w:val="clear" w:color="auto" w:fill="auto"/>
          </w:tcPr>
          <w:p w14:paraId="67EFD543" w14:textId="2D12213F" w:rsidR="009726DA" w:rsidRPr="004F798E" w:rsidRDefault="05D7FA81" w:rsidP="00811264">
            <w:pPr>
              <w:cnfStyle w:val="000000100000" w:firstRow="0" w:lastRow="0" w:firstColumn="0" w:lastColumn="0" w:oddVBand="0" w:evenVBand="0" w:oddHBand="1" w:evenHBand="0" w:firstRowFirstColumn="0" w:firstRowLastColumn="0" w:lastRowFirstColumn="0" w:lastRowLastColumn="0"/>
              <w:rPr>
                <w:color w:val="auto"/>
                <w:lang w:val="en-AU"/>
              </w:rPr>
            </w:pPr>
            <w:r w:rsidRPr="098AFD46">
              <w:rPr>
                <w:color w:val="auto"/>
                <w:lang w:val="en-AU"/>
              </w:rPr>
              <w:t xml:space="preserve">The next </w:t>
            </w:r>
            <w:r w:rsidR="4579B390" w:rsidRPr="098AFD46">
              <w:rPr>
                <w:color w:val="auto"/>
                <w:lang w:val="en-AU"/>
              </w:rPr>
              <w:t>phase</w:t>
            </w:r>
            <w:r w:rsidR="00A5431D" w:rsidRPr="098AFD46">
              <w:rPr>
                <w:color w:val="auto"/>
                <w:lang w:val="en-AU"/>
              </w:rPr>
              <w:t xml:space="preserve"> of Prospera will </w:t>
            </w:r>
            <w:r w:rsidR="002E18B6" w:rsidRPr="098AFD46">
              <w:rPr>
                <w:color w:val="auto"/>
                <w:lang w:val="en-AU"/>
              </w:rPr>
              <w:t xml:space="preserve">use an enhanced </w:t>
            </w:r>
            <w:r w:rsidR="009022BA" w:rsidRPr="098AFD46">
              <w:rPr>
                <w:color w:val="auto"/>
                <w:lang w:val="en-AU"/>
              </w:rPr>
              <w:t xml:space="preserve">monitoring, evaluation and learning </w:t>
            </w:r>
            <w:r w:rsidR="002E18B6" w:rsidRPr="098AFD46">
              <w:rPr>
                <w:color w:val="auto"/>
                <w:lang w:val="en-AU"/>
              </w:rPr>
              <w:t xml:space="preserve">approach which </w:t>
            </w:r>
            <w:r w:rsidR="009022BA" w:rsidRPr="098AFD46">
              <w:rPr>
                <w:color w:val="auto"/>
                <w:lang w:val="en-AU"/>
              </w:rPr>
              <w:t>includ</w:t>
            </w:r>
            <w:r w:rsidR="002E18B6" w:rsidRPr="098AFD46">
              <w:rPr>
                <w:color w:val="auto"/>
                <w:lang w:val="en-AU"/>
              </w:rPr>
              <w:t>es</w:t>
            </w:r>
            <w:r w:rsidR="4579B390" w:rsidRPr="098AFD46">
              <w:rPr>
                <w:color w:val="auto"/>
                <w:lang w:val="en-AU"/>
              </w:rPr>
              <w:t xml:space="preserve"> </w:t>
            </w:r>
            <w:r w:rsidR="761737B3" w:rsidRPr="098AFD46">
              <w:rPr>
                <w:color w:val="auto"/>
                <w:lang w:val="en-AU"/>
              </w:rPr>
              <w:t xml:space="preserve">adaptive </w:t>
            </w:r>
            <w:r w:rsidR="686A3D5E" w:rsidRPr="098AFD46">
              <w:rPr>
                <w:color w:val="auto"/>
                <w:lang w:val="en-AU"/>
              </w:rPr>
              <w:t xml:space="preserve">management </w:t>
            </w:r>
            <w:r w:rsidR="00E16460">
              <w:rPr>
                <w:color w:val="auto"/>
                <w:lang w:val="en-AU"/>
              </w:rPr>
              <w:t xml:space="preserve">to </w:t>
            </w:r>
            <w:r w:rsidR="686A3D5E" w:rsidRPr="098AFD46">
              <w:rPr>
                <w:color w:val="auto"/>
                <w:lang w:val="en-AU"/>
              </w:rPr>
              <w:t>support</w:t>
            </w:r>
            <w:r w:rsidR="761737B3" w:rsidRPr="098AFD46">
              <w:rPr>
                <w:color w:val="auto"/>
                <w:lang w:val="en-AU"/>
              </w:rPr>
              <w:t xml:space="preserve"> learning, inform decision-making, and provide</w:t>
            </w:r>
            <w:r w:rsidR="009022BA" w:rsidRPr="098AFD46">
              <w:rPr>
                <w:color w:val="auto"/>
                <w:lang w:val="en-AU"/>
              </w:rPr>
              <w:t xml:space="preserve"> </w:t>
            </w:r>
            <w:r w:rsidR="761737B3" w:rsidRPr="098AFD46">
              <w:rPr>
                <w:color w:val="auto"/>
                <w:lang w:val="en-AU"/>
              </w:rPr>
              <w:t xml:space="preserve">credible evidence of performance </w:t>
            </w:r>
            <w:r w:rsidR="71EEB863" w:rsidRPr="098AFD46">
              <w:rPr>
                <w:color w:val="auto"/>
                <w:lang w:val="en-AU"/>
              </w:rPr>
              <w:t xml:space="preserve">in a complex policy environment. </w:t>
            </w:r>
            <w:r w:rsidR="00B11605">
              <w:rPr>
                <w:color w:val="auto"/>
                <w:lang w:val="en-AU"/>
              </w:rPr>
              <w:t>This has been integrated into the draft Investment Design Document and will be embedded both in the contract for the Program and in key program staff roles.</w:t>
            </w:r>
          </w:p>
        </w:tc>
        <w:tc>
          <w:tcPr>
            <w:tcW w:w="2268" w:type="dxa"/>
            <w:shd w:val="clear" w:color="auto" w:fill="auto"/>
          </w:tcPr>
          <w:p w14:paraId="5B0FFE95" w14:textId="4ACF2E17" w:rsidR="005C2379" w:rsidRDefault="00BA2563" w:rsidP="00811264">
            <w:pPr>
              <w:cnfStyle w:val="000000100000" w:firstRow="0" w:lastRow="0" w:firstColumn="0" w:lastColumn="0" w:oddVBand="0" w:evenVBand="0" w:oddHBand="1" w:evenHBand="0" w:firstRowFirstColumn="0" w:firstRowLastColumn="0" w:lastRowFirstColumn="0" w:lastRowLastColumn="0"/>
              <w:rPr>
                <w:color w:val="auto"/>
                <w:lang w:val="en-AU"/>
              </w:rPr>
            </w:pPr>
            <w:r>
              <w:rPr>
                <w:color w:val="auto"/>
                <w:lang w:val="en-AU"/>
              </w:rPr>
              <w:t>In the next 12 months</w:t>
            </w:r>
          </w:p>
          <w:p w14:paraId="73471A91" w14:textId="179E10D5" w:rsidR="00E90F39" w:rsidRPr="004F798E" w:rsidRDefault="00E90F39" w:rsidP="007F3952">
            <w:pPr>
              <w:cnfStyle w:val="000000100000" w:firstRow="0" w:lastRow="0" w:firstColumn="0" w:lastColumn="0" w:oddVBand="0" w:evenVBand="0" w:oddHBand="1" w:evenHBand="0" w:firstRowFirstColumn="0" w:firstRowLastColumn="0" w:lastRowFirstColumn="0" w:lastRowLastColumn="0"/>
              <w:rPr>
                <w:color w:val="auto"/>
                <w:lang w:val="en-AU"/>
              </w:rPr>
            </w:pPr>
          </w:p>
        </w:tc>
      </w:tr>
      <w:tr w:rsidR="00FA5BBA" w:rsidRPr="004F798E" w14:paraId="3BBC64D7" w14:textId="77777777" w:rsidTr="194FFF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329ADEB0" w14:textId="77777777" w:rsidR="00E90F39" w:rsidRPr="00A909A9" w:rsidRDefault="00E90F39" w:rsidP="00811264">
            <w:pPr>
              <w:rPr>
                <w:b/>
                <w:bCs/>
                <w:color w:val="auto"/>
                <w:lang w:val="en-AU"/>
              </w:rPr>
            </w:pPr>
            <w:r w:rsidRPr="00A909A9">
              <w:rPr>
                <w:b/>
                <w:bCs/>
                <w:color w:val="auto"/>
                <w:lang w:val="en-AU"/>
              </w:rPr>
              <w:t>Recommendation 2</w:t>
            </w:r>
          </w:p>
          <w:p w14:paraId="76E46923" w14:textId="716BEAAE" w:rsidR="00E90F39" w:rsidRPr="00A909A9" w:rsidRDefault="006257AA" w:rsidP="00811264">
            <w:pPr>
              <w:rPr>
                <w:color w:val="auto"/>
                <w:lang w:val="en-AU"/>
              </w:rPr>
            </w:pPr>
            <w:r w:rsidRPr="00D56532">
              <w:rPr>
                <w:b/>
                <w:bCs/>
                <w:color w:val="auto"/>
                <w:lang w:val="en-US"/>
              </w:rPr>
              <w:t xml:space="preserve">Manage Scope and </w:t>
            </w:r>
            <w:proofErr w:type="spellStart"/>
            <w:r w:rsidRPr="00D56532">
              <w:rPr>
                <w:b/>
                <w:bCs/>
                <w:color w:val="auto"/>
                <w:lang w:val="en-US"/>
              </w:rPr>
              <w:t>Specialised</w:t>
            </w:r>
            <w:proofErr w:type="spellEnd"/>
            <w:r w:rsidRPr="00D56532">
              <w:rPr>
                <w:b/>
                <w:bCs/>
                <w:color w:val="auto"/>
                <w:lang w:val="en-US"/>
              </w:rPr>
              <w:t xml:space="preserve"> Engagements</w:t>
            </w:r>
            <w:r w:rsidR="00B55483" w:rsidRPr="00D56532">
              <w:rPr>
                <w:b/>
                <w:bCs/>
                <w:color w:val="auto"/>
                <w:lang w:val="en-US"/>
              </w:rPr>
              <w:t>.</w:t>
            </w:r>
            <w:r w:rsidRPr="00D56532">
              <w:rPr>
                <w:b/>
                <w:bCs/>
                <w:color w:val="auto"/>
                <w:lang w:val="en-US"/>
              </w:rPr>
              <w:t xml:space="preserve"> </w:t>
            </w:r>
            <w:r w:rsidRPr="006257AA">
              <w:rPr>
                <w:color w:val="auto"/>
                <w:lang w:val="en-US"/>
              </w:rPr>
              <w:t xml:space="preserve">Carefully manage Prospera’s scope to align with its mandate, avoiding ventures into areas where it lacks in-house expertise. Develop clear exit strategies for short-term engagements outside its core mandate and adhere to established criteria, such as investment and institutional strengthening checklists. Strengthen oversight of </w:t>
            </w:r>
            <w:proofErr w:type="spellStart"/>
            <w:r w:rsidRPr="006257AA">
              <w:rPr>
                <w:color w:val="auto"/>
                <w:lang w:val="en-US"/>
              </w:rPr>
              <w:t>specialised</w:t>
            </w:r>
            <w:proofErr w:type="spellEnd"/>
            <w:r w:rsidRPr="006257AA">
              <w:rPr>
                <w:color w:val="auto"/>
                <w:lang w:val="en-US"/>
              </w:rPr>
              <w:t xml:space="preserve"> engagements by expanding the expertise of long-term advisers or ensuring closer collaboration with external specialists to maintain the quality and relevance of technical support.</w:t>
            </w:r>
          </w:p>
        </w:tc>
        <w:tc>
          <w:tcPr>
            <w:tcW w:w="1662" w:type="dxa"/>
            <w:shd w:val="clear" w:color="auto" w:fill="auto"/>
          </w:tcPr>
          <w:p w14:paraId="33A25E73" w14:textId="4D61255E" w:rsidR="00E90F39" w:rsidRPr="004F798E" w:rsidRDefault="001F60AB" w:rsidP="00811264">
            <w:pPr>
              <w:jc w:val="center"/>
              <w:cnfStyle w:val="000000010000" w:firstRow="0" w:lastRow="0" w:firstColumn="0" w:lastColumn="0" w:oddVBand="0" w:evenVBand="0" w:oddHBand="0" w:evenHBand="1" w:firstRowFirstColumn="0" w:firstRowLastColumn="0" w:lastRowFirstColumn="0" w:lastRowLastColumn="0"/>
              <w:rPr>
                <w:b/>
                <w:bCs/>
                <w:color w:val="auto"/>
                <w:lang w:val="en-AU"/>
              </w:rPr>
            </w:pPr>
            <w:r>
              <w:rPr>
                <w:b/>
                <w:bCs/>
                <w:color w:val="auto"/>
                <w:lang w:val="en-AU"/>
              </w:rPr>
              <w:t>Agree</w:t>
            </w:r>
            <w:r w:rsidR="000E1EEB">
              <w:rPr>
                <w:b/>
                <w:bCs/>
                <w:color w:val="auto"/>
                <w:lang w:val="en-AU"/>
              </w:rPr>
              <w:t xml:space="preserve"> in </w:t>
            </w:r>
            <w:r w:rsidR="00D56532">
              <w:rPr>
                <w:b/>
                <w:bCs/>
                <w:color w:val="auto"/>
                <w:lang w:val="en-AU"/>
              </w:rPr>
              <w:t>part</w:t>
            </w:r>
          </w:p>
        </w:tc>
        <w:tc>
          <w:tcPr>
            <w:tcW w:w="2899" w:type="dxa"/>
            <w:shd w:val="clear" w:color="auto" w:fill="auto"/>
          </w:tcPr>
          <w:p w14:paraId="22626C41" w14:textId="47F60EE2" w:rsidR="00E90F39" w:rsidRPr="004F798E" w:rsidRDefault="2012165C" w:rsidP="00811264">
            <w:pPr>
              <w:cnfStyle w:val="000000010000" w:firstRow="0" w:lastRow="0" w:firstColumn="0" w:lastColumn="0" w:oddVBand="0" w:evenVBand="0" w:oddHBand="0" w:evenHBand="1" w:firstRowFirstColumn="0" w:firstRowLastColumn="0" w:lastRowFirstColumn="0" w:lastRowLastColumn="0"/>
              <w:rPr>
                <w:color w:val="auto"/>
                <w:lang w:val="en-AU"/>
              </w:rPr>
            </w:pPr>
            <w:r w:rsidRPr="098AFD46">
              <w:rPr>
                <w:color w:val="auto"/>
                <w:lang w:val="en-AU"/>
              </w:rPr>
              <w:t xml:space="preserve">DFAT </w:t>
            </w:r>
            <w:r w:rsidR="320F0CA5" w:rsidRPr="098AFD46">
              <w:rPr>
                <w:color w:val="auto"/>
                <w:lang w:val="en-AU"/>
              </w:rPr>
              <w:t>recognises the importance of managing scope and ensuring alignment with Prospera’s core mandate</w:t>
            </w:r>
            <w:r w:rsidR="0023277C">
              <w:rPr>
                <w:color w:val="auto"/>
                <w:lang w:val="en-AU"/>
              </w:rPr>
              <w:t>.</w:t>
            </w:r>
            <w:r w:rsidR="03A21263" w:rsidRPr="098AFD46">
              <w:rPr>
                <w:color w:val="auto"/>
                <w:lang w:val="en-AU"/>
              </w:rPr>
              <w:t xml:space="preserve"> </w:t>
            </w:r>
            <w:r w:rsidR="77DDC0B2" w:rsidRPr="098AFD46">
              <w:rPr>
                <w:color w:val="auto"/>
                <w:lang w:val="en-AU"/>
              </w:rPr>
              <w:t>i</w:t>
            </w:r>
            <w:r w:rsidR="320F0CA5" w:rsidRPr="098AFD46">
              <w:rPr>
                <w:color w:val="auto"/>
                <w:lang w:val="en-AU"/>
              </w:rPr>
              <w:t xml:space="preserve">t is also important that </w:t>
            </w:r>
            <w:r w:rsidR="001B49AE">
              <w:rPr>
                <w:color w:val="auto"/>
                <w:lang w:val="en-AU"/>
              </w:rPr>
              <w:t>Prospera</w:t>
            </w:r>
            <w:r w:rsidR="00C86B16">
              <w:rPr>
                <w:color w:val="auto"/>
                <w:lang w:val="en-AU"/>
              </w:rPr>
              <w:t>,</w:t>
            </w:r>
            <w:r w:rsidR="001B49AE">
              <w:rPr>
                <w:color w:val="auto"/>
                <w:lang w:val="en-AU"/>
              </w:rPr>
              <w:t xml:space="preserve"> </w:t>
            </w:r>
            <w:r w:rsidR="00C86B16">
              <w:rPr>
                <w:color w:val="auto"/>
                <w:lang w:val="en-AU"/>
              </w:rPr>
              <w:t xml:space="preserve">in current and future phases, </w:t>
            </w:r>
            <w:r w:rsidR="320F0CA5" w:rsidRPr="098AFD46">
              <w:rPr>
                <w:color w:val="auto"/>
                <w:lang w:val="en-AU"/>
              </w:rPr>
              <w:t xml:space="preserve">remain responsive </w:t>
            </w:r>
            <w:r w:rsidR="6E7704AB" w:rsidRPr="098AFD46">
              <w:rPr>
                <w:color w:val="auto"/>
                <w:lang w:val="en-AU"/>
              </w:rPr>
              <w:t xml:space="preserve">to Indonesia’s evolving reform priorities. </w:t>
            </w:r>
          </w:p>
          <w:p w14:paraId="75600D1B" w14:textId="37C875A6" w:rsidR="00E90F39" w:rsidRPr="004F798E" w:rsidRDefault="00E90F39" w:rsidP="00811264">
            <w:pPr>
              <w:cnfStyle w:val="000000010000" w:firstRow="0" w:lastRow="0" w:firstColumn="0" w:lastColumn="0" w:oddVBand="0" w:evenVBand="0" w:oddHBand="0" w:evenHBand="1" w:firstRowFirstColumn="0" w:firstRowLastColumn="0" w:lastRowFirstColumn="0" w:lastRowLastColumn="0"/>
              <w:rPr>
                <w:color w:val="auto"/>
                <w:lang w:val="en-AU"/>
              </w:rPr>
            </w:pPr>
          </w:p>
        </w:tc>
        <w:tc>
          <w:tcPr>
            <w:tcW w:w="3518" w:type="dxa"/>
            <w:shd w:val="clear" w:color="auto" w:fill="auto"/>
          </w:tcPr>
          <w:p w14:paraId="1DBC2D1E" w14:textId="4E10612F" w:rsidR="00B11605" w:rsidRDefault="50A0A109" w:rsidP="00B11605">
            <w:pPr>
              <w:cnfStyle w:val="000000010000" w:firstRow="0" w:lastRow="0" w:firstColumn="0" w:lastColumn="0" w:oddVBand="0" w:evenVBand="0" w:oddHBand="0" w:evenHBand="1" w:firstRowFirstColumn="0" w:firstRowLastColumn="0" w:lastRowFirstColumn="0" w:lastRowLastColumn="0"/>
              <w:rPr>
                <w:color w:val="auto"/>
                <w:lang w:val="en-AU"/>
              </w:rPr>
            </w:pPr>
            <w:r w:rsidRPr="194FFF5D">
              <w:rPr>
                <w:color w:val="auto"/>
                <w:lang w:val="en-AU"/>
              </w:rPr>
              <w:t>The next phase of Prospera</w:t>
            </w:r>
            <w:r w:rsidR="4579B390" w:rsidRPr="194FFF5D">
              <w:rPr>
                <w:color w:val="auto"/>
                <w:lang w:val="en-AU"/>
              </w:rPr>
              <w:t xml:space="preserve"> </w:t>
            </w:r>
            <w:r w:rsidR="00B11605">
              <w:rPr>
                <w:color w:val="auto"/>
                <w:lang w:val="en-AU"/>
              </w:rPr>
              <w:t xml:space="preserve">will adopt a refined program logic, including clear end-of-program outcomes to delineate and </w:t>
            </w:r>
            <w:r w:rsidR="1E073954" w:rsidRPr="194FFF5D">
              <w:rPr>
                <w:color w:val="auto"/>
                <w:lang w:val="en-AU"/>
              </w:rPr>
              <w:t xml:space="preserve">narrow </w:t>
            </w:r>
            <w:r w:rsidR="00B11605">
              <w:rPr>
                <w:color w:val="auto"/>
                <w:lang w:val="en-AU"/>
              </w:rPr>
              <w:t>Prospera’s</w:t>
            </w:r>
            <w:r w:rsidR="00B11605" w:rsidRPr="194FFF5D">
              <w:rPr>
                <w:color w:val="auto"/>
                <w:lang w:val="en-AU"/>
              </w:rPr>
              <w:t xml:space="preserve"> </w:t>
            </w:r>
            <w:r w:rsidR="1E073954" w:rsidRPr="194FFF5D">
              <w:rPr>
                <w:color w:val="auto"/>
                <w:lang w:val="en-AU"/>
              </w:rPr>
              <w:t>scope</w:t>
            </w:r>
            <w:r w:rsidR="00B11605">
              <w:rPr>
                <w:color w:val="auto"/>
                <w:lang w:val="en-AU"/>
              </w:rPr>
              <w:t xml:space="preserve">. Enhanced program and activity governance will support this, including </w:t>
            </w:r>
            <w:r w:rsidR="1E073954" w:rsidRPr="194FFF5D">
              <w:rPr>
                <w:color w:val="auto"/>
                <w:lang w:val="en-AU"/>
              </w:rPr>
              <w:t xml:space="preserve">a revised Activity Planning and </w:t>
            </w:r>
            <w:r w:rsidR="700FC54D" w:rsidRPr="194FFF5D">
              <w:rPr>
                <w:color w:val="auto"/>
                <w:lang w:val="en-AU"/>
              </w:rPr>
              <w:t>Decision-Making Framework</w:t>
            </w:r>
            <w:r w:rsidR="00B11605">
              <w:rPr>
                <w:color w:val="auto"/>
                <w:lang w:val="en-AU"/>
              </w:rPr>
              <w:t xml:space="preserve"> that</w:t>
            </w:r>
            <w:r w:rsidR="700FC54D" w:rsidRPr="194FFF5D">
              <w:rPr>
                <w:color w:val="auto"/>
                <w:lang w:val="en-AU"/>
              </w:rPr>
              <w:t xml:space="preserve"> </w:t>
            </w:r>
            <w:r w:rsidR="00B11605">
              <w:rPr>
                <w:color w:val="auto"/>
                <w:lang w:val="en-AU"/>
              </w:rPr>
              <w:t xml:space="preserve">vets and prioritises activities </w:t>
            </w:r>
            <w:r w:rsidR="00B11605" w:rsidRPr="194FFF5D">
              <w:rPr>
                <w:rFonts w:asciiTheme="minorHAnsi" w:eastAsiaTheme="minorEastAsia" w:hAnsiTheme="minorHAnsi"/>
                <w:color w:val="333333"/>
                <w:lang w:val="en-AU"/>
              </w:rPr>
              <w:t>based on strategic alignment, reform potential, feasibility, impact</w:t>
            </w:r>
            <w:r w:rsidR="00B11605">
              <w:rPr>
                <w:rFonts w:asciiTheme="minorHAnsi" w:eastAsiaTheme="minorEastAsia" w:hAnsiTheme="minorHAnsi"/>
                <w:color w:val="333333"/>
                <w:lang w:val="en-AU"/>
              </w:rPr>
              <w:t xml:space="preserve"> and other considerations</w:t>
            </w:r>
            <w:r w:rsidR="00B11605" w:rsidRPr="194FFF5D">
              <w:rPr>
                <w:rFonts w:asciiTheme="minorHAnsi" w:eastAsiaTheme="minorEastAsia" w:hAnsiTheme="minorHAnsi"/>
                <w:color w:val="333333"/>
                <w:lang w:val="en-AU"/>
              </w:rPr>
              <w:t>.</w:t>
            </w:r>
          </w:p>
          <w:p w14:paraId="7160E9A3" w14:textId="393AD04D" w:rsidR="00E90F39" w:rsidRPr="006670E5" w:rsidRDefault="00B11605" w:rsidP="00B11605">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333333"/>
                <w:lang w:val="en-AU"/>
              </w:rPr>
            </w:pPr>
            <w:r>
              <w:rPr>
                <w:rFonts w:asciiTheme="minorHAnsi" w:eastAsiaTheme="minorEastAsia" w:hAnsiTheme="minorHAnsi"/>
                <w:color w:val="333333"/>
                <w:lang w:val="en-AU"/>
              </w:rPr>
              <w:t>DFAT anticipates establishing an independent</w:t>
            </w:r>
            <w:r w:rsidR="41DC045C" w:rsidRPr="194FFF5D">
              <w:rPr>
                <w:rFonts w:asciiTheme="minorHAnsi" w:eastAsiaTheme="minorEastAsia" w:hAnsiTheme="minorHAnsi"/>
                <w:color w:val="333333"/>
                <w:lang w:val="en-AU"/>
              </w:rPr>
              <w:t xml:space="preserve"> Technical Advisory Group </w:t>
            </w:r>
            <w:r>
              <w:rPr>
                <w:rFonts w:asciiTheme="minorHAnsi" w:eastAsiaTheme="minorEastAsia" w:hAnsiTheme="minorHAnsi"/>
                <w:color w:val="333333"/>
                <w:lang w:val="en-AU"/>
              </w:rPr>
              <w:t xml:space="preserve">for Prospera and other relevant programs to strengthen technical oversight, monitor strategic alignment and support portfolio coherence. </w:t>
            </w:r>
          </w:p>
        </w:tc>
        <w:tc>
          <w:tcPr>
            <w:tcW w:w="2268" w:type="dxa"/>
            <w:shd w:val="clear" w:color="auto" w:fill="auto"/>
          </w:tcPr>
          <w:p w14:paraId="07496D31" w14:textId="3F85297D" w:rsidR="000D7C9D" w:rsidRDefault="009F3CA9" w:rsidP="00811264">
            <w:pPr>
              <w:cnfStyle w:val="000000010000" w:firstRow="0" w:lastRow="0" w:firstColumn="0" w:lastColumn="0" w:oddVBand="0" w:evenVBand="0" w:oddHBand="0" w:evenHBand="1" w:firstRowFirstColumn="0" w:firstRowLastColumn="0" w:lastRowFirstColumn="0" w:lastRowLastColumn="0"/>
              <w:rPr>
                <w:color w:val="auto"/>
                <w:lang w:val="en-AU"/>
              </w:rPr>
            </w:pPr>
            <w:r>
              <w:rPr>
                <w:color w:val="auto"/>
                <w:lang w:val="en-AU"/>
              </w:rPr>
              <w:t>In the next 12 months</w:t>
            </w:r>
          </w:p>
          <w:p w14:paraId="00E3BC53" w14:textId="0C7AF4CB" w:rsidR="005375F5" w:rsidRPr="006670E5" w:rsidRDefault="005375F5" w:rsidP="00271957">
            <w:pPr>
              <w:cnfStyle w:val="000000010000" w:firstRow="0" w:lastRow="0" w:firstColumn="0" w:lastColumn="0" w:oddVBand="0" w:evenVBand="0" w:oddHBand="0" w:evenHBand="1" w:firstRowFirstColumn="0" w:firstRowLastColumn="0" w:lastRowFirstColumn="0" w:lastRowLastColumn="0"/>
              <w:rPr>
                <w:color w:val="auto"/>
                <w:lang w:val="en-AU"/>
              </w:rPr>
            </w:pPr>
          </w:p>
        </w:tc>
      </w:tr>
      <w:tr w:rsidR="00FA5BBA" w:rsidRPr="004F798E" w14:paraId="4D4B7216" w14:textId="77777777" w:rsidTr="194FFF5D">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53D62B16" w14:textId="77777777" w:rsidR="00E90F39" w:rsidRPr="0084379A" w:rsidRDefault="00E90F39" w:rsidP="00811264">
            <w:pPr>
              <w:rPr>
                <w:b/>
                <w:bCs/>
                <w:color w:val="auto"/>
                <w:lang w:val="en-AU"/>
              </w:rPr>
            </w:pPr>
            <w:r w:rsidRPr="0084379A">
              <w:rPr>
                <w:b/>
                <w:bCs/>
                <w:color w:val="auto"/>
                <w:lang w:val="en-AU"/>
              </w:rPr>
              <w:t>Recommendation 3</w:t>
            </w:r>
          </w:p>
          <w:p w14:paraId="0CFBF885" w14:textId="2819DCA4" w:rsidR="005F1638" w:rsidRPr="0084379A" w:rsidRDefault="005F1638" w:rsidP="00811264">
            <w:pPr>
              <w:rPr>
                <w:color w:val="auto"/>
                <w:lang w:val="en-AU"/>
              </w:rPr>
            </w:pPr>
            <w:r w:rsidRPr="0084379A">
              <w:rPr>
                <w:b/>
                <w:bCs/>
                <w:color w:val="auto"/>
                <w:lang w:val="en-AU"/>
              </w:rPr>
              <w:t xml:space="preserve">Regularly revise the Theory of Change </w:t>
            </w:r>
            <w:r w:rsidR="0078083D" w:rsidRPr="0084379A">
              <w:rPr>
                <w:b/>
                <w:bCs/>
                <w:color w:val="auto"/>
                <w:lang w:val="en-AU"/>
              </w:rPr>
              <w:t>(</w:t>
            </w:r>
            <w:proofErr w:type="spellStart"/>
            <w:r w:rsidR="0078083D" w:rsidRPr="0084379A">
              <w:rPr>
                <w:b/>
                <w:bCs/>
                <w:color w:val="auto"/>
                <w:lang w:val="en-AU"/>
              </w:rPr>
              <w:t>ToC</w:t>
            </w:r>
            <w:proofErr w:type="spellEnd"/>
            <w:r w:rsidR="0078083D" w:rsidRPr="0084379A">
              <w:rPr>
                <w:b/>
                <w:bCs/>
                <w:color w:val="auto"/>
                <w:lang w:val="en-AU"/>
              </w:rPr>
              <w:t xml:space="preserve">) </w:t>
            </w:r>
            <w:r w:rsidRPr="0084379A">
              <w:rPr>
                <w:color w:val="auto"/>
                <w:lang w:val="en-AU"/>
              </w:rPr>
              <w:t xml:space="preserve">to reflect evolving contexts, lessons learnt, and external factors, ensuring program relevance and responsiveness. Strengthen monitoring processes by learning from past challenges and designing a more robust </w:t>
            </w:r>
            <w:r w:rsidRPr="0084379A">
              <w:rPr>
                <w:color w:val="auto"/>
                <w:lang w:val="en-AU"/>
              </w:rPr>
              <w:lastRenderedPageBreak/>
              <w:t xml:space="preserve">MEL framework. Enhance accountability and clearly demonstrate effectiveness in the next phase. </w:t>
            </w:r>
          </w:p>
        </w:tc>
        <w:tc>
          <w:tcPr>
            <w:tcW w:w="1662" w:type="dxa"/>
            <w:shd w:val="clear" w:color="auto" w:fill="auto"/>
          </w:tcPr>
          <w:p w14:paraId="3979C448" w14:textId="7C4B95BE" w:rsidR="00E90F39" w:rsidRPr="0084379A" w:rsidRDefault="005B1D6D" w:rsidP="00811264">
            <w:pPr>
              <w:jc w:val="center"/>
              <w:cnfStyle w:val="000000100000" w:firstRow="0" w:lastRow="0" w:firstColumn="0" w:lastColumn="0" w:oddVBand="0" w:evenVBand="0" w:oddHBand="1" w:evenHBand="0" w:firstRowFirstColumn="0" w:firstRowLastColumn="0" w:lastRowFirstColumn="0" w:lastRowLastColumn="0"/>
              <w:rPr>
                <w:b/>
                <w:bCs/>
                <w:color w:val="auto"/>
                <w:lang w:val="en-AU"/>
              </w:rPr>
            </w:pPr>
            <w:r w:rsidRPr="0084379A">
              <w:rPr>
                <w:b/>
                <w:bCs/>
                <w:color w:val="auto"/>
                <w:lang w:val="en-AU"/>
              </w:rPr>
              <w:lastRenderedPageBreak/>
              <w:t>Agree</w:t>
            </w:r>
            <w:r w:rsidR="00B93632" w:rsidRPr="0084379A">
              <w:rPr>
                <w:b/>
                <w:bCs/>
                <w:color w:val="auto"/>
                <w:lang w:val="en-AU"/>
              </w:rPr>
              <w:t xml:space="preserve"> in </w:t>
            </w:r>
            <w:r w:rsidR="00D56532" w:rsidRPr="0084379A">
              <w:rPr>
                <w:b/>
                <w:bCs/>
                <w:color w:val="auto"/>
                <w:lang w:val="en-AU"/>
              </w:rPr>
              <w:t xml:space="preserve">part </w:t>
            </w:r>
          </w:p>
        </w:tc>
        <w:tc>
          <w:tcPr>
            <w:tcW w:w="2899" w:type="dxa"/>
            <w:shd w:val="clear" w:color="auto" w:fill="auto"/>
          </w:tcPr>
          <w:p w14:paraId="7A161AB7" w14:textId="2055F65D" w:rsidR="006223E9" w:rsidRDefault="003158AD" w:rsidP="00811264">
            <w:pPr>
              <w:cnfStyle w:val="000000100000" w:firstRow="0" w:lastRow="0" w:firstColumn="0" w:lastColumn="0" w:oddVBand="0" w:evenVBand="0" w:oddHBand="1" w:evenHBand="0" w:firstRowFirstColumn="0" w:firstRowLastColumn="0" w:lastRowFirstColumn="0" w:lastRowLastColumn="0"/>
              <w:rPr>
                <w:color w:val="auto"/>
                <w:lang w:val="en-AU"/>
              </w:rPr>
            </w:pPr>
            <w:r w:rsidRPr="098AFD46">
              <w:rPr>
                <w:color w:val="auto"/>
                <w:lang w:val="en-AU"/>
              </w:rPr>
              <w:t>DFAT acknowledge</w:t>
            </w:r>
            <w:r w:rsidR="00C40EFC" w:rsidRPr="098AFD46">
              <w:rPr>
                <w:color w:val="auto"/>
                <w:lang w:val="en-AU"/>
              </w:rPr>
              <w:t>s</w:t>
            </w:r>
            <w:r w:rsidRPr="098AFD46">
              <w:rPr>
                <w:color w:val="auto"/>
                <w:lang w:val="en-AU"/>
              </w:rPr>
              <w:t xml:space="preserve"> </w:t>
            </w:r>
            <w:r w:rsidR="0078083D" w:rsidRPr="098AFD46">
              <w:rPr>
                <w:color w:val="auto"/>
                <w:lang w:val="en-AU"/>
              </w:rPr>
              <w:t xml:space="preserve">the importance of maintaining a dynamic </w:t>
            </w:r>
            <w:proofErr w:type="spellStart"/>
            <w:r w:rsidR="0078083D" w:rsidRPr="098AFD46">
              <w:rPr>
                <w:color w:val="auto"/>
                <w:lang w:val="en-AU"/>
              </w:rPr>
              <w:t>ToC</w:t>
            </w:r>
            <w:proofErr w:type="spellEnd"/>
            <w:r w:rsidR="0078083D" w:rsidRPr="098AFD46">
              <w:rPr>
                <w:color w:val="auto"/>
                <w:lang w:val="en-AU"/>
              </w:rPr>
              <w:t xml:space="preserve"> that reflects Indonesia’s</w:t>
            </w:r>
            <w:r w:rsidR="008A2EEC" w:rsidRPr="098AFD46">
              <w:rPr>
                <w:color w:val="auto"/>
                <w:lang w:val="en-AU"/>
              </w:rPr>
              <w:t xml:space="preserve"> evolving policy landscape, shifting priorities and emerging development challenges.</w:t>
            </w:r>
            <w:r w:rsidR="00895AAD" w:rsidRPr="098AFD46">
              <w:rPr>
                <w:color w:val="auto"/>
                <w:lang w:val="en-AU"/>
              </w:rPr>
              <w:t xml:space="preserve"> Proactively </w:t>
            </w:r>
            <w:r w:rsidR="004B4D94" w:rsidRPr="098AFD46">
              <w:rPr>
                <w:color w:val="auto"/>
                <w:lang w:val="en-AU"/>
              </w:rPr>
              <w:t xml:space="preserve">monitoring </w:t>
            </w:r>
            <w:proofErr w:type="spellStart"/>
            <w:r w:rsidR="00B11605">
              <w:rPr>
                <w:color w:val="auto"/>
                <w:lang w:val="en-AU"/>
              </w:rPr>
              <w:t>ToC</w:t>
            </w:r>
            <w:proofErr w:type="spellEnd"/>
            <w:r w:rsidR="004B4D94" w:rsidRPr="098AFD46">
              <w:rPr>
                <w:color w:val="auto"/>
                <w:lang w:val="en-AU"/>
              </w:rPr>
              <w:t xml:space="preserve"> assumptions </w:t>
            </w:r>
            <w:r w:rsidR="004B4D94" w:rsidRPr="098AFD46">
              <w:rPr>
                <w:color w:val="auto"/>
                <w:lang w:val="en-AU"/>
              </w:rPr>
              <w:lastRenderedPageBreak/>
              <w:t xml:space="preserve">and </w:t>
            </w:r>
            <w:r w:rsidR="00895A89" w:rsidRPr="098AFD46">
              <w:rPr>
                <w:color w:val="auto"/>
                <w:lang w:val="en-AU"/>
              </w:rPr>
              <w:t>intermediate o</w:t>
            </w:r>
            <w:r w:rsidR="006E78B8" w:rsidRPr="098AFD46">
              <w:rPr>
                <w:color w:val="auto"/>
                <w:lang w:val="en-AU"/>
              </w:rPr>
              <w:t xml:space="preserve">utcomes </w:t>
            </w:r>
            <w:r w:rsidR="006100C0" w:rsidRPr="098AFD46">
              <w:rPr>
                <w:color w:val="auto"/>
                <w:lang w:val="en-AU"/>
              </w:rPr>
              <w:t xml:space="preserve">will help ensure </w:t>
            </w:r>
            <w:r w:rsidR="006E745E" w:rsidRPr="098AFD46">
              <w:rPr>
                <w:color w:val="auto"/>
                <w:lang w:val="en-AU"/>
              </w:rPr>
              <w:t xml:space="preserve">the program remains </w:t>
            </w:r>
            <w:r w:rsidR="0035765B" w:rsidRPr="098AFD46">
              <w:rPr>
                <w:color w:val="auto"/>
                <w:lang w:val="en-AU"/>
              </w:rPr>
              <w:t xml:space="preserve">relevant and responsive. </w:t>
            </w:r>
            <w:r w:rsidR="008A2EEC" w:rsidRPr="098AFD46">
              <w:rPr>
                <w:color w:val="auto"/>
                <w:lang w:val="en-AU"/>
              </w:rPr>
              <w:t xml:space="preserve"> </w:t>
            </w:r>
          </w:p>
          <w:p w14:paraId="0AACF9DC" w14:textId="77777777" w:rsidR="006223E9" w:rsidRDefault="006223E9" w:rsidP="00811264">
            <w:pPr>
              <w:cnfStyle w:val="000000100000" w:firstRow="0" w:lastRow="0" w:firstColumn="0" w:lastColumn="0" w:oddVBand="0" w:evenVBand="0" w:oddHBand="1" w:evenHBand="0" w:firstRowFirstColumn="0" w:firstRowLastColumn="0" w:lastRowFirstColumn="0" w:lastRowLastColumn="0"/>
              <w:rPr>
                <w:color w:val="auto"/>
                <w:lang w:val="en-AU"/>
              </w:rPr>
            </w:pPr>
          </w:p>
          <w:p w14:paraId="20380987" w14:textId="77777777" w:rsidR="006223E9" w:rsidRDefault="006223E9" w:rsidP="00811264">
            <w:pPr>
              <w:cnfStyle w:val="000000100000" w:firstRow="0" w:lastRow="0" w:firstColumn="0" w:lastColumn="0" w:oddVBand="0" w:evenVBand="0" w:oddHBand="1" w:evenHBand="0" w:firstRowFirstColumn="0" w:firstRowLastColumn="0" w:lastRowFirstColumn="0" w:lastRowLastColumn="0"/>
              <w:rPr>
                <w:color w:val="auto"/>
                <w:lang w:val="en-AU"/>
              </w:rPr>
            </w:pPr>
          </w:p>
          <w:p w14:paraId="388934F4" w14:textId="566B64B9" w:rsidR="006223E9" w:rsidRPr="004F798E" w:rsidRDefault="006223E9" w:rsidP="00811264">
            <w:pPr>
              <w:cnfStyle w:val="000000100000" w:firstRow="0" w:lastRow="0" w:firstColumn="0" w:lastColumn="0" w:oddVBand="0" w:evenVBand="0" w:oddHBand="1" w:evenHBand="0" w:firstRowFirstColumn="0" w:firstRowLastColumn="0" w:lastRowFirstColumn="0" w:lastRowLastColumn="0"/>
              <w:rPr>
                <w:color w:val="auto"/>
                <w:lang w:val="en-AU"/>
              </w:rPr>
            </w:pPr>
          </w:p>
        </w:tc>
        <w:tc>
          <w:tcPr>
            <w:tcW w:w="3518" w:type="dxa"/>
            <w:shd w:val="clear" w:color="auto" w:fill="auto"/>
          </w:tcPr>
          <w:p w14:paraId="69DD9435" w14:textId="0CB4E2C2" w:rsidR="00E90F39" w:rsidRPr="004F798E" w:rsidRDefault="00CA3F69" w:rsidP="00E932A6">
            <w:pPr>
              <w:cnfStyle w:val="000000100000" w:firstRow="0" w:lastRow="0" w:firstColumn="0" w:lastColumn="0" w:oddVBand="0" w:evenVBand="0" w:oddHBand="1" w:evenHBand="0" w:firstRowFirstColumn="0" w:firstRowLastColumn="0" w:lastRowFirstColumn="0" w:lastRowLastColumn="0"/>
              <w:rPr>
                <w:color w:val="auto"/>
                <w:lang w:val="en-AU"/>
              </w:rPr>
            </w:pPr>
            <w:r w:rsidRPr="098AFD46">
              <w:rPr>
                <w:color w:val="auto"/>
                <w:lang w:val="en-AU"/>
              </w:rPr>
              <w:lastRenderedPageBreak/>
              <w:t xml:space="preserve">The next phase of Prospera will design the </w:t>
            </w:r>
            <w:r w:rsidR="0087497B">
              <w:rPr>
                <w:color w:val="auto"/>
                <w:lang w:val="en-AU"/>
              </w:rPr>
              <w:t xml:space="preserve">MEL </w:t>
            </w:r>
            <w:r w:rsidR="00B11605">
              <w:rPr>
                <w:color w:val="auto"/>
                <w:lang w:val="en-AU"/>
              </w:rPr>
              <w:t>F</w:t>
            </w:r>
            <w:r w:rsidRPr="098AFD46">
              <w:rPr>
                <w:color w:val="auto"/>
                <w:lang w:val="en-AU"/>
              </w:rPr>
              <w:t xml:space="preserve">ramework to strengthen both external and internal accountability, incorporate lessons learnt and ensure credible evidence of performance. The MEL system should be used as a strategic tool and central to tracking </w:t>
            </w:r>
            <w:r w:rsidRPr="098AFD46">
              <w:rPr>
                <w:color w:val="auto"/>
                <w:lang w:val="en-AU"/>
              </w:rPr>
              <w:lastRenderedPageBreak/>
              <w:t xml:space="preserve">performance and informing decision-making. </w:t>
            </w:r>
            <w:r w:rsidR="00B11605">
              <w:rPr>
                <w:color w:val="auto"/>
                <w:lang w:val="en-AU"/>
              </w:rPr>
              <w:t xml:space="preserve">This will be supported by adequate budget and staff resourcing of MEL in the contractor, and revisions of the </w:t>
            </w:r>
            <w:proofErr w:type="spellStart"/>
            <w:r w:rsidR="00B11605">
              <w:rPr>
                <w:color w:val="auto"/>
                <w:lang w:val="en-AU"/>
              </w:rPr>
              <w:t>ToC</w:t>
            </w:r>
            <w:proofErr w:type="spellEnd"/>
            <w:r w:rsidR="00B11605">
              <w:rPr>
                <w:color w:val="auto"/>
                <w:lang w:val="en-AU"/>
              </w:rPr>
              <w:t>.</w:t>
            </w:r>
          </w:p>
        </w:tc>
        <w:tc>
          <w:tcPr>
            <w:tcW w:w="2268" w:type="dxa"/>
            <w:shd w:val="clear" w:color="auto" w:fill="auto"/>
          </w:tcPr>
          <w:p w14:paraId="5E6B698E" w14:textId="77777777" w:rsidR="00134829" w:rsidRDefault="00134829" w:rsidP="00134829">
            <w:pPr>
              <w:cnfStyle w:val="000000100000" w:firstRow="0" w:lastRow="0" w:firstColumn="0" w:lastColumn="0" w:oddVBand="0" w:evenVBand="0" w:oddHBand="1" w:evenHBand="0" w:firstRowFirstColumn="0" w:firstRowLastColumn="0" w:lastRowFirstColumn="0" w:lastRowLastColumn="0"/>
              <w:rPr>
                <w:color w:val="auto"/>
                <w:lang w:val="en-AU"/>
              </w:rPr>
            </w:pPr>
            <w:r>
              <w:rPr>
                <w:color w:val="auto"/>
                <w:lang w:val="en-AU"/>
              </w:rPr>
              <w:lastRenderedPageBreak/>
              <w:t>In the next 12 months</w:t>
            </w:r>
          </w:p>
          <w:p w14:paraId="5F8B3E1A" w14:textId="77777777" w:rsidR="00132561" w:rsidRDefault="00132561" w:rsidP="00811264">
            <w:pPr>
              <w:cnfStyle w:val="000000100000" w:firstRow="0" w:lastRow="0" w:firstColumn="0" w:lastColumn="0" w:oddVBand="0" w:evenVBand="0" w:oddHBand="1" w:evenHBand="0" w:firstRowFirstColumn="0" w:firstRowLastColumn="0" w:lastRowFirstColumn="0" w:lastRowLastColumn="0"/>
              <w:rPr>
                <w:color w:val="auto"/>
                <w:lang w:val="en-AU"/>
              </w:rPr>
            </w:pPr>
          </w:p>
          <w:p w14:paraId="017DFDBA" w14:textId="77777777" w:rsidR="00132561" w:rsidRDefault="00132561" w:rsidP="00811264">
            <w:pPr>
              <w:cnfStyle w:val="000000100000" w:firstRow="0" w:lastRow="0" w:firstColumn="0" w:lastColumn="0" w:oddVBand="0" w:evenVBand="0" w:oddHBand="1" w:evenHBand="0" w:firstRowFirstColumn="0" w:firstRowLastColumn="0" w:lastRowFirstColumn="0" w:lastRowLastColumn="0"/>
              <w:rPr>
                <w:color w:val="auto"/>
                <w:lang w:val="en-AU"/>
              </w:rPr>
            </w:pPr>
          </w:p>
          <w:p w14:paraId="02C150F5" w14:textId="353160B6" w:rsidR="00132561" w:rsidRPr="004F798E" w:rsidRDefault="00132561" w:rsidP="00811264">
            <w:pPr>
              <w:cnfStyle w:val="000000100000" w:firstRow="0" w:lastRow="0" w:firstColumn="0" w:lastColumn="0" w:oddVBand="0" w:evenVBand="0" w:oddHBand="1" w:evenHBand="0" w:firstRowFirstColumn="0" w:firstRowLastColumn="0" w:lastRowFirstColumn="0" w:lastRowLastColumn="0"/>
              <w:rPr>
                <w:color w:val="auto"/>
                <w:lang w:val="en-AU"/>
              </w:rPr>
            </w:pPr>
          </w:p>
        </w:tc>
      </w:tr>
      <w:tr w:rsidR="003F245A" w:rsidRPr="004F798E" w14:paraId="335278BA" w14:textId="77777777" w:rsidTr="194FFF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742EC95E" w14:textId="6FCAD702" w:rsidR="0037120A" w:rsidRPr="0037120A" w:rsidRDefault="0037120A" w:rsidP="003F245A">
            <w:pPr>
              <w:rPr>
                <w:rFonts w:asciiTheme="minorHAnsi" w:eastAsia="Arial" w:hAnsiTheme="minorHAnsi" w:cstheme="minorHAnsi"/>
                <w:b/>
                <w:bCs/>
                <w:color w:val="000000"/>
              </w:rPr>
            </w:pPr>
            <w:r w:rsidRPr="0037120A">
              <w:rPr>
                <w:rFonts w:asciiTheme="minorHAnsi" w:eastAsia="Arial" w:hAnsiTheme="minorHAnsi" w:cstheme="minorHAnsi"/>
                <w:b/>
                <w:bCs/>
                <w:color w:val="000000"/>
              </w:rPr>
              <w:t>Recommendation 4</w:t>
            </w:r>
          </w:p>
          <w:p w14:paraId="3D17AEAD" w14:textId="77777777" w:rsidR="00F0580F" w:rsidRPr="00F0580F" w:rsidRDefault="00244FF7" w:rsidP="00F0580F">
            <w:pPr>
              <w:rPr>
                <w:rFonts w:asciiTheme="minorHAnsi" w:eastAsia="Arial" w:hAnsiTheme="minorHAnsi" w:cstheme="minorHAnsi"/>
                <w:color w:val="000000"/>
              </w:rPr>
            </w:pPr>
            <w:r w:rsidRPr="00D56532">
              <w:rPr>
                <w:rFonts w:eastAsia="Arial" w:cstheme="minorHAnsi"/>
                <w:b/>
                <w:bCs/>
                <w:color w:val="000000"/>
              </w:rPr>
              <w:t>Mandate standardised reporting</w:t>
            </w:r>
            <w:r w:rsidRPr="00244FF7">
              <w:rPr>
                <w:rFonts w:asciiTheme="minorHAnsi" w:eastAsia="Arial" w:hAnsiTheme="minorHAnsi" w:cstheme="minorHAnsi"/>
                <w:color w:val="000000"/>
              </w:rPr>
              <w:t xml:space="preserve"> that includes detailed activity descriptions, clear delineation of outputs and outcomes, and transparent acknowledgment of subcontractors’ roles. Ensure subcontractors’ observations, challenges, and suggestions are documented and shared with DFAT</w:t>
            </w:r>
            <w:r w:rsidR="00F0580F">
              <w:rPr>
                <w:rFonts w:asciiTheme="minorHAnsi" w:eastAsia="Arial" w:hAnsiTheme="minorHAnsi" w:cstheme="minorHAnsi"/>
                <w:color w:val="000000"/>
              </w:rPr>
              <w:t xml:space="preserve"> </w:t>
            </w:r>
            <w:r w:rsidR="00F0580F" w:rsidRPr="00F0580F">
              <w:rPr>
                <w:rFonts w:asciiTheme="minorHAnsi" w:eastAsia="Arial" w:hAnsiTheme="minorHAnsi" w:cstheme="minorHAnsi"/>
                <w:color w:val="000000"/>
              </w:rPr>
              <w:t>to provide a complete picture of progress and setbacks.</w:t>
            </w:r>
          </w:p>
          <w:p w14:paraId="6A998182" w14:textId="509504A1" w:rsidR="003F245A" w:rsidRPr="00A909A9" w:rsidRDefault="00F0580F" w:rsidP="00F0580F">
            <w:pPr>
              <w:rPr>
                <w:iCs/>
                <w:color w:val="auto"/>
                <w:lang w:val="en-AU"/>
              </w:rPr>
            </w:pPr>
            <w:r w:rsidRPr="00D56532">
              <w:rPr>
                <w:rFonts w:eastAsia="Arial" w:cstheme="minorHAnsi"/>
                <w:b/>
                <w:bCs/>
                <w:color w:val="000000"/>
              </w:rPr>
              <w:t>Ensure DFAT has direct access to subcontractor reports</w:t>
            </w:r>
            <w:r w:rsidRPr="00F0580F">
              <w:rPr>
                <w:rFonts w:asciiTheme="minorHAnsi" w:eastAsia="Arial" w:hAnsiTheme="minorHAnsi" w:cstheme="minorHAnsi"/>
                <w:color w:val="000000"/>
              </w:rPr>
              <w:t xml:space="preserve"> and establish a fact-checking mechanism—such as involving locally engaged staff—to verify information accuracy.</w:t>
            </w:r>
          </w:p>
        </w:tc>
        <w:tc>
          <w:tcPr>
            <w:tcW w:w="1662" w:type="dxa"/>
            <w:shd w:val="clear" w:color="auto" w:fill="auto"/>
          </w:tcPr>
          <w:p w14:paraId="1E0A4C4B" w14:textId="49DCC43F" w:rsidR="003F245A" w:rsidRPr="004F798E" w:rsidRDefault="00C5271C" w:rsidP="003F245A">
            <w:pPr>
              <w:jc w:val="center"/>
              <w:cnfStyle w:val="000000010000" w:firstRow="0" w:lastRow="0" w:firstColumn="0" w:lastColumn="0" w:oddVBand="0" w:evenVBand="0" w:oddHBand="0" w:evenHBand="1" w:firstRowFirstColumn="0" w:firstRowLastColumn="0" w:lastRowFirstColumn="0" w:lastRowLastColumn="0"/>
              <w:rPr>
                <w:b/>
                <w:bCs/>
                <w:color w:val="auto"/>
                <w:lang w:val="en-AU"/>
              </w:rPr>
            </w:pPr>
            <w:r>
              <w:rPr>
                <w:b/>
                <w:bCs/>
                <w:color w:val="auto"/>
                <w:lang w:val="en-AU"/>
              </w:rPr>
              <w:t>Disagree</w:t>
            </w:r>
          </w:p>
        </w:tc>
        <w:tc>
          <w:tcPr>
            <w:tcW w:w="2899" w:type="dxa"/>
            <w:shd w:val="clear" w:color="auto" w:fill="auto"/>
          </w:tcPr>
          <w:p w14:paraId="2C29CC77" w14:textId="386DC383" w:rsidR="003F245A" w:rsidRDefault="0015652B" w:rsidP="003F245A">
            <w:pPr>
              <w:cnfStyle w:val="000000010000" w:firstRow="0" w:lastRow="0" w:firstColumn="0" w:lastColumn="0" w:oddVBand="0" w:evenVBand="0" w:oddHBand="0" w:evenHBand="1" w:firstRowFirstColumn="0" w:firstRowLastColumn="0" w:lastRowFirstColumn="0" w:lastRowLastColumn="0"/>
              <w:rPr>
                <w:color w:val="auto"/>
                <w:lang w:val="en-AU"/>
              </w:rPr>
            </w:pPr>
            <w:r>
              <w:rPr>
                <w:color w:val="auto"/>
                <w:lang w:val="en-AU"/>
              </w:rPr>
              <w:t>DFAT</w:t>
            </w:r>
            <w:r w:rsidR="005210AB">
              <w:rPr>
                <w:color w:val="auto"/>
                <w:lang w:val="en-AU"/>
              </w:rPr>
              <w:t xml:space="preserve"> see</w:t>
            </w:r>
            <w:r w:rsidR="00B47EAB">
              <w:rPr>
                <w:color w:val="auto"/>
                <w:lang w:val="en-AU"/>
              </w:rPr>
              <w:t>s</w:t>
            </w:r>
            <w:r w:rsidR="005210AB">
              <w:rPr>
                <w:color w:val="auto"/>
                <w:lang w:val="en-AU"/>
              </w:rPr>
              <w:t xml:space="preserve"> value in improving consistency and depth in how activities</w:t>
            </w:r>
            <w:r w:rsidR="00675BF9">
              <w:rPr>
                <w:color w:val="auto"/>
                <w:lang w:val="en-AU"/>
              </w:rPr>
              <w:t xml:space="preserve"> are reported</w:t>
            </w:r>
            <w:r w:rsidR="00EF3193">
              <w:rPr>
                <w:color w:val="auto"/>
                <w:lang w:val="en-AU"/>
              </w:rPr>
              <w:t>, including capturing feedback from delivery partners</w:t>
            </w:r>
            <w:r w:rsidR="00675BF9">
              <w:rPr>
                <w:color w:val="auto"/>
                <w:lang w:val="en-AU"/>
              </w:rPr>
              <w:t xml:space="preserve">. </w:t>
            </w:r>
            <w:r w:rsidR="007F3908">
              <w:rPr>
                <w:color w:val="auto"/>
                <w:lang w:val="en-AU"/>
              </w:rPr>
              <w:t xml:space="preserve">However, </w:t>
            </w:r>
            <w:r w:rsidR="008D59E9">
              <w:rPr>
                <w:color w:val="auto"/>
                <w:lang w:val="en-AU"/>
              </w:rPr>
              <w:t>due to the necessary variety in partners and subcontracted activities</w:t>
            </w:r>
            <w:r w:rsidR="00786BCB">
              <w:rPr>
                <w:color w:val="auto"/>
                <w:lang w:val="en-AU"/>
              </w:rPr>
              <w:t xml:space="preserve">, complete </w:t>
            </w:r>
            <w:r w:rsidR="00041857">
              <w:rPr>
                <w:color w:val="auto"/>
                <w:lang w:val="en-AU"/>
              </w:rPr>
              <w:t>standardisation</w:t>
            </w:r>
            <w:r w:rsidR="00786BCB">
              <w:rPr>
                <w:color w:val="auto"/>
                <w:lang w:val="en-AU"/>
              </w:rPr>
              <w:t xml:space="preserve"> is not possible.</w:t>
            </w:r>
          </w:p>
          <w:p w14:paraId="0C232801" w14:textId="77777777" w:rsidR="00615D12" w:rsidRDefault="00615D12" w:rsidP="003F245A">
            <w:pPr>
              <w:cnfStyle w:val="000000010000" w:firstRow="0" w:lastRow="0" w:firstColumn="0" w:lastColumn="0" w:oddVBand="0" w:evenVBand="0" w:oddHBand="0" w:evenHBand="1" w:firstRowFirstColumn="0" w:firstRowLastColumn="0" w:lastRowFirstColumn="0" w:lastRowLastColumn="0"/>
              <w:rPr>
                <w:color w:val="auto"/>
                <w:lang w:val="en-AU"/>
              </w:rPr>
            </w:pPr>
          </w:p>
          <w:p w14:paraId="66C02EF4" w14:textId="3B19E2F1" w:rsidR="00615D12" w:rsidRPr="004F798E" w:rsidRDefault="002F5EDC" w:rsidP="003F245A">
            <w:pPr>
              <w:cnfStyle w:val="000000010000" w:firstRow="0" w:lastRow="0" w:firstColumn="0" w:lastColumn="0" w:oddVBand="0" w:evenVBand="0" w:oddHBand="0" w:evenHBand="1" w:firstRowFirstColumn="0" w:firstRowLastColumn="0" w:lastRowFirstColumn="0" w:lastRowLastColumn="0"/>
              <w:rPr>
                <w:color w:val="auto"/>
                <w:lang w:val="en-AU"/>
              </w:rPr>
            </w:pPr>
            <w:r>
              <w:rPr>
                <w:color w:val="auto"/>
                <w:lang w:val="en-AU"/>
              </w:rPr>
              <w:t xml:space="preserve">DFAT currently has </w:t>
            </w:r>
            <w:r w:rsidR="00BD225E">
              <w:rPr>
                <w:color w:val="auto"/>
                <w:lang w:val="en-AU"/>
              </w:rPr>
              <w:t xml:space="preserve">direct </w:t>
            </w:r>
            <w:r>
              <w:rPr>
                <w:color w:val="auto"/>
                <w:lang w:val="en-AU"/>
              </w:rPr>
              <w:t xml:space="preserve">access to </w:t>
            </w:r>
            <w:r w:rsidR="009C06D1">
              <w:rPr>
                <w:color w:val="auto"/>
                <w:lang w:val="en-AU"/>
              </w:rPr>
              <w:t>sub</w:t>
            </w:r>
            <w:r w:rsidR="00BD225E">
              <w:rPr>
                <w:color w:val="auto"/>
                <w:lang w:val="en-AU"/>
              </w:rPr>
              <w:t>contractor reports</w:t>
            </w:r>
            <w:r w:rsidR="00B11605">
              <w:rPr>
                <w:color w:val="auto"/>
                <w:lang w:val="en-AU"/>
              </w:rPr>
              <w:t>.</w:t>
            </w:r>
            <w:r>
              <w:rPr>
                <w:color w:val="auto"/>
                <w:lang w:val="en-AU"/>
              </w:rPr>
              <w:t xml:space="preserve"> </w:t>
            </w:r>
          </w:p>
        </w:tc>
        <w:tc>
          <w:tcPr>
            <w:tcW w:w="3518" w:type="dxa"/>
            <w:shd w:val="clear" w:color="auto" w:fill="auto"/>
          </w:tcPr>
          <w:p w14:paraId="2D054EF7" w14:textId="5EF5A60E" w:rsidR="003F245A" w:rsidRPr="004F798E" w:rsidRDefault="00AB270B" w:rsidP="00EA3133">
            <w:pPr>
              <w:cnfStyle w:val="000000010000" w:firstRow="0" w:lastRow="0" w:firstColumn="0" w:lastColumn="0" w:oddVBand="0" w:evenVBand="0" w:oddHBand="0" w:evenHBand="1" w:firstRowFirstColumn="0" w:firstRowLastColumn="0" w:lastRowFirstColumn="0" w:lastRowLastColumn="0"/>
              <w:rPr>
                <w:color w:val="auto"/>
                <w:lang w:val="en-AU"/>
              </w:rPr>
            </w:pPr>
            <w:r>
              <w:rPr>
                <w:color w:val="auto"/>
                <w:lang w:val="en-AU"/>
              </w:rPr>
              <w:t xml:space="preserve">In the next phase of Prospera, </w:t>
            </w:r>
            <w:r w:rsidR="00EA3133">
              <w:rPr>
                <w:color w:val="auto"/>
                <w:lang w:val="en-AU"/>
              </w:rPr>
              <w:t xml:space="preserve">DFAT will carefully consider </w:t>
            </w:r>
            <w:r w:rsidR="006327E7">
              <w:rPr>
                <w:color w:val="auto"/>
                <w:lang w:val="en-AU"/>
              </w:rPr>
              <w:t>reporting requirements</w:t>
            </w:r>
            <w:r>
              <w:rPr>
                <w:color w:val="auto"/>
                <w:lang w:val="en-AU"/>
              </w:rPr>
              <w:t xml:space="preserve">, including for </w:t>
            </w:r>
            <w:r w:rsidR="002E0409">
              <w:rPr>
                <w:color w:val="auto"/>
                <w:lang w:val="en-AU"/>
              </w:rPr>
              <w:t xml:space="preserve">subcontractors, with </w:t>
            </w:r>
            <w:r w:rsidR="000242E5">
              <w:rPr>
                <w:color w:val="auto"/>
                <w:lang w:val="en-AU"/>
              </w:rPr>
              <w:t>a focus on how they support accountability</w:t>
            </w:r>
            <w:r w:rsidR="00B11605">
              <w:rPr>
                <w:color w:val="auto"/>
                <w:lang w:val="en-AU"/>
              </w:rPr>
              <w:t>,</w:t>
            </w:r>
            <w:r w:rsidR="000242E5">
              <w:rPr>
                <w:color w:val="auto"/>
                <w:lang w:val="en-AU"/>
              </w:rPr>
              <w:t xml:space="preserve"> the MEL </w:t>
            </w:r>
            <w:r w:rsidR="00B11605">
              <w:rPr>
                <w:color w:val="auto"/>
                <w:lang w:val="en-AU"/>
              </w:rPr>
              <w:t>F</w:t>
            </w:r>
            <w:r w:rsidR="004E1DFF">
              <w:rPr>
                <w:color w:val="auto"/>
                <w:lang w:val="en-AU"/>
              </w:rPr>
              <w:t>ramework</w:t>
            </w:r>
            <w:r w:rsidR="00B11605">
              <w:rPr>
                <w:color w:val="auto"/>
                <w:lang w:val="en-AU"/>
              </w:rPr>
              <w:t>, and overall program performance and reporting.</w:t>
            </w:r>
          </w:p>
        </w:tc>
        <w:tc>
          <w:tcPr>
            <w:tcW w:w="2268" w:type="dxa"/>
            <w:shd w:val="clear" w:color="auto" w:fill="auto"/>
          </w:tcPr>
          <w:p w14:paraId="3C15A0BC" w14:textId="77777777" w:rsidR="00C43A3D" w:rsidRDefault="00C43A3D" w:rsidP="00C43A3D">
            <w:pPr>
              <w:cnfStyle w:val="000000010000" w:firstRow="0" w:lastRow="0" w:firstColumn="0" w:lastColumn="0" w:oddVBand="0" w:evenVBand="0" w:oddHBand="0" w:evenHBand="1" w:firstRowFirstColumn="0" w:firstRowLastColumn="0" w:lastRowFirstColumn="0" w:lastRowLastColumn="0"/>
              <w:rPr>
                <w:color w:val="auto"/>
                <w:lang w:val="en-AU"/>
              </w:rPr>
            </w:pPr>
            <w:r>
              <w:rPr>
                <w:color w:val="auto"/>
                <w:lang w:val="en-AU"/>
              </w:rPr>
              <w:t>In the next 12 months</w:t>
            </w:r>
          </w:p>
          <w:p w14:paraId="75D624E6" w14:textId="2DDAF681" w:rsidR="003F245A" w:rsidRPr="004F798E" w:rsidRDefault="003F245A" w:rsidP="003F245A">
            <w:pPr>
              <w:cnfStyle w:val="000000010000" w:firstRow="0" w:lastRow="0" w:firstColumn="0" w:lastColumn="0" w:oddVBand="0" w:evenVBand="0" w:oddHBand="0" w:evenHBand="1" w:firstRowFirstColumn="0" w:firstRowLastColumn="0" w:lastRowFirstColumn="0" w:lastRowLastColumn="0"/>
              <w:rPr>
                <w:color w:val="auto"/>
                <w:lang w:val="en-AU"/>
              </w:rPr>
            </w:pPr>
          </w:p>
        </w:tc>
      </w:tr>
      <w:tr w:rsidR="003F245A" w:rsidRPr="004F798E" w14:paraId="57F98921" w14:textId="77777777" w:rsidTr="194FF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71674A17" w14:textId="77777777" w:rsidR="003F245A" w:rsidRPr="00A909A9" w:rsidRDefault="003F245A" w:rsidP="003F245A">
            <w:pPr>
              <w:rPr>
                <w:b/>
                <w:bCs/>
                <w:color w:val="auto"/>
                <w:lang w:val="en-AU"/>
              </w:rPr>
            </w:pPr>
            <w:r w:rsidRPr="00A909A9">
              <w:rPr>
                <w:b/>
                <w:bCs/>
                <w:color w:val="auto"/>
                <w:lang w:val="en-AU"/>
              </w:rPr>
              <w:t>Recommendation 5</w:t>
            </w:r>
          </w:p>
          <w:p w14:paraId="5024F6E4" w14:textId="77777777" w:rsidR="008E0D32" w:rsidRPr="008E0D32" w:rsidRDefault="008E0D32" w:rsidP="008E0D32">
            <w:pPr>
              <w:rPr>
                <w:iCs/>
                <w:color w:val="auto"/>
                <w:lang w:val="en-AU"/>
              </w:rPr>
            </w:pPr>
            <w:r w:rsidRPr="0084379A">
              <w:rPr>
                <w:b/>
                <w:bCs/>
                <w:iCs/>
                <w:color w:val="auto"/>
                <w:lang w:val="en-AU"/>
              </w:rPr>
              <w:t>Adopt a Program-Wide Approach to Institutional Strengthening:</w:t>
            </w:r>
            <w:r w:rsidRPr="0084379A">
              <w:rPr>
                <w:iCs/>
                <w:color w:val="auto"/>
                <w:lang w:val="en-AU"/>
              </w:rPr>
              <w:t xml:space="preserve"> Develop a structured framework, such as investment criteria, and support this </w:t>
            </w:r>
            <w:r w:rsidRPr="0084379A">
              <w:rPr>
                <w:iCs/>
                <w:color w:val="auto"/>
                <w:lang w:val="en-AU"/>
              </w:rPr>
              <w:lastRenderedPageBreak/>
              <w:t>framework with detailed reporting mechanisms that provide sufficient information for analytical purposes.</w:t>
            </w:r>
          </w:p>
          <w:p w14:paraId="7FF0A672" w14:textId="79B5D7CE" w:rsidR="003F245A" w:rsidRPr="00A909A9" w:rsidRDefault="003F245A" w:rsidP="003F245A">
            <w:pPr>
              <w:rPr>
                <w:color w:val="auto"/>
                <w:lang w:val="en-AU"/>
              </w:rPr>
            </w:pPr>
          </w:p>
        </w:tc>
        <w:tc>
          <w:tcPr>
            <w:tcW w:w="1662" w:type="dxa"/>
            <w:shd w:val="clear" w:color="auto" w:fill="auto"/>
          </w:tcPr>
          <w:p w14:paraId="4E2E66EA" w14:textId="442F7F4A" w:rsidR="003F245A" w:rsidRPr="004F798E" w:rsidRDefault="00D15F0E" w:rsidP="003F245A">
            <w:pPr>
              <w:jc w:val="center"/>
              <w:cnfStyle w:val="000000100000" w:firstRow="0" w:lastRow="0" w:firstColumn="0" w:lastColumn="0" w:oddVBand="0" w:evenVBand="0" w:oddHBand="1" w:evenHBand="0" w:firstRowFirstColumn="0" w:firstRowLastColumn="0" w:lastRowFirstColumn="0" w:lastRowLastColumn="0"/>
              <w:rPr>
                <w:b/>
                <w:bCs/>
                <w:color w:val="auto"/>
                <w:lang w:val="en-AU"/>
              </w:rPr>
            </w:pPr>
            <w:r>
              <w:rPr>
                <w:b/>
                <w:bCs/>
                <w:color w:val="auto"/>
                <w:lang w:val="en-AU"/>
              </w:rPr>
              <w:lastRenderedPageBreak/>
              <w:t xml:space="preserve">Agree in </w:t>
            </w:r>
            <w:r w:rsidR="00D56532">
              <w:rPr>
                <w:b/>
                <w:bCs/>
                <w:color w:val="auto"/>
                <w:lang w:val="en-AU"/>
              </w:rPr>
              <w:t>part</w:t>
            </w:r>
          </w:p>
        </w:tc>
        <w:tc>
          <w:tcPr>
            <w:tcW w:w="2899" w:type="dxa"/>
            <w:shd w:val="clear" w:color="auto" w:fill="auto"/>
          </w:tcPr>
          <w:p w14:paraId="54CB7CFD" w14:textId="7F0781A2" w:rsidR="003F245A" w:rsidRPr="005D6452" w:rsidRDefault="00AC2598" w:rsidP="20EE5CCC">
            <w:pPr>
              <w:cnfStyle w:val="000000100000" w:firstRow="0" w:lastRow="0" w:firstColumn="0" w:lastColumn="0" w:oddVBand="0" w:evenVBand="0" w:oddHBand="1" w:evenHBand="0" w:firstRowFirstColumn="0" w:firstRowLastColumn="0" w:lastRowFirstColumn="0" w:lastRowLastColumn="0"/>
              <w:rPr>
                <w:color w:val="auto"/>
              </w:rPr>
            </w:pPr>
            <w:r w:rsidRPr="20EE5CCC">
              <w:rPr>
                <w:color w:val="auto"/>
              </w:rPr>
              <w:t xml:space="preserve">Indonesia </w:t>
            </w:r>
            <w:r w:rsidR="009868F4" w:rsidRPr="20EE5CCC">
              <w:rPr>
                <w:color w:val="auto"/>
              </w:rPr>
              <w:t xml:space="preserve">institutional strengthening is part of Prospera’s </w:t>
            </w:r>
            <w:r w:rsidRPr="20EE5CCC">
              <w:rPr>
                <w:color w:val="auto"/>
              </w:rPr>
              <w:t xml:space="preserve">long term </w:t>
            </w:r>
            <w:r w:rsidR="007024EA" w:rsidRPr="20EE5CCC">
              <w:rPr>
                <w:color w:val="auto"/>
              </w:rPr>
              <w:t>sustainability, t</w:t>
            </w:r>
            <w:r w:rsidR="004A3CEA" w:rsidRPr="20EE5CCC">
              <w:rPr>
                <w:color w:val="auto"/>
              </w:rPr>
              <w:t xml:space="preserve">he next phase of Prospera </w:t>
            </w:r>
            <w:r w:rsidR="009868F4" w:rsidRPr="20EE5CCC">
              <w:rPr>
                <w:color w:val="auto"/>
              </w:rPr>
              <w:t xml:space="preserve">will </w:t>
            </w:r>
            <w:r w:rsidR="00CD0147">
              <w:rPr>
                <w:color w:val="auto"/>
              </w:rPr>
              <w:t xml:space="preserve">continue </w:t>
            </w:r>
            <w:r w:rsidR="00C30F60" w:rsidRPr="20EE5CCC">
              <w:rPr>
                <w:color w:val="auto"/>
              </w:rPr>
              <w:t xml:space="preserve">to </w:t>
            </w:r>
            <w:r w:rsidR="00C30F60" w:rsidRPr="20EE5CCC">
              <w:rPr>
                <w:color w:val="auto"/>
              </w:rPr>
              <w:lastRenderedPageBreak/>
              <w:t xml:space="preserve">support </w:t>
            </w:r>
            <w:r w:rsidR="00CD0147">
              <w:rPr>
                <w:color w:val="auto"/>
              </w:rPr>
              <w:t>Government of I</w:t>
            </w:r>
            <w:r w:rsidR="00E51612">
              <w:rPr>
                <w:color w:val="auto"/>
              </w:rPr>
              <w:t>n</w:t>
            </w:r>
            <w:r w:rsidR="00CD0147">
              <w:rPr>
                <w:color w:val="auto"/>
              </w:rPr>
              <w:t>donesia</w:t>
            </w:r>
            <w:r w:rsidR="00E51612">
              <w:rPr>
                <w:color w:val="auto"/>
              </w:rPr>
              <w:t xml:space="preserve"> (</w:t>
            </w:r>
            <w:r w:rsidR="00C30F60" w:rsidRPr="20EE5CCC">
              <w:rPr>
                <w:color w:val="auto"/>
              </w:rPr>
              <w:t>GOI</w:t>
            </w:r>
            <w:r w:rsidR="00E51612">
              <w:rPr>
                <w:color w:val="auto"/>
              </w:rPr>
              <w:t>)</w:t>
            </w:r>
            <w:r w:rsidR="00C30F60" w:rsidRPr="20EE5CCC">
              <w:rPr>
                <w:color w:val="auto"/>
              </w:rPr>
              <w:t xml:space="preserve"> policy</w:t>
            </w:r>
            <w:r w:rsidR="0097035C" w:rsidRPr="20EE5CCC">
              <w:rPr>
                <w:color w:val="auto"/>
              </w:rPr>
              <w:t xml:space="preserve"> priorities for sustainable economic development.</w:t>
            </w:r>
            <w:r w:rsidR="00DB6958" w:rsidRPr="20EE5CCC">
              <w:rPr>
                <w:color w:val="auto"/>
              </w:rPr>
              <w:t xml:space="preserve"> This will require strategic investments in local institutional strengthening and demand-side reforms within </w:t>
            </w:r>
            <w:r w:rsidR="00E51612" w:rsidRPr="17C4CE72">
              <w:rPr>
                <w:color w:val="auto"/>
              </w:rPr>
              <w:t>GOI</w:t>
            </w:r>
            <w:r w:rsidR="006D08F0" w:rsidRPr="20EE5CCC">
              <w:rPr>
                <w:color w:val="auto"/>
              </w:rPr>
              <w:t xml:space="preserve">. </w:t>
            </w:r>
            <w:r w:rsidR="00DB6958" w:rsidRPr="20EE5CCC">
              <w:rPr>
                <w:color w:val="auto"/>
              </w:rPr>
              <w:t xml:space="preserve"> </w:t>
            </w:r>
            <w:r w:rsidR="0097035C" w:rsidRPr="20EE5CCC">
              <w:rPr>
                <w:color w:val="auto"/>
              </w:rPr>
              <w:t xml:space="preserve"> </w:t>
            </w:r>
          </w:p>
        </w:tc>
        <w:tc>
          <w:tcPr>
            <w:tcW w:w="3518" w:type="dxa"/>
            <w:shd w:val="clear" w:color="auto" w:fill="auto"/>
          </w:tcPr>
          <w:p w14:paraId="55811FBB" w14:textId="105FAAED" w:rsidR="003F245A" w:rsidRPr="00C57EBB" w:rsidRDefault="006D08F0" w:rsidP="003F245A">
            <w:pPr>
              <w:cnfStyle w:val="000000100000" w:firstRow="0" w:lastRow="0" w:firstColumn="0" w:lastColumn="0" w:oddVBand="0" w:evenVBand="0" w:oddHBand="1" w:evenHBand="0" w:firstRowFirstColumn="0" w:firstRowLastColumn="0" w:lastRowFirstColumn="0" w:lastRowLastColumn="0"/>
              <w:rPr>
                <w:iCs/>
                <w:color w:val="auto"/>
                <w:lang w:val="en-AU"/>
              </w:rPr>
            </w:pPr>
            <w:r>
              <w:rPr>
                <w:iCs/>
                <w:color w:val="auto"/>
                <w:lang w:val="en-AU"/>
              </w:rPr>
              <w:lastRenderedPageBreak/>
              <w:t>T</w:t>
            </w:r>
            <w:r w:rsidR="0097035C">
              <w:rPr>
                <w:iCs/>
                <w:color w:val="auto"/>
                <w:lang w:val="en-AU"/>
              </w:rPr>
              <w:t>he next phase of Prospera</w:t>
            </w:r>
            <w:r>
              <w:rPr>
                <w:iCs/>
                <w:color w:val="auto"/>
                <w:lang w:val="en-AU"/>
              </w:rPr>
              <w:t xml:space="preserve"> will </w:t>
            </w:r>
            <w:r w:rsidR="0097035C" w:rsidRPr="0097035C">
              <w:rPr>
                <w:iCs/>
                <w:color w:val="auto"/>
                <w:lang w:val="en-AU"/>
              </w:rPr>
              <w:t xml:space="preserve">build the capacity of Indonesian institutions—including think tanks, universities, and the private sector—to independently produce and </w:t>
            </w:r>
            <w:r w:rsidR="0097035C" w:rsidRPr="0097035C">
              <w:rPr>
                <w:iCs/>
                <w:color w:val="auto"/>
                <w:lang w:val="en-AU"/>
              </w:rPr>
              <w:lastRenderedPageBreak/>
              <w:t xml:space="preserve">commission high-quality economic analysis. </w:t>
            </w:r>
          </w:p>
        </w:tc>
        <w:tc>
          <w:tcPr>
            <w:tcW w:w="2268" w:type="dxa"/>
            <w:shd w:val="clear" w:color="auto" w:fill="auto"/>
          </w:tcPr>
          <w:p w14:paraId="0411453F" w14:textId="77777777" w:rsidR="00287B35" w:rsidRDefault="00287B35" w:rsidP="00287B35">
            <w:pPr>
              <w:cnfStyle w:val="000000100000" w:firstRow="0" w:lastRow="0" w:firstColumn="0" w:lastColumn="0" w:oddVBand="0" w:evenVBand="0" w:oddHBand="1" w:evenHBand="0" w:firstRowFirstColumn="0" w:firstRowLastColumn="0" w:lastRowFirstColumn="0" w:lastRowLastColumn="0"/>
              <w:rPr>
                <w:color w:val="auto"/>
                <w:lang w:val="en-AU"/>
              </w:rPr>
            </w:pPr>
            <w:r>
              <w:rPr>
                <w:color w:val="auto"/>
                <w:lang w:val="en-AU"/>
              </w:rPr>
              <w:lastRenderedPageBreak/>
              <w:t>In the next 12 months</w:t>
            </w:r>
          </w:p>
          <w:p w14:paraId="259A4699" w14:textId="0F3E10DE" w:rsidR="00287B35" w:rsidRDefault="00287B35" w:rsidP="00287B35">
            <w:pPr>
              <w:cnfStyle w:val="000000100000" w:firstRow="0" w:lastRow="0" w:firstColumn="0" w:lastColumn="0" w:oddVBand="0" w:evenVBand="0" w:oddHBand="1" w:evenHBand="0" w:firstRowFirstColumn="0" w:firstRowLastColumn="0" w:lastRowFirstColumn="0" w:lastRowLastColumn="0"/>
              <w:rPr>
                <w:color w:val="auto"/>
                <w:lang w:val="en-AU"/>
              </w:rPr>
            </w:pPr>
          </w:p>
          <w:p w14:paraId="0A35C1BC" w14:textId="77777777" w:rsidR="005A1FEF" w:rsidRDefault="005A1FEF" w:rsidP="00287B35">
            <w:pPr>
              <w:cnfStyle w:val="000000100000" w:firstRow="0" w:lastRow="0" w:firstColumn="0" w:lastColumn="0" w:oddVBand="0" w:evenVBand="0" w:oddHBand="1" w:evenHBand="0" w:firstRowFirstColumn="0" w:firstRowLastColumn="0" w:lastRowFirstColumn="0" w:lastRowLastColumn="0"/>
              <w:rPr>
                <w:color w:val="auto"/>
                <w:lang w:val="en-AU"/>
              </w:rPr>
            </w:pPr>
          </w:p>
          <w:p w14:paraId="2A9324B7" w14:textId="77777777" w:rsidR="00287B35" w:rsidRDefault="00287B35" w:rsidP="00287B35">
            <w:pPr>
              <w:cnfStyle w:val="000000100000" w:firstRow="0" w:lastRow="0" w:firstColumn="0" w:lastColumn="0" w:oddVBand="0" w:evenVBand="0" w:oddHBand="1" w:evenHBand="0" w:firstRowFirstColumn="0" w:firstRowLastColumn="0" w:lastRowFirstColumn="0" w:lastRowLastColumn="0"/>
              <w:rPr>
                <w:color w:val="auto"/>
                <w:lang w:val="en-AU"/>
              </w:rPr>
            </w:pPr>
          </w:p>
          <w:p w14:paraId="1D86D080" w14:textId="69F43EBE" w:rsidR="003F245A" w:rsidRPr="004F798E" w:rsidRDefault="00287B35" w:rsidP="00287B35">
            <w:pPr>
              <w:cnfStyle w:val="000000100000" w:firstRow="0" w:lastRow="0" w:firstColumn="0" w:lastColumn="0" w:oddVBand="0" w:evenVBand="0" w:oddHBand="1" w:evenHBand="0" w:firstRowFirstColumn="0" w:firstRowLastColumn="0" w:lastRowFirstColumn="0" w:lastRowLastColumn="0"/>
              <w:rPr>
                <w:color w:val="auto"/>
                <w:lang w:val="en-AU"/>
              </w:rPr>
            </w:pPr>
            <w:r>
              <w:rPr>
                <w:color w:val="auto"/>
                <w:lang w:val="en-AU"/>
              </w:rPr>
              <w:lastRenderedPageBreak/>
              <w:t>Ongoing</w:t>
            </w:r>
          </w:p>
        </w:tc>
      </w:tr>
      <w:tr w:rsidR="003F245A" w:rsidRPr="004F798E" w14:paraId="533387EB" w14:textId="77777777" w:rsidTr="194FFF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2A918CD5" w14:textId="77777777" w:rsidR="003F245A" w:rsidRPr="00A909A9" w:rsidRDefault="003F245A" w:rsidP="003F245A">
            <w:pPr>
              <w:rPr>
                <w:b/>
                <w:bCs/>
                <w:color w:val="auto"/>
                <w:lang w:val="en-AU"/>
              </w:rPr>
            </w:pPr>
            <w:r w:rsidRPr="00A909A9">
              <w:rPr>
                <w:b/>
                <w:bCs/>
                <w:color w:val="auto"/>
                <w:lang w:val="en-AU"/>
              </w:rPr>
              <w:lastRenderedPageBreak/>
              <w:t>Recommendation 6</w:t>
            </w:r>
          </w:p>
          <w:p w14:paraId="179421A3" w14:textId="036D1BFE" w:rsidR="003F245A" w:rsidRPr="00A909A9" w:rsidRDefault="005249B6" w:rsidP="003F245A">
            <w:pPr>
              <w:rPr>
                <w:color w:val="auto"/>
                <w:lang w:val="en-AU"/>
              </w:rPr>
            </w:pPr>
            <w:r w:rsidRPr="00D56532">
              <w:rPr>
                <w:b/>
                <w:bCs/>
                <w:iCs/>
                <w:color w:val="auto"/>
                <w:lang w:val="en-US"/>
              </w:rPr>
              <w:t>Provide Clear Guidance on Subcontracting:</w:t>
            </w:r>
            <w:r w:rsidRPr="005249B6">
              <w:rPr>
                <w:iCs/>
                <w:color w:val="auto"/>
                <w:lang w:val="en-US"/>
              </w:rPr>
              <w:t xml:space="preserve"> Develop and implement clear subcontractor management guidelines, defining roles, responsibilities, and accountability mechanisms. Ensure the guidelines mandate transparent reporting of subcontractor involvement, disclosure of potential conflicts of interest, and strict adherence to due diligence processes.</w:t>
            </w:r>
          </w:p>
        </w:tc>
        <w:tc>
          <w:tcPr>
            <w:tcW w:w="1662" w:type="dxa"/>
            <w:shd w:val="clear" w:color="auto" w:fill="auto"/>
          </w:tcPr>
          <w:p w14:paraId="28DB2F27" w14:textId="6D331E36" w:rsidR="003F245A" w:rsidRPr="004F798E" w:rsidRDefault="00254DAE" w:rsidP="003F245A">
            <w:pPr>
              <w:jc w:val="center"/>
              <w:cnfStyle w:val="000000010000" w:firstRow="0" w:lastRow="0" w:firstColumn="0" w:lastColumn="0" w:oddVBand="0" w:evenVBand="0" w:oddHBand="0" w:evenHBand="1" w:firstRowFirstColumn="0" w:firstRowLastColumn="0" w:lastRowFirstColumn="0" w:lastRowLastColumn="0"/>
              <w:rPr>
                <w:b/>
                <w:bCs/>
                <w:color w:val="auto"/>
                <w:lang w:val="en-AU"/>
              </w:rPr>
            </w:pPr>
            <w:r>
              <w:rPr>
                <w:b/>
                <w:bCs/>
                <w:color w:val="auto"/>
                <w:lang w:val="en-AU"/>
              </w:rPr>
              <w:t>Disagree</w:t>
            </w:r>
          </w:p>
        </w:tc>
        <w:tc>
          <w:tcPr>
            <w:tcW w:w="2899" w:type="dxa"/>
            <w:shd w:val="clear" w:color="auto" w:fill="auto"/>
          </w:tcPr>
          <w:p w14:paraId="3313ECEB" w14:textId="10F04F64" w:rsidR="00DA1E34" w:rsidRDefault="00254DAE" w:rsidP="003F245A">
            <w:pPr>
              <w:cnfStyle w:val="000000010000" w:firstRow="0" w:lastRow="0" w:firstColumn="0" w:lastColumn="0" w:oddVBand="0" w:evenVBand="0" w:oddHBand="0" w:evenHBand="1" w:firstRowFirstColumn="0" w:firstRowLastColumn="0" w:lastRowFirstColumn="0" w:lastRowLastColumn="0"/>
              <w:rPr>
                <w:color w:val="auto"/>
                <w:lang w:val="en-AU"/>
              </w:rPr>
            </w:pPr>
            <w:r>
              <w:rPr>
                <w:color w:val="auto"/>
                <w:lang w:val="en-AU"/>
              </w:rPr>
              <w:t xml:space="preserve">This guidance is already provided </w:t>
            </w:r>
            <w:r w:rsidR="00906A0A">
              <w:rPr>
                <w:color w:val="auto"/>
                <w:lang w:val="en-AU"/>
              </w:rPr>
              <w:t xml:space="preserve">to Prospera and </w:t>
            </w:r>
            <w:r w:rsidR="00396A20">
              <w:rPr>
                <w:color w:val="auto"/>
                <w:lang w:val="en-AU"/>
              </w:rPr>
              <w:t xml:space="preserve">the Managing Contractor. </w:t>
            </w:r>
          </w:p>
          <w:p w14:paraId="4FD3C37B" w14:textId="1AD1C258" w:rsidR="00396A20" w:rsidRDefault="3052E7BB" w:rsidP="003F245A">
            <w:pPr>
              <w:cnfStyle w:val="000000010000" w:firstRow="0" w:lastRow="0" w:firstColumn="0" w:lastColumn="0" w:oddVBand="0" w:evenVBand="0" w:oddHBand="0" w:evenHBand="1" w:firstRowFirstColumn="0" w:firstRowLastColumn="0" w:lastRowFirstColumn="0" w:lastRowLastColumn="0"/>
              <w:rPr>
                <w:color w:val="auto"/>
                <w:lang w:val="en-AU"/>
              </w:rPr>
            </w:pPr>
            <w:r w:rsidRPr="227E18CD">
              <w:rPr>
                <w:color w:val="auto"/>
                <w:lang w:val="en-AU"/>
              </w:rPr>
              <w:t>Prospera has established appropriate mechanisms to monitor</w:t>
            </w:r>
            <w:r w:rsidR="2F913D5E" w:rsidRPr="227E18CD">
              <w:rPr>
                <w:color w:val="auto"/>
                <w:lang w:val="en-AU"/>
              </w:rPr>
              <w:t xml:space="preserve"> subcontractor performance and ensure </w:t>
            </w:r>
            <w:r w:rsidR="0B8B3BA3" w:rsidRPr="227E18CD">
              <w:rPr>
                <w:color w:val="auto"/>
                <w:lang w:val="en-AU"/>
              </w:rPr>
              <w:t xml:space="preserve">accountability. </w:t>
            </w:r>
          </w:p>
          <w:p w14:paraId="28EFEA5F" w14:textId="33FE994D" w:rsidR="003F245A" w:rsidRPr="004F798E" w:rsidRDefault="00315F5A" w:rsidP="00315F5A">
            <w:pPr>
              <w:cnfStyle w:val="000000010000" w:firstRow="0" w:lastRow="0" w:firstColumn="0" w:lastColumn="0" w:oddVBand="0" w:evenVBand="0" w:oddHBand="0" w:evenHBand="1" w:firstRowFirstColumn="0" w:firstRowLastColumn="0" w:lastRowFirstColumn="0" w:lastRowLastColumn="0"/>
              <w:rPr>
                <w:color w:val="auto"/>
                <w:lang w:val="en-AU"/>
              </w:rPr>
            </w:pPr>
            <w:r>
              <w:rPr>
                <w:color w:val="auto"/>
                <w:lang w:val="en-AU"/>
              </w:rPr>
              <w:t>C</w:t>
            </w:r>
            <w:r w:rsidR="0B8B3BA3" w:rsidRPr="227E18CD">
              <w:rPr>
                <w:color w:val="auto"/>
                <w:lang w:val="en-AU"/>
              </w:rPr>
              <w:t xml:space="preserve">lear and consistent guidance </w:t>
            </w:r>
            <w:r w:rsidR="5E665749" w:rsidRPr="227E18CD">
              <w:rPr>
                <w:color w:val="auto"/>
                <w:lang w:val="en-AU"/>
              </w:rPr>
              <w:t>on subcontracting</w:t>
            </w:r>
            <w:r w:rsidR="00BC22B5">
              <w:rPr>
                <w:color w:val="auto"/>
                <w:lang w:val="en-AU"/>
              </w:rPr>
              <w:t xml:space="preserve"> will continue to be required in future phases.</w:t>
            </w:r>
            <w:r w:rsidR="0B8B3BA3" w:rsidRPr="227E18CD">
              <w:rPr>
                <w:color w:val="auto"/>
                <w:lang w:val="en-AU"/>
              </w:rPr>
              <w:t xml:space="preserve"> </w:t>
            </w:r>
          </w:p>
        </w:tc>
        <w:tc>
          <w:tcPr>
            <w:tcW w:w="3518" w:type="dxa"/>
            <w:shd w:val="clear" w:color="auto" w:fill="auto"/>
          </w:tcPr>
          <w:p w14:paraId="24A931D7" w14:textId="7BF2A919" w:rsidR="003F245A" w:rsidRPr="004F798E" w:rsidRDefault="0042704C" w:rsidP="20EE5CCC">
            <w:pPr>
              <w:cnfStyle w:val="000000010000" w:firstRow="0" w:lastRow="0" w:firstColumn="0" w:lastColumn="0" w:oddVBand="0" w:evenVBand="0" w:oddHBand="0" w:evenHBand="1" w:firstRowFirstColumn="0" w:firstRowLastColumn="0" w:lastRowFirstColumn="0" w:lastRowLastColumn="0"/>
              <w:rPr>
                <w:color w:val="auto"/>
              </w:rPr>
            </w:pPr>
            <w:r w:rsidRPr="20EE5CCC">
              <w:rPr>
                <w:color w:val="auto"/>
              </w:rPr>
              <w:t xml:space="preserve">In the next phase, DFAT will work with </w:t>
            </w:r>
            <w:r w:rsidR="006F7EA6">
              <w:rPr>
                <w:color w:val="auto"/>
              </w:rPr>
              <w:t>the managing contractor</w:t>
            </w:r>
            <w:r w:rsidRPr="20EE5CCC">
              <w:rPr>
                <w:color w:val="auto"/>
              </w:rPr>
              <w:t xml:space="preserve"> to </w:t>
            </w:r>
            <w:r w:rsidR="00D33089">
              <w:rPr>
                <w:color w:val="auto"/>
              </w:rPr>
              <w:t>de</w:t>
            </w:r>
            <w:r w:rsidRPr="20EE5CCC">
              <w:rPr>
                <w:color w:val="auto"/>
              </w:rPr>
              <w:t xml:space="preserve">fine </w:t>
            </w:r>
            <w:r w:rsidR="002A35DB" w:rsidRPr="20EE5CCC">
              <w:rPr>
                <w:color w:val="auto"/>
              </w:rPr>
              <w:t>subcontractor management guidelines</w:t>
            </w:r>
            <w:r w:rsidR="00B11605">
              <w:rPr>
                <w:color w:val="auto"/>
              </w:rPr>
              <w:t xml:space="preserve"> and protocols. This will include</w:t>
            </w:r>
            <w:r w:rsidR="002A35DB" w:rsidRPr="20EE5CCC">
              <w:rPr>
                <w:color w:val="auto"/>
              </w:rPr>
              <w:t xml:space="preserve"> clarifying roles, responsibilities</w:t>
            </w:r>
            <w:r w:rsidR="009336C0" w:rsidRPr="20EE5CCC">
              <w:rPr>
                <w:color w:val="auto"/>
              </w:rPr>
              <w:t xml:space="preserve">, and reporting </w:t>
            </w:r>
            <w:r w:rsidR="003631F6" w:rsidRPr="20EE5CCC">
              <w:rPr>
                <w:color w:val="auto"/>
              </w:rPr>
              <w:t>requirements</w:t>
            </w:r>
            <w:r w:rsidR="003631F6">
              <w:rPr>
                <w:color w:val="auto"/>
              </w:rPr>
              <w:t>,</w:t>
            </w:r>
            <w:r w:rsidR="00B11605">
              <w:rPr>
                <w:color w:val="auto"/>
              </w:rPr>
              <w:t xml:space="preserve"> as well as</w:t>
            </w:r>
            <w:r w:rsidR="009336C0" w:rsidRPr="20EE5CCC">
              <w:rPr>
                <w:color w:val="auto"/>
              </w:rPr>
              <w:t xml:space="preserve"> reinforcing processes for due diligence</w:t>
            </w:r>
            <w:r w:rsidR="00D06915" w:rsidRPr="20EE5CCC">
              <w:rPr>
                <w:color w:val="auto"/>
              </w:rPr>
              <w:t xml:space="preserve">. </w:t>
            </w:r>
            <w:r w:rsidR="009336C0" w:rsidRPr="20EE5CCC">
              <w:rPr>
                <w:color w:val="auto"/>
              </w:rPr>
              <w:t xml:space="preserve"> </w:t>
            </w:r>
          </w:p>
        </w:tc>
        <w:tc>
          <w:tcPr>
            <w:tcW w:w="2268" w:type="dxa"/>
            <w:shd w:val="clear" w:color="auto" w:fill="auto"/>
          </w:tcPr>
          <w:p w14:paraId="3EA69DEC" w14:textId="2C568364" w:rsidR="006A4940" w:rsidRDefault="003F245A" w:rsidP="006A4940">
            <w:pPr>
              <w:cnfStyle w:val="000000010000" w:firstRow="0" w:lastRow="0" w:firstColumn="0" w:lastColumn="0" w:oddVBand="0" w:evenVBand="0" w:oddHBand="0" w:evenHBand="1" w:firstRowFirstColumn="0" w:firstRowLastColumn="0" w:lastRowFirstColumn="0" w:lastRowLastColumn="0"/>
              <w:rPr>
                <w:color w:val="auto"/>
                <w:lang w:val="en-AU"/>
              </w:rPr>
            </w:pPr>
            <w:r>
              <w:rPr>
                <w:color w:val="auto"/>
                <w:lang w:val="en-AU"/>
              </w:rPr>
              <w:t xml:space="preserve"> </w:t>
            </w:r>
            <w:r w:rsidR="006A4940">
              <w:rPr>
                <w:color w:val="auto"/>
                <w:lang w:val="en-AU"/>
              </w:rPr>
              <w:t>In the next 12 months</w:t>
            </w:r>
          </w:p>
          <w:p w14:paraId="16FF1774" w14:textId="048F218A" w:rsidR="003F245A" w:rsidRPr="004F798E" w:rsidRDefault="003F245A" w:rsidP="007567E6">
            <w:pPr>
              <w:cnfStyle w:val="000000010000" w:firstRow="0" w:lastRow="0" w:firstColumn="0" w:lastColumn="0" w:oddVBand="0" w:evenVBand="0" w:oddHBand="0" w:evenHBand="1" w:firstRowFirstColumn="0" w:firstRowLastColumn="0" w:lastRowFirstColumn="0" w:lastRowLastColumn="0"/>
              <w:rPr>
                <w:color w:val="auto"/>
                <w:lang w:val="en-AU"/>
              </w:rPr>
            </w:pPr>
          </w:p>
        </w:tc>
      </w:tr>
      <w:tr w:rsidR="003F245A" w:rsidRPr="004F798E" w14:paraId="35777CFF" w14:textId="77777777" w:rsidTr="194FF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527D30A5" w14:textId="77777777" w:rsidR="003F245A" w:rsidRPr="00A909A9" w:rsidRDefault="003F245A" w:rsidP="003F245A">
            <w:pPr>
              <w:rPr>
                <w:b/>
                <w:bCs/>
                <w:color w:val="auto"/>
                <w:lang w:val="en-AU"/>
              </w:rPr>
            </w:pPr>
            <w:r w:rsidRPr="00A909A9">
              <w:rPr>
                <w:b/>
                <w:bCs/>
                <w:color w:val="auto"/>
                <w:lang w:val="en-AU"/>
              </w:rPr>
              <w:t>Recommendation 7</w:t>
            </w:r>
          </w:p>
          <w:p w14:paraId="585F68B9" w14:textId="686E9E00" w:rsidR="003F245A" w:rsidRPr="00A909A9" w:rsidRDefault="1144A7E8" w:rsidP="003F245A">
            <w:pPr>
              <w:rPr>
                <w:color w:val="auto"/>
                <w:lang w:val="en-AU"/>
              </w:rPr>
            </w:pPr>
            <w:r w:rsidRPr="00D56532">
              <w:rPr>
                <w:b/>
                <w:bCs/>
                <w:color w:val="auto"/>
                <w:lang w:val="en-US"/>
              </w:rPr>
              <w:t>Strengthen Financial Reporting</w:t>
            </w:r>
            <w:r w:rsidRPr="098AFD46">
              <w:rPr>
                <w:color w:val="auto"/>
                <w:lang w:val="en-US"/>
              </w:rPr>
              <w:t xml:space="preserve">: Provide financial reporting with detailed breakdowns </w:t>
            </w:r>
            <w:r w:rsidR="1178A45A" w:rsidRPr="098AFD46">
              <w:rPr>
                <w:color w:val="auto"/>
                <w:lang w:val="en-US"/>
              </w:rPr>
              <w:t>of</w:t>
            </w:r>
            <w:r w:rsidRPr="098AFD46">
              <w:rPr>
                <w:color w:val="auto"/>
                <w:lang w:val="en-US"/>
              </w:rPr>
              <w:t xml:space="preserve"> activity, breakthrough area, and facility levels. Calculate activity-level costs using direct costs plus overheads—this data is essential for facility evaluation. Report and track </w:t>
            </w:r>
            <w:r w:rsidRPr="098AFD46">
              <w:rPr>
                <w:color w:val="auto"/>
                <w:lang w:val="en-US"/>
              </w:rPr>
              <w:lastRenderedPageBreak/>
              <w:t xml:space="preserve">all </w:t>
            </w:r>
            <w:r w:rsidR="46E6D96D" w:rsidRPr="098AFD46">
              <w:rPr>
                <w:color w:val="auto"/>
                <w:lang w:val="en-US"/>
              </w:rPr>
              <w:t>subcontractors'</w:t>
            </w:r>
            <w:r w:rsidRPr="098AFD46">
              <w:rPr>
                <w:color w:val="auto"/>
                <w:lang w:val="en-US"/>
              </w:rPr>
              <w:t xml:space="preserve"> use separately. While subcontractors are permitted for Facilities, ensure full transparency and accountability in their engagement.</w:t>
            </w:r>
          </w:p>
        </w:tc>
        <w:tc>
          <w:tcPr>
            <w:tcW w:w="1662" w:type="dxa"/>
            <w:shd w:val="clear" w:color="auto" w:fill="auto"/>
          </w:tcPr>
          <w:p w14:paraId="5F416F46" w14:textId="02064D3B" w:rsidR="003F245A" w:rsidRPr="004F798E" w:rsidRDefault="00E75184" w:rsidP="003F245A">
            <w:pPr>
              <w:jc w:val="center"/>
              <w:cnfStyle w:val="000000100000" w:firstRow="0" w:lastRow="0" w:firstColumn="0" w:lastColumn="0" w:oddVBand="0" w:evenVBand="0" w:oddHBand="1" w:evenHBand="0" w:firstRowFirstColumn="0" w:firstRowLastColumn="0" w:lastRowFirstColumn="0" w:lastRowLastColumn="0"/>
              <w:rPr>
                <w:b/>
                <w:bCs/>
                <w:color w:val="auto"/>
                <w:lang w:val="en-AU"/>
              </w:rPr>
            </w:pPr>
            <w:r>
              <w:rPr>
                <w:b/>
                <w:bCs/>
                <w:color w:val="auto"/>
                <w:lang w:val="en-AU"/>
              </w:rPr>
              <w:lastRenderedPageBreak/>
              <w:t xml:space="preserve">Agree in </w:t>
            </w:r>
            <w:r w:rsidR="00D56532">
              <w:rPr>
                <w:b/>
                <w:bCs/>
                <w:color w:val="auto"/>
                <w:lang w:val="en-AU"/>
              </w:rPr>
              <w:t>part</w:t>
            </w:r>
          </w:p>
        </w:tc>
        <w:tc>
          <w:tcPr>
            <w:tcW w:w="2899" w:type="dxa"/>
            <w:shd w:val="clear" w:color="auto" w:fill="auto"/>
          </w:tcPr>
          <w:p w14:paraId="589493C6" w14:textId="6A00C924" w:rsidR="003F245A" w:rsidRPr="004F798E" w:rsidRDefault="0BA1F1D8" w:rsidP="55498A46">
            <w:pPr>
              <w:cnfStyle w:val="000000100000" w:firstRow="0" w:lastRow="0" w:firstColumn="0" w:lastColumn="0" w:oddVBand="0" w:evenVBand="0" w:oddHBand="1" w:evenHBand="0" w:firstRowFirstColumn="0" w:firstRowLastColumn="0" w:lastRowFirstColumn="0" w:lastRowLastColumn="0"/>
              <w:rPr>
                <w:color w:val="auto"/>
              </w:rPr>
            </w:pPr>
            <w:r w:rsidRPr="55498A46">
              <w:rPr>
                <w:color w:val="auto"/>
              </w:rPr>
              <w:t>DFAT actively monitors Prospera’s financial activities and ha</w:t>
            </w:r>
            <w:r w:rsidR="3690E21C" w:rsidRPr="55498A46">
              <w:rPr>
                <w:color w:val="auto"/>
              </w:rPr>
              <w:t xml:space="preserve">s put in place mechanisms to support regular financial oversight and assurance. </w:t>
            </w:r>
            <w:r w:rsidR="00194692">
              <w:rPr>
                <w:color w:val="auto"/>
              </w:rPr>
              <w:t xml:space="preserve">However, given the complexity of the program </w:t>
            </w:r>
            <w:r w:rsidR="4B01B516" w:rsidRPr="55498A46">
              <w:rPr>
                <w:color w:val="auto"/>
              </w:rPr>
              <w:t>DFAT acknowledge</w:t>
            </w:r>
            <w:r w:rsidR="003D5C12">
              <w:rPr>
                <w:color w:val="auto"/>
              </w:rPr>
              <w:t>s</w:t>
            </w:r>
            <w:r w:rsidR="4B01B516" w:rsidRPr="55498A46">
              <w:rPr>
                <w:color w:val="auto"/>
              </w:rPr>
              <w:t xml:space="preserve"> the need to </w:t>
            </w:r>
            <w:r w:rsidR="003D5C12">
              <w:rPr>
                <w:color w:val="auto"/>
              </w:rPr>
              <w:t xml:space="preserve">consider </w:t>
            </w:r>
            <w:r w:rsidR="003D5C12">
              <w:rPr>
                <w:color w:val="auto"/>
              </w:rPr>
              <w:lastRenderedPageBreak/>
              <w:t>adopting different approache</w:t>
            </w:r>
            <w:r w:rsidR="00C47DD3">
              <w:rPr>
                <w:color w:val="auto"/>
              </w:rPr>
              <w:t xml:space="preserve">s </w:t>
            </w:r>
            <w:r w:rsidR="009B236A">
              <w:rPr>
                <w:color w:val="auto"/>
              </w:rPr>
              <w:t xml:space="preserve">to </w:t>
            </w:r>
            <w:r w:rsidR="009B236A" w:rsidRPr="55498A46">
              <w:rPr>
                <w:color w:val="auto"/>
              </w:rPr>
              <w:t>financial</w:t>
            </w:r>
            <w:r w:rsidR="4B01B516" w:rsidRPr="55498A46">
              <w:rPr>
                <w:color w:val="auto"/>
              </w:rPr>
              <w:t xml:space="preserve"> reporting </w:t>
            </w:r>
            <w:r w:rsidR="00C47DD3">
              <w:rPr>
                <w:color w:val="auto"/>
              </w:rPr>
              <w:t>to strengthe</w:t>
            </w:r>
            <w:r w:rsidR="00D244C8">
              <w:rPr>
                <w:color w:val="auto"/>
              </w:rPr>
              <w:t>n</w:t>
            </w:r>
            <w:r w:rsidR="00C47DD3">
              <w:rPr>
                <w:color w:val="auto"/>
              </w:rPr>
              <w:t xml:space="preserve"> </w:t>
            </w:r>
            <w:r w:rsidR="00D244C8">
              <w:rPr>
                <w:color w:val="auto"/>
              </w:rPr>
              <w:t xml:space="preserve">accountability and links to </w:t>
            </w:r>
            <w:r w:rsidR="00B11605">
              <w:rPr>
                <w:color w:val="auto"/>
              </w:rPr>
              <w:t>MEL</w:t>
            </w:r>
            <w:r w:rsidR="00D244C8">
              <w:rPr>
                <w:color w:val="auto"/>
              </w:rPr>
              <w:t xml:space="preserve"> </w:t>
            </w:r>
            <w:r w:rsidR="4B01B516" w:rsidRPr="55498A46">
              <w:rPr>
                <w:color w:val="auto"/>
              </w:rPr>
              <w:t xml:space="preserve">in the next phase. </w:t>
            </w:r>
            <w:r w:rsidR="530FA39E" w:rsidRPr="55498A46">
              <w:rPr>
                <w:color w:val="auto"/>
              </w:rPr>
              <w:t xml:space="preserve"> </w:t>
            </w:r>
          </w:p>
        </w:tc>
        <w:tc>
          <w:tcPr>
            <w:tcW w:w="3518" w:type="dxa"/>
            <w:shd w:val="clear" w:color="auto" w:fill="auto"/>
          </w:tcPr>
          <w:p w14:paraId="69ED14AC" w14:textId="3B31614A" w:rsidR="003F245A" w:rsidRPr="004F798E" w:rsidRDefault="38694FE8" w:rsidP="00E75184">
            <w:pPr>
              <w:cnfStyle w:val="000000100000" w:firstRow="0" w:lastRow="0" w:firstColumn="0" w:lastColumn="0" w:oddVBand="0" w:evenVBand="0" w:oddHBand="1" w:evenHBand="0" w:firstRowFirstColumn="0" w:firstRowLastColumn="0" w:lastRowFirstColumn="0" w:lastRowLastColumn="0"/>
              <w:rPr>
                <w:color w:val="auto"/>
                <w:lang w:val="en-AU"/>
              </w:rPr>
            </w:pPr>
            <w:r w:rsidRPr="55498A46">
              <w:rPr>
                <w:color w:val="auto"/>
                <w:lang w:val="en-AU"/>
              </w:rPr>
              <w:lastRenderedPageBreak/>
              <w:t xml:space="preserve">DFAT will </w:t>
            </w:r>
            <w:r w:rsidR="0084379A" w:rsidRPr="55498A46">
              <w:rPr>
                <w:color w:val="auto"/>
                <w:lang w:val="en-AU"/>
              </w:rPr>
              <w:t>incorporate</w:t>
            </w:r>
            <w:r w:rsidR="0084379A">
              <w:rPr>
                <w:color w:val="auto"/>
                <w:lang w:val="en-AU"/>
              </w:rPr>
              <w:t xml:space="preserve"> </w:t>
            </w:r>
            <w:r w:rsidR="0084379A" w:rsidRPr="55498A46">
              <w:rPr>
                <w:color w:val="auto"/>
                <w:lang w:val="en-AU"/>
              </w:rPr>
              <w:t>financial</w:t>
            </w:r>
            <w:r w:rsidR="00B42674">
              <w:rPr>
                <w:color w:val="auto"/>
                <w:lang w:val="en-AU"/>
              </w:rPr>
              <w:t xml:space="preserve"> </w:t>
            </w:r>
            <w:r w:rsidR="7FC73C58" w:rsidRPr="55498A46">
              <w:rPr>
                <w:color w:val="auto"/>
                <w:lang w:val="en-AU"/>
              </w:rPr>
              <w:t xml:space="preserve">reporting expectations into the design and contracting of </w:t>
            </w:r>
            <w:r w:rsidR="00B11605">
              <w:rPr>
                <w:color w:val="auto"/>
                <w:lang w:val="en-AU"/>
              </w:rPr>
              <w:t>Prospera’s</w:t>
            </w:r>
            <w:r w:rsidR="7FC73C58" w:rsidRPr="55498A46">
              <w:rPr>
                <w:color w:val="auto"/>
                <w:lang w:val="en-AU"/>
              </w:rPr>
              <w:t xml:space="preserve"> next phase. </w:t>
            </w:r>
          </w:p>
        </w:tc>
        <w:tc>
          <w:tcPr>
            <w:tcW w:w="2268" w:type="dxa"/>
            <w:shd w:val="clear" w:color="auto" w:fill="auto"/>
          </w:tcPr>
          <w:p w14:paraId="5D620EE9" w14:textId="052865DC" w:rsidR="003F245A" w:rsidRPr="004F798E" w:rsidRDefault="6E1ECE6C" w:rsidP="55498A46">
            <w:pPr>
              <w:cnfStyle w:val="000000100000" w:firstRow="0" w:lastRow="0" w:firstColumn="0" w:lastColumn="0" w:oddVBand="0" w:evenVBand="0" w:oddHBand="1" w:evenHBand="0" w:firstRowFirstColumn="0" w:firstRowLastColumn="0" w:lastRowFirstColumn="0" w:lastRowLastColumn="0"/>
              <w:rPr>
                <w:color w:val="auto"/>
                <w:lang w:val="en-AU"/>
              </w:rPr>
            </w:pPr>
            <w:r w:rsidRPr="55498A46">
              <w:rPr>
                <w:color w:val="auto"/>
                <w:lang w:val="en-AU"/>
              </w:rPr>
              <w:t>In the next 12 months</w:t>
            </w:r>
          </w:p>
          <w:p w14:paraId="56F5F9A8" w14:textId="3045CF36" w:rsidR="003F245A" w:rsidRPr="004F798E" w:rsidRDefault="003F245A" w:rsidP="008D7EAD">
            <w:pPr>
              <w:cnfStyle w:val="000000100000" w:firstRow="0" w:lastRow="0" w:firstColumn="0" w:lastColumn="0" w:oddVBand="0" w:evenVBand="0" w:oddHBand="1" w:evenHBand="0" w:firstRowFirstColumn="0" w:firstRowLastColumn="0" w:lastRowFirstColumn="0" w:lastRowLastColumn="0"/>
              <w:rPr>
                <w:color w:val="auto"/>
                <w:lang w:val="en-AU"/>
              </w:rPr>
            </w:pPr>
          </w:p>
        </w:tc>
      </w:tr>
    </w:tbl>
    <w:p w14:paraId="5B1A6164" w14:textId="47C6B685" w:rsidR="00271AF2" w:rsidRDefault="00271AF2" w:rsidP="0097035C">
      <w:pPr>
        <w:tabs>
          <w:tab w:val="left" w:pos="284"/>
        </w:tabs>
        <w:suppressAutoHyphens w:val="0"/>
        <w:spacing w:before="0" w:line="280" w:lineRule="exact"/>
      </w:pPr>
    </w:p>
    <w:sectPr w:rsidR="00271AF2" w:rsidSect="00271AF2">
      <w:pgSz w:w="16838" w:h="11906" w:orient="landscape" w:code="9"/>
      <w:pgMar w:top="1134" w:right="1701" w:bottom="1134"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4763" w14:textId="77777777" w:rsidR="00F27DD7" w:rsidRDefault="00F27DD7" w:rsidP="00271AF2">
      <w:pPr>
        <w:spacing w:before="0" w:after="0" w:line="240" w:lineRule="auto"/>
      </w:pPr>
      <w:r>
        <w:separator/>
      </w:r>
    </w:p>
  </w:endnote>
  <w:endnote w:type="continuationSeparator" w:id="0">
    <w:p w14:paraId="4F8CF203" w14:textId="77777777" w:rsidR="00F27DD7" w:rsidRDefault="00F27DD7" w:rsidP="00271AF2">
      <w:pPr>
        <w:spacing w:before="0" w:after="0" w:line="240" w:lineRule="auto"/>
      </w:pPr>
      <w:r>
        <w:continuationSeparator/>
      </w:r>
    </w:p>
  </w:endnote>
  <w:endnote w:type="continuationNotice" w:id="1">
    <w:p w14:paraId="78EF0DA8" w14:textId="77777777" w:rsidR="00F27DD7" w:rsidRDefault="00F27D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71EC" w14:textId="77777777" w:rsidR="00F27DD7" w:rsidRDefault="00F27DD7" w:rsidP="00271AF2">
      <w:pPr>
        <w:spacing w:before="0" w:after="0" w:line="240" w:lineRule="auto"/>
      </w:pPr>
      <w:r>
        <w:separator/>
      </w:r>
    </w:p>
  </w:footnote>
  <w:footnote w:type="continuationSeparator" w:id="0">
    <w:p w14:paraId="5645EA7D" w14:textId="77777777" w:rsidR="00F27DD7" w:rsidRDefault="00F27DD7" w:rsidP="00271AF2">
      <w:pPr>
        <w:spacing w:before="0" w:after="0" w:line="240" w:lineRule="auto"/>
      </w:pPr>
      <w:r>
        <w:continuationSeparator/>
      </w:r>
    </w:p>
  </w:footnote>
  <w:footnote w:type="continuationNotice" w:id="1">
    <w:p w14:paraId="1884CAB5" w14:textId="77777777" w:rsidR="00F27DD7" w:rsidRDefault="00F27DD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8607D"/>
    <w:multiLevelType w:val="multilevel"/>
    <w:tmpl w:val="AF6E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56043A"/>
    <w:multiLevelType w:val="multilevel"/>
    <w:tmpl w:val="69AEB596"/>
    <w:numStyleLink w:val="BulletsList"/>
  </w:abstractNum>
  <w:abstractNum w:abstractNumId="2" w15:restartNumberingAfterBreak="0">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4472C4" w:themeColor="accent1"/>
      </w:rPr>
    </w:lvl>
    <w:lvl w:ilvl="1">
      <w:start w:val="1"/>
      <w:numFmt w:val="bullet"/>
      <w:pStyle w:val="Bullet2"/>
      <w:lvlText w:val="–"/>
      <w:lvlJc w:val="left"/>
      <w:pPr>
        <w:tabs>
          <w:tab w:val="num" w:pos="568"/>
        </w:tabs>
        <w:ind w:left="568" w:hanging="284"/>
      </w:pPr>
      <w:rPr>
        <w:rFonts w:ascii="Arial" w:hAnsi="Arial" w:hint="default"/>
        <w:color w:val="4472C4" w:themeColor="accent1"/>
      </w:rPr>
    </w:lvl>
    <w:lvl w:ilvl="2">
      <w:start w:val="1"/>
      <w:numFmt w:val="bullet"/>
      <w:pStyle w:val="Bullet3"/>
      <w:lvlText w:val="»"/>
      <w:lvlJc w:val="left"/>
      <w:pPr>
        <w:tabs>
          <w:tab w:val="num" w:pos="852"/>
        </w:tabs>
        <w:ind w:left="852" w:hanging="285"/>
      </w:pPr>
      <w:rPr>
        <w:rFonts w:ascii="Arial" w:hAnsi="Arial" w:hint="default"/>
        <w:color w:val="4472C4" w:themeColor="accent1"/>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num w:numId="1" w16cid:durableId="755368370">
    <w:abstractNumId w:val="2"/>
  </w:num>
  <w:num w:numId="2" w16cid:durableId="2118018910">
    <w:abstractNumId w:val="1"/>
  </w:num>
  <w:num w:numId="3" w16cid:durableId="110522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F2"/>
    <w:rsid w:val="000002BB"/>
    <w:rsid w:val="000023A9"/>
    <w:rsid w:val="000047F1"/>
    <w:rsid w:val="00006B4C"/>
    <w:rsid w:val="00007381"/>
    <w:rsid w:val="000105F3"/>
    <w:rsid w:val="000204ED"/>
    <w:rsid w:val="0002059B"/>
    <w:rsid w:val="00020D30"/>
    <w:rsid w:val="000242E5"/>
    <w:rsid w:val="000255DF"/>
    <w:rsid w:val="00027170"/>
    <w:rsid w:val="0002739A"/>
    <w:rsid w:val="00027E86"/>
    <w:rsid w:val="00036759"/>
    <w:rsid w:val="00041857"/>
    <w:rsid w:val="00047FE1"/>
    <w:rsid w:val="00050BBC"/>
    <w:rsid w:val="00053B5F"/>
    <w:rsid w:val="00060359"/>
    <w:rsid w:val="00061D9B"/>
    <w:rsid w:val="00062CC4"/>
    <w:rsid w:val="000712AD"/>
    <w:rsid w:val="000740F1"/>
    <w:rsid w:val="00086DF6"/>
    <w:rsid w:val="000924A1"/>
    <w:rsid w:val="000958E5"/>
    <w:rsid w:val="000A24F6"/>
    <w:rsid w:val="000A2E1D"/>
    <w:rsid w:val="000A4A5A"/>
    <w:rsid w:val="000A54C6"/>
    <w:rsid w:val="000A61C4"/>
    <w:rsid w:val="000B56ED"/>
    <w:rsid w:val="000C0AA7"/>
    <w:rsid w:val="000C4F0C"/>
    <w:rsid w:val="000D4C22"/>
    <w:rsid w:val="000D7C9D"/>
    <w:rsid w:val="000E069E"/>
    <w:rsid w:val="000E1EEB"/>
    <w:rsid w:val="000E4E84"/>
    <w:rsid w:val="000E6006"/>
    <w:rsid w:val="000F0784"/>
    <w:rsid w:val="000F36DB"/>
    <w:rsid w:val="000F4987"/>
    <w:rsid w:val="0010545E"/>
    <w:rsid w:val="00106E8C"/>
    <w:rsid w:val="001109F7"/>
    <w:rsid w:val="00123B07"/>
    <w:rsid w:val="001242E9"/>
    <w:rsid w:val="00126D97"/>
    <w:rsid w:val="00132561"/>
    <w:rsid w:val="001333C8"/>
    <w:rsid w:val="00134829"/>
    <w:rsid w:val="0014054D"/>
    <w:rsid w:val="00141B5D"/>
    <w:rsid w:val="00144AD7"/>
    <w:rsid w:val="00153E09"/>
    <w:rsid w:val="0015652B"/>
    <w:rsid w:val="00162DDF"/>
    <w:rsid w:val="00167327"/>
    <w:rsid w:val="00173C0D"/>
    <w:rsid w:val="00184893"/>
    <w:rsid w:val="001915F5"/>
    <w:rsid w:val="00194692"/>
    <w:rsid w:val="001A216E"/>
    <w:rsid w:val="001A5052"/>
    <w:rsid w:val="001A568E"/>
    <w:rsid w:val="001B2C4A"/>
    <w:rsid w:val="001B49AE"/>
    <w:rsid w:val="001B6F3B"/>
    <w:rsid w:val="001C11EF"/>
    <w:rsid w:val="001C48F8"/>
    <w:rsid w:val="001C4A6B"/>
    <w:rsid w:val="001E1CBF"/>
    <w:rsid w:val="001F60AB"/>
    <w:rsid w:val="0021489C"/>
    <w:rsid w:val="00215206"/>
    <w:rsid w:val="00221FCE"/>
    <w:rsid w:val="0023277C"/>
    <w:rsid w:val="00235AFD"/>
    <w:rsid w:val="002362D7"/>
    <w:rsid w:val="00244FF7"/>
    <w:rsid w:val="00254DAE"/>
    <w:rsid w:val="00257CCC"/>
    <w:rsid w:val="002612F2"/>
    <w:rsid w:val="00261F82"/>
    <w:rsid w:val="00264066"/>
    <w:rsid w:val="002645BF"/>
    <w:rsid w:val="0026621B"/>
    <w:rsid w:val="00271287"/>
    <w:rsid w:val="00271957"/>
    <w:rsid w:val="00271AF2"/>
    <w:rsid w:val="00271CD1"/>
    <w:rsid w:val="002766FC"/>
    <w:rsid w:val="0028031D"/>
    <w:rsid w:val="0028201B"/>
    <w:rsid w:val="00283A1C"/>
    <w:rsid w:val="00287B35"/>
    <w:rsid w:val="00293041"/>
    <w:rsid w:val="002936FA"/>
    <w:rsid w:val="002A30B4"/>
    <w:rsid w:val="002A35DB"/>
    <w:rsid w:val="002C39D6"/>
    <w:rsid w:val="002C4AAF"/>
    <w:rsid w:val="002C7285"/>
    <w:rsid w:val="002C7C73"/>
    <w:rsid w:val="002D0993"/>
    <w:rsid w:val="002D4B28"/>
    <w:rsid w:val="002E0409"/>
    <w:rsid w:val="002E12B2"/>
    <w:rsid w:val="002E18B6"/>
    <w:rsid w:val="002E7152"/>
    <w:rsid w:val="002F1030"/>
    <w:rsid w:val="002F5EDC"/>
    <w:rsid w:val="00304E10"/>
    <w:rsid w:val="00304F7F"/>
    <w:rsid w:val="00310A9C"/>
    <w:rsid w:val="00311EDA"/>
    <w:rsid w:val="003158AD"/>
    <w:rsid w:val="00315F5A"/>
    <w:rsid w:val="00324375"/>
    <w:rsid w:val="003307B7"/>
    <w:rsid w:val="003311ED"/>
    <w:rsid w:val="00331CEB"/>
    <w:rsid w:val="003352B2"/>
    <w:rsid w:val="00342625"/>
    <w:rsid w:val="00347255"/>
    <w:rsid w:val="00350FBC"/>
    <w:rsid w:val="0035118C"/>
    <w:rsid w:val="0035686C"/>
    <w:rsid w:val="0035765B"/>
    <w:rsid w:val="003631F6"/>
    <w:rsid w:val="003647CD"/>
    <w:rsid w:val="0037120A"/>
    <w:rsid w:val="00375801"/>
    <w:rsid w:val="00375CA4"/>
    <w:rsid w:val="003778BF"/>
    <w:rsid w:val="00377A31"/>
    <w:rsid w:val="00390145"/>
    <w:rsid w:val="00392625"/>
    <w:rsid w:val="00396A20"/>
    <w:rsid w:val="0039768A"/>
    <w:rsid w:val="003A405C"/>
    <w:rsid w:val="003A58CA"/>
    <w:rsid w:val="003B05E3"/>
    <w:rsid w:val="003B10D9"/>
    <w:rsid w:val="003B3469"/>
    <w:rsid w:val="003C4D81"/>
    <w:rsid w:val="003D1DE0"/>
    <w:rsid w:val="003D2742"/>
    <w:rsid w:val="003D4466"/>
    <w:rsid w:val="003D5C12"/>
    <w:rsid w:val="003D728A"/>
    <w:rsid w:val="003E3274"/>
    <w:rsid w:val="003E3A48"/>
    <w:rsid w:val="003E4144"/>
    <w:rsid w:val="003E443B"/>
    <w:rsid w:val="003E7BF3"/>
    <w:rsid w:val="003F20E6"/>
    <w:rsid w:val="003F245A"/>
    <w:rsid w:val="003F2BFE"/>
    <w:rsid w:val="0040083C"/>
    <w:rsid w:val="00403C42"/>
    <w:rsid w:val="00406B59"/>
    <w:rsid w:val="00410645"/>
    <w:rsid w:val="00410CA7"/>
    <w:rsid w:val="00415A2B"/>
    <w:rsid w:val="00422CF2"/>
    <w:rsid w:val="00424E47"/>
    <w:rsid w:val="00425DE5"/>
    <w:rsid w:val="0042704C"/>
    <w:rsid w:val="00427345"/>
    <w:rsid w:val="00430F1B"/>
    <w:rsid w:val="00436029"/>
    <w:rsid w:val="00436060"/>
    <w:rsid w:val="00436AB3"/>
    <w:rsid w:val="00437BAC"/>
    <w:rsid w:val="00442745"/>
    <w:rsid w:val="004463C8"/>
    <w:rsid w:val="004539B3"/>
    <w:rsid w:val="00456D97"/>
    <w:rsid w:val="004605F7"/>
    <w:rsid w:val="0046286D"/>
    <w:rsid w:val="00470F58"/>
    <w:rsid w:val="00476DC8"/>
    <w:rsid w:val="0048193E"/>
    <w:rsid w:val="00483C3F"/>
    <w:rsid w:val="00484144"/>
    <w:rsid w:val="00497D1D"/>
    <w:rsid w:val="004A35DE"/>
    <w:rsid w:val="004A3CEA"/>
    <w:rsid w:val="004A7C58"/>
    <w:rsid w:val="004B223B"/>
    <w:rsid w:val="004B4D94"/>
    <w:rsid w:val="004C04E6"/>
    <w:rsid w:val="004C0683"/>
    <w:rsid w:val="004C1B44"/>
    <w:rsid w:val="004C3BC2"/>
    <w:rsid w:val="004C5318"/>
    <w:rsid w:val="004C5728"/>
    <w:rsid w:val="004D5A34"/>
    <w:rsid w:val="004D6115"/>
    <w:rsid w:val="004E0E5A"/>
    <w:rsid w:val="004E1886"/>
    <w:rsid w:val="004E1DFF"/>
    <w:rsid w:val="004E521D"/>
    <w:rsid w:val="004F28B6"/>
    <w:rsid w:val="004F2A3F"/>
    <w:rsid w:val="004F6232"/>
    <w:rsid w:val="004F798E"/>
    <w:rsid w:val="005046BA"/>
    <w:rsid w:val="00510E2C"/>
    <w:rsid w:val="00515394"/>
    <w:rsid w:val="005210AB"/>
    <w:rsid w:val="005249B6"/>
    <w:rsid w:val="00526621"/>
    <w:rsid w:val="00532A4B"/>
    <w:rsid w:val="00533C65"/>
    <w:rsid w:val="005345E1"/>
    <w:rsid w:val="0053674C"/>
    <w:rsid w:val="005375F5"/>
    <w:rsid w:val="00542954"/>
    <w:rsid w:val="00545E1A"/>
    <w:rsid w:val="00546338"/>
    <w:rsid w:val="0055084D"/>
    <w:rsid w:val="00556A5F"/>
    <w:rsid w:val="00560C1D"/>
    <w:rsid w:val="00564B92"/>
    <w:rsid w:val="00565291"/>
    <w:rsid w:val="00566C02"/>
    <w:rsid w:val="00572649"/>
    <w:rsid w:val="00574096"/>
    <w:rsid w:val="00574788"/>
    <w:rsid w:val="00583D0B"/>
    <w:rsid w:val="0059042E"/>
    <w:rsid w:val="00591E14"/>
    <w:rsid w:val="005A1FEF"/>
    <w:rsid w:val="005A3232"/>
    <w:rsid w:val="005A651C"/>
    <w:rsid w:val="005B1D6D"/>
    <w:rsid w:val="005B2E47"/>
    <w:rsid w:val="005B357B"/>
    <w:rsid w:val="005C0AE1"/>
    <w:rsid w:val="005C1C4D"/>
    <w:rsid w:val="005C2379"/>
    <w:rsid w:val="005C77A8"/>
    <w:rsid w:val="005C7CBD"/>
    <w:rsid w:val="005D0FF2"/>
    <w:rsid w:val="005D3C81"/>
    <w:rsid w:val="005D6452"/>
    <w:rsid w:val="005F1638"/>
    <w:rsid w:val="005F44D6"/>
    <w:rsid w:val="005F6B8D"/>
    <w:rsid w:val="00604F95"/>
    <w:rsid w:val="006100C0"/>
    <w:rsid w:val="00612B12"/>
    <w:rsid w:val="00615D12"/>
    <w:rsid w:val="006223E9"/>
    <w:rsid w:val="006257AA"/>
    <w:rsid w:val="00630AFE"/>
    <w:rsid w:val="006327E7"/>
    <w:rsid w:val="00632830"/>
    <w:rsid w:val="00636B65"/>
    <w:rsid w:val="00643F2F"/>
    <w:rsid w:val="00645630"/>
    <w:rsid w:val="0064573C"/>
    <w:rsid w:val="006670E5"/>
    <w:rsid w:val="00667ACB"/>
    <w:rsid w:val="00675B30"/>
    <w:rsid w:val="00675BF9"/>
    <w:rsid w:val="00680FE1"/>
    <w:rsid w:val="006860E5"/>
    <w:rsid w:val="00686FE8"/>
    <w:rsid w:val="00692BEB"/>
    <w:rsid w:val="00694ABD"/>
    <w:rsid w:val="0069706B"/>
    <w:rsid w:val="006A3645"/>
    <w:rsid w:val="006A37C0"/>
    <w:rsid w:val="006A4940"/>
    <w:rsid w:val="006B57DC"/>
    <w:rsid w:val="006B6E92"/>
    <w:rsid w:val="006C1C90"/>
    <w:rsid w:val="006C2832"/>
    <w:rsid w:val="006C2B68"/>
    <w:rsid w:val="006D08F0"/>
    <w:rsid w:val="006D2290"/>
    <w:rsid w:val="006E3C5D"/>
    <w:rsid w:val="006E745E"/>
    <w:rsid w:val="006E78B8"/>
    <w:rsid w:val="006F2D2B"/>
    <w:rsid w:val="006F4D95"/>
    <w:rsid w:val="006F6301"/>
    <w:rsid w:val="006F7A00"/>
    <w:rsid w:val="006F7EA6"/>
    <w:rsid w:val="007024EA"/>
    <w:rsid w:val="00717CFB"/>
    <w:rsid w:val="007206F4"/>
    <w:rsid w:val="00722D0A"/>
    <w:rsid w:val="007233A0"/>
    <w:rsid w:val="007246F5"/>
    <w:rsid w:val="0072783B"/>
    <w:rsid w:val="0073143F"/>
    <w:rsid w:val="00732A2E"/>
    <w:rsid w:val="0073601C"/>
    <w:rsid w:val="007404A2"/>
    <w:rsid w:val="00741B6C"/>
    <w:rsid w:val="00742F72"/>
    <w:rsid w:val="00743FBD"/>
    <w:rsid w:val="00746AFC"/>
    <w:rsid w:val="00750B46"/>
    <w:rsid w:val="007532E6"/>
    <w:rsid w:val="00755B5F"/>
    <w:rsid w:val="007567E6"/>
    <w:rsid w:val="00756CD7"/>
    <w:rsid w:val="00764C30"/>
    <w:rsid w:val="007712B3"/>
    <w:rsid w:val="00771662"/>
    <w:rsid w:val="00773329"/>
    <w:rsid w:val="0078083D"/>
    <w:rsid w:val="00783E6B"/>
    <w:rsid w:val="00784D16"/>
    <w:rsid w:val="007858E1"/>
    <w:rsid w:val="00786BCB"/>
    <w:rsid w:val="007A081A"/>
    <w:rsid w:val="007A2BD9"/>
    <w:rsid w:val="007A42FF"/>
    <w:rsid w:val="007A467A"/>
    <w:rsid w:val="007B02DB"/>
    <w:rsid w:val="007B7DED"/>
    <w:rsid w:val="007D231C"/>
    <w:rsid w:val="007D3334"/>
    <w:rsid w:val="007D7BA2"/>
    <w:rsid w:val="007E5732"/>
    <w:rsid w:val="007E6B91"/>
    <w:rsid w:val="007F1F03"/>
    <w:rsid w:val="007F3908"/>
    <w:rsid w:val="007F3952"/>
    <w:rsid w:val="008034BD"/>
    <w:rsid w:val="00804784"/>
    <w:rsid w:val="00811264"/>
    <w:rsid w:val="00812A9E"/>
    <w:rsid w:val="008213B7"/>
    <w:rsid w:val="00822DA7"/>
    <w:rsid w:val="00831C71"/>
    <w:rsid w:val="008322B2"/>
    <w:rsid w:val="00833548"/>
    <w:rsid w:val="00841316"/>
    <w:rsid w:val="00841C58"/>
    <w:rsid w:val="0084379A"/>
    <w:rsid w:val="0084470E"/>
    <w:rsid w:val="00847EFE"/>
    <w:rsid w:val="008502C1"/>
    <w:rsid w:val="00850879"/>
    <w:rsid w:val="008521B8"/>
    <w:rsid w:val="008545D7"/>
    <w:rsid w:val="008574D1"/>
    <w:rsid w:val="00860D12"/>
    <w:rsid w:val="008632BC"/>
    <w:rsid w:val="00864C3F"/>
    <w:rsid w:val="00865269"/>
    <w:rsid w:val="00865AF7"/>
    <w:rsid w:val="00866522"/>
    <w:rsid w:val="00867442"/>
    <w:rsid w:val="0087497B"/>
    <w:rsid w:val="0088228F"/>
    <w:rsid w:val="00883CE4"/>
    <w:rsid w:val="008852E6"/>
    <w:rsid w:val="008907C9"/>
    <w:rsid w:val="00893B2C"/>
    <w:rsid w:val="00895A89"/>
    <w:rsid w:val="00895AAD"/>
    <w:rsid w:val="008A0044"/>
    <w:rsid w:val="008A2EEC"/>
    <w:rsid w:val="008A2FE9"/>
    <w:rsid w:val="008B01F5"/>
    <w:rsid w:val="008B041E"/>
    <w:rsid w:val="008B6FFA"/>
    <w:rsid w:val="008C3919"/>
    <w:rsid w:val="008D059E"/>
    <w:rsid w:val="008D2F0D"/>
    <w:rsid w:val="008D4DC3"/>
    <w:rsid w:val="008D59E9"/>
    <w:rsid w:val="008D7EAD"/>
    <w:rsid w:val="008E0070"/>
    <w:rsid w:val="008E0D32"/>
    <w:rsid w:val="008E1A10"/>
    <w:rsid w:val="008E46A9"/>
    <w:rsid w:val="008E5945"/>
    <w:rsid w:val="008F094B"/>
    <w:rsid w:val="009003A7"/>
    <w:rsid w:val="009022BA"/>
    <w:rsid w:val="00903017"/>
    <w:rsid w:val="009056E8"/>
    <w:rsid w:val="00906A0A"/>
    <w:rsid w:val="009076D4"/>
    <w:rsid w:val="00912204"/>
    <w:rsid w:val="0092215D"/>
    <w:rsid w:val="00926F19"/>
    <w:rsid w:val="00931A98"/>
    <w:rsid w:val="009332BE"/>
    <w:rsid w:val="009336C0"/>
    <w:rsid w:val="00943298"/>
    <w:rsid w:val="009448F8"/>
    <w:rsid w:val="00955A71"/>
    <w:rsid w:val="00961B03"/>
    <w:rsid w:val="00962584"/>
    <w:rsid w:val="00962714"/>
    <w:rsid w:val="00964AF5"/>
    <w:rsid w:val="0097035C"/>
    <w:rsid w:val="009726DA"/>
    <w:rsid w:val="0097689C"/>
    <w:rsid w:val="00977159"/>
    <w:rsid w:val="009805DF"/>
    <w:rsid w:val="009844E9"/>
    <w:rsid w:val="009868F4"/>
    <w:rsid w:val="00986C05"/>
    <w:rsid w:val="00991607"/>
    <w:rsid w:val="0099239B"/>
    <w:rsid w:val="009929FD"/>
    <w:rsid w:val="009945C7"/>
    <w:rsid w:val="00994C35"/>
    <w:rsid w:val="00995D00"/>
    <w:rsid w:val="00996DB6"/>
    <w:rsid w:val="009B236A"/>
    <w:rsid w:val="009B33D0"/>
    <w:rsid w:val="009B395F"/>
    <w:rsid w:val="009C06D1"/>
    <w:rsid w:val="009C4B14"/>
    <w:rsid w:val="009D6D07"/>
    <w:rsid w:val="009E3670"/>
    <w:rsid w:val="009E5FA6"/>
    <w:rsid w:val="009E7E69"/>
    <w:rsid w:val="009F3CA9"/>
    <w:rsid w:val="00A03182"/>
    <w:rsid w:val="00A16992"/>
    <w:rsid w:val="00A30E86"/>
    <w:rsid w:val="00A419BD"/>
    <w:rsid w:val="00A41B9C"/>
    <w:rsid w:val="00A46BCD"/>
    <w:rsid w:val="00A5024B"/>
    <w:rsid w:val="00A51D6E"/>
    <w:rsid w:val="00A531EE"/>
    <w:rsid w:val="00A5431D"/>
    <w:rsid w:val="00A66273"/>
    <w:rsid w:val="00A759C0"/>
    <w:rsid w:val="00A82A17"/>
    <w:rsid w:val="00A909A9"/>
    <w:rsid w:val="00A9462C"/>
    <w:rsid w:val="00A960BF"/>
    <w:rsid w:val="00A961B0"/>
    <w:rsid w:val="00A971E2"/>
    <w:rsid w:val="00AA0CC0"/>
    <w:rsid w:val="00AA14B3"/>
    <w:rsid w:val="00AA2E55"/>
    <w:rsid w:val="00AB043B"/>
    <w:rsid w:val="00AB270B"/>
    <w:rsid w:val="00AB6BD6"/>
    <w:rsid w:val="00AC2598"/>
    <w:rsid w:val="00AD2046"/>
    <w:rsid w:val="00AD3E22"/>
    <w:rsid w:val="00AD6CC4"/>
    <w:rsid w:val="00AE0E6D"/>
    <w:rsid w:val="00AE6799"/>
    <w:rsid w:val="00AF032B"/>
    <w:rsid w:val="00AF0C97"/>
    <w:rsid w:val="00B00F1D"/>
    <w:rsid w:val="00B01627"/>
    <w:rsid w:val="00B01915"/>
    <w:rsid w:val="00B11605"/>
    <w:rsid w:val="00B15E50"/>
    <w:rsid w:val="00B20592"/>
    <w:rsid w:val="00B300F1"/>
    <w:rsid w:val="00B37821"/>
    <w:rsid w:val="00B42674"/>
    <w:rsid w:val="00B460A5"/>
    <w:rsid w:val="00B47EAB"/>
    <w:rsid w:val="00B54B92"/>
    <w:rsid w:val="00B55483"/>
    <w:rsid w:val="00B6280D"/>
    <w:rsid w:val="00B6306A"/>
    <w:rsid w:val="00B70C99"/>
    <w:rsid w:val="00B736C6"/>
    <w:rsid w:val="00B748F7"/>
    <w:rsid w:val="00B765D3"/>
    <w:rsid w:val="00B77E7D"/>
    <w:rsid w:val="00B84A37"/>
    <w:rsid w:val="00B866B6"/>
    <w:rsid w:val="00B92298"/>
    <w:rsid w:val="00B93632"/>
    <w:rsid w:val="00B941AC"/>
    <w:rsid w:val="00BA084F"/>
    <w:rsid w:val="00BA0B4D"/>
    <w:rsid w:val="00BA1444"/>
    <w:rsid w:val="00BA1529"/>
    <w:rsid w:val="00BA2563"/>
    <w:rsid w:val="00BA34E3"/>
    <w:rsid w:val="00BB1839"/>
    <w:rsid w:val="00BB2F26"/>
    <w:rsid w:val="00BB61D4"/>
    <w:rsid w:val="00BC141F"/>
    <w:rsid w:val="00BC22B5"/>
    <w:rsid w:val="00BC545D"/>
    <w:rsid w:val="00BC6FAB"/>
    <w:rsid w:val="00BD12F3"/>
    <w:rsid w:val="00BD225E"/>
    <w:rsid w:val="00BD4094"/>
    <w:rsid w:val="00BD474A"/>
    <w:rsid w:val="00BE3150"/>
    <w:rsid w:val="00BF53A5"/>
    <w:rsid w:val="00BF6AE0"/>
    <w:rsid w:val="00C03132"/>
    <w:rsid w:val="00C06BB9"/>
    <w:rsid w:val="00C06CB1"/>
    <w:rsid w:val="00C123B6"/>
    <w:rsid w:val="00C23521"/>
    <w:rsid w:val="00C24323"/>
    <w:rsid w:val="00C30F60"/>
    <w:rsid w:val="00C319C0"/>
    <w:rsid w:val="00C40EFC"/>
    <w:rsid w:val="00C43A3D"/>
    <w:rsid w:val="00C47DD3"/>
    <w:rsid w:val="00C5271C"/>
    <w:rsid w:val="00C53994"/>
    <w:rsid w:val="00C568FD"/>
    <w:rsid w:val="00C57EBB"/>
    <w:rsid w:val="00C613AE"/>
    <w:rsid w:val="00C634D1"/>
    <w:rsid w:val="00C65BAB"/>
    <w:rsid w:val="00C76793"/>
    <w:rsid w:val="00C81361"/>
    <w:rsid w:val="00C83885"/>
    <w:rsid w:val="00C84DEE"/>
    <w:rsid w:val="00C86B16"/>
    <w:rsid w:val="00C9454D"/>
    <w:rsid w:val="00C961B5"/>
    <w:rsid w:val="00C97B34"/>
    <w:rsid w:val="00CA0B58"/>
    <w:rsid w:val="00CA3F69"/>
    <w:rsid w:val="00CB413D"/>
    <w:rsid w:val="00CD0147"/>
    <w:rsid w:val="00CD2FE8"/>
    <w:rsid w:val="00CD6B9E"/>
    <w:rsid w:val="00CD764D"/>
    <w:rsid w:val="00CE0EDF"/>
    <w:rsid w:val="00CE1C5A"/>
    <w:rsid w:val="00CE659F"/>
    <w:rsid w:val="00CF11C3"/>
    <w:rsid w:val="00CF2373"/>
    <w:rsid w:val="00CF252A"/>
    <w:rsid w:val="00CF2825"/>
    <w:rsid w:val="00CF4B79"/>
    <w:rsid w:val="00CF665C"/>
    <w:rsid w:val="00CF7AAD"/>
    <w:rsid w:val="00D0095D"/>
    <w:rsid w:val="00D038A5"/>
    <w:rsid w:val="00D06915"/>
    <w:rsid w:val="00D15F0E"/>
    <w:rsid w:val="00D163FB"/>
    <w:rsid w:val="00D16D4B"/>
    <w:rsid w:val="00D244C8"/>
    <w:rsid w:val="00D264F1"/>
    <w:rsid w:val="00D32C36"/>
    <w:rsid w:val="00D33089"/>
    <w:rsid w:val="00D405DC"/>
    <w:rsid w:val="00D44206"/>
    <w:rsid w:val="00D53982"/>
    <w:rsid w:val="00D56532"/>
    <w:rsid w:val="00D57AFD"/>
    <w:rsid w:val="00D62390"/>
    <w:rsid w:val="00D6297D"/>
    <w:rsid w:val="00D6617D"/>
    <w:rsid w:val="00D71FCB"/>
    <w:rsid w:val="00D75BF3"/>
    <w:rsid w:val="00D76B1C"/>
    <w:rsid w:val="00D77227"/>
    <w:rsid w:val="00D8105A"/>
    <w:rsid w:val="00D854C1"/>
    <w:rsid w:val="00D91A9E"/>
    <w:rsid w:val="00D928CB"/>
    <w:rsid w:val="00D940B3"/>
    <w:rsid w:val="00DA02A8"/>
    <w:rsid w:val="00DA15F6"/>
    <w:rsid w:val="00DA1E34"/>
    <w:rsid w:val="00DA5DC7"/>
    <w:rsid w:val="00DA75D2"/>
    <w:rsid w:val="00DB6958"/>
    <w:rsid w:val="00DE228C"/>
    <w:rsid w:val="00DF02A2"/>
    <w:rsid w:val="00DF2450"/>
    <w:rsid w:val="00E107E1"/>
    <w:rsid w:val="00E10817"/>
    <w:rsid w:val="00E16460"/>
    <w:rsid w:val="00E22B42"/>
    <w:rsid w:val="00E233F5"/>
    <w:rsid w:val="00E262CC"/>
    <w:rsid w:val="00E26AA8"/>
    <w:rsid w:val="00E334F0"/>
    <w:rsid w:val="00E42DF6"/>
    <w:rsid w:val="00E4455F"/>
    <w:rsid w:val="00E4458E"/>
    <w:rsid w:val="00E51612"/>
    <w:rsid w:val="00E51D1F"/>
    <w:rsid w:val="00E54553"/>
    <w:rsid w:val="00E545BD"/>
    <w:rsid w:val="00E61D32"/>
    <w:rsid w:val="00E66B1F"/>
    <w:rsid w:val="00E67986"/>
    <w:rsid w:val="00E75184"/>
    <w:rsid w:val="00E7609C"/>
    <w:rsid w:val="00E776AE"/>
    <w:rsid w:val="00E806C9"/>
    <w:rsid w:val="00E8270D"/>
    <w:rsid w:val="00E85F15"/>
    <w:rsid w:val="00E90F39"/>
    <w:rsid w:val="00E932A6"/>
    <w:rsid w:val="00E95A02"/>
    <w:rsid w:val="00EA039F"/>
    <w:rsid w:val="00EA3133"/>
    <w:rsid w:val="00EB0A76"/>
    <w:rsid w:val="00EB3B1D"/>
    <w:rsid w:val="00EB5999"/>
    <w:rsid w:val="00EB72F3"/>
    <w:rsid w:val="00ED5D48"/>
    <w:rsid w:val="00EE37F4"/>
    <w:rsid w:val="00EE6AF6"/>
    <w:rsid w:val="00EF3193"/>
    <w:rsid w:val="00F0580F"/>
    <w:rsid w:val="00F201CA"/>
    <w:rsid w:val="00F27DD7"/>
    <w:rsid w:val="00F33CA6"/>
    <w:rsid w:val="00F3572C"/>
    <w:rsid w:val="00F41CA6"/>
    <w:rsid w:val="00F42943"/>
    <w:rsid w:val="00F45040"/>
    <w:rsid w:val="00F51D0A"/>
    <w:rsid w:val="00F528E0"/>
    <w:rsid w:val="00F54312"/>
    <w:rsid w:val="00F54F57"/>
    <w:rsid w:val="00F634E0"/>
    <w:rsid w:val="00F7302E"/>
    <w:rsid w:val="00F82D90"/>
    <w:rsid w:val="00F9166F"/>
    <w:rsid w:val="00F94932"/>
    <w:rsid w:val="00F97BFD"/>
    <w:rsid w:val="00FA5BBA"/>
    <w:rsid w:val="00FB18C7"/>
    <w:rsid w:val="00FB6E4A"/>
    <w:rsid w:val="00FB7629"/>
    <w:rsid w:val="00FC026E"/>
    <w:rsid w:val="00FC5CE6"/>
    <w:rsid w:val="00FD2CBC"/>
    <w:rsid w:val="00FE0A20"/>
    <w:rsid w:val="00FE5286"/>
    <w:rsid w:val="00FF4DF2"/>
    <w:rsid w:val="00FF4E69"/>
    <w:rsid w:val="00FF6005"/>
    <w:rsid w:val="00FF6544"/>
    <w:rsid w:val="0146CA36"/>
    <w:rsid w:val="0254A201"/>
    <w:rsid w:val="02ECF838"/>
    <w:rsid w:val="03050C1E"/>
    <w:rsid w:val="03A21263"/>
    <w:rsid w:val="03BEB654"/>
    <w:rsid w:val="04C398D7"/>
    <w:rsid w:val="04F11653"/>
    <w:rsid w:val="054D9A8C"/>
    <w:rsid w:val="05D7FA81"/>
    <w:rsid w:val="08D6F4E5"/>
    <w:rsid w:val="0904C37D"/>
    <w:rsid w:val="098AFD46"/>
    <w:rsid w:val="0AD2EF47"/>
    <w:rsid w:val="0AE5DD5B"/>
    <w:rsid w:val="0B8B3BA3"/>
    <w:rsid w:val="0BA1F1D8"/>
    <w:rsid w:val="0BD41789"/>
    <w:rsid w:val="0DEA6FF5"/>
    <w:rsid w:val="0E87C1A5"/>
    <w:rsid w:val="0F6BFD6B"/>
    <w:rsid w:val="0FB50403"/>
    <w:rsid w:val="1087725A"/>
    <w:rsid w:val="10A8F5AB"/>
    <w:rsid w:val="1144A7E8"/>
    <w:rsid w:val="1178A45A"/>
    <w:rsid w:val="11BA73A1"/>
    <w:rsid w:val="12078015"/>
    <w:rsid w:val="12568F89"/>
    <w:rsid w:val="12FC3C3C"/>
    <w:rsid w:val="13AF000F"/>
    <w:rsid w:val="153E19E7"/>
    <w:rsid w:val="164575CB"/>
    <w:rsid w:val="172E8B8D"/>
    <w:rsid w:val="1767DD55"/>
    <w:rsid w:val="17C4CE72"/>
    <w:rsid w:val="18821381"/>
    <w:rsid w:val="194FFF5D"/>
    <w:rsid w:val="1CC8BE87"/>
    <w:rsid w:val="1E073954"/>
    <w:rsid w:val="1FA790D4"/>
    <w:rsid w:val="2012165C"/>
    <w:rsid w:val="2037B15A"/>
    <w:rsid w:val="20EE5CCC"/>
    <w:rsid w:val="211A70C9"/>
    <w:rsid w:val="221366E6"/>
    <w:rsid w:val="227E18CD"/>
    <w:rsid w:val="229336E1"/>
    <w:rsid w:val="22980AAB"/>
    <w:rsid w:val="231972FB"/>
    <w:rsid w:val="23397944"/>
    <w:rsid w:val="26407388"/>
    <w:rsid w:val="280AEE5A"/>
    <w:rsid w:val="285D6F30"/>
    <w:rsid w:val="2989425C"/>
    <w:rsid w:val="2B03861E"/>
    <w:rsid w:val="2B0C92FF"/>
    <w:rsid w:val="2B8B5916"/>
    <w:rsid w:val="2BAD4C4F"/>
    <w:rsid w:val="2DECB12D"/>
    <w:rsid w:val="2EC58899"/>
    <w:rsid w:val="2F913D5E"/>
    <w:rsid w:val="3052E7BB"/>
    <w:rsid w:val="30AB6C9F"/>
    <w:rsid w:val="312F0674"/>
    <w:rsid w:val="3198BE99"/>
    <w:rsid w:val="320F0CA5"/>
    <w:rsid w:val="32F6B505"/>
    <w:rsid w:val="332E4E26"/>
    <w:rsid w:val="333B0315"/>
    <w:rsid w:val="33F442E8"/>
    <w:rsid w:val="347FE2AB"/>
    <w:rsid w:val="348EF568"/>
    <w:rsid w:val="34ABDDD0"/>
    <w:rsid w:val="357CA1F2"/>
    <w:rsid w:val="3690E21C"/>
    <w:rsid w:val="3695B1DD"/>
    <w:rsid w:val="36D0D57E"/>
    <w:rsid w:val="38694FE8"/>
    <w:rsid w:val="38DA9C90"/>
    <w:rsid w:val="38E4CD8A"/>
    <w:rsid w:val="39CC0294"/>
    <w:rsid w:val="3BE8C1B9"/>
    <w:rsid w:val="3C441A4C"/>
    <w:rsid w:val="3D087F08"/>
    <w:rsid w:val="3D7CFB8D"/>
    <w:rsid w:val="3DECE98A"/>
    <w:rsid w:val="3E8BC2BB"/>
    <w:rsid w:val="3EA25C94"/>
    <w:rsid w:val="3EC9BE01"/>
    <w:rsid w:val="3F68303E"/>
    <w:rsid w:val="40A9406A"/>
    <w:rsid w:val="41364C9B"/>
    <w:rsid w:val="41DC045C"/>
    <w:rsid w:val="42578C70"/>
    <w:rsid w:val="438E2C04"/>
    <w:rsid w:val="443AFE05"/>
    <w:rsid w:val="44EFD609"/>
    <w:rsid w:val="4510D39E"/>
    <w:rsid w:val="4567926E"/>
    <w:rsid w:val="4579B390"/>
    <w:rsid w:val="462047F6"/>
    <w:rsid w:val="46E6D96D"/>
    <w:rsid w:val="47391961"/>
    <w:rsid w:val="480C4869"/>
    <w:rsid w:val="4878769E"/>
    <w:rsid w:val="4888C1CD"/>
    <w:rsid w:val="4945F5A4"/>
    <w:rsid w:val="49C5F87C"/>
    <w:rsid w:val="49E2832A"/>
    <w:rsid w:val="4A015519"/>
    <w:rsid w:val="4A489935"/>
    <w:rsid w:val="4B01B516"/>
    <w:rsid w:val="4B51EE2C"/>
    <w:rsid w:val="4B7EB2CC"/>
    <w:rsid w:val="4B8C32E3"/>
    <w:rsid w:val="4BDE8214"/>
    <w:rsid w:val="4C168B4D"/>
    <w:rsid w:val="4D0943F6"/>
    <w:rsid w:val="4D85BB67"/>
    <w:rsid w:val="4EA59A9D"/>
    <w:rsid w:val="4FCF1DF0"/>
    <w:rsid w:val="50A0A109"/>
    <w:rsid w:val="50AE7672"/>
    <w:rsid w:val="50FADFF9"/>
    <w:rsid w:val="5116179C"/>
    <w:rsid w:val="520644FA"/>
    <w:rsid w:val="5208CF17"/>
    <w:rsid w:val="527D1E23"/>
    <w:rsid w:val="530FA39E"/>
    <w:rsid w:val="53D0E79A"/>
    <w:rsid w:val="545E3E55"/>
    <w:rsid w:val="546C4711"/>
    <w:rsid w:val="54D4E059"/>
    <w:rsid w:val="55498A46"/>
    <w:rsid w:val="558781C3"/>
    <w:rsid w:val="56A04E71"/>
    <w:rsid w:val="56D4C90A"/>
    <w:rsid w:val="57491AEC"/>
    <w:rsid w:val="58242612"/>
    <w:rsid w:val="59595C00"/>
    <w:rsid w:val="5A9DDB59"/>
    <w:rsid w:val="5AFAB8B5"/>
    <w:rsid w:val="5D127153"/>
    <w:rsid w:val="5DC9C3D3"/>
    <w:rsid w:val="5E665749"/>
    <w:rsid w:val="5E95BFEB"/>
    <w:rsid w:val="5F09A73E"/>
    <w:rsid w:val="605AD1E7"/>
    <w:rsid w:val="60BB0B52"/>
    <w:rsid w:val="611F247E"/>
    <w:rsid w:val="61AB936C"/>
    <w:rsid w:val="61C38D6B"/>
    <w:rsid w:val="61C4E0E2"/>
    <w:rsid w:val="622733CA"/>
    <w:rsid w:val="623AC82A"/>
    <w:rsid w:val="6259BCEA"/>
    <w:rsid w:val="62C48B64"/>
    <w:rsid w:val="632E4B0E"/>
    <w:rsid w:val="63863DD4"/>
    <w:rsid w:val="63BF37DE"/>
    <w:rsid w:val="64D04CAD"/>
    <w:rsid w:val="65C89180"/>
    <w:rsid w:val="6702BC05"/>
    <w:rsid w:val="686A3D5E"/>
    <w:rsid w:val="69BE5139"/>
    <w:rsid w:val="69C2D223"/>
    <w:rsid w:val="6A1712C7"/>
    <w:rsid w:val="6A1FF905"/>
    <w:rsid w:val="6B0D3150"/>
    <w:rsid w:val="6B9722C8"/>
    <w:rsid w:val="6E1ECE6C"/>
    <w:rsid w:val="6E7704AB"/>
    <w:rsid w:val="700FC54D"/>
    <w:rsid w:val="702DE99C"/>
    <w:rsid w:val="70970786"/>
    <w:rsid w:val="71384655"/>
    <w:rsid w:val="71EEB863"/>
    <w:rsid w:val="71FDF045"/>
    <w:rsid w:val="74279A9F"/>
    <w:rsid w:val="74C9D969"/>
    <w:rsid w:val="761737B3"/>
    <w:rsid w:val="76A6D12E"/>
    <w:rsid w:val="76CD52D0"/>
    <w:rsid w:val="774A26F0"/>
    <w:rsid w:val="77D2255D"/>
    <w:rsid w:val="77DDC0B2"/>
    <w:rsid w:val="788F28F6"/>
    <w:rsid w:val="78B3DAE2"/>
    <w:rsid w:val="795FA84F"/>
    <w:rsid w:val="7B1B2EF4"/>
    <w:rsid w:val="7B9D2BAB"/>
    <w:rsid w:val="7BD10857"/>
    <w:rsid w:val="7C032BFB"/>
    <w:rsid w:val="7C6B76A1"/>
    <w:rsid w:val="7D8B96D5"/>
    <w:rsid w:val="7F419B45"/>
    <w:rsid w:val="7FC73C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54D2"/>
  <w15:chartTrackingRefBased/>
  <w15:docId w15:val="{845DBF7C-62FD-46EB-B48F-56FB4714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F2"/>
    <w:pPr>
      <w:suppressAutoHyphens/>
      <w:spacing w:before="120" w:after="60" w:line="260" w:lineRule="atLeast"/>
    </w:pPr>
    <w:rPr>
      <w:color w:val="44546A" w:themeColor="text2"/>
      <w:lang w:val="en-GB"/>
    </w:rPr>
  </w:style>
  <w:style w:type="paragraph" w:styleId="Heading2">
    <w:name w:val="heading 2"/>
    <w:basedOn w:val="Normal"/>
    <w:next w:val="Normal"/>
    <w:link w:val="Heading2Char"/>
    <w:uiPriority w:val="9"/>
    <w:semiHidden/>
    <w:unhideWhenUsed/>
    <w:qFormat/>
    <w:rsid w:val="00271A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nhideWhenUsed/>
    <w:qFormat/>
    <w:rsid w:val="00271AF2"/>
    <w:pPr>
      <w:spacing w:before="480" w:after="120" w:line="360" w:lineRule="atLeast"/>
      <w:contextualSpacing/>
      <w:outlineLvl w:val="2"/>
    </w:pPr>
    <w:rPr>
      <w:bCs/>
      <w:color w:val="44546A" w:themeColor="text2"/>
      <w:sz w:val="3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71AF2"/>
    <w:rPr>
      <w:rFonts w:asciiTheme="majorHAnsi" w:eastAsiaTheme="majorEastAsia" w:hAnsiTheme="majorHAnsi" w:cstheme="majorBidi"/>
      <w:bCs/>
      <w:color w:val="44546A" w:themeColor="text2"/>
      <w:sz w:val="30"/>
      <w:szCs w:val="26"/>
    </w:rPr>
  </w:style>
  <w:style w:type="paragraph" w:customStyle="1" w:styleId="Bullet1">
    <w:name w:val="Bullet 1"/>
    <w:basedOn w:val="Normal"/>
    <w:qFormat/>
    <w:rsid w:val="00271AF2"/>
    <w:pPr>
      <w:numPr>
        <w:numId w:val="2"/>
      </w:numPr>
      <w:tabs>
        <w:tab w:val="left" w:pos="567"/>
      </w:tabs>
      <w:spacing w:before="60"/>
    </w:pPr>
  </w:style>
  <w:style w:type="paragraph" w:customStyle="1" w:styleId="Bullet2">
    <w:name w:val="Bullet 2"/>
    <w:basedOn w:val="Bullet1"/>
    <w:qFormat/>
    <w:rsid w:val="00271AF2"/>
    <w:pPr>
      <w:numPr>
        <w:ilvl w:val="1"/>
      </w:numPr>
      <w:tabs>
        <w:tab w:val="clear" w:pos="568"/>
        <w:tab w:val="left" w:pos="851"/>
      </w:tabs>
    </w:pPr>
  </w:style>
  <w:style w:type="paragraph" w:customStyle="1" w:styleId="Bullet3">
    <w:name w:val="Bullet 3"/>
    <w:basedOn w:val="Bullet2"/>
    <w:qFormat/>
    <w:rsid w:val="00271AF2"/>
    <w:pPr>
      <w:numPr>
        <w:ilvl w:val="2"/>
      </w:numPr>
      <w:tabs>
        <w:tab w:val="clear" w:pos="852"/>
        <w:tab w:val="left" w:pos="1134"/>
      </w:tabs>
    </w:pPr>
  </w:style>
  <w:style w:type="numbering" w:customStyle="1" w:styleId="BulletsList">
    <w:name w:val="Bullets List"/>
    <w:uiPriority w:val="99"/>
    <w:rsid w:val="00271AF2"/>
    <w:pPr>
      <w:numPr>
        <w:numId w:val="1"/>
      </w:numPr>
    </w:pPr>
  </w:style>
  <w:style w:type="paragraph" w:customStyle="1" w:styleId="TableHeaderRow">
    <w:name w:val="Table Header Row"/>
    <w:basedOn w:val="Normal"/>
    <w:qFormat/>
    <w:rsid w:val="00271AF2"/>
    <w:pPr>
      <w:spacing w:before="60"/>
    </w:pPr>
    <w:rPr>
      <w:rFonts w:ascii="Calibri" w:hAnsi="Calibri"/>
      <w:b/>
      <w:color w:val="FFFFFF" w:themeColor="background1"/>
      <w:szCs w:val="21"/>
    </w:rPr>
  </w:style>
  <w:style w:type="table" w:customStyle="1" w:styleId="DFATTable1">
    <w:name w:val="DFAT Table 1"/>
    <w:basedOn w:val="TableNormal"/>
    <w:uiPriority w:val="99"/>
    <w:rsid w:val="00271AF2"/>
    <w:pPr>
      <w:spacing w:before="60" w:after="60" w:line="260" w:lineRule="atLeast"/>
    </w:pPr>
    <w:rPr>
      <w:rFonts w:ascii="Calibri" w:hAnsi="Calibri"/>
      <w:color w:val="44546A" w:themeColor="text2"/>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top w:w="57" w:type="dxa"/>
        <w:bottom w:w="57" w:type="dxa"/>
      </w:tblCellMar>
    </w:tblPr>
    <w:tblStylePr w:type="firstRow">
      <w:rPr>
        <w:b w:val="0"/>
      </w:rPr>
      <w:tblPr/>
      <w:trPr>
        <w:tblHeader/>
      </w:trPr>
      <w:tcPr>
        <w:tcBorders>
          <w:top w:val="single" w:sz="4" w:space="0" w:color="4472C4" w:themeColor="accent1"/>
          <w:bottom w:val="single" w:sz="4" w:space="0" w:color="4472C4" w:themeColor="accent1"/>
          <w:insideH w:val="single" w:sz="4" w:space="0" w:color="4472C4" w:themeColor="accent1"/>
        </w:tcBorders>
        <w:shd w:val="clear" w:color="auto" w:fill="4472C4" w:themeFill="accent1"/>
      </w:tcPr>
    </w:tblStylePr>
    <w:tblStylePr w:type="lastRow">
      <w:rPr>
        <w:b/>
        <w:color w:val="FFFFFF" w:themeColor="background1"/>
      </w:rPr>
      <w:tblPr/>
      <w:tcPr>
        <w:shd w:val="clear" w:color="auto" w:fill="44546A" w:themeFill="text2"/>
      </w:tcPr>
    </w:tblStylePr>
    <w:tblStylePr w:type="firstCol">
      <w:tblPr/>
      <w:tcPr>
        <w:shd w:val="clear" w:color="auto" w:fill="E7E6E6" w:themeFill="background2"/>
      </w:tcPr>
    </w:tblStylePr>
    <w:tblStylePr w:type="lastCol">
      <w:tblPr/>
      <w:tcPr>
        <w:shd w:val="clear" w:color="auto" w:fill="E7E6E6" w:themeFill="background2"/>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paragraph" w:styleId="BodyText">
    <w:name w:val="Body Text"/>
    <w:basedOn w:val="Normal"/>
    <w:link w:val="BodyTextChar"/>
    <w:uiPriority w:val="99"/>
    <w:unhideWhenUsed/>
    <w:qFormat/>
    <w:rsid w:val="00271AF2"/>
  </w:style>
  <w:style w:type="character" w:customStyle="1" w:styleId="BodyTextChar">
    <w:name w:val="Body Text Char"/>
    <w:basedOn w:val="DefaultParagraphFont"/>
    <w:link w:val="BodyText"/>
    <w:uiPriority w:val="99"/>
    <w:rsid w:val="00271AF2"/>
    <w:rPr>
      <w:color w:val="44546A" w:themeColor="text2"/>
      <w:lang w:val="en-GB"/>
    </w:rPr>
  </w:style>
  <w:style w:type="character" w:customStyle="1" w:styleId="Heading2Char">
    <w:name w:val="Heading 2 Char"/>
    <w:basedOn w:val="DefaultParagraphFont"/>
    <w:link w:val="Heading2"/>
    <w:uiPriority w:val="9"/>
    <w:semiHidden/>
    <w:rsid w:val="00271AF2"/>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FF600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005"/>
    <w:rPr>
      <w:rFonts w:ascii="Segoe UI" w:hAnsi="Segoe UI" w:cs="Segoe UI"/>
      <w:color w:val="44546A" w:themeColor="text2"/>
      <w:sz w:val="18"/>
      <w:szCs w:val="18"/>
      <w:lang w:val="en-GB"/>
    </w:rPr>
  </w:style>
  <w:style w:type="table" w:styleId="TableGrid">
    <w:name w:val="Table Grid"/>
    <w:basedOn w:val="TableNormal"/>
    <w:uiPriority w:val="39"/>
    <w:rsid w:val="0081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F2BFE"/>
    <w:pPr>
      <w:suppressAutoHyphens w:val="0"/>
      <w:spacing w:before="0" w:after="0" w:line="240" w:lineRule="auto"/>
    </w:pPr>
    <w:rPr>
      <w:rFonts w:ascii="Arial" w:eastAsia="Arial" w:hAnsi="Arial" w:cs="Times New Roman"/>
      <w:color w:val="auto"/>
      <w:sz w:val="20"/>
      <w:szCs w:val="20"/>
      <w:lang w:val="en-AU"/>
    </w:rPr>
  </w:style>
  <w:style w:type="character" w:customStyle="1" w:styleId="CommentTextChar">
    <w:name w:val="Comment Text Char"/>
    <w:basedOn w:val="DefaultParagraphFont"/>
    <w:link w:val="CommentText"/>
    <w:uiPriority w:val="99"/>
    <w:rsid w:val="003F2BFE"/>
    <w:rPr>
      <w:rFonts w:ascii="Arial" w:eastAsia="Arial" w:hAnsi="Arial" w:cs="Times New Roman"/>
      <w:sz w:val="20"/>
      <w:szCs w:val="20"/>
    </w:rPr>
  </w:style>
  <w:style w:type="character" w:styleId="CommentReference">
    <w:name w:val="annotation reference"/>
    <w:basedOn w:val="DefaultParagraphFont"/>
    <w:uiPriority w:val="99"/>
    <w:semiHidden/>
    <w:unhideWhenUsed/>
    <w:rsid w:val="003F2BFE"/>
    <w:rPr>
      <w:sz w:val="16"/>
      <w:szCs w:val="16"/>
    </w:rPr>
  </w:style>
  <w:style w:type="paragraph" w:styleId="CommentSubject">
    <w:name w:val="annotation subject"/>
    <w:basedOn w:val="CommentText"/>
    <w:next w:val="CommentText"/>
    <w:link w:val="CommentSubjectChar"/>
    <w:uiPriority w:val="99"/>
    <w:semiHidden/>
    <w:unhideWhenUsed/>
    <w:rsid w:val="00CF11C3"/>
    <w:pPr>
      <w:suppressAutoHyphens/>
      <w:spacing w:before="120" w:after="60"/>
    </w:pPr>
    <w:rPr>
      <w:rFonts w:asciiTheme="minorHAnsi" w:eastAsiaTheme="minorHAnsi" w:hAnsiTheme="minorHAnsi" w:cstheme="minorBidi"/>
      <w:b/>
      <w:bCs/>
      <w:color w:val="44546A" w:themeColor="text2"/>
      <w:lang w:val="en-GB"/>
    </w:rPr>
  </w:style>
  <w:style w:type="character" w:customStyle="1" w:styleId="CommentSubjectChar">
    <w:name w:val="Comment Subject Char"/>
    <w:basedOn w:val="CommentTextChar"/>
    <w:link w:val="CommentSubject"/>
    <w:uiPriority w:val="99"/>
    <w:semiHidden/>
    <w:rsid w:val="00CF11C3"/>
    <w:rPr>
      <w:rFonts w:ascii="Arial" w:eastAsia="Arial" w:hAnsi="Arial" w:cs="Times New Roman"/>
      <w:b/>
      <w:bCs/>
      <w:color w:val="44546A" w:themeColor="text2"/>
      <w:sz w:val="20"/>
      <w:szCs w:val="20"/>
      <w:lang w:val="en-GB"/>
    </w:rPr>
  </w:style>
  <w:style w:type="paragraph" w:styleId="Header">
    <w:name w:val="header"/>
    <w:basedOn w:val="Normal"/>
    <w:link w:val="HeaderChar"/>
    <w:uiPriority w:val="99"/>
    <w:unhideWhenUsed/>
    <w:rsid w:val="007233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233A0"/>
    <w:rPr>
      <w:color w:val="44546A" w:themeColor="text2"/>
      <w:lang w:val="en-GB"/>
    </w:rPr>
  </w:style>
  <w:style w:type="paragraph" w:styleId="Footer">
    <w:name w:val="footer"/>
    <w:basedOn w:val="Normal"/>
    <w:link w:val="FooterChar"/>
    <w:uiPriority w:val="99"/>
    <w:unhideWhenUsed/>
    <w:rsid w:val="007233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233A0"/>
    <w:rPr>
      <w:color w:val="44546A" w:themeColor="text2"/>
      <w:lang w:val="en-GB"/>
    </w:rPr>
  </w:style>
  <w:style w:type="paragraph" w:styleId="ListParagraph">
    <w:name w:val="List Paragraph"/>
    <w:basedOn w:val="Normal"/>
    <w:uiPriority w:val="34"/>
    <w:qFormat/>
    <w:rsid w:val="00865269"/>
    <w:pPr>
      <w:ind w:left="720"/>
      <w:contextualSpacing/>
    </w:pPr>
  </w:style>
  <w:style w:type="character" w:styleId="Hyperlink">
    <w:name w:val="Hyperlink"/>
    <w:basedOn w:val="DefaultParagraphFont"/>
    <w:uiPriority w:val="99"/>
    <w:unhideWhenUsed/>
    <w:rsid w:val="005C2379"/>
    <w:rPr>
      <w:color w:val="0563C1" w:themeColor="hyperlink"/>
      <w:u w:val="single"/>
    </w:rPr>
  </w:style>
  <w:style w:type="character" w:styleId="UnresolvedMention">
    <w:name w:val="Unresolved Mention"/>
    <w:basedOn w:val="DefaultParagraphFont"/>
    <w:uiPriority w:val="99"/>
    <w:semiHidden/>
    <w:unhideWhenUsed/>
    <w:rsid w:val="005C2379"/>
    <w:rPr>
      <w:color w:val="605E5C"/>
      <w:shd w:val="clear" w:color="auto" w:fill="E1DFDD"/>
    </w:rPr>
  </w:style>
  <w:style w:type="paragraph" w:styleId="Revision">
    <w:name w:val="Revision"/>
    <w:hidden/>
    <w:uiPriority w:val="99"/>
    <w:semiHidden/>
    <w:rsid w:val="00964AF5"/>
    <w:pPr>
      <w:spacing w:after="0" w:line="240" w:lineRule="auto"/>
    </w:pPr>
    <w:rPr>
      <w:color w:val="44546A" w:themeColor="text2"/>
      <w:lang w:val="en-GB"/>
    </w:rPr>
  </w:style>
  <w:style w:type="character" w:styleId="FollowedHyperlink">
    <w:name w:val="FollowedHyperlink"/>
    <w:basedOn w:val="DefaultParagraphFont"/>
    <w:uiPriority w:val="99"/>
    <w:semiHidden/>
    <w:unhideWhenUsed/>
    <w:rsid w:val="00FB7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7368">
      <w:bodyDiv w:val="1"/>
      <w:marLeft w:val="0"/>
      <w:marRight w:val="0"/>
      <w:marTop w:val="0"/>
      <w:marBottom w:val="0"/>
      <w:divBdr>
        <w:top w:val="none" w:sz="0" w:space="0" w:color="auto"/>
        <w:left w:val="none" w:sz="0" w:space="0" w:color="auto"/>
        <w:bottom w:val="none" w:sz="0" w:space="0" w:color="auto"/>
        <w:right w:val="none" w:sz="0" w:space="0" w:color="auto"/>
      </w:divBdr>
    </w:div>
    <w:div w:id="467551637">
      <w:bodyDiv w:val="1"/>
      <w:marLeft w:val="0"/>
      <w:marRight w:val="0"/>
      <w:marTop w:val="0"/>
      <w:marBottom w:val="0"/>
      <w:divBdr>
        <w:top w:val="none" w:sz="0" w:space="0" w:color="auto"/>
        <w:left w:val="none" w:sz="0" w:space="0" w:color="auto"/>
        <w:bottom w:val="none" w:sz="0" w:space="0" w:color="auto"/>
        <w:right w:val="none" w:sz="0" w:space="0" w:color="auto"/>
      </w:divBdr>
    </w:div>
    <w:div w:id="1173760560">
      <w:bodyDiv w:val="1"/>
      <w:marLeft w:val="0"/>
      <w:marRight w:val="0"/>
      <w:marTop w:val="0"/>
      <w:marBottom w:val="0"/>
      <w:divBdr>
        <w:top w:val="none" w:sz="0" w:space="0" w:color="auto"/>
        <w:left w:val="none" w:sz="0" w:space="0" w:color="auto"/>
        <w:bottom w:val="none" w:sz="0" w:space="0" w:color="auto"/>
        <w:right w:val="none" w:sz="0" w:space="0" w:color="auto"/>
      </w:divBdr>
    </w:div>
    <w:div w:id="1210073284">
      <w:bodyDiv w:val="1"/>
      <w:marLeft w:val="0"/>
      <w:marRight w:val="0"/>
      <w:marTop w:val="0"/>
      <w:marBottom w:val="0"/>
      <w:divBdr>
        <w:top w:val="none" w:sz="0" w:space="0" w:color="auto"/>
        <w:left w:val="none" w:sz="0" w:space="0" w:color="auto"/>
        <w:bottom w:val="none" w:sz="0" w:space="0" w:color="auto"/>
        <w:right w:val="none" w:sz="0" w:space="0" w:color="auto"/>
      </w:divBdr>
    </w:div>
    <w:div w:id="13770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52AF08EF54743B6A9A7912E2C3EF6" ma:contentTypeVersion="18" ma:contentTypeDescription="Create a new document." ma:contentTypeScope="" ma:versionID="42f59998b88abc85611cca46c7a3faed">
  <xsd:schema xmlns:xsd="http://www.w3.org/2001/XMLSchema" xmlns:xs="http://www.w3.org/2001/XMLSchema" xmlns:p="http://schemas.microsoft.com/office/2006/metadata/properties" xmlns:ns2="416d98e1-ff00-40e2-a2c0-d475b3a7e942" xmlns:ns3="fdf53c1d-3426-4032-9bdb-84c3ea6fc01e" targetNamespace="http://schemas.microsoft.com/office/2006/metadata/properties" ma:root="true" ma:fieldsID="8c5f419f1f83089cc1377d6df8055d01" ns2:_="" ns3:_="">
    <xsd:import namespace="416d98e1-ff00-40e2-a2c0-d475b3a7e942"/>
    <xsd:import namespace="fdf53c1d-3426-4032-9bdb-84c3ea6fc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MediaServiceLocation"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98e1-ff00-40e2-a2c0-d475b3a7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About" ma:index="25" nillable="true" ma:displayName="About" ma:description="List of reports &amp; reviews, strategies, and implementation guidance produced by KIA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53c1d-3426-4032-9bdb-84c3ea6fc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1dafab1-059f-491e-8fba-74eb1acdd239}" ma:internalName="TaxCatchAll" ma:showField="CatchAllData" ma:web="fdf53c1d-3426-4032-9bdb-84c3ea6fc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f53c1d-3426-4032-9bdb-84c3ea6fc01e" xsi:nil="true"/>
    <About xmlns="416d98e1-ff00-40e2-a2c0-d475b3a7e942" xsi:nil="true"/>
    <lcf76f155ced4ddcb4097134ff3c332f xmlns="416d98e1-ff00-40e2-a2c0-d475b3a7e9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6BA64-A3A1-4FE6-931D-24FB365BE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d98e1-ff00-40e2-a2c0-d475b3a7e942"/>
    <ds:schemaRef ds:uri="fdf53c1d-3426-4032-9bdb-84c3ea6f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AC115-8128-47DA-97E9-BFEC148F13EB}">
  <ds:schemaRefs>
    <ds:schemaRef ds:uri="http://schemas.microsoft.com/office/2006/metadata/properties"/>
    <ds:schemaRef ds:uri="http://schemas.microsoft.com/office/infopath/2007/PartnerControls"/>
    <ds:schemaRef ds:uri="fdf53c1d-3426-4032-9bdb-84c3ea6fc01e"/>
    <ds:schemaRef ds:uri="416d98e1-ff00-40e2-a2c0-d475b3a7e942"/>
  </ds:schemaRefs>
</ds:datastoreItem>
</file>

<file path=customXml/itemProps3.xml><?xml version="1.0" encoding="utf-8"?>
<ds:datastoreItem xmlns:ds="http://schemas.openxmlformats.org/officeDocument/2006/customXml" ds:itemID="{212F501C-D513-4810-8E66-4B909BB71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1170</Words>
  <Characters>7530</Characters>
  <Application>Microsoft Office Word</Application>
  <DocSecurity>0</DocSecurity>
  <Lines>288</Lines>
  <Paragraphs>60</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Emily</dc:creator>
  <cp:keywords>[SEC=OFFICIAL]</cp:keywords>
  <dc:description/>
  <cp:lastModifiedBy>Nindy Silvie</cp:lastModifiedBy>
  <cp:revision>5</cp:revision>
  <dcterms:created xsi:type="dcterms:W3CDTF">2025-08-05T02:17:00Z</dcterms:created>
  <dcterms:modified xsi:type="dcterms:W3CDTF">2025-11-05T03:50:00Z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0D6FA3BDE2B94C9CAB8EBE348A7964AA</vt:lpwstr>
  </property>
  <property fmtid="{D5CDD505-2E9C-101B-9397-08002B2CF9AE}" pid="9" name="PM_ProtectiveMarkingValue_Footer">
    <vt:lpwstr>OFFICIAL</vt:lpwstr>
  </property>
  <property fmtid="{D5CDD505-2E9C-101B-9397-08002B2CF9AE}" pid="10" name="PM_OriginationTimeStamp">
    <vt:lpwstr>2022-02-18T07:31:53Z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Display">
    <vt:lpwstr>OFFICIAL</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ContentTypeId">
    <vt:lpwstr>0x01010037952AF08EF54743B6A9A7912E2C3EF6</vt:lpwstr>
  </property>
  <property fmtid="{D5CDD505-2E9C-101B-9397-08002B2CF9AE}" pid="24" name="MediaServiceImageTags">
    <vt:lpwstr/>
  </property>
  <property fmtid="{D5CDD505-2E9C-101B-9397-08002B2CF9AE}" pid="25" name="PM_Originator_Hash_SHA1">
    <vt:lpwstr>1B9FFEA6451F9BAE66888C5E67F6DD8CBF8346E4</vt:lpwstr>
  </property>
  <property fmtid="{D5CDD505-2E9C-101B-9397-08002B2CF9AE}" pid="26" name="PM_Hash_Salt_Prev">
    <vt:lpwstr>6F5E41B349F13256FC0AC4C0AD8F2584</vt:lpwstr>
  </property>
  <property fmtid="{D5CDD505-2E9C-101B-9397-08002B2CF9AE}" pid="27" name="PM_Hash_Salt">
    <vt:lpwstr>709E34E1A1DC0A95F5513BA6C8449916</vt:lpwstr>
  </property>
  <property fmtid="{D5CDD505-2E9C-101B-9397-08002B2CF9AE}" pid="28" name="PM_Hash_SHA1">
    <vt:lpwstr>E31471FE702C14E441CF313FDEF13F45F90DFC1A</vt:lpwstr>
  </property>
  <property fmtid="{D5CDD505-2E9C-101B-9397-08002B2CF9AE}" pid="29" name="PMHMAC">
    <vt:lpwstr>v=2022.1;a=SHA256;h=F5D216FB5F73286F10BF85F8015996EA3E0070C377FAC0E83081FB7F58407749</vt:lpwstr>
  </property>
  <property fmtid="{D5CDD505-2E9C-101B-9397-08002B2CF9AE}" pid="30" name="PM_OriginatorUserAccountName_SHA256">
    <vt:lpwstr>FC9086962F3A6296FBD1EB42720C0D8F8BA6C19F577A6D365F840858597319CC</vt:lpwstr>
  </property>
  <property fmtid="{D5CDD505-2E9C-101B-9397-08002B2CF9AE}" pid="31" name="PM_Expires">
    <vt:lpwstr/>
  </property>
  <property fmtid="{D5CDD505-2E9C-101B-9397-08002B2CF9AE}" pid="32" name="PM_DownTo">
    <vt:lpwstr/>
  </property>
</Properties>
</file>