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59E5" w14:textId="77777777" w:rsidR="00025606" w:rsidRDefault="00025606"/>
    <w:p w14:paraId="28C172E9" w14:textId="6EF4BB87" w:rsidR="007A5A1A" w:rsidRPr="00B26973" w:rsidRDefault="007A5A1A" w:rsidP="00B26973">
      <w:pPr>
        <w:pStyle w:val="Heading1"/>
      </w:pPr>
      <w:r w:rsidRPr="00B26973">
        <w:t>PROSIVU MTR Management Response</w:t>
      </w:r>
    </w:p>
    <w:p w14:paraId="17DF37CD" w14:textId="24CF4202" w:rsidR="00326A2D" w:rsidRDefault="00326A2D" w:rsidP="00326A2D">
      <w:r w:rsidRPr="00326A2D">
        <w:rPr>
          <w:lang w:val="en-GB"/>
        </w:rPr>
        <w:t xml:space="preserve">PROSIVU </w:t>
      </w:r>
      <w:r w:rsidR="00843E20">
        <w:rPr>
          <w:lang w:val="en-GB"/>
        </w:rPr>
        <w:t>(</w:t>
      </w:r>
      <w:r w:rsidR="00843E20" w:rsidRPr="00843E20">
        <w:t>Partnership for Inclusive Prosperity</w:t>
      </w:r>
      <w:r w:rsidR="00843E20">
        <w:t xml:space="preserve">) </w:t>
      </w:r>
      <w:r w:rsidRPr="00326A2D">
        <w:rPr>
          <w:lang w:val="en-GB"/>
        </w:rPr>
        <w:t>is a facility</w:t>
      </w:r>
      <w:r w:rsidRPr="00326A2D">
        <w:t> </w:t>
      </w:r>
      <w:r w:rsidR="0055196C">
        <w:t>(</w:t>
      </w:r>
      <w:r w:rsidR="00FB3B34">
        <w:t>AUD</w:t>
      </w:r>
      <w:r w:rsidR="0055196C">
        <w:t xml:space="preserve">61.5 million, 2022-2028) </w:t>
      </w:r>
      <w:r w:rsidR="00A924B7" w:rsidRPr="00A924B7">
        <w:t>supporting governance reform and inclusive development in Timor-Leste</w:t>
      </w:r>
      <w:r w:rsidR="00A924B7">
        <w:t xml:space="preserve">. </w:t>
      </w:r>
      <w:r w:rsidR="005C42AD">
        <w:t>PROSIVU is structured around three main pillars</w:t>
      </w:r>
      <w:r w:rsidR="00665F0A">
        <w:t>:</w:t>
      </w:r>
    </w:p>
    <w:p w14:paraId="60456B4F" w14:textId="2B33B075" w:rsidR="005C42AD" w:rsidRDefault="005C42AD" w:rsidP="005C42AD">
      <w:pPr>
        <w:pStyle w:val="ListParagraph"/>
        <w:numPr>
          <w:ilvl w:val="0"/>
          <w:numId w:val="9"/>
        </w:numPr>
      </w:pPr>
      <w:r>
        <w:t>Stronger more inclusive growth</w:t>
      </w:r>
    </w:p>
    <w:p w14:paraId="599CC983" w14:textId="2B4CF260" w:rsidR="005C42AD" w:rsidRDefault="00C95943" w:rsidP="005C42AD">
      <w:pPr>
        <w:pStyle w:val="ListParagraph"/>
        <w:numPr>
          <w:ilvl w:val="0"/>
          <w:numId w:val="9"/>
        </w:numPr>
      </w:pPr>
      <w:r>
        <w:t xml:space="preserve">Sustainable </w:t>
      </w:r>
      <w:r w:rsidR="00665F0A">
        <w:t>p</w:t>
      </w:r>
      <w:r>
        <w:t xml:space="preserve">ublic </w:t>
      </w:r>
      <w:r w:rsidR="00665F0A">
        <w:t>f</w:t>
      </w:r>
      <w:r>
        <w:t>inances</w:t>
      </w:r>
    </w:p>
    <w:p w14:paraId="13B4FBEE" w14:textId="60C1D4F7" w:rsidR="00C95943" w:rsidRPr="00326A2D" w:rsidRDefault="00C95943" w:rsidP="005C42AD">
      <w:pPr>
        <w:pStyle w:val="ListParagraph"/>
        <w:numPr>
          <w:ilvl w:val="0"/>
          <w:numId w:val="9"/>
        </w:numPr>
      </w:pPr>
      <w:r>
        <w:t xml:space="preserve">Better </w:t>
      </w:r>
      <w:r w:rsidR="00665F0A">
        <w:t>p</w:t>
      </w:r>
      <w:r>
        <w:t xml:space="preserve">ublic </w:t>
      </w:r>
      <w:r w:rsidR="00665F0A">
        <w:t>a</w:t>
      </w:r>
      <w:r>
        <w:t xml:space="preserve">dministration. </w:t>
      </w:r>
    </w:p>
    <w:p w14:paraId="696C6E24" w14:textId="0B9950F3" w:rsidR="00326A2D" w:rsidRPr="003D11C0" w:rsidRDefault="00326A2D" w:rsidP="1476765C">
      <w:pPr>
        <w:rPr>
          <w:highlight w:val="yellow"/>
          <w:lang w:val="en-GB"/>
        </w:rPr>
      </w:pPr>
      <w:r w:rsidRPr="1476765C">
        <w:rPr>
          <w:lang w:val="en-GB"/>
        </w:rPr>
        <w:t xml:space="preserve">The mid-term review </w:t>
      </w:r>
      <w:r w:rsidR="00256693" w:rsidRPr="1476765C">
        <w:rPr>
          <w:lang w:val="en-GB"/>
        </w:rPr>
        <w:t xml:space="preserve">(MTR) </w:t>
      </w:r>
      <w:r w:rsidR="00162C1D" w:rsidRPr="1476765C">
        <w:rPr>
          <w:lang w:val="en-GB"/>
        </w:rPr>
        <w:t xml:space="preserve">of PROSIVU </w:t>
      </w:r>
      <w:r w:rsidRPr="1476765C">
        <w:rPr>
          <w:lang w:val="en-GB"/>
        </w:rPr>
        <w:t xml:space="preserve">was undertaken by Abt Associates </w:t>
      </w:r>
      <w:r w:rsidR="00AE19E3" w:rsidRPr="1476765C">
        <w:rPr>
          <w:lang w:val="en-GB"/>
        </w:rPr>
        <w:t>between</w:t>
      </w:r>
      <w:r w:rsidR="00162C1D" w:rsidRPr="1476765C">
        <w:rPr>
          <w:lang w:val="en-GB"/>
        </w:rPr>
        <w:t xml:space="preserve"> </w:t>
      </w:r>
      <w:r w:rsidR="00AE19E3" w:rsidRPr="1476765C">
        <w:rPr>
          <w:lang w:val="en-GB"/>
        </w:rPr>
        <w:t xml:space="preserve">March </w:t>
      </w:r>
      <w:r w:rsidR="00C53605" w:rsidRPr="1476765C">
        <w:rPr>
          <w:lang w:val="en-GB"/>
        </w:rPr>
        <w:t xml:space="preserve">and </w:t>
      </w:r>
      <w:r w:rsidR="00AE19E3" w:rsidRPr="1476765C">
        <w:rPr>
          <w:lang w:val="en-GB"/>
        </w:rPr>
        <w:t>August</w:t>
      </w:r>
      <w:r w:rsidR="003F617B" w:rsidRPr="1476765C">
        <w:rPr>
          <w:lang w:val="en-GB"/>
        </w:rPr>
        <w:t xml:space="preserve"> 2025</w:t>
      </w:r>
      <w:r w:rsidR="36BC2FD6" w:rsidRPr="1476765C">
        <w:rPr>
          <w:lang w:val="en-GB"/>
        </w:rPr>
        <w:t xml:space="preserve"> </w:t>
      </w:r>
      <w:r w:rsidR="00354032" w:rsidRPr="1476765C">
        <w:rPr>
          <w:lang w:val="en-GB"/>
        </w:rPr>
        <w:t>and, assessed</w:t>
      </w:r>
      <w:r w:rsidR="00C53605" w:rsidRPr="1476765C">
        <w:rPr>
          <w:lang w:val="en-GB"/>
        </w:rPr>
        <w:t xml:space="preserve"> </w:t>
      </w:r>
      <w:r w:rsidR="00DE359D" w:rsidRPr="1476765C">
        <w:rPr>
          <w:lang w:val="en-GB"/>
        </w:rPr>
        <w:t xml:space="preserve">the performance of PROSIVU </w:t>
      </w:r>
      <w:r w:rsidR="00C53605" w:rsidRPr="1476765C">
        <w:rPr>
          <w:lang w:val="en-GB"/>
        </w:rPr>
        <w:t xml:space="preserve">providing </w:t>
      </w:r>
      <w:r w:rsidR="00DE359D" w:rsidRPr="1476765C">
        <w:rPr>
          <w:lang w:val="en-GB"/>
        </w:rPr>
        <w:t xml:space="preserve">strategic and operational recommendations </w:t>
      </w:r>
      <w:r w:rsidRPr="1476765C">
        <w:rPr>
          <w:lang w:val="en-GB"/>
        </w:rPr>
        <w:t xml:space="preserve">with an emphasis on identifying changes required for any extension </w:t>
      </w:r>
      <w:r w:rsidR="003F617B" w:rsidRPr="1476765C">
        <w:rPr>
          <w:lang w:val="en-GB"/>
        </w:rPr>
        <w:t>beyond</w:t>
      </w:r>
      <w:r w:rsidRPr="1476765C">
        <w:rPr>
          <w:lang w:val="en-GB"/>
        </w:rPr>
        <w:t xml:space="preserve"> 30 June 2026.  </w:t>
      </w:r>
      <w:r w:rsidR="006D1D82">
        <w:t xml:space="preserve">The review </w:t>
      </w:r>
      <w:r w:rsidR="003D65AE">
        <w:t xml:space="preserve">found that overall </w:t>
      </w:r>
      <w:r w:rsidR="00A42916">
        <w:t>PROSIVU is highly valued by Timor-Leste’s government</w:t>
      </w:r>
      <w:r w:rsidR="00732ED2">
        <w:t>,</w:t>
      </w:r>
      <w:r w:rsidR="00A42916">
        <w:t xml:space="preserve"> and </w:t>
      </w:r>
      <w:r w:rsidR="620BF775">
        <w:t>has been a</w:t>
      </w:r>
      <w:r w:rsidR="00A42916">
        <w:t xml:space="preserve"> flexible, responsive approach to addressing key economic and financial governance issues. </w:t>
      </w:r>
      <w:r w:rsidR="6FDCA792">
        <w:t>Strengths include</w:t>
      </w:r>
      <w:r w:rsidR="1E5528BE">
        <w:t xml:space="preserve"> an ability to pivot quickly to Government priorities; the quality of technical assistance provided; strong brand recogni</w:t>
      </w:r>
      <w:r w:rsidR="2A4BB88C">
        <w:t xml:space="preserve">tion </w:t>
      </w:r>
      <w:r w:rsidR="7B79ADEF">
        <w:t>with Government; and</w:t>
      </w:r>
      <w:r w:rsidR="00A42916">
        <w:t xml:space="preserve"> transparent reporting</w:t>
      </w:r>
      <w:r w:rsidR="729D955B">
        <w:t xml:space="preserve">; </w:t>
      </w:r>
      <w:r w:rsidR="00A42916">
        <w:t xml:space="preserve">ability to adapt, </w:t>
      </w:r>
      <w:r w:rsidR="006D7E83">
        <w:t>al</w:t>
      </w:r>
      <w:r w:rsidR="00A42916">
        <w:t xml:space="preserve">though this flexibility has sometimes led to a lack of strategic coherence. While some outcome areas have shown success, they are largely driven by external factors. </w:t>
      </w:r>
      <w:r w:rsidR="00A42916" w:rsidRPr="009F0261">
        <w:t xml:space="preserve">Challenges include </w:t>
      </w:r>
      <w:r w:rsidR="004C69F9" w:rsidRPr="009F0261">
        <w:t>engagement</w:t>
      </w:r>
      <w:r w:rsidR="00A42916" w:rsidRPr="009F0261">
        <w:t xml:space="preserve"> with key ministries</w:t>
      </w:r>
      <w:r w:rsidR="00A70ED8" w:rsidRPr="009F0261">
        <w:t xml:space="preserve"> including </w:t>
      </w:r>
      <w:r w:rsidR="007652FC" w:rsidRPr="009F0261">
        <w:t xml:space="preserve">progressing decisions from the steering committee, </w:t>
      </w:r>
      <w:r w:rsidR="004C69F9" w:rsidRPr="009F0261">
        <w:t>delays</w:t>
      </w:r>
      <w:r w:rsidR="00A42916" w:rsidRPr="009F0261">
        <w:t xml:space="preserve"> due to shifting government priorities, and the need to reallocate resources effectively. The program’s ambitious goals have increased pressure on delivery teams, and despite its commitment to Gender Equality, Disability, and Social Inclusion (GEDSI), </w:t>
      </w:r>
      <w:r w:rsidR="00694189" w:rsidRPr="009F0261">
        <w:t xml:space="preserve">PROSIVU’s </w:t>
      </w:r>
      <w:r w:rsidR="00A42916" w:rsidRPr="009F0261">
        <w:t>impact in this area has been limited, though recent improvements show promise.</w:t>
      </w:r>
    </w:p>
    <w:p w14:paraId="6F7241EC" w14:textId="65541D5E" w:rsidR="00025606" w:rsidRDefault="00326A2D">
      <w:r w:rsidRPr="001F1AB7">
        <w:rPr>
          <w:lang w:val="en-GB"/>
        </w:rPr>
        <w:t>Of the 20 recommendations, the Department of Foreign Affairs and Trade agrees with 1</w:t>
      </w:r>
      <w:r w:rsidR="078E9B1F" w:rsidRPr="001F1AB7">
        <w:rPr>
          <w:lang w:val="en-GB"/>
        </w:rPr>
        <w:t>9</w:t>
      </w:r>
      <w:r w:rsidRPr="001F1AB7">
        <w:rPr>
          <w:lang w:val="en-GB"/>
        </w:rPr>
        <w:t xml:space="preserve"> recommendations and does not agree with one. </w:t>
      </w:r>
    </w:p>
    <w:p w14:paraId="69F2F170" w14:textId="26ED165C" w:rsidR="00025606" w:rsidRDefault="00326A2D">
      <w:r w:rsidRPr="009F0261">
        <w:rPr>
          <w:lang w:val="en-GB"/>
        </w:rPr>
        <w:t>Sin</w:t>
      </w:r>
      <w:r w:rsidRPr="5DAD0C72">
        <w:rPr>
          <w:lang w:val="en-GB"/>
        </w:rPr>
        <w:t xml:space="preserve">ce the MTR and recommendations were </w:t>
      </w:r>
      <w:r w:rsidR="00A47F66" w:rsidRPr="5DAD0C72">
        <w:rPr>
          <w:lang w:val="en-GB"/>
        </w:rPr>
        <w:t>presented</w:t>
      </w:r>
      <w:r w:rsidRPr="5DAD0C72">
        <w:rPr>
          <w:lang w:val="en-GB"/>
        </w:rPr>
        <w:t xml:space="preserve">, </w:t>
      </w:r>
      <w:r w:rsidR="64A3FB8A" w:rsidRPr="5DAD0C72">
        <w:rPr>
          <w:lang w:val="en-GB"/>
        </w:rPr>
        <w:t>advice has been received from Canberra that contract ceilings will remain f</w:t>
      </w:r>
      <w:r w:rsidR="1A801B41" w:rsidRPr="5DAD0C72">
        <w:rPr>
          <w:lang w:val="en-GB"/>
        </w:rPr>
        <w:t>i</w:t>
      </w:r>
      <w:r w:rsidR="64A3FB8A" w:rsidRPr="5DAD0C72">
        <w:rPr>
          <w:lang w:val="en-GB"/>
        </w:rPr>
        <w:t xml:space="preserve">xed – </w:t>
      </w:r>
      <w:r w:rsidR="2773AD77" w:rsidRPr="5DAD0C72">
        <w:rPr>
          <w:lang w:val="en-GB"/>
        </w:rPr>
        <w:t>with no option for increases through amendment</w:t>
      </w:r>
      <w:r w:rsidR="7E0AD543" w:rsidRPr="5DAD0C72">
        <w:rPr>
          <w:lang w:val="en-GB"/>
        </w:rPr>
        <w:t xml:space="preserve"> despite the program taking on new activities that </w:t>
      </w:r>
      <w:r w:rsidR="3FAC6E49" w:rsidRPr="5DAD0C72">
        <w:rPr>
          <w:lang w:val="en-GB"/>
        </w:rPr>
        <w:t xml:space="preserve">were consistent with </w:t>
      </w:r>
      <w:r w:rsidR="7E0AD543" w:rsidRPr="5DAD0C72">
        <w:rPr>
          <w:lang w:val="en-GB"/>
        </w:rPr>
        <w:t>P</w:t>
      </w:r>
      <w:r w:rsidR="007556C1">
        <w:rPr>
          <w:lang w:val="en-GB"/>
        </w:rPr>
        <w:t>ROSIVU</w:t>
      </w:r>
      <w:r w:rsidR="7E0AD543" w:rsidRPr="5DAD0C72">
        <w:rPr>
          <w:lang w:val="en-GB"/>
        </w:rPr>
        <w:t>’s original goal</w:t>
      </w:r>
      <w:r w:rsidR="4F2499D1" w:rsidRPr="5DAD0C72">
        <w:rPr>
          <w:lang w:val="en-GB"/>
        </w:rPr>
        <w:t>s</w:t>
      </w:r>
      <w:r w:rsidR="7E0AD543" w:rsidRPr="5DAD0C72">
        <w:rPr>
          <w:lang w:val="en-GB"/>
        </w:rPr>
        <w:t xml:space="preserve"> </w:t>
      </w:r>
      <w:r w:rsidR="09CBAE67" w:rsidRPr="5DAD0C72">
        <w:rPr>
          <w:lang w:val="en-GB"/>
        </w:rPr>
        <w:t>a</w:t>
      </w:r>
      <w:r w:rsidR="7E0AD543" w:rsidRPr="5DAD0C72">
        <w:rPr>
          <w:lang w:val="en-GB"/>
        </w:rPr>
        <w:t>nd object</w:t>
      </w:r>
      <w:r w:rsidR="2852AA4C" w:rsidRPr="5DAD0C72">
        <w:rPr>
          <w:lang w:val="en-GB"/>
        </w:rPr>
        <w:t>i</w:t>
      </w:r>
      <w:r w:rsidR="7E0AD543" w:rsidRPr="5DAD0C72">
        <w:rPr>
          <w:lang w:val="en-GB"/>
        </w:rPr>
        <w:t xml:space="preserve">ves but </w:t>
      </w:r>
      <w:r w:rsidR="5BD11C0B" w:rsidRPr="5DAD0C72">
        <w:rPr>
          <w:lang w:val="en-GB"/>
        </w:rPr>
        <w:t>weren't</w:t>
      </w:r>
      <w:r w:rsidR="7E0AD543" w:rsidRPr="5DAD0C72">
        <w:rPr>
          <w:lang w:val="en-GB"/>
        </w:rPr>
        <w:t xml:space="preserve"> </w:t>
      </w:r>
      <w:r w:rsidR="73881C48" w:rsidRPr="5DAD0C72">
        <w:rPr>
          <w:lang w:val="en-GB"/>
        </w:rPr>
        <w:t>provided for in the original design and budget</w:t>
      </w:r>
      <w:r w:rsidR="00477885" w:rsidRPr="5DAD0C72">
        <w:rPr>
          <w:lang w:val="en-GB"/>
        </w:rPr>
        <w:t>.</w:t>
      </w:r>
      <w:r w:rsidR="2773AD77" w:rsidRPr="5DAD0C72">
        <w:rPr>
          <w:lang w:val="en-GB"/>
        </w:rPr>
        <w:t xml:space="preserve"> As a result</w:t>
      </w:r>
      <w:r w:rsidR="00256693" w:rsidRPr="5DAD0C72">
        <w:rPr>
          <w:lang w:val="en-GB"/>
        </w:rPr>
        <w:t>,</w:t>
      </w:r>
      <w:r w:rsidR="2773AD77" w:rsidRPr="5DAD0C72">
        <w:rPr>
          <w:lang w:val="en-GB"/>
        </w:rPr>
        <w:t xml:space="preserve"> the </w:t>
      </w:r>
      <w:r w:rsidR="575A070B" w:rsidRPr="5DAD0C72">
        <w:rPr>
          <w:lang w:val="en-GB"/>
        </w:rPr>
        <w:t xml:space="preserve">anticipated </w:t>
      </w:r>
      <w:r w:rsidRPr="5DAD0C72">
        <w:rPr>
          <w:lang w:val="en-GB"/>
        </w:rPr>
        <w:t>four years for</w:t>
      </w:r>
      <w:r w:rsidR="59B62514" w:rsidRPr="5DAD0C72">
        <w:rPr>
          <w:lang w:val="en-GB"/>
        </w:rPr>
        <w:t xml:space="preserve"> the second phase of P</w:t>
      </w:r>
      <w:r w:rsidR="048A1649" w:rsidRPr="5DAD0C72">
        <w:rPr>
          <w:lang w:val="en-GB"/>
        </w:rPr>
        <w:t>R</w:t>
      </w:r>
      <w:r w:rsidR="59B62514" w:rsidRPr="5DAD0C72">
        <w:rPr>
          <w:lang w:val="en-GB"/>
        </w:rPr>
        <w:t>OSIVU</w:t>
      </w:r>
      <w:r w:rsidR="71D0BC55" w:rsidRPr="5DAD0C72">
        <w:rPr>
          <w:lang w:val="en-GB"/>
        </w:rPr>
        <w:t xml:space="preserve"> </w:t>
      </w:r>
      <w:r w:rsidR="002877FA" w:rsidRPr="5DAD0C72">
        <w:rPr>
          <w:lang w:val="en-GB"/>
        </w:rPr>
        <w:t>(</w:t>
      </w:r>
      <w:r w:rsidR="71D0BC55" w:rsidRPr="5DAD0C72">
        <w:rPr>
          <w:lang w:val="en-GB"/>
        </w:rPr>
        <w:t xml:space="preserve">from </w:t>
      </w:r>
      <w:r w:rsidR="007C67FF">
        <w:rPr>
          <w:lang w:val="en-GB"/>
        </w:rPr>
        <w:t xml:space="preserve">July </w:t>
      </w:r>
      <w:r w:rsidR="71D0BC55" w:rsidRPr="5DAD0C72">
        <w:rPr>
          <w:lang w:val="en-GB"/>
        </w:rPr>
        <w:t>2026</w:t>
      </w:r>
      <w:r w:rsidR="002877FA" w:rsidRPr="5DAD0C72">
        <w:rPr>
          <w:lang w:val="en-GB"/>
        </w:rPr>
        <w:t>)</w:t>
      </w:r>
      <w:r w:rsidRPr="5DAD0C72">
        <w:rPr>
          <w:lang w:val="en-GB"/>
        </w:rPr>
        <w:t xml:space="preserve"> will be two years </w:t>
      </w:r>
      <w:r w:rsidR="570264B6" w:rsidRPr="5DAD0C72">
        <w:rPr>
          <w:lang w:val="en-GB"/>
        </w:rPr>
        <w:t xml:space="preserve">(to </w:t>
      </w:r>
      <w:r w:rsidR="00477885" w:rsidRPr="5DAD0C72">
        <w:rPr>
          <w:lang w:val="en-GB"/>
        </w:rPr>
        <w:t>June</w:t>
      </w:r>
      <w:r w:rsidR="606F1714" w:rsidRPr="5DAD0C72">
        <w:rPr>
          <w:lang w:val="en-GB"/>
        </w:rPr>
        <w:t xml:space="preserve"> </w:t>
      </w:r>
      <w:r w:rsidR="570264B6" w:rsidRPr="5DAD0C72">
        <w:rPr>
          <w:lang w:val="en-GB"/>
        </w:rPr>
        <w:t xml:space="preserve">2028) </w:t>
      </w:r>
      <w:r w:rsidR="18D4D21D" w:rsidRPr="5DAD0C72">
        <w:rPr>
          <w:lang w:val="en-GB"/>
        </w:rPr>
        <w:t xml:space="preserve">and activities </w:t>
      </w:r>
      <w:r w:rsidR="18D4D21D" w:rsidRPr="5DAD0C72">
        <w:rPr>
          <w:lang w:val="en-GB"/>
        </w:rPr>
        <w:lastRenderedPageBreak/>
        <w:t>adjusted accordingly. The responses to the MTR</w:t>
      </w:r>
      <w:r w:rsidR="0BED1137" w:rsidRPr="5DAD0C72">
        <w:rPr>
          <w:lang w:val="en-GB"/>
        </w:rPr>
        <w:t xml:space="preserve"> reflect the amended, reduced timeframe for activities</w:t>
      </w:r>
      <w:r w:rsidR="7FB1836E" w:rsidRPr="5DAD0C72">
        <w:rPr>
          <w:lang w:val="en-GB"/>
        </w:rPr>
        <w:t xml:space="preserve"> which have been adjusted accordingly</w:t>
      </w:r>
      <w:r w:rsidR="0BED1137" w:rsidRPr="5DAD0C72">
        <w:rPr>
          <w:lang w:val="en-GB"/>
        </w:rPr>
        <w:t xml:space="preserve">. </w:t>
      </w:r>
      <w:r>
        <w:t xml:space="preserve">In </w:t>
      </w:r>
      <w:proofErr w:type="gramStart"/>
      <w:r w:rsidR="00E01F9A">
        <w:t>responding</w:t>
      </w:r>
      <w:proofErr w:type="gramEnd"/>
      <w:r w:rsidR="00E01F9A">
        <w:t xml:space="preserve"> to</w:t>
      </w:r>
      <w:r>
        <w:t xml:space="preserve"> the MTR, PROSIVU has </w:t>
      </w:r>
      <w:r w:rsidR="1A6F7BA7">
        <w:t>commenced work</w:t>
      </w:r>
      <w:r w:rsidR="00477885">
        <w:t xml:space="preserve"> </w:t>
      </w:r>
      <w:r>
        <w:t xml:space="preserve">to address </w:t>
      </w:r>
      <w:r w:rsidR="1DCDE3E0">
        <w:t xml:space="preserve">agreed </w:t>
      </w:r>
      <w:r>
        <w:t>recommendations</w:t>
      </w:r>
      <w:r w:rsidR="390E7F83">
        <w:t xml:space="preserve"> with a focus on </w:t>
      </w:r>
      <w:r>
        <w:t>complet</w:t>
      </w:r>
      <w:r w:rsidR="089F3C0D">
        <w:t xml:space="preserve">ing </w:t>
      </w:r>
      <w:r w:rsidR="4ABB4065">
        <w:t xml:space="preserve">the remaining </w:t>
      </w:r>
      <w:r w:rsidR="686CCD44">
        <w:t xml:space="preserve">activities </w:t>
      </w:r>
      <w:r w:rsidR="4ABB4065">
        <w:t xml:space="preserve">through the </w:t>
      </w:r>
      <w:r>
        <w:t>design update process</w:t>
      </w:r>
      <w:r w:rsidR="2A197E67">
        <w:t xml:space="preserve"> which is </w:t>
      </w:r>
      <w:r w:rsidR="00764199">
        <w:t xml:space="preserve">expected to </w:t>
      </w:r>
      <w:r w:rsidR="34AB22BF">
        <w:t xml:space="preserve">take place </w:t>
      </w:r>
      <w:r>
        <w:t>prior to the next phase in July 2026.   </w:t>
      </w:r>
    </w:p>
    <w:p w14:paraId="2339F79C" w14:textId="705EDDE4" w:rsidR="00F52F28" w:rsidRPr="00B26973" w:rsidRDefault="00F52F28" w:rsidP="00B26973">
      <w:pPr>
        <w:pStyle w:val="Heading2"/>
      </w:pPr>
      <w:r w:rsidRPr="00B26973">
        <w:t xml:space="preserve">Strategic </w:t>
      </w:r>
    </w:p>
    <w:tbl>
      <w:tblPr>
        <w:tblStyle w:val="TableGrid"/>
        <w:tblW w:w="14029" w:type="dxa"/>
        <w:tblLook w:val="04A0" w:firstRow="1" w:lastRow="0" w:firstColumn="1" w:lastColumn="0" w:noHBand="0" w:noVBand="1"/>
      </w:tblPr>
      <w:tblGrid>
        <w:gridCol w:w="3823"/>
        <w:gridCol w:w="1275"/>
        <w:gridCol w:w="3969"/>
        <w:gridCol w:w="3261"/>
        <w:gridCol w:w="1701"/>
      </w:tblGrid>
      <w:tr w:rsidR="00FA58A9" w:rsidRPr="00110906" w14:paraId="3A5B03A3" w14:textId="369D9DF7" w:rsidTr="00B26973">
        <w:trPr>
          <w:tblHeader/>
        </w:trPr>
        <w:tc>
          <w:tcPr>
            <w:tcW w:w="3823" w:type="dxa"/>
            <w:shd w:val="clear" w:color="auto" w:fill="FFFFFF" w:themeFill="background1"/>
          </w:tcPr>
          <w:p w14:paraId="4213C0CC" w14:textId="3DCB0F7F" w:rsidR="00FA58A9" w:rsidRPr="00F52F28" w:rsidRDefault="00FA58A9">
            <w:pPr>
              <w:rPr>
                <w:rFonts w:ascii="Calibri" w:hAnsi="Calibri" w:cs="Calibri"/>
                <w:b/>
                <w:bCs/>
              </w:rPr>
            </w:pPr>
            <w:r w:rsidRPr="00F52F28">
              <w:rPr>
                <w:rFonts w:ascii="Calibri" w:hAnsi="Calibri" w:cs="Calibri"/>
                <w:b/>
                <w:bCs/>
              </w:rPr>
              <w:t>Recommendations</w:t>
            </w:r>
          </w:p>
        </w:tc>
        <w:tc>
          <w:tcPr>
            <w:tcW w:w="1275" w:type="dxa"/>
            <w:shd w:val="clear" w:color="auto" w:fill="FFFFFF" w:themeFill="background1"/>
          </w:tcPr>
          <w:p w14:paraId="0AD82A9A" w14:textId="74FAB293" w:rsidR="00FA58A9" w:rsidRPr="00F52F28" w:rsidRDefault="00FA58A9">
            <w:pPr>
              <w:rPr>
                <w:rFonts w:ascii="Calibri" w:hAnsi="Calibri" w:cs="Calibri"/>
                <w:b/>
                <w:bCs/>
              </w:rPr>
            </w:pPr>
            <w:r w:rsidRPr="00F52F28">
              <w:rPr>
                <w:rFonts w:ascii="Calibri" w:hAnsi="Calibri" w:cs="Calibri"/>
                <w:b/>
                <w:bCs/>
              </w:rPr>
              <w:t>Response</w:t>
            </w:r>
          </w:p>
        </w:tc>
        <w:tc>
          <w:tcPr>
            <w:tcW w:w="3969" w:type="dxa"/>
            <w:shd w:val="clear" w:color="auto" w:fill="FFFFFF" w:themeFill="background1"/>
          </w:tcPr>
          <w:p w14:paraId="21E71D47" w14:textId="6C0C8D6E" w:rsidR="00FA58A9" w:rsidRPr="00F52F28" w:rsidRDefault="00FA58A9">
            <w:pPr>
              <w:rPr>
                <w:rFonts w:ascii="Calibri" w:hAnsi="Calibri" w:cs="Calibri"/>
                <w:b/>
                <w:bCs/>
              </w:rPr>
            </w:pPr>
            <w:r w:rsidRPr="00F52F28">
              <w:rPr>
                <w:rFonts w:ascii="Calibri" w:hAnsi="Calibri" w:cs="Calibri"/>
                <w:b/>
                <w:bCs/>
              </w:rPr>
              <w:t>DFAT Comment</w:t>
            </w:r>
          </w:p>
        </w:tc>
        <w:tc>
          <w:tcPr>
            <w:tcW w:w="3261" w:type="dxa"/>
            <w:shd w:val="clear" w:color="auto" w:fill="FFFFFF" w:themeFill="background1"/>
          </w:tcPr>
          <w:p w14:paraId="04A016CE" w14:textId="19C00C45" w:rsidR="00FA58A9" w:rsidRPr="00F52F28" w:rsidRDefault="00FA58A9">
            <w:pPr>
              <w:rPr>
                <w:rFonts w:ascii="Calibri" w:hAnsi="Calibri" w:cs="Calibri"/>
                <w:b/>
                <w:bCs/>
              </w:rPr>
            </w:pPr>
            <w:r w:rsidRPr="00F52F28">
              <w:rPr>
                <w:rFonts w:ascii="Calibri" w:hAnsi="Calibri" w:cs="Calibri"/>
                <w:b/>
                <w:bCs/>
              </w:rPr>
              <w:t>Proposed Actions</w:t>
            </w:r>
          </w:p>
        </w:tc>
        <w:tc>
          <w:tcPr>
            <w:tcW w:w="1701" w:type="dxa"/>
            <w:shd w:val="clear" w:color="auto" w:fill="FFFFFF" w:themeFill="background1"/>
          </w:tcPr>
          <w:p w14:paraId="57C1EEE3" w14:textId="5D178135" w:rsidR="00FA58A9" w:rsidRPr="00F52F28" w:rsidRDefault="00FA58A9">
            <w:pPr>
              <w:rPr>
                <w:rFonts w:ascii="Calibri" w:hAnsi="Calibri" w:cs="Calibri"/>
                <w:b/>
                <w:bCs/>
              </w:rPr>
            </w:pPr>
            <w:r w:rsidRPr="00F52F28">
              <w:rPr>
                <w:rFonts w:ascii="Calibri" w:hAnsi="Calibri" w:cs="Calibri"/>
                <w:b/>
                <w:bCs/>
              </w:rPr>
              <w:t>Timeframe</w:t>
            </w:r>
          </w:p>
        </w:tc>
      </w:tr>
      <w:tr w:rsidR="00FA58A9" w:rsidRPr="00110906" w14:paraId="306E4032" w14:textId="65A2A3A6" w:rsidTr="5DAD0C72">
        <w:tc>
          <w:tcPr>
            <w:tcW w:w="3823" w:type="dxa"/>
          </w:tcPr>
          <w:p w14:paraId="50A74BB2" w14:textId="55161EB2" w:rsidR="00FA58A9" w:rsidRPr="00132C76" w:rsidRDefault="00FA58A9" w:rsidP="007A5A1A">
            <w:pPr>
              <w:pStyle w:val="ListParagraph"/>
              <w:numPr>
                <w:ilvl w:val="0"/>
                <w:numId w:val="1"/>
              </w:numPr>
              <w:ind w:left="335" w:hanging="335"/>
              <w:rPr>
                <w:rFonts w:cs="Calibri"/>
                <w:sz w:val="22"/>
                <w:szCs w:val="22"/>
              </w:rPr>
            </w:pPr>
            <w:r w:rsidRPr="00132C76">
              <w:rPr>
                <w:rFonts w:eastAsia="Calibri" w:cs="Calibri"/>
                <w:sz w:val="22"/>
                <w:szCs w:val="22"/>
                <w:lang w:eastAsia="en-AU"/>
              </w:rPr>
              <w:t>Draft a Theory of Change (</w:t>
            </w:r>
            <w:proofErr w:type="spellStart"/>
            <w:r w:rsidRPr="00132C76">
              <w:rPr>
                <w:rFonts w:eastAsia="Calibri" w:cs="Calibri"/>
                <w:sz w:val="22"/>
                <w:szCs w:val="22"/>
                <w:lang w:eastAsia="en-AU"/>
              </w:rPr>
              <w:t>ToC</w:t>
            </w:r>
            <w:proofErr w:type="spellEnd"/>
            <w:r w:rsidRPr="00132C76">
              <w:rPr>
                <w:rFonts w:eastAsia="Calibri" w:cs="Calibri"/>
                <w:sz w:val="22"/>
                <w:szCs w:val="22"/>
                <w:lang w:eastAsia="en-AU"/>
              </w:rPr>
              <w:t xml:space="preserve">) for the overall investment and individual </w:t>
            </w:r>
            <w:proofErr w:type="spellStart"/>
            <w:r w:rsidRPr="00132C76">
              <w:rPr>
                <w:rFonts w:eastAsia="Calibri" w:cs="Calibri"/>
                <w:sz w:val="22"/>
                <w:szCs w:val="22"/>
                <w:lang w:eastAsia="en-AU"/>
              </w:rPr>
              <w:t>ToC</w:t>
            </w:r>
            <w:proofErr w:type="spellEnd"/>
            <w:r w:rsidRPr="00132C76">
              <w:rPr>
                <w:rFonts w:eastAsia="Calibri" w:cs="Calibri"/>
                <w:sz w:val="22"/>
                <w:szCs w:val="22"/>
                <w:lang w:eastAsia="en-AU"/>
              </w:rPr>
              <w:t xml:space="preserve"> for each Pillar as an immediate priority.</w:t>
            </w:r>
          </w:p>
        </w:tc>
        <w:tc>
          <w:tcPr>
            <w:tcW w:w="1275" w:type="dxa"/>
          </w:tcPr>
          <w:p w14:paraId="3D0FD071" w14:textId="5FA65484" w:rsidR="00FA58A9" w:rsidRPr="00132C76" w:rsidRDefault="550FD21A">
            <w:pPr>
              <w:rPr>
                <w:rFonts w:cs="Calibri"/>
                <w:sz w:val="22"/>
                <w:szCs w:val="22"/>
              </w:rPr>
            </w:pPr>
            <w:r w:rsidRPr="1476765C">
              <w:rPr>
                <w:rFonts w:cs="Calibri"/>
                <w:sz w:val="22"/>
                <w:szCs w:val="22"/>
              </w:rPr>
              <w:t xml:space="preserve">Agree </w:t>
            </w:r>
          </w:p>
        </w:tc>
        <w:tc>
          <w:tcPr>
            <w:tcW w:w="3969" w:type="dxa"/>
          </w:tcPr>
          <w:p w14:paraId="22BC64A8" w14:textId="565114AE" w:rsidR="00FA58A9" w:rsidRPr="00132C76" w:rsidRDefault="00FA58A9">
            <w:pPr>
              <w:rPr>
                <w:rFonts w:cs="Calibri"/>
                <w:sz w:val="22"/>
                <w:szCs w:val="22"/>
              </w:rPr>
            </w:pPr>
            <w:r w:rsidRPr="00110906">
              <w:rPr>
                <w:rFonts w:cs="Calibri"/>
                <w:sz w:val="22"/>
                <w:szCs w:val="22"/>
              </w:rPr>
              <w:t xml:space="preserve">The design update will include developing a narrative </w:t>
            </w:r>
            <w:proofErr w:type="spellStart"/>
            <w:r w:rsidRPr="00F50941">
              <w:rPr>
                <w:rFonts w:cs="Calibri"/>
                <w:sz w:val="22"/>
                <w:szCs w:val="22"/>
              </w:rPr>
              <w:t>ToC</w:t>
            </w:r>
            <w:proofErr w:type="spellEnd"/>
            <w:r w:rsidRPr="00F50941">
              <w:rPr>
                <w:rFonts w:cs="Calibri"/>
                <w:sz w:val="22"/>
                <w:szCs w:val="22"/>
              </w:rPr>
              <w:t xml:space="preserve"> </w:t>
            </w:r>
            <w:r w:rsidRPr="00110906">
              <w:rPr>
                <w:rFonts w:cs="Calibri"/>
                <w:sz w:val="22"/>
                <w:szCs w:val="22"/>
              </w:rPr>
              <w:t>that draws together the design and implementation to date</w:t>
            </w:r>
            <w:r w:rsidRPr="00F50941">
              <w:rPr>
                <w:rFonts w:cs="Calibri"/>
                <w:sz w:val="22"/>
                <w:szCs w:val="22"/>
              </w:rPr>
              <w:t xml:space="preserve">, with </w:t>
            </w:r>
            <w:r w:rsidRPr="00110906">
              <w:rPr>
                <w:rFonts w:cs="Calibri"/>
                <w:sz w:val="22"/>
                <w:szCs w:val="22"/>
              </w:rPr>
              <w:t xml:space="preserve">a full </w:t>
            </w:r>
            <w:proofErr w:type="spellStart"/>
            <w:r w:rsidRPr="00F50941">
              <w:rPr>
                <w:rFonts w:cs="Calibri"/>
                <w:sz w:val="22"/>
                <w:szCs w:val="22"/>
              </w:rPr>
              <w:t>ToC</w:t>
            </w:r>
            <w:proofErr w:type="spellEnd"/>
            <w:r w:rsidRPr="00F50941">
              <w:rPr>
                <w:rFonts w:cs="Calibri"/>
                <w:sz w:val="22"/>
                <w:szCs w:val="22"/>
              </w:rPr>
              <w:t xml:space="preserve"> to be</w:t>
            </w:r>
            <w:r w:rsidRPr="00110906">
              <w:rPr>
                <w:rFonts w:cs="Calibri"/>
                <w:sz w:val="22"/>
                <w:szCs w:val="22"/>
              </w:rPr>
              <w:t xml:space="preserve"> developed for Phase 2.</w:t>
            </w:r>
          </w:p>
        </w:tc>
        <w:tc>
          <w:tcPr>
            <w:tcW w:w="3261" w:type="dxa"/>
          </w:tcPr>
          <w:p w14:paraId="0385D20D" w14:textId="7F933B50" w:rsidR="00FA58A9" w:rsidRPr="00132C76" w:rsidRDefault="00FA58A9">
            <w:pPr>
              <w:rPr>
                <w:rFonts w:cs="Calibri"/>
                <w:sz w:val="22"/>
                <w:szCs w:val="22"/>
              </w:rPr>
            </w:pPr>
            <w:r w:rsidRPr="00132C76">
              <w:rPr>
                <w:rFonts w:cs="Calibri"/>
                <w:sz w:val="22"/>
                <w:szCs w:val="22"/>
              </w:rPr>
              <w:t xml:space="preserve">DFAT to work with PROSIVU to contract support during the design update to include a new </w:t>
            </w:r>
            <w:proofErr w:type="spellStart"/>
            <w:r w:rsidRPr="00132C76">
              <w:rPr>
                <w:rFonts w:cs="Calibri"/>
                <w:sz w:val="22"/>
                <w:szCs w:val="22"/>
              </w:rPr>
              <w:t>ToC</w:t>
            </w:r>
            <w:proofErr w:type="spellEnd"/>
            <w:r w:rsidRPr="00132C76">
              <w:rPr>
                <w:rFonts w:cs="Calibri"/>
                <w:sz w:val="22"/>
                <w:szCs w:val="22"/>
              </w:rPr>
              <w:t xml:space="preserve"> for Phase 2 covering two years (2026-2028). </w:t>
            </w:r>
          </w:p>
        </w:tc>
        <w:tc>
          <w:tcPr>
            <w:tcW w:w="1701" w:type="dxa"/>
          </w:tcPr>
          <w:p w14:paraId="2B6D06F3" w14:textId="492CBBF7" w:rsidR="00FA58A9" w:rsidRPr="00132C76" w:rsidRDefault="00FA58A9">
            <w:pPr>
              <w:rPr>
                <w:rFonts w:cs="Calibri"/>
                <w:sz w:val="22"/>
                <w:szCs w:val="22"/>
              </w:rPr>
            </w:pPr>
            <w:r>
              <w:rPr>
                <w:rFonts w:cs="Calibri"/>
                <w:sz w:val="22"/>
                <w:szCs w:val="22"/>
              </w:rPr>
              <w:t>March 2026</w:t>
            </w:r>
          </w:p>
        </w:tc>
      </w:tr>
      <w:tr w:rsidR="00FA58A9" w:rsidRPr="00110906" w14:paraId="0CB0B866" w14:textId="08F10455" w:rsidTr="5DAD0C72">
        <w:tc>
          <w:tcPr>
            <w:tcW w:w="3823" w:type="dxa"/>
          </w:tcPr>
          <w:p w14:paraId="10A19CBA" w14:textId="791A5A3A" w:rsidR="00FA58A9" w:rsidRPr="00132C76" w:rsidRDefault="00FA58A9" w:rsidP="007A5A1A">
            <w:pPr>
              <w:pStyle w:val="ListParagraph"/>
              <w:numPr>
                <w:ilvl w:val="0"/>
                <w:numId w:val="1"/>
              </w:numPr>
              <w:ind w:left="335" w:hanging="335"/>
              <w:rPr>
                <w:rFonts w:cs="Calibri"/>
                <w:sz w:val="22"/>
                <w:szCs w:val="22"/>
              </w:rPr>
            </w:pPr>
            <w:r w:rsidRPr="00132C76">
              <w:rPr>
                <w:rFonts w:eastAsia="Calibri" w:cs="Calibri"/>
                <w:sz w:val="22"/>
                <w:szCs w:val="22"/>
                <w:lang w:eastAsia="en-AU"/>
              </w:rPr>
              <w:t>DFAT should consider whether it wants to continue its strategy of ‘responsiveness and flexibility” or switch to one of ‘focus and finesse’.</w:t>
            </w:r>
          </w:p>
        </w:tc>
        <w:tc>
          <w:tcPr>
            <w:tcW w:w="1275" w:type="dxa"/>
          </w:tcPr>
          <w:p w14:paraId="230647E4" w14:textId="6D2E0B80" w:rsidR="00FA58A9" w:rsidRPr="00132C76" w:rsidRDefault="00FA58A9">
            <w:pPr>
              <w:rPr>
                <w:rFonts w:cs="Calibri"/>
                <w:sz w:val="22"/>
                <w:szCs w:val="22"/>
              </w:rPr>
            </w:pPr>
            <w:r w:rsidRPr="6ED18E86">
              <w:rPr>
                <w:rFonts w:cs="Calibri"/>
                <w:sz w:val="22"/>
                <w:szCs w:val="22"/>
              </w:rPr>
              <w:t xml:space="preserve">Agree </w:t>
            </w:r>
          </w:p>
        </w:tc>
        <w:tc>
          <w:tcPr>
            <w:tcW w:w="3969" w:type="dxa"/>
          </w:tcPr>
          <w:p w14:paraId="55986E0C" w14:textId="55CEEF63" w:rsidR="00FA58A9" w:rsidRPr="00132C76" w:rsidRDefault="550FD21A" w:rsidP="1A30C5AC">
            <w:pPr>
              <w:rPr>
                <w:rFonts w:cs="Calibri"/>
                <w:sz w:val="22"/>
                <w:szCs w:val="22"/>
              </w:rPr>
            </w:pPr>
            <w:r w:rsidRPr="1476765C">
              <w:rPr>
                <w:rFonts w:cs="Calibri"/>
                <w:sz w:val="22"/>
                <w:szCs w:val="22"/>
              </w:rPr>
              <w:t xml:space="preserve">DFAT notes that the program has taken on </w:t>
            </w:r>
            <w:proofErr w:type="gramStart"/>
            <w:r w:rsidR="588F24E4" w:rsidRPr="1476765C">
              <w:rPr>
                <w:rFonts w:cs="Calibri"/>
                <w:sz w:val="22"/>
                <w:szCs w:val="22"/>
              </w:rPr>
              <w:t>a number of</w:t>
            </w:r>
            <w:proofErr w:type="gramEnd"/>
            <w:r w:rsidR="588F24E4" w:rsidRPr="1476765C">
              <w:rPr>
                <w:rFonts w:cs="Calibri"/>
                <w:sz w:val="22"/>
                <w:szCs w:val="22"/>
              </w:rPr>
              <w:t xml:space="preserve"> </w:t>
            </w:r>
            <w:r w:rsidRPr="1476765C">
              <w:rPr>
                <w:rFonts w:cs="Calibri"/>
                <w:sz w:val="22"/>
                <w:szCs w:val="22"/>
              </w:rPr>
              <w:t>new initiatives over time – with some less aligned with end of program outcomes than other</w:t>
            </w:r>
            <w:r w:rsidR="6F2B9080" w:rsidRPr="1476765C">
              <w:rPr>
                <w:rFonts w:cs="Calibri"/>
                <w:sz w:val="22"/>
                <w:szCs w:val="22"/>
              </w:rPr>
              <w:t>s following GoTL requests</w:t>
            </w:r>
            <w:r w:rsidRPr="1476765C">
              <w:rPr>
                <w:rFonts w:cs="Calibri"/>
                <w:sz w:val="22"/>
                <w:szCs w:val="22"/>
              </w:rPr>
              <w:t xml:space="preserve">. </w:t>
            </w:r>
          </w:p>
          <w:p w14:paraId="4300B1C5" w14:textId="2BFA07BF" w:rsidR="00FA58A9" w:rsidRPr="00132C76" w:rsidRDefault="550FD21A">
            <w:pPr>
              <w:rPr>
                <w:rFonts w:cs="Calibri"/>
                <w:sz w:val="22"/>
                <w:szCs w:val="22"/>
              </w:rPr>
            </w:pPr>
            <w:r w:rsidRPr="1476765C">
              <w:rPr>
                <w:rFonts w:cs="Calibri"/>
                <w:sz w:val="22"/>
                <w:szCs w:val="22"/>
              </w:rPr>
              <w:t>Ensuring the program remains focused and within contract ceilings is critical going forward</w:t>
            </w:r>
            <w:r w:rsidR="084A7D74" w:rsidRPr="1476765C">
              <w:rPr>
                <w:rFonts w:cs="Calibri"/>
                <w:sz w:val="22"/>
                <w:szCs w:val="22"/>
              </w:rPr>
              <w:t xml:space="preserve">. This </w:t>
            </w:r>
            <w:r w:rsidR="1A60BBEB" w:rsidRPr="1476765C">
              <w:rPr>
                <w:rFonts w:cs="Calibri"/>
                <w:sz w:val="22"/>
                <w:szCs w:val="22"/>
              </w:rPr>
              <w:t xml:space="preserve">will </w:t>
            </w:r>
            <w:r w:rsidR="084A7D74" w:rsidRPr="1476765C">
              <w:rPr>
                <w:rFonts w:cs="Calibri"/>
                <w:sz w:val="22"/>
                <w:szCs w:val="22"/>
              </w:rPr>
              <w:t xml:space="preserve">not allow </w:t>
            </w:r>
            <w:r w:rsidRPr="1476765C">
              <w:rPr>
                <w:rFonts w:cs="Calibri"/>
                <w:sz w:val="22"/>
                <w:szCs w:val="22"/>
              </w:rPr>
              <w:t>for additional activities to be included going forward. A renewed emphasis on ensuring activities are aligned to pillar objectives will be considered during the design update, to ensure the program remains fit for purpose</w:t>
            </w:r>
            <w:r w:rsidR="1FF9B437" w:rsidRPr="1476765C">
              <w:rPr>
                <w:rFonts w:cs="Calibri"/>
                <w:sz w:val="22"/>
                <w:szCs w:val="22"/>
              </w:rPr>
              <w:t xml:space="preserve"> and focussed</w:t>
            </w:r>
            <w:r w:rsidRPr="1476765C">
              <w:rPr>
                <w:rFonts w:cs="Calibri"/>
                <w:sz w:val="22"/>
                <w:szCs w:val="22"/>
              </w:rPr>
              <w:t xml:space="preserve">.     </w:t>
            </w:r>
          </w:p>
        </w:tc>
        <w:tc>
          <w:tcPr>
            <w:tcW w:w="3261" w:type="dxa"/>
          </w:tcPr>
          <w:p w14:paraId="56A83EBB" w14:textId="2CB2170E" w:rsidR="00FA58A9" w:rsidRPr="00132C76" w:rsidRDefault="550FD21A" w:rsidP="1D7A3C8C">
            <w:pPr>
              <w:rPr>
                <w:rFonts w:cs="Calibri"/>
                <w:sz w:val="22"/>
                <w:szCs w:val="22"/>
              </w:rPr>
            </w:pPr>
            <w:r w:rsidRPr="1476765C">
              <w:rPr>
                <w:rFonts w:cs="Calibri"/>
                <w:sz w:val="22"/>
                <w:szCs w:val="22"/>
              </w:rPr>
              <w:t xml:space="preserve">DFAT to consider </w:t>
            </w:r>
            <w:r w:rsidR="5A67E187" w:rsidRPr="1476765C">
              <w:rPr>
                <w:rFonts w:cs="Calibri"/>
                <w:sz w:val="22"/>
                <w:szCs w:val="22"/>
              </w:rPr>
              <w:t xml:space="preserve">and assess </w:t>
            </w:r>
            <w:r w:rsidRPr="1476765C">
              <w:rPr>
                <w:rFonts w:cs="Calibri"/>
                <w:sz w:val="22"/>
                <w:szCs w:val="22"/>
              </w:rPr>
              <w:t xml:space="preserve">the balance between responsiveness and focus </w:t>
            </w:r>
            <w:r w:rsidR="14594C4B" w:rsidRPr="1476765C">
              <w:rPr>
                <w:rFonts w:cs="Calibri"/>
                <w:sz w:val="22"/>
                <w:szCs w:val="22"/>
              </w:rPr>
              <w:t>through</w:t>
            </w:r>
            <w:r w:rsidRPr="1476765C">
              <w:rPr>
                <w:rFonts w:cs="Calibri"/>
                <w:sz w:val="22"/>
                <w:szCs w:val="22"/>
              </w:rPr>
              <w:t xml:space="preserve"> the ToC and design update for Phase 2 </w:t>
            </w:r>
            <w:r w:rsidR="640A221C" w:rsidRPr="1476765C">
              <w:rPr>
                <w:rFonts w:cs="Calibri"/>
                <w:sz w:val="22"/>
                <w:szCs w:val="22"/>
              </w:rPr>
              <w:t xml:space="preserve">- </w:t>
            </w:r>
            <w:r w:rsidRPr="1476765C">
              <w:rPr>
                <w:rFonts w:cs="Calibri"/>
                <w:sz w:val="22"/>
                <w:szCs w:val="22"/>
              </w:rPr>
              <w:t xml:space="preserve">taking into account the revised timeframe to mid-2028.  </w:t>
            </w:r>
          </w:p>
          <w:p w14:paraId="2F86FE1D" w14:textId="77777777" w:rsidR="00FA58A9" w:rsidRPr="00132C76" w:rsidRDefault="00FA58A9">
            <w:pPr>
              <w:rPr>
                <w:rFonts w:cs="Calibri"/>
                <w:sz w:val="22"/>
                <w:szCs w:val="22"/>
              </w:rPr>
            </w:pPr>
          </w:p>
          <w:p w14:paraId="5336470C" w14:textId="4FC46829" w:rsidR="00FA58A9" w:rsidRPr="00132C76" w:rsidRDefault="550FD21A">
            <w:pPr>
              <w:rPr>
                <w:rFonts w:cs="Calibri"/>
                <w:sz w:val="22"/>
                <w:szCs w:val="22"/>
              </w:rPr>
            </w:pPr>
            <w:r w:rsidRPr="1476765C">
              <w:rPr>
                <w:rFonts w:cs="Calibri"/>
                <w:sz w:val="22"/>
                <w:szCs w:val="22"/>
              </w:rPr>
              <w:t xml:space="preserve">DFAT and PROSIVU to </w:t>
            </w:r>
            <w:r w:rsidR="6881238D" w:rsidRPr="1476765C">
              <w:rPr>
                <w:rFonts w:cs="Calibri"/>
                <w:sz w:val="22"/>
                <w:szCs w:val="22"/>
              </w:rPr>
              <w:t xml:space="preserve">continue to </w:t>
            </w:r>
            <w:r w:rsidRPr="1476765C">
              <w:rPr>
                <w:rFonts w:cs="Calibri"/>
                <w:sz w:val="22"/>
                <w:szCs w:val="22"/>
              </w:rPr>
              <w:t xml:space="preserve">increase strategic engagement with GoTL to ensure alignment with GoTL priorities and ways of working.   No further activities will be added to the program going forward given budget ceilings have been reached. </w:t>
            </w:r>
          </w:p>
        </w:tc>
        <w:tc>
          <w:tcPr>
            <w:tcW w:w="1701" w:type="dxa"/>
          </w:tcPr>
          <w:p w14:paraId="213FE149" w14:textId="199C6E11" w:rsidR="00FA58A9" w:rsidRPr="00132C76" w:rsidRDefault="00FA58A9" w:rsidP="1D7A3C8C">
            <w:pPr>
              <w:rPr>
                <w:rFonts w:cs="Calibri"/>
                <w:sz w:val="22"/>
                <w:szCs w:val="22"/>
              </w:rPr>
            </w:pPr>
            <w:r>
              <w:rPr>
                <w:rFonts w:cs="Calibri"/>
                <w:sz w:val="22"/>
                <w:szCs w:val="22"/>
              </w:rPr>
              <w:t>March 2026</w:t>
            </w:r>
          </w:p>
        </w:tc>
      </w:tr>
      <w:tr w:rsidR="00FA58A9" w:rsidRPr="00110906" w14:paraId="37786284" w14:textId="5A9BF110" w:rsidTr="00F52F28">
        <w:trPr>
          <w:trHeight w:val="300"/>
        </w:trPr>
        <w:tc>
          <w:tcPr>
            <w:tcW w:w="3823" w:type="dxa"/>
            <w:tcBorders>
              <w:bottom w:val="single" w:sz="4" w:space="0" w:color="auto"/>
            </w:tcBorders>
          </w:tcPr>
          <w:p w14:paraId="729ECEC2" w14:textId="2C44974E" w:rsidR="00FA58A9" w:rsidRPr="00C26FDB" w:rsidRDefault="00FA58A9" w:rsidP="007A5A1A">
            <w:pPr>
              <w:pStyle w:val="ListParagraph"/>
              <w:numPr>
                <w:ilvl w:val="0"/>
                <w:numId w:val="1"/>
              </w:numPr>
              <w:ind w:left="335" w:hanging="335"/>
              <w:rPr>
                <w:rFonts w:cs="Calibri"/>
                <w:sz w:val="22"/>
                <w:szCs w:val="22"/>
              </w:rPr>
            </w:pPr>
            <w:r w:rsidRPr="00C26FDB">
              <w:rPr>
                <w:rFonts w:eastAsia="Calibri" w:cs="Calibri Light"/>
                <w:sz w:val="22"/>
                <w:szCs w:val="22"/>
                <w:lang w:eastAsia="en-AU"/>
              </w:rPr>
              <w:t>Pursue a more focused GEDSI strategy with fewer and more targeted gender and disability outcomes.</w:t>
            </w:r>
          </w:p>
        </w:tc>
        <w:tc>
          <w:tcPr>
            <w:tcW w:w="1275" w:type="dxa"/>
          </w:tcPr>
          <w:p w14:paraId="516EE109" w14:textId="7480D9C6" w:rsidR="00FA58A9" w:rsidRPr="00C26FDB" w:rsidRDefault="00FA58A9">
            <w:pPr>
              <w:rPr>
                <w:rFonts w:cs="Calibri"/>
                <w:sz w:val="22"/>
                <w:szCs w:val="22"/>
              </w:rPr>
            </w:pPr>
            <w:r w:rsidRPr="6ED18E86">
              <w:rPr>
                <w:rFonts w:cs="Calibri"/>
                <w:sz w:val="22"/>
                <w:szCs w:val="22"/>
              </w:rPr>
              <w:t>Agree</w:t>
            </w:r>
          </w:p>
        </w:tc>
        <w:tc>
          <w:tcPr>
            <w:tcW w:w="3969" w:type="dxa"/>
          </w:tcPr>
          <w:p w14:paraId="25BBFA27" w14:textId="58166884" w:rsidR="00FA58A9" w:rsidRPr="00C26FDB" w:rsidRDefault="00FA58A9">
            <w:pPr>
              <w:rPr>
                <w:rFonts w:cs="Calibri"/>
                <w:sz w:val="22"/>
                <w:szCs w:val="22"/>
              </w:rPr>
            </w:pPr>
            <w:r w:rsidRPr="00132C76">
              <w:rPr>
                <w:rFonts w:cs="Calibri"/>
                <w:sz w:val="22"/>
                <w:szCs w:val="22"/>
              </w:rPr>
              <w:t xml:space="preserve">During the MTR it was agreed that there has been limited GEDSI progress to date. The GEDSI objectives need to reflect that (1) we are half-way through </w:t>
            </w:r>
            <w:r w:rsidRPr="00132C76">
              <w:rPr>
                <w:rFonts w:cs="Calibri"/>
                <w:sz w:val="22"/>
                <w:szCs w:val="22"/>
              </w:rPr>
              <w:lastRenderedPageBreak/>
              <w:t xml:space="preserve">the program and revised objectives need to be achievable in the remaining timeframe; and (2) there is clear commitment from the PROSIVU Leadership Team to improve GEDSI performance. </w:t>
            </w:r>
          </w:p>
        </w:tc>
        <w:tc>
          <w:tcPr>
            <w:tcW w:w="3261" w:type="dxa"/>
          </w:tcPr>
          <w:p w14:paraId="2CD91698" w14:textId="7A06D3A2" w:rsidR="00FA58A9" w:rsidRPr="00C26FDB" w:rsidRDefault="550FD21A" w:rsidP="1D7A3C8C">
            <w:pPr>
              <w:rPr>
                <w:rFonts w:cs="Calibri"/>
                <w:sz w:val="22"/>
                <w:szCs w:val="22"/>
                <w:highlight w:val="yellow"/>
              </w:rPr>
            </w:pPr>
            <w:r w:rsidRPr="1476765C">
              <w:rPr>
                <w:rFonts w:cs="Calibri"/>
                <w:sz w:val="22"/>
                <w:szCs w:val="22"/>
              </w:rPr>
              <w:lastRenderedPageBreak/>
              <w:t xml:space="preserve">DFAT to </w:t>
            </w:r>
            <w:r w:rsidR="010086DA" w:rsidRPr="1476765C">
              <w:rPr>
                <w:rFonts w:cs="Calibri"/>
                <w:sz w:val="22"/>
                <w:szCs w:val="22"/>
              </w:rPr>
              <w:t xml:space="preserve">review and assess </w:t>
            </w:r>
            <w:r w:rsidRPr="1476765C">
              <w:rPr>
                <w:rFonts w:cs="Calibri"/>
                <w:sz w:val="22"/>
                <w:szCs w:val="22"/>
              </w:rPr>
              <w:t xml:space="preserve">GEDSI ambition and objectives during the design update and detailed ToC development. </w:t>
            </w:r>
            <w:r w:rsidRPr="1476765C">
              <w:rPr>
                <w:rFonts w:cs="Calibri"/>
                <w:sz w:val="22"/>
                <w:szCs w:val="22"/>
              </w:rPr>
              <w:lastRenderedPageBreak/>
              <w:t xml:space="preserve">GEDSI outcomes to be realistic </w:t>
            </w:r>
            <w:r w:rsidR="04D9A8CA" w:rsidRPr="1476765C">
              <w:rPr>
                <w:rFonts w:cs="Calibri"/>
                <w:sz w:val="22"/>
                <w:szCs w:val="22"/>
              </w:rPr>
              <w:t xml:space="preserve">regarding what can be achieved in remaining contracted timeframes to </w:t>
            </w:r>
            <w:r w:rsidR="00D07264">
              <w:rPr>
                <w:rFonts w:cs="Calibri"/>
                <w:sz w:val="22"/>
                <w:szCs w:val="22"/>
              </w:rPr>
              <w:t>June</w:t>
            </w:r>
            <w:r w:rsidR="04D9A8CA" w:rsidRPr="1476765C">
              <w:rPr>
                <w:rFonts w:cs="Calibri"/>
                <w:sz w:val="22"/>
                <w:szCs w:val="22"/>
              </w:rPr>
              <w:t xml:space="preserve"> 2028. </w:t>
            </w:r>
            <w:r w:rsidR="66F5D4FF" w:rsidRPr="1476765C">
              <w:rPr>
                <w:rFonts w:cs="Calibri"/>
                <w:sz w:val="22"/>
                <w:szCs w:val="22"/>
              </w:rPr>
              <w:t>This includes</w:t>
            </w:r>
            <w:r w:rsidRPr="1476765C">
              <w:rPr>
                <w:rFonts w:cs="Calibri"/>
                <w:sz w:val="22"/>
                <w:szCs w:val="22"/>
              </w:rPr>
              <w:t xml:space="preserve"> revising IOs as necessary.  A disability adviser will be recruited </w:t>
            </w:r>
            <w:r w:rsidR="3BD39EFB" w:rsidRPr="1476765C">
              <w:rPr>
                <w:rFonts w:cs="Calibri"/>
                <w:sz w:val="22"/>
                <w:szCs w:val="22"/>
              </w:rPr>
              <w:t xml:space="preserve">in 2026 </w:t>
            </w:r>
            <w:r w:rsidRPr="1476765C">
              <w:rPr>
                <w:rFonts w:cs="Calibri"/>
                <w:sz w:val="22"/>
                <w:szCs w:val="22"/>
              </w:rPr>
              <w:t xml:space="preserve">to strengthen disability support.  </w:t>
            </w:r>
          </w:p>
        </w:tc>
        <w:tc>
          <w:tcPr>
            <w:tcW w:w="1701" w:type="dxa"/>
          </w:tcPr>
          <w:p w14:paraId="2B7BDBDD" w14:textId="2137483C" w:rsidR="00FA58A9" w:rsidRPr="00AD0091" w:rsidRDefault="00FA58A9" w:rsidP="1D7A3C8C">
            <w:pPr>
              <w:rPr>
                <w:rFonts w:cs="Calibri"/>
                <w:sz w:val="22"/>
                <w:szCs w:val="22"/>
              </w:rPr>
            </w:pPr>
            <w:r>
              <w:rPr>
                <w:rFonts w:cs="Calibri"/>
                <w:sz w:val="22"/>
                <w:szCs w:val="22"/>
              </w:rPr>
              <w:lastRenderedPageBreak/>
              <w:t>March 2026</w:t>
            </w:r>
          </w:p>
        </w:tc>
      </w:tr>
      <w:tr w:rsidR="00FA58A9" w:rsidRPr="00110906" w14:paraId="053CD465" w14:textId="06A34C07" w:rsidTr="00F52F28">
        <w:tc>
          <w:tcPr>
            <w:tcW w:w="3823" w:type="dxa"/>
            <w:tcBorders>
              <w:top w:val="single" w:sz="4" w:space="0" w:color="auto"/>
              <w:bottom w:val="single" w:sz="4" w:space="0" w:color="auto"/>
            </w:tcBorders>
            <w:shd w:val="clear" w:color="auto" w:fill="FFFFFF" w:themeFill="background1"/>
          </w:tcPr>
          <w:p w14:paraId="20682C36" w14:textId="399BF899" w:rsidR="00FA58A9" w:rsidRPr="00C26FDB" w:rsidRDefault="00FA58A9" w:rsidP="00C26FDB">
            <w:pPr>
              <w:pStyle w:val="ListParagraph"/>
              <w:numPr>
                <w:ilvl w:val="0"/>
                <w:numId w:val="1"/>
              </w:numPr>
              <w:ind w:left="335" w:hanging="335"/>
            </w:pPr>
            <w:r w:rsidRPr="00132C76">
              <w:rPr>
                <w:rFonts w:eastAsia="Calibri" w:cs="Calibri Light"/>
                <w:sz w:val="22"/>
                <w:szCs w:val="22"/>
                <w:lang w:eastAsia="en-AU"/>
              </w:rPr>
              <w:t>PROSIVU senior management to reflect on 3 current EOPOs and have a view ready for design update</w:t>
            </w:r>
            <w:r w:rsidRPr="00C26FDB">
              <w:rPr>
                <w:rFonts w:eastAsia="Calibri" w:cs="Calibri Light"/>
                <w:sz w:val="22"/>
                <w:szCs w:val="22"/>
                <w:lang w:eastAsia="en-AU"/>
              </w:rPr>
              <w:t>.</w:t>
            </w:r>
            <w:r w:rsidRPr="00110906">
              <w:rPr>
                <w:rFonts w:cs="Calibri Light"/>
                <w:lang w:eastAsia="en-AU"/>
              </w:rPr>
              <w:t xml:space="preserve"> </w:t>
            </w:r>
          </w:p>
        </w:tc>
        <w:tc>
          <w:tcPr>
            <w:tcW w:w="1275" w:type="dxa"/>
          </w:tcPr>
          <w:p w14:paraId="5774C751" w14:textId="3539885A" w:rsidR="00FA58A9" w:rsidRPr="00C26FDB" w:rsidRDefault="00FA58A9" w:rsidP="007A5A1A">
            <w:pPr>
              <w:rPr>
                <w:rFonts w:cs="Calibri"/>
                <w:sz w:val="22"/>
                <w:szCs w:val="22"/>
              </w:rPr>
            </w:pPr>
            <w:r w:rsidRPr="00C26FDB">
              <w:rPr>
                <w:rFonts w:cs="Calibri"/>
                <w:sz w:val="22"/>
                <w:szCs w:val="22"/>
              </w:rPr>
              <w:t>Agree</w:t>
            </w:r>
          </w:p>
        </w:tc>
        <w:tc>
          <w:tcPr>
            <w:tcW w:w="3969" w:type="dxa"/>
            <w:shd w:val="clear" w:color="auto" w:fill="FFFFFF" w:themeFill="background1"/>
          </w:tcPr>
          <w:p w14:paraId="360F5501" w14:textId="44304E85" w:rsidR="00FA58A9" w:rsidRPr="00C26FDB" w:rsidRDefault="00FA58A9" w:rsidP="007A5A1A">
            <w:pPr>
              <w:rPr>
                <w:rFonts w:cs="Calibri"/>
                <w:sz w:val="22"/>
                <w:szCs w:val="22"/>
              </w:rPr>
            </w:pPr>
            <w:r w:rsidRPr="00C26FDB">
              <w:rPr>
                <w:rFonts w:cs="Calibri"/>
                <w:sz w:val="22"/>
                <w:szCs w:val="22"/>
              </w:rPr>
              <w:t>DFAT agrees and work is in progress to ensure EOPO 2 and 3 contribute directly to the success of EOPO1.</w:t>
            </w:r>
          </w:p>
        </w:tc>
        <w:tc>
          <w:tcPr>
            <w:tcW w:w="3261" w:type="dxa"/>
            <w:shd w:val="clear" w:color="auto" w:fill="FFFFFF" w:themeFill="background1"/>
          </w:tcPr>
          <w:p w14:paraId="19B9CB99" w14:textId="353D9376" w:rsidR="00FA58A9" w:rsidRPr="00C26FDB" w:rsidRDefault="00FA58A9" w:rsidP="007A5A1A">
            <w:pPr>
              <w:rPr>
                <w:rFonts w:cs="Calibri"/>
                <w:sz w:val="22"/>
                <w:szCs w:val="22"/>
              </w:rPr>
            </w:pPr>
            <w:r w:rsidRPr="00132C76">
              <w:rPr>
                <w:rFonts w:cs="Calibri"/>
                <w:sz w:val="22"/>
                <w:szCs w:val="22"/>
              </w:rPr>
              <w:t>Improved alignment of the three EOPOs will be achieved through the design update, to reflect the timeframe for Phase 2 from 2026-2028 and the need to ensure that activities remain focused on those EOPOs.</w:t>
            </w:r>
          </w:p>
        </w:tc>
        <w:tc>
          <w:tcPr>
            <w:tcW w:w="1701" w:type="dxa"/>
          </w:tcPr>
          <w:p w14:paraId="41A85BF2" w14:textId="483D818D" w:rsidR="00FA58A9" w:rsidRPr="00132C76" w:rsidRDefault="00913CEB" w:rsidP="007A5A1A">
            <w:pPr>
              <w:rPr>
                <w:rFonts w:cs="Calibri"/>
                <w:sz w:val="22"/>
                <w:szCs w:val="22"/>
              </w:rPr>
            </w:pPr>
            <w:r>
              <w:rPr>
                <w:rFonts w:cs="Calibri"/>
                <w:sz w:val="22"/>
                <w:szCs w:val="22"/>
              </w:rPr>
              <w:t>March 2026</w:t>
            </w:r>
          </w:p>
        </w:tc>
      </w:tr>
    </w:tbl>
    <w:p w14:paraId="6A1E5287" w14:textId="77777777" w:rsidR="007A5A1A" w:rsidRDefault="007A5A1A" w:rsidP="00980A42"/>
    <w:p w14:paraId="1111D3CE" w14:textId="5675BFED" w:rsidR="00F52F28" w:rsidRPr="00F52F28" w:rsidRDefault="00B26973" w:rsidP="00B26973">
      <w:pPr>
        <w:pStyle w:val="Heading2"/>
      </w:pPr>
      <w:r w:rsidRPr="00F52F28">
        <w:t>Programmatic</w:t>
      </w:r>
    </w:p>
    <w:tbl>
      <w:tblPr>
        <w:tblStyle w:val="TableGrid"/>
        <w:tblW w:w="14029" w:type="dxa"/>
        <w:tblLook w:val="04A0" w:firstRow="1" w:lastRow="0" w:firstColumn="1" w:lastColumn="0" w:noHBand="0" w:noVBand="1"/>
      </w:tblPr>
      <w:tblGrid>
        <w:gridCol w:w="3823"/>
        <w:gridCol w:w="1275"/>
        <w:gridCol w:w="3969"/>
        <w:gridCol w:w="3261"/>
        <w:gridCol w:w="1701"/>
      </w:tblGrid>
      <w:tr w:rsidR="00F52F28" w:rsidRPr="00110906" w14:paraId="0A2F2ABB" w14:textId="77777777" w:rsidTr="00B26973">
        <w:trPr>
          <w:tblHeader/>
        </w:trPr>
        <w:tc>
          <w:tcPr>
            <w:tcW w:w="3823" w:type="dxa"/>
          </w:tcPr>
          <w:p w14:paraId="00C6CCFE" w14:textId="77777777" w:rsidR="00F52F28" w:rsidRPr="00F52F28" w:rsidRDefault="00F52F28" w:rsidP="00E918EA">
            <w:pPr>
              <w:rPr>
                <w:rFonts w:ascii="Calibri" w:hAnsi="Calibri" w:cs="Calibri"/>
                <w:b/>
                <w:bCs/>
              </w:rPr>
            </w:pPr>
            <w:r w:rsidRPr="00F52F28">
              <w:rPr>
                <w:rFonts w:ascii="Calibri" w:hAnsi="Calibri" w:cs="Calibri"/>
                <w:b/>
                <w:bCs/>
              </w:rPr>
              <w:t>Recommendations</w:t>
            </w:r>
          </w:p>
        </w:tc>
        <w:tc>
          <w:tcPr>
            <w:tcW w:w="1275" w:type="dxa"/>
          </w:tcPr>
          <w:p w14:paraId="65B2E777" w14:textId="77777777" w:rsidR="00F52F28" w:rsidRPr="00F52F28" w:rsidRDefault="00F52F28" w:rsidP="00E918EA">
            <w:pPr>
              <w:rPr>
                <w:rFonts w:ascii="Calibri" w:hAnsi="Calibri" w:cs="Calibri"/>
                <w:b/>
                <w:bCs/>
              </w:rPr>
            </w:pPr>
            <w:r w:rsidRPr="00F52F28">
              <w:rPr>
                <w:rFonts w:ascii="Calibri" w:hAnsi="Calibri" w:cs="Calibri"/>
                <w:b/>
                <w:bCs/>
              </w:rPr>
              <w:t>Response</w:t>
            </w:r>
          </w:p>
        </w:tc>
        <w:tc>
          <w:tcPr>
            <w:tcW w:w="3969" w:type="dxa"/>
          </w:tcPr>
          <w:p w14:paraId="1B66AD1B" w14:textId="77777777" w:rsidR="00F52F28" w:rsidRPr="00F52F28" w:rsidRDefault="00F52F28" w:rsidP="00E918EA">
            <w:pPr>
              <w:rPr>
                <w:rFonts w:ascii="Calibri" w:hAnsi="Calibri" w:cs="Calibri"/>
                <w:b/>
                <w:bCs/>
              </w:rPr>
            </w:pPr>
            <w:r w:rsidRPr="00F52F28">
              <w:rPr>
                <w:rFonts w:ascii="Calibri" w:hAnsi="Calibri" w:cs="Calibri"/>
                <w:b/>
                <w:bCs/>
              </w:rPr>
              <w:t>DFAT Comment</w:t>
            </w:r>
          </w:p>
        </w:tc>
        <w:tc>
          <w:tcPr>
            <w:tcW w:w="3261" w:type="dxa"/>
          </w:tcPr>
          <w:p w14:paraId="4D0BA0D3" w14:textId="77777777" w:rsidR="00F52F28" w:rsidRPr="00F52F28" w:rsidRDefault="00F52F28" w:rsidP="00E918EA">
            <w:pPr>
              <w:rPr>
                <w:rFonts w:ascii="Calibri" w:hAnsi="Calibri" w:cs="Calibri"/>
                <w:b/>
                <w:bCs/>
              </w:rPr>
            </w:pPr>
            <w:r w:rsidRPr="00F52F28">
              <w:rPr>
                <w:rFonts w:ascii="Calibri" w:hAnsi="Calibri" w:cs="Calibri"/>
                <w:b/>
                <w:bCs/>
              </w:rPr>
              <w:t>Proposed Actions</w:t>
            </w:r>
          </w:p>
        </w:tc>
        <w:tc>
          <w:tcPr>
            <w:tcW w:w="1701" w:type="dxa"/>
          </w:tcPr>
          <w:p w14:paraId="5225AB73" w14:textId="77777777" w:rsidR="00F52F28" w:rsidRPr="00F52F28" w:rsidRDefault="00F52F28" w:rsidP="00E918EA">
            <w:pPr>
              <w:rPr>
                <w:rFonts w:ascii="Calibri" w:hAnsi="Calibri" w:cs="Calibri"/>
                <w:b/>
                <w:bCs/>
              </w:rPr>
            </w:pPr>
            <w:r w:rsidRPr="00F52F28">
              <w:rPr>
                <w:rFonts w:ascii="Calibri" w:hAnsi="Calibri" w:cs="Calibri"/>
                <w:b/>
                <w:bCs/>
              </w:rPr>
              <w:t>Timeframe</w:t>
            </w:r>
          </w:p>
        </w:tc>
      </w:tr>
      <w:tr w:rsidR="00F52F28" w:rsidRPr="00132C76" w14:paraId="522F9D66" w14:textId="77777777" w:rsidTr="00E918EA">
        <w:tc>
          <w:tcPr>
            <w:tcW w:w="3823" w:type="dxa"/>
          </w:tcPr>
          <w:p w14:paraId="638FBA0E" w14:textId="77777777" w:rsidR="00F52F28" w:rsidRPr="00132C76" w:rsidRDefault="00F52F28" w:rsidP="00E918EA">
            <w:pPr>
              <w:pStyle w:val="ListParagraph"/>
              <w:numPr>
                <w:ilvl w:val="0"/>
                <w:numId w:val="1"/>
              </w:numPr>
              <w:spacing w:before="40" w:after="40"/>
              <w:ind w:left="335" w:hanging="335"/>
              <w:rPr>
                <w:rFonts w:eastAsia="Calibri" w:cs="Calibri"/>
                <w:sz w:val="22"/>
                <w:szCs w:val="22"/>
                <w:lang w:eastAsia="en-AU"/>
              </w:rPr>
            </w:pPr>
            <w:r w:rsidRPr="4BA06BF0">
              <w:rPr>
                <w:rFonts w:eastAsia="Calibri" w:cs="Calibri"/>
                <w:sz w:val="22"/>
                <w:szCs w:val="22"/>
                <w:lang w:eastAsia="en-AU"/>
              </w:rPr>
              <w:t xml:space="preserve">Pillar 1: Reduce the scope of the Pillar. Currently some of its OAs represent more of a convenience for DFAT than a strategically focused and purposive program (section 9). IOs to be dropped in the design update would include tourism, </w:t>
            </w:r>
            <w:proofErr w:type="spellStart"/>
            <w:r w:rsidRPr="4BA06BF0">
              <w:rPr>
                <w:rFonts w:eastAsia="Calibri" w:cs="Calibri"/>
                <w:sz w:val="22"/>
                <w:szCs w:val="22"/>
                <w:lang w:eastAsia="en-AU"/>
              </w:rPr>
              <w:t>labour</w:t>
            </w:r>
            <w:proofErr w:type="spellEnd"/>
            <w:r w:rsidRPr="4BA06BF0">
              <w:rPr>
                <w:rFonts w:eastAsia="Calibri" w:cs="Calibri"/>
                <w:sz w:val="22"/>
                <w:szCs w:val="22"/>
                <w:lang w:eastAsia="en-AU"/>
              </w:rPr>
              <w:t xml:space="preserve"> mobility and TVET; public investment planning; the ‘human capital’ work; state-owned enterprise; climate; debt management, and TIC Timor. </w:t>
            </w:r>
          </w:p>
          <w:p w14:paraId="1BE1A778" w14:textId="77777777" w:rsidR="00F52F28" w:rsidRPr="00132C76" w:rsidRDefault="00F52F28" w:rsidP="00E918EA">
            <w:pPr>
              <w:pStyle w:val="ListParagraph"/>
              <w:spacing w:before="40" w:after="40"/>
              <w:ind w:left="335"/>
              <w:rPr>
                <w:rFonts w:eastAsia="Calibri" w:cs="Calibri"/>
                <w:sz w:val="22"/>
                <w:szCs w:val="22"/>
                <w:lang w:eastAsia="en-AU"/>
              </w:rPr>
            </w:pPr>
          </w:p>
          <w:p w14:paraId="3AE26E27" w14:textId="77777777" w:rsidR="00F52F28" w:rsidRPr="00132C76" w:rsidRDefault="00F52F28" w:rsidP="00E918EA">
            <w:pPr>
              <w:pStyle w:val="ListParagraph"/>
              <w:spacing w:before="40" w:after="40"/>
              <w:ind w:left="335"/>
              <w:rPr>
                <w:rFonts w:eastAsia="Calibri" w:cs="Calibri"/>
                <w:sz w:val="22"/>
                <w:szCs w:val="22"/>
                <w:lang w:eastAsia="en-AU"/>
              </w:rPr>
            </w:pPr>
            <w:r w:rsidRPr="13CA8FA7">
              <w:rPr>
                <w:rFonts w:eastAsia="Calibri" w:cs="Calibri"/>
                <w:sz w:val="22"/>
                <w:szCs w:val="22"/>
                <w:lang w:eastAsia="en-AU"/>
              </w:rPr>
              <w:lastRenderedPageBreak/>
              <w:t>It is also recommended that support for meeting ASEAN accession requirements be increased as soon as possible. This is the one driver of reform that is externally driven, critical for the GoTL political leadership, and thus non-negotiable</w:t>
            </w:r>
          </w:p>
        </w:tc>
        <w:tc>
          <w:tcPr>
            <w:tcW w:w="1275" w:type="dxa"/>
          </w:tcPr>
          <w:p w14:paraId="1BA8938E" w14:textId="77777777" w:rsidR="00F52F28" w:rsidRPr="00132C76" w:rsidRDefault="00F52F28" w:rsidP="00E918EA">
            <w:pPr>
              <w:rPr>
                <w:rFonts w:cs="Calibri"/>
                <w:sz w:val="22"/>
                <w:szCs w:val="22"/>
              </w:rPr>
            </w:pPr>
            <w:r w:rsidRPr="00132C76">
              <w:rPr>
                <w:rFonts w:cs="Calibri"/>
                <w:sz w:val="22"/>
                <w:szCs w:val="22"/>
              </w:rPr>
              <w:lastRenderedPageBreak/>
              <w:t>Agree</w:t>
            </w:r>
          </w:p>
        </w:tc>
        <w:tc>
          <w:tcPr>
            <w:tcW w:w="3969" w:type="dxa"/>
          </w:tcPr>
          <w:p w14:paraId="2D3169B5" w14:textId="77777777" w:rsidR="00F52F28" w:rsidRPr="00132C76" w:rsidRDefault="00F52F28" w:rsidP="00E918EA">
            <w:pPr>
              <w:rPr>
                <w:rFonts w:cs="Calibri"/>
                <w:sz w:val="22"/>
                <w:szCs w:val="22"/>
              </w:rPr>
            </w:pPr>
            <w:r w:rsidRPr="1476765C">
              <w:rPr>
                <w:rFonts w:cs="Calibri"/>
                <w:sz w:val="22"/>
                <w:szCs w:val="22"/>
              </w:rPr>
              <w:t xml:space="preserve">Any decisions on reduced areas of focus will be made based on clear criteria and consider the balance between areas where effective delivery is most likely in remaining timeframes. </w:t>
            </w:r>
          </w:p>
          <w:p w14:paraId="5BB1044B" w14:textId="77777777" w:rsidR="00F52F28" w:rsidRPr="00132C76" w:rsidRDefault="00F52F28" w:rsidP="00E918EA">
            <w:pPr>
              <w:rPr>
                <w:rFonts w:cs="Calibri"/>
                <w:sz w:val="22"/>
                <w:szCs w:val="22"/>
              </w:rPr>
            </w:pPr>
            <w:r>
              <w:rPr>
                <w:rFonts w:cs="Calibri"/>
                <w:sz w:val="22"/>
                <w:szCs w:val="22"/>
              </w:rPr>
              <w:t>We</w:t>
            </w:r>
            <w:r w:rsidRPr="1476765C">
              <w:rPr>
                <w:rFonts w:cs="Calibri"/>
                <w:sz w:val="22"/>
                <w:szCs w:val="22"/>
              </w:rPr>
              <w:t xml:space="preserve"> will also consider what other DFAT programs and partners are delivering and be informed by the relevant Ministries to ensure alignment with GoTL priorities. </w:t>
            </w:r>
            <w:r w:rsidRPr="001F1AB7">
              <w:rPr>
                <w:rFonts w:cs="Calibri"/>
                <w:sz w:val="22"/>
                <w:szCs w:val="22"/>
              </w:rPr>
              <w:t xml:space="preserve">PROSIVU to work with DFAT to consider areas to reduce scope of work under pillar 1. We agree ASEAN accession support should be continued </w:t>
            </w:r>
            <w:r w:rsidRPr="001F1AB7">
              <w:rPr>
                <w:rFonts w:cs="Calibri"/>
                <w:sz w:val="22"/>
                <w:szCs w:val="22"/>
              </w:rPr>
              <w:lastRenderedPageBreak/>
              <w:t xml:space="preserve">with </w:t>
            </w:r>
            <w:r w:rsidRPr="009F0261">
              <w:rPr>
                <w:rFonts w:cs="Calibri"/>
                <w:sz w:val="22"/>
                <w:szCs w:val="22"/>
              </w:rPr>
              <w:t>discussions on modality</w:t>
            </w:r>
            <w:r w:rsidRPr="1476765C">
              <w:rPr>
                <w:rFonts w:cs="Calibri"/>
                <w:sz w:val="22"/>
                <w:szCs w:val="22"/>
              </w:rPr>
              <w:t xml:space="preserve"> to take place over the next 6 months.</w:t>
            </w:r>
          </w:p>
        </w:tc>
        <w:tc>
          <w:tcPr>
            <w:tcW w:w="3261" w:type="dxa"/>
          </w:tcPr>
          <w:p w14:paraId="30FE8C49" w14:textId="77777777" w:rsidR="00F52F28" w:rsidRPr="00132C76" w:rsidRDefault="00F52F28" w:rsidP="00E918EA">
            <w:pPr>
              <w:rPr>
                <w:rFonts w:cs="Calibri"/>
                <w:sz w:val="22"/>
                <w:szCs w:val="22"/>
              </w:rPr>
            </w:pPr>
            <w:r w:rsidRPr="00132C76">
              <w:rPr>
                <w:rFonts w:cs="Calibri"/>
                <w:sz w:val="22"/>
                <w:szCs w:val="22"/>
              </w:rPr>
              <w:lastRenderedPageBreak/>
              <w:t xml:space="preserve">Through the design update, DFAT and PROSIVU will review and assess IOs in Pillar 1 - with a view to agreeing where support can be continued, scaled up, reduced or wrapped up. Any changes will also </w:t>
            </w:r>
            <w:proofErr w:type="gramStart"/>
            <w:r w:rsidRPr="00132C76">
              <w:rPr>
                <w:rFonts w:cs="Calibri"/>
                <w:sz w:val="22"/>
                <w:szCs w:val="22"/>
              </w:rPr>
              <w:t>take into account</w:t>
            </w:r>
            <w:proofErr w:type="gramEnd"/>
            <w:r w:rsidRPr="00132C76">
              <w:rPr>
                <w:rFonts w:cs="Calibri"/>
                <w:sz w:val="22"/>
                <w:szCs w:val="22"/>
              </w:rPr>
              <w:t xml:space="preserve"> the contracted timeframe for PROSIVU, which is expected to finish mid-2028.  </w:t>
            </w:r>
          </w:p>
        </w:tc>
        <w:tc>
          <w:tcPr>
            <w:tcW w:w="1701" w:type="dxa"/>
          </w:tcPr>
          <w:p w14:paraId="30589A99" w14:textId="77777777" w:rsidR="00F52F28" w:rsidRPr="00132C76" w:rsidRDefault="00F52F28" w:rsidP="00E918EA">
            <w:pPr>
              <w:rPr>
                <w:rFonts w:cs="Calibri"/>
                <w:sz w:val="22"/>
                <w:szCs w:val="22"/>
              </w:rPr>
            </w:pPr>
            <w:r>
              <w:rPr>
                <w:rFonts w:cs="Calibri"/>
                <w:sz w:val="22"/>
                <w:szCs w:val="22"/>
              </w:rPr>
              <w:t>March 2026</w:t>
            </w:r>
          </w:p>
        </w:tc>
      </w:tr>
      <w:tr w:rsidR="00F52F28" w:rsidRPr="0FA7AEE9" w14:paraId="6A7BFDCE" w14:textId="77777777" w:rsidTr="00E918EA">
        <w:tc>
          <w:tcPr>
            <w:tcW w:w="3823" w:type="dxa"/>
          </w:tcPr>
          <w:p w14:paraId="07B62647"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 xml:space="preserve">Pillar 2: This Pillar requires reconsideration and design update given the weaknesses identified in this report. </w:t>
            </w:r>
          </w:p>
        </w:tc>
        <w:tc>
          <w:tcPr>
            <w:tcW w:w="1275" w:type="dxa"/>
          </w:tcPr>
          <w:p w14:paraId="71E72B8F" w14:textId="77777777" w:rsidR="00F52F28" w:rsidRPr="00C26FDB" w:rsidRDefault="00F52F28" w:rsidP="00E918EA">
            <w:pPr>
              <w:rPr>
                <w:rFonts w:cs="Calibri"/>
                <w:sz w:val="22"/>
                <w:szCs w:val="22"/>
              </w:rPr>
            </w:pPr>
            <w:r>
              <w:rPr>
                <w:rFonts w:cs="Calibri"/>
                <w:sz w:val="22"/>
                <w:szCs w:val="22"/>
              </w:rPr>
              <w:t>A</w:t>
            </w:r>
            <w:r w:rsidRPr="00C26FDB">
              <w:rPr>
                <w:rFonts w:cs="Calibri"/>
                <w:sz w:val="22"/>
                <w:szCs w:val="22"/>
              </w:rPr>
              <w:t>gree</w:t>
            </w:r>
          </w:p>
        </w:tc>
        <w:tc>
          <w:tcPr>
            <w:tcW w:w="3969" w:type="dxa"/>
          </w:tcPr>
          <w:p w14:paraId="4C7F0EE0" w14:textId="77777777" w:rsidR="00F52F28" w:rsidRPr="00C26FDB" w:rsidRDefault="00F52F28" w:rsidP="00E918EA">
            <w:pPr>
              <w:rPr>
                <w:rFonts w:cs="Calibri"/>
                <w:sz w:val="22"/>
                <w:szCs w:val="22"/>
              </w:rPr>
            </w:pPr>
            <w:r w:rsidRPr="1476765C">
              <w:rPr>
                <w:rFonts w:cs="Calibri"/>
                <w:sz w:val="22"/>
                <w:szCs w:val="22"/>
              </w:rPr>
              <w:t xml:space="preserve">DFAT agrees that work is required here, PROSIVU and DFAT will pursue greater senior level engagement with the Ministry of Finance (MoF) along with better communication on recruitment and adviser performance with the Executive Office.   </w:t>
            </w:r>
          </w:p>
        </w:tc>
        <w:tc>
          <w:tcPr>
            <w:tcW w:w="3261" w:type="dxa"/>
          </w:tcPr>
          <w:p w14:paraId="416A8004" w14:textId="77777777" w:rsidR="00F52F28" w:rsidRPr="00C26FDB" w:rsidRDefault="00F52F28" w:rsidP="00E918EA">
            <w:pPr>
              <w:rPr>
                <w:rFonts w:cs="Calibri"/>
                <w:sz w:val="22"/>
                <w:szCs w:val="22"/>
              </w:rPr>
            </w:pPr>
            <w:r w:rsidRPr="0FA7AEE9">
              <w:rPr>
                <w:rFonts w:cs="Calibri"/>
                <w:sz w:val="22"/>
                <w:szCs w:val="22"/>
              </w:rPr>
              <w:t xml:space="preserve">DFAT and PROSIVU agree with the MoF on a process to better engage and communicate with the MoF Executive Office and other relevant areas to ensure strategic alignment.  </w:t>
            </w:r>
          </w:p>
        </w:tc>
        <w:tc>
          <w:tcPr>
            <w:tcW w:w="1701" w:type="dxa"/>
          </w:tcPr>
          <w:p w14:paraId="2DBDEEB9" w14:textId="77777777" w:rsidR="00F52F28" w:rsidRPr="0FA7AEE9" w:rsidRDefault="00F52F28" w:rsidP="00E918EA">
            <w:pPr>
              <w:rPr>
                <w:rFonts w:cs="Calibri"/>
                <w:sz w:val="22"/>
                <w:szCs w:val="22"/>
              </w:rPr>
            </w:pPr>
            <w:r w:rsidRPr="3D151E33">
              <w:rPr>
                <w:rFonts w:cs="Calibri"/>
                <w:sz w:val="22"/>
                <w:szCs w:val="22"/>
              </w:rPr>
              <w:t>November 2025</w:t>
            </w:r>
            <w:r>
              <w:rPr>
                <w:rFonts w:cs="Calibri"/>
                <w:sz w:val="22"/>
                <w:szCs w:val="22"/>
              </w:rPr>
              <w:t xml:space="preserve"> (completed)</w:t>
            </w:r>
          </w:p>
        </w:tc>
      </w:tr>
      <w:tr w:rsidR="00F52F28" w:rsidRPr="0072622D" w14:paraId="7E5D133F" w14:textId="77777777" w:rsidTr="00E918EA">
        <w:tc>
          <w:tcPr>
            <w:tcW w:w="3823" w:type="dxa"/>
          </w:tcPr>
          <w:p w14:paraId="31C4B66E"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 xml:space="preserve">Keep Pillar 3 small. Progress here has been limited, but evidence is overwhelming: a meritocratic and </w:t>
            </w:r>
            <w:proofErr w:type="gramStart"/>
            <w:r w:rsidRPr="00C26FDB">
              <w:rPr>
                <w:rFonts w:eastAsia="Calibri" w:cs="Calibri"/>
                <w:sz w:val="22"/>
                <w:szCs w:val="22"/>
                <w:lang w:eastAsia="en-AU"/>
              </w:rPr>
              <w:t>well managed</w:t>
            </w:r>
            <w:proofErr w:type="gramEnd"/>
            <w:r w:rsidRPr="00C26FDB">
              <w:rPr>
                <w:rFonts w:eastAsia="Calibri" w:cs="Calibri"/>
                <w:sz w:val="22"/>
                <w:szCs w:val="22"/>
                <w:lang w:eastAsia="en-AU"/>
              </w:rPr>
              <w:t xml:space="preserve"> public service is the single most important driver of growth. DFAT could pull out but then re-entry would be difficult if the CSC </w:t>
            </w:r>
            <w:proofErr w:type="gramStart"/>
            <w:r w:rsidRPr="00C26FDB">
              <w:rPr>
                <w:rFonts w:eastAsia="Calibri" w:cs="Calibri"/>
                <w:sz w:val="22"/>
                <w:szCs w:val="22"/>
                <w:lang w:eastAsia="en-AU"/>
              </w:rPr>
              <w:t>can</w:t>
            </w:r>
            <w:proofErr w:type="gramEnd"/>
            <w:r w:rsidRPr="00C26FDB">
              <w:rPr>
                <w:rFonts w:eastAsia="Calibri" w:cs="Calibri"/>
                <w:sz w:val="22"/>
                <w:szCs w:val="22"/>
                <w:lang w:eastAsia="en-AU"/>
              </w:rPr>
              <w:t xml:space="preserve"> pull off some serious reforms. </w:t>
            </w:r>
          </w:p>
        </w:tc>
        <w:tc>
          <w:tcPr>
            <w:tcW w:w="1275" w:type="dxa"/>
          </w:tcPr>
          <w:p w14:paraId="629777B2" w14:textId="77777777" w:rsidR="00F52F28" w:rsidRPr="00C26FDB" w:rsidRDefault="00F52F28" w:rsidP="00E918EA">
            <w:pPr>
              <w:rPr>
                <w:rFonts w:cs="Calibri"/>
                <w:sz w:val="22"/>
                <w:szCs w:val="22"/>
              </w:rPr>
            </w:pPr>
            <w:r w:rsidRPr="00C26FDB">
              <w:rPr>
                <w:rFonts w:cs="Calibri"/>
                <w:sz w:val="22"/>
                <w:szCs w:val="22"/>
              </w:rPr>
              <w:t>Agree</w:t>
            </w:r>
          </w:p>
        </w:tc>
        <w:tc>
          <w:tcPr>
            <w:tcW w:w="3969" w:type="dxa"/>
          </w:tcPr>
          <w:p w14:paraId="67D7CA6B" w14:textId="77777777" w:rsidR="00F52F28" w:rsidRPr="0072622D" w:rsidRDefault="00F52F28" w:rsidP="00E918EA">
            <w:pPr>
              <w:rPr>
                <w:rFonts w:cs="Calibri"/>
                <w:sz w:val="22"/>
                <w:szCs w:val="22"/>
              </w:rPr>
            </w:pPr>
            <w:r>
              <w:rPr>
                <w:rFonts w:cs="Calibri"/>
                <w:sz w:val="22"/>
                <w:szCs w:val="22"/>
              </w:rPr>
              <w:t>DFAT agrees</w:t>
            </w:r>
            <w:r w:rsidRPr="0072622D">
              <w:rPr>
                <w:rFonts w:cs="Calibri"/>
                <w:sz w:val="22"/>
                <w:szCs w:val="22"/>
              </w:rPr>
              <w:t xml:space="preserve"> that Pillar 3 should maintain its current focus. </w:t>
            </w:r>
          </w:p>
        </w:tc>
        <w:tc>
          <w:tcPr>
            <w:tcW w:w="3261" w:type="dxa"/>
          </w:tcPr>
          <w:p w14:paraId="5C7D5425" w14:textId="77777777" w:rsidR="00F52F28" w:rsidRPr="00C26FDB" w:rsidRDefault="00F52F28" w:rsidP="00E918EA">
            <w:pPr>
              <w:rPr>
                <w:rFonts w:cs="Calibri"/>
                <w:sz w:val="22"/>
                <w:szCs w:val="22"/>
              </w:rPr>
            </w:pPr>
            <w:r w:rsidRPr="0072622D">
              <w:rPr>
                <w:rFonts w:cs="Calibri"/>
                <w:sz w:val="22"/>
                <w:szCs w:val="22"/>
              </w:rPr>
              <w:t xml:space="preserve">DFAT will continue engagement </w:t>
            </w:r>
            <w:r>
              <w:rPr>
                <w:rStyle w:val="CommentReference"/>
                <w:rFonts w:cs="Calibri"/>
                <w:sz w:val="22"/>
                <w:szCs w:val="22"/>
              </w:rPr>
              <w:t xml:space="preserve">with </w:t>
            </w:r>
            <w:proofErr w:type="gramStart"/>
            <w:r>
              <w:rPr>
                <w:rStyle w:val="CommentReference"/>
                <w:rFonts w:cs="Calibri"/>
                <w:sz w:val="22"/>
                <w:szCs w:val="22"/>
              </w:rPr>
              <w:t>the CSC</w:t>
            </w:r>
            <w:proofErr w:type="gramEnd"/>
            <w:r>
              <w:rPr>
                <w:rStyle w:val="CommentReference"/>
                <w:rFonts w:cs="Calibri"/>
                <w:sz w:val="22"/>
                <w:szCs w:val="22"/>
              </w:rPr>
              <w:t xml:space="preserve"> </w:t>
            </w:r>
            <w:r w:rsidRPr="00C26FDB">
              <w:rPr>
                <w:rFonts w:cs="Calibri"/>
                <w:sz w:val="22"/>
                <w:szCs w:val="22"/>
              </w:rPr>
              <w:t xml:space="preserve">through Pillar 3. Pillar 3 workplans to be updated </w:t>
            </w:r>
            <w:proofErr w:type="gramStart"/>
            <w:r w:rsidRPr="00C26FDB">
              <w:rPr>
                <w:rFonts w:cs="Calibri"/>
                <w:sz w:val="22"/>
                <w:szCs w:val="22"/>
              </w:rPr>
              <w:t>where</w:t>
            </w:r>
            <w:proofErr w:type="gramEnd"/>
            <w:r w:rsidRPr="00C26FDB">
              <w:rPr>
                <w:rFonts w:cs="Calibri"/>
                <w:sz w:val="22"/>
                <w:szCs w:val="22"/>
              </w:rPr>
              <w:t xml:space="preserve"> necessary through the design update and detailed </w:t>
            </w:r>
            <w:proofErr w:type="spellStart"/>
            <w:r w:rsidRPr="00C26FDB">
              <w:rPr>
                <w:rFonts w:cs="Calibri"/>
                <w:sz w:val="22"/>
                <w:szCs w:val="22"/>
              </w:rPr>
              <w:t>ToC</w:t>
            </w:r>
            <w:proofErr w:type="spellEnd"/>
            <w:r w:rsidRPr="00C26FDB">
              <w:rPr>
                <w:rFonts w:cs="Calibri"/>
                <w:sz w:val="22"/>
                <w:szCs w:val="22"/>
              </w:rPr>
              <w:t xml:space="preserve"> development</w:t>
            </w:r>
            <w:r>
              <w:rPr>
                <w:rFonts w:cs="Calibri"/>
                <w:sz w:val="22"/>
                <w:szCs w:val="22"/>
              </w:rPr>
              <w:t>,</w:t>
            </w:r>
            <w:r w:rsidRPr="00C26FDB">
              <w:rPr>
                <w:rFonts w:cs="Calibri"/>
                <w:sz w:val="22"/>
                <w:szCs w:val="22"/>
              </w:rPr>
              <w:t xml:space="preserve"> taking into consideration an implementation timeframe to mid-2028.  </w:t>
            </w:r>
          </w:p>
        </w:tc>
        <w:tc>
          <w:tcPr>
            <w:tcW w:w="1701" w:type="dxa"/>
          </w:tcPr>
          <w:p w14:paraId="4F11F126" w14:textId="77777777" w:rsidR="00F52F28" w:rsidRPr="0072622D" w:rsidRDefault="00F52F28" w:rsidP="00E918EA">
            <w:pPr>
              <w:rPr>
                <w:rFonts w:cs="Calibri"/>
                <w:sz w:val="22"/>
                <w:szCs w:val="22"/>
              </w:rPr>
            </w:pPr>
            <w:r>
              <w:rPr>
                <w:rFonts w:cs="Calibri"/>
                <w:sz w:val="22"/>
                <w:szCs w:val="22"/>
              </w:rPr>
              <w:t>March 2026</w:t>
            </w:r>
          </w:p>
        </w:tc>
      </w:tr>
      <w:tr w:rsidR="00F52F28" w:rsidRPr="00C26FDB" w14:paraId="601523F9" w14:textId="77777777" w:rsidTr="00E918EA">
        <w:tc>
          <w:tcPr>
            <w:tcW w:w="3823" w:type="dxa"/>
          </w:tcPr>
          <w:p w14:paraId="53B84CED" w14:textId="77777777" w:rsidR="00F52F28" w:rsidRPr="00C26FDB" w:rsidRDefault="00F52F28" w:rsidP="00E918EA">
            <w:pPr>
              <w:pStyle w:val="ListParagraph"/>
              <w:numPr>
                <w:ilvl w:val="0"/>
                <w:numId w:val="1"/>
              </w:numPr>
              <w:rPr>
                <w:rFonts w:cs="Calibri"/>
                <w:sz w:val="22"/>
                <w:szCs w:val="22"/>
              </w:rPr>
            </w:pPr>
            <w:r w:rsidRPr="00110906">
              <w:rPr>
                <w:rFonts w:eastAsia="Calibri" w:cs="Calibri"/>
                <w:sz w:val="22"/>
                <w:szCs w:val="22"/>
                <w:lang w:eastAsia="en-AU"/>
              </w:rPr>
              <w:t xml:space="preserve">Recognise that building organisational capability is not only about individual skills and competencies. Skills and competencies may be at a foundational level, but there are other contributory issues too: empowerment, delegation of authority, confidence in decision </w:t>
            </w:r>
            <w:r w:rsidRPr="00110906">
              <w:rPr>
                <w:rFonts w:eastAsia="Calibri" w:cs="Calibri"/>
                <w:sz w:val="22"/>
                <w:szCs w:val="22"/>
                <w:lang w:eastAsia="en-AU"/>
              </w:rPr>
              <w:lastRenderedPageBreak/>
              <w:t>making</w:t>
            </w:r>
            <w:proofErr w:type="gramStart"/>
            <w:r w:rsidRPr="00110906">
              <w:rPr>
                <w:rFonts w:eastAsia="Calibri" w:cs="Calibri"/>
                <w:sz w:val="22"/>
                <w:szCs w:val="22"/>
                <w:lang w:eastAsia="en-AU"/>
              </w:rPr>
              <w:t>, an</w:t>
            </w:r>
            <w:proofErr w:type="gramEnd"/>
            <w:r w:rsidRPr="00110906">
              <w:rPr>
                <w:rFonts w:eastAsia="Calibri" w:cs="Calibri"/>
                <w:sz w:val="22"/>
                <w:szCs w:val="22"/>
                <w:lang w:eastAsia="en-AU"/>
              </w:rPr>
              <w:t xml:space="preserve"> operational system of performance assessment. Skills and competencies are necessary, but they are not sufficient</w:t>
            </w:r>
            <w:r>
              <w:rPr>
                <w:rFonts w:eastAsia="Calibri" w:cs="Calibri"/>
                <w:sz w:val="22"/>
                <w:szCs w:val="22"/>
                <w:lang w:eastAsia="en-AU"/>
              </w:rPr>
              <w:t xml:space="preserve">. </w:t>
            </w:r>
          </w:p>
        </w:tc>
        <w:tc>
          <w:tcPr>
            <w:tcW w:w="1275" w:type="dxa"/>
          </w:tcPr>
          <w:p w14:paraId="606BEF72" w14:textId="77777777" w:rsidR="00F52F28" w:rsidRPr="00C26FDB" w:rsidRDefault="00F52F28" w:rsidP="00E918EA">
            <w:pPr>
              <w:rPr>
                <w:rFonts w:cs="Calibri"/>
                <w:sz w:val="22"/>
                <w:szCs w:val="22"/>
              </w:rPr>
            </w:pPr>
            <w:r>
              <w:rPr>
                <w:rFonts w:cs="Calibri"/>
                <w:sz w:val="22"/>
                <w:szCs w:val="22"/>
              </w:rPr>
              <w:lastRenderedPageBreak/>
              <w:t>A</w:t>
            </w:r>
            <w:r w:rsidRPr="00C26FDB">
              <w:rPr>
                <w:rFonts w:cs="Calibri"/>
                <w:sz w:val="22"/>
                <w:szCs w:val="22"/>
              </w:rPr>
              <w:t>gree</w:t>
            </w:r>
          </w:p>
        </w:tc>
        <w:tc>
          <w:tcPr>
            <w:tcW w:w="3969" w:type="dxa"/>
          </w:tcPr>
          <w:p w14:paraId="27CDCFF7" w14:textId="77777777" w:rsidR="00F52F28" w:rsidRPr="00C26FDB" w:rsidRDefault="00F52F28" w:rsidP="00E918EA">
            <w:pPr>
              <w:rPr>
                <w:rFonts w:cs="Calibri"/>
                <w:sz w:val="22"/>
                <w:szCs w:val="22"/>
              </w:rPr>
            </w:pPr>
            <w:r w:rsidRPr="00C26FDB">
              <w:rPr>
                <w:rFonts w:cs="Calibri"/>
                <w:sz w:val="22"/>
                <w:szCs w:val="22"/>
              </w:rPr>
              <w:t>PROSIVU will continue to provide technical support through embedded advisers and consider options for advisers to engage in broader organisational capacity strengthening, where feasible</w:t>
            </w:r>
            <w:r>
              <w:rPr>
                <w:rFonts w:cs="Calibri"/>
                <w:sz w:val="22"/>
                <w:szCs w:val="22"/>
              </w:rPr>
              <w:t>, and appropriate to the position.</w:t>
            </w:r>
          </w:p>
        </w:tc>
        <w:tc>
          <w:tcPr>
            <w:tcW w:w="3261" w:type="dxa"/>
          </w:tcPr>
          <w:p w14:paraId="1DB0119F" w14:textId="77777777" w:rsidR="00F52F28" w:rsidRPr="00C26FDB" w:rsidRDefault="00F52F28" w:rsidP="00E918EA">
            <w:pPr>
              <w:rPr>
                <w:rFonts w:cs="Calibri"/>
                <w:sz w:val="22"/>
                <w:szCs w:val="22"/>
              </w:rPr>
            </w:pPr>
            <w:r w:rsidRPr="00C26FDB">
              <w:rPr>
                <w:rFonts w:cs="Calibri"/>
                <w:sz w:val="22"/>
                <w:szCs w:val="22"/>
              </w:rPr>
              <w:t xml:space="preserve">DFAT to consider broadening </w:t>
            </w:r>
            <w:r>
              <w:rPr>
                <w:rFonts w:cs="Calibri"/>
                <w:sz w:val="22"/>
                <w:szCs w:val="22"/>
              </w:rPr>
              <w:t xml:space="preserve">some </w:t>
            </w:r>
            <w:r w:rsidRPr="00C26FDB">
              <w:rPr>
                <w:rFonts w:cs="Calibri"/>
                <w:sz w:val="22"/>
                <w:szCs w:val="22"/>
              </w:rPr>
              <w:t xml:space="preserve">adviser roles through the design update noting the timeframe for PROSIVU to complete work before mid-2028.  </w:t>
            </w:r>
          </w:p>
        </w:tc>
        <w:tc>
          <w:tcPr>
            <w:tcW w:w="1701" w:type="dxa"/>
          </w:tcPr>
          <w:p w14:paraId="06A0C0E7" w14:textId="77777777" w:rsidR="00F52F28" w:rsidRPr="00C26FDB" w:rsidRDefault="00F52F28" w:rsidP="00E918EA">
            <w:pPr>
              <w:rPr>
                <w:rFonts w:cs="Calibri"/>
                <w:sz w:val="22"/>
                <w:szCs w:val="22"/>
              </w:rPr>
            </w:pPr>
            <w:r>
              <w:rPr>
                <w:rFonts w:cs="Calibri"/>
                <w:sz w:val="22"/>
                <w:szCs w:val="22"/>
              </w:rPr>
              <w:t>March 2026</w:t>
            </w:r>
          </w:p>
        </w:tc>
      </w:tr>
      <w:tr w:rsidR="00F52F28" w:rsidRPr="00C26FDB" w14:paraId="40FEB483" w14:textId="77777777" w:rsidTr="00E918EA">
        <w:tc>
          <w:tcPr>
            <w:tcW w:w="3823" w:type="dxa"/>
            <w:shd w:val="clear" w:color="auto" w:fill="FFFFFF" w:themeFill="background1"/>
          </w:tcPr>
          <w:p w14:paraId="2612014B"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 xml:space="preserve">Provide whatever support is needed to the CSC to ensure the integration of the </w:t>
            </w:r>
            <w:proofErr w:type="gramStart"/>
            <w:r w:rsidRPr="00C26FDB">
              <w:rPr>
                <w:rFonts w:eastAsia="Calibri" w:cs="Calibri"/>
                <w:sz w:val="22"/>
                <w:szCs w:val="22"/>
                <w:lang w:eastAsia="en-AU"/>
              </w:rPr>
              <w:t>data base</w:t>
            </w:r>
            <w:proofErr w:type="gramEnd"/>
            <w:r w:rsidRPr="00C26FDB">
              <w:rPr>
                <w:rFonts w:eastAsia="Calibri" w:cs="Calibri"/>
                <w:sz w:val="22"/>
                <w:szCs w:val="22"/>
                <w:lang w:eastAsia="en-AU"/>
              </w:rPr>
              <w:t xml:space="preserve"> (SIGAP) with the Ministry of Finance payroll</w:t>
            </w:r>
            <w:r>
              <w:rPr>
                <w:rFonts w:eastAsia="Calibri" w:cs="Calibri"/>
                <w:sz w:val="22"/>
                <w:szCs w:val="22"/>
                <w:lang w:eastAsia="en-AU"/>
              </w:rPr>
              <w:t>.</w:t>
            </w:r>
          </w:p>
        </w:tc>
        <w:tc>
          <w:tcPr>
            <w:tcW w:w="1275" w:type="dxa"/>
          </w:tcPr>
          <w:p w14:paraId="1BC85B10" w14:textId="77777777" w:rsidR="00F52F28" w:rsidRPr="00C26FDB" w:rsidRDefault="00F52F28" w:rsidP="00E918EA">
            <w:pPr>
              <w:rPr>
                <w:rFonts w:cs="Calibri"/>
                <w:sz w:val="22"/>
                <w:szCs w:val="22"/>
              </w:rPr>
            </w:pPr>
            <w:r w:rsidRPr="00C26FDB">
              <w:rPr>
                <w:rFonts w:cs="Calibri"/>
                <w:sz w:val="22"/>
                <w:szCs w:val="22"/>
              </w:rPr>
              <w:t>Agree</w:t>
            </w:r>
          </w:p>
        </w:tc>
        <w:tc>
          <w:tcPr>
            <w:tcW w:w="3969" w:type="dxa"/>
            <w:shd w:val="clear" w:color="auto" w:fill="FFFFFF" w:themeFill="background1"/>
          </w:tcPr>
          <w:p w14:paraId="705A2CDB" w14:textId="77777777" w:rsidR="00F52F28" w:rsidRPr="00C26FDB" w:rsidRDefault="00F52F28" w:rsidP="00E918EA">
            <w:pPr>
              <w:rPr>
                <w:rFonts w:cs="Calibri"/>
                <w:sz w:val="22"/>
                <w:szCs w:val="22"/>
              </w:rPr>
            </w:pPr>
            <w:r>
              <w:rPr>
                <w:rFonts w:cs="Calibri"/>
                <w:sz w:val="22"/>
                <w:szCs w:val="22"/>
              </w:rPr>
              <w:t>DFAT agrees</w:t>
            </w:r>
            <w:r w:rsidRPr="00AC11A5">
              <w:rPr>
                <w:rFonts w:cs="Calibri"/>
                <w:sz w:val="22"/>
                <w:szCs w:val="22"/>
              </w:rPr>
              <w:t xml:space="preserve"> to</w:t>
            </w:r>
            <w:r>
              <w:rPr>
                <w:rFonts w:cs="Calibri"/>
                <w:sz w:val="22"/>
                <w:szCs w:val="22"/>
              </w:rPr>
              <w:t xml:space="preserve"> continue</w:t>
            </w:r>
            <w:r w:rsidRPr="00AC11A5">
              <w:rPr>
                <w:rFonts w:cs="Calibri"/>
                <w:sz w:val="22"/>
                <w:szCs w:val="22"/>
              </w:rPr>
              <w:t xml:space="preserve"> </w:t>
            </w:r>
            <w:r>
              <w:rPr>
                <w:rFonts w:cs="Calibri"/>
                <w:sz w:val="22"/>
                <w:szCs w:val="22"/>
              </w:rPr>
              <w:t xml:space="preserve">to </w:t>
            </w:r>
            <w:r w:rsidRPr="0057289B">
              <w:rPr>
                <w:rFonts w:cs="Calibri"/>
                <w:sz w:val="22"/>
                <w:szCs w:val="22"/>
              </w:rPr>
              <w:t xml:space="preserve">support CSC with SIGAP reform within the parameters of Pillar 3. </w:t>
            </w:r>
          </w:p>
          <w:p w14:paraId="4E77C8AA" w14:textId="77777777" w:rsidR="00F52F28" w:rsidRPr="00C26FDB" w:rsidRDefault="00F52F28" w:rsidP="00E918EA">
            <w:pPr>
              <w:rPr>
                <w:rFonts w:cs="Calibri"/>
                <w:sz w:val="22"/>
                <w:szCs w:val="22"/>
              </w:rPr>
            </w:pPr>
          </w:p>
        </w:tc>
        <w:tc>
          <w:tcPr>
            <w:tcW w:w="3261" w:type="dxa"/>
            <w:shd w:val="clear" w:color="auto" w:fill="FFFFFF" w:themeFill="background1"/>
          </w:tcPr>
          <w:p w14:paraId="645A0C61" w14:textId="77777777" w:rsidR="00F52F28" w:rsidRPr="00C26FDB" w:rsidRDefault="00F52F28" w:rsidP="00E918EA">
            <w:pPr>
              <w:rPr>
                <w:rFonts w:cs="Calibri"/>
                <w:sz w:val="22"/>
                <w:szCs w:val="22"/>
              </w:rPr>
            </w:pPr>
            <w:r w:rsidRPr="00C26FDB">
              <w:rPr>
                <w:rFonts w:cs="Calibri"/>
                <w:sz w:val="22"/>
                <w:szCs w:val="22"/>
              </w:rPr>
              <w:t xml:space="preserve">DFAT will continue to support Pillar 3, including support for the CSC reform and integration of the new SIGAP with the MoF payroll system.  </w:t>
            </w:r>
          </w:p>
        </w:tc>
        <w:tc>
          <w:tcPr>
            <w:tcW w:w="1701" w:type="dxa"/>
          </w:tcPr>
          <w:p w14:paraId="6D99D148" w14:textId="77777777" w:rsidR="00F52F28" w:rsidRPr="00C26FDB" w:rsidRDefault="00F52F28" w:rsidP="00E918EA">
            <w:pPr>
              <w:rPr>
                <w:rFonts w:cs="Calibri"/>
                <w:sz w:val="22"/>
                <w:szCs w:val="22"/>
              </w:rPr>
            </w:pPr>
            <w:r>
              <w:rPr>
                <w:rFonts w:cs="Calibri"/>
                <w:sz w:val="22"/>
                <w:szCs w:val="22"/>
              </w:rPr>
              <w:t>November 2025 (completed)</w:t>
            </w:r>
          </w:p>
        </w:tc>
      </w:tr>
      <w:tr w:rsidR="00F52F28" w:rsidRPr="0078499C" w14:paraId="0FD12D16" w14:textId="77777777" w:rsidTr="00E918EA">
        <w:tc>
          <w:tcPr>
            <w:tcW w:w="3823" w:type="dxa"/>
          </w:tcPr>
          <w:p w14:paraId="065FDB16"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The three Pillar strategies refer to interaction among the Pillars on specific OAs. This does not seem to have happened in a meaningful way. A fresh look at cross-program collaboration should be a major feature of Phase 2 (see also recommendation 16).</w:t>
            </w:r>
          </w:p>
        </w:tc>
        <w:tc>
          <w:tcPr>
            <w:tcW w:w="1275" w:type="dxa"/>
          </w:tcPr>
          <w:p w14:paraId="26649823" w14:textId="77777777" w:rsidR="00F52F28" w:rsidRPr="00C26FDB" w:rsidRDefault="00F52F28" w:rsidP="00E918EA">
            <w:pPr>
              <w:rPr>
                <w:rFonts w:cs="Calibri"/>
                <w:sz w:val="22"/>
                <w:szCs w:val="22"/>
              </w:rPr>
            </w:pPr>
            <w:r w:rsidRPr="00C26FDB">
              <w:rPr>
                <w:rFonts w:cs="Calibri"/>
                <w:sz w:val="22"/>
                <w:szCs w:val="22"/>
              </w:rPr>
              <w:t>Agree</w:t>
            </w:r>
          </w:p>
        </w:tc>
        <w:tc>
          <w:tcPr>
            <w:tcW w:w="3969" w:type="dxa"/>
          </w:tcPr>
          <w:p w14:paraId="7C2D3294" w14:textId="77777777" w:rsidR="00F52F28" w:rsidRPr="0078499C" w:rsidRDefault="00F52F28" w:rsidP="00E918EA">
            <w:pPr>
              <w:rPr>
                <w:rFonts w:cs="Calibri"/>
                <w:sz w:val="22"/>
                <w:szCs w:val="22"/>
              </w:rPr>
            </w:pPr>
            <w:r w:rsidRPr="6ED18E86">
              <w:rPr>
                <w:rFonts w:cs="Calibri"/>
                <w:sz w:val="22"/>
                <w:szCs w:val="22"/>
              </w:rPr>
              <w:t xml:space="preserve">DFAT agrees that pillar interaction is not systematic across PROSIVU and needs strengthening to ensure better coordination. </w:t>
            </w:r>
          </w:p>
        </w:tc>
        <w:tc>
          <w:tcPr>
            <w:tcW w:w="3261" w:type="dxa"/>
          </w:tcPr>
          <w:p w14:paraId="6CFA5CFC" w14:textId="77777777" w:rsidR="00F52F28" w:rsidRPr="0078499C" w:rsidRDefault="00F52F28" w:rsidP="00E918EA">
            <w:pPr>
              <w:rPr>
                <w:rFonts w:cs="Calibri"/>
                <w:sz w:val="22"/>
                <w:szCs w:val="22"/>
              </w:rPr>
            </w:pPr>
            <w:r w:rsidRPr="0078499C">
              <w:rPr>
                <w:rFonts w:cs="Calibri"/>
                <w:sz w:val="22"/>
                <w:szCs w:val="22"/>
              </w:rPr>
              <w:t xml:space="preserve">DFAT and PROSIVU, through the design update, will incorporate ways to improve collaboration across the three pillars. </w:t>
            </w:r>
          </w:p>
        </w:tc>
        <w:tc>
          <w:tcPr>
            <w:tcW w:w="1701" w:type="dxa"/>
          </w:tcPr>
          <w:p w14:paraId="5BCE2E40" w14:textId="77777777" w:rsidR="00F52F28" w:rsidRPr="0078499C" w:rsidRDefault="00F52F28" w:rsidP="00E918EA">
            <w:pPr>
              <w:rPr>
                <w:rFonts w:cs="Calibri"/>
                <w:sz w:val="22"/>
                <w:szCs w:val="22"/>
              </w:rPr>
            </w:pPr>
            <w:r>
              <w:rPr>
                <w:rFonts w:cs="Calibri"/>
                <w:sz w:val="22"/>
                <w:szCs w:val="22"/>
              </w:rPr>
              <w:t>March 2026</w:t>
            </w:r>
          </w:p>
        </w:tc>
      </w:tr>
      <w:tr w:rsidR="00F52F28" w:rsidRPr="6ED18E86" w14:paraId="407195D9" w14:textId="77777777" w:rsidTr="00E918EA">
        <w:tc>
          <w:tcPr>
            <w:tcW w:w="3823" w:type="dxa"/>
          </w:tcPr>
          <w:p w14:paraId="66BB64AE"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The three Pillar strategies should only be updated if DFAT and PROSIVU are convinced that they will have immediate operational value</w:t>
            </w:r>
          </w:p>
        </w:tc>
        <w:tc>
          <w:tcPr>
            <w:tcW w:w="1275" w:type="dxa"/>
          </w:tcPr>
          <w:p w14:paraId="3E125030" w14:textId="77777777" w:rsidR="00F52F28" w:rsidRPr="00C26FDB" w:rsidRDefault="00F52F28" w:rsidP="00E918EA">
            <w:pPr>
              <w:rPr>
                <w:rFonts w:cs="Calibri"/>
                <w:sz w:val="22"/>
                <w:szCs w:val="22"/>
              </w:rPr>
            </w:pPr>
            <w:r w:rsidRPr="00C26FDB">
              <w:rPr>
                <w:rFonts w:cs="Calibri"/>
                <w:sz w:val="22"/>
                <w:szCs w:val="22"/>
              </w:rPr>
              <w:t>Agree</w:t>
            </w:r>
          </w:p>
        </w:tc>
        <w:tc>
          <w:tcPr>
            <w:tcW w:w="3969" w:type="dxa"/>
          </w:tcPr>
          <w:p w14:paraId="5F9B0745" w14:textId="77777777" w:rsidR="00F52F28" w:rsidRPr="00C26FDB" w:rsidRDefault="00F52F28" w:rsidP="00E918EA">
            <w:pPr>
              <w:rPr>
                <w:rFonts w:cs="Calibri"/>
                <w:sz w:val="22"/>
                <w:szCs w:val="22"/>
              </w:rPr>
            </w:pPr>
            <w:r w:rsidRPr="00C26FDB">
              <w:rPr>
                <w:rFonts w:cs="Calibri"/>
                <w:sz w:val="22"/>
                <w:szCs w:val="22"/>
              </w:rPr>
              <w:t xml:space="preserve">DFAT and PROSIVU will review the three pillar strategies and consider updates.  </w:t>
            </w:r>
          </w:p>
        </w:tc>
        <w:tc>
          <w:tcPr>
            <w:tcW w:w="3261" w:type="dxa"/>
          </w:tcPr>
          <w:p w14:paraId="5972C6FE" w14:textId="77777777" w:rsidR="00F52F28" w:rsidRPr="0078499C" w:rsidRDefault="00F52F28" w:rsidP="00E918EA">
            <w:pPr>
              <w:rPr>
                <w:rFonts w:cs="Calibri"/>
                <w:sz w:val="22"/>
                <w:szCs w:val="22"/>
              </w:rPr>
            </w:pPr>
            <w:r w:rsidRPr="6ED18E86">
              <w:rPr>
                <w:rFonts w:cs="Calibri"/>
                <w:sz w:val="22"/>
                <w:szCs w:val="22"/>
              </w:rPr>
              <w:t xml:space="preserve">The design update process will identify if pillar strategies should be updated for Phase 2, noting the timeframe for PROSIVU is now until mid-2028.  </w:t>
            </w:r>
          </w:p>
        </w:tc>
        <w:tc>
          <w:tcPr>
            <w:tcW w:w="1701" w:type="dxa"/>
          </w:tcPr>
          <w:p w14:paraId="2348F1D1" w14:textId="77777777" w:rsidR="00F52F28" w:rsidRPr="6ED18E86" w:rsidRDefault="00F52F28" w:rsidP="00E918EA">
            <w:pPr>
              <w:rPr>
                <w:rFonts w:cs="Calibri"/>
                <w:sz w:val="22"/>
                <w:szCs w:val="22"/>
              </w:rPr>
            </w:pPr>
            <w:r>
              <w:rPr>
                <w:rFonts w:cs="Calibri"/>
                <w:sz w:val="22"/>
                <w:szCs w:val="22"/>
              </w:rPr>
              <w:t>March 2026</w:t>
            </w:r>
          </w:p>
        </w:tc>
      </w:tr>
      <w:tr w:rsidR="00F52F28" w:rsidRPr="0078499C" w14:paraId="5EC00B51" w14:textId="77777777" w:rsidTr="00E918EA">
        <w:tc>
          <w:tcPr>
            <w:tcW w:w="3823" w:type="dxa"/>
          </w:tcPr>
          <w:p w14:paraId="608E8524" w14:textId="77777777" w:rsidR="00F52F28" w:rsidRPr="00C26FDB" w:rsidRDefault="00F52F28" w:rsidP="00E918EA">
            <w:pPr>
              <w:pStyle w:val="ListParagraph"/>
              <w:numPr>
                <w:ilvl w:val="0"/>
                <w:numId w:val="1"/>
              </w:numPr>
              <w:ind w:left="335" w:hanging="335"/>
              <w:rPr>
                <w:rFonts w:eastAsia="Calibri" w:cs="Calibri"/>
                <w:sz w:val="22"/>
                <w:szCs w:val="22"/>
                <w:lang w:eastAsia="en-AU"/>
              </w:rPr>
            </w:pPr>
            <w:r w:rsidRPr="00C26FDB">
              <w:rPr>
                <w:rFonts w:eastAsia="Calibri" w:cs="Calibri"/>
                <w:sz w:val="22"/>
                <w:szCs w:val="22"/>
                <w:lang w:eastAsia="en-AU"/>
              </w:rPr>
              <w:t xml:space="preserve">Clear-eyed decisions need to be made on the ongoing </w:t>
            </w:r>
            <w:r>
              <w:rPr>
                <w:rFonts w:eastAsia="Calibri" w:cs="Calibri"/>
                <w:sz w:val="22"/>
                <w:szCs w:val="22"/>
                <w:lang w:eastAsia="en-AU"/>
              </w:rPr>
              <w:t>Gender Responsive Budget (</w:t>
            </w:r>
            <w:r w:rsidRPr="00C26FDB">
              <w:rPr>
                <w:rFonts w:eastAsia="Calibri" w:cs="Calibri"/>
                <w:sz w:val="22"/>
                <w:szCs w:val="22"/>
                <w:lang w:eastAsia="en-AU"/>
              </w:rPr>
              <w:t>GRB</w:t>
            </w:r>
            <w:r>
              <w:rPr>
                <w:rFonts w:eastAsia="Calibri" w:cs="Calibri"/>
                <w:sz w:val="22"/>
                <w:szCs w:val="22"/>
                <w:lang w:eastAsia="en-AU"/>
              </w:rPr>
              <w:t>)</w:t>
            </w:r>
            <w:r w:rsidRPr="00C26FDB">
              <w:rPr>
                <w:rFonts w:eastAsia="Calibri" w:cs="Calibri"/>
                <w:sz w:val="22"/>
                <w:szCs w:val="22"/>
                <w:lang w:eastAsia="en-AU"/>
              </w:rPr>
              <w:t xml:space="preserve"> engagement, and the options brief on disability budgeting.</w:t>
            </w:r>
          </w:p>
          <w:p w14:paraId="569691B7" w14:textId="77777777" w:rsidR="00F52F28" w:rsidRPr="00C26FDB" w:rsidRDefault="00F52F28" w:rsidP="00E918EA">
            <w:pPr>
              <w:pStyle w:val="ListParagraph"/>
              <w:ind w:left="311"/>
              <w:rPr>
                <w:rFonts w:eastAsia="Calibri" w:cs="Calibri"/>
                <w:sz w:val="22"/>
                <w:szCs w:val="22"/>
                <w:lang w:eastAsia="en-AU"/>
              </w:rPr>
            </w:pPr>
          </w:p>
        </w:tc>
        <w:tc>
          <w:tcPr>
            <w:tcW w:w="1275" w:type="dxa"/>
          </w:tcPr>
          <w:p w14:paraId="6960F8F0" w14:textId="77777777" w:rsidR="00F52F28" w:rsidRPr="00C26FDB" w:rsidRDefault="00F52F28" w:rsidP="00E918EA">
            <w:pPr>
              <w:rPr>
                <w:rFonts w:cs="Calibri"/>
                <w:sz w:val="22"/>
                <w:szCs w:val="22"/>
              </w:rPr>
            </w:pPr>
            <w:r w:rsidRPr="00C26FDB">
              <w:rPr>
                <w:rFonts w:cs="Calibri"/>
                <w:sz w:val="22"/>
                <w:szCs w:val="22"/>
              </w:rPr>
              <w:t>Agree</w:t>
            </w:r>
          </w:p>
        </w:tc>
        <w:tc>
          <w:tcPr>
            <w:tcW w:w="3969" w:type="dxa"/>
          </w:tcPr>
          <w:p w14:paraId="483AF8C3" w14:textId="77777777" w:rsidR="00F52F28" w:rsidRPr="0078499C" w:rsidRDefault="00F52F28" w:rsidP="00E918EA">
            <w:pPr>
              <w:rPr>
                <w:rFonts w:cs="Calibri"/>
                <w:sz w:val="22"/>
                <w:szCs w:val="22"/>
              </w:rPr>
            </w:pPr>
            <w:r>
              <w:rPr>
                <w:rFonts w:cs="Calibri"/>
                <w:sz w:val="22"/>
                <w:szCs w:val="22"/>
              </w:rPr>
              <w:t>DFAT agrees that</w:t>
            </w:r>
            <w:r w:rsidRPr="0078499C">
              <w:rPr>
                <w:rFonts w:cs="Calibri"/>
                <w:sz w:val="22"/>
                <w:szCs w:val="22"/>
              </w:rPr>
              <w:t xml:space="preserve"> PROSIVU should provide regular updates to DFAT on the implementation of the 14 recommendations in the GRB review.  </w:t>
            </w:r>
          </w:p>
        </w:tc>
        <w:tc>
          <w:tcPr>
            <w:tcW w:w="3261" w:type="dxa"/>
          </w:tcPr>
          <w:p w14:paraId="1966280F" w14:textId="77777777" w:rsidR="00F52F28" w:rsidRPr="0078499C" w:rsidRDefault="00F52F28" w:rsidP="00E918EA">
            <w:pPr>
              <w:rPr>
                <w:rFonts w:cs="Calibri"/>
                <w:sz w:val="22"/>
                <w:szCs w:val="22"/>
              </w:rPr>
            </w:pPr>
            <w:r w:rsidRPr="0078499C">
              <w:rPr>
                <w:rFonts w:cs="Calibri"/>
                <w:sz w:val="22"/>
                <w:szCs w:val="22"/>
              </w:rPr>
              <w:t xml:space="preserve">The design update will outline updates to GRB reporting and provide recommendations on future GRB engagement and disability budgeting.  </w:t>
            </w:r>
          </w:p>
        </w:tc>
        <w:tc>
          <w:tcPr>
            <w:tcW w:w="1701" w:type="dxa"/>
          </w:tcPr>
          <w:p w14:paraId="7F1B8B68" w14:textId="77777777" w:rsidR="00F52F28" w:rsidRPr="0078499C" w:rsidRDefault="00F52F28" w:rsidP="00E918EA">
            <w:pPr>
              <w:rPr>
                <w:rFonts w:cs="Calibri"/>
                <w:sz w:val="22"/>
                <w:szCs w:val="22"/>
              </w:rPr>
            </w:pPr>
            <w:r>
              <w:rPr>
                <w:rFonts w:cs="Calibri"/>
                <w:sz w:val="22"/>
                <w:szCs w:val="22"/>
              </w:rPr>
              <w:t>March 2026</w:t>
            </w:r>
          </w:p>
        </w:tc>
      </w:tr>
      <w:tr w:rsidR="00F52F28" w:rsidRPr="00C26FDB" w14:paraId="3FE586BE" w14:textId="77777777" w:rsidTr="00E918EA">
        <w:tc>
          <w:tcPr>
            <w:tcW w:w="3823" w:type="dxa"/>
          </w:tcPr>
          <w:p w14:paraId="087F0A0E" w14:textId="77777777" w:rsidR="00F52F28" w:rsidRPr="00C26FDB" w:rsidRDefault="00F52F28" w:rsidP="00E918EA">
            <w:pPr>
              <w:pStyle w:val="ListParagraph"/>
              <w:numPr>
                <w:ilvl w:val="0"/>
                <w:numId w:val="1"/>
              </w:numPr>
              <w:ind w:left="335" w:hanging="335"/>
              <w:rPr>
                <w:rFonts w:eastAsia="Calibri" w:cs="Calibri"/>
                <w:sz w:val="22"/>
                <w:szCs w:val="22"/>
                <w:lang w:eastAsia="en-AU"/>
              </w:rPr>
            </w:pPr>
            <w:r w:rsidRPr="00C26FDB">
              <w:rPr>
                <w:rFonts w:eastAsia="Calibri" w:cs="Calibri"/>
                <w:sz w:val="22"/>
                <w:szCs w:val="22"/>
                <w:lang w:eastAsia="en-AU"/>
              </w:rPr>
              <w:t xml:space="preserve">Be informed and build upon </w:t>
            </w:r>
            <w:proofErr w:type="spellStart"/>
            <w:r w:rsidRPr="00C26FDB">
              <w:rPr>
                <w:rFonts w:eastAsia="Calibri" w:cs="Calibri"/>
                <w:sz w:val="22"/>
                <w:szCs w:val="22"/>
                <w:lang w:eastAsia="en-AU"/>
              </w:rPr>
              <w:t>GoTL’s</w:t>
            </w:r>
            <w:proofErr w:type="spellEnd"/>
            <w:r w:rsidRPr="00C26FDB">
              <w:rPr>
                <w:rFonts w:eastAsia="Calibri" w:cs="Calibri"/>
                <w:sz w:val="22"/>
                <w:szCs w:val="22"/>
                <w:lang w:eastAsia="en-AU"/>
              </w:rPr>
              <w:t xml:space="preserve"> disability commitments related to PROSIVU’s pillars.</w:t>
            </w:r>
          </w:p>
        </w:tc>
        <w:tc>
          <w:tcPr>
            <w:tcW w:w="1275" w:type="dxa"/>
          </w:tcPr>
          <w:p w14:paraId="0CB17695" w14:textId="77777777" w:rsidR="00F52F28" w:rsidRPr="00C26FDB" w:rsidRDefault="00F52F28" w:rsidP="00E918EA">
            <w:pPr>
              <w:rPr>
                <w:rFonts w:cs="Calibri"/>
                <w:sz w:val="22"/>
                <w:szCs w:val="22"/>
              </w:rPr>
            </w:pPr>
            <w:r w:rsidRPr="00C26FDB">
              <w:rPr>
                <w:rFonts w:cs="Calibri"/>
                <w:sz w:val="22"/>
                <w:szCs w:val="22"/>
              </w:rPr>
              <w:t>Agree</w:t>
            </w:r>
          </w:p>
        </w:tc>
        <w:tc>
          <w:tcPr>
            <w:tcW w:w="3969" w:type="dxa"/>
          </w:tcPr>
          <w:p w14:paraId="0F1EEE26" w14:textId="77777777" w:rsidR="00F52F28" w:rsidRPr="00C26FDB" w:rsidRDefault="00F52F28" w:rsidP="00E918EA">
            <w:pPr>
              <w:rPr>
                <w:rFonts w:cs="Calibri"/>
                <w:sz w:val="22"/>
                <w:szCs w:val="22"/>
              </w:rPr>
            </w:pPr>
            <w:r w:rsidRPr="6ED18E86">
              <w:rPr>
                <w:rFonts w:cs="Calibri"/>
                <w:sz w:val="22"/>
                <w:szCs w:val="22"/>
              </w:rPr>
              <w:t xml:space="preserve">DFAT agrees that PROSIVU has been focused on other areas and can do more to </w:t>
            </w:r>
            <w:r>
              <w:rPr>
                <w:rFonts w:cs="Calibri"/>
                <w:sz w:val="22"/>
                <w:szCs w:val="22"/>
              </w:rPr>
              <w:t>mainstream</w:t>
            </w:r>
            <w:r w:rsidRPr="6ED18E86">
              <w:rPr>
                <w:rFonts w:cs="Calibri"/>
                <w:sz w:val="22"/>
                <w:szCs w:val="22"/>
              </w:rPr>
              <w:t xml:space="preserve"> disability support going forward.  PROSIVU will explore opportunities for support through the </w:t>
            </w:r>
            <w:r w:rsidRPr="6ED18E86">
              <w:rPr>
                <w:rFonts w:cs="Calibri"/>
                <w:sz w:val="22"/>
                <w:szCs w:val="22"/>
              </w:rPr>
              <w:lastRenderedPageBreak/>
              <w:t xml:space="preserve">Disability National Action Plan (DNAP) with the GoTL, </w:t>
            </w:r>
            <w:proofErr w:type="gramStart"/>
            <w:r w:rsidRPr="6ED18E86">
              <w:rPr>
                <w:rFonts w:cs="Calibri"/>
                <w:sz w:val="22"/>
                <w:szCs w:val="22"/>
              </w:rPr>
              <w:t>in particular the</w:t>
            </w:r>
            <w:proofErr w:type="gramEnd"/>
            <w:r w:rsidRPr="6ED18E86">
              <w:rPr>
                <w:rFonts w:cs="Calibri"/>
                <w:sz w:val="22"/>
                <w:szCs w:val="22"/>
              </w:rPr>
              <w:t xml:space="preserve"> Ministry of Transport and Communications and the CSC.  </w:t>
            </w:r>
          </w:p>
        </w:tc>
        <w:tc>
          <w:tcPr>
            <w:tcW w:w="3261" w:type="dxa"/>
          </w:tcPr>
          <w:p w14:paraId="30A2EE3D" w14:textId="77777777" w:rsidR="00F52F28" w:rsidRPr="00C26FDB" w:rsidRDefault="00F52F28" w:rsidP="00E918EA">
            <w:pPr>
              <w:rPr>
                <w:rFonts w:cs="Calibri"/>
                <w:sz w:val="22"/>
                <w:szCs w:val="22"/>
              </w:rPr>
            </w:pPr>
            <w:r w:rsidRPr="00C26FDB">
              <w:rPr>
                <w:rFonts w:cs="Calibri"/>
                <w:sz w:val="22"/>
                <w:szCs w:val="22"/>
              </w:rPr>
              <w:lastRenderedPageBreak/>
              <w:t xml:space="preserve">PROSIVU to update workplans and identify opportunities for greater engagement with </w:t>
            </w:r>
            <w:proofErr w:type="gramStart"/>
            <w:r w:rsidRPr="00C26FDB">
              <w:rPr>
                <w:rFonts w:cs="Calibri"/>
                <w:sz w:val="22"/>
                <w:szCs w:val="22"/>
              </w:rPr>
              <w:t>the</w:t>
            </w:r>
            <w:r>
              <w:rPr>
                <w:rFonts w:cs="Calibri"/>
                <w:sz w:val="22"/>
                <w:szCs w:val="22"/>
              </w:rPr>
              <w:t xml:space="preserve"> </w:t>
            </w:r>
            <w:r w:rsidRPr="00C26FDB">
              <w:rPr>
                <w:rFonts w:cs="Calibri"/>
                <w:sz w:val="22"/>
                <w:szCs w:val="22"/>
              </w:rPr>
              <w:t>DNAP</w:t>
            </w:r>
            <w:proofErr w:type="gramEnd"/>
            <w:r w:rsidRPr="00C26FDB">
              <w:rPr>
                <w:rFonts w:cs="Calibri"/>
                <w:sz w:val="22"/>
                <w:szCs w:val="22"/>
              </w:rPr>
              <w:t xml:space="preserve">, once the disability adviser has been recruited. </w:t>
            </w:r>
          </w:p>
        </w:tc>
        <w:tc>
          <w:tcPr>
            <w:tcW w:w="1701" w:type="dxa"/>
          </w:tcPr>
          <w:p w14:paraId="759A6A1B" w14:textId="77777777" w:rsidR="00F52F28" w:rsidRPr="00C26FDB" w:rsidRDefault="00F52F28" w:rsidP="00E918EA">
            <w:pPr>
              <w:rPr>
                <w:rFonts w:cs="Calibri"/>
                <w:sz w:val="22"/>
                <w:szCs w:val="22"/>
              </w:rPr>
            </w:pPr>
            <w:r>
              <w:rPr>
                <w:rFonts w:cs="Calibri"/>
                <w:sz w:val="22"/>
                <w:szCs w:val="22"/>
              </w:rPr>
              <w:t>March 2026</w:t>
            </w:r>
          </w:p>
        </w:tc>
      </w:tr>
      <w:tr w:rsidR="00F52F28" w:rsidRPr="00C26FDB" w14:paraId="7050BB6B" w14:textId="77777777" w:rsidTr="00E918EA">
        <w:tc>
          <w:tcPr>
            <w:tcW w:w="3823" w:type="dxa"/>
          </w:tcPr>
          <w:p w14:paraId="636F0774" w14:textId="77777777" w:rsidR="00F52F28" w:rsidRPr="00C26FDB" w:rsidRDefault="00F52F28" w:rsidP="00E918EA">
            <w:pPr>
              <w:pStyle w:val="ListParagraph"/>
              <w:numPr>
                <w:ilvl w:val="0"/>
                <w:numId w:val="1"/>
              </w:numPr>
              <w:ind w:left="335" w:hanging="335"/>
              <w:rPr>
                <w:rFonts w:eastAsia="Calibri" w:cs="Calibri"/>
                <w:sz w:val="22"/>
                <w:szCs w:val="22"/>
                <w:lang w:eastAsia="en-AU"/>
              </w:rPr>
            </w:pPr>
            <w:r w:rsidRPr="00C26FDB">
              <w:rPr>
                <w:rFonts w:eastAsia="Calibri" w:cs="Calibri"/>
                <w:sz w:val="22"/>
                <w:szCs w:val="22"/>
                <w:lang w:eastAsia="en-AU"/>
              </w:rPr>
              <w:t>Increase fluency on GEDSI internally.</w:t>
            </w:r>
          </w:p>
          <w:p w14:paraId="357DE494" w14:textId="77777777" w:rsidR="00F52F28" w:rsidRPr="00C26FDB" w:rsidRDefault="00F52F28" w:rsidP="00E918EA">
            <w:pPr>
              <w:spacing w:before="40" w:after="40"/>
              <w:jc w:val="both"/>
              <w:rPr>
                <w:rFonts w:eastAsia="Calibri" w:cs="Calibri"/>
                <w:sz w:val="22"/>
                <w:szCs w:val="22"/>
                <w:highlight w:val="yellow"/>
                <w:lang w:eastAsia="en-AU"/>
              </w:rPr>
            </w:pPr>
          </w:p>
        </w:tc>
        <w:tc>
          <w:tcPr>
            <w:tcW w:w="1275" w:type="dxa"/>
          </w:tcPr>
          <w:p w14:paraId="39B6C9C6" w14:textId="77777777" w:rsidR="00F52F28" w:rsidRPr="00C26FDB" w:rsidRDefault="00F52F28" w:rsidP="00E918EA">
            <w:pPr>
              <w:rPr>
                <w:rFonts w:cs="Calibri"/>
                <w:sz w:val="22"/>
                <w:szCs w:val="22"/>
              </w:rPr>
            </w:pPr>
            <w:r w:rsidRPr="00C26FDB">
              <w:rPr>
                <w:rFonts w:cs="Calibri"/>
                <w:sz w:val="22"/>
                <w:szCs w:val="22"/>
              </w:rPr>
              <w:t>Agree</w:t>
            </w:r>
          </w:p>
        </w:tc>
        <w:tc>
          <w:tcPr>
            <w:tcW w:w="3969" w:type="dxa"/>
          </w:tcPr>
          <w:p w14:paraId="346779C3" w14:textId="77777777" w:rsidR="00F52F28" w:rsidRPr="00C26FDB" w:rsidRDefault="00F52F28" w:rsidP="00E918EA">
            <w:pPr>
              <w:rPr>
                <w:rFonts w:cs="Calibri"/>
                <w:sz w:val="22"/>
                <w:szCs w:val="22"/>
              </w:rPr>
            </w:pPr>
            <w:r w:rsidRPr="00C26FDB">
              <w:rPr>
                <w:rFonts w:cs="Calibri"/>
                <w:sz w:val="22"/>
                <w:szCs w:val="22"/>
              </w:rPr>
              <w:t xml:space="preserve">PROSIVU has improved staff fluency </w:t>
            </w:r>
            <w:proofErr w:type="gramStart"/>
            <w:r w:rsidRPr="00C26FDB">
              <w:rPr>
                <w:rFonts w:cs="Calibri"/>
                <w:sz w:val="22"/>
                <w:szCs w:val="22"/>
              </w:rPr>
              <w:t>on</w:t>
            </w:r>
            <w:proofErr w:type="gramEnd"/>
            <w:r w:rsidRPr="00C26FDB">
              <w:rPr>
                <w:rFonts w:cs="Calibri"/>
                <w:sz w:val="22"/>
                <w:szCs w:val="22"/>
              </w:rPr>
              <w:t xml:space="preserve"> gender </w:t>
            </w:r>
            <w:proofErr w:type="gramStart"/>
            <w:r w:rsidRPr="00C26FDB">
              <w:rPr>
                <w:rFonts w:cs="Calibri"/>
                <w:sz w:val="22"/>
                <w:szCs w:val="22"/>
              </w:rPr>
              <w:t>equality</w:t>
            </w:r>
            <w:proofErr w:type="gramEnd"/>
            <w:r w:rsidRPr="00C26FDB">
              <w:rPr>
                <w:rFonts w:cs="Calibri"/>
                <w:sz w:val="22"/>
                <w:szCs w:val="22"/>
              </w:rPr>
              <w:t xml:space="preserve"> and this should be expanded to include disability.     </w:t>
            </w:r>
          </w:p>
        </w:tc>
        <w:tc>
          <w:tcPr>
            <w:tcW w:w="3261" w:type="dxa"/>
          </w:tcPr>
          <w:p w14:paraId="00B6F699" w14:textId="77777777" w:rsidR="00F52F28" w:rsidRPr="00C26FDB" w:rsidRDefault="00F52F28" w:rsidP="00E918EA">
            <w:pPr>
              <w:rPr>
                <w:rFonts w:cs="Calibri"/>
                <w:sz w:val="22"/>
                <w:szCs w:val="22"/>
              </w:rPr>
            </w:pPr>
            <w:r w:rsidRPr="00C26FDB">
              <w:rPr>
                <w:rFonts w:cs="Calibri"/>
                <w:sz w:val="22"/>
                <w:szCs w:val="22"/>
              </w:rPr>
              <w:t xml:space="preserve">PROSIVU to develop plans to improve staff fluency on disability, once the disability adviser has been recruited.  </w:t>
            </w:r>
          </w:p>
        </w:tc>
        <w:tc>
          <w:tcPr>
            <w:tcW w:w="1701" w:type="dxa"/>
          </w:tcPr>
          <w:p w14:paraId="061F0D5F" w14:textId="77777777" w:rsidR="00F52F28" w:rsidRPr="00C26FDB" w:rsidRDefault="00F52F28" w:rsidP="00E918EA">
            <w:pPr>
              <w:rPr>
                <w:rFonts w:cs="Calibri"/>
                <w:sz w:val="22"/>
                <w:szCs w:val="22"/>
              </w:rPr>
            </w:pPr>
            <w:r>
              <w:rPr>
                <w:rFonts w:cs="Calibri"/>
                <w:sz w:val="22"/>
                <w:szCs w:val="22"/>
              </w:rPr>
              <w:t>March 2026</w:t>
            </w:r>
          </w:p>
        </w:tc>
      </w:tr>
    </w:tbl>
    <w:p w14:paraId="118983BE" w14:textId="77777777" w:rsidR="00F52F28" w:rsidRDefault="00F52F28" w:rsidP="00980A42"/>
    <w:p w14:paraId="01464598" w14:textId="44089FFB" w:rsidR="00F52F28" w:rsidRPr="00F52F28" w:rsidRDefault="00F52F28" w:rsidP="00B26973">
      <w:pPr>
        <w:pStyle w:val="Heading2"/>
      </w:pPr>
      <w:r w:rsidRPr="00F52F28">
        <w:t>Operational</w:t>
      </w:r>
    </w:p>
    <w:tbl>
      <w:tblPr>
        <w:tblStyle w:val="TableGrid"/>
        <w:tblW w:w="14029" w:type="dxa"/>
        <w:tblLook w:val="04A0" w:firstRow="1" w:lastRow="0" w:firstColumn="1" w:lastColumn="0" w:noHBand="0" w:noVBand="1"/>
      </w:tblPr>
      <w:tblGrid>
        <w:gridCol w:w="3823"/>
        <w:gridCol w:w="1275"/>
        <w:gridCol w:w="3969"/>
        <w:gridCol w:w="3261"/>
        <w:gridCol w:w="1701"/>
      </w:tblGrid>
      <w:tr w:rsidR="00F52F28" w:rsidRPr="00110906" w14:paraId="671DCC3F" w14:textId="77777777" w:rsidTr="00B26973">
        <w:trPr>
          <w:tblHeader/>
        </w:trPr>
        <w:tc>
          <w:tcPr>
            <w:tcW w:w="3823" w:type="dxa"/>
          </w:tcPr>
          <w:p w14:paraId="7DFDF671" w14:textId="77777777" w:rsidR="00F52F28" w:rsidRPr="00F52F28" w:rsidRDefault="00F52F28" w:rsidP="00E918EA">
            <w:pPr>
              <w:rPr>
                <w:rFonts w:ascii="Calibri" w:hAnsi="Calibri" w:cs="Calibri"/>
                <w:b/>
                <w:bCs/>
              </w:rPr>
            </w:pPr>
            <w:r w:rsidRPr="00F52F28">
              <w:rPr>
                <w:rFonts w:ascii="Calibri" w:hAnsi="Calibri" w:cs="Calibri"/>
                <w:b/>
                <w:bCs/>
              </w:rPr>
              <w:t>Recommendations</w:t>
            </w:r>
          </w:p>
        </w:tc>
        <w:tc>
          <w:tcPr>
            <w:tcW w:w="1275" w:type="dxa"/>
          </w:tcPr>
          <w:p w14:paraId="12E4563F" w14:textId="77777777" w:rsidR="00F52F28" w:rsidRPr="00F52F28" w:rsidRDefault="00F52F28" w:rsidP="00E918EA">
            <w:pPr>
              <w:rPr>
                <w:rFonts w:ascii="Calibri" w:hAnsi="Calibri" w:cs="Calibri"/>
                <w:b/>
                <w:bCs/>
              </w:rPr>
            </w:pPr>
            <w:r w:rsidRPr="00F52F28">
              <w:rPr>
                <w:rFonts w:ascii="Calibri" w:hAnsi="Calibri" w:cs="Calibri"/>
                <w:b/>
                <w:bCs/>
              </w:rPr>
              <w:t>Response</w:t>
            </w:r>
          </w:p>
        </w:tc>
        <w:tc>
          <w:tcPr>
            <w:tcW w:w="3969" w:type="dxa"/>
          </w:tcPr>
          <w:p w14:paraId="5CCD78D7" w14:textId="77777777" w:rsidR="00F52F28" w:rsidRPr="00F52F28" w:rsidRDefault="00F52F28" w:rsidP="00E918EA">
            <w:pPr>
              <w:rPr>
                <w:rFonts w:ascii="Calibri" w:hAnsi="Calibri" w:cs="Calibri"/>
                <w:b/>
                <w:bCs/>
              </w:rPr>
            </w:pPr>
            <w:r w:rsidRPr="00F52F28">
              <w:rPr>
                <w:rFonts w:ascii="Calibri" w:hAnsi="Calibri" w:cs="Calibri"/>
                <w:b/>
                <w:bCs/>
              </w:rPr>
              <w:t>DFAT Comment</w:t>
            </w:r>
          </w:p>
        </w:tc>
        <w:tc>
          <w:tcPr>
            <w:tcW w:w="3261" w:type="dxa"/>
          </w:tcPr>
          <w:p w14:paraId="51A1B4A9" w14:textId="77777777" w:rsidR="00F52F28" w:rsidRPr="00F52F28" w:rsidRDefault="00F52F28" w:rsidP="00E918EA">
            <w:pPr>
              <w:rPr>
                <w:rFonts w:ascii="Calibri" w:hAnsi="Calibri" w:cs="Calibri"/>
                <w:b/>
                <w:bCs/>
              </w:rPr>
            </w:pPr>
            <w:r w:rsidRPr="00F52F28">
              <w:rPr>
                <w:rFonts w:ascii="Calibri" w:hAnsi="Calibri" w:cs="Calibri"/>
                <w:b/>
                <w:bCs/>
              </w:rPr>
              <w:t>Proposed Actions</w:t>
            </w:r>
          </w:p>
        </w:tc>
        <w:tc>
          <w:tcPr>
            <w:tcW w:w="1701" w:type="dxa"/>
          </w:tcPr>
          <w:p w14:paraId="439C8818" w14:textId="77777777" w:rsidR="00F52F28" w:rsidRPr="00F52F28" w:rsidRDefault="00F52F28" w:rsidP="00E918EA">
            <w:pPr>
              <w:rPr>
                <w:rFonts w:ascii="Calibri" w:hAnsi="Calibri" w:cs="Calibri"/>
                <w:b/>
                <w:bCs/>
              </w:rPr>
            </w:pPr>
            <w:r w:rsidRPr="00F52F28">
              <w:rPr>
                <w:rFonts w:ascii="Calibri" w:hAnsi="Calibri" w:cs="Calibri"/>
                <w:b/>
                <w:bCs/>
              </w:rPr>
              <w:t>Timeframe</w:t>
            </w:r>
          </w:p>
        </w:tc>
      </w:tr>
      <w:tr w:rsidR="00F52F28" w:rsidRPr="00110906" w14:paraId="6633841D" w14:textId="77777777" w:rsidTr="00E918EA">
        <w:tc>
          <w:tcPr>
            <w:tcW w:w="3823" w:type="dxa"/>
          </w:tcPr>
          <w:p w14:paraId="67AB7A99"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 xml:space="preserve">In the new designs for Private Sector Development (PSD), </w:t>
            </w:r>
            <w:proofErr w:type="spellStart"/>
            <w:r w:rsidRPr="00C26FDB">
              <w:rPr>
                <w:rFonts w:eastAsia="Calibri" w:cs="Calibri"/>
                <w:sz w:val="22"/>
                <w:szCs w:val="22"/>
                <w:lang w:eastAsia="en-AU"/>
              </w:rPr>
              <w:t>labour</w:t>
            </w:r>
            <w:proofErr w:type="spellEnd"/>
            <w:r w:rsidRPr="00C26FDB">
              <w:rPr>
                <w:rFonts w:eastAsia="Calibri" w:cs="Calibri"/>
                <w:sz w:val="22"/>
                <w:szCs w:val="22"/>
                <w:lang w:eastAsia="en-AU"/>
              </w:rPr>
              <w:t xml:space="preserve"> mobility, and Human Development (HD), and possibly other new designs / design updates, design teams should be required to identify common Intermediate Outcomes, and possibly a common EOPO. </w:t>
            </w:r>
            <w:r w:rsidRPr="00C26FDB">
              <w:rPr>
                <w:rFonts w:eastAsia="Calibri" w:cs="Calibri Light"/>
                <w:sz w:val="22"/>
                <w:szCs w:val="22"/>
                <w:lang w:eastAsia="en-AU"/>
              </w:rPr>
              <w:t xml:space="preserve">This will </w:t>
            </w:r>
            <w:proofErr w:type="spellStart"/>
            <w:r w:rsidRPr="00C26FDB">
              <w:rPr>
                <w:rFonts w:eastAsia="Calibri" w:cs="Calibri Light"/>
                <w:sz w:val="22"/>
                <w:szCs w:val="22"/>
                <w:lang w:eastAsia="en-AU"/>
              </w:rPr>
              <w:t>incentivi</w:t>
            </w:r>
            <w:r w:rsidRPr="00110906">
              <w:rPr>
                <w:rFonts w:eastAsia="Calibri" w:cs="Calibri Light"/>
                <w:sz w:val="22"/>
                <w:szCs w:val="22"/>
                <w:lang w:eastAsia="en-AU"/>
              </w:rPr>
              <w:t>s</w:t>
            </w:r>
            <w:r w:rsidRPr="006D3915">
              <w:rPr>
                <w:rFonts w:eastAsia="Calibri" w:cs="Calibri Light"/>
                <w:sz w:val="22"/>
                <w:szCs w:val="22"/>
                <w:lang w:eastAsia="en-AU"/>
              </w:rPr>
              <w:t>e</w:t>
            </w:r>
            <w:proofErr w:type="spellEnd"/>
            <w:r w:rsidRPr="006D3915">
              <w:rPr>
                <w:rFonts w:eastAsia="Calibri" w:cs="Calibri Light"/>
                <w:sz w:val="22"/>
                <w:szCs w:val="22"/>
                <w:lang w:eastAsia="en-AU"/>
              </w:rPr>
              <w:t xml:space="preserve"> collaboration (rather than simple coordination) among implementing partners</w:t>
            </w:r>
            <w:r w:rsidRPr="00110906">
              <w:rPr>
                <w:rFonts w:eastAsia="Calibri" w:cs="Calibri Light"/>
                <w:sz w:val="22"/>
                <w:szCs w:val="22"/>
                <w:lang w:eastAsia="en-AU"/>
              </w:rPr>
              <w:t xml:space="preserve">. </w:t>
            </w:r>
          </w:p>
        </w:tc>
        <w:tc>
          <w:tcPr>
            <w:tcW w:w="1275" w:type="dxa"/>
          </w:tcPr>
          <w:p w14:paraId="388B1E24" w14:textId="77777777" w:rsidR="00F52F28" w:rsidRPr="00C26FDB" w:rsidRDefault="00F52F28" w:rsidP="00E918EA">
            <w:pPr>
              <w:rPr>
                <w:rFonts w:cs="Calibri"/>
                <w:sz w:val="22"/>
                <w:szCs w:val="22"/>
              </w:rPr>
            </w:pPr>
            <w:r w:rsidRPr="00C26FDB">
              <w:rPr>
                <w:rFonts w:cs="Calibri"/>
                <w:sz w:val="22"/>
                <w:szCs w:val="22"/>
              </w:rPr>
              <w:t>Not Agreed</w:t>
            </w:r>
          </w:p>
        </w:tc>
        <w:tc>
          <w:tcPr>
            <w:tcW w:w="3969" w:type="dxa"/>
          </w:tcPr>
          <w:p w14:paraId="4C102DC2" w14:textId="77777777" w:rsidR="00F52F28" w:rsidRPr="006D3915" w:rsidRDefault="00F52F28" w:rsidP="00E918EA">
            <w:pPr>
              <w:rPr>
                <w:rFonts w:cs="Calibri"/>
                <w:sz w:val="22"/>
                <w:szCs w:val="22"/>
              </w:rPr>
            </w:pPr>
            <w:r w:rsidRPr="6ED18E86">
              <w:rPr>
                <w:rFonts w:cs="Calibri"/>
                <w:sz w:val="22"/>
                <w:szCs w:val="22"/>
              </w:rPr>
              <w:t>DFAT does not agree with this recommendation</w:t>
            </w:r>
            <w:r>
              <w:rPr>
                <w:rFonts w:cs="Calibri"/>
                <w:sz w:val="22"/>
                <w:szCs w:val="22"/>
              </w:rPr>
              <w:t>.</w:t>
            </w:r>
            <w:r w:rsidRPr="6ED18E86">
              <w:rPr>
                <w:rFonts w:cs="Calibri"/>
                <w:sz w:val="22"/>
                <w:szCs w:val="22"/>
              </w:rPr>
              <w:t xml:space="preserve">  This would be overly ambitious at the outcome level and could broaden rather than narrow down PROSIVU’s focus. DFAT does agree that synergies should be identified and built upon</w:t>
            </w:r>
            <w:r>
              <w:rPr>
                <w:rFonts w:cs="Calibri"/>
                <w:sz w:val="22"/>
                <w:szCs w:val="22"/>
              </w:rPr>
              <w:t>, and to build in stronger cross-program, collaboration mechanisms as part of new and undated designs and potentially through contract mechanisms</w:t>
            </w:r>
            <w:r w:rsidRPr="6ED18E86">
              <w:rPr>
                <w:rFonts w:cs="Calibri"/>
                <w:sz w:val="22"/>
                <w:szCs w:val="22"/>
              </w:rPr>
              <w:t xml:space="preserve">. We propose the focus be on collaboration at the output level to identify mechanisms for collaboration that involve the GoTL.  </w:t>
            </w:r>
          </w:p>
        </w:tc>
        <w:tc>
          <w:tcPr>
            <w:tcW w:w="3261" w:type="dxa"/>
          </w:tcPr>
          <w:p w14:paraId="23B84DC9" w14:textId="77777777" w:rsidR="00F52F28" w:rsidRPr="00C26FDB" w:rsidRDefault="00F52F28" w:rsidP="00E918EA">
            <w:pPr>
              <w:rPr>
                <w:rFonts w:cs="Calibri"/>
                <w:sz w:val="22"/>
                <w:szCs w:val="22"/>
              </w:rPr>
            </w:pPr>
            <w:r w:rsidRPr="6ED18E86">
              <w:rPr>
                <w:rFonts w:cs="Calibri"/>
                <w:sz w:val="22"/>
                <w:szCs w:val="22"/>
              </w:rPr>
              <w:t xml:space="preserve">During the design update, PROSIVU will outline ways to improve collaboration/synergies with other programs, including how they will identify and implement opportunities to harmonise work across programs in intersecting areas. There may also be opportunities for reporting on common indicators where they exist.   </w:t>
            </w:r>
          </w:p>
        </w:tc>
        <w:tc>
          <w:tcPr>
            <w:tcW w:w="1701" w:type="dxa"/>
          </w:tcPr>
          <w:p w14:paraId="708CD77B" w14:textId="77777777" w:rsidR="00F52F28" w:rsidRPr="6ED18E86" w:rsidRDefault="00F52F28" w:rsidP="00E918EA">
            <w:pPr>
              <w:rPr>
                <w:rFonts w:cs="Calibri"/>
                <w:sz w:val="22"/>
                <w:szCs w:val="22"/>
              </w:rPr>
            </w:pPr>
            <w:r>
              <w:rPr>
                <w:rFonts w:cs="Calibri"/>
                <w:sz w:val="22"/>
                <w:szCs w:val="22"/>
              </w:rPr>
              <w:t>March 2026</w:t>
            </w:r>
          </w:p>
        </w:tc>
      </w:tr>
      <w:tr w:rsidR="00F52F28" w:rsidRPr="00110906" w14:paraId="1961A956" w14:textId="77777777" w:rsidTr="00E918EA">
        <w:tc>
          <w:tcPr>
            <w:tcW w:w="3823" w:type="dxa"/>
          </w:tcPr>
          <w:p w14:paraId="6160453E"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 xml:space="preserve"> Articulate the level of authority delegated to PROSIVU to implement its Adaptive Management strategy (Annex </w:t>
            </w:r>
            <w:r>
              <w:rPr>
                <w:rFonts w:eastAsia="Calibri" w:cs="Calibri"/>
                <w:sz w:val="22"/>
                <w:szCs w:val="22"/>
                <w:lang w:eastAsia="en-AU"/>
              </w:rPr>
              <w:t>5</w:t>
            </w:r>
            <w:r w:rsidRPr="00C26FDB">
              <w:rPr>
                <w:rFonts w:eastAsia="Calibri" w:cs="Calibri"/>
                <w:sz w:val="22"/>
                <w:szCs w:val="22"/>
                <w:lang w:eastAsia="en-AU"/>
              </w:rPr>
              <w:t xml:space="preserve"> for a full discussion). </w:t>
            </w:r>
          </w:p>
        </w:tc>
        <w:tc>
          <w:tcPr>
            <w:tcW w:w="1275" w:type="dxa"/>
          </w:tcPr>
          <w:p w14:paraId="454D4D44" w14:textId="77777777" w:rsidR="00F52F28" w:rsidRPr="00C26FDB" w:rsidRDefault="00F52F28" w:rsidP="00E918EA">
            <w:pPr>
              <w:rPr>
                <w:rFonts w:cs="Calibri"/>
                <w:sz w:val="22"/>
                <w:szCs w:val="22"/>
              </w:rPr>
            </w:pPr>
            <w:r w:rsidRPr="6ED18E86">
              <w:rPr>
                <w:rFonts w:cs="Calibri"/>
                <w:sz w:val="22"/>
                <w:szCs w:val="22"/>
              </w:rPr>
              <w:t>Agree</w:t>
            </w:r>
          </w:p>
        </w:tc>
        <w:tc>
          <w:tcPr>
            <w:tcW w:w="3969" w:type="dxa"/>
          </w:tcPr>
          <w:p w14:paraId="4199F934" w14:textId="77777777" w:rsidR="00F52F28" w:rsidRPr="00C26FDB" w:rsidRDefault="00F52F28" w:rsidP="00E918EA">
            <w:pPr>
              <w:rPr>
                <w:rFonts w:cs="Calibri"/>
                <w:sz w:val="22"/>
                <w:szCs w:val="22"/>
              </w:rPr>
            </w:pPr>
            <w:r>
              <w:rPr>
                <w:rFonts w:cs="Calibri"/>
                <w:sz w:val="22"/>
                <w:szCs w:val="22"/>
              </w:rPr>
              <w:t>DFAT a</w:t>
            </w:r>
            <w:r w:rsidRPr="00D46398">
              <w:rPr>
                <w:rFonts w:cs="Calibri"/>
                <w:sz w:val="22"/>
                <w:szCs w:val="22"/>
              </w:rPr>
              <w:t>gree</w:t>
            </w:r>
            <w:r>
              <w:rPr>
                <w:rFonts w:cs="Calibri"/>
                <w:sz w:val="22"/>
                <w:szCs w:val="22"/>
              </w:rPr>
              <w:t>s</w:t>
            </w:r>
            <w:r w:rsidRPr="00C26FDB">
              <w:rPr>
                <w:rFonts w:cs="Calibri"/>
                <w:sz w:val="22"/>
                <w:szCs w:val="22"/>
              </w:rPr>
              <w:t xml:space="preserve"> there are areas to improve delegations to PROSIVU and that this should be </w:t>
            </w:r>
            <w:r>
              <w:rPr>
                <w:rFonts w:cs="Calibri"/>
                <w:sz w:val="22"/>
                <w:szCs w:val="22"/>
              </w:rPr>
              <w:t xml:space="preserve">done </w:t>
            </w:r>
            <w:r w:rsidRPr="00C26FDB">
              <w:rPr>
                <w:rFonts w:cs="Calibri"/>
                <w:sz w:val="22"/>
                <w:szCs w:val="22"/>
              </w:rPr>
              <w:t xml:space="preserve">carefully to ensure engagement with the GoTL is at the appropriate level.  </w:t>
            </w:r>
          </w:p>
        </w:tc>
        <w:tc>
          <w:tcPr>
            <w:tcW w:w="3261" w:type="dxa"/>
          </w:tcPr>
          <w:p w14:paraId="4AFA0F04" w14:textId="77777777" w:rsidR="00F52F28" w:rsidRPr="00C26FDB" w:rsidRDefault="00F52F28" w:rsidP="00E918EA">
            <w:pPr>
              <w:rPr>
                <w:rFonts w:cs="Calibri"/>
                <w:sz w:val="22"/>
                <w:szCs w:val="22"/>
              </w:rPr>
            </w:pPr>
            <w:r w:rsidRPr="00C26FDB">
              <w:rPr>
                <w:rFonts w:cs="Calibri"/>
                <w:sz w:val="22"/>
                <w:szCs w:val="22"/>
              </w:rPr>
              <w:t xml:space="preserve">DFAT to agree with PROSIVU </w:t>
            </w:r>
            <w:r>
              <w:rPr>
                <w:rFonts w:cs="Calibri"/>
                <w:sz w:val="22"/>
                <w:szCs w:val="22"/>
              </w:rPr>
              <w:t xml:space="preserve">on </w:t>
            </w:r>
            <w:r w:rsidRPr="00C26FDB">
              <w:rPr>
                <w:rFonts w:cs="Calibri"/>
                <w:sz w:val="22"/>
                <w:szCs w:val="22"/>
              </w:rPr>
              <w:t xml:space="preserve">changes to the level of authority to implement the Adaptive Management </w:t>
            </w:r>
            <w:proofErr w:type="gramStart"/>
            <w:r w:rsidRPr="00C26FDB">
              <w:rPr>
                <w:rFonts w:cs="Calibri"/>
                <w:sz w:val="22"/>
                <w:szCs w:val="22"/>
              </w:rPr>
              <w:t>Strategy</w:t>
            </w:r>
            <w:r>
              <w:rPr>
                <w:rFonts w:cs="Calibri"/>
                <w:sz w:val="22"/>
                <w:szCs w:val="22"/>
              </w:rPr>
              <w:t>,</w:t>
            </w:r>
            <w:r w:rsidRPr="00C26FDB">
              <w:rPr>
                <w:rFonts w:cs="Calibri"/>
                <w:sz w:val="22"/>
                <w:szCs w:val="22"/>
              </w:rPr>
              <w:t xml:space="preserve"> and</w:t>
            </w:r>
            <w:proofErr w:type="gramEnd"/>
            <w:r w:rsidRPr="00C26FDB">
              <w:rPr>
                <w:rFonts w:cs="Calibri"/>
                <w:sz w:val="22"/>
                <w:szCs w:val="22"/>
              </w:rPr>
              <w:t xml:space="preserve"> incorporate into the design update.  </w:t>
            </w:r>
          </w:p>
        </w:tc>
        <w:tc>
          <w:tcPr>
            <w:tcW w:w="1701" w:type="dxa"/>
          </w:tcPr>
          <w:p w14:paraId="761EDF19" w14:textId="77777777" w:rsidR="00F52F28" w:rsidRPr="00C26FDB" w:rsidRDefault="00F52F28" w:rsidP="00E918EA">
            <w:pPr>
              <w:rPr>
                <w:rFonts w:cs="Calibri"/>
                <w:sz w:val="22"/>
                <w:szCs w:val="22"/>
              </w:rPr>
            </w:pPr>
            <w:r>
              <w:rPr>
                <w:rFonts w:cs="Calibri"/>
                <w:sz w:val="22"/>
                <w:szCs w:val="22"/>
              </w:rPr>
              <w:t>March 2026</w:t>
            </w:r>
          </w:p>
        </w:tc>
      </w:tr>
      <w:tr w:rsidR="00F52F28" w:rsidRPr="00110906" w14:paraId="26F5E3C1" w14:textId="77777777" w:rsidTr="00E918EA">
        <w:tc>
          <w:tcPr>
            <w:tcW w:w="3823" w:type="dxa"/>
          </w:tcPr>
          <w:p w14:paraId="52AA0768"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lastRenderedPageBreak/>
              <w:t xml:space="preserve"> Ensure Adviser monthly / three monthly reports are completed jointly by GoTL line managers as well as PROSIVU staff</w:t>
            </w:r>
            <w:r>
              <w:rPr>
                <w:rFonts w:eastAsia="Calibri" w:cs="Calibri"/>
                <w:sz w:val="22"/>
                <w:szCs w:val="22"/>
                <w:lang w:eastAsia="en-AU"/>
              </w:rPr>
              <w:t xml:space="preserve">.  </w:t>
            </w:r>
          </w:p>
        </w:tc>
        <w:tc>
          <w:tcPr>
            <w:tcW w:w="1275" w:type="dxa"/>
          </w:tcPr>
          <w:p w14:paraId="5FEAFF57" w14:textId="77777777" w:rsidR="00F52F28" w:rsidRPr="00C26FDB" w:rsidRDefault="00F52F28" w:rsidP="00E918EA">
            <w:pPr>
              <w:rPr>
                <w:rFonts w:cs="Calibri"/>
                <w:sz w:val="22"/>
                <w:szCs w:val="22"/>
              </w:rPr>
            </w:pPr>
            <w:r w:rsidRPr="5DAD0C72">
              <w:rPr>
                <w:rFonts w:cs="Calibri"/>
                <w:sz w:val="22"/>
                <w:szCs w:val="22"/>
              </w:rPr>
              <w:t xml:space="preserve">Agree </w:t>
            </w:r>
          </w:p>
        </w:tc>
        <w:tc>
          <w:tcPr>
            <w:tcW w:w="3969" w:type="dxa"/>
          </w:tcPr>
          <w:p w14:paraId="55528F49" w14:textId="77777777" w:rsidR="00F52F28" w:rsidRPr="00C26FDB" w:rsidRDefault="00F52F28" w:rsidP="00E918EA">
            <w:pPr>
              <w:rPr>
                <w:rFonts w:cs="Calibri"/>
                <w:sz w:val="22"/>
                <w:szCs w:val="22"/>
              </w:rPr>
            </w:pPr>
            <w:r w:rsidRPr="00C26FDB">
              <w:rPr>
                <w:rFonts w:cs="Calibri"/>
                <w:sz w:val="22"/>
                <w:szCs w:val="22"/>
              </w:rPr>
              <w:t xml:space="preserve">PROSIVU to discuss with GoTL to assess feasibility of this proposal. </w:t>
            </w:r>
          </w:p>
        </w:tc>
        <w:tc>
          <w:tcPr>
            <w:tcW w:w="3261" w:type="dxa"/>
          </w:tcPr>
          <w:p w14:paraId="5B4FC5D3" w14:textId="77777777" w:rsidR="00F52F28" w:rsidRPr="00C26FDB" w:rsidRDefault="00F52F28" w:rsidP="00E918EA">
            <w:pPr>
              <w:rPr>
                <w:rFonts w:cs="Calibri"/>
                <w:sz w:val="22"/>
                <w:szCs w:val="22"/>
              </w:rPr>
            </w:pPr>
            <w:r w:rsidRPr="1476765C">
              <w:rPr>
                <w:rFonts w:cs="Calibri"/>
                <w:sz w:val="22"/>
                <w:szCs w:val="22"/>
              </w:rPr>
              <w:t xml:space="preserve">PROSIVU to discuss avenues to enhance reporting visibility beyond DG level to improve oversight of progress by advisers and report to DFAT for decision.  Subject to confirmation. </w:t>
            </w:r>
          </w:p>
        </w:tc>
        <w:tc>
          <w:tcPr>
            <w:tcW w:w="1701" w:type="dxa"/>
          </w:tcPr>
          <w:p w14:paraId="1E65157B" w14:textId="77777777" w:rsidR="00F52F28" w:rsidRPr="6ED18E86" w:rsidRDefault="00F52F28" w:rsidP="00E918EA">
            <w:pPr>
              <w:rPr>
                <w:rFonts w:cs="Calibri"/>
                <w:sz w:val="22"/>
                <w:szCs w:val="22"/>
              </w:rPr>
            </w:pPr>
            <w:r>
              <w:rPr>
                <w:rFonts w:cs="Calibri"/>
                <w:sz w:val="22"/>
                <w:szCs w:val="22"/>
              </w:rPr>
              <w:t>November 2025 (completed)</w:t>
            </w:r>
          </w:p>
        </w:tc>
      </w:tr>
      <w:tr w:rsidR="00F52F28" w:rsidRPr="00110906" w14:paraId="5CF9AA2E" w14:textId="77777777" w:rsidTr="00E918EA">
        <w:tc>
          <w:tcPr>
            <w:tcW w:w="3823" w:type="dxa"/>
          </w:tcPr>
          <w:p w14:paraId="422F354F" w14:textId="77777777" w:rsidR="00F52F28" w:rsidRPr="00C26FDB" w:rsidRDefault="00F52F28" w:rsidP="00E918EA">
            <w:pPr>
              <w:pStyle w:val="ListParagraph"/>
              <w:numPr>
                <w:ilvl w:val="0"/>
                <w:numId w:val="1"/>
              </w:numPr>
              <w:ind w:left="335" w:hanging="335"/>
              <w:rPr>
                <w:rFonts w:cs="Calibri"/>
                <w:sz w:val="22"/>
                <w:szCs w:val="22"/>
              </w:rPr>
            </w:pPr>
            <w:r w:rsidRPr="00C26FDB">
              <w:rPr>
                <w:rFonts w:eastAsia="Calibri" w:cs="Calibri"/>
                <w:sz w:val="22"/>
                <w:szCs w:val="22"/>
                <w:lang w:eastAsia="en-AU"/>
              </w:rPr>
              <w:t xml:space="preserve"> DFAT to consider </w:t>
            </w:r>
            <w:proofErr w:type="spellStart"/>
            <w:r w:rsidRPr="00C26FDB">
              <w:rPr>
                <w:rFonts w:eastAsia="Calibri" w:cs="Calibri"/>
                <w:sz w:val="22"/>
                <w:szCs w:val="22"/>
                <w:lang w:eastAsia="en-AU"/>
              </w:rPr>
              <w:t>formalising</w:t>
            </w:r>
            <w:proofErr w:type="spellEnd"/>
            <w:r w:rsidRPr="00C26FDB">
              <w:rPr>
                <w:rFonts w:eastAsia="Calibri" w:cs="Calibri"/>
                <w:sz w:val="22"/>
                <w:szCs w:val="22"/>
                <w:lang w:eastAsia="en-AU"/>
              </w:rPr>
              <w:t xml:space="preserve"> the role of the PROSIVU Steering Committee to accept (or otherwise) the forward annual plans and budgets of the three Pillars</w:t>
            </w:r>
            <w:r>
              <w:rPr>
                <w:rFonts w:eastAsia="Calibri" w:cs="Calibri"/>
                <w:sz w:val="22"/>
                <w:szCs w:val="22"/>
                <w:lang w:eastAsia="en-AU"/>
              </w:rPr>
              <w:t xml:space="preserve">. </w:t>
            </w:r>
          </w:p>
        </w:tc>
        <w:tc>
          <w:tcPr>
            <w:tcW w:w="1275" w:type="dxa"/>
          </w:tcPr>
          <w:p w14:paraId="281CFB81" w14:textId="77777777" w:rsidR="00F52F28" w:rsidRPr="00C26FDB" w:rsidRDefault="00F52F28" w:rsidP="00E918EA">
            <w:pPr>
              <w:rPr>
                <w:rFonts w:cs="Calibri"/>
                <w:sz w:val="22"/>
                <w:szCs w:val="22"/>
              </w:rPr>
            </w:pPr>
            <w:r>
              <w:rPr>
                <w:rFonts w:cs="Calibri"/>
                <w:sz w:val="22"/>
                <w:szCs w:val="22"/>
              </w:rPr>
              <w:t>A</w:t>
            </w:r>
            <w:r w:rsidRPr="00C26FDB">
              <w:rPr>
                <w:rFonts w:cs="Calibri"/>
                <w:sz w:val="22"/>
                <w:szCs w:val="22"/>
              </w:rPr>
              <w:t>gree</w:t>
            </w:r>
          </w:p>
        </w:tc>
        <w:tc>
          <w:tcPr>
            <w:tcW w:w="3969" w:type="dxa"/>
          </w:tcPr>
          <w:p w14:paraId="7AE95B9A" w14:textId="77777777" w:rsidR="00F52F28" w:rsidRPr="00C26FDB" w:rsidRDefault="00F52F28" w:rsidP="00E918EA">
            <w:pPr>
              <w:rPr>
                <w:rFonts w:cs="Calibri"/>
                <w:sz w:val="22"/>
                <w:szCs w:val="22"/>
              </w:rPr>
            </w:pPr>
            <w:r w:rsidRPr="6ED18E86">
              <w:rPr>
                <w:rFonts w:cs="Calibri"/>
                <w:sz w:val="22"/>
                <w:szCs w:val="22"/>
              </w:rPr>
              <w:t xml:space="preserve">DFAT agrees that annual forward planning should continue to be agreed through the PROSIVU Steering Committee. </w:t>
            </w:r>
            <w:r>
              <w:rPr>
                <w:rFonts w:cs="Calibri"/>
                <w:sz w:val="22"/>
                <w:szCs w:val="22"/>
              </w:rPr>
              <w:t>Program b</w:t>
            </w:r>
            <w:r w:rsidRPr="6ED18E86">
              <w:rPr>
                <w:rFonts w:cs="Calibri"/>
                <w:sz w:val="22"/>
                <w:szCs w:val="22"/>
              </w:rPr>
              <w:t xml:space="preserve">udgeting should however remain with PROSIVU and DFAT.  </w:t>
            </w:r>
          </w:p>
        </w:tc>
        <w:tc>
          <w:tcPr>
            <w:tcW w:w="3261" w:type="dxa"/>
          </w:tcPr>
          <w:p w14:paraId="656C17AF" w14:textId="77777777" w:rsidR="00F52F28" w:rsidRPr="00D46398" w:rsidRDefault="00F52F28" w:rsidP="00E918EA">
            <w:pPr>
              <w:rPr>
                <w:rFonts w:cs="Calibri"/>
                <w:sz w:val="22"/>
                <w:szCs w:val="22"/>
              </w:rPr>
            </w:pPr>
            <w:r w:rsidRPr="6ED18E86">
              <w:rPr>
                <w:rFonts w:cs="Calibri"/>
                <w:sz w:val="22"/>
                <w:szCs w:val="22"/>
              </w:rPr>
              <w:t xml:space="preserve">Through the design update for Phase 2, DFAT and PROSIVU will consult with the MoF and other relevant GoTL Ministries to identify planning improvements noting the end date for PROSIVU will be mid-2028. </w:t>
            </w:r>
          </w:p>
        </w:tc>
        <w:tc>
          <w:tcPr>
            <w:tcW w:w="1701" w:type="dxa"/>
          </w:tcPr>
          <w:p w14:paraId="7ED56E69" w14:textId="77777777" w:rsidR="00F52F28" w:rsidRPr="6ED18E86" w:rsidRDefault="00F52F28" w:rsidP="00E918EA">
            <w:pPr>
              <w:rPr>
                <w:rFonts w:cs="Calibri"/>
                <w:sz w:val="22"/>
                <w:szCs w:val="22"/>
              </w:rPr>
            </w:pPr>
            <w:r>
              <w:rPr>
                <w:rFonts w:cs="Calibri"/>
                <w:sz w:val="22"/>
                <w:szCs w:val="22"/>
              </w:rPr>
              <w:t>March 2026</w:t>
            </w:r>
          </w:p>
        </w:tc>
      </w:tr>
      <w:tr w:rsidR="00F52F28" w:rsidRPr="00110906" w14:paraId="03B3EB24" w14:textId="77777777" w:rsidTr="00E918EA">
        <w:tc>
          <w:tcPr>
            <w:tcW w:w="3823" w:type="dxa"/>
          </w:tcPr>
          <w:p w14:paraId="7102803F" w14:textId="77777777" w:rsidR="00F52F28" w:rsidRPr="00C26FDB" w:rsidRDefault="00F52F28" w:rsidP="00E918EA">
            <w:pPr>
              <w:pStyle w:val="ListParagraph"/>
              <w:numPr>
                <w:ilvl w:val="0"/>
                <w:numId w:val="1"/>
              </w:numPr>
              <w:spacing w:before="40" w:after="40"/>
              <w:rPr>
                <w:rFonts w:eastAsia="Calibri" w:cs="Calibri Light"/>
                <w:sz w:val="22"/>
                <w:szCs w:val="22"/>
                <w:lang w:eastAsia="en-AU"/>
              </w:rPr>
            </w:pPr>
            <w:r w:rsidRPr="00C26FDB">
              <w:rPr>
                <w:rFonts w:eastAsia="Calibri" w:cs="Calibri Light"/>
                <w:sz w:val="22"/>
                <w:szCs w:val="22"/>
                <w:lang w:eastAsia="en-AU"/>
              </w:rPr>
              <w:t>For the design update, the Monitoring Evaluation and Learning (MEL) Plan should be modestly reformulated to identify specific measurable indicators at the IO level. These should be tracked and discussed with GoTL at the 6-monthly review and reflection exercises, as they represent joint responsibilities.</w:t>
            </w:r>
          </w:p>
          <w:p w14:paraId="07FEF36A" w14:textId="77777777" w:rsidR="00F52F28" w:rsidRPr="00C26FDB" w:rsidRDefault="00F52F28" w:rsidP="00E918EA">
            <w:pPr>
              <w:pStyle w:val="ListParagraph"/>
              <w:spacing w:before="40" w:after="40"/>
              <w:ind w:left="360"/>
              <w:rPr>
                <w:rFonts w:eastAsia="Calibri" w:cs="Calibri Light"/>
                <w:sz w:val="20"/>
                <w:szCs w:val="20"/>
                <w:lang w:eastAsia="en-AU"/>
              </w:rPr>
            </w:pPr>
            <w:r w:rsidRPr="00C26FDB">
              <w:rPr>
                <w:rFonts w:eastAsia="Calibri" w:cs="Calibri Light"/>
                <w:sz w:val="22"/>
                <w:szCs w:val="22"/>
                <w:lang w:eastAsia="en-AU"/>
              </w:rPr>
              <w:t>Advisers should be required to assess progress towards IOs as well as recording activities and outputs</w:t>
            </w:r>
            <w:r>
              <w:rPr>
                <w:rFonts w:eastAsia="Calibri" w:cs="Calibri Light"/>
                <w:sz w:val="22"/>
                <w:szCs w:val="22"/>
                <w:lang w:eastAsia="en-AU"/>
              </w:rPr>
              <w:t>.</w:t>
            </w:r>
          </w:p>
        </w:tc>
        <w:tc>
          <w:tcPr>
            <w:tcW w:w="1275" w:type="dxa"/>
          </w:tcPr>
          <w:p w14:paraId="5ACCED2B" w14:textId="77777777" w:rsidR="00F52F28" w:rsidRPr="00C26FDB" w:rsidRDefault="00F52F28" w:rsidP="00E918EA">
            <w:pPr>
              <w:rPr>
                <w:rFonts w:cs="Calibri"/>
                <w:sz w:val="22"/>
                <w:szCs w:val="22"/>
              </w:rPr>
            </w:pPr>
            <w:r w:rsidRPr="00C26FDB">
              <w:rPr>
                <w:rFonts w:cs="Calibri"/>
                <w:sz w:val="22"/>
                <w:szCs w:val="22"/>
              </w:rPr>
              <w:t>Agree</w:t>
            </w:r>
          </w:p>
        </w:tc>
        <w:tc>
          <w:tcPr>
            <w:tcW w:w="3969" w:type="dxa"/>
          </w:tcPr>
          <w:p w14:paraId="02B3654A" w14:textId="77777777" w:rsidR="00F52F28" w:rsidRPr="00C26FDB" w:rsidRDefault="00F52F28" w:rsidP="00E918EA">
            <w:pPr>
              <w:rPr>
                <w:rFonts w:cs="Calibri"/>
                <w:sz w:val="22"/>
                <w:szCs w:val="22"/>
              </w:rPr>
            </w:pPr>
            <w:r>
              <w:rPr>
                <w:rFonts w:cs="Calibri"/>
                <w:sz w:val="22"/>
                <w:szCs w:val="22"/>
              </w:rPr>
              <w:t>DFAT agrees the</w:t>
            </w:r>
            <w:r w:rsidRPr="00C26FDB">
              <w:rPr>
                <w:rFonts w:cs="Calibri"/>
                <w:sz w:val="22"/>
                <w:szCs w:val="22"/>
              </w:rPr>
              <w:t xml:space="preserve"> MEL Plan should be updated to reflect any changes to the IO and </w:t>
            </w:r>
            <w:proofErr w:type="spellStart"/>
            <w:r w:rsidRPr="00C26FDB">
              <w:rPr>
                <w:rFonts w:cs="Calibri"/>
                <w:sz w:val="22"/>
                <w:szCs w:val="22"/>
              </w:rPr>
              <w:t>ToC</w:t>
            </w:r>
            <w:proofErr w:type="spellEnd"/>
            <w:r w:rsidRPr="00C26FDB">
              <w:rPr>
                <w:rFonts w:cs="Calibri"/>
                <w:sz w:val="22"/>
                <w:szCs w:val="22"/>
              </w:rPr>
              <w:t xml:space="preserve"> and advisers should be focused more on assessing progress towards IOs.  </w:t>
            </w:r>
          </w:p>
        </w:tc>
        <w:tc>
          <w:tcPr>
            <w:tcW w:w="3261" w:type="dxa"/>
          </w:tcPr>
          <w:p w14:paraId="3741731E" w14:textId="77777777" w:rsidR="00F52F28" w:rsidRPr="00C26FDB" w:rsidRDefault="00F52F28" w:rsidP="00E918EA">
            <w:pPr>
              <w:rPr>
                <w:rFonts w:cs="Calibri"/>
                <w:sz w:val="22"/>
                <w:szCs w:val="22"/>
              </w:rPr>
            </w:pPr>
            <w:r w:rsidRPr="00C26FDB">
              <w:rPr>
                <w:rFonts w:cs="Calibri"/>
                <w:sz w:val="22"/>
                <w:szCs w:val="22"/>
              </w:rPr>
              <w:t xml:space="preserve">The </w:t>
            </w:r>
            <w:r>
              <w:rPr>
                <w:rFonts w:cs="Calibri"/>
                <w:sz w:val="22"/>
                <w:szCs w:val="22"/>
              </w:rPr>
              <w:t>d</w:t>
            </w:r>
            <w:r w:rsidRPr="00D46398">
              <w:rPr>
                <w:rFonts w:cs="Calibri"/>
                <w:sz w:val="22"/>
                <w:szCs w:val="22"/>
              </w:rPr>
              <w:t xml:space="preserve">esign update and detailed </w:t>
            </w:r>
            <w:proofErr w:type="spellStart"/>
            <w:r w:rsidRPr="00D46398">
              <w:rPr>
                <w:rFonts w:cs="Calibri"/>
                <w:sz w:val="22"/>
                <w:szCs w:val="22"/>
              </w:rPr>
              <w:t>ToC</w:t>
            </w:r>
            <w:proofErr w:type="spellEnd"/>
            <w:r w:rsidRPr="00D46398">
              <w:rPr>
                <w:rFonts w:cs="Calibri"/>
                <w:sz w:val="22"/>
                <w:szCs w:val="22"/>
              </w:rPr>
              <w:t xml:space="preserve"> will consider updates to the MEL plan</w:t>
            </w:r>
            <w:r>
              <w:rPr>
                <w:rFonts w:cs="Calibri"/>
                <w:sz w:val="22"/>
                <w:szCs w:val="22"/>
              </w:rPr>
              <w:t>,</w:t>
            </w:r>
            <w:r w:rsidRPr="00C26FDB">
              <w:rPr>
                <w:rFonts w:cs="Calibri"/>
                <w:sz w:val="22"/>
                <w:szCs w:val="22"/>
              </w:rPr>
              <w:t xml:space="preserve"> focused on improving reporting by advisers and partners to focus on progress towards IOs.  </w:t>
            </w:r>
          </w:p>
        </w:tc>
        <w:tc>
          <w:tcPr>
            <w:tcW w:w="1701" w:type="dxa"/>
          </w:tcPr>
          <w:p w14:paraId="64EA1852" w14:textId="77777777" w:rsidR="00F52F28" w:rsidRPr="00C26FDB" w:rsidRDefault="00F52F28" w:rsidP="00E918EA">
            <w:pPr>
              <w:rPr>
                <w:rFonts w:cs="Calibri"/>
                <w:sz w:val="22"/>
                <w:szCs w:val="22"/>
              </w:rPr>
            </w:pPr>
            <w:r>
              <w:rPr>
                <w:rFonts w:cs="Calibri"/>
                <w:sz w:val="22"/>
                <w:szCs w:val="22"/>
              </w:rPr>
              <w:t>March 2026</w:t>
            </w:r>
          </w:p>
        </w:tc>
      </w:tr>
      <w:tr w:rsidR="00F52F28" w:rsidRPr="00110906" w14:paraId="1742AAF2" w14:textId="77777777" w:rsidTr="00E918EA">
        <w:tc>
          <w:tcPr>
            <w:tcW w:w="3823" w:type="dxa"/>
          </w:tcPr>
          <w:p w14:paraId="28508664" w14:textId="77777777" w:rsidR="00F52F28" w:rsidRPr="00C26FDB" w:rsidRDefault="00F52F28" w:rsidP="00E918EA">
            <w:pPr>
              <w:pStyle w:val="ListParagraph"/>
              <w:numPr>
                <w:ilvl w:val="0"/>
                <w:numId w:val="1"/>
              </w:numPr>
              <w:ind w:left="335" w:hanging="335"/>
              <w:rPr>
                <w:rFonts w:eastAsia="Calibri" w:cs="Calibri"/>
                <w:sz w:val="22"/>
                <w:szCs w:val="22"/>
                <w:lang w:eastAsia="en-AU"/>
              </w:rPr>
            </w:pPr>
            <w:r w:rsidRPr="00C26FDB">
              <w:rPr>
                <w:rFonts w:eastAsia="Calibri" w:cs="Calibri"/>
                <w:sz w:val="22"/>
                <w:szCs w:val="22"/>
                <w:lang w:eastAsia="en-AU"/>
              </w:rPr>
              <w:t>Reshape budget and human resourcing arrangements</w:t>
            </w:r>
            <w:r>
              <w:rPr>
                <w:rFonts w:eastAsia="Calibri" w:cs="Calibri"/>
                <w:sz w:val="22"/>
                <w:szCs w:val="22"/>
                <w:lang w:eastAsia="en-AU"/>
              </w:rPr>
              <w:t>.</w:t>
            </w:r>
          </w:p>
        </w:tc>
        <w:tc>
          <w:tcPr>
            <w:tcW w:w="1275" w:type="dxa"/>
          </w:tcPr>
          <w:p w14:paraId="34407AA7" w14:textId="77777777" w:rsidR="00F52F28" w:rsidRPr="00C26FDB" w:rsidRDefault="00F52F28" w:rsidP="00E918EA">
            <w:pPr>
              <w:rPr>
                <w:rFonts w:cs="Calibri"/>
                <w:sz w:val="22"/>
                <w:szCs w:val="22"/>
              </w:rPr>
            </w:pPr>
            <w:r w:rsidRPr="6ED18E86">
              <w:rPr>
                <w:rFonts w:cs="Calibri"/>
                <w:sz w:val="22"/>
                <w:szCs w:val="22"/>
              </w:rPr>
              <w:t xml:space="preserve">Agree </w:t>
            </w:r>
          </w:p>
        </w:tc>
        <w:tc>
          <w:tcPr>
            <w:tcW w:w="3969" w:type="dxa"/>
          </w:tcPr>
          <w:p w14:paraId="28AE27B8" w14:textId="77777777" w:rsidR="00F52F28" w:rsidRPr="00C26FDB" w:rsidRDefault="00F52F28" w:rsidP="00E918EA">
            <w:pPr>
              <w:rPr>
                <w:rFonts w:cs="Calibri"/>
                <w:sz w:val="22"/>
                <w:szCs w:val="22"/>
              </w:rPr>
            </w:pPr>
            <w:r w:rsidRPr="00C26FDB">
              <w:rPr>
                <w:rFonts w:cs="Calibri"/>
                <w:sz w:val="22"/>
                <w:szCs w:val="22"/>
              </w:rPr>
              <w:t xml:space="preserve">The provision of a stand-alone budget for GEDSI and engagement of disability expertise will be considered in the design update.  </w:t>
            </w:r>
          </w:p>
        </w:tc>
        <w:tc>
          <w:tcPr>
            <w:tcW w:w="3261" w:type="dxa"/>
          </w:tcPr>
          <w:p w14:paraId="3C368986" w14:textId="77777777" w:rsidR="00F52F28" w:rsidRPr="00AC11A5" w:rsidRDefault="00F52F28" w:rsidP="00E918EA">
            <w:pPr>
              <w:rPr>
                <w:rFonts w:cs="Calibri"/>
                <w:sz w:val="22"/>
                <w:szCs w:val="22"/>
              </w:rPr>
            </w:pPr>
            <w:r w:rsidRPr="00C26FDB">
              <w:rPr>
                <w:rFonts w:cs="Calibri"/>
                <w:sz w:val="22"/>
                <w:szCs w:val="22"/>
              </w:rPr>
              <w:t xml:space="preserve">PROSIVU to identify budget in Phase 2 for refreshed gender and disability ambition and update systems for allocating to pillars.  PROSIVU will develop a </w:t>
            </w:r>
            <w:r w:rsidRPr="00C26FDB">
              <w:rPr>
                <w:rFonts w:cs="Calibri"/>
                <w:sz w:val="22"/>
                <w:szCs w:val="22"/>
              </w:rPr>
              <w:lastRenderedPageBreak/>
              <w:t xml:space="preserve">plan to enhance the use of disability expertise in </w:t>
            </w:r>
            <w:r>
              <w:rPr>
                <w:rFonts w:cs="Calibri"/>
                <w:sz w:val="22"/>
                <w:szCs w:val="22"/>
              </w:rPr>
              <w:t>P</w:t>
            </w:r>
            <w:r w:rsidRPr="00AC11A5">
              <w:rPr>
                <w:rFonts w:cs="Calibri"/>
                <w:sz w:val="22"/>
                <w:szCs w:val="22"/>
              </w:rPr>
              <w:t xml:space="preserve">hase 2 </w:t>
            </w:r>
            <w:proofErr w:type="gramStart"/>
            <w:r w:rsidRPr="00AC11A5">
              <w:rPr>
                <w:rFonts w:cs="Calibri"/>
                <w:sz w:val="22"/>
                <w:szCs w:val="22"/>
              </w:rPr>
              <w:t>taking into account</w:t>
            </w:r>
            <w:proofErr w:type="gramEnd"/>
            <w:r w:rsidRPr="00AC11A5">
              <w:rPr>
                <w:rFonts w:cs="Calibri"/>
                <w:sz w:val="22"/>
                <w:szCs w:val="22"/>
              </w:rPr>
              <w:t xml:space="preserve"> the revised end date for PROSIVU will be mid-2028.  </w:t>
            </w:r>
          </w:p>
        </w:tc>
        <w:tc>
          <w:tcPr>
            <w:tcW w:w="1701" w:type="dxa"/>
          </w:tcPr>
          <w:p w14:paraId="13469EB1" w14:textId="77777777" w:rsidR="00F52F28" w:rsidRPr="00C26FDB" w:rsidRDefault="00F52F28" w:rsidP="00E918EA">
            <w:pPr>
              <w:rPr>
                <w:rFonts w:cs="Calibri"/>
                <w:sz w:val="22"/>
                <w:szCs w:val="22"/>
              </w:rPr>
            </w:pPr>
            <w:r>
              <w:rPr>
                <w:rFonts w:cs="Calibri"/>
                <w:sz w:val="22"/>
                <w:szCs w:val="22"/>
              </w:rPr>
              <w:lastRenderedPageBreak/>
              <w:t>March 2026</w:t>
            </w:r>
          </w:p>
        </w:tc>
      </w:tr>
    </w:tbl>
    <w:p w14:paraId="1547343B" w14:textId="77777777" w:rsidR="00F52F28" w:rsidRDefault="00F52F28" w:rsidP="00980A42"/>
    <w:sectPr w:rsidR="00F52F28" w:rsidSect="007A5A1A">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7765" w14:textId="77777777" w:rsidR="00D112B3" w:rsidRDefault="00D112B3" w:rsidP="00962B7B">
      <w:pPr>
        <w:spacing w:after="0" w:line="240" w:lineRule="auto"/>
      </w:pPr>
      <w:r>
        <w:separator/>
      </w:r>
    </w:p>
  </w:endnote>
  <w:endnote w:type="continuationSeparator" w:id="0">
    <w:p w14:paraId="1C2CD2CF" w14:textId="77777777" w:rsidR="00D112B3" w:rsidRDefault="00D112B3" w:rsidP="00962B7B">
      <w:pPr>
        <w:spacing w:after="0" w:line="240" w:lineRule="auto"/>
      </w:pPr>
      <w:r>
        <w:continuationSeparator/>
      </w:r>
    </w:p>
  </w:endnote>
  <w:endnote w:type="continuationNotice" w:id="1">
    <w:p w14:paraId="5E735769" w14:textId="77777777" w:rsidR="00D112B3" w:rsidRDefault="00D11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ACC2" w14:textId="16FACCD7" w:rsidR="00F52F28" w:rsidRDefault="00F52F28">
    <w:pPr>
      <w:pStyle w:val="Footer"/>
    </w:pPr>
    <w:r>
      <w:rPr>
        <w:noProof/>
      </w:rPr>
      <mc:AlternateContent>
        <mc:Choice Requires="wps">
          <w:drawing>
            <wp:anchor distT="0" distB="0" distL="0" distR="0" simplePos="0" relativeHeight="251662336" behindDoc="0" locked="0" layoutInCell="1" allowOverlap="1" wp14:anchorId="2E910D80" wp14:editId="3CA24D6F">
              <wp:simplePos x="635" y="635"/>
              <wp:positionH relativeFrom="page">
                <wp:align>center</wp:align>
              </wp:positionH>
              <wp:positionV relativeFrom="page">
                <wp:align>bottom</wp:align>
              </wp:positionV>
              <wp:extent cx="622300" cy="405765"/>
              <wp:effectExtent l="0" t="0" r="6350" b="0"/>
              <wp:wrapNone/>
              <wp:docPr id="20542339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D4A8987" w14:textId="3F8AE87E"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10D80"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4D4A8987" w14:textId="3F8AE87E"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40ED" w14:textId="38898622" w:rsidR="00F52F28" w:rsidRDefault="00F52F28">
    <w:pPr>
      <w:pStyle w:val="Footer"/>
    </w:pPr>
    <w:r>
      <w:rPr>
        <w:noProof/>
      </w:rPr>
      <mc:AlternateContent>
        <mc:Choice Requires="wps">
          <w:drawing>
            <wp:anchor distT="0" distB="0" distL="0" distR="0" simplePos="0" relativeHeight="251663360" behindDoc="0" locked="0" layoutInCell="1" allowOverlap="1" wp14:anchorId="0EEBA8BC" wp14:editId="4A10DA56">
              <wp:simplePos x="914400" y="7131050"/>
              <wp:positionH relativeFrom="page">
                <wp:align>center</wp:align>
              </wp:positionH>
              <wp:positionV relativeFrom="page">
                <wp:align>bottom</wp:align>
              </wp:positionV>
              <wp:extent cx="622300" cy="405765"/>
              <wp:effectExtent l="0" t="0" r="6350" b="0"/>
              <wp:wrapNone/>
              <wp:docPr id="4194935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24C5BAE" w14:textId="4665CCC5"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A8BC"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024C5BAE" w14:textId="4665CCC5"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148F" w14:textId="06D6FD60" w:rsidR="00F52F28" w:rsidRDefault="00F52F28">
    <w:pPr>
      <w:pStyle w:val="Footer"/>
    </w:pPr>
    <w:r>
      <w:rPr>
        <w:noProof/>
      </w:rPr>
      <mc:AlternateContent>
        <mc:Choice Requires="wps">
          <w:drawing>
            <wp:anchor distT="0" distB="0" distL="0" distR="0" simplePos="0" relativeHeight="251661312" behindDoc="0" locked="0" layoutInCell="1" allowOverlap="1" wp14:anchorId="00C2EE0C" wp14:editId="1206515A">
              <wp:simplePos x="635" y="635"/>
              <wp:positionH relativeFrom="page">
                <wp:align>center</wp:align>
              </wp:positionH>
              <wp:positionV relativeFrom="page">
                <wp:align>bottom</wp:align>
              </wp:positionV>
              <wp:extent cx="622300" cy="405765"/>
              <wp:effectExtent l="0" t="0" r="6350" b="0"/>
              <wp:wrapNone/>
              <wp:docPr id="1541982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6CC34FB" w14:textId="43197326"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2EE0C"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66CC34FB" w14:textId="43197326"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D8EA" w14:textId="77777777" w:rsidR="00D112B3" w:rsidRDefault="00D112B3" w:rsidP="00962B7B">
      <w:pPr>
        <w:spacing w:after="0" w:line="240" w:lineRule="auto"/>
      </w:pPr>
      <w:r>
        <w:separator/>
      </w:r>
    </w:p>
  </w:footnote>
  <w:footnote w:type="continuationSeparator" w:id="0">
    <w:p w14:paraId="0588D9A2" w14:textId="77777777" w:rsidR="00D112B3" w:rsidRDefault="00D112B3" w:rsidP="00962B7B">
      <w:pPr>
        <w:spacing w:after="0" w:line="240" w:lineRule="auto"/>
      </w:pPr>
      <w:r>
        <w:continuationSeparator/>
      </w:r>
    </w:p>
  </w:footnote>
  <w:footnote w:type="continuationNotice" w:id="1">
    <w:p w14:paraId="3D26115C" w14:textId="77777777" w:rsidR="00D112B3" w:rsidRDefault="00D11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3661" w14:textId="6BD524DF" w:rsidR="00F52F28" w:rsidRDefault="00F52F28">
    <w:pPr>
      <w:pStyle w:val="Header"/>
    </w:pPr>
    <w:r>
      <w:rPr>
        <w:noProof/>
      </w:rPr>
      <mc:AlternateContent>
        <mc:Choice Requires="wps">
          <w:drawing>
            <wp:anchor distT="0" distB="0" distL="0" distR="0" simplePos="0" relativeHeight="251659264" behindDoc="0" locked="0" layoutInCell="1" allowOverlap="1" wp14:anchorId="6AF4801C" wp14:editId="7A854EF4">
              <wp:simplePos x="635" y="635"/>
              <wp:positionH relativeFrom="page">
                <wp:align>center</wp:align>
              </wp:positionH>
              <wp:positionV relativeFrom="page">
                <wp:align>top</wp:align>
              </wp:positionV>
              <wp:extent cx="622300" cy="405765"/>
              <wp:effectExtent l="0" t="0" r="6350" b="13335"/>
              <wp:wrapNone/>
              <wp:docPr id="524358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488BBDE" w14:textId="3C9C1E46"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F4801C"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7488BBDE" w14:textId="3C9C1E46"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E019" w14:textId="275E77C0" w:rsidR="00A74B04" w:rsidRDefault="00F52F28" w:rsidP="005672B1">
    <w:pPr>
      <w:pStyle w:val="Header"/>
      <w:jc w:val="center"/>
    </w:pPr>
    <w:r>
      <w:rPr>
        <w:noProof/>
      </w:rPr>
      <mc:AlternateContent>
        <mc:Choice Requires="wps">
          <w:drawing>
            <wp:anchor distT="0" distB="0" distL="0" distR="0" simplePos="0" relativeHeight="251660288" behindDoc="0" locked="0" layoutInCell="1" allowOverlap="1" wp14:anchorId="6E24D2DE" wp14:editId="129A5DF0">
              <wp:simplePos x="914400" y="457200"/>
              <wp:positionH relativeFrom="page">
                <wp:align>center</wp:align>
              </wp:positionH>
              <wp:positionV relativeFrom="page">
                <wp:align>top</wp:align>
              </wp:positionV>
              <wp:extent cx="622300" cy="405765"/>
              <wp:effectExtent l="0" t="0" r="6350" b="13335"/>
              <wp:wrapNone/>
              <wp:docPr id="12068960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26F1389" w14:textId="6A4D47DB"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4D2D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326F1389" w14:textId="6A4D47DB"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558" w14:textId="4E48925A" w:rsidR="00F52F28" w:rsidRDefault="00F52F28">
    <w:pPr>
      <w:pStyle w:val="Header"/>
    </w:pPr>
    <w:r>
      <w:rPr>
        <w:noProof/>
      </w:rPr>
      <mc:AlternateContent>
        <mc:Choice Requires="wps">
          <w:drawing>
            <wp:anchor distT="0" distB="0" distL="0" distR="0" simplePos="0" relativeHeight="251658240" behindDoc="0" locked="0" layoutInCell="1" allowOverlap="1" wp14:anchorId="51235A77" wp14:editId="4B592021">
              <wp:simplePos x="635" y="635"/>
              <wp:positionH relativeFrom="page">
                <wp:align>center</wp:align>
              </wp:positionH>
              <wp:positionV relativeFrom="page">
                <wp:align>top</wp:align>
              </wp:positionV>
              <wp:extent cx="622300" cy="405765"/>
              <wp:effectExtent l="0" t="0" r="6350" b="13335"/>
              <wp:wrapNone/>
              <wp:docPr id="10165082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10EC5DB" w14:textId="2EC918BC"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235A77"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010EC5DB" w14:textId="2EC918BC" w:rsidR="00F52F28" w:rsidRPr="00F52F28" w:rsidRDefault="00F52F28" w:rsidP="00F52F28">
                    <w:pPr>
                      <w:spacing w:after="0"/>
                      <w:rPr>
                        <w:rFonts w:ascii="Aptos" w:eastAsia="Aptos" w:hAnsi="Aptos" w:cs="Aptos"/>
                        <w:noProof/>
                        <w:color w:val="FF0000"/>
                      </w:rPr>
                    </w:pPr>
                    <w:r w:rsidRPr="00F52F2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CF1"/>
    <w:multiLevelType w:val="hybridMultilevel"/>
    <w:tmpl w:val="BBFC228E"/>
    <w:lvl w:ilvl="0" w:tplc="FCD28CE0">
      <w:start w:val="1"/>
      <w:numFmt w:val="decimal"/>
      <w:lvlText w:val="%1."/>
      <w:lvlJc w:val="left"/>
      <w:pPr>
        <w:ind w:left="360" w:hanging="360"/>
      </w:pPr>
      <w:rPr>
        <w:rFonts w:eastAsia="Calibri" w:cs="Calibri" w:hint="default"/>
        <w:color w:val="404040" w:themeColor="text1" w:themeTint="B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76D22"/>
    <w:multiLevelType w:val="multilevel"/>
    <w:tmpl w:val="AC328238"/>
    <w:numStyleLink w:val="Bullettedlists"/>
  </w:abstractNum>
  <w:abstractNum w:abstractNumId="2" w15:restartNumberingAfterBreak="0">
    <w:nsid w:val="13D225C1"/>
    <w:multiLevelType w:val="multilevel"/>
    <w:tmpl w:val="AC328238"/>
    <w:styleLink w:val="Bullettedlists"/>
    <w:lvl w:ilvl="0">
      <w:start w:val="1"/>
      <w:numFmt w:val="bullet"/>
      <w:pStyle w:val="ListBullet"/>
      <w:lvlText w:val=""/>
      <w:lvlJc w:val="left"/>
      <w:pPr>
        <w:ind w:left="432" w:hanging="432"/>
      </w:pPr>
      <w:rPr>
        <w:rFonts w:ascii="Symbol" w:hAnsi="Symbol" w:hint="default"/>
        <w:color w:val="156082" w:themeColor="accent1"/>
      </w:rPr>
    </w:lvl>
    <w:lvl w:ilvl="1">
      <w:start w:val="1"/>
      <w:numFmt w:val="bullet"/>
      <w:pStyle w:val="ListBullet2"/>
      <w:lvlText w:val=""/>
      <w:lvlJc w:val="left"/>
      <w:pPr>
        <w:ind w:left="864" w:hanging="432"/>
      </w:pPr>
      <w:rPr>
        <w:rFonts w:ascii="Symbol" w:hAnsi="Symbol" w:hint="default"/>
        <w:color w:val="196B24" w:themeColor="accent3"/>
      </w:rPr>
    </w:lvl>
    <w:lvl w:ilvl="2">
      <w:start w:val="1"/>
      <w:numFmt w:val="bullet"/>
      <w:pStyle w:val="ListBullet3"/>
      <w:lvlText w:val=""/>
      <w:lvlJc w:val="left"/>
      <w:pPr>
        <w:ind w:left="1296" w:hanging="432"/>
      </w:pPr>
      <w:rPr>
        <w:rFonts w:ascii="Wingdings" w:hAnsi="Wingdings" w:hint="default"/>
        <w:color w:val="156082" w:themeColor="accent1"/>
      </w:rPr>
    </w:lvl>
    <w:lvl w:ilvl="3">
      <w:start w:val="1"/>
      <w:numFmt w:val="bullet"/>
      <w:pStyle w:val="ListBullet4"/>
      <w:lvlText w:val=""/>
      <w:lvlJc w:val="left"/>
      <w:pPr>
        <w:ind w:left="1728" w:hanging="432"/>
      </w:pPr>
      <w:rPr>
        <w:rFonts w:ascii="Symbol" w:hAnsi="Symbol" w:hint="default"/>
        <w:color w:val="156082" w:themeColor="accent1"/>
      </w:rPr>
    </w:lvl>
    <w:lvl w:ilvl="4">
      <w:start w:val="1"/>
      <w:numFmt w:val="bullet"/>
      <w:pStyle w:val="ListBullet5"/>
      <w:lvlText w:val="o"/>
      <w:lvlJc w:val="left"/>
      <w:pPr>
        <w:ind w:left="2160" w:hanging="432"/>
      </w:pPr>
      <w:rPr>
        <w:rFonts w:ascii="Courier New" w:hAnsi="Courier New" w:hint="default"/>
        <w:color w:val="156082" w:themeColor="accent1"/>
      </w:rPr>
    </w:lvl>
    <w:lvl w:ilvl="5">
      <w:start w:val="1"/>
      <w:numFmt w:val="bullet"/>
      <w:lvlText w:val=""/>
      <w:lvlJc w:val="left"/>
      <w:pPr>
        <w:tabs>
          <w:tab w:val="num" w:pos="3170"/>
        </w:tabs>
        <w:ind w:left="2592" w:hanging="432"/>
      </w:pPr>
      <w:rPr>
        <w:rFonts w:ascii="Wingdings" w:hAnsi="Wingdings" w:hint="default"/>
      </w:rPr>
    </w:lvl>
    <w:lvl w:ilvl="6">
      <w:start w:val="1"/>
      <w:numFmt w:val="bullet"/>
      <w:lvlText w:val=""/>
      <w:lvlJc w:val="left"/>
      <w:pPr>
        <w:tabs>
          <w:tab w:val="num" w:pos="3732"/>
        </w:tabs>
        <w:ind w:left="3024" w:hanging="432"/>
      </w:pPr>
      <w:rPr>
        <w:rFonts w:ascii="Symbol" w:hAnsi="Symbol" w:hint="default"/>
      </w:rPr>
    </w:lvl>
    <w:lvl w:ilvl="7">
      <w:start w:val="1"/>
      <w:numFmt w:val="bullet"/>
      <w:lvlText w:val="o"/>
      <w:lvlJc w:val="left"/>
      <w:pPr>
        <w:tabs>
          <w:tab w:val="num" w:pos="4294"/>
        </w:tabs>
        <w:ind w:left="3456" w:hanging="432"/>
      </w:pPr>
      <w:rPr>
        <w:rFonts w:ascii="Courier New" w:hAnsi="Courier New" w:cs="Courier New" w:hint="default"/>
      </w:rPr>
    </w:lvl>
    <w:lvl w:ilvl="8">
      <w:start w:val="1"/>
      <w:numFmt w:val="bullet"/>
      <w:lvlText w:val=""/>
      <w:lvlJc w:val="left"/>
      <w:pPr>
        <w:tabs>
          <w:tab w:val="num" w:pos="4856"/>
        </w:tabs>
        <w:ind w:left="3888" w:hanging="432"/>
      </w:pPr>
      <w:rPr>
        <w:rFonts w:ascii="Wingdings" w:hAnsi="Wingdings" w:hint="default"/>
      </w:rPr>
    </w:lvl>
  </w:abstractNum>
  <w:abstractNum w:abstractNumId="3" w15:restartNumberingAfterBreak="0">
    <w:nsid w:val="382D4AA5"/>
    <w:multiLevelType w:val="hybridMultilevel"/>
    <w:tmpl w:val="9C46B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07B2D"/>
    <w:multiLevelType w:val="hybridMultilevel"/>
    <w:tmpl w:val="08748852"/>
    <w:lvl w:ilvl="0" w:tplc="254C5780">
      <w:start w:val="1"/>
      <w:numFmt w:val="bullet"/>
      <w:lvlText w:val=""/>
      <w:lvlJc w:val="left"/>
      <w:pPr>
        <w:ind w:left="360" w:hanging="360"/>
      </w:pPr>
      <w:rPr>
        <w:rFonts w:ascii="Wingdings" w:hAnsi="Wingdings" w:hint="default"/>
        <w:color w:val="404040" w:themeColor="text1" w:themeTint="BF"/>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4D640A9"/>
    <w:multiLevelType w:val="hybridMultilevel"/>
    <w:tmpl w:val="90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A24BF"/>
    <w:multiLevelType w:val="multilevel"/>
    <w:tmpl w:val="A41C4DB2"/>
    <w:styleLink w:val="Headings"/>
    <w:lvl w:ilvl="0">
      <w:start w:val="1"/>
      <w:numFmt w:val="decimal"/>
      <w:lvlText w:val="%1"/>
      <w:lvlJc w:val="left"/>
      <w:pPr>
        <w:ind w:left="720" w:hanging="720"/>
      </w:pPr>
      <w:rPr>
        <w:rFonts w:asciiTheme="majorHAnsi" w:hAnsiTheme="majorHAnsi" w:hint="default"/>
      </w:rPr>
    </w:lvl>
    <w:lvl w:ilvl="1">
      <w:start w:val="1"/>
      <w:numFmt w:val="decimal"/>
      <w:lvlText w:val="%1.%2"/>
      <w:lvlJc w:val="left"/>
      <w:pPr>
        <w:ind w:left="720" w:hanging="720"/>
      </w:pPr>
      <w:rPr>
        <w:rFonts w:asciiTheme="majorHAnsi" w:hAnsiTheme="majorHAnsi"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7" w15:restartNumberingAfterBreak="0">
    <w:nsid w:val="70861C2F"/>
    <w:multiLevelType w:val="hybridMultilevel"/>
    <w:tmpl w:val="AA60A3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2B97E2B"/>
    <w:multiLevelType w:val="hybridMultilevel"/>
    <w:tmpl w:val="56CE7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27329">
    <w:abstractNumId w:val="0"/>
  </w:num>
  <w:num w:numId="2" w16cid:durableId="703018957">
    <w:abstractNumId w:val="7"/>
  </w:num>
  <w:num w:numId="3" w16cid:durableId="1820733985">
    <w:abstractNumId w:val="5"/>
  </w:num>
  <w:num w:numId="4" w16cid:durableId="989403426">
    <w:abstractNumId w:val="2"/>
  </w:num>
  <w:num w:numId="5" w16cid:durableId="1433361688">
    <w:abstractNumId w:val="1"/>
  </w:num>
  <w:num w:numId="6" w16cid:durableId="144977093">
    <w:abstractNumId w:val="4"/>
  </w:num>
  <w:num w:numId="7" w16cid:durableId="1913849980">
    <w:abstractNumId w:val="3"/>
  </w:num>
  <w:num w:numId="8" w16cid:durableId="983773947">
    <w:abstractNumId w:val="6"/>
  </w:num>
  <w:num w:numId="9" w16cid:durableId="1112237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1A"/>
    <w:rsid w:val="0000071F"/>
    <w:rsid w:val="000014A0"/>
    <w:rsid w:val="00003FB4"/>
    <w:rsid w:val="00011EE2"/>
    <w:rsid w:val="00016B3C"/>
    <w:rsid w:val="00020302"/>
    <w:rsid w:val="00021AC9"/>
    <w:rsid w:val="000226E5"/>
    <w:rsid w:val="00023B2D"/>
    <w:rsid w:val="00024192"/>
    <w:rsid w:val="00025606"/>
    <w:rsid w:val="000257ED"/>
    <w:rsid w:val="000342DE"/>
    <w:rsid w:val="000363C1"/>
    <w:rsid w:val="00036F4F"/>
    <w:rsid w:val="000402B1"/>
    <w:rsid w:val="000406D6"/>
    <w:rsid w:val="0004179E"/>
    <w:rsid w:val="00041F8D"/>
    <w:rsid w:val="00043DBD"/>
    <w:rsid w:val="00044351"/>
    <w:rsid w:val="000443A9"/>
    <w:rsid w:val="000453C1"/>
    <w:rsid w:val="0004616C"/>
    <w:rsid w:val="0005065A"/>
    <w:rsid w:val="00051C0B"/>
    <w:rsid w:val="00055E85"/>
    <w:rsid w:val="00057914"/>
    <w:rsid w:val="000579EE"/>
    <w:rsid w:val="000601ED"/>
    <w:rsid w:val="000644C2"/>
    <w:rsid w:val="0006506E"/>
    <w:rsid w:val="00066E5E"/>
    <w:rsid w:val="000674B2"/>
    <w:rsid w:val="0007234E"/>
    <w:rsid w:val="00073655"/>
    <w:rsid w:val="00077750"/>
    <w:rsid w:val="0008069E"/>
    <w:rsid w:val="000818BF"/>
    <w:rsid w:val="000853C5"/>
    <w:rsid w:val="000873CF"/>
    <w:rsid w:val="00087B96"/>
    <w:rsid w:val="0009074F"/>
    <w:rsid w:val="000907DA"/>
    <w:rsid w:val="000911DE"/>
    <w:rsid w:val="00093D13"/>
    <w:rsid w:val="000A370E"/>
    <w:rsid w:val="000A3782"/>
    <w:rsid w:val="000B1948"/>
    <w:rsid w:val="000B2AE1"/>
    <w:rsid w:val="000B581E"/>
    <w:rsid w:val="000C21AC"/>
    <w:rsid w:val="000C3277"/>
    <w:rsid w:val="000C6669"/>
    <w:rsid w:val="000C79C2"/>
    <w:rsid w:val="000D08D6"/>
    <w:rsid w:val="000D2B2A"/>
    <w:rsid w:val="000D529A"/>
    <w:rsid w:val="000D62FB"/>
    <w:rsid w:val="000E6766"/>
    <w:rsid w:val="000E6A34"/>
    <w:rsid w:val="000E7ECA"/>
    <w:rsid w:val="000F267F"/>
    <w:rsid w:val="000F3465"/>
    <w:rsid w:val="000F5203"/>
    <w:rsid w:val="000F74C4"/>
    <w:rsid w:val="000F7991"/>
    <w:rsid w:val="00101FD3"/>
    <w:rsid w:val="00102FDE"/>
    <w:rsid w:val="001062E7"/>
    <w:rsid w:val="00110906"/>
    <w:rsid w:val="00114E51"/>
    <w:rsid w:val="001177EE"/>
    <w:rsid w:val="001179B3"/>
    <w:rsid w:val="00123AA7"/>
    <w:rsid w:val="0012628D"/>
    <w:rsid w:val="00130799"/>
    <w:rsid w:val="00131F3A"/>
    <w:rsid w:val="00132C76"/>
    <w:rsid w:val="00134B1F"/>
    <w:rsid w:val="00134D24"/>
    <w:rsid w:val="00135749"/>
    <w:rsid w:val="001362E6"/>
    <w:rsid w:val="001407A4"/>
    <w:rsid w:val="001436E3"/>
    <w:rsid w:val="00147D62"/>
    <w:rsid w:val="00150321"/>
    <w:rsid w:val="00150FC3"/>
    <w:rsid w:val="0015265C"/>
    <w:rsid w:val="00153172"/>
    <w:rsid w:val="001535B5"/>
    <w:rsid w:val="0015370A"/>
    <w:rsid w:val="0015572D"/>
    <w:rsid w:val="00157B89"/>
    <w:rsid w:val="0016007C"/>
    <w:rsid w:val="00162C1D"/>
    <w:rsid w:val="001637E8"/>
    <w:rsid w:val="001646F3"/>
    <w:rsid w:val="001649E1"/>
    <w:rsid w:val="00170911"/>
    <w:rsid w:val="001734E9"/>
    <w:rsid w:val="001768AB"/>
    <w:rsid w:val="0017770A"/>
    <w:rsid w:val="001839A9"/>
    <w:rsid w:val="00184655"/>
    <w:rsid w:val="001850F4"/>
    <w:rsid w:val="00190097"/>
    <w:rsid w:val="0019010E"/>
    <w:rsid w:val="00190B16"/>
    <w:rsid w:val="00190DB9"/>
    <w:rsid w:val="00192ED0"/>
    <w:rsid w:val="0019316D"/>
    <w:rsid w:val="0019578B"/>
    <w:rsid w:val="001A0330"/>
    <w:rsid w:val="001A2D96"/>
    <w:rsid w:val="001B064D"/>
    <w:rsid w:val="001B26B8"/>
    <w:rsid w:val="001B424E"/>
    <w:rsid w:val="001B5D84"/>
    <w:rsid w:val="001B73E9"/>
    <w:rsid w:val="001B76C2"/>
    <w:rsid w:val="001B7E68"/>
    <w:rsid w:val="001C1CBA"/>
    <w:rsid w:val="001C1CF8"/>
    <w:rsid w:val="001C3C80"/>
    <w:rsid w:val="001C7587"/>
    <w:rsid w:val="001D7DCC"/>
    <w:rsid w:val="001E021F"/>
    <w:rsid w:val="001E209C"/>
    <w:rsid w:val="001E39D9"/>
    <w:rsid w:val="001E6540"/>
    <w:rsid w:val="001E6E60"/>
    <w:rsid w:val="001E71DD"/>
    <w:rsid w:val="001F0CB4"/>
    <w:rsid w:val="001F1AB7"/>
    <w:rsid w:val="001F3DFB"/>
    <w:rsid w:val="001F4AB9"/>
    <w:rsid w:val="001F73A5"/>
    <w:rsid w:val="0020257B"/>
    <w:rsid w:val="0020284B"/>
    <w:rsid w:val="002040E5"/>
    <w:rsid w:val="00204E3A"/>
    <w:rsid w:val="002051C6"/>
    <w:rsid w:val="00206EC5"/>
    <w:rsid w:val="0020731F"/>
    <w:rsid w:val="00211DD6"/>
    <w:rsid w:val="00213404"/>
    <w:rsid w:val="00213B4F"/>
    <w:rsid w:val="00216D0C"/>
    <w:rsid w:val="00222203"/>
    <w:rsid w:val="00223084"/>
    <w:rsid w:val="00223862"/>
    <w:rsid w:val="0022598E"/>
    <w:rsid w:val="0023089E"/>
    <w:rsid w:val="00233B8D"/>
    <w:rsid w:val="002342C5"/>
    <w:rsid w:val="002349E2"/>
    <w:rsid w:val="00234C52"/>
    <w:rsid w:val="00235EF0"/>
    <w:rsid w:val="00240679"/>
    <w:rsid w:val="0024474F"/>
    <w:rsid w:val="00247192"/>
    <w:rsid w:val="002519F8"/>
    <w:rsid w:val="002529C5"/>
    <w:rsid w:val="00256693"/>
    <w:rsid w:val="00260230"/>
    <w:rsid w:val="00260D37"/>
    <w:rsid w:val="002618FD"/>
    <w:rsid w:val="00262F58"/>
    <w:rsid w:val="0026303F"/>
    <w:rsid w:val="00263D2F"/>
    <w:rsid w:val="002646CE"/>
    <w:rsid w:val="00265264"/>
    <w:rsid w:val="00266D8C"/>
    <w:rsid w:val="00267A2F"/>
    <w:rsid w:val="002763EA"/>
    <w:rsid w:val="0027671F"/>
    <w:rsid w:val="00282DF0"/>
    <w:rsid w:val="00287288"/>
    <w:rsid w:val="002877FA"/>
    <w:rsid w:val="002917FA"/>
    <w:rsid w:val="0029248E"/>
    <w:rsid w:val="0029549B"/>
    <w:rsid w:val="00296527"/>
    <w:rsid w:val="002972A1"/>
    <w:rsid w:val="00297B50"/>
    <w:rsid w:val="002A0301"/>
    <w:rsid w:val="002A1787"/>
    <w:rsid w:val="002A1B4F"/>
    <w:rsid w:val="002A3405"/>
    <w:rsid w:val="002A4008"/>
    <w:rsid w:val="002A578C"/>
    <w:rsid w:val="002A75D7"/>
    <w:rsid w:val="002A7697"/>
    <w:rsid w:val="002B0F15"/>
    <w:rsid w:val="002B3F46"/>
    <w:rsid w:val="002C1AFD"/>
    <w:rsid w:val="002C3F23"/>
    <w:rsid w:val="002C4040"/>
    <w:rsid w:val="002C6FCC"/>
    <w:rsid w:val="002C7FFB"/>
    <w:rsid w:val="002D263E"/>
    <w:rsid w:val="002D2FD7"/>
    <w:rsid w:val="002D3EAD"/>
    <w:rsid w:val="002E58CC"/>
    <w:rsid w:val="002E6D53"/>
    <w:rsid w:val="002F31D0"/>
    <w:rsid w:val="002F34A1"/>
    <w:rsid w:val="002F3787"/>
    <w:rsid w:val="002F37A9"/>
    <w:rsid w:val="002F5889"/>
    <w:rsid w:val="002F6591"/>
    <w:rsid w:val="003006D6"/>
    <w:rsid w:val="00303934"/>
    <w:rsid w:val="003055AC"/>
    <w:rsid w:val="00305BC4"/>
    <w:rsid w:val="003067B2"/>
    <w:rsid w:val="00313390"/>
    <w:rsid w:val="003142A6"/>
    <w:rsid w:val="003145E6"/>
    <w:rsid w:val="00314ABF"/>
    <w:rsid w:val="00315489"/>
    <w:rsid w:val="003155B6"/>
    <w:rsid w:val="0031761F"/>
    <w:rsid w:val="00320357"/>
    <w:rsid w:val="00326099"/>
    <w:rsid w:val="00326A2D"/>
    <w:rsid w:val="00330ED4"/>
    <w:rsid w:val="00334A63"/>
    <w:rsid w:val="00334AA2"/>
    <w:rsid w:val="003363B5"/>
    <w:rsid w:val="00340439"/>
    <w:rsid w:val="003414EF"/>
    <w:rsid w:val="0034166D"/>
    <w:rsid w:val="00342A91"/>
    <w:rsid w:val="00344B8A"/>
    <w:rsid w:val="00346B6A"/>
    <w:rsid w:val="003474C6"/>
    <w:rsid w:val="003501AD"/>
    <w:rsid w:val="00352CD0"/>
    <w:rsid w:val="003535A2"/>
    <w:rsid w:val="00354032"/>
    <w:rsid w:val="00354CAF"/>
    <w:rsid w:val="00356E6F"/>
    <w:rsid w:val="00363F69"/>
    <w:rsid w:val="00364995"/>
    <w:rsid w:val="003655DF"/>
    <w:rsid w:val="00365D6D"/>
    <w:rsid w:val="00366FFE"/>
    <w:rsid w:val="00374361"/>
    <w:rsid w:val="003746DA"/>
    <w:rsid w:val="00375002"/>
    <w:rsid w:val="0037559E"/>
    <w:rsid w:val="00375A86"/>
    <w:rsid w:val="00381F11"/>
    <w:rsid w:val="00384F4D"/>
    <w:rsid w:val="00385781"/>
    <w:rsid w:val="003905B2"/>
    <w:rsid w:val="0039104E"/>
    <w:rsid w:val="00392DE8"/>
    <w:rsid w:val="00393893"/>
    <w:rsid w:val="0039437C"/>
    <w:rsid w:val="00394A02"/>
    <w:rsid w:val="00394CD9"/>
    <w:rsid w:val="00395C47"/>
    <w:rsid w:val="00396315"/>
    <w:rsid w:val="00396973"/>
    <w:rsid w:val="003A1CDC"/>
    <w:rsid w:val="003A1F56"/>
    <w:rsid w:val="003A23FC"/>
    <w:rsid w:val="003A37A8"/>
    <w:rsid w:val="003A3DE2"/>
    <w:rsid w:val="003A51D4"/>
    <w:rsid w:val="003A5AF8"/>
    <w:rsid w:val="003A5C87"/>
    <w:rsid w:val="003A6E61"/>
    <w:rsid w:val="003A7918"/>
    <w:rsid w:val="003A7B30"/>
    <w:rsid w:val="003B107D"/>
    <w:rsid w:val="003B34B5"/>
    <w:rsid w:val="003B59D2"/>
    <w:rsid w:val="003B725E"/>
    <w:rsid w:val="003C26AD"/>
    <w:rsid w:val="003D11C0"/>
    <w:rsid w:val="003D204D"/>
    <w:rsid w:val="003D65AE"/>
    <w:rsid w:val="003DBAB7"/>
    <w:rsid w:val="003E2080"/>
    <w:rsid w:val="003E6BF0"/>
    <w:rsid w:val="003E6E96"/>
    <w:rsid w:val="003F4E46"/>
    <w:rsid w:val="003F5D3C"/>
    <w:rsid w:val="003F617B"/>
    <w:rsid w:val="003F6EB5"/>
    <w:rsid w:val="0040244A"/>
    <w:rsid w:val="00403063"/>
    <w:rsid w:val="0040377B"/>
    <w:rsid w:val="00403CB7"/>
    <w:rsid w:val="004075E7"/>
    <w:rsid w:val="00410D45"/>
    <w:rsid w:val="00410E25"/>
    <w:rsid w:val="004123DF"/>
    <w:rsid w:val="00413393"/>
    <w:rsid w:val="00414BF7"/>
    <w:rsid w:val="00416749"/>
    <w:rsid w:val="0042121D"/>
    <w:rsid w:val="00424FDA"/>
    <w:rsid w:val="00425897"/>
    <w:rsid w:val="00427C86"/>
    <w:rsid w:val="00430C31"/>
    <w:rsid w:val="00432549"/>
    <w:rsid w:val="00433A63"/>
    <w:rsid w:val="0044255E"/>
    <w:rsid w:val="00443962"/>
    <w:rsid w:val="004440BF"/>
    <w:rsid w:val="004475AB"/>
    <w:rsid w:val="0044773B"/>
    <w:rsid w:val="0044793C"/>
    <w:rsid w:val="00450453"/>
    <w:rsid w:val="004603B1"/>
    <w:rsid w:val="004636D6"/>
    <w:rsid w:val="00464AEB"/>
    <w:rsid w:val="00467E17"/>
    <w:rsid w:val="00470496"/>
    <w:rsid w:val="0047133B"/>
    <w:rsid w:val="0047355D"/>
    <w:rsid w:val="00473E3E"/>
    <w:rsid w:val="004741CD"/>
    <w:rsid w:val="0047530E"/>
    <w:rsid w:val="00477885"/>
    <w:rsid w:val="00481712"/>
    <w:rsid w:val="004909DE"/>
    <w:rsid w:val="004911D1"/>
    <w:rsid w:val="00491A1B"/>
    <w:rsid w:val="00493A2F"/>
    <w:rsid w:val="0049607F"/>
    <w:rsid w:val="00496DB6"/>
    <w:rsid w:val="00496ED5"/>
    <w:rsid w:val="00497E83"/>
    <w:rsid w:val="004A0AEE"/>
    <w:rsid w:val="004A2E4E"/>
    <w:rsid w:val="004A67C5"/>
    <w:rsid w:val="004A77CE"/>
    <w:rsid w:val="004A7C38"/>
    <w:rsid w:val="004B09F1"/>
    <w:rsid w:val="004B23A5"/>
    <w:rsid w:val="004B2767"/>
    <w:rsid w:val="004B3139"/>
    <w:rsid w:val="004B4DAB"/>
    <w:rsid w:val="004B5334"/>
    <w:rsid w:val="004C19FD"/>
    <w:rsid w:val="004C69F9"/>
    <w:rsid w:val="004C6E54"/>
    <w:rsid w:val="004D66C7"/>
    <w:rsid w:val="004D6D13"/>
    <w:rsid w:val="004D7CBE"/>
    <w:rsid w:val="004E4B4A"/>
    <w:rsid w:val="004E5CE9"/>
    <w:rsid w:val="004F7EA8"/>
    <w:rsid w:val="005030C7"/>
    <w:rsid w:val="005052CD"/>
    <w:rsid w:val="00506801"/>
    <w:rsid w:val="00506863"/>
    <w:rsid w:val="00507D00"/>
    <w:rsid w:val="00511938"/>
    <w:rsid w:val="005179D3"/>
    <w:rsid w:val="00520302"/>
    <w:rsid w:val="0052281A"/>
    <w:rsid w:val="0052283D"/>
    <w:rsid w:val="00524E6E"/>
    <w:rsid w:val="00525630"/>
    <w:rsid w:val="005335A8"/>
    <w:rsid w:val="00537589"/>
    <w:rsid w:val="0054114B"/>
    <w:rsid w:val="00547B30"/>
    <w:rsid w:val="0055196C"/>
    <w:rsid w:val="00555801"/>
    <w:rsid w:val="00556FFF"/>
    <w:rsid w:val="005604DA"/>
    <w:rsid w:val="00560A6F"/>
    <w:rsid w:val="00560C50"/>
    <w:rsid w:val="00560F1F"/>
    <w:rsid w:val="005638DF"/>
    <w:rsid w:val="00564182"/>
    <w:rsid w:val="0056692E"/>
    <w:rsid w:val="00566F8F"/>
    <w:rsid w:val="005672B1"/>
    <w:rsid w:val="005676D3"/>
    <w:rsid w:val="0057044A"/>
    <w:rsid w:val="0057289B"/>
    <w:rsid w:val="00573979"/>
    <w:rsid w:val="00575DF4"/>
    <w:rsid w:val="00582CAB"/>
    <w:rsid w:val="005867A2"/>
    <w:rsid w:val="00586FB6"/>
    <w:rsid w:val="00587EF9"/>
    <w:rsid w:val="0059001D"/>
    <w:rsid w:val="00591C20"/>
    <w:rsid w:val="0059263A"/>
    <w:rsid w:val="0059315E"/>
    <w:rsid w:val="00595036"/>
    <w:rsid w:val="005A0AB1"/>
    <w:rsid w:val="005A3AE6"/>
    <w:rsid w:val="005A5F8D"/>
    <w:rsid w:val="005A718F"/>
    <w:rsid w:val="005B087F"/>
    <w:rsid w:val="005B432C"/>
    <w:rsid w:val="005B46DC"/>
    <w:rsid w:val="005B5A77"/>
    <w:rsid w:val="005B6DF7"/>
    <w:rsid w:val="005C42AD"/>
    <w:rsid w:val="005C53BE"/>
    <w:rsid w:val="005C69EE"/>
    <w:rsid w:val="005D1F72"/>
    <w:rsid w:val="005D4ADD"/>
    <w:rsid w:val="005D6DA4"/>
    <w:rsid w:val="005E26B4"/>
    <w:rsid w:val="005E3390"/>
    <w:rsid w:val="005E4C96"/>
    <w:rsid w:val="005E4D2D"/>
    <w:rsid w:val="005E5313"/>
    <w:rsid w:val="005F1C8D"/>
    <w:rsid w:val="005F22C6"/>
    <w:rsid w:val="005F2591"/>
    <w:rsid w:val="005F457A"/>
    <w:rsid w:val="005F6C8F"/>
    <w:rsid w:val="00600C76"/>
    <w:rsid w:val="00604922"/>
    <w:rsid w:val="00613207"/>
    <w:rsid w:val="0061361C"/>
    <w:rsid w:val="006146A0"/>
    <w:rsid w:val="00616518"/>
    <w:rsid w:val="006166B2"/>
    <w:rsid w:val="00616A50"/>
    <w:rsid w:val="006214C7"/>
    <w:rsid w:val="00622DFD"/>
    <w:rsid w:val="00622F5C"/>
    <w:rsid w:val="00624440"/>
    <w:rsid w:val="006329D1"/>
    <w:rsid w:val="006337E1"/>
    <w:rsid w:val="00634111"/>
    <w:rsid w:val="006408AA"/>
    <w:rsid w:val="00642973"/>
    <w:rsid w:val="00642F57"/>
    <w:rsid w:val="00644A3E"/>
    <w:rsid w:val="0064665B"/>
    <w:rsid w:val="00646958"/>
    <w:rsid w:val="00647190"/>
    <w:rsid w:val="00650063"/>
    <w:rsid w:val="0065380C"/>
    <w:rsid w:val="006547E8"/>
    <w:rsid w:val="00657E4E"/>
    <w:rsid w:val="006604F1"/>
    <w:rsid w:val="006628D0"/>
    <w:rsid w:val="00663633"/>
    <w:rsid w:val="006636BD"/>
    <w:rsid w:val="00665F0A"/>
    <w:rsid w:val="00666A4C"/>
    <w:rsid w:val="00670955"/>
    <w:rsid w:val="00671190"/>
    <w:rsid w:val="00674B12"/>
    <w:rsid w:val="00680F32"/>
    <w:rsid w:val="00685832"/>
    <w:rsid w:val="00685BA0"/>
    <w:rsid w:val="00687CF9"/>
    <w:rsid w:val="006932F4"/>
    <w:rsid w:val="00694189"/>
    <w:rsid w:val="006949AF"/>
    <w:rsid w:val="00696151"/>
    <w:rsid w:val="00696819"/>
    <w:rsid w:val="006A15B4"/>
    <w:rsid w:val="006A3711"/>
    <w:rsid w:val="006A3BC0"/>
    <w:rsid w:val="006A46E2"/>
    <w:rsid w:val="006B5202"/>
    <w:rsid w:val="006B6513"/>
    <w:rsid w:val="006C1710"/>
    <w:rsid w:val="006C1C42"/>
    <w:rsid w:val="006C1C6D"/>
    <w:rsid w:val="006C672F"/>
    <w:rsid w:val="006D0FC8"/>
    <w:rsid w:val="006D1672"/>
    <w:rsid w:val="006D1D82"/>
    <w:rsid w:val="006D1FDC"/>
    <w:rsid w:val="006D3915"/>
    <w:rsid w:val="006D47D6"/>
    <w:rsid w:val="006D51A4"/>
    <w:rsid w:val="006D610A"/>
    <w:rsid w:val="006D6858"/>
    <w:rsid w:val="006D7E83"/>
    <w:rsid w:val="006E2410"/>
    <w:rsid w:val="006E549C"/>
    <w:rsid w:val="006E63F7"/>
    <w:rsid w:val="006E740C"/>
    <w:rsid w:val="006E7674"/>
    <w:rsid w:val="006F513C"/>
    <w:rsid w:val="006F6653"/>
    <w:rsid w:val="00701117"/>
    <w:rsid w:val="0070266A"/>
    <w:rsid w:val="00702E20"/>
    <w:rsid w:val="00703211"/>
    <w:rsid w:val="00704617"/>
    <w:rsid w:val="00706448"/>
    <w:rsid w:val="0071182C"/>
    <w:rsid w:val="00712E20"/>
    <w:rsid w:val="00712EDE"/>
    <w:rsid w:val="0071373E"/>
    <w:rsid w:val="0072192D"/>
    <w:rsid w:val="00721F07"/>
    <w:rsid w:val="0072622D"/>
    <w:rsid w:val="00732ED2"/>
    <w:rsid w:val="00735FD3"/>
    <w:rsid w:val="00736EC4"/>
    <w:rsid w:val="00744739"/>
    <w:rsid w:val="00752026"/>
    <w:rsid w:val="00752213"/>
    <w:rsid w:val="007527F6"/>
    <w:rsid w:val="0075333A"/>
    <w:rsid w:val="007556C1"/>
    <w:rsid w:val="00755CF8"/>
    <w:rsid w:val="00760881"/>
    <w:rsid w:val="00760D1D"/>
    <w:rsid w:val="0076147E"/>
    <w:rsid w:val="00764199"/>
    <w:rsid w:val="007652FC"/>
    <w:rsid w:val="00766449"/>
    <w:rsid w:val="007800AB"/>
    <w:rsid w:val="0078022F"/>
    <w:rsid w:val="0078499C"/>
    <w:rsid w:val="0079164C"/>
    <w:rsid w:val="00793108"/>
    <w:rsid w:val="00797124"/>
    <w:rsid w:val="00797DE1"/>
    <w:rsid w:val="007A0E9A"/>
    <w:rsid w:val="007A20D0"/>
    <w:rsid w:val="007A3417"/>
    <w:rsid w:val="007A41D1"/>
    <w:rsid w:val="007A5A1A"/>
    <w:rsid w:val="007A69DA"/>
    <w:rsid w:val="007A73AA"/>
    <w:rsid w:val="007B001B"/>
    <w:rsid w:val="007B0271"/>
    <w:rsid w:val="007B23BC"/>
    <w:rsid w:val="007B3FE6"/>
    <w:rsid w:val="007B4586"/>
    <w:rsid w:val="007C072E"/>
    <w:rsid w:val="007C0F2F"/>
    <w:rsid w:val="007C13AF"/>
    <w:rsid w:val="007C2946"/>
    <w:rsid w:val="007C5F95"/>
    <w:rsid w:val="007C67FF"/>
    <w:rsid w:val="007D0905"/>
    <w:rsid w:val="007D0C3E"/>
    <w:rsid w:val="007D1706"/>
    <w:rsid w:val="007D2C61"/>
    <w:rsid w:val="007D36F3"/>
    <w:rsid w:val="007D3D72"/>
    <w:rsid w:val="007D5CDA"/>
    <w:rsid w:val="007D7B79"/>
    <w:rsid w:val="007E23A1"/>
    <w:rsid w:val="007E26BE"/>
    <w:rsid w:val="007E5B64"/>
    <w:rsid w:val="007E712C"/>
    <w:rsid w:val="007E7A46"/>
    <w:rsid w:val="007F3F20"/>
    <w:rsid w:val="00801A1A"/>
    <w:rsid w:val="00807C5A"/>
    <w:rsid w:val="00814BA3"/>
    <w:rsid w:val="00815958"/>
    <w:rsid w:val="00815DDD"/>
    <w:rsid w:val="0082236D"/>
    <w:rsid w:val="00823ED6"/>
    <w:rsid w:val="00827ACA"/>
    <w:rsid w:val="0083290E"/>
    <w:rsid w:val="00840FE1"/>
    <w:rsid w:val="0084103C"/>
    <w:rsid w:val="00843E20"/>
    <w:rsid w:val="00844461"/>
    <w:rsid w:val="0084535C"/>
    <w:rsid w:val="00845A8C"/>
    <w:rsid w:val="00846624"/>
    <w:rsid w:val="008558C8"/>
    <w:rsid w:val="00856E9B"/>
    <w:rsid w:val="00860833"/>
    <w:rsid w:val="0086274A"/>
    <w:rsid w:val="00864889"/>
    <w:rsid w:val="008651E0"/>
    <w:rsid w:val="008665CF"/>
    <w:rsid w:val="008666E8"/>
    <w:rsid w:val="00871B36"/>
    <w:rsid w:val="0087611A"/>
    <w:rsid w:val="0088263D"/>
    <w:rsid w:val="00883529"/>
    <w:rsid w:val="00884269"/>
    <w:rsid w:val="00884A35"/>
    <w:rsid w:val="00884CE6"/>
    <w:rsid w:val="00884FB4"/>
    <w:rsid w:val="008908BF"/>
    <w:rsid w:val="008922E7"/>
    <w:rsid w:val="00893BE7"/>
    <w:rsid w:val="0089714A"/>
    <w:rsid w:val="00897F30"/>
    <w:rsid w:val="008A25EF"/>
    <w:rsid w:val="008A2805"/>
    <w:rsid w:val="008A31CF"/>
    <w:rsid w:val="008B2B15"/>
    <w:rsid w:val="008B3AA7"/>
    <w:rsid w:val="008B62CD"/>
    <w:rsid w:val="008C012B"/>
    <w:rsid w:val="008C0D28"/>
    <w:rsid w:val="008C1556"/>
    <w:rsid w:val="008C1E6D"/>
    <w:rsid w:val="008C325E"/>
    <w:rsid w:val="008C4068"/>
    <w:rsid w:val="008D016E"/>
    <w:rsid w:val="008D242E"/>
    <w:rsid w:val="008D448A"/>
    <w:rsid w:val="008D4AC8"/>
    <w:rsid w:val="008D646E"/>
    <w:rsid w:val="008E193D"/>
    <w:rsid w:val="008E3B23"/>
    <w:rsid w:val="008E5A71"/>
    <w:rsid w:val="008F2CDE"/>
    <w:rsid w:val="008F3F62"/>
    <w:rsid w:val="008F490E"/>
    <w:rsid w:val="008F77EF"/>
    <w:rsid w:val="009001A3"/>
    <w:rsid w:val="0090107A"/>
    <w:rsid w:val="00913237"/>
    <w:rsid w:val="00913CEB"/>
    <w:rsid w:val="00914031"/>
    <w:rsid w:val="00915074"/>
    <w:rsid w:val="009166A9"/>
    <w:rsid w:val="00917BD4"/>
    <w:rsid w:val="00923CA9"/>
    <w:rsid w:val="00923D0A"/>
    <w:rsid w:val="0092533B"/>
    <w:rsid w:val="00931E62"/>
    <w:rsid w:val="00932402"/>
    <w:rsid w:val="009340A3"/>
    <w:rsid w:val="009341E1"/>
    <w:rsid w:val="0093654E"/>
    <w:rsid w:val="00940CAC"/>
    <w:rsid w:val="00941956"/>
    <w:rsid w:val="0094640C"/>
    <w:rsid w:val="0094765C"/>
    <w:rsid w:val="009500CA"/>
    <w:rsid w:val="00950815"/>
    <w:rsid w:val="00952AC2"/>
    <w:rsid w:val="009558CA"/>
    <w:rsid w:val="00956157"/>
    <w:rsid w:val="00957FE4"/>
    <w:rsid w:val="00961D84"/>
    <w:rsid w:val="00962B7B"/>
    <w:rsid w:val="00963595"/>
    <w:rsid w:val="00963C3E"/>
    <w:rsid w:val="00964C21"/>
    <w:rsid w:val="00967C15"/>
    <w:rsid w:val="00970779"/>
    <w:rsid w:val="00973300"/>
    <w:rsid w:val="00973933"/>
    <w:rsid w:val="00974F01"/>
    <w:rsid w:val="00980A42"/>
    <w:rsid w:val="00980A83"/>
    <w:rsid w:val="00981CE3"/>
    <w:rsid w:val="00984586"/>
    <w:rsid w:val="0098460D"/>
    <w:rsid w:val="00984653"/>
    <w:rsid w:val="00984C64"/>
    <w:rsid w:val="00985F79"/>
    <w:rsid w:val="00993A12"/>
    <w:rsid w:val="00996064"/>
    <w:rsid w:val="0099654E"/>
    <w:rsid w:val="009A1798"/>
    <w:rsid w:val="009A2A2B"/>
    <w:rsid w:val="009A44D3"/>
    <w:rsid w:val="009A4EA8"/>
    <w:rsid w:val="009A681B"/>
    <w:rsid w:val="009A7182"/>
    <w:rsid w:val="009B6083"/>
    <w:rsid w:val="009B725D"/>
    <w:rsid w:val="009C045C"/>
    <w:rsid w:val="009C4F96"/>
    <w:rsid w:val="009C5845"/>
    <w:rsid w:val="009D5F07"/>
    <w:rsid w:val="009D79CA"/>
    <w:rsid w:val="009E1B74"/>
    <w:rsid w:val="009E20BA"/>
    <w:rsid w:val="009E462C"/>
    <w:rsid w:val="009E4E29"/>
    <w:rsid w:val="009E7C91"/>
    <w:rsid w:val="009F0261"/>
    <w:rsid w:val="009F301F"/>
    <w:rsid w:val="009F447B"/>
    <w:rsid w:val="009F5882"/>
    <w:rsid w:val="009F6E0D"/>
    <w:rsid w:val="00A0288F"/>
    <w:rsid w:val="00A07A5F"/>
    <w:rsid w:val="00A08A95"/>
    <w:rsid w:val="00A11680"/>
    <w:rsid w:val="00A116C4"/>
    <w:rsid w:val="00A11CF7"/>
    <w:rsid w:val="00A14290"/>
    <w:rsid w:val="00A15044"/>
    <w:rsid w:val="00A22189"/>
    <w:rsid w:val="00A2337D"/>
    <w:rsid w:val="00A25E17"/>
    <w:rsid w:val="00A2676C"/>
    <w:rsid w:val="00A30B1E"/>
    <w:rsid w:val="00A342AC"/>
    <w:rsid w:val="00A34F6F"/>
    <w:rsid w:val="00A37B36"/>
    <w:rsid w:val="00A416BC"/>
    <w:rsid w:val="00A4284F"/>
    <w:rsid w:val="00A42916"/>
    <w:rsid w:val="00A43B2B"/>
    <w:rsid w:val="00A452B6"/>
    <w:rsid w:val="00A45778"/>
    <w:rsid w:val="00A46D48"/>
    <w:rsid w:val="00A47F66"/>
    <w:rsid w:val="00A502DB"/>
    <w:rsid w:val="00A52F39"/>
    <w:rsid w:val="00A54C54"/>
    <w:rsid w:val="00A57A96"/>
    <w:rsid w:val="00A63DC1"/>
    <w:rsid w:val="00A64805"/>
    <w:rsid w:val="00A65FEA"/>
    <w:rsid w:val="00A6682F"/>
    <w:rsid w:val="00A6888D"/>
    <w:rsid w:val="00A7022B"/>
    <w:rsid w:val="00A70ED8"/>
    <w:rsid w:val="00A71DA0"/>
    <w:rsid w:val="00A726B3"/>
    <w:rsid w:val="00A73EB6"/>
    <w:rsid w:val="00A74B04"/>
    <w:rsid w:val="00A773F1"/>
    <w:rsid w:val="00A84FE0"/>
    <w:rsid w:val="00A90E50"/>
    <w:rsid w:val="00A9116B"/>
    <w:rsid w:val="00A922E0"/>
    <w:rsid w:val="00A924B7"/>
    <w:rsid w:val="00A92ADF"/>
    <w:rsid w:val="00A93A96"/>
    <w:rsid w:val="00A94C21"/>
    <w:rsid w:val="00A97960"/>
    <w:rsid w:val="00AA47C9"/>
    <w:rsid w:val="00AA512E"/>
    <w:rsid w:val="00AA57FD"/>
    <w:rsid w:val="00AB22B8"/>
    <w:rsid w:val="00AB3DDA"/>
    <w:rsid w:val="00AB41ED"/>
    <w:rsid w:val="00AB6386"/>
    <w:rsid w:val="00AC105E"/>
    <w:rsid w:val="00AC111E"/>
    <w:rsid w:val="00AC11A5"/>
    <w:rsid w:val="00AC4607"/>
    <w:rsid w:val="00AC7C40"/>
    <w:rsid w:val="00AD0091"/>
    <w:rsid w:val="00AD0DDB"/>
    <w:rsid w:val="00AD1336"/>
    <w:rsid w:val="00AD2B94"/>
    <w:rsid w:val="00AD48E2"/>
    <w:rsid w:val="00AD49E6"/>
    <w:rsid w:val="00AE0491"/>
    <w:rsid w:val="00AE19E3"/>
    <w:rsid w:val="00AE3A01"/>
    <w:rsid w:val="00AE6738"/>
    <w:rsid w:val="00AE78E1"/>
    <w:rsid w:val="00AF1C78"/>
    <w:rsid w:val="00AF252F"/>
    <w:rsid w:val="00AF40DE"/>
    <w:rsid w:val="00AF4B5E"/>
    <w:rsid w:val="00AF5090"/>
    <w:rsid w:val="00AF5C3A"/>
    <w:rsid w:val="00AF774F"/>
    <w:rsid w:val="00B00846"/>
    <w:rsid w:val="00B017BF"/>
    <w:rsid w:val="00B0182D"/>
    <w:rsid w:val="00B01891"/>
    <w:rsid w:val="00B023EF"/>
    <w:rsid w:val="00B061C7"/>
    <w:rsid w:val="00B13084"/>
    <w:rsid w:val="00B202FE"/>
    <w:rsid w:val="00B21A34"/>
    <w:rsid w:val="00B233D5"/>
    <w:rsid w:val="00B24176"/>
    <w:rsid w:val="00B24795"/>
    <w:rsid w:val="00B2645C"/>
    <w:rsid w:val="00B26973"/>
    <w:rsid w:val="00B30A60"/>
    <w:rsid w:val="00B34527"/>
    <w:rsid w:val="00B35470"/>
    <w:rsid w:val="00B40981"/>
    <w:rsid w:val="00B41F5E"/>
    <w:rsid w:val="00B41F65"/>
    <w:rsid w:val="00B44AC6"/>
    <w:rsid w:val="00B471D3"/>
    <w:rsid w:val="00B50408"/>
    <w:rsid w:val="00B51322"/>
    <w:rsid w:val="00B56E4C"/>
    <w:rsid w:val="00B602DA"/>
    <w:rsid w:val="00B63945"/>
    <w:rsid w:val="00B648D3"/>
    <w:rsid w:val="00B653FA"/>
    <w:rsid w:val="00B66C37"/>
    <w:rsid w:val="00B672B0"/>
    <w:rsid w:val="00B67866"/>
    <w:rsid w:val="00B72896"/>
    <w:rsid w:val="00B74C63"/>
    <w:rsid w:val="00B75AD1"/>
    <w:rsid w:val="00B77BA3"/>
    <w:rsid w:val="00B851B9"/>
    <w:rsid w:val="00B87467"/>
    <w:rsid w:val="00B87767"/>
    <w:rsid w:val="00B87801"/>
    <w:rsid w:val="00B920E2"/>
    <w:rsid w:val="00B9490C"/>
    <w:rsid w:val="00B94CCB"/>
    <w:rsid w:val="00BA20CD"/>
    <w:rsid w:val="00BA6249"/>
    <w:rsid w:val="00BB1875"/>
    <w:rsid w:val="00BB3F7D"/>
    <w:rsid w:val="00BB59E2"/>
    <w:rsid w:val="00BB6082"/>
    <w:rsid w:val="00BB61B2"/>
    <w:rsid w:val="00BC0B13"/>
    <w:rsid w:val="00BC0DEF"/>
    <w:rsid w:val="00BC3F7C"/>
    <w:rsid w:val="00BC4B9E"/>
    <w:rsid w:val="00BC6006"/>
    <w:rsid w:val="00BD30DE"/>
    <w:rsid w:val="00BD4C76"/>
    <w:rsid w:val="00BD66EA"/>
    <w:rsid w:val="00BD6DDA"/>
    <w:rsid w:val="00BD6E03"/>
    <w:rsid w:val="00BD6F7D"/>
    <w:rsid w:val="00BE4A7E"/>
    <w:rsid w:val="00BE6B27"/>
    <w:rsid w:val="00BF41E7"/>
    <w:rsid w:val="00BF43C0"/>
    <w:rsid w:val="00BF43D6"/>
    <w:rsid w:val="00BF4897"/>
    <w:rsid w:val="00BF4FDE"/>
    <w:rsid w:val="00C04225"/>
    <w:rsid w:val="00C05E13"/>
    <w:rsid w:val="00C06189"/>
    <w:rsid w:val="00C06C04"/>
    <w:rsid w:val="00C1204D"/>
    <w:rsid w:val="00C17413"/>
    <w:rsid w:val="00C22F9C"/>
    <w:rsid w:val="00C26FDB"/>
    <w:rsid w:val="00C275A5"/>
    <w:rsid w:val="00C30447"/>
    <w:rsid w:val="00C311C9"/>
    <w:rsid w:val="00C32ED2"/>
    <w:rsid w:val="00C37BA1"/>
    <w:rsid w:val="00C47A15"/>
    <w:rsid w:val="00C5207D"/>
    <w:rsid w:val="00C526EA"/>
    <w:rsid w:val="00C53605"/>
    <w:rsid w:val="00C60696"/>
    <w:rsid w:val="00C639AB"/>
    <w:rsid w:val="00C64674"/>
    <w:rsid w:val="00C65095"/>
    <w:rsid w:val="00C65EC8"/>
    <w:rsid w:val="00C72840"/>
    <w:rsid w:val="00C72929"/>
    <w:rsid w:val="00C8208F"/>
    <w:rsid w:val="00C82765"/>
    <w:rsid w:val="00C83C88"/>
    <w:rsid w:val="00C84071"/>
    <w:rsid w:val="00C85986"/>
    <w:rsid w:val="00C92D1A"/>
    <w:rsid w:val="00C95852"/>
    <w:rsid w:val="00C95943"/>
    <w:rsid w:val="00C96479"/>
    <w:rsid w:val="00CA1D06"/>
    <w:rsid w:val="00CA2A97"/>
    <w:rsid w:val="00CB5910"/>
    <w:rsid w:val="00CB5A6A"/>
    <w:rsid w:val="00CC2343"/>
    <w:rsid w:val="00CC2987"/>
    <w:rsid w:val="00CC753B"/>
    <w:rsid w:val="00CC798F"/>
    <w:rsid w:val="00CD00D9"/>
    <w:rsid w:val="00CD5AC6"/>
    <w:rsid w:val="00CD7384"/>
    <w:rsid w:val="00CD7C6D"/>
    <w:rsid w:val="00CE436C"/>
    <w:rsid w:val="00CE554F"/>
    <w:rsid w:val="00CE6372"/>
    <w:rsid w:val="00CE67B1"/>
    <w:rsid w:val="00CF2F1C"/>
    <w:rsid w:val="00CF355C"/>
    <w:rsid w:val="00CF5CDF"/>
    <w:rsid w:val="00CF5D7D"/>
    <w:rsid w:val="00D009A0"/>
    <w:rsid w:val="00D019E2"/>
    <w:rsid w:val="00D035CA"/>
    <w:rsid w:val="00D04674"/>
    <w:rsid w:val="00D06414"/>
    <w:rsid w:val="00D07183"/>
    <w:rsid w:val="00D07264"/>
    <w:rsid w:val="00D07B1B"/>
    <w:rsid w:val="00D112B3"/>
    <w:rsid w:val="00D1155F"/>
    <w:rsid w:val="00D12032"/>
    <w:rsid w:val="00D1560F"/>
    <w:rsid w:val="00D169B2"/>
    <w:rsid w:val="00D179F8"/>
    <w:rsid w:val="00D17F94"/>
    <w:rsid w:val="00D20649"/>
    <w:rsid w:val="00D23CA0"/>
    <w:rsid w:val="00D24E31"/>
    <w:rsid w:val="00D357ED"/>
    <w:rsid w:val="00D36F8D"/>
    <w:rsid w:val="00D41EDA"/>
    <w:rsid w:val="00D42748"/>
    <w:rsid w:val="00D440F0"/>
    <w:rsid w:val="00D46398"/>
    <w:rsid w:val="00D477C9"/>
    <w:rsid w:val="00D53717"/>
    <w:rsid w:val="00D553B2"/>
    <w:rsid w:val="00D55FFD"/>
    <w:rsid w:val="00D72CA0"/>
    <w:rsid w:val="00D803A1"/>
    <w:rsid w:val="00D80512"/>
    <w:rsid w:val="00D81CA9"/>
    <w:rsid w:val="00D84606"/>
    <w:rsid w:val="00D906DF"/>
    <w:rsid w:val="00D9130A"/>
    <w:rsid w:val="00D93A24"/>
    <w:rsid w:val="00D93E74"/>
    <w:rsid w:val="00D94650"/>
    <w:rsid w:val="00D950AD"/>
    <w:rsid w:val="00D955D7"/>
    <w:rsid w:val="00D963CF"/>
    <w:rsid w:val="00D972CC"/>
    <w:rsid w:val="00D9746B"/>
    <w:rsid w:val="00DA0A83"/>
    <w:rsid w:val="00DA41DC"/>
    <w:rsid w:val="00DA49AB"/>
    <w:rsid w:val="00DA624F"/>
    <w:rsid w:val="00DA74DE"/>
    <w:rsid w:val="00DB0A78"/>
    <w:rsid w:val="00DB53A5"/>
    <w:rsid w:val="00DC4710"/>
    <w:rsid w:val="00DC6A12"/>
    <w:rsid w:val="00DD03E8"/>
    <w:rsid w:val="00DD0C25"/>
    <w:rsid w:val="00DD4BC7"/>
    <w:rsid w:val="00DE02AA"/>
    <w:rsid w:val="00DE2730"/>
    <w:rsid w:val="00DE359D"/>
    <w:rsid w:val="00DE3DBF"/>
    <w:rsid w:val="00DE52B2"/>
    <w:rsid w:val="00DE6EDC"/>
    <w:rsid w:val="00DF1F97"/>
    <w:rsid w:val="00DF22C9"/>
    <w:rsid w:val="00DF32D1"/>
    <w:rsid w:val="00DF35DD"/>
    <w:rsid w:val="00DF53A2"/>
    <w:rsid w:val="00DF5E7A"/>
    <w:rsid w:val="00E00733"/>
    <w:rsid w:val="00E00B38"/>
    <w:rsid w:val="00E01F9A"/>
    <w:rsid w:val="00E04169"/>
    <w:rsid w:val="00E051C2"/>
    <w:rsid w:val="00E07996"/>
    <w:rsid w:val="00E12B25"/>
    <w:rsid w:val="00E131C0"/>
    <w:rsid w:val="00E1638D"/>
    <w:rsid w:val="00E2148C"/>
    <w:rsid w:val="00E2172F"/>
    <w:rsid w:val="00E26725"/>
    <w:rsid w:val="00E274A2"/>
    <w:rsid w:val="00E310B1"/>
    <w:rsid w:val="00E311F8"/>
    <w:rsid w:val="00E31CC6"/>
    <w:rsid w:val="00E328DF"/>
    <w:rsid w:val="00E334A9"/>
    <w:rsid w:val="00E349D9"/>
    <w:rsid w:val="00E35601"/>
    <w:rsid w:val="00E37541"/>
    <w:rsid w:val="00E40D9C"/>
    <w:rsid w:val="00E413B1"/>
    <w:rsid w:val="00E422FD"/>
    <w:rsid w:val="00E45A20"/>
    <w:rsid w:val="00E45E29"/>
    <w:rsid w:val="00E47D83"/>
    <w:rsid w:val="00E5056E"/>
    <w:rsid w:val="00E540BF"/>
    <w:rsid w:val="00E56C04"/>
    <w:rsid w:val="00E574B8"/>
    <w:rsid w:val="00E61F8D"/>
    <w:rsid w:val="00E632B5"/>
    <w:rsid w:val="00E74BF4"/>
    <w:rsid w:val="00E84581"/>
    <w:rsid w:val="00E8711B"/>
    <w:rsid w:val="00E92AEF"/>
    <w:rsid w:val="00E9792E"/>
    <w:rsid w:val="00EA3ABF"/>
    <w:rsid w:val="00EB11B4"/>
    <w:rsid w:val="00EB3C73"/>
    <w:rsid w:val="00EB4295"/>
    <w:rsid w:val="00EB7C56"/>
    <w:rsid w:val="00EC01CE"/>
    <w:rsid w:val="00EC050D"/>
    <w:rsid w:val="00EC09E4"/>
    <w:rsid w:val="00EC4934"/>
    <w:rsid w:val="00EC49AE"/>
    <w:rsid w:val="00EC5150"/>
    <w:rsid w:val="00ED4F3D"/>
    <w:rsid w:val="00ED703D"/>
    <w:rsid w:val="00ED76C8"/>
    <w:rsid w:val="00EE3288"/>
    <w:rsid w:val="00EF05AC"/>
    <w:rsid w:val="00EF257F"/>
    <w:rsid w:val="00EF3B21"/>
    <w:rsid w:val="00EF3D3F"/>
    <w:rsid w:val="00EF5BE2"/>
    <w:rsid w:val="00EF6807"/>
    <w:rsid w:val="00F00D7B"/>
    <w:rsid w:val="00F06180"/>
    <w:rsid w:val="00F07979"/>
    <w:rsid w:val="00F12CC7"/>
    <w:rsid w:val="00F14F48"/>
    <w:rsid w:val="00F1760C"/>
    <w:rsid w:val="00F20C95"/>
    <w:rsid w:val="00F21E77"/>
    <w:rsid w:val="00F22B1B"/>
    <w:rsid w:val="00F22C53"/>
    <w:rsid w:val="00F23460"/>
    <w:rsid w:val="00F25F64"/>
    <w:rsid w:val="00F30486"/>
    <w:rsid w:val="00F33645"/>
    <w:rsid w:val="00F35526"/>
    <w:rsid w:val="00F4086D"/>
    <w:rsid w:val="00F412BF"/>
    <w:rsid w:val="00F46730"/>
    <w:rsid w:val="00F50941"/>
    <w:rsid w:val="00F529FF"/>
    <w:rsid w:val="00F52F28"/>
    <w:rsid w:val="00F5343F"/>
    <w:rsid w:val="00F538BE"/>
    <w:rsid w:val="00F541CA"/>
    <w:rsid w:val="00F54AFE"/>
    <w:rsid w:val="00F613E5"/>
    <w:rsid w:val="00F61827"/>
    <w:rsid w:val="00F62053"/>
    <w:rsid w:val="00F651E8"/>
    <w:rsid w:val="00F66771"/>
    <w:rsid w:val="00F700E4"/>
    <w:rsid w:val="00F74620"/>
    <w:rsid w:val="00F7556A"/>
    <w:rsid w:val="00F770AC"/>
    <w:rsid w:val="00F77A42"/>
    <w:rsid w:val="00F8291D"/>
    <w:rsid w:val="00F84513"/>
    <w:rsid w:val="00F918FB"/>
    <w:rsid w:val="00F91A06"/>
    <w:rsid w:val="00F953CD"/>
    <w:rsid w:val="00FA08A9"/>
    <w:rsid w:val="00FA11CC"/>
    <w:rsid w:val="00FA1C7D"/>
    <w:rsid w:val="00FA58A9"/>
    <w:rsid w:val="00FA7E6E"/>
    <w:rsid w:val="00FB0E54"/>
    <w:rsid w:val="00FB2E9E"/>
    <w:rsid w:val="00FB3B34"/>
    <w:rsid w:val="00FB5100"/>
    <w:rsid w:val="00FB76D5"/>
    <w:rsid w:val="00FC36F0"/>
    <w:rsid w:val="00FC5F3A"/>
    <w:rsid w:val="00FC7344"/>
    <w:rsid w:val="00FD1C67"/>
    <w:rsid w:val="00FD3484"/>
    <w:rsid w:val="00FD396A"/>
    <w:rsid w:val="00FD5287"/>
    <w:rsid w:val="00FE0B11"/>
    <w:rsid w:val="00FE0B98"/>
    <w:rsid w:val="00FE0CEF"/>
    <w:rsid w:val="00FE278E"/>
    <w:rsid w:val="00FE62D3"/>
    <w:rsid w:val="00FE7572"/>
    <w:rsid w:val="00FF46AB"/>
    <w:rsid w:val="00FF4982"/>
    <w:rsid w:val="00FF5452"/>
    <w:rsid w:val="010086DA"/>
    <w:rsid w:val="0102647C"/>
    <w:rsid w:val="012318A0"/>
    <w:rsid w:val="0139FC89"/>
    <w:rsid w:val="0186A39A"/>
    <w:rsid w:val="0195996E"/>
    <w:rsid w:val="01BB0217"/>
    <w:rsid w:val="01C2D107"/>
    <w:rsid w:val="01EFE795"/>
    <w:rsid w:val="022D39CE"/>
    <w:rsid w:val="022E339E"/>
    <w:rsid w:val="0273405F"/>
    <w:rsid w:val="02BF1483"/>
    <w:rsid w:val="0309001F"/>
    <w:rsid w:val="0339753E"/>
    <w:rsid w:val="0345A9E1"/>
    <w:rsid w:val="036F06D4"/>
    <w:rsid w:val="03700608"/>
    <w:rsid w:val="0380A2C2"/>
    <w:rsid w:val="03951F48"/>
    <w:rsid w:val="03E3DC06"/>
    <w:rsid w:val="03F04D69"/>
    <w:rsid w:val="0405E9B9"/>
    <w:rsid w:val="0414D0B4"/>
    <w:rsid w:val="0424EC6E"/>
    <w:rsid w:val="04267712"/>
    <w:rsid w:val="0480D8D5"/>
    <w:rsid w:val="048A1649"/>
    <w:rsid w:val="04B54383"/>
    <w:rsid w:val="04B5B501"/>
    <w:rsid w:val="04BA524C"/>
    <w:rsid w:val="04D9A8CA"/>
    <w:rsid w:val="04EBFFBE"/>
    <w:rsid w:val="04F44E61"/>
    <w:rsid w:val="0506A072"/>
    <w:rsid w:val="050DEA06"/>
    <w:rsid w:val="0512E050"/>
    <w:rsid w:val="0519D82D"/>
    <w:rsid w:val="054267A7"/>
    <w:rsid w:val="058EE5EC"/>
    <w:rsid w:val="05F2BE47"/>
    <w:rsid w:val="06072B0C"/>
    <w:rsid w:val="063837C2"/>
    <w:rsid w:val="063CB933"/>
    <w:rsid w:val="06A62C3E"/>
    <w:rsid w:val="06CC8423"/>
    <w:rsid w:val="06FA6BEA"/>
    <w:rsid w:val="070491FF"/>
    <w:rsid w:val="070FEA63"/>
    <w:rsid w:val="0724B80C"/>
    <w:rsid w:val="0739FE38"/>
    <w:rsid w:val="074AED47"/>
    <w:rsid w:val="07583C35"/>
    <w:rsid w:val="078E9B1F"/>
    <w:rsid w:val="07A148DC"/>
    <w:rsid w:val="07C4F10D"/>
    <w:rsid w:val="07EC65F3"/>
    <w:rsid w:val="084A7D74"/>
    <w:rsid w:val="0894B204"/>
    <w:rsid w:val="089F3C0D"/>
    <w:rsid w:val="08C187D0"/>
    <w:rsid w:val="08C9BF96"/>
    <w:rsid w:val="08D602B1"/>
    <w:rsid w:val="08DFBD5B"/>
    <w:rsid w:val="094EB9D1"/>
    <w:rsid w:val="096D058F"/>
    <w:rsid w:val="096DE570"/>
    <w:rsid w:val="097EF531"/>
    <w:rsid w:val="099E2DC8"/>
    <w:rsid w:val="09BDF34F"/>
    <w:rsid w:val="09C7C4A8"/>
    <w:rsid w:val="09CBAE67"/>
    <w:rsid w:val="09FB6AE4"/>
    <w:rsid w:val="09FC8EB3"/>
    <w:rsid w:val="0A3192EA"/>
    <w:rsid w:val="0A85584B"/>
    <w:rsid w:val="0ABA383D"/>
    <w:rsid w:val="0ADEF55A"/>
    <w:rsid w:val="0AF9E88B"/>
    <w:rsid w:val="0B0F3ABE"/>
    <w:rsid w:val="0B181B25"/>
    <w:rsid w:val="0B194DC4"/>
    <w:rsid w:val="0B7357AC"/>
    <w:rsid w:val="0B73C36C"/>
    <w:rsid w:val="0BBFEAA8"/>
    <w:rsid w:val="0BC84682"/>
    <w:rsid w:val="0BD811CD"/>
    <w:rsid w:val="0BDA8B80"/>
    <w:rsid w:val="0BED1137"/>
    <w:rsid w:val="0C024CCD"/>
    <w:rsid w:val="0C36B0AB"/>
    <w:rsid w:val="0C3C6727"/>
    <w:rsid w:val="0C4049C1"/>
    <w:rsid w:val="0C42D0C7"/>
    <w:rsid w:val="0C42E60E"/>
    <w:rsid w:val="0C54D816"/>
    <w:rsid w:val="0C5664ED"/>
    <w:rsid w:val="0C7A13A4"/>
    <w:rsid w:val="0D185A5B"/>
    <w:rsid w:val="0D8A2C99"/>
    <w:rsid w:val="0D9C9BAF"/>
    <w:rsid w:val="0DBD13F6"/>
    <w:rsid w:val="0DDF169E"/>
    <w:rsid w:val="0E05DF17"/>
    <w:rsid w:val="0E313BA8"/>
    <w:rsid w:val="0E5585D4"/>
    <w:rsid w:val="0EC3FAB3"/>
    <w:rsid w:val="0EEC6950"/>
    <w:rsid w:val="0F06F126"/>
    <w:rsid w:val="0F5ABCB7"/>
    <w:rsid w:val="0FA7AEE9"/>
    <w:rsid w:val="0FBEA846"/>
    <w:rsid w:val="105DEC7B"/>
    <w:rsid w:val="10989654"/>
    <w:rsid w:val="10E1E5B6"/>
    <w:rsid w:val="111A7940"/>
    <w:rsid w:val="112C2399"/>
    <w:rsid w:val="1139C5BF"/>
    <w:rsid w:val="113F9DC1"/>
    <w:rsid w:val="117FC267"/>
    <w:rsid w:val="11A3562F"/>
    <w:rsid w:val="11A8DD51"/>
    <w:rsid w:val="122D8463"/>
    <w:rsid w:val="12F42EA7"/>
    <w:rsid w:val="133090CA"/>
    <w:rsid w:val="136488E9"/>
    <w:rsid w:val="137C5737"/>
    <w:rsid w:val="13A716A0"/>
    <w:rsid w:val="13CA8FA7"/>
    <w:rsid w:val="13D46941"/>
    <w:rsid w:val="14594C4B"/>
    <w:rsid w:val="1476765C"/>
    <w:rsid w:val="14D5214D"/>
    <w:rsid w:val="14DC3AEC"/>
    <w:rsid w:val="15183D98"/>
    <w:rsid w:val="158E5A7D"/>
    <w:rsid w:val="15C55C4F"/>
    <w:rsid w:val="15C7E86B"/>
    <w:rsid w:val="15CE1484"/>
    <w:rsid w:val="15DFEFE1"/>
    <w:rsid w:val="15E109B0"/>
    <w:rsid w:val="15E9C728"/>
    <w:rsid w:val="16053B2D"/>
    <w:rsid w:val="165789A9"/>
    <w:rsid w:val="166FDB91"/>
    <w:rsid w:val="16B5143A"/>
    <w:rsid w:val="17055B1E"/>
    <w:rsid w:val="1754C632"/>
    <w:rsid w:val="17710C63"/>
    <w:rsid w:val="17768625"/>
    <w:rsid w:val="177F4F53"/>
    <w:rsid w:val="178FC4B7"/>
    <w:rsid w:val="17C93833"/>
    <w:rsid w:val="17D11D65"/>
    <w:rsid w:val="1831A0E2"/>
    <w:rsid w:val="183F328D"/>
    <w:rsid w:val="186F15FC"/>
    <w:rsid w:val="18829239"/>
    <w:rsid w:val="18A74C47"/>
    <w:rsid w:val="18C3C51D"/>
    <w:rsid w:val="18CADBD6"/>
    <w:rsid w:val="18D4D21D"/>
    <w:rsid w:val="18DB3B69"/>
    <w:rsid w:val="191FE17F"/>
    <w:rsid w:val="1931D7E1"/>
    <w:rsid w:val="196CD739"/>
    <w:rsid w:val="19EDAC6F"/>
    <w:rsid w:val="1A1E554B"/>
    <w:rsid w:val="1A30C5AC"/>
    <w:rsid w:val="1A55DD39"/>
    <w:rsid w:val="1A60BBEB"/>
    <w:rsid w:val="1A6EC96D"/>
    <w:rsid w:val="1A6F7BA7"/>
    <w:rsid w:val="1A7BAE08"/>
    <w:rsid w:val="1A7C9A40"/>
    <w:rsid w:val="1A801B41"/>
    <w:rsid w:val="1AAA8B31"/>
    <w:rsid w:val="1AD7C95A"/>
    <w:rsid w:val="1AF83ABE"/>
    <w:rsid w:val="1AFE7E97"/>
    <w:rsid w:val="1B370FBE"/>
    <w:rsid w:val="1BA09E26"/>
    <w:rsid w:val="1BF3A853"/>
    <w:rsid w:val="1BFC1678"/>
    <w:rsid w:val="1C083955"/>
    <w:rsid w:val="1C67B026"/>
    <w:rsid w:val="1C849631"/>
    <w:rsid w:val="1CA1A80B"/>
    <w:rsid w:val="1CA243B6"/>
    <w:rsid w:val="1CEFC1DC"/>
    <w:rsid w:val="1CF7405A"/>
    <w:rsid w:val="1D0A7412"/>
    <w:rsid w:val="1D7A3C8C"/>
    <w:rsid w:val="1DBFA674"/>
    <w:rsid w:val="1DC31447"/>
    <w:rsid w:val="1DCDE3E0"/>
    <w:rsid w:val="1DDB8968"/>
    <w:rsid w:val="1DE239C5"/>
    <w:rsid w:val="1DFB04FE"/>
    <w:rsid w:val="1E34BBF8"/>
    <w:rsid w:val="1E5528BE"/>
    <w:rsid w:val="1E5E3D91"/>
    <w:rsid w:val="1E674331"/>
    <w:rsid w:val="1E750BF4"/>
    <w:rsid w:val="1E78BC76"/>
    <w:rsid w:val="1E9E0C56"/>
    <w:rsid w:val="1F1AB8BB"/>
    <w:rsid w:val="1F3F520F"/>
    <w:rsid w:val="1F528AAB"/>
    <w:rsid w:val="1FC13183"/>
    <w:rsid w:val="1FF9B437"/>
    <w:rsid w:val="20072B05"/>
    <w:rsid w:val="2023BD1B"/>
    <w:rsid w:val="206C4868"/>
    <w:rsid w:val="20818B58"/>
    <w:rsid w:val="209B96EB"/>
    <w:rsid w:val="20AE2CAC"/>
    <w:rsid w:val="20B146D3"/>
    <w:rsid w:val="20BC91DE"/>
    <w:rsid w:val="20FC284E"/>
    <w:rsid w:val="21002057"/>
    <w:rsid w:val="210EEAE8"/>
    <w:rsid w:val="215DCCD2"/>
    <w:rsid w:val="216C1A0B"/>
    <w:rsid w:val="216C5042"/>
    <w:rsid w:val="2201E6CF"/>
    <w:rsid w:val="223D7C2E"/>
    <w:rsid w:val="2253F44A"/>
    <w:rsid w:val="22750B6E"/>
    <w:rsid w:val="22950193"/>
    <w:rsid w:val="22BB5D21"/>
    <w:rsid w:val="22C6BB0D"/>
    <w:rsid w:val="22CA7492"/>
    <w:rsid w:val="22E9B007"/>
    <w:rsid w:val="2314A67E"/>
    <w:rsid w:val="2329B529"/>
    <w:rsid w:val="23708219"/>
    <w:rsid w:val="23AAF860"/>
    <w:rsid w:val="23AC4952"/>
    <w:rsid w:val="23E5CF1B"/>
    <w:rsid w:val="23F7BBA7"/>
    <w:rsid w:val="24010B9A"/>
    <w:rsid w:val="24082AF4"/>
    <w:rsid w:val="24431574"/>
    <w:rsid w:val="24437911"/>
    <w:rsid w:val="2457323B"/>
    <w:rsid w:val="245E113C"/>
    <w:rsid w:val="246556C8"/>
    <w:rsid w:val="2468ECB7"/>
    <w:rsid w:val="24C90E1D"/>
    <w:rsid w:val="24F0FD1B"/>
    <w:rsid w:val="253CCE14"/>
    <w:rsid w:val="256C8FEE"/>
    <w:rsid w:val="2579065F"/>
    <w:rsid w:val="25E6A4F0"/>
    <w:rsid w:val="260C30F8"/>
    <w:rsid w:val="265A633C"/>
    <w:rsid w:val="268D1EF6"/>
    <w:rsid w:val="26F74E47"/>
    <w:rsid w:val="270C5535"/>
    <w:rsid w:val="273EBCA6"/>
    <w:rsid w:val="273FC5FB"/>
    <w:rsid w:val="276ED023"/>
    <w:rsid w:val="2773AD77"/>
    <w:rsid w:val="27C1BC2C"/>
    <w:rsid w:val="28033AB2"/>
    <w:rsid w:val="2807825D"/>
    <w:rsid w:val="283A988B"/>
    <w:rsid w:val="2844C949"/>
    <w:rsid w:val="2852AA4C"/>
    <w:rsid w:val="2875A147"/>
    <w:rsid w:val="289C71BC"/>
    <w:rsid w:val="28AD4766"/>
    <w:rsid w:val="28D04FBA"/>
    <w:rsid w:val="28ED2BC0"/>
    <w:rsid w:val="299A677A"/>
    <w:rsid w:val="29A8F2A8"/>
    <w:rsid w:val="29C387E1"/>
    <w:rsid w:val="29F64A08"/>
    <w:rsid w:val="2A05B2BB"/>
    <w:rsid w:val="2A197E67"/>
    <w:rsid w:val="2A26DA20"/>
    <w:rsid w:val="2A44C95A"/>
    <w:rsid w:val="2A4BB88C"/>
    <w:rsid w:val="2A53D15B"/>
    <w:rsid w:val="2A8EC623"/>
    <w:rsid w:val="2AC118DA"/>
    <w:rsid w:val="2ADB0589"/>
    <w:rsid w:val="2AF6D3F5"/>
    <w:rsid w:val="2B13464B"/>
    <w:rsid w:val="2B92F62F"/>
    <w:rsid w:val="2BBCA46C"/>
    <w:rsid w:val="2C085D39"/>
    <w:rsid w:val="2C2A45EE"/>
    <w:rsid w:val="2C302582"/>
    <w:rsid w:val="2C4543F3"/>
    <w:rsid w:val="2C7F753B"/>
    <w:rsid w:val="2C8D4714"/>
    <w:rsid w:val="2CAE0093"/>
    <w:rsid w:val="2CE00342"/>
    <w:rsid w:val="2D242841"/>
    <w:rsid w:val="2D24C7F4"/>
    <w:rsid w:val="2DBDF894"/>
    <w:rsid w:val="2DECD1D5"/>
    <w:rsid w:val="2E22DD9A"/>
    <w:rsid w:val="2E301FC8"/>
    <w:rsid w:val="2E348274"/>
    <w:rsid w:val="2E606582"/>
    <w:rsid w:val="2EA49D20"/>
    <w:rsid w:val="2F2092CF"/>
    <w:rsid w:val="2F2C37AE"/>
    <w:rsid w:val="2F4008BB"/>
    <w:rsid w:val="2F4F0A06"/>
    <w:rsid w:val="2F7DF4D3"/>
    <w:rsid w:val="2F835269"/>
    <w:rsid w:val="2FB19A19"/>
    <w:rsid w:val="2FC428C6"/>
    <w:rsid w:val="2FDD127D"/>
    <w:rsid w:val="2FE02838"/>
    <w:rsid w:val="2FE30871"/>
    <w:rsid w:val="30609E0A"/>
    <w:rsid w:val="30A600C7"/>
    <w:rsid w:val="30CB4AED"/>
    <w:rsid w:val="3138826D"/>
    <w:rsid w:val="3152BC82"/>
    <w:rsid w:val="31B325FC"/>
    <w:rsid w:val="31BCEAC3"/>
    <w:rsid w:val="31D7FB4A"/>
    <w:rsid w:val="3215C2E0"/>
    <w:rsid w:val="32532232"/>
    <w:rsid w:val="3257F957"/>
    <w:rsid w:val="327915BD"/>
    <w:rsid w:val="3288802D"/>
    <w:rsid w:val="330C335B"/>
    <w:rsid w:val="337CDB6C"/>
    <w:rsid w:val="339B769D"/>
    <w:rsid w:val="34042CD9"/>
    <w:rsid w:val="34595D4C"/>
    <w:rsid w:val="3470D5E7"/>
    <w:rsid w:val="34825118"/>
    <w:rsid w:val="34AB22BF"/>
    <w:rsid w:val="3511E262"/>
    <w:rsid w:val="3515A74B"/>
    <w:rsid w:val="351B6958"/>
    <w:rsid w:val="3525AC6B"/>
    <w:rsid w:val="35555F69"/>
    <w:rsid w:val="3585D80D"/>
    <w:rsid w:val="35B60E32"/>
    <w:rsid w:val="35D2B848"/>
    <w:rsid w:val="35D35BCF"/>
    <w:rsid w:val="35E843A1"/>
    <w:rsid w:val="35F7F701"/>
    <w:rsid w:val="36537FC9"/>
    <w:rsid w:val="365F0AFF"/>
    <w:rsid w:val="366B5B2A"/>
    <w:rsid w:val="36802B71"/>
    <w:rsid w:val="36BC2FD6"/>
    <w:rsid w:val="36FDEB47"/>
    <w:rsid w:val="37491782"/>
    <w:rsid w:val="375BE3EB"/>
    <w:rsid w:val="3767A627"/>
    <w:rsid w:val="3767AAF0"/>
    <w:rsid w:val="3888C783"/>
    <w:rsid w:val="3890D3CB"/>
    <w:rsid w:val="38965FA6"/>
    <w:rsid w:val="38C19C8E"/>
    <w:rsid w:val="38E6C7D9"/>
    <w:rsid w:val="38F1DE17"/>
    <w:rsid w:val="38F87752"/>
    <w:rsid w:val="38FF0520"/>
    <w:rsid w:val="390E7F83"/>
    <w:rsid w:val="39186A6B"/>
    <w:rsid w:val="391A8594"/>
    <w:rsid w:val="3941FCCC"/>
    <w:rsid w:val="39542CD2"/>
    <w:rsid w:val="396CF102"/>
    <w:rsid w:val="397AA2F6"/>
    <w:rsid w:val="398947B2"/>
    <w:rsid w:val="39D17FFE"/>
    <w:rsid w:val="39FD3C76"/>
    <w:rsid w:val="3A1B8FA2"/>
    <w:rsid w:val="3A893B4F"/>
    <w:rsid w:val="3AA3ABE0"/>
    <w:rsid w:val="3AEA07CF"/>
    <w:rsid w:val="3B47DA43"/>
    <w:rsid w:val="3B8F4D19"/>
    <w:rsid w:val="3BD39EFB"/>
    <w:rsid w:val="3BDB1BBE"/>
    <w:rsid w:val="3C0018F5"/>
    <w:rsid w:val="3C100C10"/>
    <w:rsid w:val="3C160763"/>
    <w:rsid w:val="3C1654CA"/>
    <w:rsid w:val="3C1F21A6"/>
    <w:rsid w:val="3C232678"/>
    <w:rsid w:val="3C2A91B7"/>
    <w:rsid w:val="3C38C5B2"/>
    <w:rsid w:val="3CA568F3"/>
    <w:rsid w:val="3CE5DB78"/>
    <w:rsid w:val="3D05777C"/>
    <w:rsid w:val="3D0CF8B3"/>
    <w:rsid w:val="3D151E33"/>
    <w:rsid w:val="3D2FCEE8"/>
    <w:rsid w:val="3D45FF53"/>
    <w:rsid w:val="3D581B28"/>
    <w:rsid w:val="3DAF3C04"/>
    <w:rsid w:val="3DB0B782"/>
    <w:rsid w:val="3DB53772"/>
    <w:rsid w:val="3DC44919"/>
    <w:rsid w:val="3DE0F7D8"/>
    <w:rsid w:val="3DF51606"/>
    <w:rsid w:val="3E1EB97B"/>
    <w:rsid w:val="3E4C7E1C"/>
    <w:rsid w:val="3E796400"/>
    <w:rsid w:val="3E8F99B1"/>
    <w:rsid w:val="3E98A786"/>
    <w:rsid w:val="3EB0D76E"/>
    <w:rsid w:val="3EE0B3CE"/>
    <w:rsid w:val="3EE58387"/>
    <w:rsid w:val="3EE69C43"/>
    <w:rsid w:val="3F123C8F"/>
    <w:rsid w:val="3F4423BF"/>
    <w:rsid w:val="3F63F442"/>
    <w:rsid w:val="3F8FF7DC"/>
    <w:rsid w:val="3FAC6E49"/>
    <w:rsid w:val="3FB2E487"/>
    <w:rsid w:val="3FF2DD1D"/>
    <w:rsid w:val="4009958D"/>
    <w:rsid w:val="40294DC2"/>
    <w:rsid w:val="4080C19B"/>
    <w:rsid w:val="408B038B"/>
    <w:rsid w:val="4099A3EB"/>
    <w:rsid w:val="409BB647"/>
    <w:rsid w:val="40BA9EEE"/>
    <w:rsid w:val="40D745B1"/>
    <w:rsid w:val="41024F4D"/>
    <w:rsid w:val="412A32C9"/>
    <w:rsid w:val="413B327C"/>
    <w:rsid w:val="413DD2B3"/>
    <w:rsid w:val="41915800"/>
    <w:rsid w:val="41BCB91E"/>
    <w:rsid w:val="41FE922C"/>
    <w:rsid w:val="422F53F0"/>
    <w:rsid w:val="42418995"/>
    <w:rsid w:val="42937682"/>
    <w:rsid w:val="42C7F091"/>
    <w:rsid w:val="42E766C9"/>
    <w:rsid w:val="42EDF4C8"/>
    <w:rsid w:val="431B0DAE"/>
    <w:rsid w:val="433FAC18"/>
    <w:rsid w:val="434277A7"/>
    <w:rsid w:val="4344BD3D"/>
    <w:rsid w:val="4380609D"/>
    <w:rsid w:val="43817408"/>
    <w:rsid w:val="439BE42C"/>
    <w:rsid w:val="43A2514E"/>
    <w:rsid w:val="43C5D96B"/>
    <w:rsid w:val="43E83F03"/>
    <w:rsid w:val="440746A5"/>
    <w:rsid w:val="443EE01A"/>
    <w:rsid w:val="447482E1"/>
    <w:rsid w:val="44BC30E1"/>
    <w:rsid w:val="44E961F2"/>
    <w:rsid w:val="4512E4AD"/>
    <w:rsid w:val="451FFF94"/>
    <w:rsid w:val="4539B16A"/>
    <w:rsid w:val="4555AD3E"/>
    <w:rsid w:val="45622AB6"/>
    <w:rsid w:val="4593E383"/>
    <w:rsid w:val="459C341F"/>
    <w:rsid w:val="45A1E286"/>
    <w:rsid w:val="45D5AAD2"/>
    <w:rsid w:val="45E86A65"/>
    <w:rsid w:val="45F745F2"/>
    <w:rsid w:val="4655B006"/>
    <w:rsid w:val="4674857A"/>
    <w:rsid w:val="468B5C37"/>
    <w:rsid w:val="46A1D06A"/>
    <w:rsid w:val="47232D1A"/>
    <w:rsid w:val="478369F2"/>
    <w:rsid w:val="47A6E9CE"/>
    <w:rsid w:val="47EAC3FF"/>
    <w:rsid w:val="4806AF78"/>
    <w:rsid w:val="48211246"/>
    <w:rsid w:val="48410212"/>
    <w:rsid w:val="484ABDAD"/>
    <w:rsid w:val="48657276"/>
    <w:rsid w:val="486C0DD0"/>
    <w:rsid w:val="489AC6C3"/>
    <w:rsid w:val="4908972A"/>
    <w:rsid w:val="490B2E07"/>
    <w:rsid w:val="49152F17"/>
    <w:rsid w:val="492898B9"/>
    <w:rsid w:val="4934B4F3"/>
    <w:rsid w:val="4942BAB9"/>
    <w:rsid w:val="494E144F"/>
    <w:rsid w:val="49684FF9"/>
    <w:rsid w:val="4984E426"/>
    <w:rsid w:val="49980C2F"/>
    <w:rsid w:val="49AD6115"/>
    <w:rsid w:val="49C60403"/>
    <w:rsid w:val="49FCD383"/>
    <w:rsid w:val="4A34F35E"/>
    <w:rsid w:val="4A3841D5"/>
    <w:rsid w:val="4A3B7195"/>
    <w:rsid w:val="4A3ECDA7"/>
    <w:rsid w:val="4A97F2A2"/>
    <w:rsid w:val="4A99577E"/>
    <w:rsid w:val="4AB056EA"/>
    <w:rsid w:val="4ABB4065"/>
    <w:rsid w:val="4B031DD4"/>
    <w:rsid w:val="4B098FBE"/>
    <w:rsid w:val="4B22AF78"/>
    <w:rsid w:val="4B82AE7D"/>
    <w:rsid w:val="4B8FB42A"/>
    <w:rsid w:val="4BA06BF0"/>
    <w:rsid w:val="4C91AD6A"/>
    <w:rsid w:val="4CDEB45A"/>
    <w:rsid w:val="4D06E093"/>
    <w:rsid w:val="4D2E6DC8"/>
    <w:rsid w:val="4D5A5F85"/>
    <w:rsid w:val="4D7CEACC"/>
    <w:rsid w:val="4D7FF3C0"/>
    <w:rsid w:val="4DA06923"/>
    <w:rsid w:val="4DAE07AC"/>
    <w:rsid w:val="4DDD8684"/>
    <w:rsid w:val="4DF6D349"/>
    <w:rsid w:val="4E84746C"/>
    <w:rsid w:val="4EF06A5B"/>
    <w:rsid w:val="4EF42D8B"/>
    <w:rsid w:val="4EFB0D48"/>
    <w:rsid w:val="4EFB7EE6"/>
    <w:rsid w:val="4F21161D"/>
    <w:rsid w:val="4F2499D1"/>
    <w:rsid w:val="4F4DB9D8"/>
    <w:rsid w:val="4F761698"/>
    <w:rsid w:val="4F8B4FCC"/>
    <w:rsid w:val="4F928F90"/>
    <w:rsid w:val="4FBB9355"/>
    <w:rsid w:val="4FECCC6D"/>
    <w:rsid w:val="50694868"/>
    <w:rsid w:val="506F6D44"/>
    <w:rsid w:val="50CFE461"/>
    <w:rsid w:val="50F5F50A"/>
    <w:rsid w:val="50FFFABD"/>
    <w:rsid w:val="510AEE86"/>
    <w:rsid w:val="517C19A1"/>
    <w:rsid w:val="5202BB57"/>
    <w:rsid w:val="521207EB"/>
    <w:rsid w:val="5222E90C"/>
    <w:rsid w:val="52539CA3"/>
    <w:rsid w:val="529C2524"/>
    <w:rsid w:val="52C29392"/>
    <w:rsid w:val="530E6B06"/>
    <w:rsid w:val="535856CC"/>
    <w:rsid w:val="53B3D774"/>
    <w:rsid w:val="53D67DC4"/>
    <w:rsid w:val="540C3CBB"/>
    <w:rsid w:val="5417759C"/>
    <w:rsid w:val="54523715"/>
    <w:rsid w:val="545F2919"/>
    <w:rsid w:val="54779D2F"/>
    <w:rsid w:val="547B2FC1"/>
    <w:rsid w:val="548C3591"/>
    <w:rsid w:val="54C563A3"/>
    <w:rsid w:val="54CE03DA"/>
    <w:rsid w:val="54D3C836"/>
    <w:rsid w:val="54FD3AF0"/>
    <w:rsid w:val="54FDAA9A"/>
    <w:rsid w:val="550FD21A"/>
    <w:rsid w:val="552BD96F"/>
    <w:rsid w:val="557440E5"/>
    <w:rsid w:val="55C6F7A9"/>
    <w:rsid w:val="56231E91"/>
    <w:rsid w:val="563AFEC6"/>
    <w:rsid w:val="564FD8E2"/>
    <w:rsid w:val="570264B6"/>
    <w:rsid w:val="575A070B"/>
    <w:rsid w:val="577F0A5E"/>
    <w:rsid w:val="5783A497"/>
    <w:rsid w:val="578B2D2A"/>
    <w:rsid w:val="578EC2A1"/>
    <w:rsid w:val="578F877D"/>
    <w:rsid w:val="5836C4CD"/>
    <w:rsid w:val="588F24E4"/>
    <w:rsid w:val="58A0FED5"/>
    <w:rsid w:val="58A6A188"/>
    <w:rsid w:val="58F4977A"/>
    <w:rsid w:val="59227D07"/>
    <w:rsid w:val="592649F7"/>
    <w:rsid w:val="59669366"/>
    <w:rsid w:val="596C605C"/>
    <w:rsid w:val="598EB054"/>
    <w:rsid w:val="59B62514"/>
    <w:rsid w:val="59CCC119"/>
    <w:rsid w:val="5A051FD7"/>
    <w:rsid w:val="5A0A9D17"/>
    <w:rsid w:val="5A0F6CD0"/>
    <w:rsid w:val="5A40A6EC"/>
    <w:rsid w:val="5A67E187"/>
    <w:rsid w:val="5A6A35E3"/>
    <w:rsid w:val="5A92F6DE"/>
    <w:rsid w:val="5B1B5378"/>
    <w:rsid w:val="5B42B10A"/>
    <w:rsid w:val="5B4CA256"/>
    <w:rsid w:val="5B52F65B"/>
    <w:rsid w:val="5B6EE199"/>
    <w:rsid w:val="5BA8FF82"/>
    <w:rsid w:val="5BAB39DE"/>
    <w:rsid w:val="5BD11C0B"/>
    <w:rsid w:val="5BFC4465"/>
    <w:rsid w:val="5C025B02"/>
    <w:rsid w:val="5C22B5C2"/>
    <w:rsid w:val="5C230D43"/>
    <w:rsid w:val="5C35185D"/>
    <w:rsid w:val="5C891E6E"/>
    <w:rsid w:val="5C8CB381"/>
    <w:rsid w:val="5CCA5232"/>
    <w:rsid w:val="5CE8C582"/>
    <w:rsid w:val="5CF4BAAB"/>
    <w:rsid w:val="5D001A12"/>
    <w:rsid w:val="5D0F02DF"/>
    <w:rsid w:val="5D28A417"/>
    <w:rsid w:val="5DAD0C72"/>
    <w:rsid w:val="5DDF6307"/>
    <w:rsid w:val="5E1C1171"/>
    <w:rsid w:val="5E2E7A5A"/>
    <w:rsid w:val="5E47DA7D"/>
    <w:rsid w:val="5E4EEF3E"/>
    <w:rsid w:val="5E5103EF"/>
    <w:rsid w:val="5E6CE27A"/>
    <w:rsid w:val="5E80AE28"/>
    <w:rsid w:val="5E9C4031"/>
    <w:rsid w:val="5EA757D9"/>
    <w:rsid w:val="5EB73B01"/>
    <w:rsid w:val="5EB8235E"/>
    <w:rsid w:val="5EBB850E"/>
    <w:rsid w:val="5EC38861"/>
    <w:rsid w:val="5FA6A3E5"/>
    <w:rsid w:val="5FDD633C"/>
    <w:rsid w:val="5FFE2A8A"/>
    <w:rsid w:val="601E25E9"/>
    <w:rsid w:val="60523236"/>
    <w:rsid w:val="606F1714"/>
    <w:rsid w:val="6087DE3F"/>
    <w:rsid w:val="609E2421"/>
    <w:rsid w:val="60A470BA"/>
    <w:rsid w:val="60F5E29E"/>
    <w:rsid w:val="6103D8AA"/>
    <w:rsid w:val="61367E20"/>
    <w:rsid w:val="61E97402"/>
    <w:rsid w:val="620BF775"/>
    <w:rsid w:val="6283DBF3"/>
    <w:rsid w:val="6288BBEA"/>
    <w:rsid w:val="62AE0E0E"/>
    <w:rsid w:val="62AE7D62"/>
    <w:rsid w:val="62CB42CC"/>
    <w:rsid w:val="62D130DA"/>
    <w:rsid w:val="631B59A8"/>
    <w:rsid w:val="63240153"/>
    <w:rsid w:val="6370EF64"/>
    <w:rsid w:val="638F40F6"/>
    <w:rsid w:val="63A8DD0B"/>
    <w:rsid w:val="63E09EE5"/>
    <w:rsid w:val="640A221C"/>
    <w:rsid w:val="641814CC"/>
    <w:rsid w:val="6453AB36"/>
    <w:rsid w:val="64674647"/>
    <w:rsid w:val="64949ABD"/>
    <w:rsid w:val="64A086EE"/>
    <w:rsid w:val="64A3FB8A"/>
    <w:rsid w:val="64A641B1"/>
    <w:rsid w:val="64CCABB6"/>
    <w:rsid w:val="64E0F649"/>
    <w:rsid w:val="653ED91D"/>
    <w:rsid w:val="654DE7A6"/>
    <w:rsid w:val="65699DF1"/>
    <w:rsid w:val="6577DEBE"/>
    <w:rsid w:val="65A54BB5"/>
    <w:rsid w:val="65B72F9B"/>
    <w:rsid w:val="65DAB18C"/>
    <w:rsid w:val="65F65103"/>
    <w:rsid w:val="6660266A"/>
    <w:rsid w:val="6661FB7A"/>
    <w:rsid w:val="6685A8D3"/>
    <w:rsid w:val="66A65CA8"/>
    <w:rsid w:val="66CB5299"/>
    <w:rsid w:val="66F5D4FF"/>
    <w:rsid w:val="6703851E"/>
    <w:rsid w:val="6707463D"/>
    <w:rsid w:val="670AC79E"/>
    <w:rsid w:val="67614191"/>
    <w:rsid w:val="67A016EC"/>
    <w:rsid w:val="68043FAC"/>
    <w:rsid w:val="684F3E9D"/>
    <w:rsid w:val="685E44EC"/>
    <w:rsid w:val="686CCD44"/>
    <w:rsid w:val="6876C0E0"/>
    <w:rsid w:val="6881238D"/>
    <w:rsid w:val="68A67F3F"/>
    <w:rsid w:val="68BAFBF7"/>
    <w:rsid w:val="68BEF26C"/>
    <w:rsid w:val="68DB6F5B"/>
    <w:rsid w:val="68F1B7FD"/>
    <w:rsid w:val="69283478"/>
    <w:rsid w:val="693A1B6E"/>
    <w:rsid w:val="6976128C"/>
    <w:rsid w:val="6999CC6D"/>
    <w:rsid w:val="69DD7CDD"/>
    <w:rsid w:val="6A1A15AB"/>
    <w:rsid w:val="6A81CB9B"/>
    <w:rsid w:val="6A9A5659"/>
    <w:rsid w:val="6AA93CA3"/>
    <w:rsid w:val="6AB6B489"/>
    <w:rsid w:val="6ACCEACB"/>
    <w:rsid w:val="6AE8CE71"/>
    <w:rsid w:val="6B07E72D"/>
    <w:rsid w:val="6B114097"/>
    <w:rsid w:val="6BF6448F"/>
    <w:rsid w:val="6C4E19D0"/>
    <w:rsid w:val="6C5359C2"/>
    <w:rsid w:val="6C5CA5CC"/>
    <w:rsid w:val="6C609386"/>
    <w:rsid w:val="6C9A0871"/>
    <w:rsid w:val="6CBB152C"/>
    <w:rsid w:val="6D1579E3"/>
    <w:rsid w:val="6D1D1EA0"/>
    <w:rsid w:val="6D3661FA"/>
    <w:rsid w:val="6D4ECB57"/>
    <w:rsid w:val="6DAD099D"/>
    <w:rsid w:val="6DE1EFE3"/>
    <w:rsid w:val="6DEC3DA1"/>
    <w:rsid w:val="6E5E668B"/>
    <w:rsid w:val="6E6C82C3"/>
    <w:rsid w:val="6E8A18E0"/>
    <w:rsid w:val="6E8E4944"/>
    <w:rsid w:val="6ED18E86"/>
    <w:rsid w:val="6EF62947"/>
    <w:rsid w:val="6F11BA5B"/>
    <w:rsid w:val="6F2B9080"/>
    <w:rsid w:val="6F56F159"/>
    <w:rsid w:val="6F76FCBB"/>
    <w:rsid w:val="6F9B3D46"/>
    <w:rsid w:val="6FD0BC80"/>
    <w:rsid w:val="6FDCA792"/>
    <w:rsid w:val="6FF18FC0"/>
    <w:rsid w:val="7005CB16"/>
    <w:rsid w:val="70153866"/>
    <w:rsid w:val="7016B35E"/>
    <w:rsid w:val="705729B3"/>
    <w:rsid w:val="7067F0DE"/>
    <w:rsid w:val="7096539D"/>
    <w:rsid w:val="70985E52"/>
    <w:rsid w:val="70D9B92F"/>
    <w:rsid w:val="71100A87"/>
    <w:rsid w:val="71207B94"/>
    <w:rsid w:val="715469E9"/>
    <w:rsid w:val="7154ED5B"/>
    <w:rsid w:val="71600DDF"/>
    <w:rsid w:val="71C6FD32"/>
    <w:rsid w:val="71D0BC55"/>
    <w:rsid w:val="71DB6F69"/>
    <w:rsid w:val="71E69243"/>
    <w:rsid w:val="720BC8AD"/>
    <w:rsid w:val="7218E4E9"/>
    <w:rsid w:val="725E3529"/>
    <w:rsid w:val="726FCD8F"/>
    <w:rsid w:val="729D955B"/>
    <w:rsid w:val="72B282DE"/>
    <w:rsid w:val="72B43F9A"/>
    <w:rsid w:val="72CCF69E"/>
    <w:rsid w:val="73228B96"/>
    <w:rsid w:val="7356481D"/>
    <w:rsid w:val="73881C48"/>
    <w:rsid w:val="7429F3EB"/>
    <w:rsid w:val="74702474"/>
    <w:rsid w:val="74C9DABF"/>
    <w:rsid w:val="7502A740"/>
    <w:rsid w:val="7513B136"/>
    <w:rsid w:val="751B473E"/>
    <w:rsid w:val="7550E99D"/>
    <w:rsid w:val="75696C33"/>
    <w:rsid w:val="756A199B"/>
    <w:rsid w:val="75958080"/>
    <w:rsid w:val="760132A8"/>
    <w:rsid w:val="765F434C"/>
    <w:rsid w:val="76921F58"/>
    <w:rsid w:val="76A69DD6"/>
    <w:rsid w:val="76B06F19"/>
    <w:rsid w:val="771283F0"/>
    <w:rsid w:val="77396B52"/>
    <w:rsid w:val="7747F8EF"/>
    <w:rsid w:val="7762C75E"/>
    <w:rsid w:val="7769F36A"/>
    <w:rsid w:val="7773518E"/>
    <w:rsid w:val="7792E342"/>
    <w:rsid w:val="77FAA547"/>
    <w:rsid w:val="78260E21"/>
    <w:rsid w:val="782AA613"/>
    <w:rsid w:val="789887CD"/>
    <w:rsid w:val="789CE8E2"/>
    <w:rsid w:val="78AC13A5"/>
    <w:rsid w:val="78DD1C95"/>
    <w:rsid w:val="79000755"/>
    <w:rsid w:val="79277C41"/>
    <w:rsid w:val="79BCEA15"/>
    <w:rsid w:val="79DCD29C"/>
    <w:rsid w:val="7A0B4650"/>
    <w:rsid w:val="7A4A46E8"/>
    <w:rsid w:val="7A5FAB24"/>
    <w:rsid w:val="7A973F5F"/>
    <w:rsid w:val="7AEA49BA"/>
    <w:rsid w:val="7B055D11"/>
    <w:rsid w:val="7B4094C4"/>
    <w:rsid w:val="7B5BC2C7"/>
    <w:rsid w:val="7B640458"/>
    <w:rsid w:val="7B79ADEF"/>
    <w:rsid w:val="7BA1E1FE"/>
    <w:rsid w:val="7BDC38A4"/>
    <w:rsid w:val="7BFFE3F8"/>
    <w:rsid w:val="7C0FD3EE"/>
    <w:rsid w:val="7C14443D"/>
    <w:rsid w:val="7C20AEC2"/>
    <w:rsid w:val="7C730F9F"/>
    <w:rsid w:val="7CA64004"/>
    <w:rsid w:val="7CC00AC5"/>
    <w:rsid w:val="7CCFD5FF"/>
    <w:rsid w:val="7CF76288"/>
    <w:rsid w:val="7CFEE34B"/>
    <w:rsid w:val="7D2011AC"/>
    <w:rsid w:val="7D2A6DB5"/>
    <w:rsid w:val="7D4538B8"/>
    <w:rsid w:val="7D6A78E1"/>
    <w:rsid w:val="7D6CC980"/>
    <w:rsid w:val="7D9E0F82"/>
    <w:rsid w:val="7DD576A2"/>
    <w:rsid w:val="7DE6D198"/>
    <w:rsid w:val="7DF54192"/>
    <w:rsid w:val="7E0AD543"/>
    <w:rsid w:val="7E0BB54E"/>
    <w:rsid w:val="7E5423E4"/>
    <w:rsid w:val="7E7F0AB8"/>
    <w:rsid w:val="7F2CA3D7"/>
    <w:rsid w:val="7F4AA56C"/>
    <w:rsid w:val="7F61BDE1"/>
    <w:rsid w:val="7F621CED"/>
    <w:rsid w:val="7F7C6DA1"/>
    <w:rsid w:val="7F8BD42B"/>
    <w:rsid w:val="7F9B275D"/>
    <w:rsid w:val="7FB1836E"/>
    <w:rsid w:val="7FBE3D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6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973"/>
    <w:pPr>
      <w:outlineLvl w:val="0"/>
    </w:pPr>
    <w:rPr>
      <w:rFonts w:asciiTheme="majorHAnsi" w:hAnsiTheme="majorHAnsi"/>
      <w:b/>
      <w:bCs/>
    </w:rPr>
  </w:style>
  <w:style w:type="paragraph" w:styleId="Heading2">
    <w:name w:val="heading 2"/>
    <w:basedOn w:val="Normal"/>
    <w:next w:val="Normal"/>
    <w:link w:val="Heading2Char"/>
    <w:uiPriority w:val="9"/>
    <w:unhideWhenUsed/>
    <w:qFormat/>
    <w:rsid w:val="00B26973"/>
    <w:pPr>
      <w:outlineLvl w:val="1"/>
    </w:pPr>
    <w:rPr>
      <w:rFonts w:asciiTheme="majorHAnsi" w:hAnsiTheme="majorHAnsi"/>
      <w:b/>
      <w:bCs/>
    </w:rPr>
  </w:style>
  <w:style w:type="paragraph" w:styleId="Heading3">
    <w:name w:val="heading 3"/>
    <w:basedOn w:val="Normal"/>
    <w:next w:val="Normal"/>
    <w:link w:val="Heading3Char"/>
    <w:uiPriority w:val="9"/>
    <w:semiHidden/>
    <w:unhideWhenUsed/>
    <w:qFormat/>
    <w:rsid w:val="007A5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73"/>
    <w:rPr>
      <w:rFonts w:asciiTheme="majorHAnsi" w:hAnsiTheme="majorHAnsi"/>
      <w:b/>
      <w:bCs/>
    </w:rPr>
  </w:style>
  <w:style w:type="character" w:customStyle="1" w:styleId="Heading2Char">
    <w:name w:val="Heading 2 Char"/>
    <w:basedOn w:val="DefaultParagraphFont"/>
    <w:link w:val="Heading2"/>
    <w:uiPriority w:val="9"/>
    <w:rsid w:val="00B26973"/>
    <w:rPr>
      <w:rFonts w:asciiTheme="majorHAnsi" w:hAnsiTheme="majorHAnsi"/>
      <w:b/>
      <w:bCs/>
    </w:rPr>
  </w:style>
  <w:style w:type="character" w:customStyle="1" w:styleId="Heading3Char">
    <w:name w:val="Heading 3 Char"/>
    <w:basedOn w:val="DefaultParagraphFont"/>
    <w:link w:val="Heading3"/>
    <w:uiPriority w:val="9"/>
    <w:semiHidden/>
    <w:rsid w:val="007A5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A1A"/>
    <w:rPr>
      <w:rFonts w:eastAsiaTheme="majorEastAsia" w:cstheme="majorBidi"/>
      <w:color w:val="272727" w:themeColor="text1" w:themeTint="D8"/>
    </w:rPr>
  </w:style>
  <w:style w:type="paragraph" w:styleId="Title">
    <w:name w:val="Title"/>
    <w:basedOn w:val="Normal"/>
    <w:next w:val="Normal"/>
    <w:link w:val="TitleChar"/>
    <w:uiPriority w:val="10"/>
    <w:qFormat/>
    <w:rsid w:val="007A5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A1A"/>
    <w:pPr>
      <w:spacing w:before="160"/>
      <w:jc w:val="center"/>
    </w:pPr>
    <w:rPr>
      <w:i/>
      <w:iCs/>
      <w:color w:val="404040" w:themeColor="text1" w:themeTint="BF"/>
    </w:rPr>
  </w:style>
  <w:style w:type="character" w:customStyle="1" w:styleId="QuoteChar">
    <w:name w:val="Quote Char"/>
    <w:basedOn w:val="DefaultParagraphFont"/>
    <w:link w:val="Quote"/>
    <w:uiPriority w:val="29"/>
    <w:rsid w:val="007A5A1A"/>
    <w:rPr>
      <w:i/>
      <w:iCs/>
      <w:color w:val="404040" w:themeColor="text1" w:themeTint="BF"/>
    </w:rPr>
  </w:style>
  <w:style w:type="paragraph" w:styleId="ListParagraph">
    <w:name w:val="List Paragraph"/>
    <w:aliases w:val="Bullets,Liste Article,Numbered paragraph,List Paragraph1,Paragraphe de liste1,Medium Grid 1 - Accent 21,LIST OF TABLES.,List Paragraph2,List Paragraph-ExecSummary,references,Paragraphe à Puce,Resume Title,List Paragraph_Table bullets,Ha,L"/>
    <w:basedOn w:val="Normal"/>
    <w:link w:val="ListParagraphChar"/>
    <w:uiPriority w:val="34"/>
    <w:qFormat/>
    <w:rsid w:val="007A5A1A"/>
    <w:pPr>
      <w:ind w:left="720"/>
      <w:contextualSpacing/>
    </w:pPr>
  </w:style>
  <w:style w:type="character" w:styleId="IntenseEmphasis">
    <w:name w:val="Intense Emphasis"/>
    <w:basedOn w:val="DefaultParagraphFont"/>
    <w:uiPriority w:val="21"/>
    <w:qFormat/>
    <w:rsid w:val="007A5A1A"/>
    <w:rPr>
      <w:i/>
      <w:iCs/>
      <w:color w:val="0F4761" w:themeColor="accent1" w:themeShade="BF"/>
    </w:rPr>
  </w:style>
  <w:style w:type="paragraph" w:styleId="IntenseQuote">
    <w:name w:val="Intense Quote"/>
    <w:basedOn w:val="Normal"/>
    <w:next w:val="Normal"/>
    <w:link w:val="IntenseQuoteChar"/>
    <w:uiPriority w:val="30"/>
    <w:qFormat/>
    <w:rsid w:val="007A5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A1A"/>
    <w:rPr>
      <w:i/>
      <w:iCs/>
      <w:color w:val="0F4761" w:themeColor="accent1" w:themeShade="BF"/>
    </w:rPr>
  </w:style>
  <w:style w:type="character" w:styleId="IntenseReference">
    <w:name w:val="Intense Reference"/>
    <w:basedOn w:val="DefaultParagraphFont"/>
    <w:uiPriority w:val="32"/>
    <w:qFormat/>
    <w:rsid w:val="007A5A1A"/>
    <w:rPr>
      <w:b/>
      <w:bCs/>
      <w:smallCaps/>
      <w:color w:val="0F4761" w:themeColor="accent1" w:themeShade="BF"/>
      <w:spacing w:val="5"/>
    </w:rPr>
  </w:style>
  <w:style w:type="table" w:styleId="TableGrid">
    <w:name w:val="Table Grid"/>
    <w:basedOn w:val="TableNormal"/>
    <w:uiPriority w:val="39"/>
    <w:rsid w:val="007A5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5A1A"/>
    <w:rPr>
      <w:sz w:val="16"/>
      <w:szCs w:val="16"/>
    </w:rPr>
  </w:style>
  <w:style w:type="paragraph" w:styleId="CommentText">
    <w:name w:val="annotation text"/>
    <w:basedOn w:val="Normal"/>
    <w:link w:val="CommentTextChar"/>
    <w:uiPriority w:val="99"/>
    <w:unhideWhenUsed/>
    <w:rsid w:val="007A5A1A"/>
    <w:pPr>
      <w:spacing w:before="120" w:after="120" w:line="240" w:lineRule="auto"/>
    </w:pPr>
    <w:rPr>
      <w:rFonts w:ascii="Calibri Light" w:hAnsi="Calibri Light" w:cs="Times New Roman"/>
      <w:color w:val="000000" w:themeColor="text1"/>
      <w:kern w:val="0"/>
      <w:sz w:val="20"/>
      <w:szCs w:val="20"/>
      <w:lang w:val="en-AU"/>
      <w14:ligatures w14:val="none"/>
    </w:rPr>
  </w:style>
  <w:style w:type="character" w:customStyle="1" w:styleId="CommentTextChar">
    <w:name w:val="Comment Text Char"/>
    <w:basedOn w:val="DefaultParagraphFont"/>
    <w:link w:val="CommentText"/>
    <w:uiPriority w:val="99"/>
    <w:rsid w:val="007A5A1A"/>
    <w:rPr>
      <w:rFonts w:ascii="Calibri Light" w:hAnsi="Calibri Light" w:cs="Times New Roman"/>
      <w:color w:val="000000" w:themeColor="text1"/>
      <w:kern w:val="0"/>
      <w:sz w:val="20"/>
      <w:szCs w:val="20"/>
      <w:lang w:val="en-AU"/>
      <w14:ligatures w14:val="none"/>
    </w:rPr>
  </w:style>
  <w:style w:type="character" w:customStyle="1" w:styleId="ListParagraphChar">
    <w:name w:val="List Paragraph Char"/>
    <w:aliases w:val="Bullets Char,Liste Article Char,Numbered paragraph Char,List Paragraph1 Char,Paragraphe de liste1 Char,Medium Grid 1 - Accent 21 Char,LIST OF TABLES. Char,List Paragraph2 Char,List Paragraph-ExecSummary Char,references Char,Ha Char"/>
    <w:basedOn w:val="DefaultParagraphFont"/>
    <w:link w:val="ListParagraph"/>
    <w:uiPriority w:val="34"/>
    <w:qFormat/>
    <w:locked/>
    <w:rsid w:val="007A5A1A"/>
  </w:style>
  <w:style w:type="paragraph" w:styleId="Header">
    <w:name w:val="header"/>
    <w:basedOn w:val="Normal"/>
    <w:link w:val="HeaderChar"/>
    <w:uiPriority w:val="99"/>
    <w:unhideWhenUsed/>
    <w:rsid w:val="000D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B2A"/>
  </w:style>
  <w:style w:type="paragraph" w:styleId="Footer">
    <w:name w:val="footer"/>
    <w:basedOn w:val="Normal"/>
    <w:link w:val="FooterChar"/>
    <w:uiPriority w:val="99"/>
    <w:unhideWhenUsed/>
    <w:rsid w:val="000D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B2A"/>
  </w:style>
  <w:style w:type="paragraph" w:styleId="ListBullet">
    <w:name w:val="List Bullet"/>
    <w:basedOn w:val="Normal"/>
    <w:uiPriority w:val="7"/>
    <w:qFormat/>
    <w:rsid w:val="003B34B5"/>
    <w:pPr>
      <w:numPr>
        <w:numId w:val="5"/>
      </w:numPr>
      <w:spacing w:before="120" w:after="120" w:line="240" w:lineRule="auto"/>
    </w:pPr>
    <w:rPr>
      <w:rFonts w:ascii="Calibri Light" w:hAnsi="Calibri Light" w:cs="Times New Roman"/>
      <w:color w:val="000000" w:themeColor="text1"/>
      <w:kern w:val="0"/>
      <w:sz w:val="22"/>
      <w:szCs w:val="21"/>
      <w:lang w:val="en-AU"/>
      <w14:ligatures w14:val="none"/>
    </w:rPr>
  </w:style>
  <w:style w:type="paragraph" w:styleId="ListBullet2">
    <w:name w:val="List Bullet 2"/>
    <w:basedOn w:val="Normal"/>
    <w:uiPriority w:val="99"/>
    <w:qFormat/>
    <w:rsid w:val="003B34B5"/>
    <w:pPr>
      <w:numPr>
        <w:ilvl w:val="1"/>
        <w:numId w:val="5"/>
      </w:numPr>
      <w:spacing w:before="120" w:after="120" w:line="240" w:lineRule="auto"/>
    </w:pPr>
    <w:rPr>
      <w:rFonts w:ascii="Calibri Light" w:hAnsi="Calibri Light" w:cs="Times New Roman"/>
      <w:color w:val="000000" w:themeColor="text1"/>
      <w:kern w:val="0"/>
      <w:sz w:val="22"/>
      <w:szCs w:val="21"/>
      <w:lang w:val="en-AU"/>
      <w14:ligatures w14:val="none"/>
    </w:rPr>
  </w:style>
  <w:style w:type="numbering" w:customStyle="1" w:styleId="Bullettedlists">
    <w:name w:val="Bulletted lists"/>
    <w:uiPriority w:val="99"/>
    <w:rsid w:val="003B34B5"/>
    <w:pPr>
      <w:numPr>
        <w:numId w:val="4"/>
      </w:numPr>
    </w:pPr>
  </w:style>
  <w:style w:type="paragraph" w:styleId="ListBullet3">
    <w:name w:val="List Bullet 3"/>
    <w:basedOn w:val="Normal"/>
    <w:uiPriority w:val="99"/>
    <w:semiHidden/>
    <w:unhideWhenUsed/>
    <w:rsid w:val="003B34B5"/>
    <w:pPr>
      <w:numPr>
        <w:ilvl w:val="2"/>
        <w:numId w:val="5"/>
      </w:numPr>
      <w:spacing w:before="120" w:after="120" w:line="240" w:lineRule="auto"/>
      <w:contextualSpacing/>
    </w:pPr>
    <w:rPr>
      <w:rFonts w:ascii="Calibri Light" w:hAnsi="Calibri Light" w:cs="Times New Roman"/>
      <w:color w:val="000000" w:themeColor="text1"/>
      <w:kern w:val="0"/>
      <w:sz w:val="22"/>
      <w:szCs w:val="21"/>
      <w:lang w:val="en-AU"/>
      <w14:ligatures w14:val="none"/>
    </w:rPr>
  </w:style>
  <w:style w:type="paragraph" w:styleId="ListBullet4">
    <w:name w:val="List Bullet 4"/>
    <w:basedOn w:val="Normal"/>
    <w:uiPriority w:val="99"/>
    <w:semiHidden/>
    <w:unhideWhenUsed/>
    <w:rsid w:val="003B34B5"/>
    <w:pPr>
      <w:numPr>
        <w:ilvl w:val="3"/>
        <w:numId w:val="5"/>
      </w:numPr>
      <w:spacing w:before="120" w:after="120" w:line="240" w:lineRule="auto"/>
      <w:contextualSpacing/>
    </w:pPr>
    <w:rPr>
      <w:rFonts w:ascii="Calibri Light" w:hAnsi="Calibri Light" w:cs="Times New Roman"/>
      <w:color w:val="000000" w:themeColor="text1"/>
      <w:kern w:val="0"/>
      <w:sz w:val="22"/>
      <w:szCs w:val="21"/>
      <w:lang w:val="en-AU"/>
      <w14:ligatures w14:val="none"/>
    </w:rPr>
  </w:style>
  <w:style w:type="paragraph" w:styleId="ListBullet5">
    <w:name w:val="List Bullet 5"/>
    <w:basedOn w:val="Normal"/>
    <w:uiPriority w:val="99"/>
    <w:semiHidden/>
    <w:unhideWhenUsed/>
    <w:rsid w:val="003B34B5"/>
    <w:pPr>
      <w:numPr>
        <w:ilvl w:val="4"/>
        <w:numId w:val="5"/>
      </w:numPr>
      <w:spacing w:before="120" w:after="120" w:line="240" w:lineRule="auto"/>
      <w:contextualSpacing/>
    </w:pPr>
    <w:rPr>
      <w:rFonts w:ascii="Calibri Light" w:hAnsi="Calibri Light" w:cs="Times New Roman"/>
      <w:color w:val="000000" w:themeColor="text1"/>
      <w:kern w:val="0"/>
      <w:sz w:val="22"/>
      <w:szCs w:val="21"/>
      <w:lang w:val="en-AU"/>
      <w14:ligatures w14:val="none"/>
    </w:rPr>
  </w:style>
  <w:style w:type="paragraph" w:styleId="Revision">
    <w:name w:val="Revision"/>
    <w:hidden/>
    <w:uiPriority w:val="99"/>
    <w:semiHidden/>
    <w:rsid w:val="00582CAB"/>
    <w:pPr>
      <w:spacing w:after="0" w:line="240" w:lineRule="auto"/>
    </w:pPr>
  </w:style>
  <w:style w:type="paragraph" w:styleId="CommentSubject">
    <w:name w:val="annotation subject"/>
    <w:basedOn w:val="CommentText"/>
    <w:next w:val="CommentText"/>
    <w:link w:val="CommentSubjectChar"/>
    <w:uiPriority w:val="99"/>
    <w:semiHidden/>
    <w:unhideWhenUsed/>
    <w:rsid w:val="00135749"/>
    <w:pPr>
      <w:spacing w:before="0" w:after="160"/>
    </w:pPr>
    <w:rPr>
      <w:rFonts w:asciiTheme="minorHAnsi" w:hAnsiTheme="minorHAnsi" w:cstheme="minorBidi"/>
      <w:b/>
      <w:bCs/>
      <w:color w:val="auto"/>
      <w:kern w:val="2"/>
      <w:lang w:val="en-US"/>
      <w14:ligatures w14:val="standardContextual"/>
    </w:rPr>
  </w:style>
  <w:style w:type="character" w:customStyle="1" w:styleId="CommentSubjectChar">
    <w:name w:val="Comment Subject Char"/>
    <w:basedOn w:val="CommentTextChar"/>
    <w:link w:val="CommentSubject"/>
    <w:uiPriority w:val="99"/>
    <w:semiHidden/>
    <w:rsid w:val="00135749"/>
    <w:rPr>
      <w:rFonts w:ascii="Calibri Light" w:hAnsi="Calibri Light" w:cs="Times New Roman"/>
      <w:b/>
      <w:bCs/>
      <w:color w:val="000000" w:themeColor="text1"/>
      <w:kern w:val="0"/>
      <w:sz w:val="20"/>
      <w:szCs w:val="20"/>
      <w:lang w:val="en-AU"/>
      <w14:ligatures w14:val="none"/>
    </w:rPr>
  </w:style>
  <w:style w:type="numbering" w:customStyle="1" w:styleId="Headings">
    <w:name w:val="Headings"/>
    <w:uiPriority w:val="99"/>
    <w:rsid w:val="00AF1C7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22336">
      <w:bodyDiv w:val="1"/>
      <w:marLeft w:val="0"/>
      <w:marRight w:val="0"/>
      <w:marTop w:val="0"/>
      <w:marBottom w:val="0"/>
      <w:divBdr>
        <w:top w:val="none" w:sz="0" w:space="0" w:color="auto"/>
        <w:left w:val="none" w:sz="0" w:space="0" w:color="auto"/>
        <w:bottom w:val="none" w:sz="0" w:space="0" w:color="auto"/>
        <w:right w:val="none" w:sz="0" w:space="0" w:color="auto"/>
      </w:divBdr>
      <w:divsChild>
        <w:div w:id="17120127">
          <w:marLeft w:val="0"/>
          <w:marRight w:val="0"/>
          <w:marTop w:val="0"/>
          <w:marBottom w:val="0"/>
          <w:divBdr>
            <w:top w:val="none" w:sz="0" w:space="0" w:color="auto"/>
            <w:left w:val="none" w:sz="0" w:space="0" w:color="auto"/>
            <w:bottom w:val="none" w:sz="0" w:space="0" w:color="auto"/>
            <w:right w:val="none" w:sz="0" w:space="0" w:color="auto"/>
          </w:divBdr>
        </w:div>
        <w:div w:id="480082916">
          <w:marLeft w:val="0"/>
          <w:marRight w:val="0"/>
          <w:marTop w:val="0"/>
          <w:marBottom w:val="0"/>
          <w:divBdr>
            <w:top w:val="none" w:sz="0" w:space="0" w:color="auto"/>
            <w:left w:val="none" w:sz="0" w:space="0" w:color="auto"/>
            <w:bottom w:val="none" w:sz="0" w:space="0" w:color="auto"/>
            <w:right w:val="none" w:sz="0" w:space="0" w:color="auto"/>
          </w:divBdr>
        </w:div>
        <w:div w:id="1225488095">
          <w:marLeft w:val="0"/>
          <w:marRight w:val="0"/>
          <w:marTop w:val="0"/>
          <w:marBottom w:val="0"/>
          <w:divBdr>
            <w:top w:val="none" w:sz="0" w:space="0" w:color="auto"/>
            <w:left w:val="none" w:sz="0" w:space="0" w:color="auto"/>
            <w:bottom w:val="none" w:sz="0" w:space="0" w:color="auto"/>
            <w:right w:val="none" w:sz="0" w:space="0" w:color="auto"/>
          </w:divBdr>
        </w:div>
        <w:div w:id="1986815865">
          <w:marLeft w:val="0"/>
          <w:marRight w:val="0"/>
          <w:marTop w:val="0"/>
          <w:marBottom w:val="0"/>
          <w:divBdr>
            <w:top w:val="none" w:sz="0" w:space="0" w:color="auto"/>
            <w:left w:val="none" w:sz="0" w:space="0" w:color="auto"/>
            <w:bottom w:val="none" w:sz="0" w:space="0" w:color="auto"/>
            <w:right w:val="none" w:sz="0" w:space="0" w:color="auto"/>
          </w:divBdr>
        </w:div>
      </w:divsChild>
    </w:div>
    <w:div w:id="2030137020">
      <w:bodyDiv w:val="1"/>
      <w:marLeft w:val="0"/>
      <w:marRight w:val="0"/>
      <w:marTop w:val="0"/>
      <w:marBottom w:val="0"/>
      <w:divBdr>
        <w:top w:val="none" w:sz="0" w:space="0" w:color="auto"/>
        <w:left w:val="none" w:sz="0" w:space="0" w:color="auto"/>
        <w:bottom w:val="none" w:sz="0" w:space="0" w:color="auto"/>
        <w:right w:val="none" w:sz="0" w:space="0" w:color="auto"/>
      </w:divBdr>
      <w:divsChild>
        <w:div w:id="336350644">
          <w:marLeft w:val="0"/>
          <w:marRight w:val="0"/>
          <w:marTop w:val="0"/>
          <w:marBottom w:val="0"/>
          <w:divBdr>
            <w:top w:val="none" w:sz="0" w:space="0" w:color="auto"/>
            <w:left w:val="none" w:sz="0" w:space="0" w:color="auto"/>
            <w:bottom w:val="none" w:sz="0" w:space="0" w:color="auto"/>
            <w:right w:val="none" w:sz="0" w:space="0" w:color="auto"/>
          </w:divBdr>
        </w:div>
        <w:div w:id="426122508">
          <w:marLeft w:val="0"/>
          <w:marRight w:val="0"/>
          <w:marTop w:val="0"/>
          <w:marBottom w:val="0"/>
          <w:divBdr>
            <w:top w:val="none" w:sz="0" w:space="0" w:color="auto"/>
            <w:left w:val="none" w:sz="0" w:space="0" w:color="auto"/>
            <w:bottom w:val="none" w:sz="0" w:space="0" w:color="auto"/>
            <w:right w:val="none" w:sz="0" w:space="0" w:color="auto"/>
          </w:divBdr>
        </w:div>
        <w:div w:id="730927332">
          <w:marLeft w:val="0"/>
          <w:marRight w:val="0"/>
          <w:marTop w:val="0"/>
          <w:marBottom w:val="0"/>
          <w:divBdr>
            <w:top w:val="none" w:sz="0" w:space="0" w:color="auto"/>
            <w:left w:val="none" w:sz="0" w:space="0" w:color="auto"/>
            <w:bottom w:val="none" w:sz="0" w:space="0" w:color="auto"/>
            <w:right w:val="none" w:sz="0" w:space="0" w:color="auto"/>
          </w:divBdr>
        </w:div>
        <w:div w:id="201472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for Inclusive Prosperity Mid-term reviwew - Management response</dc:title>
  <dc:subject/>
  <dc:creator/>
  <cp:keywords/>
  <dc:description/>
  <cp:lastModifiedBy/>
  <cp:revision>1</cp:revision>
  <dcterms:created xsi:type="dcterms:W3CDTF">2026-04-12T22:18:00Z</dcterms:created>
  <dcterms:modified xsi:type="dcterms:W3CDTF">2026-04-12T22:18:00Z</dcterms:modified>
  <cp:category/>
</cp:coreProperties>
</file>