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02F7F" w14:textId="77777777" w:rsidR="00944BC2" w:rsidRPr="0072064D" w:rsidRDefault="00944BC2" w:rsidP="00944BC2">
      <w:pPr>
        <w:tabs>
          <w:tab w:val="left" w:pos="170"/>
        </w:tabs>
        <w:rPr>
          <w:color w:val="666699"/>
          <w:sz w:val="18"/>
          <w:szCs w:val="18"/>
        </w:rPr>
      </w:pPr>
    </w:p>
    <w:p w14:paraId="1CD02F80" w14:textId="7F980BCF" w:rsidR="00C657FB" w:rsidRDefault="00D41CBF" w:rsidP="00C657FB">
      <w:pPr>
        <w:pStyle w:val="DocName"/>
        <w:pBdr>
          <w:top w:val="single" w:sz="4" w:space="12" w:color="FF9900"/>
          <w:bottom w:val="single" w:sz="4" w:space="5" w:color="FF9900"/>
        </w:pBdr>
        <w:shd w:val="clear" w:color="auto" w:fill="FFFFCC"/>
        <w:spacing w:line="360" w:lineRule="auto"/>
        <w:rPr>
          <w:sz w:val="24"/>
          <w:lang w:eastAsia="en-AU"/>
        </w:rPr>
      </w:pPr>
      <w:r>
        <w:rPr>
          <w:sz w:val="24"/>
          <w:lang w:eastAsia="en-AU"/>
        </w:rPr>
        <w:t xml:space="preserve">Independent </w:t>
      </w:r>
      <w:r w:rsidR="00FC1782">
        <w:rPr>
          <w:sz w:val="24"/>
          <w:lang w:eastAsia="en-AU"/>
        </w:rPr>
        <w:t>Review</w:t>
      </w:r>
      <w:r w:rsidR="00C657FB">
        <w:rPr>
          <w:sz w:val="24"/>
          <w:lang w:eastAsia="en-AU"/>
        </w:rPr>
        <w:t xml:space="preserve"> of </w:t>
      </w:r>
      <w:r w:rsidR="00FC1782">
        <w:rPr>
          <w:sz w:val="24"/>
          <w:lang w:eastAsia="en-AU"/>
        </w:rPr>
        <w:t>Partnership for Knowledge-based Poverty Reduction</w:t>
      </w:r>
      <w:r w:rsidR="00813278">
        <w:rPr>
          <w:sz w:val="24"/>
          <w:lang w:eastAsia="en-AU"/>
        </w:rPr>
        <w:t xml:space="preserve"> (PKPR)</w:t>
      </w:r>
    </w:p>
    <w:p w14:paraId="1CD02F81" w14:textId="070A0E4C" w:rsidR="00C657FB" w:rsidRDefault="00F37B61" w:rsidP="00C657FB">
      <w:pPr>
        <w:pStyle w:val="DocName"/>
        <w:pBdr>
          <w:top w:val="single" w:sz="4" w:space="12" w:color="FF9900"/>
          <w:bottom w:val="single" w:sz="4" w:space="5" w:color="FF9900"/>
        </w:pBdr>
        <w:shd w:val="clear" w:color="auto" w:fill="FFFFCC"/>
        <w:spacing w:line="360" w:lineRule="auto"/>
        <w:rPr>
          <w:sz w:val="24"/>
          <w:lang w:eastAsia="en-AU"/>
        </w:rPr>
      </w:pPr>
      <w:r>
        <w:rPr>
          <w:sz w:val="24"/>
          <w:lang w:eastAsia="en-AU"/>
        </w:rPr>
        <w:t>MANAGEMENT RESPONSE</w:t>
      </w:r>
      <w:r w:rsidR="00D41CBF">
        <w:rPr>
          <w:sz w:val="24"/>
          <w:lang w:eastAsia="en-AU"/>
        </w:rPr>
        <w:t xml:space="preserve"> AND LEARNING AND DISSEMINATION</w:t>
      </w:r>
    </w:p>
    <w:p w14:paraId="27D32418" w14:textId="77777777" w:rsidR="00D41CBF" w:rsidRDefault="00D41CBF" w:rsidP="00D41CBF">
      <w:pPr>
        <w:pStyle w:val="Heading2"/>
        <w:spacing w:before="0" w:after="240"/>
      </w:pPr>
    </w:p>
    <w:tbl>
      <w:tblPr>
        <w:tblStyle w:val="TableGrid"/>
        <w:tblW w:w="0" w:type="auto"/>
        <w:tblLook w:val="04A0" w:firstRow="1" w:lastRow="0" w:firstColumn="1" w:lastColumn="0" w:noHBand="0" w:noVBand="1"/>
      </w:tblPr>
      <w:tblGrid>
        <w:gridCol w:w="1857"/>
        <w:gridCol w:w="7895"/>
      </w:tblGrid>
      <w:tr w:rsidR="00D41CBF" w14:paraId="13F48420" w14:textId="77777777" w:rsidTr="00D41CBF">
        <w:trPr>
          <w:cnfStyle w:val="100000000000" w:firstRow="1" w:lastRow="0" w:firstColumn="0" w:lastColumn="0" w:oddVBand="0" w:evenVBand="0" w:oddHBand="0" w:evenHBand="0" w:firstRowFirstColumn="0" w:firstRowLastColumn="0" w:lastRowFirstColumn="0" w:lastRowLastColumn="0"/>
        </w:trPr>
        <w:tc>
          <w:tcPr>
            <w:tcW w:w="1857" w:type="dxa"/>
            <w:shd w:val="clear" w:color="auto" w:fill="auto"/>
          </w:tcPr>
          <w:p w14:paraId="2E6161F8" w14:textId="2DC17C5E" w:rsidR="00D41CBF" w:rsidRPr="00D41CBF" w:rsidRDefault="00D41CBF" w:rsidP="007071A9">
            <w:pPr>
              <w:spacing w:before="0" w:after="240"/>
              <w:jc w:val="left"/>
              <w:rPr>
                <w:b w:val="0"/>
                <w:sz w:val="20"/>
                <w:szCs w:val="20"/>
                <w:lang w:eastAsia="en-AU"/>
              </w:rPr>
            </w:pPr>
            <w:r w:rsidRPr="00D41CBF">
              <w:rPr>
                <w:b w:val="0"/>
                <w:sz w:val="20"/>
                <w:szCs w:val="20"/>
                <w:lang w:eastAsia="en-AU"/>
              </w:rPr>
              <w:t>Prepared by</w:t>
            </w:r>
            <w:r>
              <w:rPr>
                <w:b w:val="0"/>
                <w:sz w:val="20"/>
                <w:szCs w:val="20"/>
                <w:lang w:eastAsia="en-AU"/>
              </w:rPr>
              <w:t>:</w:t>
            </w:r>
          </w:p>
        </w:tc>
        <w:tc>
          <w:tcPr>
            <w:tcW w:w="7895" w:type="dxa"/>
            <w:shd w:val="clear" w:color="auto" w:fill="auto"/>
          </w:tcPr>
          <w:p w14:paraId="68F82D73" w14:textId="72CD0068" w:rsidR="00D41CBF" w:rsidRPr="00D41CBF" w:rsidRDefault="00D41CBF" w:rsidP="007071A9">
            <w:pPr>
              <w:spacing w:before="0" w:after="240"/>
              <w:jc w:val="left"/>
              <w:rPr>
                <w:b w:val="0"/>
                <w:sz w:val="20"/>
                <w:szCs w:val="20"/>
                <w:lang w:eastAsia="en-AU"/>
              </w:rPr>
            </w:pPr>
            <w:r>
              <w:rPr>
                <w:b w:val="0"/>
                <w:sz w:val="20"/>
                <w:szCs w:val="20"/>
                <w:lang w:eastAsia="en-AU"/>
              </w:rPr>
              <w:t>Patricia Bachtiar, Social Protection Unit, AusAID Jakarta</w:t>
            </w:r>
          </w:p>
        </w:tc>
      </w:tr>
      <w:tr w:rsidR="00D41CBF" w14:paraId="7726BEE1" w14:textId="77777777" w:rsidTr="00D41CBF">
        <w:tc>
          <w:tcPr>
            <w:tcW w:w="1857" w:type="dxa"/>
          </w:tcPr>
          <w:p w14:paraId="267D6FF5" w14:textId="3D9582F4" w:rsidR="00D41CBF" w:rsidRPr="00D41CBF" w:rsidRDefault="00D41CBF" w:rsidP="007071A9">
            <w:pPr>
              <w:spacing w:before="0" w:after="240"/>
              <w:rPr>
                <w:sz w:val="20"/>
                <w:szCs w:val="20"/>
                <w:lang w:eastAsia="en-AU"/>
              </w:rPr>
            </w:pPr>
            <w:r>
              <w:rPr>
                <w:sz w:val="20"/>
                <w:szCs w:val="20"/>
                <w:lang w:eastAsia="en-AU"/>
              </w:rPr>
              <w:t>Approved by:</w:t>
            </w:r>
          </w:p>
        </w:tc>
        <w:tc>
          <w:tcPr>
            <w:tcW w:w="7895" w:type="dxa"/>
          </w:tcPr>
          <w:p w14:paraId="353CC38D" w14:textId="2BCD9725" w:rsidR="00D41CBF" w:rsidRPr="00D41CBF" w:rsidRDefault="00D41CBF" w:rsidP="007071A9">
            <w:pPr>
              <w:spacing w:before="0" w:after="240"/>
              <w:rPr>
                <w:sz w:val="20"/>
                <w:szCs w:val="20"/>
                <w:lang w:eastAsia="en-AU"/>
              </w:rPr>
            </w:pPr>
            <w:r>
              <w:rPr>
                <w:sz w:val="20"/>
                <w:szCs w:val="20"/>
                <w:lang w:eastAsia="en-AU"/>
              </w:rPr>
              <w:t>Rachael Moore, Counsellor, Governance &amp; Social Development, AusAID Jakarta</w:t>
            </w:r>
          </w:p>
        </w:tc>
      </w:tr>
      <w:tr w:rsidR="00D41CBF" w14:paraId="14F161C0" w14:textId="77777777" w:rsidTr="00D41CBF">
        <w:tc>
          <w:tcPr>
            <w:tcW w:w="1857" w:type="dxa"/>
          </w:tcPr>
          <w:p w14:paraId="2475A298" w14:textId="092C2B61" w:rsidR="00D41CBF" w:rsidRPr="00D41CBF" w:rsidRDefault="00D41CBF" w:rsidP="007071A9">
            <w:pPr>
              <w:spacing w:before="0" w:after="240"/>
              <w:rPr>
                <w:sz w:val="20"/>
                <w:szCs w:val="20"/>
                <w:lang w:eastAsia="en-AU"/>
              </w:rPr>
            </w:pPr>
            <w:r>
              <w:rPr>
                <w:sz w:val="20"/>
                <w:szCs w:val="20"/>
                <w:lang w:eastAsia="en-AU"/>
              </w:rPr>
              <w:t>Through:</w:t>
            </w:r>
          </w:p>
        </w:tc>
        <w:tc>
          <w:tcPr>
            <w:tcW w:w="7895" w:type="dxa"/>
          </w:tcPr>
          <w:p w14:paraId="4FEB6793" w14:textId="7E88DFE8" w:rsidR="00D41CBF" w:rsidRPr="00D41CBF" w:rsidRDefault="00D41CBF" w:rsidP="007071A9">
            <w:pPr>
              <w:spacing w:before="0" w:after="240"/>
              <w:rPr>
                <w:sz w:val="20"/>
                <w:szCs w:val="20"/>
                <w:lang w:eastAsia="en-AU"/>
              </w:rPr>
            </w:pPr>
            <w:r>
              <w:rPr>
                <w:sz w:val="20"/>
                <w:szCs w:val="20"/>
                <w:lang w:eastAsia="en-AU"/>
              </w:rPr>
              <w:t>Fiona MacIver, First Secretary, Social Protection Unit, AusAID Jakarta</w:t>
            </w:r>
          </w:p>
        </w:tc>
      </w:tr>
      <w:tr w:rsidR="00D41CBF" w14:paraId="341C1302" w14:textId="77777777" w:rsidTr="00D41CBF">
        <w:tc>
          <w:tcPr>
            <w:tcW w:w="1857" w:type="dxa"/>
          </w:tcPr>
          <w:p w14:paraId="0B3FB315" w14:textId="6402C5E8" w:rsidR="00D41CBF" w:rsidRPr="00D41CBF" w:rsidRDefault="00D41CBF" w:rsidP="007071A9">
            <w:pPr>
              <w:spacing w:before="0" w:after="240"/>
              <w:rPr>
                <w:sz w:val="20"/>
                <w:szCs w:val="20"/>
                <w:lang w:eastAsia="en-AU"/>
              </w:rPr>
            </w:pPr>
            <w:r>
              <w:rPr>
                <w:sz w:val="20"/>
                <w:szCs w:val="20"/>
                <w:lang w:eastAsia="en-AU"/>
              </w:rPr>
              <w:t>Date Approved:</w:t>
            </w:r>
          </w:p>
        </w:tc>
        <w:tc>
          <w:tcPr>
            <w:tcW w:w="7895" w:type="dxa"/>
          </w:tcPr>
          <w:p w14:paraId="25C5E62D" w14:textId="77777777" w:rsidR="00D41CBF" w:rsidRPr="00D41CBF" w:rsidRDefault="00D41CBF" w:rsidP="007071A9">
            <w:pPr>
              <w:spacing w:before="0" w:after="240"/>
              <w:rPr>
                <w:sz w:val="20"/>
                <w:szCs w:val="20"/>
                <w:lang w:eastAsia="en-AU"/>
              </w:rPr>
            </w:pPr>
          </w:p>
        </w:tc>
      </w:tr>
    </w:tbl>
    <w:p w14:paraId="71C17A50" w14:textId="77777777" w:rsidR="00D41CBF" w:rsidRPr="00D41CBF" w:rsidRDefault="00D41CBF" w:rsidP="007071A9">
      <w:pPr>
        <w:spacing w:before="0" w:after="240"/>
        <w:rPr>
          <w:lang w:eastAsia="en-AU"/>
        </w:rPr>
      </w:pPr>
    </w:p>
    <w:p w14:paraId="41C3AB3E" w14:textId="1C4B4165" w:rsidR="00D41CBF" w:rsidRPr="007071A9" w:rsidRDefault="00D41CBF" w:rsidP="007071A9">
      <w:pPr>
        <w:pStyle w:val="Heading2"/>
        <w:spacing w:before="0" w:after="240"/>
        <w:rPr>
          <w:sz w:val="28"/>
          <w:szCs w:val="28"/>
        </w:rPr>
      </w:pPr>
      <w:r w:rsidRPr="007071A9">
        <w:rPr>
          <w:sz w:val="28"/>
          <w:szCs w:val="28"/>
        </w:rPr>
        <w:t>Activity Objective/s</w:t>
      </w:r>
    </w:p>
    <w:p w14:paraId="5ADB3636" w14:textId="3F08CA69" w:rsidR="00D41CBF" w:rsidRDefault="00D41CBF" w:rsidP="007071A9">
      <w:pPr>
        <w:pStyle w:val="Heading2"/>
        <w:spacing w:before="0" w:after="240"/>
        <w:rPr>
          <w:b w:val="0"/>
          <w:sz w:val="20"/>
          <w:szCs w:val="20"/>
        </w:rPr>
      </w:pPr>
      <w:r w:rsidRPr="00D41CBF">
        <w:rPr>
          <w:b w:val="0"/>
          <w:sz w:val="20"/>
          <w:szCs w:val="20"/>
        </w:rPr>
        <w:t>The Partnership for Knowledge-based Poverty Reduction (PKPR) is a $7.5 million program which commenced in April 2010</w:t>
      </w:r>
      <w:r w:rsidR="00625E03">
        <w:rPr>
          <w:b w:val="0"/>
          <w:sz w:val="20"/>
          <w:szCs w:val="20"/>
        </w:rPr>
        <w:t xml:space="preserve">.  It was </w:t>
      </w:r>
      <w:r w:rsidR="003F0B92">
        <w:rPr>
          <w:b w:val="0"/>
          <w:sz w:val="20"/>
          <w:szCs w:val="20"/>
        </w:rPr>
        <w:t>due to be completed</w:t>
      </w:r>
      <w:r w:rsidR="00625E03">
        <w:rPr>
          <w:b w:val="0"/>
          <w:sz w:val="20"/>
          <w:szCs w:val="20"/>
        </w:rPr>
        <w:t xml:space="preserve"> in December 2014, but </w:t>
      </w:r>
      <w:r w:rsidR="003F0B92">
        <w:rPr>
          <w:b w:val="0"/>
          <w:sz w:val="20"/>
          <w:szCs w:val="20"/>
        </w:rPr>
        <w:t>has been</w:t>
      </w:r>
      <w:r w:rsidR="00625E03">
        <w:rPr>
          <w:b w:val="0"/>
          <w:sz w:val="20"/>
          <w:szCs w:val="20"/>
        </w:rPr>
        <w:t xml:space="preserve"> extended until June 2015. </w:t>
      </w:r>
      <w:r w:rsidRPr="00D41CBF">
        <w:rPr>
          <w:b w:val="0"/>
          <w:sz w:val="20"/>
          <w:szCs w:val="20"/>
        </w:rPr>
        <w:t xml:space="preserve"> It aims to strengthen national efforts to reduce poverty and vulnerability by supporting the Government of Indonesia (GoI) </w:t>
      </w:r>
      <w:r w:rsidR="003F0B92">
        <w:rPr>
          <w:b w:val="0"/>
          <w:sz w:val="20"/>
          <w:szCs w:val="20"/>
        </w:rPr>
        <w:t>to make</w:t>
      </w:r>
      <w:r w:rsidRPr="00D41CBF">
        <w:rPr>
          <w:b w:val="0"/>
          <w:sz w:val="20"/>
          <w:szCs w:val="20"/>
        </w:rPr>
        <w:t xml:space="preserve"> informed and evidence-based policy and program decisions. It has three pillars: i) the provision of analytics and strengthening the analytical capacity of GoI and local institutes; ii) supporting GoI in the design, implementation and evaluation of key poverty and social protection programs; and iii) helping GoI to improve the quality and accessibility of data required for poverty analysis and policy making.</w:t>
      </w:r>
    </w:p>
    <w:p w14:paraId="1CD02F82" w14:textId="29B23A51" w:rsidR="00C657FB" w:rsidRPr="007071A9" w:rsidRDefault="00FC1782" w:rsidP="007071A9">
      <w:pPr>
        <w:pStyle w:val="Heading2"/>
        <w:spacing w:before="0" w:after="240"/>
        <w:rPr>
          <w:sz w:val="28"/>
          <w:szCs w:val="28"/>
        </w:rPr>
      </w:pPr>
      <w:r w:rsidRPr="007071A9">
        <w:rPr>
          <w:sz w:val="28"/>
          <w:szCs w:val="28"/>
        </w:rPr>
        <w:t>Activity</w:t>
      </w:r>
      <w:r w:rsidR="000B520A" w:rsidRPr="007071A9">
        <w:rPr>
          <w:sz w:val="28"/>
          <w:szCs w:val="28"/>
        </w:rPr>
        <w:t xml:space="preserve"> </w:t>
      </w:r>
      <w:r w:rsidR="00C657FB" w:rsidRPr="007071A9">
        <w:rPr>
          <w:sz w:val="28"/>
          <w:szCs w:val="28"/>
        </w:rPr>
        <w:t>Summary</w:t>
      </w: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448"/>
        <w:gridCol w:w="2905"/>
        <w:gridCol w:w="1843"/>
        <w:gridCol w:w="2693"/>
      </w:tblGrid>
      <w:tr w:rsidR="00C657FB" w:rsidRPr="00F43CEC" w14:paraId="1CD02F88" w14:textId="77777777" w:rsidTr="00733CFC">
        <w:trPr>
          <w:cantSplit/>
        </w:trPr>
        <w:tc>
          <w:tcPr>
            <w:tcW w:w="2448" w:type="dxa"/>
            <w:shd w:val="clear" w:color="auto" w:fill="auto"/>
          </w:tcPr>
          <w:p w14:paraId="1CD02F86" w14:textId="23DD6B99" w:rsidR="00C657FB" w:rsidRPr="00F817B4" w:rsidRDefault="00C657FB" w:rsidP="007071A9">
            <w:pPr>
              <w:pStyle w:val="Table-normal-text"/>
              <w:spacing w:before="0" w:after="240"/>
              <w:rPr>
                <w:b/>
              </w:rPr>
            </w:pPr>
            <w:r w:rsidRPr="00F817B4">
              <w:rPr>
                <w:b/>
              </w:rPr>
              <w:t>AidWorks initiative</w:t>
            </w:r>
            <w:r w:rsidR="00FC1782" w:rsidRPr="00F817B4">
              <w:rPr>
                <w:b/>
              </w:rPr>
              <w:t>/</w:t>
            </w:r>
            <w:r w:rsidR="00733CFC" w:rsidRPr="00F817B4">
              <w:rPr>
                <w:b/>
              </w:rPr>
              <w:t xml:space="preserve"> </w:t>
            </w:r>
            <w:r w:rsidR="00FC1782" w:rsidRPr="00F817B4">
              <w:rPr>
                <w:b/>
              </w:rPr>
              <w:t>Activity</w:t>
            </w:r>
            <w:r w:rsidRPr="00F817B4">
              <w:rPr>
                <w:b/>
              </w:rPr>
              <w:t xml:space="preserve"> number</w:t>
            </w:r>
          </w:p>
        </w:tc>
        <w:tc>
          <w:tcPr>
            <w:tcW w:w="7441" w:type="dxa"/>
            <w:gridSpan w:val="3"/>
            <w:shd w:val="clear" w:color="auto" w:fill="auto"/>
          </w:tcPr>
          <w:p w14:paraId="1CD02F87" w14:textId="6F48A3AE" w:rsidR="00C657FB" w:rsidRPr="00F2320B" w:rsidRDefault="00FC1782" w:rsidP="007071A9">
            <w:pPr>
              <w:pStyle w:val="Table-normal-text"/>
              <w:spacing w:before="0" w:after="240"/>
            </w:pPr>
            <w:r>
              <w:t>INJ244/10A664</w:t>
            </w:r>
          </w:p>
        </w:tc>
      </w:tr>
      <w:tr w:rsidR="00C657FB" w:rsidRPr="00F43CEC" w14:paraId="1CD02F8D" w14:textId="77777777" w:rsidTr="00733CFC">
        <w:trPr>
          <w:cantSplit/>
        </w:trPr>
        <w:tc>
          <w:tcPr>
            <w:tcW w:w="2448" w:type="dxa"/>
            <w:shd w:val="clear" w:color="auto" w:fill="auto"/>
          </w:tcPr>
          <w:p w14:paraId="1CD02F89" w14:textId="77777777" w:rsidR="00C657FB" w:rsidRPr="00F817B4" w:rsidRDefault="00C657FB" w:rsidP="007071A9">
            <w:pPr>
              <w:pStyle w:val="Table-normal-text"/>
              <w:spacing w:before="0" w:after="240"/>
              <w:rPr>
                <w:b/>
              </w:rPr>
            </w:pPr>
            <w:r w:rsidRPr="00F817B4">
              <w:rPr>
                <w:b/>
              </w:rPr>
              <w:t>Commencement date</w:t>
            </w:r>
          </w:p>
        </w:tc>
        <w:tc>
          <w:tcPr>
            <w:tcW w:w="2905" w:type="dxa"/>
            <w:shd w:val="clear" w:color="auto" w:fill="auto"/>
          </w:tcPr>
          <w:p w14:paraId="1CD02F8A" w14:textId="339C78DF" w:rsidR="00C657FB" w:rsidRPr="00F2320B" w:rsidRDefault="00FC1782" w:rsidP="007071A9">
            <w:pPr>
              <w:pStyle w:val="Table-normal-text"/>
              <w:spacing w:before="0" w:after="240"/>
            </w:pPr>
            <w:r>
              <w:t>6 April 2010</w:t>
            </w:r>
          </w:p>
        </w:tc>
        <w:tc>
          <w:tcPr>
            <w:tcW w:w="1843" w:type="dxa"/>
            <w:shd w:val="clear" w:color="auto" w:fill="auto"/>
          </w:tcPr>
          <w:p w14:paraId="1CD02F8B" w14:textId="77777777" w:rsidR="00C657FB" w:rsidRPr="00F2320B" w:rsidRDefault="00C657FB" w:rsidP="007071A9">
            <w:pPr>
              <w:pStyle w:val="Table-normal-text"/>
              <w:spacing w:before="0" w:after="240"/>
            </w:pPr>
            <w:r w:rsidRPr="00F2320B">
              <w:t xml:space="preserve">Completion </w:t>
            </w:r>
            <w:r>
              <w:t>d</w:t>
            </w:r>
            <w:r w:rsidRPr="00F2320B">
              <w:t>ate</w:t>
            </w:r>
          </w:p>
        </w:tc>
        <w:tc>
          <w:tcPr>
            <w:tcW w:w="2693" w:type="dxa"/>
            <w:shd w:val="clear" w:color="auto" w:fill="auto"/>
          </w:tcPr>
          <w:p w14:paraId="1CD02F8C" w14:textId="5DD8B2CD" w:rsidR="00C657FB" w:rsidRPr="00F2320B" w:rsidRDefault="00D143B7" w:rsidP="007071A9">
            <w:pPr>
              <w:pStyle w:val="Table-normal-text"/>
              <w:spacing w:before="0" w:after="240"/>
            </w:pPr>
            <w:r>
              <w:t>30 June 2015</w:t>
            </w:r>
          </w:p>
        </w:tc>
      </w:tr>
      <w:tr w:rsidR="00C657FB" w:rsidRPr="00F43CEC" w14:paraId="1CD02F90" w14:textId="77777777" w:rsidTr="00733CFC">
        <w:trPr>
          <w:cantSplit/>
        </w:trPr>
        <w:tc>
          <w:tcPr>
            <w:tcW w:w="2448" w:type="dxa"/>
            <w:shd w:val="clear" w:color="auto" w:fill="auto"/>
          </w:tcPr>
          <w:p w14:paraId="1CD02F8E" w14:textId="77777777" w:rsidR="00C657FB" w:rsidRPr="00F817B4" w:rsidRDefault="00C657FB" w:rsidP="007071A9">
            <w:pPr>
              <w:pStyle w:val="Table-normal-text"/>
              <w:spacing w:before="0" w:after="240"/>
              <w:rPr>
                <w:b/>
              </w:rPr>
            </w:pPr>
            <w:r w:rsidRPr="00F817B4">
              <w:rPr>
                <w:b/>
              </w:rPr>
              <w:t>Total Australian $</w:t>
            </w:r>
          </w:p>
        </w:tc>
        <w:tc>
          <w:tcPr>
            <w:tcW w:w="7441" w:type="dxa"/>
            <w:gridSpan w:val="3"/>
            <w:shd w:val="clear" w:color="auto" w:fill="auto"/>
          </w:tcPr>
          <w:p w14:paraId="1CD02F8F" w14:textId="50BC3DE6" w:rsidR="00C657FB" w:rsidRPr="00F2320B" w:rsidRDefault="00FC1782" w:rsidP="007071A9">
            <w:pPr>
              <w:pStyle w:val="Table-normal-text"/>
              <w:spacing w:before="0" w:after="240"/>
            </w:pPr>
            <w:r>
              <w:t>7.5 million</w:t>
            </w:r>
          </w:p>
        </w:tc>
      </w:tr>
      <w:tr w:rsidR="00C657FB" w:rsidRPr="00F43CEC" w14:paraId="1CD02F93" w14:textId="77777777" w:rsidTr="00733CFC">
        <w:trPr>
          <w:cantSplit/>
        </w:trPr>
        <w:tc>
          <w:tcPr>
            <w:tcW w:w="2448" w:type="dxa"/>
            <w:shd w:val="clear" w:color="auto" w:fill="auto"/>
          </w:tcPr>
          <w:p w14:paraId="1CD02F91" w14:textId="77777777" w:rsidR="00C657FB" w:rsidRPr="00F817B4" w:rsidRDefault="00C657FB" w:rsidP="007071A9">
            <w:pPr>
              <w:pStyle w:val="Table-normal-text"/>
              <w:spacing w:before="0" w:after="240"/>
              <w:rPr>
                <w:b/>
              </w:rPr>
            </w:pPr>
            <w:r w:rsidRPr="00F817B4">
              <w:rPr>
                <w:b/>
              </w:rPr>
              <w:t>Total other $</w:t>
            </w:r>
          </w:p>
        </w:tc>
        <w:tc>
          <w:tcPr>
            <w:tcW w:w="7441" w:type="dxa"/>
            <w:gridSpan w:val="3"/>
            <w:shd w:val="clear" w:color="auto" w:fill="auto"/>
          </w:tcPr>
          <w:p w14:paraId="1CD02F92" w14:textId="609F8BC7" w:rsidR="00C657FB" w:rsidRPr="00F2320B" w:rsidRDefault="00FC1782" w:rsidP="007071A9">
            <w:pPr>
              <w:pStyle w:val="Table-normal-text"/>
              <w:spacing w:before="0" w:after="240"/>
            </w:pPr>
            <w:r>
              <w:t>0</w:t>
            </w:r>
          </w:p>
        </w:tc>
      </w:tr>
      <w:tr w:rsidR="00C657FB" w:rsidRPr="00F43CEC" w14:paraId="1CD02F96" w14:textId="77777777" w:rsidTr="00733CFC">
        <w:trPr>
          <w:cantSplit/>
        </w:trPr>
        <w:tc>
          <w:tcPr>
            <w:tcW w:w="2448" w:type="dxa"/>
            <w:shd w:val="clear" w:color="auto" w:fill="auto"/>
          </w:tcPr>
          <w:p w14:paraId="1CD02F94" w14:textId="77777777" w:rsidR="00C657FB" w:rsidRPr="00F817B4" w:rsidRDefault="00C657FB" w:rsidP="007071A9">
            <w:pPr>
              <w:pStyle w:val="Table-normal-text"/>
              <w:spacing w:before="0" w:after="240"/>
              <w:rPr>
                <w:b/>
              </w:rPr>
            </w:pPr>
            <w:r w:rsidRPr="00F817B4">
              <w:rPr>
                <w:b/>
              </w:rPr>
              <w:t>Delivery organisation(s)</w:t>
            </w:r>
          </w:p>
        </w:tc>
        <w:tc>
          <w:tcPr>
            <w:tcW w:w="7441" w:type="dxa"/>
            <w:gridSpan w:val="3"/>
            <w:shd w:val="clear" w:color="auto" w:fill="auto"/>
          </w:tcPr>
          <w:p w14:paraId="1CD02F95" w14:textId="13278F6A" w:rsidR="00C657FB" w:rsidRPr="00F2320B" w:rsidRDefault="0066154E" w:rsidP="007071A9">
            <w:pPr>
              <w:pStyle w:val="Table-normal-text"/>
              <w:spacing w:before="0" w:after="240"/>
            </w:pPr>
            <w:r>
              <w:t xml:space="preserve">Poverty Reduction Team, Poverty Reduction and Economic Management (PREM) Unit, </w:t>
            </w:r>
            <w:r w:rsidR="00C12A92">
              <w:t>The World Bank</w:t>
            </w:r>
          </w:p>
        </w:tc>
      </w:tr>
      <w:tr w:rsidR="00C657FB" w:rsidRPr="00F43CEC" w14:paraId="1CD02F99" w14:textId="77777777" w:rsidTr="00733CFC">
        <w:trPr>
          <w:cantSplit/>
        </w:trPr>
        <w:tc>
          <w:tcPr>
            <w:tcW w:w="2448" w:type="dxa"/>
            <w:shd w:val="clear" w:color="auto" w:fill="auto"/>
          </w:tcPr>
          <w:p w14:paraId="1CD02F97" w14:textId="77777777" w:rsidR="00C657FB" w:rsidRPr="00F817B4" w:rsidRDefault="00C657FB" w:rsidP="007071A9">
            <w:pPr>
              <w:pStyle w:val="Table-normal-text"/>
              <w:spacing w:before="0" w:after="240"/>
              <w:rPr>
                <w:b/>
              </w:rPr>
            </w:pPr>
            <w:r w:rsidRPr="00F817B4">
              <w:rPr>
                <w:b/>
              </w:rPr>
              <w:t xml:space="preserve">Implementing </w:t>
            </w:r>
            <w:r w:rsidR="00845B17" w:rsidRPr="00F817B4">
              <w:rPr>
                <w:b/>
              </w:rPr>
              <w:t>partner</w:t>
            </w:r>
            <w:r w:rsidRPr="00F817B4">
              <w:rPr>
                <w:b/>
              </w:rPr>
              <w:t>(s)</w:t>
            </w:r>
          </w:p>
        </w:tc>
        <w:tc>
          <w:tcPr>
            <w:tcW w:w="7441" w:type="dxa"/>
            <w:gridSpan w:val="3"/>
            <w:shd w:val="clear" w:color="auto" w:fill="auto"/>
          </w:tcPr>
          <w:p w14:paraId="62B77CB3" w14:textId="55580943" w:rsidR="00AF69E2" w:rsidRDefault="000641A5" w:rsidP="007071A9">
            <w:pPr>
              <w:pStyle w:val="Table-normal-text"/>
              <w:numPr>
                <w:ilvl w:val="0"/>
                <w:numId w:val="13"/>
              </w:numPr>
              <w:spacing w:before="0" w:after="240"/>
            </w:pPr>
            <w:r>
              <w:t>The World Bank</w:t>
            </w:r>
          </w:p>
          <w:p w14:paraId="1CD02F98" w14:textId="249EF6C2" w:rsidR="00C657FB" w:rsidRPr="00F2320B" w:rsidRDefault="00AF69E2" w:rsidP="007071A9">
            <w:pPr>
              <w:pStyle w:val="Table-normal-text"/>
              <w:numPr>
                <w:ilvl w:val="0"/>
                <w:numId w:val="13"/>
              </w:numPr>
              <w:spacing w:before="0" w:after="240"/>
            </w:pPr>
            <w:r>
              <w:t>Local Think-tanks/Universities</w:t>
            </w:r>
          </w:p>
        </w:tc>
      </w:tr>
      <w:tr w:rsidR="00C657FB" w:rsidRPr="00F43CEC" w14:paraId="1CD02F9C" w14:textId="77777777" w:rsidTr="00733CFC">
        <w:trPr>
          <w:cantSplit/>
        </w:trPr>
        <w:tc>
          <w:tcPr>
            <w:tcW w:w="2448" w:type="dxa"/>
            <w:shd w:val="clear" w:color="auto" w:fill="auto"/>
          </w:tcPr>
          <w:p w14:paraId="1CD02F9A" w14:textId="61AF5223" w:rsidR="00C657FB" w:rsidRPr="00F817B4" w:rsidRDefault="00C657FB" w:rsidP="007071A9">
            <w:pPr>
              <w:pStyle w:val="Table-normal-text"/>
              <w:spacing w:before="0" w:after="240"/>
              <w:rPr>
                <w:b/>
              </w:rPr>
            </w:pPr>
            <w:r w:rsidRPr="00F817B4">
              <w:rPr>
                <w:b/>
              </w:rPr>
              <w:t>Country/Region</w:t>
            </w:r>
          </w:p>
        </w:tc>
        <w:tc>
          <w:tcPr>
            <w:tcW w:w="7441" w:type="dxa"/>
            <w:gridSpan w:val="3"/>
            <w:shd w:val="clear" w:color="auto" w:fill="auto"/>
          </w:tcPr>
          <w:p w14:paraId="1CD02F9B" w14:textId="613512E0" w:rsidR="00C657FB" w:rsidRPr="00F2320B" w:rsidRDefault="00C12A92" w:rsidP="007071A9">
            <w:pPr>
              <w:pStyle w:val="Table-normal-text"/>
              <w:spacing w:before="0" w:after="240"/>
            </w:pPr>
            <w:r>
              <w:t>Indonesia</w:t>
            </w:r>
          </w:p>
        </w:tc>
      </w:tr>
      <w:tr w:rsidR="00C657FB" w:rsidRPr="00F43CEC" w14:paraId="1CD02F9F" w14:textId="77777777" w:rsidTr="00733CFC">
        <w:trPr>
          <w:cantSplit/>
        </w:trPr>
        <w:tc>
          <w:tcPr>
            <w:tcW w:w="2448" w:type="dxa"/>
            <w:shd w:val="clear" w:color="auto" w:fill="auto"/>
          </w:tcPr>
          <w:p w14:paraId="1CD02F9D" w14:textId="77777777" w:rsidR="00C657FB" w:rsidRPr="00F817B4" w:rsidRDefault="00C657FB" w:rsidP="007071A9">
            <w:pPr>
              <w:pStyle w:val="Table-normal-text"/>
              <w:spacing w:before="0" w:after="240"/>
              <w:rPr>
                <w:b/>
              </w:rPr>
            </w:pPr>
            <w:r w:rsidRPr="00F817B4">
              <w:rPr>
                <w:b/>
              </w:rPr>
              <w:t xml:space="preserve">Primary </w:t>
            </w:r>
            <w:r w:rsidR="00845B17" w:rsidRPr="00F817B4">
              <w:rPr>
                <w:b/>
              </w:rPr>
              <w:t>sector</w:t>
            </w:r>
          </w:p>
        </w:tc>
        <w:tc>
          <w:tcPr>
            <w:tcW w:w="7441" w:type="dxa"/>
            <w:gridSpan w:val="3"/>
            <w:shd w:val="clear" w:color="auto" w:fill="auto"/>
          </w:tcPr>
          <w:p w14:paraId="1CD02F9E" w14:textId="19BA2174" w:rsidR="00C657FB" w:rsidRPr="00F2320B" w:rsidRDefault="00C12A92" w:rsidP="007071A9">
            <w:pPr>
              <w:pStyle w:val="Table-normal-text"/>
              <w:spacing w:before="0" w:after="240"/>
            </w:pPr>
            <w:r>
              <w:t>Economic Growth/MDG 1 – End Poverty and Hunger</w:t>
            </w:r>
          </w:p>
        </w:tc>
      </w:tr>
    </w:tbl>
    <w:p w14:paraId="1CD02FA3" w14:textId="50B538DE" w:rsidR="00C657FB" w:rsidRPr="007071A9" w:rsidRDefault="00733CFC" w:rsidP="007071A9">
      <w:pPr>
        <w:pStyle w:val="Heading2"/>
        <w:spacing w:before="0" w:after="240"/>
        <w:rPr>
          <w:sz w:val="28"/>
          <w:szCs w:val="28"/>
        </w:rPr>
      </w:pPr>
      <w:r w:rsidRPr="007071A9">
        <w:rPr>
          <w:sz w:val="28"/>
          <w:szCs w:val="28"/>
        </w:rPr>
        <w:lastRenderedPageBreak/>
        <w:t>Independent R</w:t>
      </w:r>
      <w:bookmarkStart w:id="0" w:name="_GoBack"/>
      <w:bookmarkEnd w:id="0"/>
      <w:r w:rsidRPr="007071A9">
        <w:rPr>
          <w:sz w:val="28"/>
          <w:szCs w:val="28"/>
        </w:rPr>
        <w:t>eview</w:t>
      </w:r>
      <w:r w:rsidR="00C657FB" w:rsidRPr="007071A9">
        <w:rPr>
          <w:sz w:val="28"/>
          <w:szCs w:val="28"/>
        </w:rPr>
        <w:t xml:space="preserve"> Summary</w:t>
      </w:r>
    </w:p>
    <w:tbl>
      <w:tblPr>
        <w:tblStyle w:val="TableGrid"/>
        <w:tblW w:w="0" w:type="auto"/>
        <w:tblLook w:val="04A0" w:firstRow="1" w:lastRow="0" w:firstColumn="1" w:lastColumn="0" w:noHBand="0" w:noVBand="1"/>
      </w:tblPr>
      <w:tblGrid>
        <w:gridCol w:w="1857"/>
        <w:gridCol w:w="7895"/>
      </w:tblGrid>
      <w:tr w:rsidR="00733CFC" w14:paraId="5BA95350" w14:textId="77777777" w:rsidTr="00F817B4">
        <w:trPr>
          <w:cnfStyle w:val="100000000000" w:firstRow="1" w:lastRow="0" w:firstColumn="0" w:lastColumn="0" w:oddVBand="0" w:evenVBand="0" w:oddHBand="0" w:evenHBand="0" w:firstRowFirstColumn="0" w:firstRowLastColumn="0" w:lastRowFirstColumn="0" w:lastRowLastColumn="0"/>
        </w:trPr>
        <w:tc>
          <w:tcPr>
            <w:tcW w:w="1857" w:type="dxa"/>
            <w:shd w:val="clear" w:color="auto" w:fill="auto"/>
            <w:vAlign w:val="top"/>
          </w:tcPr>
          <w:p w14:paraId="48B4C7F5" w14:textId="7B745691" w:rsidR="00733CFC" w:rsidRPr="00F817B4" w:rsidRDefault="00733CFC" w:rsidP="007071A9">
            <w:pPr>
              <w:spacing w:before="0" w:after="240"/>
              <w:jc w:val="left"/>
              <w:rPr>
                <w:sz w:val="20"/>
                <w:szCs w:val="20"/>
              </w:rPr>
            </w:pPr>
            <w:r w:rsidRPr="00F817B4">
              <w:rPr>
                <w:sz w:val="20"/>
                <w:szCs w:val="20"/>
              </w:rPr>
              <w:t>Review Objective/s</w:t>
            </w:r>
          </w:p>
        </w:tc>
        <w:tc>
          <w:tcPr>
            <w:tcW w:w="7895" w:type="dxa"/>
            <w:shd w:val="clear" w:color="auto" w:fill="auto"/>
            <w:vAlign w:val="top"/>
          </w:tcPr>
          <w:p w14:paraId="159FC4AF" w14:textId="0471D993" w:rsidR="00733CFC" w:rsidRDefault="00733CFC" w:rsidP="007071A9">
            <w:pPr>
              <w:spacing w:before="0" w:after="240"/>
              <w:jc w:val="left"/>
              <w:rPr>
                <w:b w:val="0"/>
                <w:sz w:val="20"/>
                <w:szCs w:val="20"/>
              </w:rPr>
            </w:pPr>
            <w:r w:rsidRPr="00733CFC">
              <w:rPr>
                <w:b w:val="0"/>
                <w:sz w:val="20"/>
                <w:szCs w:val="20"/>
              </w:rPr>
              <w:t>The Independent Progress Review (IPR) was undertaken approximately 28 months after the comm</w:t>
            </w:r>
            <w:r w:rsidR="0089370F">
              <w:rPr>
                <w:b w:val="0"/>
                <w:sz w:val="20"/>
                <w:szCs w:val="20"/>
              </w:rPr>
              <w:t>encement of PKPR and was part of AusAID</w:t>
            </w:r>
            <w:r w:rsidR="001B5C47">
              <w:rPr>
                <w:b w:val="0"/>
                <w:sz w:val="20"/>
                <w:szCs w:val="20"/>
              </w:rPr>
              <w:t>’s</w:t>
            </w:r>
            <w:r w:rsidR="0089370F">
              <w:rPr>
                <w:b w:val="0"/>
                <w:sz w:val="20"/>
                <w:szCs w:val="20"/>
              </w:rPr>
              <w:t xml:space="preserve"> standard quality performance program.  The review h</w:t>
            </w:r>
            <w:r w:rsidR="00F817B4">
              <w:rPr>
                <w:b w:val="0"/>
                <w:sz w:val="20"/>
                <w:szCs w:val="20"/>
              </w:rPr>
              <w:t>ad a three-fold purpose:</w:t>
            </w:r>
          </w:p>
          <w:p w14:paraId="760C361A" w14:textId="418D43D4" w:rsidR="00F817B4" w:rsidRPr="00F817B4" w:rsidRDefault="00F817B4" w:rsidP="007071A9">
            <w:pPr>
              <w:pStyle w:val="ListParagraph"/>
              <w:numPr>
                <w:ilvl w:val="0"/>
                <w:numId w:val="12"/>
              </w:numPr>
              <w:spacing w:before="0" w:after="240"/>
              <w:jc w:val="left"/>
              <w:rPr>
                <w:szCs w:val="20"/>
              </w:rPr>
            </w:pPr>
            <w:r>
              <w:rPr>
                <w:b w:val="0"/>
                <w:sz w:val="20"/>
                <w:szCs w:val="20"/>
              </w:rPr>
              <w:t xml:space="preserve">Assess the progress of the program against its objectives with particular emphasis on its effectiveness in strengthening capacity in the </w:t>
            </w:r>
            <w:r w:rsidR="00B17E66">
              <w:rPr>
                <w:b w:val="0"/>
                <w:sz w:val="20"/>
                <w:szCs w:val="20"/>
              </w:rPr>
              <w:t>GoI</w:t>
            </w:r>
            <w:r>
              <w:rPr>
                <w:b w:val="0"/>
                <w:sz w:val="20"/>
                <w:szCs w:val="20"/>
              </w:rPr>
              <w:t>;</w:t>
            </w:r>
          </w:p>
          <w:p w14:paraId="6B93B8E6" w14:textId="77777777" w:rsidR="00F817B4" w:rsidRPr="00F817B4" w:rsidRDefault="00F817B4" w:rsidP="007071A9">
            <w:pPr>
              <w:pStyle w:val="ListParagraph"/>
              <w:numPr>
                <w:ilvl w:val="0"/>
                <w:numId w:val="12"/>
              </w:numPr>
              <w:spacing w:before="0" w:after="240"/>
              <w:jc w:val="left"/>
              <w:rPr>
                <w:szCs w:val="20"/>
              </w:rPr>
            </w:pPr>
            <w:r>
              <w:rPr>
                <w:b w:val="0"/>
                <w:sz w:val="20"/>
                <w:szCs w:val="20"/>
              </w:rPr>
              <w:t>Assess the relevance of the program and identify how the program might be improved; and</w:t>
            </w:r>
          </w:p>
          <w:p w14:paraId="5A67D027" w14:textId="01109CE6" w:rsidR="00F817B4" w:rsidRPr="00F817B4" w:rsidRDefault="00F817B4" w:rsidP="007071A9">
            <w:pPr>
              <w:pStyle w:val="ListParagraph"/>
              <w:numPr>
                <w:ilvl w:val="0"/>
                <w:numId w:val="12"/>
              </w:numPr>
              <w:spacing w:before="0" w:after="240"/>
              <w:jc w:val="left"/>
              <w:rPr>
                <w:szCs w:val="20"/>
              </w:rPr>
            </w:pPr>
            <w:r>
              <w:rPr>
                <w:b w:val="0"/>
                <w:sz w:val="20"/>
                <w:szCs w:val="20"/>
              </w:rPr>
              <w:t>Identify the lessons and compare these with lessons from similar programs.</w:t>
            </w:r>
          </w:p>
        </w:tc>
      </w:tr>
      <w:tr w:rsidR="00733CFC" w14:paraId="558F747A" w14:textId="77777777" w:rsidTr="00F817B4">
        <w:tc>
          <w:tcPr>
            <w:tcW w:w="1857" w:type="dxa"/>
          </w:tcPr>
          <w:p w14:paraId="09EE1A87" w14:textId="1F24195A" w:rsidR="00733CFC" w:rsidRPr="00F817B4" w:rsidRDefault="00F817B4" w:rsidP="007071A9">
            <w:pPr>
              <w:spacing w:before="0" w:after="240"/>
              <w:rPr>
                <w:b/>
                <w:sz w:val="20"/>
                <w:szCs w:val="20"/>
              </w:rPr>
            </w:pPr>
            <w:r w:rsidRPr="00F817B4">
              <w:rPr>
                <w:b/>
                <w:sz w:val="20"/>
                <w:szCs w:val="20"/>
              </w:rPr>
              <w:t>Review Completion Date</w:t>
            </w:r>
          </w:p>
        </w:tc>
        <w:tc>
          <w:tcPr>
            <w:tcW w:w="7895" w:type="dxa"/>
          </w:tcPr>
          <w:p w14:paraId="0E7C6731" w14:textId="46ED5A9A" w:rsidR="00733CFC" w:rsidRPr="00F817B4" w:rsidRDefault="00F817B4" w:rsidP="007071A9">
            <w:pPr>
              <w:spacing w:before="0" w:after="240"/>
              <w:rPr>
                <w:sz w:val="20"/>
                <w:szCs w:val="20"/>
              </w:rPr>
            </w:pPr>
            <w:r>
              <w:rPr>
                <w:sz w:val="20"/>
                <w:szCs w:val="20"/>
              </w:rPr>
              <w:t>3 December 2012</w:t>
            </w:r>
          </w:p>
        </w:tc>
      </w:tr>
      <w:tr w:rsidR="00F817B4" w14:paraId="57F80DFB" w14:textId="77777777" w:rsidTr="00F817B4">
        <w:tc>
          <w:tcPr>
            <w:tcW w:w="1857" w:type="dxa"/>
          </w:tcPr>
          <w:p w14:paraId="595F8F73" w14:textId="623D35B7" w:rsidR="00F817B4" w:rsidRPr="00F817B4" w:rsidRDefault="00F817B4" w:rsidP="007071A9">
            <w:pPr>
              <w:spacing w:before="0" w:after="240"/>
              <w:rPr>
                <w:b/>
                <w:sz w:val="20"/>
                <w:szCs w:val="20"/>
              </w:rPr>
            </w:pPr>
            <w:r w:rsidRPr="00F817B4">
              <w:rPr>
                <w:b/>
                <w:sz w:val="20"/>
                <w:szCs w:val="20"/>
              </w:rPr>
              <w:t>Review Team</w:t>
            </w:r>
          </w:p>
        </w:tc>
        <w:tc>
          <w:tcPr>
            <w:tcW w:w="7895" w:type="dxa"/>
          </w:tcPr>
          <w:p w14:paraId="260E3428" w14:textId="77777777" w:rsidR="00F817B4" w:rsidRDefault="00F817B4" w:rsidP="007071A9">
            <w:pPr>
              <w:pStyle w:val="ListParagraph"/>
              <w:numPr>
                <w:ilvl w:val="0"/>
                <w:numId w:val="11"/>
              </w:numPr>
              <w:spacing w:before="0" w:after="240"/>
              <w:rPr>
                <w:sz w:val="20"/>
                <w:szCs w:val="20"/>
              </w:rPr>
            </w:pPr>
            <w:r>
              <w:rPr>
                <w:sz w:val="20"/>
                <w:szCs w:val="20"/>
              </w:rPr>
              <w:t>Ms. Julie Hind, Team Leader and Evaluation Specialist</w:t>
            </w:r>
          </w:p>
          <w:p w14:paraId="122467F6" w14:textId="77777777" w:rsidR="00F817B4" w:rsidRDefault="00F817B4" w:rsidP="007071A9">
            <w:pPr>
              <w:pStyle w:val="ListParagraph"/>
              <w:numPr>
                <w:ilvl w:val="0"/>
                <w:numId w:val="11"/>
              </w:numPr>
              <w:spacing w:before="0" w:after="240"/>
              <w:rPr>
                <w:sz w:val="20"/>
                <w:szCs w:val="20"/>
              </w:rPr>
            </w:pPr>
            <w:r>
              <w:rPr>
                <w:sz w:val="20"/>
                <w:szCs w:val="20"/>
              </w:rPr>
              <w:t>Mr. Gatot Widayanto, Team Member and Organisational Development Specialist</w:t>
            </w:r>
          </w:p>
          <w:p w14:paraId="420F1727" w14:textId="2867332A" w:rsidR="00F817B4" w:rsidRPr="00F817B4" w:rsidRDefault="00F817B4" w:rsidP="007071A9">
            <w:pPr>
              <w:pStyle w:val="ListParagraph"/>
              <w:numPr>
                <w:ilvl w:val="0"/>
                <w:numId w:val="11"/>
              </w:numPr>
              <w:spacing w:before="0" w:after="240"/>
              <w:rPr>
                <w:sz w:val="20"/>
                <w:szCs w:val="20"/>
              </w:rPr>
            </w:pPr>
            <w:r>
              <w:rPr>
                <w:sz w:val="20"/>
                <w:szCs w:val="20"/>
              </w:rPr>
              <w:t>Mr. Euan Hind, Researcher supporting the Team Leader</w:t>
            </w:r>
            <w:r w:rsidRPr="00F817B4">
              <w:rPr>
                <w:szCs w:val="20"/>
              </w:rPr>
              <w:t xml:space="preserve"> </w:t>
            </w:r>
          </w:p>
        </w:tc>
      </w:tr>
      <w:tr w:rsidR="00F817B4" w14:paraId="749121EB" w14:textId="77777777" w:rsidTr="00F817B4">
        <w:tc>
          <w:tcPr>
            <w:tcW w:w="1857" w:type="dxa"/>
          </w:tcPr>
          <w:p w14:paraId="34EB86D2" w14:textId="4350D14A" w:rsidR="00F817B4" w:rsidRPr="00F817B4" w:rsidRDefault="00F817B4" w:rsidP="007071A9">
            <w:pPr>
              <w:spacing w:before="0" w:after="240"/>
              <w:rPr>
                <w:b/>
                <w:sz w:val="20"/>
                <w:szCs w:val="20"/>
              </w:rPr>
            </w:pPr>
            <w:r>
              <w:rPr>
                <w:b/>
                <w:sz w:val="20"/>
                <w:szCs w:val="20"/>
              </w:rPr>
              <w:t>Key Mes</w:t>
            </w:r>
            <w:r w:rsidRPr="00F817B4">
              <w:rPr>
                <w:b/>
                <w:sz w:val="20"/>
                <w:szCs w:val="20"/>
              </w:rPr>
              <w:t>sages</w:t>
            </w:r>
          </w:p>
        </w:tc>
        <w:tc>
          <w:tcPr>
            <w:tcW w:w="7895" w:type="dxa"/>
          </w:tcPr>
          <w:p w14:paraId="507AED1A" w14:textId="44632A7F" w:rsidR="00F817B4" w:rsidRDefault="00443760" w:rsidP="007071A9">
            <w:pPr>
              <w:pStyle w:val="ListParagraph"/>
              <w:numPr>
                <w:ilvl w:val="0"/>
                <w:numId w:val="11"/>
              </w:numPr>
              <w:spacing w:before="0" w:after="240"/>
              <w:rPr>
                <w:sz w:val="20"/>
                <w:szCs w:val="20"/>
              </w:rPr>
            </w:pPr>
            <w:r>
              <w:rPr>
                <w:sz w:val="20"/>
                <w:szCs w:val="20"/>
              </w:rPr>
              <w:t>PKPR is providing GoI with a level of poverty analytics and advice not readily available by other means.  It is filling a much need</w:t>
            </w:r>
            <w:r w:rsidR="009563B3">
              <w:rPr>
                <w:sz w:val="20"/>
                <w:szCs w:val="20"/>
              </w:rPr>
              <w:t>ed</w:t>
            </w:r>
            <w:r>
              <w:rPr>
                <w:sz w:val="20"/>
                <w:szCs w:val="20"/>
              </w:rPr>
              <w:t xml:space="preserve"> gap in terms of rapid response studies.  Its access to a global bank of knowledge and resources</w:t>
            </w:r>
            <w:r w:rsidR="009563B3">
              <w:rPr>
                <w:sz w:val="20"/>
                <w:szCs w:val="20"/>
              </w:rPr>
              <w:t xml:space="preserve"> and</w:t>
            </w:r>
            <w:r>
              <w:rPr>
                <w:sz w:val="20"/>
                <w:szCs w:val="20"/>
              </w:rPr>
              <w:t xml:space="preserve"> the capacity to meet ad hoc analytical requests is a c</w:t>
            </w:r>
            <w:r w:rsidR="008A6B9C">
              <w:rPr>
                <w:sz w:val="20"/>
                <w:szCs w:val="20"/>
              </w:rPr>
              <w:t>omparative advantage. The downside is that it may result in few</w:t>
            </w:r>
            <w:r w:rsidR="009563B3">
              <w:rPr>
                <w:sz w:val="20"/>
                <w:szCs w:val="20"/>
              </w:rPr>
              <w:t>er</w:t>
            </w:r>
            <w:r w:rsidR="008A6B9C">
              <w:rPr>
                <w:sz w:val="20"/>
                <w:szCs w:val="20"/>
              </w:rPr>
              <w:t xml:space="preserve"> requests by GoI to local institutes for s</w:t>
            </w:r>
            <w:r w:rsidR="001B5C47">
              <w:rPr>
                <w:sz w:val="20"/>
                <w:szCs w:val="20"/>
              </w:rPr>
              <w:t>u</w:t>
            </w:r>
            <w:r w:rsidR="008A6B9C">
              <w:rPr>
                <w:sz w:val="20"/>
                <w:szCs w:val="20"/>
              </w:rPr>
              <w:t>ch studies.  This has negative impacts on the capacity of institutes, compounding the already serious shortage of capacity of local institutes.</w:t>
            </w:r>
          </w:p>
          <w:p w14:paraId="33045103" w14:textId="0CC74B79" w:rsidR="008A6B9C" w:rsidRDefault="000641A5" w:rsidP="007071A9">
            <w:pPr>
              <w:pStyle w:val="ListParagraph"/>
              <w:numPr>
                <w:ilvl w:val="0"/>
                <w:numId w:val="11"/>
              </w:numPr>
              <w:spacing w:before="0" w:after="240"/>
              <w:rPr>
                <w:sz w:val="20"/>
                <w:szCs w:val="20"/>
              </w:rPr>
            </w:pPr>
            <w:r>
              <w:rPr>
                <w:sz w:val="20"/>
                <w:szCs w:val="20"/>
              </w:rPr>
              <w:t xml:space="preserve">PKPR is targeting capacity development at different levels – individuals, organisations and their systems, and the enabling environment, which aligns with contemporary good practice.  PKPR </w:t>
            </w:r>
            <w:r w:rsidR="003F0B92">
              <w:rPr>
                <w:sz w:val="20"/>
                <w:szCs w:val="20"/>
              </w:rPr>
              <w:t>has seen</w:t>
            </w:r>
            <w:r>
              <w:rPr>
                <w:sz w:val="20"/>
                <w:szCs w:val="20"/>
              </w:rPr>
              <w:t xml:space="preserve"> positive results where a collaborative, team approach has been taken, </w:t>
            </w:r>
            <w:r w:rsidR="003F0B92">
              <w:rPr>
                <w:sz w:val="20"/>
                <w:szCs w:val="20"/>
              </w:rPr>
              <w:t>but</w:t>
            </w:r>
            <w:r>
              <w:rPr>
                <w:sz w:val="20"/>
                <w:szCs w:val="20"/>
              </w:rPr>
              <w:t xml:space="preserve"> there were calls for more planned, intentional capacity development strategies </w:t>
            </w:r>
            <w:r w:rsidR="003F0B92">
              <w:rPr>
                <w:sz w:val="20"/>
                <w:szCs w:val="20"/>
              </w:rPr>
              <w:t>that were</w:t>
            </w:r>
            <w:r>
              <w:rPr>
                <w:sz w:val="20"/>
                <w:szCs w:val="20"/>
              </w:rPr>
              <w:t xml:space="preserve"> directed by counterpart agencies.</w:t>
            </w:r>
          </w:p>
          <w:p w14:paraId="5632EF46" w14:textId="1EB48265" w:rsidR="000641A5" w:rsidRDefault="000641A5" w:rsidP="007071A9">
            <w:pPr>
              <w:pStyle w:val="ListParagraph"/>
              <w:numPr>
                <w:ilvl w:val="0"/>
                <w:numId w:val="11"/>
              </w:numPr>
              <w:spacing w:before="0" w:after="240"/>
              <w:rPr>
                <w:sz w:val="20"/>
                <w:szCs w:val="20"/>
              </w:rPr>
            </w:pPr>
            <w:r>
              <w:rPr>
                <w:sz w:val="20"/>
                <w:szCs w:val="20"/>
              </w:rPr>
              <w:t>PKPR is making an important contribution to the uptake of evidence for decision-making.  The program demonstrates a number of practices that will make research links with policy successful: focus on policy problems; closely engaging with policymakers; a good understanding of the political environment; and investing in communication and engagement.  PKPR, unfortunately, has not</w:t>
            </w:r>
            <w:r w:rsidR="001B5C47">
              <w:rPr>
                <w:sz w:val="20"/>
                <w:szCs w:val="20"/>
              </w:rPr>
              <w:t xml:space="preserve"> yet</w:t>
            </w:r>
            <w:r>
              <w:rPr>
                <w:sz w:val="20"/>
                <w:szCs w:val="20"/>
              </w:rPr>
              <w:t xml:space="preserve"> included local institutes in knowledge sharing activities because PK</w:t>
            </w:r>
            <w:r w:rsidR="001B5C47">
              <w:rPr>
                <w:sz w:val="20"/>
                <w:szCs w:val="20"/>
              </w:rPr>
              <w:t>P</w:t>
            </w:r>
            <w:r>
              <w:rPr>
                <w:sz w:val="20"/>
                <w:szCs w:val="20"/>
              </w:rPr>
              <w:t>R does not have well established links or relationships with them.</w:t>
            </w:r>
          </w:p>
          <w:p w14:paraId="2FA04F3E" w14:textId="290F94C4" w:rsidR="000641A5" w:rsidRDefault="006503DA" w:rsidP="007071A9">
            <w:pPr>
              <w:pStyle w:val="ListParagraph"/>
              <w:numPr>
                <w:ilvl w:val="0"/>
                <w:numId w:val="11"/>
              </w:numPr>
              <w:spacing w:before="0" w:after="240"/>
              <w:rPr>
                <w:sz w:val="20"/>
                <w:szCs w:val="20"/>
              </w:rPr>
            </w:pPr>
            <w:r>
              <w:rPr>
                <w:sz w:val="20"/>
                <w:szCs w:val="20"/>
              </w:rPr>
              <w:t xml:space="preserve">PKPR’s current monitoring and evaluation framework </w:t>
            </w:r>
            <w:r w:rsidR="009563B3">
              <w:rPr>
                <w:sz w:val="20"/>
                <w:szCs w:val="20"/>
              </w:rPr>
              <w:t xml:space="preserve">lacks </w:t>
            </w:r>
            <w:r w:rsidR="003F0B92">
              <w:rPr>
                <w:sz w:val="20"/>
                <w:szCs w:val="20"/>
              </w:rPr>
              <w:t>a</w:t>
            </w:r>
            <w:r>
              <w:rPr>
                <w:sz w:val="20"/>
                <w:szCs w:val="20"/>
              </w:rPr>
              <w:t xml:space="preserve"> program theory, and so it is difficult to assess whether the interventions will plausibly result in the desired outcomes.  The framework provides little attention to measuring capacity development</w:t>
            </w:r>
          </w:p>
          <w:p w14:paraId="4A9FEE98" w14:textId="796F7564" w:rsidR="006503DA" w:rsidRPr="00F817B4" w:rsidRDefault="006503DA" w:rsidP="007071A9">
            <w:pPr>
              <w:pStyle w:val="ListParagraph"/>
              <w:numPr>
                <w:ilvl w:val="0"/>
                <w:numId w:val="11"/>
              </w:numPr>
              <w:spacing w:before="0" w:after="240"/>
              <w:rPr>
                <w:sz w:val="20"/>
                <w:szCs w:val="20"/>
              </w:rPr>
            </w:pPr>
            <w:r>
              <w:rPr>
                <w:sz w:val="20"/>
                <w:szCs w:val="20"/>
              </w:rPr>
              <w:t xml:space="preserve">PKPR is highly relevant on two </w:t>
            </w:r>
            <w:r w:rsidR="00F575B1">
              <w:rPr>
                <w:sz w:val="20"/>
                <w:szCs w:val="20"/>
              </w:rPr>
              <w:t xml:space="preserve">review </w:t>
            </w:r>
            <w:r>
              <w:rPr>
                <w:sz w:val="20"/>
                <w:szCs w:val="20"/>
              </w:rPr>
              <w:t xml:space="preserve">criteria: alignment with GoI and AusAID policies and priorities; and based on good contextual analysis.  Greater diligence is needed on other </w:t>
            </w:r>
            <w:r w:rsidR="00F575B1">
              <w:rPr>
                <w:sz w:val="20"/>
                <w:szCs w:val="20"/>
              </w:rPr>
              <w:t xml:space="preserve">review </w:t>
            </w:r>
            <w:r>
              <w:rPr>
                <w:sz w:val="20"/>
                <w:szCs w:val="20"/>
              </w:rPr>
              <w:t>criteria: the appropriateness of the mix of interventions; appropriate budget allocation to the various pillars commensurate with the level of priority and the difficulty of the task; effective program governance and oversight; implementation methods to suit the context and expected to result in sustainable change; and the program working with the right counterparts.</w:t>
            </w:r>
          </w:p>
        </w:tc>
      </w:tr>
    </w:tbl>
    <w:p w14:paraId="53537D74" w14:textId="340CB8F1" w:rsidR="00733CFC" w:rsidRDefault="00733CFC" w:rsidP="007071A9">
      <w:pPr>
        <w:spacing w:before="0" w:after="240"/>
        <w:rPr>
          <w:b/>
        </w:rPr>
      </w:pPr>
    </w:p>
    <w:p w14:paraId="57D4D62D" w14:textId="77777777" w:rsidR="007071A9" w:rsidRDefault="007071A9" w:rsidP="007071A9">
      <w:pPr>
        <w:spacing w:before="0" w:after="240"/>
        <w:rPr>
          <w:b/>
          <w:sz w:val="24"/>
        </w:rPr>
      </w:pPr>
    </w:p>
    <w:p w14:paraId="1B29572A" w14:textId="77777777" w:rsidR="007071A9" w:rsidRDefault="007071A9" w:rsidP="007071A9">
      <w:pPr>
        <w:spacing w:before="0" w:after="240"/>
        <w:rPr>
          <w:b/>
          <w:sz w:val="24"/>
        </w:rPr>
      </w:pPr>
    </w:p>
    <w:p w14:paraId="1094A552" w14:textId="15A1EA24" w:rsidR="00AB2A44" w:rsidRPr="007071A9" w:rsidRDefault="00AF69E2" w:rsidP="007071A9">
      <w:pPr>
        <w:spacing w:before="0" w:after="240"/>
        <w:rPr>
          <w:sz w:val="28"/>
          <w:szCs w:val="28"/>
        </w:rPr>
      </w:pPr>
      <w:r w:rsidRPr="007071A9">
        <w:rPr>
          <w:b/>
          <w:sz w:val="28"/>
          <w:szCs w:val="28"/>
        </w:rPr>
        <w:lastRenderedPageBreak/>
        <w:t>Management Response</w:t>
      </w:r>
    </w:p>
    <w:p w14:paraId="7FA029E9" w14:textId="6A350891" w:rsidR="00AF69E2" w:rsidRDefault="00AF69E2" w:rsidP="007071A9">
      <w:pPr>
        <w:spacing w:before="0" w:after="240"/>
        <w:rPr>
          <w:szCs w:val="20"/>
        </w:rPr>
      </w:pPr>
      <w:r>
        <w:rPr>
          <w:szCs w:val="20"/>
        </w:rPr>
        <w:t>The review team provided eight (8) recommendations.  AusAID agrees to seven of them and partially agrees to one recommendation.  AusAID is working with the World Bank to implement the recommendations.</w:t>
      </w:r>
    </w:p>
    <w:p w14:paraId="363D56BB" w14:textId="1C5278B1" w:rsidR="00AF69E2" w:rsidRPr="00C122EB" w:rsidRDefault="007071A9" w:rsidP="007071A9">
      <w:pPr>
        <w:spacing w:before="0" w:after="240"/>
        <w:rPr>
          <w:b/>
          <w:sz w:val="24"/>
          <w:u w:val="single"/>
        </w:rPr>
      </w:pPr>
      <w:r w:rsidRPr="00C122EB">
        <w:rPr>
          <w:b/>
          <w:sz w:val="24"/>
          <w:u w:val="single"/>
        </w:rPr>
        <w:t>Recommendation One</w:t>
      </w:r>
    </w:p>
    <w:p w14:paraId="37BFF421" w14:textId="5D505C61" w:rsidR="007071A9" w:rsidRPr="007071A9" w:rsidRDefault="007071A9" w:rsidP="007071A9">
      <w:pPr>
        <w:spacing w:before="0" w:after="240"/>
        <w:rPr>
          <w:b/>
          <w:szCs w:val="20"/>
          <w:lang w:eastAsia="en-AU"/>
        </w:rPr>
      </w:pPr>
      <w:r w:rsidRPr="007071A9">
        <w:rPr>
          <w:szCs w:val="20"/>
        </w:rPr>
        <w:t>PKPR, along with key stakeholders</w:t>
      </w:r>
      <w:r w:rsidR="000B2D73">
        <w:rPr>
          <w:szCs w:val="20"/>
        </w:rPr>
        <w:t>, should</w:t>
      </w:r>
      <w:r w:rsidRPr="007071A9">
        <w:rPr>
          <w:szCs w:val="20"/>
        </w:rPr>
        <w:t xml:space="preserve"> develop a new results framework using a </w:t>
      </w:r>
      <w:r w:rsidRPr="004F4718">
        <w:rPr>
          <w:i/>
          <w:szCs w:val="20"/>
        </w:rPr>
        <w:t>program theory approach</w:t>
      </w:r>
      <w:r w:rsidR="004F4718" w:rsidRPr="00B01532">
        <w:rPr>
          <w:szCs w:val="20"/>
        </w:rPr>
        <w:t xml:space="preserve">, </w:t>
      </w:r>
      <w:r w:rsidR="004B140E">
        <w:rPr>
          <w:szCs w:val="20"/>
        </w:rPr>
        <w:t>that is,</w:t>
      </w:r>
      <w:r w:rsidR="004F4718" w:rsidRPr="00B01532">
        <w:rPr>
          <w:szCs w:val="20"/>
        </w:rPr>
        <w:t xml:space="preserve"> the explicit theory or model of how the program causes the intended outcomes</w:t>
      </w:r>
      <w:r w:rsidRPr="007071A9">
        <w:rPr>
          <w:szCs w:val="20"/>
        </w:rPr>
        <w:t xml:space="preserve">.  The framework should incorporate attention to the basic elements for monitoring and evaluating capacity development and measuring analytics.  PKPR </w:t>
      </w:r>
      <w:r w:rsidR="000B2D73">
        <w:rPr>
          <w:szCs w:val="20"/>
        </w:rPr>
        <w:t xml:space="preserve">should </w:t>
      </w:r>
      <w:r w:rsidRPr="007071A9">
        <w:rPr>
          <w:szCs w:val="20"/>
        </w:rPr>
        <w:t>engage a monitoring and evaluation specialist with expertise in facilitating framework</w:t>
      </w:r>
      <w:r w:rsidR="00EF2D5B">
        <w:rPr>
          <w:szCs w:val="20"/>
        </w:rPr>
        <w:t>s</w:t>
      </w:r>
      <w:r w:rsidRPr="007071A9">
        <w:rPr>
          <w:szCs w:val="20"/>
        </w:rPr>
        <w:t xml:space="preserve"> using program theory and who is able to provide on-going advice and support</w:t>
      </w:r>
      <w:r w:rsidR="00D143B7">
        <w:rPr>
          <w:szCs w:val="20"/>
        </w:rPr>
        <w:t>.</w:t>
      </w:r>
    </w:p>
    <w:p w14:paraId="5A056722" w14:textId="1DDA1CBA" w:rsidR="007071A9" w:rsidRPr="00C122EB" w:rsidRDefault="007071A9" w:rsidP="007071A9">
      <w:pPr>
        <w:spacing w:before="0" w:after="240"/>
        <w:rPr>
          <w:szCs w:val="20"/>
          <w:lang w:eastAsia="en-AU"/>
        </w:rPr>
      </w:pPr>
      <w:r>
        <w:rPr>
          <w:b/>
          <w:szCs w:val="20"/>
          <w:lang w:eastAsia="en-AU"/>
        </w:rPr>
        <w:t>Response:</w:t>
      </w:r>
      <w:r w:rsidR="00C122EB">
        <w:rPr>
          <w:b/>
          <w:szCs w:val="20"/>
          <w:lang w:eastAsia="en-AU"/>
        </w:rPr>
        <w:t xml:space="preserve">  </w:t>
      </w:r>
      <w:r w:rsidR="00C122EB">
        <w:rPr>
          <w:szCs w:val="20"/>
          <w:lang w:eastAsia="en-AU"/>
        </w:rPr>
        <w:t>AusAID agrees with the recommendation.</w:t>
      </w:r>
    </w:p>
    <w:p w14:paraId="3A45DB33" w14:textId="2CD0E837" w:rsidR="007071A9" w:rsidRPr="00C122EB" w:rsidRDefault="007071A9" w:rsidP="007071A9">
      <w:pPr>
        <w:spacing w:before="0" w:after="240"/>
        <w:rPr>
          <w:szCs w:val="20"/>
          <w:lang w:eastAsia="en-AU"/>
        </w:rPr>
      </w:pPr>
      <w:r>
        <w:rPr>
          <w:b/>
          <w:szCs w:val="20"/>
          <w:lang w:eastAsia="en-AU"/>
        </w:rPr>
        <w:t>Actions:</w:t>
      </w:r>
      <w:r w:rsidR="00C122EB">
        <w:rPr>
          <w:b/>
          <w:szCs w:val="20"/>
          <w:lang w:eastAsia="en-AU"/>
        </w:rPr>
        <w:t xml:space="preserve">  </w:t>
      </w:r>
      <w:r w:rsidR="00C122EB">
        <w:rPr>
          <w:szCs w:val="20"/>
          <w:lang w:eastAsia="en-AU"/>
        </w:rPr>
        <w:t xml:space="preserve">PKPR will mobilise a theory of change specialist in </w:t>
      </w:r>
      <w:r w:rsidR="00B01532">
        <w:rPr>
          <w:szCs w:val="20"/>
          <w:lang w:eastAsia="en-AU"/>
        </w:rPr>
        <w:t>the first half of</w:t>
      </w:r>
      <w:r w:rsidR="00C122EB">
        <w:rPr>
          <w:szCs w:val="20"/>
          <w:lang w:eastAsia="en-AU"/>
        </w:rPr>
        <w:t xml:space="preserve"> 2013 to facilitate the new results framework development</w:t>
      </w:r>
      <w:r w:rsidR="00AB4FC4">
        <w:rPr>
          <w:szCs w:val="20"/>
          <w:lang w:eastAsia="en-AU"/>
        </w:rPr>
        <w:t xml:space="preserve"> </w:t>
      </w:r>
      <w:r w:rsidR="00BF7885">
        <w:rPr>
          <w:szCs w:val="20"/>
          <w:lang w:eastAsia="en-AU"/>
        </w:rPr>
        <w:t xml:space="preserve">that includes </w:t>
      </w:r>
      <w:r w:rsidR="00AB4FC4">
        <w:rPr>
          <w:szCs w:val="20"/>
          <w:lang w:eastAsia="en-AU"/>
        </w:rPr>
        <w:t>a long term focus on capacity building</w:t>
      </w:r>
      <w:r w:rsidR="00C122EB">
        <w:rPr>
          <w:szCs w:val="20"/>
          <w:lang w:eastAsia="en-AU"/>
        </w:rPr>
        <w:t xml:space="preserve">.  PKPR will ensure on-going </w:t>
      </w:r>
      <w:r w:rsidR="000B2D73">
        <w:rPr>
          <w:szCs w:val="20"/>
          <w:lang w:eastAsia="en-AU"/>
        </w:rPr>
        <w:t>monitoring and evaluation</w:t>
      </w:r>
      <w:r w:rsidR="00C122EB">
        <w:rPr>
          <w:szCs w:val="20"/>
          <w:lang w:eastAsia="en-AU"/>
        </w:rPr>
        <w:t xml:space="preserve"> advice and support is available throughout the PKPR implementation.  Current program plans will be adjusted to reflect changes in the framework.</w:t>
      </w:r>
    </w:p>
    <w:p w14:paraId="3310D49C" w14:textId="7E8A9CC5" w:rsidR="007071A9" w:rsidRDefault="00C122EB" w:rsidP="007071A9">
      <w:pPr>
        <w:spacing w:before="0" w:after="240"/>
        <w:rPr>
          <w:sz w:val="24"/>
          <w:lang w:eastAsia="en-AU"/>
        </w:rPr>
      </w:pPr>
      <w:r>
        <w:rPr>
          <w:b/>
          <w:sz w:val="24"/>
          <w:u w:val="single"/>
          <w:lang w:eastAsia="en-AU"/>
        </w:rPr>
        <w:t>Recommendation Two</w:t>
      </w:r>
    </w:p>
    <w:p w14:paraId="26AD373E" w14:textId="70D3F12B" w:rsidR="00C122EB" w:rsidRDefault="00C122EB" w:rsidP="007071A9">
      <w:pPr>
        <w:spacing w:before="0" w:after="240"/>
        <w:rPr>
          <w:szCs w:val="20"/>
        </w:rPr>
      </w:pPr>
      <w:r w:rsidRPr="00C122EB">
        <w:rPr>
          <w:szCs w:val="20"/>
        </w:rPr>
        <w:t xml:space="preserve">PKPR and AusAID </w:t>
      </w:r>
      <w:r w:rsidR="000B2D73">
        <w:rPr>
          <w:szCs w:val="20"/>
        </w:rPr>
        <w:t>should</w:t>
      </w:r>
      <w:r w:rsidR="000B2D73" w:rsidRPr="00C122EB">
        <w:rPr>
          <w:szCs w:val="20"/>
        </w:rPr>
        <w:t xml:space="preserve"> </w:t>
      </w:r>
      <w:r w:rsidRPr="00C122EB">
        <w:rPr>
          <w:szCs w:val="20"/>
        </w:rPr>
        <w:t xml:space="preserve">jointly facilitate a planning process with key stakeholders, to redesign the </w:t>
      </w:r>
      <w:r w:rsidR="005831C3">
        <w:rPr>
          <w:szCs w:val="20"/>
        </w:rPr>
        <w:t>local research institute capacity building</w:t>
      </w:r>
      <w:r w:rsidRPr="00C122EB">
        <w:rPr>
          <w:szCs w:val="20"/>
        </w:rPr>
        <w:t xml:space="preserve"> program so it is more inclusive in nature and programmatically integrated with the Knowledge Sector program.  PKPR should provide a pool of technical experts that </w:t>
      </w:r>
      <w:r w:rsidR="00625E03">
        <w:rPr>
          <w:szCs w:val="20"/>
        </w:rPr>
        <w:t xml:space="preserve">the </w:t>
      </w:r>
      <w:r w:rsidRPr="00C122EB">
        <w:rPr>
          <w:szCs w:val="20"/>
        </w:rPr>
        <w:t>institutes can access for a range of analytical capacity development.  A pool of funds for research grants should remain as part of the program and be administered by the PKPR.</w:t>
      </w:r>
    </w:p>
    <w:p w14:paraId="64CEFFD1" w14:textId="4F36C16E" w:rsidR="00C122EB" w:rsidRDefault="00C122EB" w:rsidP="007071A9">
      <w:pPr>
        <w:spacing w:before="0" w:after="240"/>
        <w:rPr>
          <w:szCs w:val="20"/>
        </w:rPr>
      </w:pPr>
      <w:r>
        <w:rPr>
          <w:b/>
          <w:szCs w:val="20"/>
        </w:rPr>
        <w:t>Response:</w:t>
      </w:r>
      <w:r>
        <w:rPr>
          <w:szCs w:val="20"/>
        </w:rPr>
        <w:t xml:space="preserve">  AusAID partially agrees with the recommendation.  A joint planning process is required to discuss the strategy to strengthen analytical capacities of </w:t>
      </w:r>
      <w:r w:rsidR="007A5262">
        <w:rPr>
          <w:szCs w:val="20"/>
        </w:rPr>
        <w:t>local research institutes</w:t>
      </w:r>
      <w:r>
        <w:rPr>
          <w:szCs w:val="20"/>
        </w:rPr>
        <w:t>.  A</w:t>
      </w:r>
      <w:r w:rsidR="000B2D73">
        <w:rPr>
          <w:szCs w:val="20"/>
        </w:rPr>
        <w:t xml:space="preserve"> full</w:t>
      </w:r>
      <w:r>
        <w:rPr>
          <w:szCs w:val="20"/>
        </w:rPr>
        <w:t xml:space="preserve"> redesign of the </w:t>
      </w:r>
      <w:r w:rsidR="007A5262">
        <w:rPr>
          <w:szCs w:val="20"/>
        </w:rPr>
        <w:t>local research institute capacity building</w:t>
      </w:r>
      <w:r w:rsidR="007A5262" w:rsidRPr="00C122EB">
        <w:rPr>
          <w:szCs w:val="20"/>
        </w:rPr>
        <w:t xml:space="preserve"> </w:t>
      </w:r>
      <w:r>
        <w:rPr>
          <w:szCs w:val="20"/>
        </w:rPr>
        <w:t>program is not required.</w:t>
      </w:r>
    </w:p>
    <w:p w14:paraId="1DA1DD03" w14:textId="662F7F48" w:rsidR="00C122EB" w:rsidRDefault="00C122EB" w:rsidP="007071A9">
      <w:pPr>
        <w:spacing w:before="0" w:after="240"/>
        <w:rPr>
          <w:szCs w:val="20"/>
        </w:rPr>
      </w:pPr>
      <w:r>
        <w:rPr>
          <w:b/>
          <w:szCs w:val="20"/>
        </w:rPr>
        <w:t xml:space="preserve">Actions:  </w:t>
      </w:r>
      <w:r>
        <w:rPr>
          <w:szCs w:val="20"/>
        </w:rPr>
        <w:t xml:space="preserve">A joint planning process will be conducted </w:t>
      </w:r>
      <w:r w:rsidR="00AB4FC4">
        <w:rPr>
          <w:szCs w:val="20"/>
        </w:rPr>
        <w:t>in line with the new results framework (see actions under Recommendation One)</w:t>
      </w:r>
      <w:r>
        <w:rPr>
          <w:szCs w:val="20"/>
        </w:rPr>
        <w:t xml:space="preserve">.  The strategy will consider the distribution of roles between PKPR and the AusAID Knowledge Sector.  For example: Knowledge Sector provides organisational support and core funding for the </w:t>
      </w:r>
      <w:r w:rsidR="007A5262">
        <w:rPr>
          <w:szCs w:val="20"/>
        </w:rPr>
        <w:t xml:space="preserve">local research institutes. </w:t>
      </w:r>
      <w:r>
        <w:rPr>
          <w:szCs w:val="20"/>
        </w:rPr>
        <w:t xml:space="preserve"> PKPR supports a </w:t>
      </w:r>
      <w:r w:rsidR="007A5262">
        <w:rPr>
          <w:szCs w:val="20"/>
        </w:rPr>
        <w:t xml:space="preserve">local research institute </w:t>
      </w:r>
      <w:r w:rsidR="008008CC">
        <w:rPr>
          <w:szCs w:val="20"/>
        </w:rPr>
        <w:t xml:space="preserve">only when it </w:t>
      </w:r>
      <w:r>
        <w:rPr>
          <w:szCs w:val="20"/>
        </w:rPr>
        <w:t>requires analytical c</w:t>
      </w:r>
      <w:r w:rsidR="008008CC">
        <w:rPr>
          <w:szCs w:val="20"/>
        </w:rPr>
        <w:t xml:space="preserve">apacity building.   </w:t>
      </w:r>
    </w:p>
    <w:p w14:paraId="54411F8B" w14:textId="3C354519" w:rsidR="008008CC" w:rsidRDefault="008008CC" w:rsidP="007071A9">
      <w:pPr>
        <w:spacing w:before="0" w:after="240"/>
        <w:rPr>
          <w:b/>
          <w:sz w:val="24"/>
          <w:u w:val="single"/>
        </w:rPr>
      </w:pPr>
      <w:r w:rsidRPr="008008CC">
        <w:rPr>
          <w:b/>
          <w:sz w:val="24"/>
          <w:u w:val="single"/>
        </w:rPr>
        <w:t>Recommendation Three</w:t>
      </w:r>
    </w:p>
    <w:p w14:paraId="07D392A3" w14:textId="013BCA6B" w:rsidR="008008CC" w:rsidRDefault="008008CC" w:rsidP="007071A9">
      <w:pPr>
        <w:spacing w:before="0" w:after="240"/>
        <w:rPr>
          <w:szCs w:val="20"/>
        </w:rPr>
      </w:pPr>
      <w:r w:rsidRPr="008008CC">
        <w:rPr>
          <w:szCs w:val="20"/>
        </w:rPr>
        <w:t xml:space="preserve">PKPR </w:t>
      </w:r>
      <w:r>
        <w:rPr>
          <w:szCs w:val="20"/>
        </w:rPr>
        <w:t xml:space="preserve">is </w:t>
      </w:r>
      <w:r w:rsidRPr="008008CC">
        <w:rPr>
          <w:szCs w:val="20"/>
        </w:rPr>
        <w:t xml:space="preserve">to shift its approach to the development and delivery of </w:t>
      </w:r>
      <w:r w:rsidR="000B2D73">
        <w:rPr>
          <w:szCs w:val="20"/>
        </w:rPr>
        <w:t xml:space="preserve">a </w:t>
      </w:r>
      <w:r w:rsidRPr="008008CC">
        <w:rPr>
          <w:szCs w:val="20"/>
        </w:rPr>
        <w:t>poverty-related curriculum for a future generation of analysts and po</w:t>
      </w:r>
      <w:r>
        <w:rPr>
          <w:szCs w:val="20"/>
        </w:rPr>
        <w:t>l</w:t>
      </w:r>
      <w:r w:rsidRPr="008008CC">
        <w:rPr>
          <w:szCs w:val="20"/>
        </w:rPr>
        <w:t>icymakers to one that is focused on supporting the universities to undertake this work.  PKPR should either fund the universities or embed relevant PKPR staff in the universities.  Include attention to organisational development.</w:t>
      </w:r>
    </w:p>
    <w:p w14:paraId="6580124B" w14:textId="42E182C1" w:rsidR="008008CC" w:rsidRDefault="008008CC" w:rsidP="007071A9">
      <w:pPr>
        <w:spacing w:before="0" w:after="240"/>
        <w:rPr>
          <w:szCs w:val="20"/>
        </w:rPr>
      </w:pPr>
      <w:r>
        <w:rPr>
          <w:b/>
          <w:szCs w:val="20"/>
        </w:rPr>
        <w:t>Response:</w:t>
      </w:r>
      <w:r>
        <w:rPr>
          <w:szCs w:val="20"/>
        </w:rPr>
        <w:t xml:space="preserve">  AusAID agrees </w:t>
      </w:r>
      <w:r w:rsidR="007A5262">
        <w:rPr>
          <w:szCs w:val="20"/>
        </w:rPr>
        <w:t xml:space="preserve">in principle </w:t>
      </w:r>
      <w:r>
        <w:rPr>
          <w:szCs w:val="20"/>
        </w:rPr>
        <w:t>with the recommendation</w:t>
      </w:r>
      <w:r w:rsidR="00684335">
        <w:rPr>
          <w:szCs w:val="20"/>
        </w:rPr>
        <w:t>.</w:t>
      </w:r>
    </w:p>
    <w:p w14:paraId="38343F90" w14:textId="49A0D3B4" w:rsidR="008008CC" w:rsidRDefault="008008CC" w:rsidP="007071A9">
      <w:pPr>
        <w:spacing w:before="0" w:after="240"/>
        <w:rPr>
          <w:szCs w:val="20"/>
        </w:rPr>
      </w:pPr>
      <w:r>
        <w:rPr>
          <w:b/>
          <w:szCs w:val="20"/>
        </w:rPr>
        <w:t>Actions:</w:t>
      </w:r>
      <w:r>
        <w:rPr>
          <w:szCs w:val="20"/>
        </w:rPr>
        <w:t xml:space="preserve">  </w:t>
      </w:r>
      <w:r w:rsidR="000012DA">
        <w:rPr>
          <w:szCs w:val="20"/>
        </w:rPr>
        <w:t>The recommendation will be further considered in the joint planning process, described under actions for Recommendation Two</w:t>
      </w:r>
      <w:r>
        <w:rPr>
          <w:szCs w:val="20"/>
        </w:rPr>
        <w:t>.</w:t>
      </w:r>
      <w:r w:rsidR="000B2D73">
        <w:rPr>
          <w:szCs w:val="20"/>
        </w:rPr>
        <w:t xml:space="preserve">  </w:t>
      </w:r>
      <w:r w:rsidR="00684335">
        <w:rPr>
          <w:szCs w:val="20"/>
        </w:rPr>
        <w:t>Implementation may depend on whether university/ies are able to take up the curriculum or whether this is a longer term objective.</w:t>
      </w:r>
    </w:p>
    <w:p w14:paraId="441FF1F4" w14:textId="5E02BD42" w:rsidR="008008CC" w:rsidRDefault="008008CC" w:rsidP="007071A9">
      <w:pPr>
        <w:spacing w:before="0" w:after="240"/>
        <w:rPr>
          <w:b/>
          <w:sz w:val="24"/>
          <w:u w:val="single"/>
        </w:rPr>
      </w:pPr>
      <w:r w:rsidRPr="008008CC">
        <w:rPr>
          <w:b/>
          <w:sz w:val="24"/>
          <w:u w:val="single"/>
        </w:rPr>
        <w:t>Recommendation Four</w:t>
      </w:r>
    </w:p>
    <w:p w14:paraId="413CA1B7" w14:textId="55CAE24B" w:rsidR="0008055D" w:rsidRDefault="0008055D" w:rsidP="007071A9">
      <w:pPr>
        <w:spacing w:before="0" w:after="240"/>
        <w:rPr>
          <w:szCs w:val="20"/>
        </w:rPr>
      </w:pPr>
      <w:r w:rsidRPr="0008055D">
        <w:rPr>
          <w:szCs w:val="20"/>
        </w:rPr>
        <w:t>A more regular and planned approach</w:t>
      </w:r>
      <w:r>
        <w:rPr>
          <w:szCs w:val="20"/>
        </w:rPr>
        <w:t xml:space="preserve"> is</w:t>
      </w:r>
      <w:r w:rsidRPr="0008055D">
        <w:rPr>
          <w:szCs w:val="20"/>
        </w:rPr>
        <w:t xml:space="preserve"> to be taken to the </w:t>
      </w:r>
      <w:r w:rsidR="003F0B92">
        <w:rPr>
          <w:szCs w:val="20"/>
        </w:rPr>
        <w:t xml:space="preserve">PKPR </w:t>
      </w:r>
      <w:r w:rsidRPr="0008055D">
        <w:rPr>
          <w:szCs w:val="20"/>
        </w:rPr>
        <w:t xml:space="preserve">Joint Management Committee </w:t>
      </w:r>
      <w:r w:rsidR="00AB4FC4">
        <w:rPr>
          <w:szCs w:val="20"/>
        </w:rPr>
        <w:t xml:space="preserve">(JMC) </w:t>
      </w:r>
      <w:r w:rsidRPr="0008055D">
        <w:rPr>
          <w:szCs w:val="20"/>
        </w:rPr>
        <w:t>in order to strengthen program governance and oversight</w:t>
      </w:r>
      <w:r>
        <w:rPr>
          <w:szCs w:val="20"/>
        </w:rPr>
        <w:t>.</w:t>
      </w:r>
    </w:p>
    <w:p w14:paraId="5107E334" w14:textId="7B291302" w:rsidR="0008055D" w:rsidRDefault="0008055D" w:rsidP="007071A9">
      <w:pPr>
        <w:spacing w:before="0" w:after="240"/>
        <w:rPr>
          <w:szCs w:val="20"/>
          <w:lang w:eastAsia="en-AU"/>
        </w:rPr>
      </w:pPr>
      <w:r>
        <w:rPr>
          <w:b/>
          <w:szCs w:val="20"/>
          <w:lang w:eastAsia="en-AU"/>
        </w:rPr>
        <w:t>Response:</w:t>
      </w:r>
      <w:r>
        <w:rPr>
          <w:szCs w:val="20"/>
          <w:lang w:eastAsia="en-AU"/>
        </w:rPr>
        <w:t xml:space="preserve">  AusAID agrees with the recommendation</w:t>
      </w:r>
      <w:r w:rsidR="00684335">
        <w:rPr>
          <w:szCs w:val="20"/>
          <w:lang w:eastAsia="en-AU"/>
        </w:rPr>
        <w:t>.</w:t>
      </w:r>
    </w:p>
    <w:p w14:paraId="1627C5C4" w14:textId="67AB13F6" w:rsidR="005831C3" w:rsidRDefault="0008055D" w:rsidP="002E718D">
      <w:pPr>
        <w:spacing w:before="0" w:after="240"/>
        <w:rPr>
          <w:szCs w:val="20"/>
          <w:lang w:eastAsia="en-AU"/>
        </w:rPr>
      </w:pPr>
      <w:r w:rsidRPr="0008055D">
        <w:rPr>
          <w:b/>
          <w:szCs w:val="20"/>
          <w:lang w:eastAsia="en-AU"/>
        </w:rPr>
        <w:lastRenderedPageBreak/>
        <w:t xml:space="preserve">Actions: </w:t>
      </w:r>
      <w:r w:rsidR="00AB4FC4">
        <w:rPr>
          <w:szCs w:val="20"/>
          <w:lang w:eastAsia="en-AU"/>
        </w:rPr>
        <w:t xml:space="preserve">PKPR will </w:t>
      </w:r>
      <w:r w:rsidR="001333D1">
        <w:rPr>
          <w:szCs w:val="20"/>
          <w:lang w:eastAsia="en-AU"/>
        </w:rPr>
        <w:t xml:space="preserve">improve governance oversight which ensures partners and donors take a more active part in determining the program priorities.  </w:t>
      </w:r>
      <w:r w:rsidR="00625E03">
        <w:rPr>
          <w:szCs w:val="20"/>
          <w:lang w:eastAsia="en-AU"/>
        </w:rPr>
        <w:t>The</w:t>
      </w:r>
      <w:r w:rsidR="002E718D">
        <w:rPr>
          <w:szCs w:val="20"/>
          <w:lang w:eastAsia="en-AU"/>
        </w:rPr>
        <w:t xml:space="preserve"> World Bank and AusAID</w:t>
      </w:r>
      <w:r w:rsidR="00625E03">
        <w:rPr>
          <w:szCs w:val="20"/>
          <w:lang w:eastAsia="en-AU"/>
        </w:rPr>
        <w:t xml:space="preserve"> will now co-chair the JMC together with </w:t>
      </w:r>
      <w:r w:rsidR="002E718D">
        <w:rPr>
          <w:szCs w:val="20"/>
          <w:lang w:eastAsia="en-AU"/>
        </w:rPr>
        <w:t>the National Team for Accelerating Poverty Reduction (TNP2K) and Bappenas.  The JMC meetings will be supplemented by mo</w:t>
      </w:r>
      <w:r w:rsidR="004369E7">
        <w:rPr>
          <w:szCs w:val="20"/>
          <w:lang w:eastAsia="en-AU"/>
        </w:rPr>
        <w:t>re regular operational meetings in which priority areas of support will be identified.  The operational meetings will be attended by more operational-level staff of the JMC co-chairing institutions, and</w:t>
      </w:r>
      <w:r w:rsidR="002E718D">
        <w:rPr>
          <w:szCs w:val="20"/>
          <w:lang w:eastAsia="en-AU"/>
        </w:rPr>
        <w:t xml:space="preserve"> </w:t>
      </w:r>
      <w:r w:rsidR="004369E7">
        <w:rPr>
          <w:szCs w:val="20"/>
          <w:lang w:eastAsia="en-AU"/>
        </w:rPr>
        <w:t>representatives from other ministries/agencies benefitting program activiti</w:t>
      </w:r>
      <w:r w:rsidR="00625E03">
        <w:rPr>
          <w:szCs w:val="20"/>
          <w:lang w:eastAsia="en-AU"/>
        </w:rPr>
        <w:t>es.  PKPR will ensure that work</w:t>
      </w:r>
      <w:r w:rsidR="004369E7">
        <w:rPr>
          <w:szCs w:val="20"/>
          <w:lang w:eastAsia="en-AU"/>
        </w:rPr>
        <w:t>plans submitted for the JMC endorsement are developed based on the priorities nominated by the program stakeholders.</w:t>
      </w:r>
    </w:p>
    <w:p w14:paraId="71110993" w14:textId="3962D9D9" w:rsidR="00FC2D09" w:rsidRDefault="00FC2D09" w:rsidP="00FC2D09">
      <w:pPr>
        <w:spacing w:before="0" w:after="240"/>
        <w:rPr>
          <w:sz w:val="24"/>
        </w:rPr>
      </w:pPr>
      <w:r w:rsidRPr="008008CC">
        <w:rPr>
          <w:b/>
          <w:sz w:val="24"/>
          <w:u w:val="single"/>
        </w:rPr>
        <w:t>Recommendation F</w:t>
      </w:r>
      <w:r>
        <w:rPr>
          <w:b/>
          <w:sz w:val="24"/>
          <w:u w:val="single"/>
        </w:rPr>
        <w:t>ive</w:t>
      </w:r>
    </w:p>
    <w:p w14:paraId="204C364C" w14:textId="12D8600E" w:rsidR="00FC2D09" w:rsidRPr="00BF67B7" w:rsidRDefault="00BF67B7" w:rsidP="00FC2D09">
      <w:pPr>
        <w:spacing w:before="0" w:after="240"/>
        <w:rPr>
          <w:szCs w:val="20"/>
        </w:rPr>
      </w:pPr>
      <w:r w:rsidRPr="00BF67B7">
        <w:rPr>
          <w:szCs w:val="20"/>
        </w:rPr>
        <w:t xml:space="preserve">PKPR </w:t>
      </w:r>
      <w:r>
        <w:rPr>
          <w:szCs w:val="20"/>
        </w:rPr>
        <w:t xml:space="preserve">is to </w:t>
      </w:r>
      <w:r w:rsidRPr="00BF67B7">
        <w:rPr>
          <w:szCs w:val="20"/>
        </w:rPr>
        <w:t>implement a planned and staged strategy to ensure that, over time, all studies and rapid responses analytics are either conducted jointly between PKPR and local institutes or independently by capable local institutes.  The strategy should incorporate technical assistance and mentoring of the partners where joint studies are undertaken.  The focus should be on partnering with institutes not individual researchers.</w:t>
      </w:r>
    </w:p>
    <w:p w14:paraId="593A3B6F" w14:textId="71CB3EDE" w:rsidR="00476480" w:rsidRDefault="00E94C0E" w:rsidP="007071A9">
      <w:pPr>
        <w:spacing w:before="0" w:after="240"/>
        <w:rPr>
          <w:szCs w:val="20"/>
          <w:lang w:eastAsia="en-AU"/>
        </w:rPr>
      </w:pPr>
      <w:r>
        <w:rPr>
          <w:b/>
          <w:szCs w:val="20"/>
          <w:lang w:eastAsia="en-AU"/>
        </w:rPr>
        <w:t>Response:</w:t>
      </w:r>
      <w:r>
        <w:rPr>
          <w:szCs w:val="20"/>
          <w:lang w:eastAsia="en-AU"/>
        </w:rPr>
        <w:t xml:space="preserve">   AusAID agrees with the recommendation</w:t>
      </w:r>
      <w:r w:rsidR="00684335">
        <w:rPr>
          <w:szCs w:val="20"/>
          <w:lang w:eastAsia="en-AU"/>
        </w:rPr>
        <w:t>.</w:t>
      </w:r>
    </w:p>
    <w:p w14:paraId="2820517E" w14:textId="1CF4C9C3" w:rsidR="00E94C0E" w:rsidRDefault="00E94C0E" w:rsidP="007071A9">
      <w:pPr>
        <w:spacing w:before="0" w:after="240"/>
        <w:rPr>
          <w:szCs w:val="20"/>
          <w:lang w:eastAsia="en-AU"/>
        </w:rPr>
      </w:pPr>
      <w:r w:rsidRPr="00E94C0E">
        <w:rPr>
          <w:b/>
          <w:szCs w:val="20"/>
          <w:lang w:eastAsia="en-AU"/>
        </w:rPr>
        <w:t xml:space="preserve">Actions: </w:t>
      </w:r>
      <w:r>
        <w:rPr>
          <w:szCs w:val="20"/>
          <w:lang w:eastAsia="en-AU"/>
        </w:rPr>
        <w:t xml:space="preserve"> PKPR needs to undertake the recommended strategy as a standard operation.  However, AusAID acknowledges that </w:t>
      </w:r>
      <w:r w:rsidR="00684335">
        <w:rPr>
          <w:szCs w:val="20"/>
          <w:lang w:eastAsia="en-AU"/>
        </w:rPr>
        <w:t xml:space="preserve">this </w:t>
      </w:r>
      <w:r>
        <w:rPr>
          <w:szCs w:val="20"/>
          <w:lang w:eastAsia="en-AU"/>
        </w:rPr>
        <w:t xml:space="preserve">strategy </w:t>
      </w:r>
      <w:r w:rsidR="00684335">
        <w:rPr>
          <w:szCs w:val="20"/>
          <w:lang w:eastAsia="en-AU"/>
        </w:rPr>
        <w:t>can</w:t>
      </w:r>
      <w:r>
        <w:rPr>
          <w:szCs w:val="20"/>
          <w:lang w:eastAsia="en-AU"/>
        </w:rPr>
        <w:t>not be implemented in the case of requests for rapid assistance which sometimes demand a turn-around time as short as 24-48 hours.  In such situation</w:t>
      </w:r>
      <w:r w:rsidR="00684335">
        <w:rPr>
          <w:szCs w:val="20"/>
          <w:lang w:eastAsia="en-AU"/>
        </w:rPr>
        <w:t>s</w:t>
      </w:r>
      <w:r>
        <w:rPr>
          <w:szCs w:val="20"/>
          <w:lang w:eastAsia="en-AU"/>
        </w:rPr>
        <w:t xml:space="preserve">, PKPR </w:t>
      </w:r>
      <w:r w:rsidR="00543224">
        <w:rPr>
          <w:szCs w:val="20"/>
          <w:lang w:eastAsia="en-AU"/>
        </w:rPr>
        <w:t xml:space="preserve">will report regularly (through </w:t>
      </w:r>
      <w:r w:rsidR="003E190B">
        <w:rPr>
          <w:szCs w:val="20"/>
          <w:lang w:eastAsia="en-AU"/>
        </w:rPr>
        <w:t xml:space="preserve">semi-annual </w:t>
      </w:r>
      <w:r w:rsidR="00543224">
        <w:rPr>
          <w:szCs w:val="20"/>
          <w:lang w:eastAsia="en-AU"/>
        </w:rPr>
        <w:t xml:space="preserve">progress reporting) to AusAID, and explain the nature of the request and why the work </w:t>
      </w:r>
      <w:r w:rsidR="003E190B">
        <w:rPr>
          <w:szCs w:val="20"/>
          <w:lang w:eastAsia="en-AU"/>
        </w:rPr>
        <w:t>could not</w:t>
      </w:r>
      <w:r w:rsidR="00543224">
        <w:rPr>
          <w:szCs w:val="20"/>
          <w:lang w:eastAsia="en-AU"/>
        </w:rPr>
        <w:t xml:space="preserve"> be conducted jointly with a local institute</w:t>
      </w:r>
      <w:r>
        <w:rPr>
          <w:szCs w:val="20"/>
          <w:lang w:eastAsia="en-AU"/>
        </w:rPr>
        <w:t>.  PKPR needs also to inform AusAID</w:t>
      </w:r>
      <w:r w:rsidR="00684335">
        <w:rPr>
          <w:szCs w:val="20"/>
          <w:lang w:eastAsia="en-AU"/>
        </w:rPr>
        <w:t xml:space="preserve"> on</w:t>
      </w:r>
      <w:r>
        <w:rPr>
          <w:szCs w:val="20"/>
          <w:lang w:eastAsia="en-AU"/>
        </w:rPr>
        <w:t xml:space="preserve"> the kind of rapid responses that may be required by the partner government agencies.</w:t>
      </w:r>
    </w:p>
    <w:p w14:paraId="44FD4667" w14:textId="0921CC20" w:rsidR="00E94C0E" w:rsidRPr="00E94C0E" w:rsidRDefault="00E94C0E" w:rsidP="00E94C0E">
      <w:pPr>
        <w:spacing w:before="0" w:after="240"/>
        <w:rPr>
          <w:sz w:val="24"/>
        </w:rPr>
      </w:pPr>
      <w:r w:rsidRPr="008008CC">
        <w:rPr>
          <w:b/>
          <w:sz w:val="24"/>
          <w:u w:val="single"/>
        </w:rPr>
        <w:t xml:space="preserve">Recommendation </w:t>
      </w:r>
      <w:r>
        <w:rPr>
          <w:b/>
          <w:sz w:val="24"/>
          <w:u w:val="single"/>
        </w:rPr>
        <w:t>Six</w:t>
      </w:r>
    </w:p>
    <w:p w14:paraId="21593F61" w14:textId="1301FBDD" w:rsidR="00E94C0E" w:rsidRDefault="00E94C0E" w:rsidP="007071A9">
      <w:pPr>
        <w:spacing w:before="0" w:after="240"/>
        <w:rPr>
          <w:szCs w:val="20"/>
        </w:rPr>
      </w:pPr>
      <w:r w:rsidRPr="00E94C0E">
        <w:rPr>
          <w:szCs w:val="20"/>
        </w:rPr>
        <w:t xml:space="preserve">The Unit Manager Social Protection Programs, AusAID establish more formal and regular internal processes to ensure </w:t>
      </w:r>
      <w:r w:rsidR="003759AA">
        <w:rPr>
          <w:szCs w:val="20"/>
        </w:rPr>
        <w:t>improved interface of the knowledge sector components of PKPR with the larger AusAID Knowledge Sector program</w:t>
      </w:r>
      <w:r w:rsidRPr="00E94C0E">
        <w:rPr>
          <w:szCs w:val="20"/>
        </w:rPr>
        <w:t>.</w:t>
      </w:r>
    </w:p>
    <w:p w14:paraId="07E33D24" w14:textId="772E1A9A" w:rsidR="00E94C0E" w:rsidRDefault="00E94C0E" w:rsidP="007071A9">
      <w:pPr>
        <w:spacing w:before="0" w:after="240"/>
        <w:rPr>
          <w:szCs w:val="20"/>
        </w:rPr>
      </w:pPr>
      <w:r>
        <w:rPr>
          <w:b/>
          <w:szCs w:val="20"/>
        </w:rPr>
        <w:t>Response:</w:t>
      </w:r>
      <w:r>
        <w:rPr>
          <w:szCs w:val="20"/>
        </w:rPr>
        <w:t xml:space="preserve">  AusAID agrees with the recommendation</w:t>
      </w:r>
      <w:r w:rsidR="00625E03">
        <w:rPr>
          <w:szCs w:val="20"/>
        </w:rPr>
        <w:t>.</w:t>
      </w:r>
    </w:p>
    <w:p w14:paraId="19B2CB02" w14:textId="5F0AE255" w:rsidR="00E94C0E" w:rsidRDefault="00E94C0E" w:rsidP="007071A9">
      <w:pPr>
        <w:spacing w:before="0" w:after="240"/>
        <w:rPr>
          <w:szCs w:val="20"/>
        </w:rPr>
      </w:pPr>
      <w:r w:rsidRPr="00E94C0E">
        <w:rPr>
          <w:b/>
          <w:szCs w:val="20"/>
        </w:rPr>
        <w:t xml:space="preserve">Actions: </w:t>
      </w:r>
      <w:r w:rsidRPr="00E94C0E">
        <w:rPr>
          <w:szCs w:val="20"/>
        </w:rPr>
        <w:t>AusAID will ensure</w:t>
      </w:r>
      <w:r>
        <w:rPr>
          <w:b/>
          <w:szCs w:val="20"/>
        </w:rPr>
        <w:t xml:space="preserve"> </w:t>
      </w:r>
      <w:r>
        <w:rPr>
          <w:szCs w:val="20"/>
        </w:rPr>
        <w:t>that the Knowledge Sector team be invited to the PKPR JMC meetings, as well as to the program stakeholder meetings.</w:t>
      </w:r>
      <w:r w:rsidR="00684335">
        <w:rPr>
          <w:szCs w:val="20"/>
        </w:rPr>
        <w:t xml:space="preserve">  The Social Protection and Knowledge Sector teams will work closely in oversight of the program, and AusAID’s approach will be better coordinated </w:t>
      </w:r>
      <w:r w:rsidR="001E17F6">
        <w:rPr>
          <w:szCs w:val="20"/>
        </w:rPr>
        <w:t>to ensure strategic oversight is maintained across all relevant sector teams.</w:t>
      </w:r>
    </w:p>
    <w:p w14:paraId="460B9EDE" w14:textId="48FC96DD" w:rsidR="00E94C0E" w:rsidRPr="00E94C0E" w:rsidRDefault="00E94C0E" w:rsidP="00E94C0E">
      <w:pPr>
        <w:spacing w:before="0" w:after="240"/>
        <w:rPr>
          <w:sz w:val="24"/>
        </w:rPr>
      </w:pPr>
      <w:r w:rsidRPr="008008CC">
        <w:rPr>
          <w:b/>
          <w:sz w:val="24"/>
          <w:u w:val="single"/>
        </w:rPr>
        <w:t xml:space="preserve">Recommendation </w:t>
      </w:r>
      <w:r>
        <w:rPr>
          <w:b/>
          <w:sz w:val="24"/>
          <w:u w:val="single"/>
        </w:rPr>
        <w:t>Seven</w:t>
      </w:r>
    </w:p>
    <w:p w14:paraId="54B5D994" w14:textId="3F99C03A" w:rsidR="00E94C0E" w:rsidRDefault="00CA1078" w:rsidP="007071A9">
      <w:pPr>
        <w:spacing w:before="0" w:after="240"/>
        <w:rPr>
          <w:szCs w:val="20"/>
        </w:rPr>
      </w:pPr>
      <w:r w:rsidRPr="00CA1078">
        <w:rPr>
          <w:szCs w:val="20"/>
        </w:rPr>
        <w:t>PKPR</w:t>
      </w:r>
      <w:r w:rsidR="001E17F6">
        <w:rPr>
          <w:szCs w:val="20"/>
        </w:rPr>
        <w:t xml:space="preserve"> should</w:t>
      </w:r>
      <w:r w:rsidRPr="00CA1078">
        <w:rPr>
          <w:szCs w:val="20"/>
        </w:rPr>
        <w:t xml:space="preserve"> introduce an approach in which it negotiates agreements with counterpart agencies about how PKPR will support the priorities identified by each agency.  These agreements should identify outputs, outcomes, incremental steps and successes, and how PKPR and the agency will jointly monitor interventions.</w:t>
      </w:r>
    </w:p>
    <w:p w14:paraId="7F5BB110" w14:textId="3EBF6D46" w:rsidR="00CA1078" w:rsidRDefault="00CA1078" w:rsidP="007071A9">
      <w:pPr>
        <w:spacing w:before="0" w:after="240"/>
        <w:rPr>
          <w:szCs w:val="20"/>
        </w:rPr>
      </w:pPr>
      <w:r>
        <w:rPr>
          <w:b/>
          <w:szCs w:val="20"/>
        </w:rPr>
        <w:t>Response:</w:t>
      </w:r>
      <w:r>
        <w:rPr>
          <w:szCs w:val="20"/>
        </w:rPr>
        <w:t xml:space="preserve">  AusAID agrees with the recommendation</w:t>
      </w:r>
      <w:r w:rsidR="00625E03">
        <w:rPr>
          <w:szCs w:val="20"/>
        </w:rPr>
        <w:t>.</w:t>
      </w:r>
    </w:p>
    <w:p w14:paraId="78439478" w14:textId="3C1F1F6B" w:rsidR="00CA1078" w:rsidRDefault="00CA1078" w:rsidP="007071A9">
      <w:pPr>
        <w:spacing w:before="0" w:after="240"/>
        <w:rPr>
          <w:szCs w:val="20"/>
        </w:rPr>
      </w:pPr>
      <w:r w:rsidRPr="00CA1078">
        <w:rPr>
          <w:b/>
          <w:szCs w:val="20"/>
        </w:rPr>
        <w:t xml:space="preserve">Actions: </w:t>
      </w:r>
      <w:r>
        <w:rPr>
          <w:szCs w:val="20"/>
        </w:rPr>
        <w:t xml:space="preserve"> AusAID notes that the ‘agreements’ referred</w:t>
      </w:r>
      <w:r w:rsidR="00BF7885">
        <w:rPr>
          <w:szCs w:val="20"/>
        </w:rPr>
        <w:t xml:space="preserve"> to</w:t>
      </w:r>
      <w:r>
        <w:rPr>
          <w:szCs w:val="20"/>
        </w:rPr>
        <w:t xml:space="preserve"> in the recommendation do not mean PKPR has to set up </w:t>
      </w:r>
      <w:r w:rsidR="00BF7885">
        <w:rPr>
          <w:szCs w:val="20"/>
        </w:rPr>
        <w:t xml:space="preserve">a </w:t>
      </w:r>
      <w:r>
        <w:rPr>
          <w:szCs w:val="20"/>
        </w:rPr>
        <w:t>separate agreement negotiation with eac</w:t>
      </w:r>
      <w:r w:rsidR="0012094B">
        <w:rPr>
          <w:szCs w:val="20"/>
        </w:rPr>
        <w:t xml:space="preserve">h partner government agency.   It will be a standard practice of PKPR </w:t>
      </w:r>
      <w:r w:rsidR="007A5262">
        <w:rPr>
          <w:szCs w:val="20"/>
        </w:rPr>
        <w:t xml:space="preserve">to have a </w:t>
      </w:r>
      <w:r w:rsidR="0012094B">
        <w:rPr>
          <w:szCs w:val="20"/>
        </w:rPr>
        <w:t>more open and rigorous processes in developing workplans that are based on the respective partner government agency’s own priorities and agenda in relation to a specific program.  For example: PKPR will work in synergy with other donors to support the Ministry of Social Affairs in the implementation of PKH program.  PKPR will be accountable to the relevant partner government agency for the implementation of the workplans</w:t>
      </w:r>
      <w:r w:rsidR="007A5262">
        <w:rPr>
          <w:szCs w:val="20"/>
        </w:rPr>
        <w:t>, as well as to AusAID</w:t>
      </w:r>
      <w:r w:rsidR="0012094B">
        <w:rPr>
          <w:szCs w:val="20"/>
        </w:rPr>
        <w:t>.</w:t>
      </w:r>
    </w:p>
    <w:p w14:paraId="2DA4C372" w14:textId="77777777" w:rsidR="00D3011C" w:rsidRDefault="00D3011C" w:rsidP="0012094B">
      <w:pPr>
        <w:spacing w:before="0" w:after="240"/>
        <w:rPr>
          <w:b/>
          <w:sz w:val="24"/>
          <w:u w:val="single"/>
        </w:rPr>
      </w:pPr>
    </w:p>
    <w:p w14:paraId="0E535C61" w14:textId="6E87EF51" w:rsidR="0012094B" w:rsidRPr="0012094B" w:rsidRDefault="0012094B" w:rsidP="0012094B">
      <w:pPr>
        <w:spacing w:before="0" w:after="240"/>
        <w:rPr>
          <w:sz w:val="24"/>
        </w:rPr>
      </w:pPr>
      <w:r w:rsidRPr="008008CC">
        <w:rPr>
          <w:b/>
          <w:sz w:val="24"/>
          <w:u w:val="single"/>
        </w:rPr>
        <w:lastRenderedPageBreak/>
        <w:t xml:space="preserve">Recommendation </w:t>
      </w:r>
      <w:r>
        <w:rPr>
          <w:b/>
          <w:sz w:val="24"/>
          <w:u w:val="single"/>
        </w:rPr>
        <w:t>Eight</w:t>
      </w:r>
    </w:p>
    <w:p w14:paraId="3F4DBB72" w14:textId="102615F5" w:rsidR="0012094B" w:rsidRDefault="0012094B" w:rsidP="007071A9">
      <w:pPr>
        <w:spacing w:before="0" w:after="240"/>
        <w:rPr>
          <w:szCs w:val="20"/>
        </w:rPr>
      </w:pPr>
      <w:r w:rsidRPr="0012094B">
        <w:rPr>
          <w:szCs w:val="20"/>
        </w:rPr>
        <w:t>PKPR develop</w:t>
      </w:r>
      <w:r>
        <w:rPr>
          <w:szCs w:val="20"/>
        </w:rPr>
        <w:t>s</w:t>
      </w:r>
      <w:r w:rsidRPr="0012094B">
        <w:rPr>
          <w:szCs w:val="20"/>
        </w:rPr>
        <w:t xml:space="preserve"> and establish</w:t>
      </w:r>
      <w:r>
        <w:rPr>
          <w:szCs w:val="20"/>
        </w:rPr>
        <w:t>es</w:t>
      </w:r>
      <w:r w:rsidRPr="0012094B">
        <w:rPr>
          <w:szCs w:val="20"/>
        </w:rPr>
        <w:t xml:space="preserve"> a knowledge broker program, taking the lead </w:t>
      </w:r>
      <w:r w:rsidR="007A5262">
        <w:rPr>
          <w:szCs w:val="20"/>
        </w:rPr>
        <w:t>in</w:t>
      </w:r>
      <w:r w:rsidR="007A5262" w:rsidRPr="0012094B">
        <w:rPr>
          <w:szCs w:val="20"/>
        </w:rPr>
        <w:t xml:space="preserve"> </w:t>
      </w:r>
      <w:r w:rsidRPr="0012094B">
        <w:rPr>
          <w:szCs w:val="20"/>
        </w:rPr>
        <w:t>facilitat</w:t>
      </w:r>
      <w:r w:rsidR="007A5262">
        <w:rPr>
          <w:szCs w:val="20"/>
        </w:rPr>
        <w:t>ing</w:t>
      </w:r>
      <w:r w:rsidRPr="0012094B">
        <w:rPr>
          <w:szCs w:val="20"/>
        </w:rPr>
        <w:t xml:space="preserve"> a range of knowledge sharing activities for a wide range of stakeholders including GoI, parliamentarians, local universities and institutes.  The program should be developed jointly with a working group of key stakeholders.</w:t>
      </w:r>
    </w:p>
    <w:p w14:paraId="2690EDEC" w14:textId="1105209E" w:rsidR="000012DA" w:rsidRPr="000012DA" w:rsidRDefault="000012DA" w:rsidP="000012DA">
      <w:pPr>
        <w:spacing w:before="0" w:after="240"/>
        <w:rPr>
          <w:szCs w:val="20"/>
        </w:rPr>
      </w:pPr>
      <w:r>
        <w:rPr>
          <w:b/>
          <w:szCs w:val="20"/>
        </w:rPr>
        <w:t>Response:</w:t>
      </w:r>
      <w:r>
        <w:rPr>
          <w:szCs w:val="20"/>
        </w:rPr>
        <w:t xml:space="preserve">  AusAID agrees with the recommendation</w:t>
      </w:r>
      <w:r w:rsidR="00625E03">
        <w:rPr>
          <w:szCs w:val="20"/>
        </w:rPr>
        <w:t>.</w:t>
      </w:r>
    </w:p>
    <w:p w14:paraId="2784A3E9" w14:textId="434DDEBD" w:rsidR="000012DA" w:rsidRDefault="000012DA" w:rsidP="000012DA">
      <w:pPr>
        <w:spacing w:before="0" w:after="240"/>
        <w:rPr>
          <w:szCs w:val="20"/>
        </w:rPr>
      </w:pPr>
      <w:r>
        <w:rPr>
          <w:b/>
          <w:szCs w:val="20"/>
        </w:rPr>
        <w:t>Actions:</w:t>
      </w:r>
      <w:r>
        <w:rPr>
          <w:szCs w:val="20"/>
        </w:rPr>
        <w:t xml:space="preserve">  PKPR can immediately develop and establish the recommended knowledge broker </w:t>
      </w:r>
      <w:r w:rsidR="001E17F6">
        <w:rPr>
          <w:szCs w:val="20"/>
        </w:rPr>
        <w:t>activities</w:t>
      </w:r>
      <w:r>
        <w:rPr>
          <w:szCs w:val="20"/>
        </w:rPr>
        <w:t xml:space="preserve">. </w:t>
      </w:r>
      <w:r w:rsidR="00642D22">
        <w:rPr>
          <w:szCs w:val="20"/>
        </w:rPr>
        <w:t xml:space="preserve"> The program can be further adjusted once the new results framework is available.</w:t>
      </w:r>
    </w:p>
    <w:p w14:paraId="606CE973" w14:textId="77777777" w:rsidR="000012DA" w:rsidRPr="0012094B" w:rsidRDefault="000012DA" w:rsidP="007071A9">
      <w:pPr>
        <w:spacing w:before="0" w:after="240"/>
        <w:rPr>
          <w:szCs w:val="20"/>
          <w:lang w:eastAsia="en-AU"/>
        </w:rPr>
      </w:pPr>
    </w:p>
    <w:p w14:paraId="0208F77A" w14:textId="0DDFEFA0" w:rsidR="00C30C3F" w:rsidRDefault="00C30C3F" w:rsidP="00C30C3F">
      <w:pPr>
        <w:spacing w:before="0" w:after="240"/>
        <w:rPr>
          <w:sz w:val="28"/>
          <w:szCs w:val="28"/>
        </w:rPr>
      </w:pPr>
      <w:r>
        <w:rPr>
          <w:b/>
          <w:sz w:val="28"/>
          <w:szCs w:val="28"/>
        </w:rPr>
        <w:t>Learning and Dissemination Approach</w:t>
      </w:r>
    </w:p>
    <w:p w14:paraId="62F883BF" w14:textId="7A893A33" w:rsidR="00C30C3F" w:rsidRDefault="00C30C3F" w:rsidP="00C30C3F">
      <w:pPr>
        <w:spacing w:before="0" w:after="240"/>
        <w:rPr>
          <w:b/>
          <w:sz w:val="24"/>
          <w:u w:val="single"/>
        </w:rPr>
      </w:pPr>
      <w:r>
        <w:rPr>
          <w:b/>
          <w:sz w:val="24"/>
          <w:u w:val="single"/>
        </w:rPr>
        <w:t>Target Audiences</w:t>
      </w:r>
    </w:p>
    <w:p w14:paraId="6FD79381" w14:textId="77777777" w:rsidR="000B2DB1" w:rsidRDefault="00C30C3F" w:rsidP="00C30C3F">
      <w:pPr>
        <w:pStyle w:val="ListParagraph"/>
        <w:numPr>
          <w:ilvl w:val="0"/>
          <w:numId w:val="14"/>
        </w:numPr>
        <w:spacing w:before="0" w:after="240"/>
        <w:rPr>
          <w:szCs w:val="20"/>
        </w:rPr>
      </w:pPr>
      <w:r>
        <w:rPr>
          <w:szCs w:val="20"/>
        </w:rPr>
        <w:t xml:space="preserve">Internal AusAID: </w:t>
      </w:r>
    </w:p>
    <w:p w14:paraId="166165EB" w14:textId="1379EC6E" w:rsidR="000B2DB1" w:rsidRDefault="00C30C3F" w:rsidP="000B2DB1">
      <w:pPr>
        <w:pStyle w:val="ListParagraph"/>
        <w:numPr>
          <w:ilvl w:val="1"/>
          <w:numId w:val="14"/>
        </w:numPr>
        <w:spacing w:before="0" w:after="240"/>
        <w:rPr>
          <w:szCs w:val="20"/>
        </w:rPr>
      </w:pPr>
      <w:r>
        <w:rPr>
          <w:szCs w:val="20"/>
        </w:rPr>
        <w:t>Indonesia program Jakarta</w:t>
      </w:r>
      <w:r w:rsidR="000B2DB1">
        <w:rPr>
          <w:szCs w:val="20"/>
        </w:rPr>
        <w:t xml:space="preserve"> Post, including the Knowledge Sector </w:t>
      </w:r>
      <w:r w:rsidR="003759AA">
        <w:rPr>
          <w:szCs w:val="20"/>
        </w:rPr>
        <w:t>and the PNPM team</w:t>
      </w:r>
      <w:r w:rsidR="003F0B92">
        <w:rPr>
          <w:szCs w:val="20"/>
        </w:rPr>
        <w:t>s</w:t>
      </w:r>
    </w:p>
    <w:p w14:paraId="5E0A0255" w14:textId="77777777" w:rsidR="000B2DB1" w:rsidRDefault="000B2DB1" w:rsidP="000B2DB1">
      <w:pPr>
        <w:pStyle w:val="ListParagraph"/>
        <w:numPr>
          <w:ilvl w:val="1"/>
          <w:numId w:val="14"/>
        </w:numPr>
        <w:spacing w:before="0" w:after="240"/>
        <w:rPr>
          <w:szCs w:val="20"/>
        </w:rPr>
      </w:pPr>
      <w:r>
        <w:rPr>
          <w:szCs w:val="20"/>
        </w:rPr>
        <w:t>Indonesia desk in Canberra</w:t>
      </w:r>
    </w:p>
    <w:p w14:paraId="7D8AAB90" w14:textId="41086540" w:rsidR="00C30C3F" w:rsidRDefault="00C30C3F" w:rsidP="000B2DB1">
      <w:pPr>
        <w:pStyle w:val="ListParagraph"/>
        <w:numPr>
          <w:ilvl w:val="1"/>
          <w:numId w:val="14"/>
        </w:numPr>
        <w:spacing w:before="0" w:after="240"/>
        <w:rPr>
          <w:szCs w:val="20"/>
        </w:rPr>
      </w:pPr>
      <w:r>
        <w:rPr>
          <w:szCs w:val="20"/>
        </w:rPr>
        <w:t>AusAID Canberra Social Protection Policy</w:t>
      </w:r>
    </w:p>
    <w:p w14:paraId="505F961C" w14:textId="70F8DB4C" w:rsidR="00C30C3F" w:rsidRDefault="00C30C3F" w:rsidP="00C30C3F">
      <w:pPr>
        <w:pStyle w:val="ListParagraph"/>
        <w:numPr>
          <w:ilvl w:val="0"/>
          <w:numId w:val="14"/>
        </w:numPr>
        <w:spacing w:before="0" w:after="240"/>
        <w:rPr>
          <w:szCs w:val="20"/>
        </w:rPr>
      </w:pPr>
      <w:r>
        <w:rPr>
          <w:szCs w:val="20"/>
        </w:rPr>
        <w:t xml:space="preserve">Relevant Indonesian Government Agencies: </w:t>
      </w:r>
    </w:p>
    <w:p w14:paraId="1814CC93" w14:textId="60F2C828" w:rsidR="00C30C3F" w:rsidRDefault="00C30C3F" w:rsidP="00C30C3F">
      <w:pPr>
        <w:pStyle w:val="ListParagraph"/>
        <w:numPr>
          <w:ilvl w:val="1"/>
          <w:numId w:val="14"/>
        </w:numPr>
        <w:spacing w:before="0" w:after="240"/>
        <w:rPr>
          <w:szCs w:val="20"/>
        </w:rPr>
      </w:pPr>
      <w:r>
        <w:rPr>
          <w:szCs w:val="20"/>
        </w:rPr>
        <w:t>National Team for Accelerating Poverty Reduction (TNP2K)</w:t>
      </w:r>
    </w:p>
    <w:p w14:paraId="1601DFC8" w14:textId="53E8500D" w:rsidR="00C30C3F" w:rsidRDefault="00C30C3F" w:rsidP="00C30C3F">
      <w:pPr>
        <w:pStyle w:val="ListParagraph"/>
        <w:numPr>
          <w:ilvl w:val="1"/>
          <w:numId w:val="14"/>
        </w:numPr>
        <w:spacing w:before="0" w:after="240"/>
        <w:rPr>
          <w:szCs w:val="20"/>
        </w:rPr>
      </w:pPr>
      <w:r>
        <w:rPr>
          <w:szCs w:val="20"/>
        </w:rPr>
        <w:t>National Agency for Development Planning (BAPPENAS)</w:t>
      </w:r>
    </w:p>
    <w:p w14:paraId="5CF591D4" w14:textId="1D66CBC2" w:rsidR="00C30C3F" w:rsidRDefault="00C30C3F" w:rsidP="00C30C3F">
      <w:pPr>
        <w:pStyle w:val="ListParagraph"/>
        <w:numPr>
          <w:ilvl w:val="1"/>
          <w:numId w:val="14"/>
        </w:numPr>
        <w:spacing w:before="0" w:after="240"/>
        <w:rPr>
          <w:szCs w:val="20"/>
        </w:rPr>
      </w:pPr>
      <w:r>
        <w:rPr>
          <w:szCs w:val="20"/>
        </w:rPr>
        <w:t>National Statistics Agency (BP</w:t>
      </w:r>
      <w:r w:rsidR="001E17F6">
        <w:rPr>
          <w:szCs w:val="20"/>
        </w:rPr>
        <w:t>S</w:t>
      </w:r>
      <w:r>
        <w:rPr>
          <w:szCs w:val="20"/>
        </w:rPr>
        <w:t>)</w:t>
      </w:r>
    </w:p>
    <w:p w14:paraId="1253DAFE" w14:textId="7B8E7627" w:rsidR="00C30C3F" w:rsidRDefault="00C30C3F" w:rsidP="00C30C3F">
      <w:pPr>
        <w:pStyle w:val="ListParagraph"/>
        <w:numPr>
          <w:ilvl w:val="1"/>
          <w:numId w:val="14"/>
        </w:numPr>
        <w:spacing w:before="0" w:after="240"/>
        <w:rPr>
          <w:szCs w:val="20"/>
        </w:rPr>
      </w:pPr>
      <w:r>
        <w:rPr>
          <w:szCs w:val="20"/>
        </w:rPr>
        <w:t>Ministry of Finance (MOF)</w:t>
      </w:r>
    </w:p>
    <w:p w14:paraId="737D9CF8" w14:textId="77777777" w:rsidR="000B2DB1" w:rsidRDefault="000B2DB1" w:rsidP="00C30C3F">
      <w:pPr>
        <w:pStyle w:val="ListParagraph"/>
        <w:numPr>
          <w:ilvl w:val="0"/>
          <w:numId w:val="14"/>
        </w:numPr>
        <w:spacing w:before="0" w:after="240"/>
        <w:rPr>
          <w:szCs w:val="20"/>
        </w:rPr>
      </w:pPr>
      <w:r>
        <w:rPr>
          <w:szCs w:val="20"/>
        </w:rPr>
        <w:t>Implementing partner</w:t>
      </w:r>
      <w:r w:rsidR="00C30C3F">
        <w:rPr>
          <w:szCs w:val="20"/>
        </w:rPr>
        <w:t xml:space="preserve">: </w:t>
      </w:r>
    </w:p>
    <w:p w14:paraId="2357A597" w14:textId="34FBBD1F" w:rsidR="00C30C3F" w:rsidRDefault="00C30C3F" w:rsidP="000B2DB1">
      <w:pPr>
        <w:pStyle w:val="ListParagraph"/>
        <w:numPr>
          <w:ilvl w:val="1"/>
          <w:numId w:val="14"/>
        </w:numPr>
        <w:spacing w:before="0" w:after="240"/>
        <w:rPr>
          <w:szCs w:val="20"/>
        </w:rPr>
      </w:pPr>
      <w:r>
        <w:rPr>
          <w:szCs w:val="20"/>
        </w:rPr>
        <w:t>the Poverty Reduction Team, Poverty Reduction and Economic Management Unit, World Bank Jakarta</w:t>
      </w:r>
    </w:p>
    <w:p w14:paraId="051A26E7" w14:textId="57531D12" w:rsidR="00C30C3F" w:rsidRPr="00C30C3F" w:rsidRDefault="00C30C3F" w:rsidP="00C30C3F">
      <w:pPr>
        <w:spacing w:before="0" w:after="240"/>
        <w:rPr>
          <w:b/>
          <w:sz w:val="24"/>
          <w:u w:val="single"/>
        </w:rPr>
      </w:pPr>
      <w:r w:rsidRPr="00C30C3F">
        <w:rPr>
          <w:b/>
          <w:sz w:val="24"/>
          <w:u w:val="single"/>
        </w:rPr>
        <w:t>Dissemination Approach</w:t>
      </w:r>
    </w:p>
    <w:p w14:paraId="545D085F" w14:textId="4221A827" w:rsidR="00C30C3F" w:rsidRDefault="00C30C3F" w:rsidP="00C30C3F">
      <w:pPr>
        <w:spacing w:before="0" w:after="240"/>
        <w:rPr>
          <w:szCs w:val="20"/>
        </w:rPr>
      </w:pPr>
      <w:r>
        <w:rPr>
          <w:szCs w:val="20"/>
        </w:rPr>
        <w:t xml:space="preserve">The IPR and Management Response will be publicly accessible through </w:t>
      </w:r>
      <w:r w:rsidR="007A5262">
        <w:rPr>
          <w:szCs w:val="20"/>
        </w:rPr>
        <w:t xml:space="preserve">the </w:t>
      </w:r>
      <w:r>
        <w:rPr>
          <w:szCs w:val="20"/>
        </w:rPr>
        <w:t>AusAID website.</w:t>
      </w:r>
    </w:p>
    <w:p w14:paraId="31550A4A" w14:textId="5FB9C2ED" w:rsidR="00C30C3F" w:rsidRDefault="00C30C3F" w:rsidP="00C30C3F">
      <w:pPr>
        <w:spacing w:before="0" w:after="240"/>
        <w:rPr>
          <w:szCs w:val="20"/>
        </w:rPr>
      </w:pPr>
      <w:r>
        <w:rPr>
          <w:szCs w:val="20"/>
        </w:rPr>
        <w:t xml:space="preserve">The draft report </w:t>
      </w:r>
      <w:r w:rsidR="000B2DB1">
        <w:rPr>
          <w:szCs w:val="20"/>
        </w:rPr>
        <w:t>was distributed to AusAID social protection and knowledge sector teams, and also to the World Bank as the program implementing partner for comments.</w:t>
      </w:r>
    </w:p>
    <w:p w14:paraId="375D48A5" w14:textId="346D4651" w:rsidR="000B2DB1" w:rsidRDefault="000B2DB1" w:rsidP="00C30C3F">
      <w:pPr>
        <w:spacing w:before="0" w:after="240"/>
        <w:rPr>
          <w:szCs w:val="20"/>
        </w:rPr>
      </w:pPr>
      <w:r>
        <w:rPr>
          <w:szCs w:val="20"/>
        </w:rPr>
        <w:t>The final IPR report will be shared with relevant Indonesian government agencies as identified in the distribution list.</w:t>
      </w:r>
    </w:p>
    <w:p w14:paraId="7477D683" w14:textId="5F2F6C76" w:rsidR="000B2DB1" w:rsidRPr="000B2DB1" w:rsidRDefault="000B2DB1" w:rsidP="00C30C3F">
      <w:pPr>
        <w:spacing w:before="0" w:after="240"/>
        <w:rPr>
          <w:b/>
          <w:sz w:val="24"/>
          <w:u w:val="single"/>
        </w:rPr>
      </w:pPr>
      <w:r w:rsidRPr="000B2DB1">
        <w:rPr>
          <w:b/>
          <w:sz w:val="24"/>
          <w:u w:val="single"/>
        </w:rPr>
        <w:t>Learning and Dissemination Actions</w:t>
      </w:r>
    </w:p>
    <w:p w14:paraId="77A21768" w14:textId="6A44F1C8" w:rsidR="00C30C3F" w:rsidRDefault="00A41A3B" w:rsidP="00A41A3B">
      <w:pPr>
        <w:pStyle w:val="ListParagraph"/>
        <w:numPr>
          <w:ilvl w:val="0"/>
          <w:numId w:val="15"/>
        </w:numPr>
        <w:spacing w:before="0" w:after="240"/>
        <w:rPr>
          <w:szCs w:val="20"/>
        </w:rPr>
      </w:pPr>
      <w:r>
        <w:rPr>
          <w:szCs w:val="20"/>
        </w:rPr>
        <w:t xml:space="preserve">Public release: </w:t>
      </w:r>
    </w:p>
    <w:p w14:paraId="58B9C845" w14:textId="65554851" w:rsidR="00A41A3B" w:rsidRDefault="00A41A3B" w:rsidP="00A41A3B">
      <w:pPr>
        <w:pStyle w:val="ListParagraph"/>
        <w:numPr>
          <w:ilvl w:val="1"/>
          <w:numId w:val="15"/>
        </w:numPr>
        <w:spacing w:before="0" w:after="240"/>
        <w:rPr>
          <w:szCs w:val="20"/>
        </w:rPr>
      </w:pPr>
      <w:r>
        <w:rPr>
          <w:szCs w:val="20"/>
        </w:rPr>
        <w:t xml:space="preserve">The PKPR IPR </w:t>
      </w:r>
      <w:r w:rsidR="0045430E">
        <w:rPr>
          <w:szCs w:val="20"/>
        </w:rPr>
        <w:t>will be available and ready for public release via AusAID internet in April 2013</w:t>
      </w:r>
      <w:r>
        <w:rPr>
          <w:szCs w:val="20"/>
        </w:rPr>
        <w:t>.  This will be shared with key Indonesian Government partners.</w:t>
      </w:r>
    </w:p>
    <w:p w14:paraId="212ABB87" w14:textId="77777777" w:rsidR="00A41A3B" w:rsidRPr="00A41A3B" w:rsidRDefault="00A41A3B" w:rsidP="00A41A3B">
      <w:pPr>
        <w:pStyle w:val="ListParagraph"/>
        <w:spacing w:before="0" w:after="240"/>
        <w:ind w:left="1440"/>
        <w:rPr>
          <w:szCs w:val="20"/>
        </w:rPr>
      </w:pPr>
    </w:p>
    <w:p w14:paraId="1DCCA447" w14:textId="4286ED5B" w:rsidR="00A41A3B" w:rsidRDefault="00A41A3B" w:rsidP="00A41A3B">
      <w:pPr>
        <w:spacing w:before="0" w:after="240"/>
        <w:rPr>
          <w:sz w:val="24"/>
        </w:rPr>
      </w:pPr>
      <w:r>
        <w:rPr>
          <w:b/>
          <w:sz w:val="24"/>
          <w:u w:val="single"/>
        </w:rPr>
        <w:t>Distribution List</w:t>
      </w:r>
    </w:p>
    <w:tbl>
      <w:tblPr>
        <w:tblStyle w:val="TableGrid"/>
        <w:tblW w:w="0" w:type="auto"/>
        <w:tblLook w:val="04A0" w:firstRow="1" w:lastRow="0" w:firstColumn="1" w:lastColumn="0" w:noHBand="0" w:noVBand="1"/>
      </w:tblPr>
      <w:tblGrid>
        <w:gridCol w:w="3251"/>
        <w:gridCol w:w="3251"/>
        <w:gridCol w:w="3250"/>
      </w:tblGrid>
      <w:tr w:rsidR="00A41A3B" w14:paraId="3085134F" w14:textId="77777777" w:rsidTr="00A41A3B">
        <w:trPr>
          <w:cnfStyle w:val="100000000000" w:firstRow="1" w:lastRow="0" w:firstColumn="0" w:lastColumn="0" w:oddVBand="0" w:evenVBand="0" w:oddHBand="0" w:evenHBand="0" w:firstRowFirstColumn="0" w:firstRowLastColumn="0" w:lastRowFirstColumn="0" w:lastRowLastColumn="0"/>
        </w:trPr>
        <w:tc>
          <w:tcPr>
            <w:tcW w:w="3284" w:type="dxa"/>
          </w:tcPr>
          <w:p w14:paraId="47EB9150" w14:textId="4ED8C866" w:rsidR="00A41A3B" w:rsidRPr="005054F5" w:rsidRDefault="00A41A3B" w:rsidP="00A41A3B">
            <w:pPr>
              <w:spacing w:before="0" w:after="240"/>
              <w:rPr>
                <w:sz w:val="20"/>
                <w:szCs w:val="20"/>
              </w:rPr>
            </w:pPr>
            <w:r w:rsidRPr="005054F5">
              <w:rPr>
                <w:sz w:val="20"/>
                <w:szCs w:val="20"/>
              </w:rPr>
              <w:t>Stakeholders</w:t>
            </w:r>
          </w:p>
        </w:tc>
        <w:tc>
          <w:tcPr>
            <w:tcW w:w="3285" w:type="dxa"/>
          </w:tcPr>
          <w:p w14:paraId="333281CE" w14:textId="6D8CCE90" w:rsidR="00A41A3B" w:rsidRPr="005054F5" w:rsidRDefault="00A41A3B" w:rsidP="00A41A3B">
            <w:pPr>
              <w:spacing w:before="0" w:after="240"/>
              <w:rPr>
                <w:sz w:val="20"/>
                <w:szCs w:val="20"/>
              </w:rPr>
            </w:pPr>
            <w:r w:rsidRPr="005054F5">
              <w:rPr>
                <w:sz w:val="20"/>
                <w:szCs w:val="20"/>
              </w:rPr>
              <w:t>Management Response Included</w:t>
            </w:r>
          </w:p>
        </w:tc>
        <w:tc>
          <w:tcPr>
            <w:tcW w:w="3285" w:type="dxa"/>
          </w:tcPr>
          <w:p w14:paraId="33AA8A36" w14:textId="4DDD5E87" w:rsidR="00A41A3B" w:rsidRPr="005054F5" w:rsidRDefault="00A41A3B" w:rsidP="00A41A3B">
            <w:pPr>
              <w:spacing w:before="0" w:after="240"/>
              <w:rPr>
                <w:sz w:val="20"/>
                <w:szCs w:val="20"/>
              </w:rPr>
            </w:pPr>
            <w:r w:rsidRPr="005054F5">
              <w:rPr>
                <w:sz w:val="20"/>
                <w:szCs w:val="20"/>
              </w:rPr>
              <w:t>Distribution Method</w:t>
            </w:r>
          </w:p>
        </w:tc>
      </w:tr>
      <w:tr w:rsidR="00A41A3B" w14:paraId="5BAE7559" w14:textId="77777777" w:rsidTr="00A41A3B">
        <w:tc>
          <w:tcPr>
            <w:tcW w:w="3284" w:type="dxa"/>
          </w:tcPr>
          <w:p w14:paraId="7C42816E" w14:textId="3DFF878C" w:rsidR="00A41A3B" w:rsidRPr="005054F5" w:rsidRDefault="00A41A3B" w:rsidP="00A41A3B">
            <w:pPr>
              <w:spacing w:before="0" w:after="240"/>
              <w:rPr>
                <w:sz w:val="20"/>
                <w:szCs w:val="20"/>
              </w:rPr>
            </w:pPr>
            <w:r w:rsidRPr="005054F5">
              <w:rPr>
                <w:sz w:val="20"/>
                <w:szCs w:val="20"/>
              </w:rPr>
              <w:t>Internal AusAID</w:t>
            </w:r>
          </w:p>
        </w:tc>
        <w:tc>
          <w:tcPr>
            <w:tcW w:w="3285" w:type="dxa"/>
          </w:tcPr>
          <w:p w14:paraId="1E6C60F5" w14:textId="0EFFD955" w:rsidR="00A41A3B" w:rsidRPr="005054F5" w:rsidRDefault="00A41A3B" w:rsidP="00A41A3B">
            <w:pPr>
              <w:spacing w:before="0" w:after="240"/>
              <w:rPr>
                <w:sz w:val="20"/>
                <w:szCs w:val="20"/>
              </w:rPr>
            </w:pPr>
            <w:r w:rsidRPr="005054F5">
              <w:rPr>
                <w:sz w:val="20"/>
                <w:szCs w:val="20"/>
              </w:rPr>
              <w:t>Yes</w:t>
            </w:r>
          </w:p>
        </w:tc>
        <w:tc>
          <w:tcPr>
            <w:tcW w:w="3285" w:type="dxa"/>
          </w:tcPr>
          <w:p w14:paraId="3ED0648E" w14:textId="084152B2" w:rsidR="00A41A3B" w:rsidRPr="005054F5" w:rsidRDefault="00A41A3B" w:rsidP="00A41A3B">
            <w:pPr>
              <w:spacing w:before="0" w:after="240"/>
              <w:rPr>
                <w:sz w:val="20"/>
                <w:szCs w:val="20"/>
              </w:rPr>
            </w:pPr>
            <w:r w:rsidRPr="005054F5">
              <w:rPr>
                <w:sz w:val="20"/>
                <w:szCs w:val="20"/>
              </w:rPr>
              <w:t>Soft copy</w:t>
            </w:r>
          </w:p>
        </w:tc>
      </w:tr>
      <w:tr w:rsidR="00A41A3B" w14:paraId="1D182F2F" w14:textId="77777777" w:rsidTr="00A41A3B">
        <w:tc>
          <w:tcPr>
            <w:tcW w:w="3284" w:type="dxa"/>
          </w:tcPr>
          <w:p w14:paraId="1D3B4AAD" w14:textId="43D6F2AB" w:rsidR="00A41A3B" w:rsidRPr="005054F5" w:rsidRDefault="00A41A3B" w:rsidP="00A41A3B">
            <w:pPr>
              <w:spacing w:before="0" w:after="240"/>
              <w:rPr>
                <w:sz w:val="20"/>
                <w:szCs w:val="20"/>
              </w:rPr>
            </w:pPr>
            <w:r w:rsidRPr="005054F5">
              <w:rPr>
                <w:sz w:val="20"/>
                <w:szCs w:val="20"/>
              </w:rPr>
              <w:t>Indonesian Government Partners</w:t>
            </w:r>
          </w:p>
        </w:tc>
        <w:tc>
          <w:tcPr>
            <w:tcW w:w="3285" w:type="dxa"/>
          </w:tcPr>
          <w:p w14:paraId="06AC839A" w14:textId="282866BC" w:rsidR="00A41A3B" w:rsidRPr="005054F5" w:rsidRDefault="00A41A3B" w:rsidP="00A41A3B">
            <w:pPr>
              <w:spacing w:before="0" w:after="240"/>
              <w:rPr>
                <w:sz w:val="20"/>
                <w:szCs w:val="20"/>
              </w:rPr>
            </w:pPr>
            <w:r w:rsidRPr="005054F5">
              <w:rPr>
                <w:sz w:val="20"/>
                <w:szCs w:val="20"/>
              </w:rPr>
              <w:t>Yes</w:t>
            </w:r>
          </w:p>
        </w:tc>
        <w:tc>
          <w:tcPr>
            <w:tcW w:w="3285" w:type="dxa"/>
          </w:tcPr>
          <w:p w14:paraId="234159A1" w14:textId="30FA0141" w:rsidR="00A41A3B" w:rsidRPr="005054F5" w:rsidRDefault="00A41A3B" w:rsidP="00A41A3B">
            <w:pPr>
              <w:spacing w:before="0" w:after="240"/>
              <w:rPr>
                <w:sz w:val="20"/>
                <w:szCs w:val="20"/>
              </w:rPr>
            </w:pPr>
            <w:r w:rsidRPr="005054F5">
              <w:rPr>
                <w:sz w:val="20"/>
                <w:szCs w:val="20"/>
              </w:rPr>
              <w:t>Hard and soft copies</w:t>
            </w:r>
          </w:p>
        </w:tc>
      </w:tr>
      <w:tr w:rsidR="00A41A3B" w14:paraId="484096E7" w14:textId="77777777" w:rsidTr="00A41A3B">
        <w:tc>
          <w:tcPr>
            <w:tcW w:w="3284" w:type="dxa"/>
          </w:tcPr>
          <w:p w14:paraId="1224EA4B" w14:textId="70EA07AA" w:rsidR="00A41A3B" w:rsidRPr="005054F5" w:rsidRDefault="00A41A3B" w:rsidP="00A41A3B">
            <w:pPr>
              <w:spacing w:before="0" w:after="240"/>
              <w:rPr>
                <w:sz w:val="20"/>
                <w:szCs w:val="20"/>
              </w:rPr>
            </w:pPr>
            <w:r w:rsidRPr="005054F5">
              <w:rPr>
                <w:sz w:val="20"/>
                <w:szCs w:val="20"/>
              </w:rPr>
              <w:lastRenderedPageBreak/>
              <w:t>The World Bank</w:t>
            </w:r>
          </w:p>
        </w:tc>
        <w:tc>
          <w:tcPr>
            <w:tcW w:w="3285" w:type="dxa"/>
          </w:tcPr>
          <w:p w14:paraId="2D3CE948" w14:textId="5D34E63D" w:rsidR="00A41A3B" w:rsidRPr="005054F5" w:rsidRDefault="00A41A3B" w:rsidP="00A41A3B">
            <w:pPr>
              <w:spacing w:before="0" w:after="240"/>
              <w:rPr>
                <w:sz w:val="20"/>
                <w:szCs w:val="20"/>
              </w:rPr>
            </w:pPr>
            <w:r w:rsidRPr="005054F5">
              <w:rPr>
                <w:sz w:val="20"/>
                <w:szCs w:val="20"/>
              </w:rPr>
              <w:t>Yes</w:t>
            </w:r>
          </w:p>
        </w:tc>
        <w:tc>
          <w:tcPr>
            <w:tcW w:w="3285" w:type="dxa"/>
          </w:tcPr>
          <w:p w14:paraId="14CE452D" w14:textId="51719823" w:rsidR="00A41A3B" w:rsidRPr="005054F5" w:rsidRDefault="00A41A3B" w:rsidP="00A41A3B">
            <w:pPr>
              <w:spacing w:before="0" w:after="240"/>
              <w:rPr>
                <w:sz w:val="20"/>
                <w:szCs w:val="20"/>
              </w:rPr>
            </w:pPr>
            <w:r w:rsidRPr="005054F5">
              <w:rPr>
                <w:sz w:val="20"/>
                <w:szCs w:val="20"/>
              </w:rPr>
              <w:t>Soft copy</w:t>
            </w:r>
          </w:p>
        </w:tc>
      </w:tr>
      <w:tr w:rsidR="00A41A3B" w14:paraId="126016F4" w14:textId="77777777" w:rsidTr="00A41A3B">
        <w:tc>
          <w:tcPr>
            <w:tcW w:w="3284" w:type="dxa"/>
          </w:tcPr>
          <w:p w14:paraId="7F23E479" w14:textId="0B5D3BAD" w:rsidR="00A41A3B" w:rsidRPr="005054F5" w:rsidRDefault="00A41A3B" w:rsidP="00A41A3B">
            <w:pPr>
              <w:spacing w:before="0" w:after="240"/>
              <w:rPr>
                <w:sz w:val="20"/>
                <w:szCs w:val="20"/>
              </w:rPr>
            </w:pPr>
            <w:r w:rsidRPr="005054F5">
              <w:rPr>
                <w:sz w:val="20"/>
                <w:szCs w:val="20"/>
              </w:rPr>
              <w:t>Australian Public</w:t>
            </w:r>
          </w:p>
        </w:tc>
        <w:tc>
          <w:tcPr>
            <w:tcW w:w="3285" w:type="dxa"/>
          </w:tcPr>
          <w:p w14:paraId="1F00E7DA" w14:textId="12C72132" w:rsidR="00A41A3B" w:rsidRPr="005054F5" w:rsidRDefault="00A41A3B" w:rsidP="00A41A3B">
            <w:pPr>
              <w:spacing w:before="0" w:after="240"/>
              <w:rPr>
                <w:sz w:val="20"/>
                <w:szCs w:val="20"/>
              </w:rPr>
            </w:pPr>
            <w:r w:rsidRPr="005054F5">
              <w:rPr>
                <w:sz w:val="20"/>
                <w:szCs w:val="20"/>
              </w:rPr>
              <w:t>Yes</w:t>
            </w:r>
          </w:p>
        </w:tc>
        <w:tc>
          <w:tcPr>
            <w:tcW w:w="3285" w:type="dxa"/>
          </w:tcPr>
          <w:p w14:paraId="00CB4D46" w14:textId="100B189F" w:rsidR="00A41A3B" w:rsidRPr="005054F5" w:rsidRDefault="005054F5" w:rsidP="00A41A3B">
            <w:pPr>
              <w:spacing w:before="0" w:after="240"/>
              <w:rPr>
                <w:sz w:val="20"/>
                <w:szCs w:val="20"/>
              </w:rPr>
            </w:pPr>
            <w:r w:rsidRPr="005054F5">
              <w:rPr>
                <w:sz w:val="20"/>
                <w:szCs w:val="20"/>
              </w:rPr>
              <w:t>Uploaded onto AusAID website</w:t>
            </w:r>
          </w:p>
        </w:tc>
      </w:tr>
    </w:tbl>
    <w:p w14:paraId="4D4C98BF" w14:textId="77777777" w:rsidR="00A41A3B" w:rsidRDefault="00A41A3B" w:rsidP="00A41A3B">
      <w:pPr>
        <w:spacing w:before="0" w:after="240"/>
        <w:rPr>
          <w:sz w:val="24"/>
        </w:rPr>
      </w:pPr>
    </w:p>
    <w:p w14:paraId="4451244A" w14:textId="77777777" w:rsidR="005054F5" w:rsidRDefault="005054F5" w:rsidP="005054F5">
      <w:pPr>
        <w:spacing w:before="0" w:after="240"/>
        <w:rPr>
          <w:sz w:val="24"/>
        </w:rPr>
      </w:pPr>
      <w:r>
        <w:rPr>
          <w:b/>
          <w:sz w:val="24"/>
          <w:u w:val="single"/>
        </w:rPr>
        <w:t>Distribution List</w:t>
      </w:r>
    </w:p>
    <w:tbl>
      <w:tblPr>
        <w:tblStyle w:val="TableGrid"/>
        <w:tblW w:w="0" w:type="auto"/>
        <w:tblLook w:val="04A0" w:firstRow="1" w:lastRow="0" w:firstColumn="1" w:lastColumn="0" w:noHBand="0" w:noVBand="1"/>
      </w:tblPr>
      <w:tblGrid>
        <w:gridCol w:w="2437"/>
        <w:gridCol w:w="2439"/>
        <w:gridCol w:w="2433"/>
        <w:gridCol w:w="2443"/>
      </w:tblGrid>
      <w:tr w:rsidR="00FB5D29" w14:paraId="7F12D027" w14:textId="77777777" w:rsidTr="000D15FD">
        <w:trPr>
          <w:cnfStyle w:val="100000000000" w:firstRow="1" w:lastRow="0" w:firstColumn="0" w:lastColumn="0" w:oddVBand="0" w:evenVBand="0" w:oddHBand="0" w:evenHBand="0" w:firstRowFirstColumn="0" w:firstRowLastColumn="0" w:lastRowFirstColumn="0" w:lastRowLastColumn="0"/>
        </w:trPr>
        <w:tc>
          <w:tcPr>
            <w:tcW w:w="2463" w:type="dxa"/>
          </w:tcPr>
          <w:p w14:paraId="1B455A74" w14:textId="5156678C" w:rsidR="000D15FD" w:rsidRPr="004C583A" w:rsidRDefault="000D15FD" w:rsidP="00A41A3B">
            <w:pPr>
              <w:spacing w:before="0" w:after="240"/>
              <w:rPr>
                <w:sz w:val="20"/>
                <w:szCs w:val="20"/>
              </w:rPr>
            </w:pPr>
            <w:r w:rsidRPr="004C583A">
              <w:rPr>
                <w:sz w:val="20"/>
                <w:szCs w:val="20"/>
              </w:rPr>
              <w:t>Activity</w:t>
            </w:r>
          </w:p>
        </w:tc>
        <w:tc>
          <w:tcPr>
            <w:tcW w:w="2463" w:type="dxa"/>
          </w:tcPr>
          <w:p w14:paraId="4EABE49D" w14:textId="7ACF37D4" w:rsidR="000D15FD" w:rsidRPr="004C583A" w:rsidRDefault="000D15FD" w:rsidP="00A41A3B">
            <w:pPr>
              <w:spacing w:before="0" w:after="240"/>
              <w:rPr>
                <w:sz w:val="20"/>
                <w:szCs w:val="20"/>
              </w:rPr>
            </w:pPr>
            <w:r w:rsidRPr="004C583A">
              <w:rPr>
                <w:sz w:val="20"/>
                <w:szCs w:val="20"/>
              </w:rPr>
              <w:t>Target Audience</w:t>
            </w:r>
          </w:p>
        </w:tc>
        <w:tc>
          <w:tcPr>
            <w:tcW w:w="2464" w:type="dxa"/>
          </w:tcPr>
          <w:p w14:paraId="336E3806" w14:textId="7A9DB546" w:rsidR="000D15FD" w:rsidRPr="004C583A" w:rsidRDefault="000D15FD" w:rsidP="00A41A3B">
            <w:pPr>
              <w:spacing w:before="0" w:after="240"/>
              <w:rPr>
                <w:sz w:val="20"/>
                <w:szCs w:val="20"/>
              </w:rPr>
            </w:pPr>
            <w:r w:rsidRPr="004C583A">
              <w:rPr>
                <w:sz w:val="20"/>
                <w:szCs w:val="20"/>
              </w:rPr>
              <w:t>By When?</w:t>
            </w:r>
          </w:p>
        </w:tc>
        <w:tc>
          <w:tcPr>
            <w:tcW w:w="2464" w:type="dxa"/>
          </w:tcPr>
          <w:p w14:paraId="2668019E" w14:textId="0F4048FA" w:rsidR="000D15FD" w:rsidRPr="004C583A" w:rsidRDefault="000D15FD" w:rsidP="00A41A3B">
            <w:pPr>
              <w:spacing w:before="0" w:after="240"/>
              <w:rPr>
                <w:sz w:val="20"/>
                <w:szCs w:val="20"/>
              </w:rPr>
            </w:pPr>
            <w:r w:rsidRPr="004C583A">
              <w:rPr>
                <w:sz w:val="20"/>
                <w:szCs w:val="20"/>
              </w:rPr>
              <w:t xml:space="preserve">Who </w:t>
            </w:r>
          </w:p>
        </w:tc>
      </w:tr>
      <w:tr w:rsidR="00FB5D29" w14:paraId="3B76A2F5" w14:textId="77777777" w:rsidTr="000D15FD">
        <w:tc>
          <w:tcPr>
            <w:tcW w:w="2463" w:type="dxa"/>
          </w:tcPr>
          <w:p w14:paraId="0FC86C7F" w14:textId="339CF2CA" w:rsidR="000D15FD" w:rsidRPr="00FB5D29" w:rsidRDefault="00FB5D29" w:rsidP="00A41A3B">
            <w:pPr>
              <w:spacing w:before="0" w:after="240"/>
              <w:rPr>
                <w:sz w:val="20"/>
                <w:szCs w:val="20"/>
              </w:rPr>
            </w:pPr>
            <w:r>
              <w:rPr>
                <w:sz w:val="20"/>
                <w:szCs w:val="20"/>
              </w:rPr>
              <w:t>Presentation of Aide Memoire</w:t>
            </w:r>
          </w:p>
        </w:tc>
        <w:tc>
          <w:tcPr>
            <w:tcW w:w="2463" w:type="dxa"/>
          </w:tcPr>
          <w:p w14:paraId="16F6EF39" w14:textId="70724115" w:rsidR="00FB5D29" w:rsidRPr="00FB5D29" w:rsidRDefault="00FB5D29" w:rsidP="00A41A3B">
            <w:pPr>
              <w:spacing w:before="0" w:after="240"/>
              <w:rPr>
                <w:sz w:val="20"/>
                <w:szCs w:val="20"/>
              </w:rPr>
            </w:pPr>
            <w:r>
              <w:rPr>
                <w:sz w:val="20"/>
                <w:szCs w:val="20"/>
              </w:rPr>
              <w:t>AusAID Jakarta Post &amp; World Bank</w:t>
            </w:r>
          </w:p>
        </w:tc>
        <w:tc>
          <w:tcPr>
            <w:tcW w:w="2464" w:type="dxa"/>
          </w:tcPr>
          <w:p w14:paraId="1A442232" w14:textId="6A37C8F9" w:rsidR="000D15FD" w:rsidRPr="00FB5D29" w:rsidRDefault="00FB5D29" w:rsidP="00A41A3B">
            <w:pPr>
              <w:spacing w:before="0" w:after="240"/>
              <w:rPr>
                <w:sz w:val="20"/>
                <w:szCs w:val="20"/>
              </w:rPr>
            </w:pPr>
            <w:r>
              <w:rPr>
                <w:sz w:val="20"/>
                <w:szCs w:val="20"/>
              </w:rPr>
              <w:t>13 September 2012</w:t>
            </w:r>
          </w:p>
        </w:tc>
        <w:tc>
          <w:tcPr>
            <w:tcW w:w="2464" w:type="dxa"/>
          </w:tcPr>
          <w:p w14:paraId="42E08C64" w14:textId="7925EC85" w:rsidR="000D15FD" w:rsidRPr="00FB5D29" w:rsidRDefault="00FB5D29" w:rsidP="00A41A3B">
            <w:pPr>
              <w:spacing w:before="0" w:after="240"/>
              <w:rPr>
                <w:sz w:val="20"/>
                <w:szCs w:val="20"/>
              </w:rPr>
            </w:pPr>
            <w:r>
              <w:rPr>
                <w:sz w:val="20"/>
                <w:szCs w:val="20"/>
              </w:rPr>
              <w:t>Evaluation manager</w:t>
            </w:r>
          </w:p>
        </w:tc>
      </w:tr>
      <w:tr w:rsidR="00FB5D29" w14:paraId="02AB2A7B" w14:textId="77777777" w:rsidTr="000D15FD">
        <w:tc>
          <w:tcPr>
            <w:tcW w:w="2463" w:type="dxa"/>
          </w:tcPr>
          <w:p w14:paraId="0346EE9F" w14:textId="7B895C97" w:rsidR="00FB5D29" w:rsidRPr="00FB5D29" w:rsidRDefault="00FB5D29" w:rsidP="00A41A3B">
            <w:pPr>
              <w:spacing w:before="0" w:after="240"/>
              <w:rPr>
                <w:sz w:val="20"/>
                <w:szCs w:val="20"/>
              </w:rPr>
            </w:pPr>
            <w:r w:rsidRPr="00FB5D29">
              <w:rPr>
                <w:sz w:val="20"/>
                <w:szCs w:val="20"/>
              </w:rPr>
              <w:t>Circulation of draft IPR to AusAID Jakarta Post &amp; the World Bank</w:t>
            </w:r>
          </w:p>
        </w:tc>
        <w:tc>
          <w:tcPr>
            <w:tcW w:w="2463" w:type="dxa"/>
          </w:tcPr>
          <w:p w14:paraId="533D07BA" w14:textId="2645274B" w:rsidR="00FB5D29" w:rsidRPr="00FB5D29" w:rsidRDefault="00FB5D29" w:rsidP="00A41A3B">
            <w:pPr>
              <w:spacing w:before="0" w:after="240"/>
              <w:rPr>
                <w:sz w:val="20"/>
                <w:szCs w:val="20"/>
              </w:rPr>
            </w:pPr>
            <w:r w:rsidRPr="00FB5D29">
              <w:rPr>
                <w:sz w:val="20"/>
                <w:szCs w:val="20"/>
              </w:rPr>
              <w:t>AusAID/Social Protection team and Knowledge Sector team, World Bank</w:t>
            </w:r>
          </w:p>
        </w:tc>
        <w:tc>
          <w:tcPr>
            <w:tcW w:w="2464" w:type="dxa"/>
          </w:tcPr>
          <w:p w14:paraId="675E4CBA" w14:textId="6B60230A" w:rsidR="00FB5D29" w:rsidRPr="00FB5D29" w:rsidRDefault="0000355A" w:rsidP="00A41A3B">
            <w:pPr>
              <w:spacing w:before="0" w:after="240"/>
              <w:rPr>
                <w:sz w:val="20"/>
                <w:szCs w:val="20"/>
              </w:rPr>
            </w:pPr>
            <w:r>
              <w:rPr>
                <w:sz w:val="20"/>
                <w:szCs w:val="20"/>
              </w:rPr>
              <w:t>18 October 2012</w:t>
            </w:r>
          </w:p>
        </w:tc>
        <w:tc>
          <w:tcPr>
            <w:tcW w:w="2464" w:type="dxa"/>
          </w:tcPr>
          <w:p w14:paraId="27B26A77" w14:textId="622D1AE3" w:rsidR="00FB5D29" w:rsidRPr="00FB5D29" w:rsidRDefault="0000355A" w:rsidP="00A41A3B">
            <w:pPr>
              <w:spacing w:before="0" w:after="240"/>
              <w:rPr>
                <w:sz w:val="20"/>
                <w:szCs w:val="20"/>
              </w:rPr>
            </w:pPr>
            <w:r>
              <w:rPr>
                <w:sz w:val="20"/>
                <w:szCs w:val="20"/>
              </w:rPr>
              <w:t>Evaluation manager</w:t>
            </w:r>
          </w:p>
        </w:tc>
      </w:tr>
      <w:tr w:rsidR="0000355A" w14:paraId="001589C0" w14:textId="77777777" w:rsidTr="000D15FD">
        <w:tc>
          <w:tcPr>
            <w:tcW w:w="2463" w:type="dxa"/>
          </w:tcPr>
          <w:p w14:paraId="7DBFE789" w14:textId="718E8DA7" w:rsidR="0000355A" w:rsidRPr="0000355A" w:rsidRDefault="0000355A" w:rsidP="0000355A">
            <w:pPr>
              <w:spacing w:before="0" w:after="240"/>
              <w:rPr>
                <w:sz w:val="20"/>
                <w:szCs w:val="20"/>
              </w:rPr>
            </w:pPr>
            <w:r w:rsidRPr="0000355A">
              <w:rPr>
                <w:sz w:val="20"/>
                <w:szCs w:val="20"/>
              </w:rPr>
              <w:t>Circulation of final IPR and management response to the JMC and stakeholders</w:t>
            </w:r>
          </w:p>
        </w:tc>
        <w:tc>
          <w:tcPr>
            <w:tcW w:w="2463" w:type="dxa"/>
          </w:tcPr>
          <w:p w14:paraId="46226FC0" w14:textId="04DD244D" w:rsidR="0000355A" w:rsidRPr="0000355A" w:rsidRDefault="0000355A" w:rsidP="00A41A3B">
            <w:pPr>
              <w:spacing w:before="0" w:after="240"/>
              <w:rPr>
                <w:sz w:val="20"/>
                <w:szCs w:val="20"/>
              </w:rPr>
            </w:pPr>
            <w:r w:rsidRPr="0000355A">
              <w:rPr>
                <w:sz w:val="20"/>
                <w:szCs w:val="20"/>
              </w:rPr>
              <w:t>World Bank, TNP2K, Bappenas, BPS and MoF</w:t>
            </w:r>
          </w:p>
        </w:tc>
        <w:tc>
          <w:tcPr>
            <w:tcW w:w="2464" w:type="dxa"/>
          </w:tcPr>
          <w:p w14:paraId="3225F1B1" w14:textId="56CF2FE1" w:rsidR="0000355A" w:rsidRPr="0000355A" w:rsidRDefault="00B75DA9" w:rsidP="00A41A3B">
            <w:pPr>
              <w:spacing w:before="0" w:after="240"/>
              <w:rPr>
                <w:sz w:val="20"/>
                <w:szCs w:val="20"/>
              </w:rPr>
            </w:pPr>
            <w:r>
              <w:rPr>
                <w:sz w:val="20"/>
                <w:szCs w:val="20"/>
              </w:rPr>
              <w:t>June</w:t>
            </w:r>
            <w:r w:rsidR="003759AA">
              <w:rPr>
                <w:sz w:val="20"/>
                <w:szCs w:val="20"/>
              </w:rPr>
              <w:t xml:space="preserve"> 2013</w:t>
            </w:r>
          </w:p>
        </w:tc>
        <w:tc>
          <w:tcPr>
            <w:tcW w:w="2464" w:type="dxa"/>
          </w:tcPr>
          <w:p w14:paraId="74B5DE14" w14:textId="7CDEFE11" w:rsidR="0000355A" w:rsidRPr="0000355A" w:rsidRDefault="0000355A" w:rsidP="00A41A3B">
            <w:pPr>
              <w:spacing w:before="0" w:after="240"/>
              <w:rPr>
                <w:sz w:val="20"/>
                <w:szCs w:val="20"/>
              </w:rPr>
            </w:pPr>
            <w:r w:rsidRPr="0000355A">
              <w:rPr>
                <w:sz w:val="20"/>
                <w:szCs w:val="20"/>
              </w:rPr>
              <w:t>Evaluation manager</w:t>
            </w:r>
          </w:p>
        </w:tc>
      </w:tr>
      <w:tr w:rsidR="0000355A" w14:paraId="0204CCC2" w14:textId="77777777" w:rsidTr="000D15FD">
        <w:tc>
          <w:tcPr>
            <w:tcW w:w="2463" w:type="dxa"/>
          </w:tcPr>
          <w:p w14:paraId="4524B85B" w14:textId="0D2FF30A" w:rsidR="0000355A" w:rsidRPr="0000355A" w:rsidRDefault="0000355A" w:rsidP="0000355A">
            <w:pPr>
              <w:spacing w:before="0" w:after="240"/>
              <w:rPr>
                <w:sz w:val="20"/>
                <w:szCs w:val="20"/>
              </w:rPr>
            </w:pPr>
            <w:r w:rsidRPr="0000355A">
              <w:rPr>
                <w:sz w:val="20"/>
                <w:szCs w:val="20"/>
              </w:rPr>
              <w:t>Release of final IPR and management response to the public via AusAID website</w:t>
            </w:r>
          </w:p>
        </w:tc>
        <w:tc>
          <w:tcPr>
            <w:tcW w:w="2463" w:type="dxa"/>
          </w:tcPr>
          <w:p w14:paraId="2CC1465D" w14:textId="038B81D5" w:rsidR="0000355A" w:rsidRPr="0000355A" w:rsidRDefault="0000355A" w:rsidP="00A41A3B">
            <w:pPr>
              <w:spacing w:before="0" w:after="240"/>
              <w:rPr>
                <w:sz w:val="20"/>
                <w:szCs w:val="20"/>
              </w:rPr>
            </w:pPr>
            <w:r w:rsidRPr="0000355A">
              <w:rPr>
                <w:sz w:val="20"/>
                <w:szCs w:val="20"/>
              </w:rPr>
              <w:t>General Australian public</w:t>
            </w:r>
          </w:p>
        </w:tc>
        <w:tc>
          <w:tcPr>
            <w:tcW w:w="2464" w:type="dxa"/>
          </w:tcPr>
          <w:p w14:paraId="0DB52652" w14:textId="17A16905" w:rsidR="0000355A" w:rsidRPr="0000355A" w:rsidRDefault="00B75DA9" w:rsidP="00A41A3B">
            <w:pPr>
              <w:spacing w:before="0" w:after="240"/>
              <w:rPr>
                <w:sz w:val="20"/>
                <w:szCs w:val="20"/>
              </w:rPr>
            </w:pPr>
            <w:r>
              <w:rPr>
                <w:sz w:val="20"/>
                <w:szCs w:val="20"/>
              </w:rPr>
              <w:t>June</w:t>
            </w:r>
            <w:r w:rsidR="003759AA">
              <w:rPr>
                <w:sz w:val="20"/>
                <w:szCs w:val="20"/>
              </w:rPr>
              <w:t xml:space="preserve"> 2013</w:t>
            </w:r>
          </w:p>
        </w:tc>
        <w:tc>
          <w:tcPr>
            <w:tcW w:w="2464" w:type="dxa"/>
          </w:tcPr>
          <w:p w14:paraId="798BC4AB" w14:textId="72056C75" w:rsidR="0000355A" w:rsidRPr="0000355A" w:rsidRDefault="00C065CB" w:rsidP="00A41A3B">
            <w:pPr>
              <w:spacing w:before="0" w:after="240"/>
              <w:rPr>
                <w:sz w:val="20"/>
                <w:szCs w:val="20"/>
              </w:rPr>
            </w:pPr>
            <w:r>
              <w:rPr>
                <w:sz w:val="20"/>
                <w:szCs w:val="20"/>
              </w:rPr>
              <w:t>AusAID Communication Section, Canberra</w:t>
            </w:r>
          </w:p>
        </w:tc>
      </w:tr>
    </w:tbl>
    <w:p w14:paraId="14BC4BE7" w14:textId="4975C61C" w:rsidR="005054F5" w:rsidRPr="00A41A3B" w:rsidRDefault="005054F5" w:rsidP="00A41A3B">
      <w:pPr>
        <w:spacing w:before="0" w:after="240"/>
        <w:rPr>
          <w:sz w:val="24"/>
        </w:rPr>
      </w:pPr>
    </w:p>
    <w:p w14:paraId="1CD02FC4" w14:textId="79FEDB7B" w:rsidR="00C657FB" w:rsidRDefault="00C657FB" w:rsidP="007071A9">
      <w:pPr>
        <w:spacing w:before="0" w:after="240"/>
        <w:rPr>
          <w:rFonts w:cs="Arial"/>
        </w:rPr>
      </w:pPr>
    </w:p>
    <w:p w14:paraId="1CD02FC5" w14:textId="77777777" w:rsidR="00C657FB" w:rsidRDefault="00C657FB" w:rsidP="007071A9">
      <w:pPr>
        <w:spacing w:before="0" w:after="240"/>
        <w:rPr>
          <w:rFonts w:cs="Arial"/>
        </w:rPr>
      </w:pPr>
    </w:p>
    <w:p w14:paraId="1CD02FC6" w14:textId="77777777" w:rsidR="00C657FB" w:rsidRDefault="00C657FB" w:rsidP="007071A9">
      <w:pPr>
        <w:spacing w:before="0" w:after="240"/>
        <w:rPr>
          <w:rFonts w:cs="Arial"/>
        </w:rPr>
      </w:pPr>
    </w:p>
    <w:p w14:paraId="1CD02FC7" w14:textId="77777777" w:rsidR="00C657FB" w:rsidRDefault="001E3D24" w:rsidP="007071A9">
      <w:pPr>
        <w:pStyle w:val="Heading2"/>
        <w:spacing w:before="0" w:after="240"/>
      </w:pPr>
      <w:r>
        <w:t xml:space="preserve"> </w:t>
      </w:r>
    </w:p>
    <w:p w14:paraId="1CD02FC8" w14:textId="77777777" w:rsidR="00913F5E" w:rsidRPr="00913F5E" w:rsidRDefault="00913F5E" w:rsidP="007071A9">
      <w:pPr>
        <w:pStyle w:val="Heading2"/>
        <w:spacing w:before="0" w:after="240"/>
      </w:pPr>
    </w:p>
    <w:sectPr w:rsidR="00913F5E" w:rsidRPr="00913F5E" w:rsidSect="00054700">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567" w:footer="6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02FCF" w14:textId="77777777" w:rsidR="00625E03" w:rsidRDefault="00625E03">
      <w:pPr>
        <w:pStyle w:val="Table-list-number"/>
      </w:pPr>
      <w:r>
        <w:separator/>
      </w:r>
    </w:p>
  </w:endnote>
  <w:endnote w:type="continuationSeparator" w:id="0">
    <w:p w14:paraId="1CD02FD0" w14:textId="77777777" w:rsidR="00625E03" w:rsidRDefault="00625E03">
      <w:pPr>
        <w:pStyle w:val="Table-list-numb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B04C4" w14:textId="77777777" w:rsidR="00CC4E4B" w:rsidRDefault="00CC4E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02FD2" w14:textId="77777777" w:rsidR="00625E03" w:rsidRPr="00AE52D5" w:rsidRDefault="00625E03" w:rsidP="00AE52D5">
    <w:pPr>
      <w:pStyle w:val="Footer"/>
      <w:pBdr>
        <w:top w:val="single" w:sz="4" w:space="7" w:color="333333"/>
      </w:pBdr>
      <w:tabs>
        <w:tab w:val="clear" w:pos="4153"/>
        <w:tab w:val="clear" w:pos="8306"/>
        <w:tab w:val="right" w:pos="9639"/>
      </w:tabs>
      <w:rPr>
        <w:rStyle w:val="PageNumber"/>
      </w:rPr>
    </w:pPr>
    <w:r>
      <w:t>Tool: Management Response Template</w:t>
    </w:r>
    <w:r w:rsidRPr="00AE52D5">
      <w:t xml:space="preserve"> (registered # </w:t>
    </w:r>
    <w:r>
      <w:t>158</w:t>
    </w:r>
    <w:r w:rsidRPr="00AE52D5">
      <w:t>)</w:t>
    </w:r>
    <w:r w:rsidRPr="00AE52D5">
      <w:tab/>
      <w:t xml:space="preserve">page </w:t>
    </w:r>
    <w:r w:rsidRPr="00AE52D5">
      <w:rPr>
        <w:rStyle w:val="PageNumber"/>
      </w:rPr>
      <w:fldChar w:fldCharType="begin"/>
    </w:r>
    <w:r w:rsidRPr="00AE52D5">
      <w:rPr>
        <w:rStyle w:val="PageNumber"/>
      </w:rPr>
      <w:instrText xml:space="preserve"> PAGE </w:instrText>
    </w:r>
    <w:r w:rsidRPr="00AE52D5">
      <w:rPr>
        <w:rStyle w:val="PageNumber"/>
      </w:rPr>
      <w:fldChar w:fldCharType="separate"/>
    </w:r>
    <w:r w:rsidR="00CC4E4B">
      <w:rPr>
        <w:rStyle w:val="PageNumber"/>
        <w:noProof/>
      </w:rPr>
      <w:t>1</w:t>
    </w:r>
    <w:r w:rsidRPr="00AE52D5">
      <w:rPr>
        <w:rStyle w:val="PageNumber"/>
      </w:rPr>
      <w:fldChar w:fldCharType="end"/>
    </w:r>
    <w:r w:rsidRPr="00AE52D5">
      <w:rPr>
        <w:rStyle w:val="PageNumber"/>
      </w:rPr>
      <w:t xml:space="preserve"> of </w:t>
    </w:r>
    <w:r w:rsidRPr="00AE52D5">
      <w:rPr>
        <w:rStyle w:val="PageNumber"/>
      </w:rPr>
      <w:fldChar w:fldCharType="begin"/>
    </w:r>
    <w:r w:rsidRPr="00AE52D5">
      <w:rPr>
        <w:rStyle w:val="PageNumber"/>
      </w:rPr>
      <w:instrText xml:space="preserve"> NUMPAGES </w:instrText>
    </w:r>
    <w:r w:rsidRPr="00AE52D5">
      <w:rPr>
        <w:rStyle w:val="PageNumber"/>
      </w:rPr>
      <w:fldChar w:fldCharType="separate"/>
    </w:r>
    <w:r w:rsidR="00CC4E4B">
      <w:rPr>
        <w:rStyle w:val="PageNumber"/>
        <w:noProof/>
      </w:rPr>
      <w:t>6</w:t>
    </w:r>
    <w:r w:rsidRPr="00AE52D5">
      <w:rPr>
        <w:rStyle w:val="PageNumber"/>
      </w:rPr>
      <w:fldChar w:fldCharType="end"/>
    </w:r>
  </w:p>
  <w:p w14:paraId="1CD02FD3" w14:textId="77777777" w:rsidR="00625E03" w:rsidRPr="00AE52D5" w:rsidRDefault="00625E03" w:rsidP="00AE52D5">
    <w:pPr>
      <w:pStyle w:val="Footer"/>
      <w:pBdr>
        <w:top w:val="single" w:sz="4" w:space="7" w:color="333333"/>
      </w:pBdr>
      <w:tabs>
        <w:tab w:val="clear" w:pos="4153"/>
        <w:tab w:val="clear" w:pos="8306"/>
        <w:tab w:val="right" w:pos="9639"/>
      </w:tabs>
    </w:pPr>
    <w:r w:rsidRPr="00AE52D5">
      <w:t xml:space="preserve">Effective from </w:t>
    </w:r>
    <w:r>
      <w:t>December 2012</w:t>
    </w:r>
    <w:r w:rsidRPr="00AE52D5">
      <w:t xml:space="preserve"> to </w:t>
    </w:r>
    <w:r>
      <w:t>December 2013</w:t>
    </w:r>
    <w:r w:rsidRPr="00AE52D5">
      <w:tab/>
    </w:r>
    <w:r w:rsidRPr="00AE52D5">
      <w:rPr>
        <w:rStyle w:val="PageNumber"/>
      </w:rPr>
      <w:t>UNCLASSIFIED</w:t>
    </w:r>
  </w:p>
  <w:p w14:paraId="1CD02FD4" w14:textId="77777777" w:rsidR="00625E03" w:rsidRPr="000815FC" w:rsidRDefault="00625E03" w:rsidP="00887304">
    <w:pPr>
      <w:pStyle w:val="Footer"/>
      <w:pBdr>
        <w:top w:val="single" w:sz="4" w:space="8" w:color="999999"/>
      </w:pBdr>
      <w:tabs>
        <w:tab w:val="clear" w:pos="4153"/>
        <w:tab w:val="clear" w:pos="8306"/>
        <w:tab w:val="right" w:pos="9639"/>
      </w:tabs>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D744C" w14:textId="77777777" w:rsidR="00CC4E4B" w:rsidRDefault="00CC4E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D02FCD" w14:textId="77777777" w:rsidR="00625E03" w:rsidRDefault="00625E03">
      <w:pPr>
        <w:pStyle w:val="Table-list-number"/>
      </w:pPr>
      <w:r>
        <w:separator/>
      </w:r>
    </w:p>
  </w:footnote>
  <w:footnote w:type="continuationSeparator" w:id="0">
    <w:p w14:paraId="1CD02FCE" w14:textId="77777777" w:rsidR="00625E03" w:rsidRDefault="00625E03">
      <w:pPr>
        <w:pStyle w:val="Table-list-numb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BEB98" w14:textId="77777777" w:rsidR="00CC4E4B" w:rsidRDefault="00CC4E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02FD1" w14:textId="77777777" w:rsidR="00625E03" w:rsidRPr="00077243" w:rsidRDefault="00625E03" w:rsidP="00077243">
    <w:pPr>
      <w:pStyle w:val="Header"/>
      <w:jc w:val="center"/>
      <w:rPr>
        <w:caps/>
      </w:rPr>
    </w:pPr>
    <w:r w:rsidRPr="00077243">
      <w:rPr>
        <w:caps/>
      </w:rPr>
      <w:t>Unclassified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A4951" w14:textId="77777777" w:rsidR="00CC4E4B" w:rsidRDefault="00CC4E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59D0"/>
    <w:multiLevelType w:val="hybridMultilevel"/>
    <w:tmpl w:val="84AE91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9C7780"/>
    <w:multiLevelType w:val="hybridMultilevel"/>
    <w:tmpl w:val="951832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92929E6"/>
    <w:multiLevelType w:val="hybridMultilevel"/>
    <w:tmpl w:val="2BB08866"/>
    <w:lvl w:ilvl="0" w:tplc="AC2E0D00">
      <w:start w:val="1"/>
      <w:numFmt w:val="decimal"/>
      <w:pStyle w:val="Table-list-number"/>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3C43AD"/>
    <w:multiLevelType w:val="hybridMultilevel"/>
    <w:tmpl w:val="D90A16CA"/>
    <w:lvl w:ilvl="0" w:tplc="04090001">
      <w:start w:val="1"/>
      <w:numFmt w:val="bullet"/>
      <w:lvlText w:val=""/>
      <w:lvlJc w:val="left"/>
      <w:pPr>
        <w:tabs>
          <w:tab w:val="num" w:pos="1440"/>
        </w:tabs>
        <w:ind w:left="1440" w:hanging="360"/>
      </w:pPr>
      <w:rPr>
        <w:rFonts w:ascii="Symbol" w:hAnsi="Symbol" w:hint="default"/>
      </w:rPr>
    </w:lvl>
    <w:lvl w:ilvl="1" w:tplc="372AC42C">
      <w:start w:val="4"/>
      <w:numFmt w:val="upperLetter"/>
      <w:lvlText w:val="%2."/>
      <w:lvlJc w:val="left"/>
      <w:pPr>
        <w:tabs>
          <w:tab w:val="num" w:pos="2160"/>
        </w:tabs>
        <w:ind w:left="2160" w:hanging="720"/>
      </w:pPr>
      <w:rPr>
        <w:rFonts w:hint="default"/>
      </w:rPr>
    </w:lvl>
    <w:lvl w:ilvl="2" w:tplc="FDE032D6">
      <w:start w:val="1"/>
      <w:numFmt w:val="lowerRoman"/>
      <w:lvlText w:val="(%3)"/>
      <w:lvlJc w:val="left"/>
      <w:pPr>
        <w:tabs>
          <w:tab w:val="num" w:pos="3060"/>
        </w:tabs>
        <w:ind w:left="3060" w:hanging="720"/>
      </w:pPr>
      <w:rPr>
        <w:rFonts w:hint="default"/>
      </w:rPr>
    </w:lvl>
    <w:lvl w:ilvl="3" w:tplc="C1A207D2">
      <w:start w:val="6"/>
      <w:numFmt w:val="upperRoman"/>
      <w:lvlText w:val="%4."/>
      <w:lvlJc w:val="left"/>
      <w:pPr>
        <w:tabs>
          <w:tab w:val="num" w:pos="3600"/>
        </w:tabs>
        <w:ind w:left="3600" w:hanging="720"/>
      </w:pPr>
      <w:rPr>
        <w:rFonts w:hint="default"/>
        <w:b/>
      </w:rPr>
    </w:lvl>
    <w:lvl w:ilvl="4" w:tplc="E9005564">
      <w:start w:val="1"/>
      <w:numFmt w:val="decimal"/>
      <w:lvlText w:val="(%5)"/>
      <w:lvlJc w:val="left"/>
      <w:pPr>
        <w:tabs>
          <w:tab w:val="num" w:pos="4320"/>
        </w:tabs>
        <w:ind w:left="4320" w:hanging="72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
    <w:nsid w:val="29B377EF"/>
    <w:multiLevelType w:val="hybridMultilevel"/>
    <w:tmpl w:val="A03CA9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nsid w:val="495A4E59"/>
    <w:multiLevelType w:val="hybridMultilevel"/>
    <w:tmpl w:val="F1A4D918"/>
    <w:lvl w:ilvl="0" w:tplc="CC544E42">
      <w:start w:val="1"/>
      <w:numFmt w:val="lowerRoman"/>
      <w:lvlText w:val="%1)"/>
      <w:lvlJc w:val="left"/>
      <w:pPr>
        <w:ind w:left="720" w:hanging="720"/>
      </w:pPr>
      <w:rPr>
        <w:rFonts w:ascii="Arial" w:hAnsi="Arial" w:hint="default"/>
        <w:b w:val="0"/>
        <w:i w:val="0"/>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4BB17CCB"/>
    <w:multiLevelType w:val="hybridMultilevel"/>
    <w:tmpl w:val="7D6871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5B41111D"/>
    <w:multiLevelType w:val="hybridMultilevel"/>
    <w:tmpl w:val="74C2A9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641B3406"/>
    <w:multiLevelType w:val="hybridMultilevel"/>
    <w:tmpl w:val="074AFD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7286401F"/>
    <w:multiLevelType w:val="multilevel"/>
    <w:tmpl w:val="5F303A0A"/>
    <w:lvl w:ilvl="0">
      <w:start w:val="1"/>
      <w:numFmt w:val="decimal"/>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22"/>
        <w:szCs w:val="18"/>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13">
    <w:nsid w:val="757D12AE"/>
    <w:multiLevelType w:val="hybridMultilevel"/>
    <w:tmpl w:val="AE2A34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774868B9"/>
    <w:multiLevelType w:val="hybridMultilevel"/>
    <w:tmpl w:val="A02AF9EA"/>
    <w:lvl w:ilvl="0" w:tplc="F33CF392">
      <w:start w:val="1"/>
      <w:numFmt w:val="bullet"/>
      <w:pStyle w:val="Table-list-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CCE4871"/>
    <w:multiLevelType w:val="hybridMultilevel"/>
    <w:tmpl w:val="C44E9C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12"/>
  </w:num>
  <w:num w:numId="5">
    <w:abstractNumId w:val="14"/>
  </w:num>
  <w:num w:numId="6">
    <w:abstractNumId w:val="2"/>
  </w:num>
  <w:num w:numId="7">
    <w:abstractNumId w:val="15"/>
  </w:num>
  <w:num w:numId="8">
    <w:abstractNumId w:val="11"/>
  </w:num>
  <w:num w:numId="9">
    <w:abstractNumId w:val="9"/>
  </w:num>
  <w:num w:numId="10">
    <w:abstractNumId w:val="13"/>
  </w:num>
  <w:num w:numId="11">
    <w:abstractNumId w:val="10"/>
  </w:num>
  <w:num w:numId="12">
    <w:abstractNumId w:val="8"/>
  </w:num>
  <w:num w:numId="13">
    <w:abstractNumId w:val="1"/>
  </w:num>
  <w:num w:numId="14">
    <w:abstractNumId w:val="5"/>
  </w:num>
  <w:num w:numId="15">
    <w:abstractNumId w:val="0"/>
  </w:num>
  <w:num w:numId="16">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drawingGridVerticalSpacing w:val="181"/>
  <w:displayVerticalDrawingGridEvery w:val="2"/>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35"/>
    <w:rsid w:val="000012DA"/>
    <w:rsid w:val="0000355A"/>
    <w:rsid w:val="00012070"/>
    <w:rsid w:val="00012E96"/>
    <w:rsid w:val="000135D5"/>
    <w:rsid w:val="00015371"/>
    <w:rsid w:val="000163BD"/>
    <w:rsid w:val="000272E0"/>
    <w:rsid w:val="00031779"/>
    <w:rsid w:val="000412DD"/>
    <w:rsid w:val="00052316"/>
    <w:rsid w:val="00052350"/>
    <w:rsid w:val="00054700"/>
    <w:rsid w:val="000641A5"/>
    <w:rsid w:val="00067C95"/>
    <w:rsid w:val="0007162A"/>
    <w:rsid w:val="00071CEC"/>
    <w:rsid w:val="000728D3"/>
    <w:rsid w:val="000733A7"/>
    <w:rsid w:val="000765F5"/>
    <w:rsid w:val="00077243"/>
    <w:rsid w:val="0008055D"/>
    <w:rsid w:val="000815FC"/>
    <w:rsid w:val="000869CE"/>
    <w:rsid w:val="00094CE2"/>
    <w:rsid w:val="000A77DB"/>
    <w:rsid w:val="000B2D73"/>
    <w:rsid w:val="000B2DB1"/>
    <w:rsid w:val="000B520A"/>
    <w:rsid w:val="000B7AFD"/>
    <w:rsid w:val="000C4574"/>
    <w:rsid w:val="000D15FD"/>
    <w:rsid w:val="000D316D"/>
    <w:rsid w:val="000D38AE"/>
    <w:rsid w:val="000E1475"/>
    <w:rsid w:val="000E1958"/>
    <w:rsid w:val="000F51D5"/>
    <w:rsid w:val="000F5FF5"/>
    <w:rsid w:val="0010006D"/>
    <w:rsid w:val="00102362"/>
    <w:rsid w:val="00104963"/>
    <w:rsid w:val="001077BF"/>
    <w:rsid w:val="00113C84"/>
    <w:rsid w:val="00116D39"/>
    <w:rsid w:val="0012094B"/>
    <w:rsid w:val="00121F43"/>
    <w:rsid w:val="001236CF"/>
    <w:rsid w:val="00123C3E"/>
    <w:rsid w:val="0012582F"/>
    <w:rsid w:val="00127F32"/>
    <w:rsid w:val="001333D1"/>
    <w:rsid w:val="00134B6C"/>
    <w:rsid w:val="001378B7"/>
    <w:rsid w:val="00140289"/>
    <w:rsid w:val="00144AF1"/>
    <w:rsid w:val="001461C8"/>
    <w:rsid w:val="001467C6"/>
    <w:rsid w:val="00151891"/>
    <w:rsid w:val="00153F2A"/>
    <w:rsid w:val="001614B0"/>
    <w:rsid w:val="0016457C"/>
    <w:rsid w:val="0017232C"/>
    <w:rsid w:val="00173632"/>
    <w:rsid w:val="00175FFC"/>
    <w:rsid w:val="00177AC0"/>
    <w:rsid w:val="00184728"/>
    <w:rsid w:val="001874BC"/>
    <w:rsid w:val="001917F6"/>
    <w:rsid w:val="001B1EE4"/>
    <w:rsid w:val="001B5C47"/>
    <w:rsid w:val="001B5DEE"/>
    <w:rsid w:val="001C2CBD"/>
    <w:rsid w:val="001D36FD"/>
    <w:rsid w:val="001D7353"/>
    <w:rsid w:val="001E17F6"/>
    <w:rsid w:val="001E3D24"/>
    <w:rsid w:val="001E4372"/>
    <w:rsid w:val="001E4FCC"/>
    <w:rsid w:val="001F548E"/>
    <w:rsid w:val="00201759"/>
    <w:rsid w:val="00206132"/>
    <w:rsid w:val="00214F7F"/>
    <w:rsid w:val="00221D53"/>
    <w:rsid w:val="00223581"/>
    <w:rsid w:val="00232239"/>
    <w:rsid w:val="002425E0"/>
    <w:rsid w:val="00245265"/>
    <w:rsid w:val="00250414"/>
    <w:rsid w:val="00250CB9"/>
    <w:rsid w:val="002524DA"/>
    <w:rsid w:val="002546B7"/>
    <w:rsid w:val="00255DF0"/>
    <w:rsid w:val="00264366"/>
    <w:rsid w:val="00276978"/>
    <w:rsid w:val="00276F45"/>
    <w:rsid w:val="002824B7"/>
    <w:rsid w:val="002839B9"/>
    <w:rsid w:val="0029717D"/>
    <w:rsid w:val="002B2279"/>
    <w:rsid w:val="002B2BA6"/>
    <w:rsid w:val="002B5216"/>
    <w:rsid w:val="002D1173"/>
    <w:rsid w:val="002D4C96"/>
    <w:rsid w:val="002E0770"/>
    <w:rsid w:val="002E0EA2"/>
    <w:rsid w:val="002E7065"/>
    <w:rsid w:val="002E718D"/>
    <w:rsid w:val="002E7A09"/>
    <w:rsid w:val="002F001E"/>
    <w:rsid w:val="002F13CD"/>
    <w:rsid w:val="002F1BE5"/>
    <w:rsid w:val="002F3803"/>
    <w:rsid w:val="0030264B"/>
    <w:rsid w:val="00310523"/>
    <w:rsid w:val="00310FA6"/>
    <w:rsid w:val="00326D2A"/>
    <w:rsid w:val="00334E51"/>
    <w:rsid w:val="00342870"/>
    <w:rsid w:val="00345F77"/>
    <w:rsid w:val="00350917"/>
    <w:rsid w:val="0035724B"/>
    <w:rsid w:val="00367DA3"/>
    <w:rsid w:val="003719DB"/>
    <w:rsid w:val="00371B8D"/>
    <w:rsid w:val="00373EB2"/>
    <w:rsid w:val="0037535E"/>
    <w:rsid w:val="003759AA"/>
    <w:rsid w:val="0039002F"/>
    <w:rsid w:val="00390A59"/>
    <w:rsid w:val="00394C72"/>
    <w:rsid w:val="00397F85"/>
    <w:rsid w:val="003A09AD"/>
    <w:rsid w:val="003A273C"/>
    <w:rsid w:val="003A36D5"/>
    <w:rsid w:val="003A4D26"/>
    <w:rsid w:val="003B518A"/>
    <w:rsid w:val="003C0A67"/>
    <w:rsid w:val="003C24EC"/>
    <w:rsid w:val="003C25ED"/>
    <w:rsid w:val="003C5214"/>
    <w:rsid w:val="003D0C24"/>
    <w:rsid w:val="003D236A"/>
    <w:rsid w:val="003D4CAC"/>
    <w:rsid w:val="003D548A"/>
    <w:rsid w:val="003D5CFC"/>
    <w:rsid w:val="003D6E0A"/>
    <w:rsid w:val="003D7317"/>
    <w:rsid w:val="003E0DFE"/>
    <w:rsid w:val="003E190B"/>
    <w:rsid w:val="003E2603"/>
    <w:rsid w:val="003E3E3E"/>
    <w:rsid w:val="003E6561"/>
    <w:rsid w:val="003E7BC4"/>
    <w:rsid w:val="003F0B92"/>
    <w:rsid w:val="003F0F7E"/>
    <w:rsid w:val="003F2997"/>
    <w:rsid w:val="003F43CF"/>
    <w:rsid w:val="003F43F9"/>
    <w:rsid w:val="003F7C64"/>
    <w:rsid w:val="004032D0"/>
    <w:rsid w:val="00403E13"/>
    <w:rsid w:val="00406563"/>
    <w:rsid w:val="00406867"/>
    <w:rsid w:val="00406CD2"/>
    <w:rsid w:val="00411862"/>
    <w:rsid w:val="00416565"/>
    <w:rsid w:val="004221A5"/>
    <w:rsid w:val="00434134"/>
    <w:rsid w:val="004369E7"/>
    <w:rsid w:val="00443760"/>
    <w:rsid w:val="00444D45"/>
    <w:rsid w:val="00452D08"/>
    <w:rsid w:val="0045430E"/>
    <w:rsid w:val="00454766"/>
    <w:rsid w:val="004555E2"/>
    <w:rsid w:val="00455F94"/>
    <w:rsid w:val="00456E9B"/>
    <w:rsid w:val="00461D80"/>
    <w:rsid w:val="00466CDA"/>
    <w:rsid w:val="004707CB"/>
    <w:rsid w:val="00473AA7"/>
    <w:rsid w:val="00476480"/>
    <w:rsid w:val="00476FDC"/>
    <w:rsid w:val="0047719C"/>
    <w:rsid w:val="00480889"/>
    <w:rsid w:val="00496DB3"/>
    <w:rsid w:val="004A100E"/>
    <w:rsid w:val="004A56A0"/>
    <w:rsid w:val="004B140E"/>
    <w:rsid w:val="004C00C0"/>
    <w:rsid w:val="004C429D"/>
    <w:rsid w:val="004C583A"/>
    <w:rsid w:val="004C675F"/>
    <w:rsid w:val="004D3454"/>
    <w:rsid w:val="004E0A16"/>
    <w:rsid w:val="004E150A"/>
    <w:rsid w:val="004E37BD"/>
    <w:rsid w:val="004F4718"/>
    <w:rsid w:val="004F5F17"/>
    <w:rsid w:val="00504689"/>
    <w:rsid w:val="005054F5"/>
    <w:rsid w:val="005077AB"/>
    <w:rsid w:val="0051070F"/>
    <w:rsid w:val="005149FE"/>
    <w:rsid w:val="005154F9"/>
    <w:rsid w:val="0052010E"/>
    <w:rsid w:val="00522766"/>
    <w:rsid w:val="00523BBF"/>
    <w:rsid w:val="00530283"/>
    <w:rsid w:val="00543224"/>
    <w:rsid w:val="005477B9"/>
    <w:rsid w:val="00550E26"/>
    <w:rsid w:val="005672CB"/>
    <w:rsid w:val="00576EED"/>
    <w:rsid w:val="005829CA"/>
    <w:rsid w:val="005831C3"/>
    <w:rsid w:val="00586B72"/>
    <w:rsid w:val="0059065C"/>
    <w:rsid w:val="005928E6"/>
    <w:rsid w:val="00593C66"/>
    <w:rsid w:val="00593DB7"/>
    <w:rsid w:val="0059519C"/>
    <w:rsid w:val="00596949"/>
    <w:rsid w:val="005A4455"/>
    <w:rsid w:val="005A47C3"/>
    <w:rsid w:val="005A6B4A"/>
    <w:rsid w:val="005A7156"/>
    <w:rsid w:val="005A7776"/>
    <w:rsid w:val="005C2BCC"/>
    <w:rsid w:val="005D008B"/>
    <w:rsid w:val="005D3F4B"/>
    <w:rsid w:val="005E0F91"/>
    <w:rsid w:val="005E3939"/>
    <w:rsid w:val="00611E1D"/>
    <w:rsid w:val="0061231E"/>
    <w:rsid w:val="00614E79"/>
    <w:rsid w:val="00614EC8"/>
    <w:rsid w:val="006153BC"/>
    <w:rsid w:val="00625E03"/>
    <w:rsid w:val="00630522"/>
    <w:rsid w:val="00632714"/>
    <w:rsid w:val="00636F15"/>
    <w:rsid w:val="00642D22"/>
    <w:rsid w:val="00642F53"/>
    <w:rsid w:val="006503DA"/>
    <w:rsid w:val="00654BC0"/>
    <w:rsid w:val="00656E2F"/>
    <w:rsid w:val="0066154E"/>
    <w:rsid w:val="00670D9D"/>
    <w:rsid w:val="00677BF8"/>
    <w:rsid w:val="00681953"/>
    <w:rsid w:val="00681FC6"/>
    <w:rsid w:val="00683EB4"/>
    <w:rsid w:val="00684335"/>
    <w:rsid w:val="00690E66"/>
    <w:rsid w:val="00691182"/>
    <w:rsid w:val="00696A03"/>
    <w:rsid w:val="006A069A"/>
    <w:rsid w:val="006A33F8"/>
    <w:rsid w:val="006A6864"/>
    <w:rsid w:val="006B0754"/>
    <w:rsid w:val="006B0F3C"/>
    <w:rsid w:val="006B204D"/>
    <w:rsid w:val="006B4A7A"/>
    <w:rsid w:val="006B5E30"/>
    <w:rsid w:val="006B7BFE"/>
    <w:rsid w:val="006C2142"/>
    <w:rsid w:val="006D31BA"/>
    <w:rsid w:val="006D7297"/>
    <w:rsid w:val="006E0843"/>
    <w:rsid w:val="006E08F6"/>
    <w:rsid w:val="006F168D"/>
    <w:rsid w:val="007071A9"/>
    <w:rsid w:val="007104C5"/>
    <w:rsid w:val="0072064D"/>
    <w:rsid w:val="00732421"/>
    <w:rsid w:val="007336DD"/>
    <w:rsid w:val="00733CFC"/>
    <w:rsid w:val="007421D6"/>
    <w:rsid w:val="00743FDA"/>
    <w:rsid w:val="00744139"/>
    <w:rsid w:val="007478C2"/>
    <w:rsid w:val="00747B90"/>
    <w:rsid w:val="00755ECE"/>
    <w:rsid w:val="007617BD"/>
    <w:rsid w:val="00762F7B"/>
    <w:rsid w:val="00763057"/>
    <w:rsid w:val="00767EB4"/>
    <w:rsid w:val="007717B2"/>
    <w:rsid w:val="0077265D"/>
    <w:rsid w:val="0077790F"/>
    <w:rsid w:val="007820D0"/>
    <w:rsid w:val="00783EFE"/>
    <w:rsid w:val="00783F58"/>
    <w:rsid w:val="007A5262"/>
    <w:rsid w:val="007B042E"/>
    <w:rsid w:val="007C0E48"/>
    <w:rsid w:val="007C5FAB"/>
    <w:rsid w:val="007D2631"/>
    <w:rsid w:val="007E37A6"/>
    <w:rsid w:val="007E4E22"/>
    <w:rsid w:val="007E4FE8"/>
    <w:rsid w:val="007E60A1"/>
    <w:rsid w:val="007E694D"/>
    <w:rsid w:val="007F3EE5"/>
    <w:rsid w:val="00800650"/>
    <w:rsid w:val="008008CC"/>
    <w:rsid w:val="00802A54"/>
    <w:rsid w:val="00804AEF"/>
    <w:rsid w:val="00804D49"/>
    <w:rsid w:val="00806888"/>
    <w:rsid w:val="00813278"/>
    <w:rsid w:val="00814D47"/>
    <w:rsid w:val="0081654C"/>
    <w:rsid w:val="00816584"/>
    <w:rsid w:val="00817570"/>
    <w:rsid w:val="00831FE2"/>
    <w:rsid w:val="00843412"/>
    <w:rsid w:val="00843D42"/>
    <w:rsid w:val="00845B17"/>
    <w:rsid w:val="00847FA2"/>
    <w:rsid w:val="00864A76"/>
    <w:rsid w:val="0087604D"/>
    <w:rsid w:val="00886689"/>
    <w:rsid w:val="00887304"/>
    <w:rsid w:val="0089370F"/>
    <w:rsid w:val="00894472"/>
    <w:rsid w:val="008A6B9C"/>
    <w:rsid w:val="008B3156"/>
    <w:rsid w:val="008B7666"/>
    <w:rsid w:val="008C24C1"/>
    <w:rsid w:val="008D105C"/>
    <w:rsid w:val="008D291F"/>
    <w:rsid w:val="008D6B75"/>
    <w:rsid w:val="008D716B"/>
    <w:rsid w:val="008D7666"/>
    <w:rsid w:val="008E0C4C"/>
    <w:rsid w:val="008E7275"/>
    <w:rsid w:val="008F36C7"/>
    <w:rsid w:val="0090445E"/>
    <w:rsid w:val="0091135C"/>
    <w:rsid w:val="00913F5E"/>
    <w:rsid w:val="00921CBF"/>
    <w:rsid w:val="00923B0C"/>
    <w:rsid w:val="009247FD"/>
    <w:rsid w:val="00933765"/>
    <w:rsid w:val="00936948"/>
    <w:rsid w:val="00944BC2"/>
    <w:rsid w:val="009526A3"/>
    <w:rsid w:val="00953FAD"/>
    <w:rsid w:val="009563B3"/>
    <w:rsid w:val="0095688C"/>
    <w:rsid w:val="00963C76"/>
    <w:rsid w:val="00963FE5"/>
    <w:rsid w:val="00975EFF"/>
    <w:rsid w:val="00982318"/>
    <w:rsid w:val="00983442"/>
    <w:rsid w:val="00993D41"/>
    <w:rsid w:val="009A4B0D"/>
    <w:rsid w:val="009B1EDE"/>
    <w:rsid w:val="009B4B2D"/>
    <w:rsid w:val="009B6244"/>
    <w:rsid w:val="009B6A20"/>
    <w:rsid w:val="009C235A"/>
    <w:rsid w:val="009C34DA"/>
    <w:rsid w:val="009C73C2"/>
    <w:rsid w:val="009D62FF"/>
    <w:rsid w:val="009D6DE1"/>
    <w:rsid w:val="009D7187"/>
    <w:rsid w:val="009E21F1"/>
    <w:rsid w:val="009E74C0"/>
    <w:rsid w:val="00A01755"/>
    <w:rsid w:val="00A02130"/>
    <w:rsid w:val="00A0230B"/>
    <w:rsid w:val="00A04888"/>
    <w:rsid w:val="00A1283D"/>
    <w:rsid w:val="00A236A7"/>
    <w:rsid w:val="00A2540E"/>
    <w:rsid w:val="00A268C7"/>
    <w:rsid w:val="00A32596"/>
    <w:rsid w:val="00A33696"/>
    <w:rsid w:val="00A36EBD"/>
    <w:rsid w:val="00A41A3B"/>
    <w:rsid w:val="00A435F6"/>
    <w:rsid w:val="00A44E49"/>
    <w:rsid w:val="00A5059C"/>
    <w:rsid w:val="00A519CC"/>
    <w:rsid w:val="00A5273A"/>
    <w:rsid w:val="00A53647"/>
    <w:rsid w:val="00A558C5"/>
    <w:rsid w:val="00A55C90"/>
    <w:rsid w:val="00A71362"/>
    <w:rsid w:val="00A71F6C"/>
    <w:rsid w:val="00A75B48"/>
    <w:rsid w:val="00A85757"/>
    <w:rsid w:val="00A91D3A"/>
    <w:rsid w:val="00A94B71"/>
    <w:rsid w:val="00AA4991"/>
    <w:rsid w:val="00AB2A44"/>
    <w:rsid w:val="00AB4FC4"/>
    <w:rsid w:val="00AB6960"/>
    <w:rsid w:val="00AC3332"/>
    <w:rsid w:val="00AD1B8A"/>
    <w:rsid w:val="00AE247D"/>
    <w:rsid w:val="00AE250D"/>
    <w:rsid w:val="00AE52D5"/>
    <w:rsid w:val="00AE5F85"/>
    <w:rsid w:val="00AE7561"/>
    <w:rsid w:val="00AF1433"/>
    <w:rsid w:val="00AF367C"/>
    <w:rsid w:val="00AF4FCA"/>
    <w:rsid w:val="00AF69E2"/>
    <w:rsid w:val="00B008B4"/>
    <w:rsid w:val="00B01532"/>
    <w:rsid w:val="00B04101"/>
    <w:rsid w:val="00B045C1"/>
    <w:rsid w:val="00B06A1E"/>
    <w:rsid w:val="00B07AD5"/>
    <w:rsid w:val="00B11A4D"/>
    <w:rsid w:val="00B14D51"/>
    <w:rsid w:val="00B17E66"/>
    <w:rsid w:val="00B2593F"/>
    <w:rsid w:val="00B35F23"/>
    <w:rsid w:val="00B362C7"/>
    <w:rsid w:val="00B369D1"/>
    <w:rsid w:val="00B41A17"/>
    <w:rsid w:val="00B432DE"/>
    <w:rsid w:val="00B4437C"/>
    <w:rsid w:val="00B67F3E"/>
    <w:rsid w:val="00B75863"/>
    <w:rsid w:val="00B75DA9"/>
    <w:rsid w:val="00B766F4"/>
    <w:rsid w:val="00B8200C"/>
    <w:rsid w:val="00B84249"/>
    <w:rsid w:val="00B86E2F"/>
    <w:rsid w:val="00B91940"/>
    <w:rsid w:val="00B93E67"/>
    <w:rsid w:val="00B9551F"/>
    <w:rsid w:val="00BA3C47"/>
    <w:rsid w:val="00BB53D4"/>
    <w:rsid w:val="00BC2C84"/>
    <w:rsid w:val="00BC5D5C"/>
    <w:rsid w:val="00BF3562"/>
    <w:rsid w:val="00BF3735"/>
    <w:rsid w:val="00BF4231"/>
    <w:rsid w:val="00BF67B7"/>
    <w:rsid w:val="00BF7885"/>
    <w:rsid w:val="00C00100"/>
    <w:rsid w:val="00C01019"/>
    <w:rsid w:val="00C0509D"/>
    <w:rsid w:val="00C0520A"/>
    <w:rsid w:val="00C065CB"/>
    <w:rsid w:val="00C122EB"/>
    <w:rsid w:val="00C12A92"/>
    <w:rsid w:val="00C13229"/>
    <w:rsid w:val="00C16B9D"/>
    <w:rsid w:val="00C20446"/>
    <w:rsid w:val="00C263B2"/>
    <w:rsid w:val="00C30C3F"/>
    <w:rsid w:val="00C31DD2"/>
    <w:rsid w:val="00C42279"/>
    <w:rsid w:val="00C441FE"/>
    <w:rsid w:val="00C4776D"/>
    <w:rsid w:val="00C51434"/>
    <w:rsid w:val="00C53398"/>
    <w:rsid w:val="00C6299D"/>
    <w:rsid w:val="00C64683"/>
    <w:rsid w:val="00C64B11"/>
    <w:rsid w:val="00C65145"/>
    <w:rsid w:val="00C657FB"/>
    <w:rsid w:val="00C65A25"/>
    <w:rsid w:val="00C65DDC"/>
    <w:rsid w:val="00C66DAE"/>
    <w:rsid w:val="00C679C9"/>
    <w:rsid w:val="00C700FD"/>
    <w:rsid w:val="00C77C7A"/>
    <w:rsid w:val="00C8100B"/>
    <w:rsid w:val="00C8709B"/>
    <w:rsid w:val="00CA1078"/>
    <w:rsid w:val="00CA2397"/>
    <w:rsid w:val="00CA5F98"/>
    <w:rsid w:val="00CB0D9F"/>
    <w:rsid w:val="00CB13C6"/>
    <w:rsid w:val="00CB24A3"/>
    <w:rsid w:val="00CB42BA"/>
    <w:rsid w:val="00CC30D7"/>
    <w:rsid w:val="00CC4E4B"/>
    <w:rsid w:val="00CC5199"/>
    <w:rsid w:val="00CC7AE9"/>
    <w:rsid w:val="00CD0227"/>
    <w:rsid w:val="00CE0C47"/>
    <w:rsid w:val="00CF08F0"/>
    <w:rsid w:val="00CF3E44"/>
    <w:rsid w:val="00D02F70"/>
    <w:rsid w:val="00D143B7"/>
    <w:rsid w:val="00D17961"/>
    <w:rsid w:val="00D22D3C"/>
    <w:rsid w:val="00D273CD"/>
    <w:rsid w:val="00D3011C"/>
    <w:rsid w:val="00D34B08"/>
    <w:rsid w:val="00D35C20"/>
    <w:rsid w:val="00D41CBF"/>
    <w:rsid w:val="00D4711F"/>
    <w:rsid w:val="00D66ACD"/>
    <w:rsid w:val="00D709F8"/>
    <w:rsid w:val="00D721A2"/>
    <w:rsid w:val="00D72611"/>
    <w:rsid w:val="00D81AE0"/>
    <w:rsid w:val="00D82FCE"/>
    <w:rsid w:val="00D847B7"/>
    <w:rsid w:val="00D91610"/>
    <w:rsid w:val="00D9527A"/>
    <w:rsid w:val="00D95EB1"/>
    <w:rsid w:val="00D97C41"/>
    <w:rsid w:val="00DB1297"/>
    <w:rsid w:val="00DB20B2"/>
    <w:rsid w:val="00DC06C0"/>
    <w:rsid w:val="00DC4205"/>
    <w:rsid w:val="00DC5878"/>
    <w:rsid w:val="00DC73A5"/>
    <w:rsid w:val="00DC7D35"/>
    <w:rsid w:val="00DD644A"/>
    <w:rsid w:val="00DE11AB"/>
    <w:rsid w:val="00DE2470"/>
    <w:rsid w:val="00DF62D0"/>
    <w:rsid w:val="00E10870"/>
    <w:rsid w:val="00E12A1C"/>
    <w:rsid w:val="00E12F7B"/>
    <w:rsid w:val="00E20030"/>
    <w:rsid w:val="00E245E4"/>
    <w:rsid w:val="00E27F4A"/>
    <w:rsid w:val="00E30F79"/>
    <w:rsid w:val="00E33E4E"/>
    <w:rsid w:val="00E36400"/>
    <w:rsid w:val="00E44075"/>
    <w:rsid w:val="00E50AA1"/>
    <w:rsid w:val="00E5268B"/>
    <w:rsid w:val="00E57B1B"/>
    <w:rsid w:val="00E605EE"/>
    <w:rsid w:val="00E6298A"/>
    <w:rsid w:val="00E67963"/>
    <w:rsid w:val="00E77A8A"/>
    <w:rsid w:val="00E77EAF"/>
    <w:rsid w:val="00E854B4"/>
    <w:rsid w:val="00E86F3D"/>
    <w:rsid w:val="00E879FB"/>
    <w:rsid w:val="00E90448"/>
    <w:rsid w:val="00E9095B"/>
    <w:rsid w:val="00E9260F"/>
    <w:rsid w:val="00E9448D"/>
    <w:rsid w:val="00E94C0E"/>
    <w:rsid w:val="00EA1AA0"/>
    <w:rsid w:val="00EA5124"/>
    <w:rsid w:val="00EA6987"/>
    <w:rsid w:val="00EA6FCD"/>
    <w:rsid w:val="00EB3E0E"/>
    <w:rsid w:val="00EB3F2D"/>
    <w:rsid w:val="00EB74F2"/>
    <w:rsid w:val="00EC262F"/>
    <w:rsid w:val="00EC54C2"/>
    <w:rsid w:val="00EC6A26"/>
    <w:rsid w:val="00EF02B3"/>
    <w:rsid w:val="00EF116F"/>
    <w:rsid w:val="00EF2D5B"/>
    <w:rsid w:val="00EF51DB"/>
    <w:rsid w:val="00F00E14"/>
    <w:rsid w:val="00F00F21"/>
    <w:rsid w:val="00F01177"/>
    <w:rsid w:val="00F0610B"/>
    <w:rsid w:val="00F13AF9"/>
    <w:rsid w:val="00F22FFA"/>
    <w:rsid w:val="00F2761C"/>
    <w:rsid w:val="00F31F3B"/>
    <w:rsid w:val="00F36188"/>
    <w:rsid w:val="00F3700D"/>
    <w:rsid w:val="00F37B61"/>
    <w:rsid w:val="00F37DD4"/>
    <w:rsid w:val="00F4512D"/>
    <w:rsid w:val="00F52AAB"/>
    <w:rsid w:val="00F52EA1"/>
    <w:rsid w:val="00F570DB"/>
    <w:rsid w:val="00F575B1"/>
    <w:rsid w:val="00F63B43"/>
    <w:rsid w:val="00F67830"/>
    <w:rsid w:val="00F817B4"/>
    <w:rsid w:val="00F931EC"/>
    <w:rsid w:val="00FA2BD3"/>
    <w:rsid w:val="00FA5AC3"/>
    <w:rsid w:val="00FB4715"/>
    <w:rsid w:val="00FB5D29"/>
    <w:rsid w:val="00FC1782"/>
    <w:rsid w:val="00FC2D09"/>
    <w:rsid w:val="00FC2E73"/>
    <w:rsid w:val="00FC32FD"/>
    <w:rsid w:val="00FE16B3"/>
    <w:rsid w:val="00FE5571"/>
    <w:rsid w:val="00FF0910"/>
    <w:rsid w:val="00FF247F"/>
    <w:rsid w:val="00FF3066"/>
    <w:rsid w:val="00FF31DD"/>
    <w:rsid w:val="00FF5A97"/>
    <w:rsid w:val="00FF6C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1CD02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4"/>
      </w:numPr>
    </w:pPr>
  </w:style>
  <w:style w:type="paragraph" w:customStyle="1" w:styleId="Heading3numbered">
    <w:name w:val="Heading 3 numbered"/>
    <w:basedOn w:val="Heading3"/>
    <w:next w:val="Normal"/>
    <w:rsid w:val="002B2279"/>
    <w:pPr>
      <w:numPr>
        <w:ilvl w:val="2"/>
        <w:numId w:val="4"/>
      </w:numPr>
    </w:pPr>
  </w:style>
  <w:style w:type="paragraph" w:customStyle="1" w:styleId="List-bullet-2">
    <w:name w:val="List-bullet-2"/>
    <w:basedOn w:val="Normal"/>
    <w:rsid w:val="002B2279"/>
    <w:pPr>
      <w:numPr>
        <w:numId w:val="2"/>
      </w:numPr>
      <w:spacing w:before="80"/>
    </w:pPr>
    <w:rPr>
      <w:rFonts w:cs="Arial"/>
      <w:szCs w:val="22"/>
      <w:lang w:val="en-US"/>
    </w:rPr>
  </w:style>
  <w:style w:type="paragraph" w:customStyle="1" w:styleId="List-number-2">
    <w:name w:val="List-number-2"/>
    <w:basedOn w:val="Normal"/>
    <w:link w:val="List-number-2Char"/>
    <w:rsid w:val="002B2279"/>
    <w:pPr>
      <w:numPr>
        <w:ilvl w:val="1"/>
        <w:numId w:val="3"/>
      </w:numPr>
    </w:pPr>
  </w:style>
  <w:style w:type="paragraph" w:customStyle="1" w:styleId="Normal-indent">
    <w:name w:val="Normal-indent"/>
    <w:basedOn w:val="Normal"/>
    <w:rsid w:val="002B2279"/>
    <w:pPr>
      <w:ind w:left="357"/>
    </w:pPr>
    <w:rPr>
      <w:lang w:eastAsia="en-AU"/>
    </w:rPr>
  </w:style>
  <w:style w:type="character" w:styleId="CommentReference">
    <w:name w:val="annotation reference"/>
    <w:uiPriority w:val="99"/>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5"/>
      </w:numPr>
    </w:pPr>
  </w:style>
  <w:style w:type="paragraph" w:customStyle="1" w:styleId="Table-list-number">
    <w:name w:val="Table-list-number"/>
    <w:basedOn w:val="Table-normal-text"/>
    <w:rsid w:val="002B2279"/>
    <w:pPr>
      <w:numPr>
        <w:numId w:val="6"/>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4"/>
      </w:numPr>
    </w:pPr>
  </w:style>
  <w:style w:type="paragraph" w:customStyle="1" w:styleId="List-bullet-1">
    <w:name w:val="List-bullet-1"/>
    <w:basedOn w:val="Normal"/>
    <w:rsid w:val="002B2279"/>
    <w:pPr>
      <w:numPr>
        <w:numId w:val="1"/>
      </w:numPr>
    </w:pPr>
    <w:rPr>
      <w:rFonts w:cs="Arial"/>
      <w:szCs w:val="22"/>
    </w:rPr>
  </w:style>
  <w:style w:type="paragraph" w:customStyle="1" w:styleId="List-number-1">
    <w:name w:val="List-number-1"/>
    <w:basedOn w:val="Normal"/>
    <w:rsid w:val="002B2279"/>
    <w:pPr>
      <w:numPr>
        <w:numId w:val="3"/>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link w:val="CommentTextChar"/>
    <w:uiPriority w:val="99"/>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eastAsia="en-US"/>
    </w:rPr>
  </w:style>
  <w:style w:type="table" w:customStyle="1" w:styleId="Tablewithnoheader">
    <w:name w:val="Table with no header"/>
    <w:basedOn w:val="TableNormal"/>
    <w:rsid w:val="002B2279"/>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2B2279"/>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styleId="ListParagraph">
    <w:name w:val="List Paragraph"/>
    <w:basedOn w:val="Normal"/>
    <w:uiPriority w:val="34"/>
    <w:qFormat/>
    <w:rsid w:val="00AB2A44"/>
    <w:pPr>
      <w:ind w:left="720"/>
      <w:contextualSpacing/>
    </w:pPr>
  </w:style>
  <w:style w:type="paragraph" w:styleId="EndnoteText">
    <w:name w:val="endnote text"/>
    <w:basedOn w:val="Normal"/>
    <w:link w:val="EndnoteTextChar"/>
    <w:rsid w:val="004F4718"/>
    <w:pPr>
      <w:spacing w:before="0"/>
    </w:pPr>
    <w:rPr>
      <w:szCs w:val="20"/>
    </w:rPr>
  </w:style>
  <w:style w:type="character" w:customStyle="1" w:styleId="EndnoteTextChar">
    <w:name w:val="Endnote Text Char"/>
    <w:basedOn w:val="DefaultParagraphFont"/>
    <w:link w:val="EndnoteText"/>
    <w:rsid w:val="004F4718"/>
    <w:rPr>
      <w:rFonts w:ascii="Arial" w:hAnsi="Arial"/>
      <w:lang w:eastAsia="en-US"/>
    </w:rPr>
  </w:style>
  <w:style w:type="character" w:styleId="EndnoteReference">
    <w:name w:val="endnote reference"/>
    <w:basedOn w:val="DefaultParagraphFont"/>
    <w:rsid w:val="004F4718"/>
    <w:rPr>
      <w:vertAlign w:val="superscript"/>
    </w:rPr>
  </w:style>
  <w:style w:type="character" w:customStyle="1" w:styleId="CommentTextChar">
    <w:name w:val="Comment Text Char"/>
    <w:basedOn w:val="DefaultParagraphFont"/>
    <w:link w:val="CommentText"/>
    <w:uiPriority w:val="99"/>
    <w:semiHidden/>
    <w:rsid w:val="005831C3"/>
    <w:rPr>
      <w:rFonts w:ascii="Arial" w:hAnsi="Arial"/>
      <w:lang w:eastAsia="en-US"/>
    </w:rPr>
  </w:style>
  <w:style w:type="paragraph" w:customStyle="1" w:styleId="Default">
    <w:name w:val="Default"/>
    <w:rsid w:val="002E718D"/>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4"/>
      </w:numPr>
    </w:pPr>
  </w:style>
  <w:style w:type="paragraph" w:customStyle="1" w:styleId="Heading3numbered">
    <w:name w:val="Heading 3 numbered"/>
    <w:basedOn w:val="Heading3"/>
    <w:next w:val="Normal"/>
    <w:rsid w:val="002B2279"/>
    <w:pPr>
      <w:numPr>
        <w:ilvl w:val="2"/>
        <w:numId w:val="4"/>
      </w:numPr>
    </w:pPr>
  </w:style>
  <w:style w:type="paragraph" w:customStyle="1" w:styleId="List-bullet-2">
    <w:name w:val="List-bullet-2"/>
    <w:basedOn w:val="Normal"/>
    <w:rsid w:val="002B2279"/>
    <w:pPr>
      <w:numPr>
        <w:numId w:val="2"/>
      </w:numPr>
      <w:spacing w:before="80"/>
    </w:pPr>
    <w:rPr>
      <w:rFonts w:cs="Arial"/>
      <w:szCs w:val="22"/>
      <w:lang w:val="en-US"/>
    </w:rPr>
  </w:style>
  <w:style w:type="paragraph" w:customStyle="1" w:styleId="List-number-2">
    <w:name w:val="List-number-2"/>
    <w:basedOn w:val="Normal"/>
    <w:link w:val="List-number-2Char"/>
    <w:rsid w:val="002B2279"/>
    <w:pPr>
      <w:numPr>
        <w:ilvl w:val="1"/>
        <w:numId w:val="3"/>
      </w:numPr>
    </w:pPr>
  </w:style>
  <w:style w:type="paragraph" w:customStyle="1" w:styleId="Normal-indent">
    <w:name w:val="Normal-indent"/>
    <w:basedOn w:val="Normal"/>
    <w:rsid w:val="002B2279"/>
    <w:pPr>
      <w:ind w:left="357"/>
    </w:pPr>
    <w:rPr>
      <w:lang w:eastAsia="en-AU"/>
    </w:rPr>
  </w:style>
  <w:style w:type="character" w:styleId="CommentReference">
    <w:name w:val="annotation reference"/>
    <w:uiPriority w:val="99"/>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5"/>
      </w:numPr>
    </w:pPr>
  </w:style>
  <w:style w:type="paragraph" w:customStyle="1" w:styleId="Table-list-number">
    <w:name w:val="Table-list-number"/>
    <w:basedOn w:val="Table-normal-text"/>
    <w:rsid w:val="002B2279"/>
    <w:pPr>
      <w:numPr>
        <w:numId w:val="6"/>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4"/>
      </w:numPr>
    </w:pPr>
  </w:style>
  <w:style w:type="paragraph" w:customStyle="1" w:styleId="List-bullet-1">
    <w:name w:val="List-bullet-1"/>
    <w:basedOn w:val="Normal"/>
    <w:rsid w:val="002B2279"/>
    <w:pPr>
      <w:numPr>
        <w:numId w:val="1"/>
      </w:numPr>
    </w:pPr>
    <w:rPr>
      <w:rFonts w:cs="Arial"/>
      <w:szCs w:val="22"/>
    </w:rPr>
  </w:style>
  <w:style w:type="paragraph" w:customStyle="1" w:styleId="List-number-1">
    <w:name w:val="List-number-1"/>
    <w:basedOn w:val="Normal"/>
    <w:rsid w:val="002B2279"/>
    <w:pPr>
      <w:numPr>
        <w:numId w:val="3"/>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link w:val="CommentTextChar"/>
    <w:uiPriority w:val="99"/>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eastAsia="en-US"/>
    </w:rPr>
  </w:style>
  <w:style w:type="table" w:customStyle="1" w:styleId="Tablewithnoheader">
    <w:name w:val="Table with no header"/>
    <w:basedOn w:val="TableNormal"/>
    <w:rsid w:val="002B2279"/>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2B2279"/>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styleId="ListParagraph">
    <w:name w:val="List Paragraph"/>
    <w:basedOn w:val="Normal"/>
    <w:uiPriority w:val="34"/>
    <w:qFormat/>
    <w:rsid w:val="00AB2A44"/>
    <w:pPr>
      <w:ind w:left="720"/>
      <w:contextualSpacing/>
    </w:pPr>
  </w:style>
  <w:style w:type="paragraph" w:styleId="EndnoteText">
    <w:name w:val="endnote text"/>
    <w:basedOn w:val="Normal"/>
    <w:link w:val="EndnoteTextChar"/>
    <w:rsid w:val="004F4718"/>
    <w:pPr>
      <w:spacing w:before="0"/>
    </w:pPr>
    <w:rPr>
      <w:szCs w:val="20"/>
    </w:rPr>
  </w:style>
  <w:style w:type="character" w:customStyle="1" w:styleId="EndnoteTextChar">
    <w:name w:val="Endnote Text Char"/>
    <w:basedOn w:val="DefaultParagraphFont"/>
    <w:link w:val="EndnoteText"/>
    <w:rsid w:val="004F4718"/>
    <w:rPr>
      <w:rFonts w:ascii="Arial" w:hAnsi="Arial"/>
      <w:lang w:eastAsia="en-US"/>
    </w:rPr>
  </w:style>
  <w:style w:type="character" w:styleId="EndnoteReference">
    <w:name w:val="endnote reference"/>
    <w:basedOn w:val="DefaultParagraphFont"/>
    <w:rsid w:val="004F4718"/>
    <w:rPr>
      <w:vertAlign w:val="superscript"/>
    </w:rPr>
  </w:style>
  <w:style w:type="character" w:customStyle="1" w:styleId="CommentTextChar">
    <w:name w:val="Comment Text Char"/>
    <w:basedOn w:val="DefaultParagraphFont"/>
    <w:link w:val="CommentText"/>
    <w:uiPriority w:val="99"/>
    <w:semiHidden/>
    <w:rsid w:val="005831C3"/>
    <w:rPr>
      <w:rFonts w:ascii="Arial" w:hAnsi="Arial"/>
      <w:lang w:eastAsia="en-US"/>
    </w:rPr>
  </w:style>
  <w:style w:type="paragraph" w:customStyle="1" w:styleId="Default">
    <w:name w:val="Default"/>
    <w:rsid w:val="002E718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94EFFC-5D16-4030-AA79-827F202E8939}"/>
</file>

<file path=customXml/itemProps2.xml><?xml version="1.0" encoding="utf-8"?>
<ds:datastoreItem xmlns:ds="http://schemas.openxmlformats.org/officeDocument/2006/customXml" ds:itemID="{C9080D7D-113B-4366-9889-0D7CF1178F11}"/>
</file>

<file path=customXml/itemProps3.xml><?xml version="1.0" encoding="utf-8"?>
<ds:datastoreItem xmlns:ds="http://schemas.openxmlformats.org/officeDocument/2006/customXml" ds:itemID="{10EF0870-BD10-41C0-A345-29AC79C5382E}"/>
</file>

<file path=customXml/itemProps4.xml><?xml version="1.0" encoding="utf-8"?>
<ds:datastoreItem xmlns:ds="http://schemas.openxmlformats.org/officeDocument/2006/customXml" ds:itemID="{AC640EFC-CE17-4EDB-9EE8-EE961E397138}"/>
</file>

<file path=docProps/app.xml><?xml version="1.0" encoding="utf-8"?>
<Properties xmlns="http://schemas.openxmlformats.org/officeDocument/2006/extended-properties" xmlns:vt="http://schemas.openxmlformats.org/officeDocument/2006/docPropsVTypes">
  <Template>Normal.dotm</Template>
  <TotalTime>0</TotalTime>
  <Pages>6</Pages>
  <Words>2073</Words>
  <Characters>12185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2013-07-21T23:14:00Z</dcterms:created>
  <dcterms:modified xsi:type="dcterms:W3CDTF">2013-07-21T23:16:00Z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29000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