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CE3A" w14:textId="58D2B990" w:rsidR="0027309E" w:rsidRPr="003D2C0C" w:rsidRDefault="0064768C" w:rsidP="00421B00">
      <w:pPr>
        <w:jc w:val="center"/>
        <w:rPr>
          <w:b/>
          <w:sz w:val="36"/>
          <w:szCs w:val="36"/>
        </w:rPr>
      </w:pPr>
      <w:r w:rsidRPr="006138D3">
        <w:rPr>
          <w:b/>
          <w:sz w:val="36"/>
          <w:szCs w:val="36"/>
        </w:rPr>
        <w:t xml:space="preserve">Product Development </w:t>
      </w:r>
      <w:r w:rsidRPr="003D2C0C">
        <w:rPr>
          <w:b/>
          <w:sz w:val="36"/>
          <w:szCs w:val="36"/>
        </w:rPr>
        <w:t>Partnership</w:t>
      </w:r>
      <w:r w:rsidR="00550407">
        <w:rPr>
          <w:b/>
          <w:sz w:val="36"/>
          <w:szCs w:val="36"/>
        </w:rPr>
        <w:t>s</w:t>
      </w:r>
      <w:r w:rsidRPr="003D2C0C">
        <w:rPr>
          <w:b/>
          <w:sz w:val="36"/>
          <w:szCs w:val="36"/>
        </w:rPr>
        <w:t xml:space="preserve"> Fund</w:t>
      </w:r>
    </w:p>
    <w:p w14:paraId="3F497391" w14:textId="77777777" w:rsidR="0064768C" w:rsidRPr="003D2C0C" w:rsidRDefault="0064768C" w:rsidP="00421B00">
      <w:pPr>
        <w:jc w:val="center"/>
        <w:rPr>
          <w:b/>
          <w:sz w:val="36"/>
          <w:szCs w:val="36"/>
        </w:rPr>
      </w:pPr>
      <w:r w:rsidRPr="003D2C0C">
        <w:rPr>
          <w:b/>
          <w:sz w:val="36"/>
          <w:szCs w:val="36"/>
        </w:rPr>
        <w:t>Competitive Grant Guidelines</w:t>
      </w:r>
    </w:p>
    <w:p w14:paraId="7FE35C1C" w14:textId="77777777" w:rsidR="0064768C" w:rsidRPr="006138D3" w:rsidRDefault="0064768C" w:rsidP="00421B00">
      <w:pPr>
        <w:jc w:val="center"/>
        <w:rPr>
          <w:b/>
          <w:sz w:val="36"/>
          <w:szCs w:val="36"/>
        </w:rPr>
      </w:pPr>
      <w:r w:rsidRPr="003D2C0C">
        <w:rPr>
          <w:b/>
          <w:sz w:val="36"/>
          <w:szCs w:val="36"/>
        </w:rPr>
        <w:t>Request for Proposals</w:t>
      </w:r>
    </w:p>
    <w:p w14:paraId="5051A797" w14:textId="7C8164D6" w:rsidR="008B605C" w:rsidRPr="006138D3" w:rsidRDefault="008B605C" w:rsidP="00421B00">
      <w:pPr>
        <w:jc w:val="center"/>
        <w:rPr>
          <w:b/>
        </w:rPr>
      </w:pPr>
      <w:r w:rsidRPr="006138D3">
        <w:rPr>
          <w:b/>
        </w:rPr>
        <w:br w:type="page"/>
      </w:r>
    </w:p>
    <w:p w14:paraId="2D51668B" w14:textId="151E5779" w:rsidR="0064768C" w:rsidRPr="006138D3" w:rsidRDefault="0064768C" w:rsidP="00421B00">
      <w:pPr>
        <w:jc w:val="center"/>
        <w:rPr>
          <w:b/>
          <w:sz w:val="28"/>
          <w:szCs w:val="28"/>
        </w:rPr>
      </w:pPr>
      <w:r w:rsidRPr="006138D3">
        <w:rPr>
          <w:b/>
          <w:sz w:val="28"/>
          <w:szCs w:val="28"/>
        </w:rPr>
        <w:lastRenderedPageBreak/>
        <w:t>P</w:t>
      </w:r>
      <w:r w:rsidR="00412308">
        <w:rPr>
          <w:b/>
          <w:sz w:val="28"/>
          <w:szCs w:val="28"/>
        </w:rPr>
        <w:t>roduct Development Partnership</w:t>
      </w:r>
      <w:r w:rsidR="00550407">
        <w:rPr>
          <w:b/>
          <w:sz w:val="28"/>
          <w:szCs w:val="28"/>
        </w:rPr>
        <w:t>s</w:t>
      </w:r>
      <w:r w:rsidR="00412308">
        <w:rPr>
          <w:b/>
          <w:sz w:val="28"/>
          <w:szCs w:val="28"/>
        </w:rPr>
        <w:t xml:space="preserve"> Com</w:t>
      </w:r>
      <w:r w:rsidRPr="006138D3">
        <w:rPr>
          <w:b/>
          <w:sz w:val="28"/>
          <w:szCs w:val="28"/>
        </w:rPr>
        <w:t>petitive Grants</w:t>
      </w:r>
      <w:r w:rsidR="00240105" w:rsidRPr="006138D3">
        <w:rPr>
          <w:b/>
          <w:sz w:val="28"/>
          <w:szCs w:val="28"/>
        </w:rPr>
        <w:t xml:space="preserve"> Fund</w:t>
      </w:r>
    </w:p>
    <w:p w14:paraId="26D7B033" w14:textId="77777777" w:rsidR="0064768C" w:rsidRPr="006138D3" w:rsidRDefault="0064768C" w:rsidP="0064768C">
      <w:pPr>
        <w:rPr>
          <w:sz w:val="28"/>
          <w:szCs w:val="28"/>
        </w:rPr>
      </w:pPr>
    </w:p>
    <w:p w14:paraId="3B8F55DE" w14:textId="77777777" w:rsidR="00240105" w:rsidRPr="006138D3" w:rsidRDefault="00240105" w:rsidP="00240105">
      <w:pPr>
        <w:pStyle w:val="ListParagraph"/>
        <w:numPr>
          <w:ilvl w:val="0"/>
          <w:numId w:val="4"/>
        </w:numPr>
        <w:rPr>
          <w:b/>
          <w:sz w:val="28"/>
          <w:szCs w:val="28"/>
        </w:rPr>
      </w:pPr>
      <w:r w:rsidRPr="006138D3">
        <w:rPr>
          <w:b/>
          <w:sz w:val="28"/>
          <w:szCs w:val="28"/>
        </w:rPr>
        <w:t>Background</w:t>
      </w:r>
    </w:p>
    <w:p w14:paraId="364028A3" w14:textId="5195F569" w:rsidR="00D002ED" w:rsidRDefault="00D53937" w:rsidP="00D002ED">
      <w:pPr>
        <w:spacing w:after="0" w:line="240" w:lineRule="auto"/>
        <w:rPr>
          <w:rFonts w:ascii="Calibri" w:hAnsi="Calibri" w:cs="Arial"/>
          <w:lang w:val="en-GB"/>
        </w:rPr>
      </w:pPr>
      <w:r w:rsidRPr="006138D3">
        <w:rPr>
          <w:rFonts w:ascii="Calibri" w:hAnsi="Calibri" w:cs="Arial"/>
          <w:lang w:val="en-GB"/>
        </w:rPr>
        <w:t>The P</w:t>
      </w:r>
      <w:r w:rsidR="00444956" w:rsidRPr="006138D3">
        <w:rPr>
          <w:rFonts w:ascii="Calibri" w:hAnsi="Calibri" w:cs="Arial"/>
          <w:lang w:val="en-GB"/>
        </w:rPr>
        <w:t>roduct Development Partnership</w:t>
      </w:r>
      <w:r w:rsidR="00550407">
        <w:rPr>
          <w:rFonts w:ascii="Calibri" w:hAnsi="Calibri" w:cs="Arial"/>
          <w:lang w:val="en-GB"/>
        </w:rPr>
        <w:t>s</w:t>
      </w:r>
      <w:r w:rsidR="00444956" w:rsidRPr="006138D3">
        <w:rPr>
          <w:rFonts w:ascii="Calibri" w:hAnsi="Calibri" w:cs="Arial"/>
          <w:lang w:val="en-GB"/>
        </w:rPr>
        <w:t xml:space="preserve"> (PDP) </w:t>
      </w:r>
      <w:r w:rsidRPr="006138D3">
        <w:rPr>
          <w:rFonts w:ascii="Calibri" w:hAnsi="Calibri" w:cs="Arial"/>
          <w:lang w:val="en-GB"/>
        </w:rPr>
        <w:t>Competitive Grants Fund</w:t>
      </w:r>
      <w:r w:rsidR="006138D3" w:rsidRPr="006138D3">
        <w:rPr>
          <w:rFonts w:ascii="Calibri" w:hAnsi="Calibri" w:cs="Arial"/>
          <w:lang w:val="en-GB"/>
        </w:rPr>
        <w:t xml:space="preserve"> (the Fund)</w:t>
      </w:r>
      <w:r w:rsidRPr="006138D3">
        <w:rPr>
          <w:rFonts w:ascii="Calibri" w:hAnsi="Calibri" w:cs="Arial"/>
          <w:lang w:val="en-GB"/>
        </w:rPr>
        <w:t xml:space="preserve"> has been established</w:t>
      </w:r>
      <w:r w:rsidR="00444956" w:rsidRPr="006138D3">
        <w:rPr>
          <w:rFonts w:ascii="Calibri" w:hAnsi="Calibri" w:cs="Arial"/>
          <w:lang w:val="en-GB"/>
        </w:rPr>
        <w:t xml:space="preserve"> by the Australian Department of Foreign Affairs &amp; Trade (DFAT) under the Health Security Initiative </w:t>
      </w:r>
      <w:r w:rsidR="007A0245">
        <w:rPr>
          <w:rFonts w:ascii="Calibri" w:hAnsi="Calibri" w:cs="Arial"/>
          <w:lang w:val="en-GB"/>
        </w:rPr>
        <w:t xml:space="preserve">for the Indo-Pacific </w:t>
      </w:r>
      <w:r w:rsidRPr="006138D3">
        <w:rPr>
          <w:rFonts w:ascii="Calibri" w:hAnsi="Calibri" w:cs="Arial"/>
          <w:lang w:val="en-GB"/>
        </w:rPr>
        <w:t>to assist to</w:t>
      </w:r>
      <w:r w:rsidR="008B605C" w:rsidRPr="006138D3">
        <w:rPr>
          <w:rFonts w:ascii="Calibri" w:hAnsi="Calibri" w:cs="Arial"/>
          <w:lang w:val="en-GB"/>
        </w:rPr>
        <w:t xml:space="preserve"> reduce the burden of high prevalence diseases</w:t>
      </w:r>
      <w:r w:rsidR="00444956" w:rsidRPr="006138D3">
        <w:rPr>
          <w:rFonts w:ascii="Calibri" w:hAnsi="Calibri" w:cs="Arial"/>
          <w:lang w:val="en-GB"/>
        </w:rPr>
        <w:t xml:space="preserve"> (TB, malaria)</w:t>
      </w:r>
      <w:r w:rsidR="008B605C" w:rsidRPr="006138D3">
        <w:rPr>
          <w:rFonts w:ascii="Calibri" w:hAnsi="Calibri" w:cs="Arial"/>
          <w:lang w:val="en-GB"/>
        </w:rPr>
        <w:t xml:space="preserve"> in </w:t>
      </w:r>
      <w:r w:rsidR="00444956" w:rsidRPr="006138D3">
        <w:rPr>
          <w:rFonts w:ascii="Calibri" w:hAnsi="Calibri" w:cs="Arial"/>
          <w:lang w:val="en-GB"/>
        </w:rPr>
        <w:t xml:space="preserve">the Indo-Pacific, and to </w:t>
      </w:r>
      <w:r w:rsidRPr="006138D3">
        <w:rPr>
          <w:rFonts w:ascii="Calibri" w:hAnsi="Calibri" w:cs="Arial"/>
          <w:lang w:val="en-GB"/>
        </w:rPr>
        <w:t xml:space="preserve">halt </w:t>
      </w:r>
      <w:r w:rsidR="008B605C" w:rsidRPr="006138D3">
        <w:rPr>
          <w:rFonts w:ascii="Calibri" w:hAnsi="Calibri" w:cs="Arial"/>
          <w:lang w:val="en-GB"/>
        </w:rPr>
        <w:t xml:space="preserve">the spread of drug-resistant strains of </w:t>
      </w:r>
      <w:r w:rsidR="00444956" w:rsidRPr="006138D3">
        <w:rPr>
          <w:rFonts w:ascii="Calibri" w:hAnsi="Calibri" w:cs="Arial"/>
          <w:lang w:val="en-GB"/>
        </w:rPr>
        <w:t>TB and malaria in the region.  DFAT</w:t>
      </w:r>
      <w:r w:rsidR="006138D3" w:rsidRPr="006138D3">
        <w:rPr>
          <w:rFonts w:ascii="Calibri" w:hAnsi="Calibri" w:cs="Arial"/>
          <w:lang w:val="en-GB"/>
        </w:rPr>
        <w:t xml:space="preserve"> </w:t>
      </w:r>
      <w:r w:rsidR="00444956" w:rsidRPr="006138D3">
        <w:rPr>
          <w:rFonts w:ascii="Calibri" w:hAnsi="Calibri" w:cs="Arial"/>
          <w:lang w:val="en-GB"/>
        </w:rPr>
        <w:t xml:space="preserve">invites proposals from eligible PDPs to submit </w:t>
      </w:r>
      <w:r w:rsidR="006138D3" w:rsidRPr="006138D3">
        <w:rPr>
          <w:rFonts w:ascii="Calibri" w:hAnsi="Calibri" w:cs="Arial"/>
          <w:lang w:val="en-GB"/>
        </w:rPr>
        <w:t>applications for funding</w:t>
      </w:r>
      <w:r w:rsidR="00444956" w:rsidRPr="006138D3">
        <w:rPr>
          <w:rFonts w:ascii="Calibri" w:hAnsi="Calibri" w:cs="Arial"/>
          <w:lang w:val="en-GB"/>
        </w:rPr>
        <w:t xml:space="preserve"> that focus on the development of diagnostics and therapeutics for TB and malaria and</w:t>
      </w:r>
      <w:r w:rsidR="006138D3" w:rsidRPr="006138D3">
        <w:rPr>
          <w:rFonts w:ascii="Calibri" w:hAnsi="Calibri" w:cs="Arial"/>
          <w:lang w:val="en-GB"/>
        </w:rPr>
        <w:t>/or</w:t>
      </w:r>
      <w:r w:rsidR="00444956" w:rsidRPr="006138D3">
        <w:rPr>
          <w:rFonts w:ascii="Calibri" w:hAnsi="Calibri" w:cs="Arial"/>
          <w:lang w:val="en-GB"/>
        </w:rPr>
        <w:t xml:space="preserve"> vector control tools for malaria and other high burden mosquito borne diseases.</w:t>
      </w:r>
      <w:r w:rsidR="006138D3" w:rsidRPr="006138D3">
        <w:rPr>
          <w:rFonts w:ascii="Calibri" w:hAnsi="Calibri" w:cs="Arial"/>
          <w:lang w:val="en-GB"/>
        </w:rPr>
        <w:t xml:space="preserve"> </w:t>
      </w:r>
    </w:p>
    <w:p w14:paraId="53A0FFBF" w14:textId="77777777" w:rsidR="00D002ED" w:rsidRDefault="00D002ED" w:rsidP="002F3B8B">
      <w:pPr>
        <w:spacing w:after="0" w:line="240" w:lineRule="auto"/>
        <w:rPr>
          <w:rFonts w:ascii="Calibri" w:hAnsi="Calibri" w:cs="Arial"/>
          <w:lang w:val="en-GB"/>
        </w:rPr>
      </w:pPr>
    </w:p>
    <w:p w14:paraId="6054D68B" w14:textId="6700E787" w:rsidR="002E1D97" w:rsidRPr="006138D3" w:rsidRDefault="00D002ED" w:rsidP="00D002ED">
      <w:pPr>
        <w:spacing w:after="0" w:line="240" w:lineRule="auto"/>
        <w:rPr>
          <w:rFonts w:ascii="Calibri" w:hAnsi="Calibri" w:cs="Arial"/>
          <w:lang w:val="en-GB"/>
        </w:rPr>
      </w:pPr>
      <w:r w:rsidRPr="002F3B8B">
        <w:rPr>
          <w:lang w:val="en-GB"/>
        </w:rPr>
        <w:t xml:space="preserve">The total investment will be up to AUD75 million over five years.  This will comprise of up to AUD50 million for an initial three year period, with up to AUD25 million </w:t>
      </w:r>
      <w:r>
        <w:rPr>
          <w:lang w:val="en-GB"/>
        </w:rPr>
        <w:t xml:space="preserve">in the subsequent </w:t>
      </w:r>
      <w:r w:rsidRPr="002F3B8B">
        <w:rPr>
          <w:lang w:val="en-GB"/>
        </w:rPr>
        <w:t>two years, subject to an external evaluation.</w:t>
      </w:r>
      <w:r>
        <w:rPr>
          <w:lang w:val="en-GB"/>
        </w:rPr>
        <w:t xml:space="preserve"> </w:t>
      </w:r>
      <w:r>
        <w:rPr>
          <w:rFonts w:ascii="Calibri" w:hAnsi="Calibri" w:cs="Arial"/>
          <w:lang w:val="en-GB"/>
        </w:rPr>
        <w:t>DFAT</w:t>
      </w:r>
      <w:r w:rsidR="00550407">
        <w:rPr>
          <w:rFonts w:ascii="Calibri" w:hAnsi="Calibri" w:cs="Arial"/>
          <w:lang w:val="en-GB"/>
        </w:rPr>
        <w:t xml:space="preserve"> </w:t>
      </w:r>
      <w:r w:rsidR="006F583C">
        <w:rPr>
          <w:rFonts w:ascii="Calibri" w:hAnsi="Calibri" w:cs="Arial"/>
          <w:lang w:val="en-GB"/>
        </w:rPr>
        <w:t xml:space="preserve">expects to </w:t>
      </w:r>
      <w:r w:rsidR="00082B05" w:rsidRPr="006F583C">
        <w:rPr>
          <w:rFonts w:ascii="Calibri" w:hAnsi="Calibri" w:cs="Arial"/>
          <w:lang w:val="en-GB"/>
        </w:rPr>
        <w:t xml:space="preserve">fund up to </w:t>
      </w:r>
      <w:r w:rsidR="00431996" w:rsidRPr="006F583C">
        <w:rPr>
          <w:rFonts w:ascii="Calibri" w:hAnsi="Calibri" w:cs="Arial"/>
          <w:lang w:val="en-GB"/>
        </w:rPr>
        <w:t>four</w:t>
      </w:r>
      <w:r w:rsidR="00082B05" w:rsidRPr="006F583C">
        <w:rPr>
          <w:rFonts w:ascii="Calibri" w:hAnsi="Calibri" w:cs="Arial"/>
          <w:lang w:val="en-GB"/>
        </w:rPr>
        <w:t xml:space="preserve"> PDP</w:t>
      </w:r>
      <w:r>
        <w:rPr>
          <w:rFonts w:ascii="Calibri" w:hAnsi="Calibri" w:cs="Arial"/>
          <w:lang w:val="en-GB"/>
        </w:rPr>
        <w:t>s</w:t>
      </w:r>
      <w:r w:rsidR="00082B05" w:rsidRPr="006F583C">
        <w:rPr>
          <w:rFonts w:ascii="Calibri" w:hAnsi="Calibri" w:cs="Arial"/>
          <w:lang w:val="en-GB"/>
        </w:rPr>
        <w:t xml:space="preserve"> for </w:t>
      </w:r>
      <w:r w:rsidR="006138D3" w:rsidRPr="006F583C">
        <w:rPr>
          <w:rFonts w:ascii="Calibri" w:hAnsi="Calibri" w:cs="Arial"/>
          <w:lang w:val="en-GB"/>
        </w:rPr>
        <w:t xml:space="preserve">AUD </w:t>
      </w:r>
      <w:r w:rsidR="00082B05" w:rsidRPr="006F583C">
        <w:rPr>
          <w:rFonts w:ascii="Calibri" w:hAnsi="Calibri" w:cs="Arial"/>
          <w:lang w:val="en-GB"/>
        </w:rPr>
        <w:t>1</w:t>
      </w:r>
      <w:r w:rsidR="006F583C" w:rsidRPr="006F583C">
        <w:rPr>
          <w:rFonts w:ascii="Calibri" w:hAnsi="Calibri" w:cs="Arial"/>
          <w:lang w:val="en-GB"/>
        </w:rPr>
        <w:t>0 - 15</w:t>
      </w:r>
      <w:r w:rsidR="00082B05" w:rsidRPr="002F3B8B">
        <w:rPr>
          <w:rFonts w:ascii="Calibri" w:hAnsi="Calibri" w:cs="Arial"/>
          <w:lang w:val="en-GB"/>
        </w:rPr>
        <w:t xml:space="preserve"> million per proposal</w:t>
      </w:r>
      <w:r>
        <w:rPr>
          <w:rFonts w:ascii="Calibri" w:hAnsi="Calibri" w:cs="Arial"/>
          <w:lang w:val="en-GB"/>
        </w:rPr>
        <w:t xml:space="preserve"> over three years</w:t>
      </w:r>
      <w:r w:rsidR="00550407" w:rsidRPr="002F3B8B">
        <w:rPr>
          <w:rFonts w:ascii="Calibri" w:hAnsi="Calibri" w:cs="Arial"/>
          <w:lang w:val="en-GB"/>
        </w:rPr>
        <w:t>.</w:t>
      </w:r>
      <w:r w:rsidR="006F583C" w:rsidRPr="002F3B8B">
        <w:rPr>
          <w:rFonts w:ascii="Calibri" w:hAnsi="Calibri" w:cs="Arial"/>
          <w:lang w:val="en-GB"/>
        </w:rPr>
        <w:t xml:space="preserve"> However funding of up to AUD 20 million may be considered for outstanding proposals. </w:t>
      </w:r>
      <w:r>
        <w:rPr>
          <w:rFonts w:ascii="Calibri" w:hAnsi="Calibri" w:cs="Arial"/>
          <w:lang w:val="en-GB"/>
        </w:rPr>
        <w:t xml:space="preserve"> </w:t>
      </w:r>
    </w:p>
    <w:p w14:paraId="1AF5CA16" w14:textId="77777777" w:rsidR="00082B05" w:rsidRPr="006138D3" w:rsidRDefault="00082B05" w:rsidP="00D53937">
      <w:pPr>
        <w:spacing w:after="0" w:line="240" w:lineRule="auto"/>
        <w:rPr>
          <w:rFonts w:ascii="Calibri" w:hAnsi="Calibri" w:cs="Arial"/>
          <w:lang w:val="en-GB"/>
        </w:rPr>
      </w:pPr>
    </w:p>
    <w:p w14:paraId="24185147" w14:textId="3A306D28" w:rsidR="008B605C" w:rsidRDefault="00444956" w:rsidP="00D53937">
      <w:pPr>
        <w:spacing w:after="0" w:line="240" w:lineRule="auto"/>
        <w:rPr>
          <w:rFonts w:ascii="Calibri" w:hAnsi="Calibri" w:cs="Arial"/>
          <w:lang w:val="en-GB"/>
        </w:rPr>
      </w:pPr>
      <w:r w:rsidRPr="006138D3">
        <w:rPr>
          <w:rFonts w:ascii="Calibri" w:hAnsi="Calibri" w:cs="Arial"/>
          <w:lang w:val="en-GB"/>
        </w:rPr>
        <w:t>Product Development Partnerships</w:t>
      </w:r>
      <w:r w:rsidR="002E1D97" w:rsidRPr="006138D3">
        <w:rPr>
          <w:rFonts w:ascii="Calibri" w:hAnsi="Calibri" w:cs="Arial"/>
          <w:lang w:val="en-GB"/>
        </w:rPr>
        <w:t xml:space="preserve"> are non-profit organizations that use public and philanthropic funds to engage the pharmaceutical industry and academic research institutions to undertake research and development (R &amp; D) for diseases of the developing world that they would normally be unable or unwilling to pursue independently without additional incentive</w:t>
      </w:r>
      <w:r w:rsidR="008B605C" w:rsidRPr="006138D3">
        <w:rPr>
          <w:rFonts w:ascii="Calibri" w:hAnsi="Calibri" w:cs="Arial"/>
          <w:lang w:val="en-GB"/>
        </w:rPr>
        <w:t>.</w:t>
      </w:r>
      <w:r w:rsidR="002E1D97" w:rsidRPr="006138D3">
        <w:rPr>
          <w:rFonts w:ascii="Calibri" w:hAnsi="Calibri" w:cs="Arial"/>
          <w:lang w:val="en-GB"/>
        </w:rPr>
        <w:t xml:space="preserve">  The Fund aims to capitalise on the strengths of the PDP model to incentivise medical product development solutions for the Indo-Pacific.</w:t>
      </w:r>
    </w:p>
    <w:p w14:paraId="6ED86F7F" w14:textId="77777777" w:rsidR="002F3B8B" w:rsidRPr="006138D3" w:rsidRDefault="002F3B8B" w:rsidP="00D53937">
      <w:pPr>
        <w:spacing w:after="0" w:line="240" w:lineRule="auto"/>
        <w:rPr>
          <w:rFonts w:ascii="Calibri" w:hAnsi="Calibri" w:cs="Arial"/>
          <w:lang w:val="en-GB"/>
        </w:rPr>
      </w:pPr>
    </w:p>
    <w:p w14:paraId="7420D216" w14:textId="2BE1F021" w:rsidR="00444956" w:rsidRPr="006138D3" w:rsidRDefault="00444956" w:rsidP="00444956">
      <w:pPr>
        <w:rPr>
          <w:rFonts w:ascii="Calibri" w:hAnsi="Calibri" w:cs="Arial"/>
          <w:lang w:val="en-GB"/>
        </w:rPr>
      </w:pPr>
      <w:r w:rsidRPr="006138D3">
        <w:rPr>
          <w:rFonts w:ascii="Calibri" w:hAnsi="Calibri" w:cs="Arial"/>
          <w:lang w:val="en-GB"/>
        </w:rPr>
        <w:t>The Fund contribute</w:t>
      </w:r>
      <w:r w:rsidR="00051B49" w:rsidRPr="006138D3">
        <w:rPr>
          <w:rFonts w:ascii="Calibri" w:hAnsi="Calibri" w:cs="Arial"/>
          <w:lang w:val="en-GB"/>
        </w:rPr>
        <w:t>s to the strategic objectives of the</w:t>
      </w:r>
      <w:r w:rsidRPr="006138D3">
        <w:rPr>
          <w:rFonts w:ascii="Calibri" w:hAnsi="Calibri" w:cs="Arial"/>
          <w:lang w:val="en-GB"/>
        </w:rPr>
        <w:t xml:space="preserve"> </w:t>
      </w:r>
      <w:r w:rsidR="00051B49" w:rsidRPr="006138D3">
        <w:rPr>
          <w:rFonts w:ascii="Calibri" w:hAnsi="Calibri" w:cs="Arial"/>
          <w:lang w:val="en-GB"/>
        </w:rPr>
        <w:t xml:space="preserve">DFAT </w:t>
      </w:r>
      <w:r w:rsidRPr="006138D3">
        <w:rPr>
          <w:rFonts w:ascii="Calibri" w:hAnsi="Calibri" w:cs="Arial"/>
          <w:lang w:val="en-GB"/>
        </w:rPr>
        <w:t xml:space="preserve">Health for Development </w:t>
      </w:r>
      <w:r w:rsidR="00051B49" w:rsidRPr="006138D3">
        <w:rPr>
          <w:rFonts w:ascii="Calibri" w:hAnsi="Calibri" w:cs="Arial"/>
          <w:lang w:val="en-GB"/>
        </w:rPr>
        <w:t>S</w:t>
      </w:r>
      <w:r w:rsidRPr="006138D3">
        <w:rPr>
          <w:rFonts w:ascii="Calibri" w:hAnsi="Calibri" w:cs="Arial"/>
          <w:lang w:val="en-GB"/>
        </w:rPr>
        <w:t>trategy</w:t>
      </w:r>
      <w:r w:rsidR="00051B49" w:rsidRPr="006138D3">
        <w:rPr>
          <w:rFonts w:ascii="Calibri" w:hAnsi="Calibri" w:cs="Arial"/>
          <w:lang w:val="en-GB"/>
        </w:rPr>
        <w:t>, 2015-2020 by developing new approaches and solutions to cross-border health threats</w:t>
      </w:r>
      <w:r w:rsidRPr="006138D3">
        <w:rPr>
          <w:rFonts w:ascii="Calibri" w:hAnsi="Calibri" w:cs="Arial"/>
          <w:lang w:val="en-GB"/>
        </w:rPr>
        <w:t xml:space="preserve">.  </w:t>
      </w:r>
    </w:p>
    <w:p w14:paraId="37336122" w14:textId="411C0A85" w:rsidR="0064768C" w:rsidRPr="006138D3" w:rsidRDefault="002E1D97" w:rsidP="0064768C">
      <w:pPr>
        <w:rPr>
          <w:rFonts w:ascii="Calibri" w:hAnsi="Calibri" w:cs="Arial"/>
          <w:lang w:val="en-GB"/>
        </w:rPr>
      </w:pPr>
      <w:r w:rsidRPr="006138D3">
        <w:rPr>
          <w:rFonts w:ascii="Calibri" w:hAnsi="Calibri" w:cs="Arial"/>
          <w:lang w:val="en-GB"/>
        </w:rPr>
        <w:t>P</w:t>
      </w:r>
      <w:r w:rsidR="0064768C" w:rsidRPr="006138D3">
        <w:rPr>
          <w:rFonts w:ascii="Calibri" w:hAnsi="Calibri" w:cs="Arial"/>
          <w:lang w:val="en-GB"/>
        </w:rPr>
        <w:t>roposals will be reviewed and assessed according to the:</w:t>
      </w:r>
    </w:p>
    <w:p w14:paraId="492221C7" w14:textId="77777777" w:rsidR="0064768C" w:rsidRPr="006138D3" w:rsidRDefault="00FB50E3" w:rsidP="0064768C">
      <w:pPr>
        <w:pStyle w:val="ListParagraph"/>
        <w:numPr>
          <w:ilvl w:val="0"/>
          <w:numId w:val="2"/>
        </w:numPr>
        <w:rPr>
          <w:rFonts w:ascii="Calibri" w:hAnsi="Calibri" w:cs="Arial"/>
          <w:lang w:val="en-GB"/>
        </w:rPr>
      </w:pPr>
      <w:r w:rsidRPr="006138D3">
        <w:rPr>
          <w:rFonts w:ascii="Calibri" w:hAnsi="Calibri" w:cs="Arial"/>
          <w:lang w:val="en-GB"/>
        </w:rPr>
        <w:t>Merit</w:t>
      </w:r>
      <w:r w:rsidR="0064768C" w:rsidRPr="006138D3">
        <w:rPr>
          <w:rFonts w:ascii="Calibri" w:hAnsi="Calibri" w:cs="Arial"/>
          <w:lang w:val="en-GB"/>
        </w:rPr>
        <w:t xml:space="preserve"> of the technical proposal</w:t>
      </w:r>
    </w:p>
    <w:p w14:paraId="3D76B39F" w14:textId="77777777" w:rsidR="0064768C" w:rsidRPr="006138D3" w:rsidRDefault="00FB50E3" w:rsidP="0064768C">
      <w:pPr>
        <w:pStyle w:val="ListParagraph"/>
        <w:numPr>
          <w:ilvl w:val="0"/>
          <w:numId w:val="2"/>
        </w:numPr>
        <w:rPr>
          <w:rFonts w:ascii="Calibri" w:hAnsi="Calibri" w:cs="Arial"/>
          <w:lang w:val="en-GB"/>
        </w:rPr>
      </w:pPr>
      <w:r w:rsidRPr="006138D3">
        <w:rPr>
          <w:rFonts w:ascii="Calibri" w:hAnsi="Calibri" w:cs="Arial"/>
          <w:lang w:val="en-GB"/>
        </w:rPr>
        <w:t>Assessment</w:t>
      </w:r>
      <w:r w:rsidR="0064768C" w:rsidRPr="006138D3">
        <w:rPr>
          <w:rFonts w:ascii="Calibri" w:hAnsi="Calibri" w:cs="Arial"/>
          <w:lang w:val="en-GB"/>
        </w:rPr>
        <w:t xml:space="preserve"> of the capacity of the </w:t>
      </w:r>
      <w:r w:rsidRPr="006138D3">
        <w:rPr>
          <w:rFonts w:ascii="Calibri" w:hAnsi="Calibri" w:cs="Arial"/>
          <w:lang w:val="en-GB"/>
        </w:rPr>
        <w:t>proposing</w:t>
      </w:r>
      <w:r w:rsidR="0064768C" w:rsidRPr="006138D3">
        <w:rPr>
          <w:rFonts w:ascii="Calibri" w:hAnsi="Calibri" w:cs="Arial"/>
          <w:lang w:val="en-GB"/>
        </w:rPr>
        <w:t xml:space="preserve"> organisation to deliver the desired </w:t>
      </w:r>
      <w:r w:rsidRPr="006138D3">
        <w:rPr>
          <w:rFonts w:ascii="Calibri" w:hAnsi="Calibri" w:cs="Arial"/>
          <w:lang w:val="en-GB"/>
        </w:rPr>
        <w:t>results</w:t>
      </w:r>
    </w:p>
    <w:p w14:paraId="0DD5BCEC" w14:textId="77777777" w:rsidR="0064768C" w:rsidRPr="006138D3" w:rsidRDefault="0064768C" w:rsidP="0064768C">
      <w:pPr>
        <w:pStyle w:val="ListParagraph"/>
        <w:numPr>
          <w:ilvl w:val="0"/>
          <w:numId w:val="2"/>
        </w:numPr>
        <w:rPr>
          <w:rFonts w:ascii="Calibri" w:hAnsi="Calibri" w:cs="Arial"/>
          <w:lang w:val="en-GB"/>
        </w:rPr>
      </w:pPr>
      <w:r w:rsidRPr="006138D3">
        <w:rPr>
          <w:rFonts w:ascii="Calibri" w:hAnsi="Calibri" w:cs="Arial"/>
          <w:lang w:val="en-GB"/>
        </w:rPr>
        <w:t>Expected value for money from t</w:t>
      </w:r>
      <w:r w:rsidR="00FB50E3" w:rsidRPr="006138D3">
        <w:rPr>
          <w:rFonts w:ascii="Calibri" w:hAnsi="Calibri" w:cs="Arial"/>
          <w:lang w:val="en-GB"/>
        </w:rPr>
        <w:t>h</w:t>
      </w:r>
      <w:r w:rsidRPr="006138D3">
        <w:rPr>
          <w:rFonts w:ascii="Calibri" w:hAnsi="Calibri" w:cs="Arial"/>
          <w:lang w:val="en-GB"/>
        </w:rPr>
        <w:t>e proposed activities</w:t>
      </w:r>
    </w:p>
    <w:p w14:paraId="1176D91E" w14:textId="58A2B965" w:rsidR="0064768C" w:rsidRPr="006138D3" w:rsidRDefault="00892DE7" w:rsidP="002E1D97">
      <w:pPr>
        <w:pStyle w:val="ListParagraph"/>
        <w:numPr>
          <w:ilvl w:val="0"/>
          <w:numId w:val="2"/>
        </w:numPr>
        <w:rPr>
          <w:rFonts w:ascii="Calibri" w:hAnsi="Calibri" w:cs="Arial"/>
          <w:lang w:val="en-GB"/>
        </w:rPr>
      </w:pPr>
      <w:r w:rsidRPr="006138D3">
        <w:rPr>
          <w:rFonts w:ascii="Calibri" w:hAnsi="Calibri" w:cs="Arial"/>
          <w:lang w:val="en-GB"/>
        </w:rPr>
        <w:t>Alignment</w:t>
      </w:r>
      <w:r w:rsidR="002E1D97" w:rsidRPr="006138D3">
        <w:rPr>
          <w:rFonts w:ascii="Calibri" w:hAnsi="Calibri" w:cs="Arial"/>
          <w:lang w:val="en-GB"/>
        </w:rPr>
        <w:t xml:space="preserve"> of the proposal </w:t>
      </w:r>
      <w:r w:rsidR="0064768C" w:rsidRPr="006138D3">
        <w:rPr>
          <w:rFonts w:ascii="Calibri" w:hAnsi="Calibri" w:cs="Arial"/>
          <w:lang w:val="en-GB"/>
        </w:rPr>
        <w:t xml:space="preserve">to goal of the PDP design </w:t>
      </w:r>
    </w:p>
    <w:p w14:paraId="17741863" w14:textId="77777777" w:rsidR="006A5B7A" w:rsidRPr="006138D3" w:rsidRDefault="006A5B7A" w:rsidP="0064768C">
      <w:pPr>
        <w:pStyle w:val="ListParagraph"/>
        <w:rPr>
          <w:rFonts w:ascii="Calibri" w:hAnsi="Calibri" w:cs="Arial"/>
          <w:lang w:val="en-GB"/>
        </w:rPr>
      </w:pPr>
    </w:p>
    <w:p w14:paraId="12701C6F" w14:textId="44930646" w:rsidR="006A5B7A" w:rsidRPr="006138D3" w:rsidRDefault="006A5B7A" w:rsidP="006A5B7A">
      <w:pPr>
        <w:pStyle w:val="ListParagraph"/>
        <w:numPr>
          <w:ilvl w:val="0"/>
          <w:numId w:val="4"/>
        </w:numPr>
        <w:rPr>
          <w:b/>
          <w:sz w:val="28"/>
          <w:szCs w:val="28"/>
        </w:rPr>
      </w:pPr>
      <w:r w:rsidRPr="006138D3">
        <w:rPr>
          <w:b/>
          <w:sz w:val="28"/>
          <w:szCs w:val="28"/>
        </w:rPr>
        <w:t xml:space="preserve">Objectives </w:t>
      </w:r>
    </w:p>
    <w:p w14:paraId="2283BD84" w14:textId="2047538C" w:rsidR="002E1D97" w:rsidRPr="006138D3" w:rsidRDefault="002E1D97" w:rsidP="002E1D97">
      <w:pPr>
        <w:rPr>
          <w:rFonts w:ascii="Calibri" w:hAnsi="Calibri" w:cs="Arial"/>
          <w:lang w:val="en-GB"/>
        </w:rPr>
      </w:pPr>
      <w:r w:rsidRPr="006138D3">
        <w:rPr>
          <w:rFonts w:ascii="Calibri" w:hAnsi="Calibri" w:cs="Arial"/>
          <w:lang w:val="en-GB"/>
        </w:rPr>
        <w:t>The objective of the Fund is to accelerate access to</w:t>
      </w:r>
      <w:r w:rsidR="007A0245">
        <w:rPr>
          <w:rFonts w:ascii="Calibri" w:hAnsi="Calibri" w:cs="Arial"/>
          <w:lang w:val="en-GB"/>
        </w:rPr>
        <w:t xml:space="preserve"> new and effective</w:t>
      </w:r>
      <w:r w:rsidR="00082B05" w:rsidRPr="006138D3">
        <w:rPr>
          <w:rFonts w:ascii="Calibri" w:hAnsi="Calibri" w:cs="Arial"/>
          <w:lang w:val="en-GB"/>
        </w:rPr>
        <w:t xml:space="preserve"> tools and approaches to emerging and acute public health threats, including drug resistance in the Indo</w:t>
      </w:r>
      <w:r w:rsidR="0073459F">
        <w:rPr>
          <w:rFonts w:ascii="Calibri" w:hAnsi="Calibri" w:cs="Arial"/>
          <w:lang w:val="en-GB"/>
        </w:rPr>
        <w:t>-</w:t>
      </w:r>
      <w:r w:rsidR="00082B05" w:rsidRPr="006138D3">
        <w:rPr>
          <w:rFonts w:ascii="Calibri" w:hAnsi="Calibri" w:cs="Arial"/>
          <w:lang w:val="en-GB"/>
        </w:rPr>
        <w:t>Pacific</w:t>
      </w:r>
      <w:r w:rsidR="001B2204">
        <w:rPr>
          <w:rFonts w:ascii="Calibri" w:hAnsi="Calibri" w:cs="Arial"/>
          <w:lang w:val="en-GB"/>
        </w:rPr>
        <w:t>.</w:t>
      </w:r>
    </w:p>
    <w:p w14:paraId="644A6631" w14:textId="115F69C7" w:rsidR="00082B05" w:rsidRPr="006138D3" w:rsidRDefault="002E1D97" w:rsidP="002E1D97">
      <w:pPr>
        <w:pStyle w:val="ListBullet"/>
        <w:numPr>
          <w:ilvl w:val="0"/>
          <w:numId w:val="0"/>
        </w:numPr>
        <w:tabs>
          <w:tab w:val="clear" w:pos="284"/>
        </w:tabs>
        <w:rPr>
          <w:rFonts w:ascii="Calibri" w:eastAsiaTheme="minorHAnsi" w:hAnsi="Calibri" w:cs="Arial"/>
          <w:color w:val="auto"/>
          <w:sz w:val="22"/>
          <w:szCs w:val="22"/>
          <w:lang w:val="en-GB" w:eastAsia="en-US"/>
        </w:rPr>
      </w:pPr>
      <w:r w:rsidRPr="006138D3">
        <w:rPr>
          <w:rFonts w:ascii="Calibri" w:eastAsiaTheme="minorHAnsi" w:hAnsi="Calibri" w:cs="Arial"/>
          <w:color w:val="auto"/>
          <w:sz w:val="22"/>
          <w:szCs w:val="22"/>
          <w:lang w:val="en-GB" w:eastAsia="en-US"/>
        </w:rPr>
        <w:t xml:space="preserve">The </w:t>
      </w:r>
      <w:r w:rsidR="00082B05" w:rsidRPr="006138D3">
        <w:rPr>
          <w:rFonts w:ascii="Calibri" w:eastAsiaTheme="minorHAnsi" w:hAnsi="Calibri" w:cs="Arial"/>
          <w:color w:val="auto"/>
          <w:sz w:val="22"/>
          <w:szCs w:val="22"/>
          <w:lang w:val="en-GB" w:eastAsia="en-US"/>
        </w:rPr>
        <w:t xml:space="preserve">Fund </w:t>
      </w:r>
      <w:r w:rsidRPr="006138D3">
        <w:rPr>
          <w:rFonts w:ascii="Calibri" w:eastAsiaTheme="minorHAnsi" w:hAnsi="Calibri" w:cs="Arial"/>
          <w:color w:val="auto"/>
          <w:sz w:val="22"/>
          <w:szCs w:val="22"/>
          <w:lang w:val="en-GB" w:eastAsia="en-US"/>
        </w:rPr>
        <w:t>will</w:t>
      </w:r>
      <w:r w:rsidR="00082B05" w:rsidRPr="006138D3">
        <w:rPr>
          <w:rFonts w:ascii="Calibri" w:eastAsiaTheme="minorHAnsi" w:hAnsi="Calibri" w:cs="Arial"/>
          <w:color w:val="auto"/>
          <w:sz w:val="22"/>
          <w:szCs w:val="22"/>
          <w:lang w:val="en-GB" w:eastAsia="en-US"/>
        </w:rPr>
        <w:t xml:space="preserve"> help to</w:t>
      </w:r>
      <w:r w:rsidRPr="006138D3">
        <w:rPr>
          <w:rFonts w:ascii="Calibri" w:eastAsiaTheme="minorHAnsi" w:hAnsi="Calibri" w:cs="Arial"/>
          <w:color w:val="auto"/>
          <w:sz w:val="22"/>
          <w:szCs w:val="22"/>
          <w:lang w:val="en-GB" w:eastAsia="en-US"/>
        </w:rPr>
        <w:t xml:space="preserve"> address the need for cost-effective, new and adapted products for TB, malaria, and vector control for mosquito borne diseases more broadly, and to make them safely and effectively available to target populations.</w:t>
      </w:r>
    </w:p>
    <w:p w14:paraId="59C65EEE" w14:textId="6C560934" w:rsidR="008B605C" w:rsidRPr="006138D3" w:rsidRDefault="002E1D97" w:rsidP="00082B05">
      <w:pPr>
        <w:pStyle w:val="ListBullet"/>
        <w:numPr>
          <w:ilvl w:val="0"/>
          <w:numId w:val="0"/>
        </w:numPr>
        <w:tabs>
          <w:tab w:val="clear" w:pos="284"/>
        </w:tabs>
        <w:rPr>
          <w:rFonts w:ascii="Calibri" w:eastAsiaTheme="minorHAnsi" w:hAnsi="Calibri" w:cs="Arial"/>
          <w:color w:val="auto"/>
          <w:sz w:val="22"/>
          <w:szCs w:val="22"/>
          <w:lang w:val="en-GB" w:eastAsia="en-US"/>
        </w:rPr>
      </w:pPr>
      <w:r w:rsidRPr="006138D3">
        <w:rPr>
          <w:rFonts w:ascii="Calibri" w:eastAsiaTheme="minorHAnsi" w:hAnsi="Calibri" w:cs="Arial"/>
          <w:color w:val="auto"/>
          <w:sz w:val="22"/>
          <w:szCs w:val="22"/>
          <w:lang w:val="en-GB" w:eastAsia="en-US"/>
        </w:rPr>
        <w:t xml:space="preserve"> </w:t>
      </w:r>
      <w:r w:rsidR="00082B05" w:rsidRPr="006138D3">
        <w:rPr>
          <w:rFonts w:ascii="Calibri" w:eastAsiaTheme="minorHAnsi" w:hAnsi="Calibri" w:cs="Arial"/>
          <w:color w:val="auto"/>
          <w:sz w:val="22"/>
          <w:szCs w:val="22"/>
          <w:lang w:val="en-GB" w:eastAsia="en-US"/>
        </w:rPr>
        <w:t>Grant proposals are expected to deliver results which contribute to the outcome of:</w:t>
      </w:r>
      <w:r w:rsidR="008B605C" w:rsidRPr="006138D3">
        <w:rPr>
          <w:rFonts w:ascii="Calibri" w:eastAsiaTheme="minorHAnsi" w:hAnsi="Calibri" w:cs="Arial"/>
          <w:color w:val="auto"/>
          <w:sz w:val="22"/>
          <w:szCs w:val="22"/>
          <w:lang w:val="en-GB" w:eastAsia="en-US"/>
        </w:rPr>
        <w:t xml:space="preserve"> </w:t>
      </w:r>
    </w:p>
    <w:p w14:paraId="2A34AA87" w14:textId="1D158D75" w:rsidR="008B605C" w:rsidRPr="006138D3" w:rsidRDefault="008B605C" w:rsidP="008B605C">
      <w:pPr>
        <w:pStyle w:val="ListParagraph"/>
        <w:numPr>
          <w:ilvl w:val="0"/>
          <w:numId w:val="6"/>
        </w:numPr>
        <w:spacing w:after="0" w:line="240" w:lineRule="auto"/>
        <w:rPr>
          <w:rFonts w:ascii="Calibri" w:hAnsi="Calibri" w:cs="Arial"/>
          <w:lang w:val="en-GB"/>
        </w:rPr>
      </w:pPr>
      <w:r w:rsidRPr="006138D3">
        <w:rPr>
          <w:rFonts w:ascii="Calibri" w:hAnsi="Calibri" w:cs="Arial"/>
          <w:lang w:val="en-GB"/>
        </w:rPr>
        <w:t>Improved availability of new PDP technologies</w:t>
      </w:r>
      <w:r w:rsidR="003B2CC3">
        <w:rPr>
          <w:rFonts w:ascii="Calibri" w:hAnsi="Calibri" w:cs="Arial"/>
          <w:lang w:val="en-GB"/>
        </w:rPr>
        <w:t xml:space="preserve"> with the potential to reduce burden</w:t>
      </w:r>
      <w:r w:rsidRPr="006138D3">
        <w:rPr>
          <w:rFonts w:ascii="Calibri" w:hAnsi="Calibri" w:cs="Arial"/>
          <w:lang w:val="en-GB"/>
        </w:rPr>
        <w:t xml:space="preserve"> in the Indo-Pacific.</w:t>
      </w:r>
    </w:p>
    <w:p w14:paraId="6E64D415" w14:textId="0ED94CE6" w:rsidR="00082B05" w:rsidRDefault="00082B05" w:rsidP="00082B05">
      <w:pPr>
        <w:spacing w:after="0" w:line="240" w:lineRule="auto"/>
        <w:rPr>
          <w:rFonts w:ascii="Calibri" w:hAnsi="Calibri" w:cs="Arial"/>
          <w:lang w:val="en-GB"/>
        </w:rPr>
      </w:pPr>
    </w:p>
    <w:p w14:paraId="38432214" w14:textId="35A49F59" w:rsidR="008B605C" w:rsidRDefault="00082B05" w:rsidP="00082B05">
      <w:pPr>
        <w:spacing w:after="0" w:line="240" w:lineRule="auto"/>
        <w:rPr>
          <w:rFonts w:ascii="Calibri" w:hAnsi="Calibri" w:cs="Arial"/>
          <w:lang w:val="en-GB"/>
        </w:rPr>
      </w:pPr>
      <w:r w:rsidRPr="006138D3">
        <w:rPr>
          <w:rFonts w:ascii="Calibri" w:hAnsi="Calibri" w:cs="Arial"/>
          <w:lang w:val="en-GB"/>
        </w:rPr>
        <w:t>E</w:t>
      </w:r>
      <w:r w:rsidR="008B605C" w:rsidRPr="006138D3">
        <w:rPr>
          <w:rFonts w:ascii="Calibri" w:hAnsi="Calibri" w:cs="Arial"/>
          <w:lang w:val="en-GB"/>
        </w:rPr>
        <w:t xml:space="preserve">xpected </w:t>
      </w:r>
      <w:r w:rsidRPr="006138D3">
        <w:rPr>
          <w:rFonts w:ascii="Calibri" w:hAnsi="Calibri" w:cs="Arial"/>
          <w:lang w:val="en-GB"/>
        </w:rPr>
        <w:t xml:space="preserve">outputs from PDPs </w:t>
      </w:r>
      <w:r w:rsidR="008B605C" w:rsidRPr="006138D3">
        <w:rPr>
          <w:rFonts w:ascii="Calibri" w:hAnsi="Calibri" w:cs="Arial"/>
          <w:lang w:val="en-GB"/>
        </w:rPr>
        <w:t>are:</w:t>
      </w:r>
    </w:p>
    <w:p w14:paraId="0781E936" w14:textId="77777777" w:rsidR="00412308" w:rsidRPr="006138D3" w:rsidRDefault="00412308" w:rsidP="00082B05">
      <w:pPr>
        <w:spacing w:after="0" w:line="240" w:lineRule="auto"/>
        <w:rPr>
          <w:rFonts w:ascii="Calibri" w:hAnsi="Calibri" w:cs="Arial"/>
          <w:lang w:val="en-GB"/>
        </w:rPr>
      </w:pPr>
    </w:p>
    <w:p w14:paraId="027F2D7D" w14:textId="0375D478" w:rsidR="008B605C" w:rsidRPr="006138D3" w:rsidRDefault="008B605C" w:rsidP="008B605C">
      <w:pPr>
        <w:pStyle w:val="ListParagraph"/>
        <w:numPr>
          <w:ilvl w:val="0"/>
          <w:numId w:val="6"/>
        </w:numPr>
        <w:spacing w:after="0" w:line="240" w:lineRule="auto"/>
        <w:rPr>
          <w:rFonts w:ascii="Calibri" w:hAnsi="Calibri" w:cs="Arial"/>
          <w:lang w:val="en-GB"/>
        </w:rPr>
      </w:pPr>
      <w:r w:rsidRPr="006138D3">
        <w:rPr>
          <w:rFonts w:ascii="Calibri" w:hAnsi="Calibri" w:cs="Arial"/>
          <w:lang w:val="en-GB"/>
        </w:rPr>
        <w:lastRenderedPageBreak/>
        <w:t xml:space="preserve">Registration of a minimum number of new or modified products/regimes for patient use in the </w:t>
      </w:r>
      <w:r w:rsidR="00431996">
        <w:rPr>
          <w:rFonts w:ascii="Calibri" w:hAnsi="Calibri" w:cs="Arial"/>
          <w:lang w:val="en-GB"/>
        </w:rPr>
        <w:t>Indo-</w:t>
      </w:r>
      <w:r w:rsidRPr="006138D3">
        <w:rPr>
          <w:rFonts w:ascii="Calibri" w:hAnsi="Calibri" w:cs="Arial"/>
          <w:lang w:val="en-GB"/>
        </w:rPr>
        <w:t>Pacific by 2022.  (Actual number of products to be determined depending on specific PDP pipeline.)</w:t>
      </w:r>
    </w:p>
    <w:p w14:paraId="6400CE2E" w14:textId="16231C53" w:rsidR="008B605C" w:rsidRPr="006138D3" w:rsidRDefault="008B605C" w:rsidP="008B605C">
      <w:pPr>
        <w:pStyle w:val="ListParagraph"/>
        <w:numPr>
          <w:ilvl w:val="0"/>
          <w:numId w:val="6"/>
        </w:numPr>
        <w:spacing w:after="0" w:line="240" w:lineRule="auto"/>
        <w:rPr>
          <w:rFonts w:ascii="Calibri" w:hAnsi="Calibri" w:cs="Arial"/>
          <w:lang w:val="en-GB"/>
        </w:rPr>
      </w:pPr>
      <w:r w:rsidRPr="006138D3">
        <w:rPr>
          <w:rFonts w:ascii="Calibri" w:hAnsi="Calibri" w:cs="Arial"/>
          <w:lang w:val="en-GB"/>
        </w:rPr>
        <w:t>Avail</w:t>
      </w:r>
      <w:r w:rsidR="00000620">
        <w:rPr>
          <w:rFonts w:ascii="Calibri" w:hAnsi="Calibri" w:cs="Arial"/>
          <w:lang w:val="en-GB"/>
        </w:rPr>
        <w:t>ability dimensions of access (affordability</w:t>
      </w:r>
      <w:r w:rsidRPr="006138D3">
        <w:rPr>
          <w:rFonts w:ascii="Calibri" w:hAnsi="Calibri" w:cs="Arial"/>
          <w:lang w:val="en-GB"/>
        </w:rPr>
        <w:t>,</w:t>
      </w:r>
      <w:r w:rsidR="00000620">
        <w:rPr>
          <w:rFonts w:ascii="Calibri" w:hAnsi="Calibri" w:cs="Arial"/>
          <w:lang w:val="en-GB"/>
        </w:rPr>
        <w:t xml:space="preserve"> market analysis,</w:t>
      </w:r>
      <w:r w:rsidRPr="006138D3">
        <w:rPr>
          <w:rFonts w:ascii="Calibri" w:hAnsi="Calibri" w:cs="Arial"/>
          <w:lang w:val="en-GB"/>
        </w:rPr>
        <w:t xml:space="preserve"> geographic a</w:t>
      </w:r>
      <w:r w:rsidR="00000620">
        <w:rPr>
          <w:rFonts w:ascii="Calibri" w:hAnsi="Calibri" w:cs="Arial"/>
          <w:lang w:val="en-GB"/>
        </w:rPr>
        <w:t>vailability, stock, partnerships for procurement and distribution</w:t>
      </w:r>
      <w:r w:rsidRPr="006138D3">
        <w:rPr>
          <w:rFonts w:ascii="Calibri" w:hAnsi="Calibri" w:cs="Arial"/>
          <w:lang w:val="en-GB"/>
        </w:rPr>
        <w:t>) for products that are ready for market in the Indo-Pacific are addressed</w:t>
      </w:r>
      <w:r w:rsidR="00000620">
        <w:rPr>
          <w:rFonts w:ascii="Calibri" w:hAnsi="Calibri" w:cs="Arial"/>
          <w:lang w:val="en-GB"/>
        </w:rPr>
        <w:t xml:space="preserve"> where relevant</w:t>
      </w:r>
      <w:r w:rsidRPr="006138D3">
        <w:rPr>
          <w:rFonts w:ascii="Calibri" w:hAnsi="Calibri" w:cs="Arial"/>
          <w:lang w:val="en-GB"/>
        </w:rPr>
        <w:t>.</w:t>
      </w:r>
    </w:p>
    <w:p w14:paraId="0938E98F" w14:textId="77777777" w:rsidR="006138D3" w:rsidRPr="006138D3" w:rsidRDefault="006138D3" w:rsidP="00082B05">
      <w:pPr>
        <w:spacing w:after="0" w:line="240" w:lineRule="auto"/>
        <w:rPr>
          <w:rFonts w:ascii="Calibri" w:hAnsi="Calibri" w:cs="Arial"/>
          <w:lang w:val="en-GB"/>
        </w:rPr>
      </w:pPr>
    </w:p>
    <w:p w14:paraId="371DA276" w14:textId="638BE765" w:rsidR="00DA5FEF" w:rsidRPr="006138D3" w:rsidRDefault="00082B05" w:rsidP="00082B05">
      <w:pPr>
        <w:spacing w:after="0" w:line="240" w:lineRule="auto"/>
        <w:rPr>
          <w:rFonts w:ascii="Calibri" w:hAnsi="Calibri" w:cs="Arial"/>
          <w:lang w:val="en-GB"/>
        </w:rPr>
      </w:pPr>
      <w:r w:rsidRPr="006138D3">
        <w:rPr>
          <w:rFonts w:ascii="Calibri" w:hAnsi="Calibri" w:cs="Arial"/>
          <w:lang w:val="en-GB"/>
        </w:rPr>
        <w:t>Performance of PDPs will be measured by a results framework specific to each grant and which will be refined and agreed with successful applicants finalised.  Please refer to the draft framework attached in the PDP Design document for an example of the types of indicators which DFAT will require reporting against.</w:t>
      </w:r>
    </w:p>
    <w:p w14:paraId="5DD3F4BB" w14:textId="77777777" w:rsidR="00082B05" w:rsidRPr="006138D3" w:rsidRDefault="00082B05" w:rsidP="00DA5FEF">
      <w:pPr>
        <w:rPr>
          <w:b/>
        </w:rPr>
      </w:pPr>
    </w:p>
    <w:p w14:paraId="06EE6302" w14:textId="6DC29B7D" w:rsidR="00DA5FEF" w:rsidRPr="006138D3" w:rsidRDefault="00DA5FEF" w:rsidP="00DA5FEF">
      <w:pPr>
        <w:rPr>
          <w:b/>
          <w:sz w:val="28"/>
          <w:szCs w:val="28"/>
        </w:rPr>
      </w:pPr>
      <w:r w:rsidRPr="006138D3">
        <w:rPr>
          <w:b/>
          <w:sz w:val="28"/>
          <w:szCs w:val="28"/>
        </w:rPr>
        <w:t>3.  Eligibility</w:t>
      </w:r>
    </w:p>
    <w:p w14:paraId="2DD4617E" w14:textId="1EC0F1BD" w:rsidR="002751C0" w:rsidRPr="006138D3" w:rsidRDefault="00DA5FEF" w:rsidP="002751C0">
      <w:pPr>
        <w:spacing w:after="0" w:line="240" w:lineRule="auto"/>
        <w:rPr>
          <w:rFonts w:ascii="Calibri" w:hAnsi="Calibri" w:cs="Arial"/>
          <w:lang w:val="en-GB"/>
        </w:rPr>
      </w:pPr>
      <w:r w:rsidRPr="006138D3">
        <w:rPr>
          <w:rFonts w:ascii="Calibri" w:hAnsi="Calibri" w:cs="Arial"/>
          <w:lang w:val="en-GB"/>
        </w:rPr>
        <w:t xml:space="preserve">Product Development Partnerships </w:t>
      </w:r>
      <w:r w:rsidR="008B605C" w:rsidRPr="006138D3">
        <w:rPr>
          <w:rFonts w:ascii="Calibri" w:hAnsi="Calibri" w:cs="Arial"/>
          <w:lang w:val="en-GB"/>
        </w:rPr>
        <w:t xml:space="preserve">with </w:t>
      </w:r>
      <w:r w:rsidRPr="006138D3">
        <w:rPr>
          <w:rFonts w:ascii="Calibri" w:hAnsi="Calibri" w:cs="Arial"/>
          <w:lang w:val="en-GB"/>
        </w:rPr>
        <w:t xml:space="preserve">a </w:t>
      </w:r>
      <w:r w:rsidR="008B605C" w:rsidRPr="006138D3">
        <w:rPr>
          <w:rFonts w:ascii="Calibri" w:hAnsi="Calibri" w:cs="Arial"/>
          <w:lang w:val="en-GB"/>
        </w:rPr>
        <w:t>focus</w:t>
      </w:r>
      <w:r w:rsidRPr="006138D3">
        <w:rPr>
          <w:rFonts w:ascii="Calibri" w:hAnsi="Calibri" w:cs="Arial"/>
          <w:lang w:val="en-GB"/>
        </w:rPr>
        <w:t xml:space="preserve"> on </w:t>
      </w:r>
      <w:r w:rsidR="002751C0" w:rsidRPr="006138D3">
        <w:rPr>
          <w:rFonts w:ascii="Calibri" w:hAnsi="Calibri" w:cs="Arial"/>
          <w:lang w:val="en-GB"/>
        </w:rPr>
        <w:t>diagnostics and therapeutics for TB and malaria and</w:t>
      </w:r>
      <w:r w:rsidR="006138D3" w:rsidRPr="006138D3">
        <w:rPr>
          <w:rFonts w:ascii="Calibri" w:hAnsi="Calibri" w:cs="Arial"/>
          <w:lang w:val="en-GB"/>
        </w:rPr>
        <w:t>/or</w:t>
      </w:r>
      <w:r w:rsidR="002751C0" w:rsidRPr="006138D3">
        <w:rPr>
          <w:rFonts w:ascii="Calibri" w:hAnsi="Calibri" w:cs="Arial"/>
          <w:lang w:val="en-GB"/>
        </w:rPr>
        <w:t xml:space="preserve"> vector control tools for malaria and other high burden mosquito borne disease will be considered eligible for funding.</w:t>
      </w:r>
    </w:p>
    <w:p w14:paraId="31FD219E" w14:textId="77777777" w:rsidR="006138D3" w:rsidRPr="006138D3" w:rsidRDefault="006138D3" w:rsidP="00DA5FEF">
      <w:pPr>
        <w:rPr>
          <w:rFonts w:ascii="Calibri" w:hAnsi="Calibri" w:cs="Arial"/>
          <w:lang w:val="en-GB"/>
        </w:rPr>
      </w:pPr>
    </w:p>
    <w:p w14:paraId="34C18E2E" w14:textId="1F429477" w:rsidR="006138D3" w:rsidRDefault="006138D3" w:rsidP="00DA5FEF">
      <w:pPr>
        <w:rPr>
          <w:rFonts w:ascii="Calibri" w:hAnsi="Calibri" w:cs="Arial"/>
          <w:b/>
          <w:lang w:val="en-GB"/>
        </w:rPr>
      </w:pPr>
      <w:r w:rsidRPr="006138D3">
        <w:rPr>
          <w:rFonts w:ascii="Calibri" w:hAnsi="Calibri" w:cs="Arial"/>
          <w:b/>
          <w:lang w:val="en-GB"/>
        </w:rPr>
        <w:t xml:space="preserve">3.1 </w:t>
      </w:r>
      <w:r>
        <w:rPr>
          <w:rFonts w:ascii="Calibri" w:hAnsi="Calibri" w:cs="Arial"/>
          <w:b/>
          <w:lang w:val="en-GB"/>
        </w:rPr>
        <w:t>Minimum Capabilities</w:t>
      </w:r>
    </w:p>
    <w:p w14:paraId="1A52D1F4" w14:textId="38ABE01D" w:rsidR="00DA5FEF" w:rsidRPr="006138D3" w:rsidRDefault="002751C0" w:rsidP="00DA5FEF">
      <w:pPr>
        <w:rPr>
          <w:rFonts w:ascii="Calibri" w:hAnsi="Calibri" w:cs="Arial"/>
          <w:lang w:val="en-GB"/>
        </w:rPr>
      </w:pPr>
      <w:r w:rsidRPr="006138D3">
        <w:rPr>
          <w:rFonts w:ascii="Calibri" w:hAnsi="Calibri" w:cs="Arial"/>
          <w:lang w:val="en-GB"/>
        </w:rPr>
        <w:t xml:space="preserve">Organisations that apply for funding must be able to </w:t>
      </w:r>
      <w:r w:rsidR="00AF4222" w:rsidRPr="006138D3">
        <w:rPr>
          <w:rFonts w:ascii="Calibri" w:hAnsi="Calibri" w:cs="Arial"/>
          <w:lang w:val="en-GB"/>
        </w:rPr>
        <w:t>demonstrate</w:t>
      </w:r>
      <w:r w:rsidR="00DA5FEF" w:rsidRPr="006138D3">
        <w:rPr>
          <w:rFonts w:ascii="Calibri" w:hAnsi="Calibri" w:cs="Arial"/>
          <w:lang w:val="en-GB"/>
        </w:rPr>
        <w:t xml:space="preserve"> the fol</w:t>
      </w:r>
      <w:r w:rsidRPr="006138D3">
        <w:rPr>
          <w:rFonts w:ascii="Calibri" w:hAnsi="Calibri" w:cs="Arial"/>
          <w:lang w:val="en-GB"/>
        </w:rPr>
        <w:t>lowing capabilities a</w:t>
      </w:r>
      <w:r w:rsidR="00AF4222" w:rsidRPr="006138D3">
        <w:rPr>
          <w:rFonts w:ascii="Calibri" w:hAnsi="Calibri" w:cs="Arial"/>
          <w:lang w:val="en-GB"/>
        </w:rPr>
        <w:t>t</w:t>
      </w:r>
      <w:r w:rsidRPr="006138D3">
        <w:rPr>
          <w:rFonts w:ascii="Calibri" w:hAnsi="Calibri" w:cs="Arial"/>
          <w:lang w:val="en-GB"/>
        </w:rPr>
        <w:t xml:space="preserve"> a minimum:</w:t>
      </w:r>
    </w:p>
    <w:p w14:paraId="7582DF21" w14:textId="2EF583FA" w:rsidR="002751C0" w:rsidRPr="006138D3" w:rsidRDefault="002751C0" w:rsidP="005D6FB7">
      <w:pPr>
        <w:pStyle w:val="ListParagraph"/>
        <w:numPr>
          <w:ilvl w:val="0"/>
          <w:numId w:val="2"/>
        </w:numPr>
        <w:rPr>
          <w:rFonts w:ascii="Calibri" w:hAnsi="Calibri" w:cs="Arial"/>
          <w:lang w:val="en-GB"/>
        </w:rPr>
      </w:pPr>
      <w:r w:rsidRPr="006138D3">
        <w:rPr>
          <w:rFonts w:ascii="Calibri" w:hAnsi="Calibri" w:cs="Arial"/>
          <w:lang w:val="en-GB"/>
        </w:rPr>
        <w:t>A Public-Private-Partnership</w:t>
      </w:r>
      <w:r w:rsidR="006138D3" w:rsidRPr="006138D3">
        <w:rPr>
          <w:rFonts w:ascii="Calibri" w:hAnsi="Calibri" w:cs="Arial"/>
          <w:lang w:val="en-GB"/>
        </w:rPr>
        <w:t xml:space="preserve"> model</w:t>
      </w:r>
      <w:r w:rsidRPr="006138D3">
        <w:rPr>
          <w:rFonts w:ascii="Calibri" w:hAnsi="Calibri" w:cs="Arial"/>
          <w:lang w:val="en-GB"/>
        </w:rPr>
        <w:t xml:space="preserve"> that  develop and deliver affordable, quality medicines, diagnostic tools and innovating products for specific neglected disease to combat poverty and disadvantage</w:t>
      </w:r>
    </w:p>
    <w:p w14:paraId="764D2BF1" w14:textId="5D4B50CC" w:rsidR="00DA5FEF" w:rsidRPr="006138D3" w:rsidRDefault="008B605C" w:rsidP="005D6FB7">
      <w:pPr>
        <w:pStyle w:val="ListParagraph"/>
        <w:numPr>
          <w:ilvl w:val="0"/>
          <w:numId w:val="2"/>
        </w:numPr>
        <w:rPr>
          <w:rFonts w:ascii="Calibri" w:hAnsi="Calibri" w:cs="Arial"/>
          <w:lang w:val="en-GB"/>
        </w:rPr>
      </w:pPr>
      <w:r w:rsidRPr="006138D3">
        <w:rPr>
          <w:rFonts w:ascii="Calibri" w:hAnsi="Calibri" w:cs="Arial"/>
          <w:lang w:val="en-GB"/>
        </w:rPr>
        <w:t>Track</w:t>
      </w:r>
      <w:r w:rsidR="00DA5FEF" w:rsidRPr="006138D3">
        <w:rPr>
          <w:rFonts w:ascii="Calibri" w:hAnsi="Calibri" w:cs="Arial"/>
          <w:lang w:val="en-GB"/>
        </w:rPr>
        <w:t xml:space="preserve"> record of </w:t>
      </w:r>
      <w:r w:rsidRPr="006138D3">
        <w:rPr>
          <w:rFonts w:ascii="Calibri" w:hAnsi="Calibri" w:cs="Arial"/>
          <w:lang w:val="en-GB"/>
        </w:rPr>
        <w:t>timely</w:t>
      </w:r>
      <w:r w:rsidR="00DA5FEF" w:rsidRPr="006138D3">
        <w:rPr>
          <w:rFonts w:ascii="Calibri" w:hAnsi="Calibri" w:cs="Arial"/>
          <w:lang w:val="en-GB"/>
        </w:rPr>
        <w:t xml:space="preserve"> implementation and successful delivery</w:t>
      </w:r>
      <w:r w:rsidR="003B2CC3">
        <w:rPr>
          <w:rFonts w:ascii="Calibri" w:hAnsi="Calibri" w:cs="Arial"/>
          <w:lang w:val="en-GB"/>
        </w:rPr>
        <w:t xml:space="preserve"> of results</w:t>
      </w:r>
    </w:p>
    <w:p w14:paraId="099BC67F" w14:textId="77777777"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Sound financial and administrative processes for managing donor funds</w:t>
      </w:r>
    </w:p>
    <w:p w14:paraId="381AB90C" w14:textId="07CAD8E8"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 xml:space="preserve">Robust procurement processes that comply with acceptable probity standards and protect against  corruption and </w:t>
      </w:r>
      <w:r w:rsidR="008B605C" w:rsidRPr="006138D3">
        <w:rPr>
          <w:rFonts w:ascii="Calibri" w:hAnsi="Calibri" w:cs="Arial"/>
          <w:lang w:val="en-GB"/>
        </w:rPr>
        <w:t>misappropriation</w:t>
      </w:r>
      <w:r w:rsidRPr="006138D3">
        <w:rPr>
          <w:rFonts w:ascii="Calibri" w:hAnsi="Calibri" w:cs="Arial"/>
          <w:lang w:val="en-GB"/>
        </w:rPr>
        <w:t xml:space="preserve"> and </w:t>
      </w:r>
    </w:p>
    <w:p w14:paraId="7439E310" w14:textId="4E328241"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Acceptable risk management, child protection pol</w:t>
      </w:r>
      <w:r w:rsidR="002751C0" w:rsidRPr="006138D3">
        <w:rPr>
          <w:rFonts w:ascii="Calibri" w:hAnsi="Calibri" w:cs="Arial"/>
          <w:lang w:val="en-GB"/>
        </w:rPr>
        <w:t>icies and mitigation strategies</w:t>
      </w:r>
      <w:r w:rsidR="00153620">
        <w:rPr>
          <w:rFonts w:ascii="Calibri" w:hAnsi="Calibri" w:cs="Arial"/>
          <w:lang w:val="en-GB"/>
        </w:rPr>
        <w:t>.</w:t>
      </w:r>
    </w:p>
    <w:p w14:paraId="472EC767" w14:textId="0DDF8B5B" w:rsidR="006138D3" w:rsidRPr="006138D3" w:rsidRDefault="006138D3" w:rsidP="00DA5FEF">
      <w:pPr>
        <w:rPr>
          <w:rFonts w:ascii="Calibri" w:hAnsi="Calibri" w:cs="Arial"/>
          <w:b/>
          <w:lang w:val="en-GB"/>
        </w:rPr>
      </w:pPr>
      <w:r w:rsidRPr="006138D3">
        <w:rPr>
          <w:rFonts w:ascii="Calibri" w:hAnsi="Calibri" w:cs="Arial"/>
          <w:b/>
          <w:lang w:val="en-GB"/>
        </w:rPr>
        <w:t>3.2 Type of Funding</w:t>
      </w:r>
    </w:p>
    <w:p w14:paraId="6BC8D79E" w14:textId="13F55EC5" w:rsidR="00DA5FEF" w:rsidRPr="006138D3" w:rsidRDefault="00DA5FEF" w:rsidP="00DA5FEF">
      <w:pPr>
        <w:rPr>
          <w:rFonts w:ascii="Calibri" w:hAnsi="Calibri" w:cs="Arial"/>
          <w:lang w:val="en-GB"/>
        </w:rPr>
      </w:pPr>
      <w:r w:rsidRPr="006138D3">
        <w:rPr>
          <w:rFonts w:ascii="Calibri" w:hAnsi="Calibri" w:cs="Arial"/>
          <w:lang w:val="en-GB"/>
        </w:rPr>
        <w:t>Fund</w:t>
      </w:r>
      <w:r w:rsidR="00AF4222" w:rsidRPr="006138D3">
        <w:rPr>
          <w:rFonts w:ascii="Calibri" w:hAnsi="Calibri" w:cs="Arial"/>
          <w:lang w:val="en-GB"/>
        </w:rPr>
        <w:t xml:space="preserve">ing will be provided </w:t>
      </w:r>
      <w:r w:rsidR="00153620">
        <w:rPr>
          <w:rFonts w:ascii="Calibri" w:hAnsi="Calibri" w:cs="Arial"/>
          <w:lang w:val="en-GB"/>
        </w:rPr>
        <w:t>for</w:t>
      </w:r>
      <w:r w:rsidR="00AF4222" w:rsidRPr="006138D3">
        <w:rPr>
          <w:rFonts w:ascii="Calibri" w:hAnsi="Calibri" w:cs="Arial"/>
          <w:lang w:val="en-GB"/>
        </w:rPr>
        <w:t>:</w:t>
      </w:r>
    </w:p>
    <w:p w14:paraId="1304BD84" w14:textId="7BEF9DD0"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Core</w:t>
      </w:r>
      <w:r w:rsidR="00AF4222" w:rsidRPr="006138D3">
        <w:rPr>
          <w:rFonts w:ascii="Calibri" w:hAnsi="Calibri" w:cs="Arial"/>
          <w:lang w:val="en-GB"/>
        </w:rPr>
        <w:t xml:space="preserve"> funding where the PDP has a single disease focus on TB and/or malaria</w:t>
      </w:r>
    </w:p>
    <w:p w14:paraId="32862B7A" w14:textId="44A12AA4" w:rsidR="00AF4222" w:rsidRPr="006138D3" w:rsidRDefault="00AF4222" w:rsidP="00DA5FEF">
      <w:pPr>
        <w:pStyle w:val="ListParagraph"/>
        <w:numPr>
          <w:ilvl w:val="0"/>
          <w:numId w:val="2"/>
        </w:numPr>
        <w:rPr>
          <w:rFonts w:ascii="Calibri" w:hAnsi="Calibri" w:cs="Arial"/>
          <w:lang w:val="en-GB"/>
        </w:rPr>
      </w:pPr>
      <w:r w:rsidRPr="006138D3">
        <w:rPr>
          <w:rFonts w:ascii="Calibri" w:hAnsi="Calibri" w:cs="Arial"/>
          <w:lang w:val="en-GB"/>
        </w:rPr>
        <w:t>Core funding for PDPs with a focus on vector control</w:t>
      </w:r>
    </w:p>
    <w:p w14:paraId="37E720D5" w14:textId="73256063"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Semi-restricted</w:t>
      </w:r>
      <w:r w:rsidR="00AF4222" w:rsidRPr="006138D3">
        <w:rPr>
          <w:rFonts w:ascii="Calibri" w:hAnsi="Calibri" w:cs="Arial"/>
          <w:lang w:val="en-GB"/>
        </w:rPr>
        <w:t xml:space="preserve"> to TB and/or malaria where the PDP has a broader mandate</w:t>
      </w:r>
    </w:p>
    <w:p w14:paraId="611AE350" w14:textId="47B80F23" w:rsidR="006138D3" w:rsidRPr="006138D3" w:rsidRDefault="006138D3" w:rsidP="00C2306D">
      <w:pPr>
        <w:rPr>
          <w:rFonts w:ascii="Calibri" w:hAnsi="Calibri" w:cs="Arial"/>
          <w:b/>
          <w:lang w:val="en-GB"/>
        </w:rPr>
      </w:pPr>
      <w:r w:rsidRPr="006138D3">
        <w:rPr>
          <w:rFonts w:ascii="Calibri" w:hAnsi="Calibri" w:cs="Arial"/>
          <w:b/>
          <w:lang w:val="en-GB"/>
        </w:rPr>
        <w:t>3.3 Ineligible costs</w:t>
      </w:r>
    </w:p>
    <w:p w14:paraId="3DE13B44" w14:textId="4B1E366D" w:rsidR="00AF4222" w:rsidRPr="006138D3" w:rsidRDefault="00AF4222" w:rsidP="00C2306D">
      <w:pPr>
        <w:rPr>
          <w:rFonts w:ascii="Calibri" w:hAnsi="Calibri" w:cs="Arial"/>
          <w:lang w:val="en-GB"/>
        </w:rPr>
      </w:pPr>
      <w:r w:rsidRPr="006138D3">
        <w:rPr>
          <w:rFonts w:ascii="Calibri" w:hAnsi="Calibri" w:cs="Arial"/>
          <w:lang w:val="en-GB"/>
        </w:rPr>
        <w:t xml:space="preserve">Funds will </w:t>
      </w:r>
      <w:r w:rsidR="00421B00" w:rsidRPr="006138D3">
        <w:rPr>
          <w:rFonts w:ascii="Calibri" w:hAnsi="Calibri" w:cs="Arial"/>
          <w:lang w:val="en-GB"/>
        </w:rPr>
        <w:t>not</w:t>
      </w:r>
      <w:r w:rsidRPr="006138D3">
        <w:rPr>
          <w:rFonts w:ascii="Calibri" w:hAnsi="Calibri" w:cs="Arial"/>
          <w:lang w:val="en-GB"/>
        </w:rPr>
        <w:t xml:space="preserve"> be available for:</w:t>
      </w:r>
    </w:p>
    <w:p w14:paraId="6A0A9559" w14:textId="396B406F" w:rsidR="00AF4222" w:rsidRPr="006138D3" w:rsidRDefault="00AF4222" w:rsidP="00AF4222">
      <w:pPr>
        <w:pStyle w:val="ListParagraph"/>
        <w:numPr>
          <w:ilvl w:val="0"/>
          <w:numId w:val="2"/>
        </w:numPr>
        <w:rPr>
          <w:rFonts w:ascii="Calibri" w:hAnsi="Calibri" w:cs="Arial"/>
          <w:lang w:val="en-GB"/>
        </w:rPr>
      </w:pPr>
      <w:r w:rsidRPr="006138D3">
        <w:rPr>
          <w:rFonts w:ascii="Calibri" w:hAnsi="Calibri" w:cs="Arial"/>
          <w:lang w:val="en-GB"/>
        </w:rPr>
        <w:t>Seed capital and/or other start</w:t>
      </w:r>
      <w:r w:rsidR="0073459F">
        <w:rPr>
          <w:rFonts w:ascii="Calibri" w:hAnsi="Calibri" w:cs="Arial"/>
          <w:lang w:val="en-GB"/>
        </w:rPr>
        <w:t>-</w:t>
      </w:r>
      <w:r w:rsidRPr="006138D3">
        <w:rPr>
          <w:rFonts w:ascii="Calibri" w:hAnsi="Calibri" w:cs="Arial"/>
          <w:lang w:val="en-GB"/>
        </w:rPr>
        <w:t>up costs</w:t>
      </w:r>
    </w:p>
    <w:p w14:paraId="14E87CE0" w14:textId="0C4D10D3" w:rsidR="00AF4222" w:rsidRPr="006138D3" w:rsidRDefault="00AF4222" w:rsidP="00AF4222">
      <w:pPr>
        <w:pStyle w:val="ListParagraph"/>
        <w:numPr>
          <w:ilvl w:val="0"/>
          <w:numId w:val="2"/>
        </w:numPr>
        <w:rPr>
          <w:rFonts w:ascii="Calibri" w:hAnsi="Calibri" w:cs="Arial"/>
          <w:lang w:val="en-GB"/>
        </w:rPr>
      </w:pPr>
      <w:r w:rsidRPr="006138D3">
        <w:rPr>
          <w:rFonts w:ascii="Calibri" w:hAnsi="Calibri" w:cs="Arial"/>
          <w:lang w:val="en-GB"/>
        </w:rPr>
        <w:t>Infrastructure activities</w:t>
      </w:r>
    </w:p>
    <w:p w14:paraId="0A2A284E" w14:textId="411CB18A" w:rsidR="00AF4222" w:rsidRPr="006138D3" w:rsidRDefault="00AF4222" w:rsidP="00AF4222">
      <w:pPr>
        <w:pStyle w:val="ListParagraph"/>
        <w:numPr>
          <w:ilvl w:val="0"/>
          <w:numId w:val="2"/>
        </w:numPr>
        <w:rPr>
          <w:rFonts w:ascii="Calibri" w:hAnsi="Calibri" w:cs="Arial"/>
          <w:lang w:val="en-GB"/>
        </w:rPr>
      </w:pPr>
      <w:r w:rsidRPr="006138D3">
        <w:rPr>
          <w:rFonts w:ascii="Calibri" w:hAnsi="Calibri" w:cs="Arial"/>
          <w:lang w:val="en-GB"/>
        </w:rPr>
        <w:t>Assets not for the direct use of outputs specified in the proposal and subsequent grant agreement</w:t>
      </w:r>
    </w:p>
    <w:p w14:paraId="0713827E" w14:textId="5DB0D31F" w:rsidR="00DA5FEF" w:rsidRPr="006138D3" w:rsidRDefault="00DA5FEF" w:rsidP="00DA5FEF">
      <w:pPr>
        <w:rPr>
          <w:rFonts w:ascii="Calibri" w:hAnsi="Calibri" w:cs="Arial"/>
          <w:lang w:val="en-GB"/>
        </w:rPr>
      </w:pPr>
      <w:r w:rsidRPr="006138D3">
        <w:rPr>
          <w:rFonts w:ascii="Calibri" w:hAnsi="Calibri" w:cs="Arial"/>
          <w:lang w:val="en-GB"/>
        </w:rPr>
        <w:t>The selected organisation</w:t>
      </w:r>
      <w:r w:rsidR="00AF4222" w:rsidRPr="006138D3">
        <w:rPr>
          <w:rFonts w:ascii="Calibri" w:hAnsi="Calibri" w:cs="Arial"/>
          <w:lang w:val="en-GB"/>
        </w:rPr>
        <w:t>/s</w:t>
      </w:r>
      <w:r w:rsidRPr="006138D3">
        <w:rPr>
          <w:rFonts w:ascii="Calibri" w:hAnsi="Calibri" w:cs="Arial"/>
          <w:lang w:val="en-GB"/>
        </w:rPr>
        <w:t xml:space="preserve"> will </w:t>
      </w:r>
      <w:r w:rsidR="00AF4222" w:rsidRPr="006138D3">
        <w:rPr>
          <w:rFonts w:ascii="Calibri" w:hAnsi="Calibri" w:cs="Arial"/>
          <w:lang w:val="en-GB"/>
        </w:rPr>
        <w:t>be</w:t>
      </w:r>
      <w:r w:rsidRPr="006138D3">
        <w:rPr>
          <w:rFonts w:ascii="Calibri" w:hAnsi="Calibri" w:cs="Arial"/>
          <w:lang w:val="en-GB"/>
        </w:rPr>
        <w:t xml:space="preserve"> </w:t>
      </w:r>
      <w:r w:rsidR="00153620">
        <w:rPr>
          <w:rFonts w:ascii="Calibri" w:hAnsi="Calibri" w:cs="Arial"/>
          <w:lang w:val="en-GB"/>
        </w:rPr>
        <w:t>considered grant recipients and agree to a</w:t>
      </w:r>
      <w:r w:rsidRPr="006138D3">
        <w:rPr>
          <w:rFonts w:ascii="Calibri" w:hAnsi="Calibri" w:cs="Arial"/>
          <w:lang w:val="en-GB"/>
        </w:rPr>
        <w:t xml:space="preserve"> grant agreement, which will require the organisation to meet DFAT policies and principles </w:t>
      </w:r>
      <w:r w:rsidR="008B605C" w:rsidRPr="006138D3">
        <w:rPr>
          <w:rFonts w:ascii="Calibri" w:hAnsi="Calibri" w:cs="Arial"/>
          <w:lang w:val="en-GB"/>
        </w:rPr>
        <w:t>governing</w:t>
      </w:r>
      <w:r w:rsidRPr="006138D3">
        <w:rPr>
          <w:rFonts w:ascii="Calibri" w:hAnsi="Calibri" w:cs="Arial"/>
          <w:lang w:val="en-GB"/>
        </w:rPr>
        <w:t xml:space="preserve"> its aid program. </w:t>
      </w:r>
      <w:r w:rsidRPr="006138D3">
        <w:rPr>
          <w:rFonts w:ascii="Calibri" w:hAnsi="Calibri" w:cs="Arial"/>
          <w:lang w:val="en-GB"/>
        </w:rPr>
        <w:lastRenderedPageBreak/>
        <w:t>The specific DFAT policies and guidelines will be outlined in the grant agreement.</w:t>
      </w:r>
      <w:r w:rsidR="00431996">
        <w:rPr>
          <w:rFonts w:ascii="Calibri" w:hAnsi="Calibri" w:cs="Arial"/>
          <w:lang w:val="en-GB"/>
        </w:rPr>
        <w:t xml:space="preserve">  Organisations must note any issues about compliance with DFAT policies and guidelines on their proposal.</w:t>
      </w:r>
    </w:p>
    <w:p w14:paraId="1281D805" w14:textId="77777777" w:rsidR="00874F0E" w:rsidRPr="006138D3" w:rsidRDefault="00874F0E" w:rsidP="00DA5FEF">
      <w:pPr>
        <w:rPr>
          <w:rFonts w:ascii="Calibri" w:hAnsi="Calibri" w:cs="Arial"/>
          <w:lang w:val="en-GB"/>
        </w:rPr>
      </w:pPr>
    </w:p>
    <w:p w14:paraId="1A48ECCB" w14:textId="5DB27B21" w:rsidR="00874F0E" w:rsidRPr="006138D3" w:rsidRDefault="00874F0E" w:rsidP="00DA5FEF">
      <w:pPr>
        <w:rPr>
          <w:b/>
          <w:sz w:val="28"/>
          <w:szCs w:val="28"/>
        </w:rPr>
      </w:pPr>
      <w:r w:rsidRPr="006138D3">
        <w:rPr>
          <w:b/>
          <w:sz w:val="28"/>
          <w:szCs w:val="28"/>
        </w:rPr>
        <w:t xml:space="preserve">4.  Technical </w:t>
      </w:r>
      <w:r w:rsidR="008B605C" w:rsidRPr="006138D3">
        <w:rPr>
          <w:b/>
          <w:sz w:val="28"/>
          <w:szCs w:val="28"/>
        </w:rPr>
        <w:t>selection</w:t>
      </w:r>
      <w:r w:rsidRPr="006138D3">
        <w:rPr>
          <w:b/>
          <w:sz w:val="28"/>
          <w:szCs w:val="28"/>
        </w:rPr>
        <w:t xml:space="preserve"> criteria</w:t>
      </w:r>
    </w:p>
    <w:p w14:paraId="7AB0EB54" w14:textId="1BEFB4C6" w:rsidR="00874F0E" w:rsidRPr="006138D3" w:rsidRDefault="00874F0E" w:rsidP="00DA5FEF">
      <w:r w:rsidRPr="006138D3">
        <w:t xml:space="preserve">The following selection criteria will </w:t>
      </w:r>
      <w:r w:rsidR="00AF4222" w:rsidRPr="006138D3">
        <w:t>be</w:t>
      </w:r>
      <w:r w:rsidRPr="006138D3">
        <w:t xml:space="preserve"> used to assess the pro</w:t>
      </w:r>
      <w:r w:rsidR="00AF4222" w:rsidRPr="006138D3">
        <w:t>po</w:t>
      </w:r>
      <w:r w:rsidRPr="006138D3">
        <w:t>sal</w:t>
      </w:r>
      <w:r w:rsidR="00B74DA4" w:rsidRPr="006138D3">
        <w:t>:</w:t>
      </w:r>
    </w:p>
    <w:p w14:paraId="7040EF92" w14:textId="77777777" w:rsidR="00874F0E" w:rsidRPr="006138D3" w:rsidRDefault="00874F0E" w:rsidP="00DA5FEF"/>
    <w:tbl>
      <w:tblPr>
        <w:tblStyle w:val="TableGrid"/>
        <w:tblW w:w="0" w:type="auto"/>
        <w:tblInd w:w="250" w:type="dxa"/>
        <w:tblLook w:val="04A0" w:firstRow="1" w:lastRow="0" w:firstColumn="1" w:lastColumn="0" w:noHBand="0" w:noVBand="1"/>
      </w:tblPr>
      <w:tblGrid>
        <w:gridCol w:w="2150"/>
        <w:gridCol w:w="5094"/>
        <w:gridCol w:w="1522"/>
      </w:tblGrid>
      <w:tr w:rsidR="006138D3" w:rsidRPr="006138D3" w14:paraId="3A1F399E" w14:textId="77777777" w:rsidTr="00A953CF">
        <w:trPr>
          <w:trHeight w:val="413"/>
        </w:trPr>
        <w:tc>
          <w:tcPr>
            <w:tcW w:w="2150" w:type="dxa"/>
            <w:tcBorders>
              <w:bottom w:val="single" w:sz="4" w:space="0" w:color="auto"/>
            </w:tcBorders>
            <w:shd w:val="clear" w:color="auto" w:fill="FFFF99"/>
          </w:tcPr>
          <w:p w14:paraId="0A88AF51" w14:textId="77777777" w:rsidR="008B605C" w:rsidRPr="006138D3" w:rsidRDefault="008B605C" w:rsidP="00A953CF">
            <w:pPr>
              <w:pStyle w:val="ListBullet"/>
              <w:numPr>
                <w:ilvl w:val="0"/>
                <w:numId w:val="0"/>
              </w:numPr>
              <w:tabs>
                <w:tab w:val="clear" w:pos="284"/>
              </w:tabs>
              <w:spacing w:after="0"/>
              <w:rPr>
                <w:color w:val="auto"/>
                <w:lang w:eastAsia="en-US"/>
              </w:rPr>
            </w:pPr>
            <w:r w:rsidRPr="006138D3">
              <w:rPr>
                <w:color w:val="auto"/>
                <w:lang w:eastAsia="en-US"/>
              </w:rPr>
              <w:t>Selection Criteria</w:t>
            </w:r>
          </w:p>
        </w:tc>
        <w:tc>
          <w:tcPr>
            <w:tcW w:w="5094" w:type="dxa"/>
            <w:tcBorders>
              <w:bottom w:val="single" w:sz="4" w:space="0" w:color="auto"/>
            </w:tcBorders>
            <w:shd w:val="clear" w:color="auto" w:fill="FFFF99"/>
          </w:tcPr>
          <w:p w14:paraId="38BA621C"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Description</w:t>
            </w:r>
          </w:p>
        </w:tc>
        <w:tc>
          <w:tcPr>
            <w:tcW w:w="1522" w:type="dxa"/>
            <w:tcBorders>
              <w:bottom w:val="single" w:sz="4" w:space="0" w:color="auto"/>
            </w:tcBorders>
            <w:shd w:val="clear" w:color="auto" w:fill="FFFF99"/>
          </w:tcPr>
          <w:p w14:paraId="6152A20A"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Approximate Weighting (%)</w:t>
            </w:r>
          </w:p>
        </w:tc>
      </w:tr>
      <w:tr w:rsidR="006138D3" w:rsidRPr="006138D3" w14:paraId="3BC75E90" w14:textId="77777777" w:rsidTr="00A953CF">
        <w:trPr>
          <w:trHeight w:val="413"/>
        </w:trPr>
        <w:tc>
          <w:tcPr>
            <w:tcW w:w="2150" w:type="dxa"/>
            <w:shd w:val="clear" w:color="auto" w:fill="auto"/>
          </w:tcPr>
          <w:p w14:paraId="5AF23006"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PDP focus on:</w:t>
            </w:r>
          </w:p>
          <w:p w14:paraId="182936EA" w14:textId="77777777" w:rsidR="008B605C" w:rsidRPr="006138D3" w:rsidRDefault="008B605C" w:rsidP="008B605C">
            <w:pPr>
              <w:pStyle w:val="ListBullet"/>
              <w:numPr>
                <w:ilvl w:val="0"/>
                <w:numId w:val="8"/>
              </w:numPr>
              <w:spacing w:after="0"/>
              <w:ind w:left="207" w:hanging="142"/>
              <w:rPr>
                <w:color w:val="auto"/>
              </w:rPr>
            </w:pPr>
            <w:r w:rsidRPr="006138D3">
              <w:rPr>
                <w:color w:val="auto"/>
              </w:rPr>
              <w:t>Diagnostics and therapeutics for TB and malaria</w:t>
            </w:r>
          </w:p>
          <w:p w14:paraId="002C7598" w14:textId="77777777" w:rsidR="008B605C" w:rsidRPr="006138D3" w:rsidRDefault="008B605C" w:rsidP="008B605C">
            <w:pPr>
              <w:pStyle w:val="ListBullet"/>
              <w:numPr>
                <w:ilvl w:val="0"/>
                <w:numId w:val="8"/>
              </w:numPr>
              <w:spacing w:after="0"/>
              <w:ind w:left="207" w:hanging="142"/>
              <w:rPr>
                <w:color w:val="auto"/>
              </w:rPr>
            </w:pPr>
            <w:r w:rsidRPr="006138D3">
              <w:rPr>
                <w:color w:val="auto"/>
              </w:rPr>
              <w:t>Vector control tools for malaria and high burden mosquito borne diseases</w:t>
            </w:r>
          </w:p>
          <w:p w14:paraId="44A7FFBE" w14:textId="77777777" w:rsidR="008B605C" w:rsidRPr="006138D3" w:rsidRDefault="008B605C" w:rsidP="00A953CF">
            <w:pPr>
              <w:pStyle w:val="ListBullet"/>
              <w:numPr>
                <w:ilvl w:val="0"/>
                <w:numId w:val="0"/>
              </w:numPr>
              <w:tabs>
                <w:tab w:val="clear" w:pos="284"/>
                <w:tab w:val="left" w:pos="207"/>
              </w:tabs>
              <w:spacing w:after="0"/>
              <w:rPr>
                <w:color w:val="auto"/>
                <w:highlight w:val="yellow"/>
              </w:rPr>
            </w:pPr>
          </w:p>
        </w:tc>
        <w:tc>
          <w:tcPr>
            <w:tcW w:w="5094" w:type="dxa"/>
            <w:shd w:val="clear" w:color="auto" w:fill="auto"/>
          </w:tcPr>
          <w:p w14:paraId="7C0AE65A" w14:textId="77777777" w:rsidR="008B605C" w:rsidRPr="006138D3" w:rsidRDefault="008B605C" w:rsidP="00A953CF">
            <w:pPr>
              <w:pStyle w:val="ListBullet"/>
              <w:numPr>
                <w:ilvl w:val="0"/>
                <w:numId w:val="0"/>
              </w:numPr>
              <w:spacing w:after="0"/>
              <w:rPr>
                <w:b/>
                <w:color w:val="auto"/>
                <w:lang w:eastAsia="en-US"/>
              </w:rPr>
            </w:pPr>
          </w:p>
        </w:tc>
        <w:tc>
          <w:tcPr>
            <w:tcW w:w="1522" w:type="dxa"/>
            <w:shd w:val="clear" w:color="auto" w:fill="auto"/>
          </w:tcPr>
          <w:p w14:paraId="4933FA1D" w14:textId="77777777" w:rsidR="008B605C" w:rsidRPr="006138D3" w:rsidRDefault="008B605C" w:rsidP="00A953CF">
            <w:pPr>
              <w:pStyle w:val="ListBullet"/>
              <w:numPr>
                <w:ilvl w:val="0"/>
                <w:numId w:val="0"/>
              </w:numPr>
              <w:spacing w:after="0"/>
              <w:rPr>
                <w:color w:val="auto"/>
                <w:lang w:eastAsia="en-US"/>
              </w:rPr>
            </w:pPr>
            <w:r w:rsidRPr="006138D3">
              <w:rPr>
                <w:b/>
                <w:color w:val="auto"/>
                <w:u w:val="single"/>
                <w:lang w:eastAsia="en-US"/>
              </w:rPr>
              <w:t>Yes</w:t>
            </w:r>
            <w:r w:rsidRPr="006138D3">
              <w:rPr>
                <w:color w:val="auto"/>
                <w:lang w:eastAsia="en-US"/>
              </w:rPr>
              <w:t>/No</w:t>
            </w:r>
          </w:p>
          <w:p w14:paraId="6A0F0845" w14:textId="77777777" w:rsidR="008B605C" w:rsidRPr="006138D3" w:rsidRDefault="008B605C" w:rsidP="00A953CF">
            <w:pPr>
              <w:pStyle w:val="ListBullet"/>
              <w:numPr>
                <w:ilvl w:val="0"/>
                <w:numId w:val="0"/>
              </w:numPr>
              <w:spacing w:after="0"/>
              <w:rPr>
                <w:color w:val="auto"/>
                <w:lang w:eastAsia="en-US"/>
              </w:rPr>
            </w:pPr>
          </w:p>
          <w:p w14:paraId="5DBD21D2"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(if ‘Yes’, Continue)</w:t>
            </w:r>
          </w:p>
        </w:tc>
      </w:tr>
      <w:tr w:rsidR="006138D3" w:rsidRPr="006138D3" w14:paraId="6D1736C7" w14:textId="77777777" w:rsidTr="00A953CF">
        <w:trPr>
          <w:trHeight w:val="413"/>
        </w:trPr>
        <w:tc>
          <w:tcPr>
            <w:tcW w:w="2150" w:type="dxa"/>
          </w:tcPr>
          <w:p w14:paraId="6A839C04"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Product pipeline (high-impact/late stage)</w:t>
            </w:r>
          </w:p>
        </w:tc>
        <w:tc>
          <w:tcPr>
            <w:tcW w:w="5094" w:type="dxa"/>
          </w:tcPr>
          <w:p w14:paraId="56054042" w14:textId="77777777" w:rsidR="008B605C" w:rsidRPr="006138D3" w:rsidRDefault="008B605C" w:rsidP="008B605C">
            <w:pPr>
              <w:pStyle w:val="ListBullet"/>
              <w:numPr>
                <w:ilvl w:val="0"/>
                <w:numId w:val="10"/>
              </w:numPr>
              <w:spacing w:after="0"/>
              <w:rPr>
                <w:color w:val="auto"/>
                <w:lang w:eastAsia="en-US"/>
              </w:rPr>
            </w:pPr>
            <w:r w:rsidRPr="006138D3">
              <w:rPr>
                <w:color w:val="auto"/>
                <w:lang w:eastAsia="en-US"/>
              </w:rPr>
              <w:t xml:space="preserve">Demonstrate overview of pipeline diagnostic and therapeutic products for TB and/or malaria, and/or vector control products for high burden mosquito borne diseases, with potential for high impact on target disease,  </w:t>
            </w:r>
          </w:p>
          <w:p w14:paraId="227F1904" w14:textId="77777777" w:rsidR="008B605C" w:rsidRPr="006138D3" w:rsidRDefault="008B605C" w:rsidP="008B605C">
            <w:pPr>
              <w:pStyle w:val="ListBullet"/>
              <w:numPr>
                <w:ilvl w:val="1"/>
                <w:numId w:val="10"/>
              </w:numPr>
              <w:spacing w:after="0"/>
              <w:rPr>
                <w:color w:val="auto"/>
                <w:lang w:eastAsia="en-US"/>
              </w:rPr>
            </w:pPr>
            <w:proofErr w:type="gramStart"/>
            <w:r w:rsidRPr="006138D3">
              <w:rPr>
                <w:color w:val="auto"/>
                <w:lang w:eastAsia="en-US"/>
              </w:rPr>
              <w:t>provide</w:t>
            </w:r>
            <w:proofErr w:type="gramEnd"/>
            <w:r w:rsidRPr="006138D3">
              <w:rPr>
                <w:color w:val="auto"/>
                <w:lang w:eastAsia="en-US"/>
              </w:rPr>
              <w:t xml:space="preserve"> detailed information on pipeline products in terms of development stage, clinical / diagnostic indications, risks, benefits and probability of impact on health (modelled DALYs, lives saved, etc.), poverty, and security, as well as projected timelines for each product. </w:t>
            </w:r>
          </w:p>
          <w:p w14:paraId="00EF7DA8" w14:textId="77777777" w:rsidR="008B605C" w:rsidRPr="006138D3" w:rsidRDefault="008B605C" w:rsidP="008B605C">
            <w:pPr>
              <w:pStyle w:val="ListBullet"/>
              <w:numPr>
                <w:ilvl w:val="0"/>
                <w:numId w:val="10"/>
              </w:numPr>
              <w:spacing w:after="0"/>
              <w:rPr>
                <w:color w:val="auto"/>
                <w:lang w:eastAsia="en-US"/>
              </w:rPr>
            </w:pPr>
            <w:r w:rsidRPr="006138D3">
              <w:rPr>
                <w:color w:val="auto"/>
                <w:lang w:eastAsia="en-US"/>
              </w:rPr>
              <w:t>Describe pipeline product/s that will be ready for registration in the next 3-5 years, including relevant milestones or requirements for development.</w:t>
            </w:r>
          </w:p>
          <w:p w14:paraId="7EB44947" w14:textId="57AF026E" w:rsidR="008B605C" w:rsidRPr="006138D3" w:rsidRDefault="008B605C" w:rsidP="008B605C">
            <w:pPr>
              <w:pStyle w:val="ListBullet"/>
              <w:numPr>
                <w:ilvl w:val="0"/>
                <w:numId w:val="10"/>
              </w:numPr>
              <w:spacing w:after="0"/>
              <w:rPr>
                <w:color w:val="auto"/>
                <w:lang w:eastAsia="en-US"/>
              </w:rPr>
            </w:pPr>
            <w:r w:rsidRPr="006138D3">
              <w:rPr>
                <w:color w:val="auto"/>
                <w:lang w:eastAsia="en-US"/>
              </w:rPr>
              <w:t xml:space="preserve">Describe pipeline products with particular </w:t>
            </w:r>
            <w:r w:rsidRPr="006138D3">
              <w:rPr>
                <w:color w:val="auto"/>
                <w:u w:val="single"/>
                <w:lang w:eastAsia="en-US"/>
              </w:rPr>
              <w:t xml:space="preserve">relevance to targeted diseases in the </w:t>
            </w:r>
            <w:r w:rsidR="003B2CC3">
              <w:rPr>
                <w:color w:val="auto"/>
                <w:u w:val="single"/>
                <w:lang w:eastAsia="en-US"/>
              </w:rPr>
              <w:t>Indo-</w:t>
            </w:r>
            <w:r w:rsidRPr="006138D3">
              <w:rPr>
                <w:color w:val="auto"/>
                <w:u w:val="single"/>
                <w:lang w:eastAsia="en-US"/>
              </w:rPr>
              <w:t xml:space="preserve"> Pacific region, </w:t>
            </w:r>
          </w:p>
          <w:p w14:paraId="656C3249" w14:textId="77777777" w:rsidR="008B605C" w:rsidRPr="006138D3" w:rsidRDefault="008B605C" w:rsidP="008B605C">
            <w:pPr>
              <w:pStyle w:val="ListBullet"/>
              <w:numPr>
                <w:ilvl w:val="0"/>
                <w:numId w:val="10"/>
              </w:numPr>
              <w:spacing w:after="0"/>
              <w:rPr>
                <w:color w:val="auto"/>
                <w:lang w:eastAsia="en-US"/>
              </w:rPr>
            </w:pPr>
            <w:r w:rsidRPr="006138D3">
              <w:rPr>
                <w:color w:val="auto"/>
                <w:lang w:eastAsia="en-US"/>
              </w:rPr>
              <w:t>Demonstrate compliance with global good clinical practice standards where relevant to particular products.</w:t>
            </w:r>
          </w:p>
          <w:p w14:paraId="02D20BE4" w14:textId="77777777" w:rsidR="008B605C" w:rsidRPr="006138D3" w:rsidRDefault="008B605C" w:rsidP="00A953CF">
            <w:pPr>
              <w:pStyle w:val="ListBullet"/>
              <w:numPr>
                <w:ilvl w:val="0"/>
                <w:numId w:val="0"/>
              </w:numPr>
              <w:spacing w:after="0"/>
              <w:ind w:left="644" w:hanging="360"/>
              <w:rPr>
                <w:color w:val="auto"/>
                <w:lang w:eastAsia="en-US"/>
              </w:rPr>
            </w:pPr>
          </w:p>
        </w:tc>
        <w:tc>
          <w:tcPr>
            <w:tcW w:w="1522" w:type="dxa"/>
          </w:tcPr>
          <w:p w14:paraId="4F1ED67C"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40%</w:t>
            </w:r>
          </w:p>
        </w:tc>
      </w:tr>
      <w:tr w:rsidR="006138D3" w:rsidRPr="006138D3" w14:paraId="50FA4D4A" w14:textId="77777777" w:rsidTr="00A953CF">
        <w:trPr>
          <w:trHeight w:val="413"/>
        </w:trPr>
        <w:tc>
          <w:tcPr>
            <w:tcW w:w="2150" w:type="dxa"/>
          </w:tcPr>
          <w:p w14:paraId="2E9D5812"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Contribution to access</w:t>
            </w:r>
          </w:p>
        </w:tc>
        <w:tc>
          <w:tcPr>
            <w:tcW w:w="5094" w:type="dxa"/>
          </w:tcPr>
          <w:p w14:paraId="6548740B" w14:textId="77777777" w:rsidR="008B605C" w:rsidRPr="006138D3" w:rsidRDefault="008B605C" w:rsidP="00A953CF">
            <w:pPr>
              <w:pStyle w:val="ListBullet"/>
              <w:numPr>
                <w:ilvl w:val="0"/>
                <w:numId w:val="0"/>
              </w:numPr>
              <w:spacing w:after="0"/>
              <w:rPr>
                <w:color w:val="auto"/>
              </w:rPr>
            </w:pPr>
            <w:r w:rsidRPr="006138D3">
              <w:rPr>
                <w:color w:val="auto"/>
              </w:rPr>
              <w:t xml:space="preserve">Demonstrate contribution to access – where access is defined as availability and affordability of products – including extent of access-enabling initiatives and </w:t>
            </w:r>
            <w:r w:rsidRPr="006138D3">
              <w:rPr>
                <w:color w:val="auto"/>
              </w:rPr>
              <w:lastRenderedPageBreak/>
              <w:t xml:space="preserve">partnerships, where appropriate to the partnership model and/or product.  </w:t>
            </w:r>
          </w:p>
          <w:p w14:paraId="2798AB1B" w14:textId="22F20396" w:rsidR="008B605C" w:rsidRPr="006138D3" w:rsidRDefault="008B605C" w:rsidP="008B605C">
            <w:pPr>
              <w:pStyle w:val="ListBullet"/>
              <w:numPr>
                <w:ilvl w:val="0"/>
                <w:numId w:val="11"/>
              </w:numPr>
              <w:spacing w:after="0"/>
              <w:rPr>
                <w:color w:val="auto"/>
              </w:rPr>
            </w:pPr>
            <w:r w:rsidRPr="006138D3">
              <w:rPr>
                <w:color w:val="auto"/>
                <w:lang w:eastAsia="en-US"/>
              </w:rPr>
              <w:t>These could include, but are not limited to, registering products for compassionate access schemes, understanding appropriate regulatory pathways, reducing time to registration of products, ensuring affordability to target markets, market analysis, and appropriate partnerships for regulation, procurement and d</w:t>
            </w:r>
            <w:r w:rsidR="00000620">
              <w:rPr>
                <w:color w:val="auto"/>
                <w:lang w:eastAsia="en-US"/>
              </w:rPr>
              <w:t>istribution (where relevant)</w:t>
            </w:r>
          </w:p>
        </w:tc>
        <w:tc>
          <w:tcPr>
            <w:tcW w:w="1522" w:type="dxa"/>
          </w:tcPr>
          <w:p w14:paraId="26E8EDDF"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lastRenderedPageBreak/>
              <w:t>10%</w:t>
            </w:r>
          </w:p>
        </w:tc>
      </w:tr>
      <w:tr w:rsidR="006138D3" w:rsidRPr="006138D3" w14:paraId="57E3B720" w14:textId="77777777" w:rsidTr="00A953CF">
        <w:trPr>
          <w:trHeight w:val="413"/>
        </w:trPr>
        <w:tc>
          <w:tcPr>
            <w:tcW w:w="2150" w:type="dxa"/>
          </w:tcPr>
          <w:p w14:paraId="2D740273"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Achievements</w:t>
            </w:r>
          </w:p>
        </w:tc>
        <w:tc>
          <w:tcPr>
            <w:tcW w:w="5094" w:type="dxa"/>
          </w:tcPr>
          <w:p w14:paraId="568EC533"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Track record of registration of new TB, malaria and vector control products (medicines, diagnostics, vector control tools) to market in the previous 5-10 years. </w:t>
            </w:r>
          </w:p>
        </w:tc>
        <w:tc>
          <w:tcPr>
            <w:tcW w:w="1522" w:type="dxa"/>
          </w:tcPr>
          <w:p w14:paraId="3E30240C"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r w:rsidR="006138D3" w:rsidRPr="006138D3" w14:paraId="19475935" w14:textId="77777777" w:rsidTr="00A953CF">
        <w:trPr>
          <w:trHeight w:val="432"/>
        </w:trPr>
        <w:tc>
          <w:tcPr>
            <w:tcW w:w="2150" w:type="dxa"/>
          </w:tcPr>
          <w:p w14:paraId="55F52D80"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Governance &amp; Financial Management</w:t>
            </w:r>
          </w:p>
        </w:tc>
        <w:tc>
          <w:tcPr>
            <w:tcW w:w="5094" w:type="dxa"/>
          </w:tcPr>
          <w:p w14:paraId="39DF7066"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Demonstrate organisational capacity to deliver against PDP strategy and objectives. Provide evidence of leadership, governance and management procedures of the PDP, including gender and disability breakdown of employees. PDPs should demonstrate appropriate risk management, and consideration of ethical issues, PDPs should demonstrate they have adequate financial management systems in place, including independent audits; </w:t>
            </w:r>
          </w:p>
        </w:tc>
        <w:tc>
          <w:tcPr>
            <w:tcW w:w="1522" w:type="dxa"/>
          </w:tcPr>
          <w:p w14:paraId="4BE7DE48"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r w:rsidR="006138D3" w:rsidRPr="006138D3" w14:paraId="121EA7F6" w14:textId="77777777" w:rsidTr="00A953CF">
        <w:trPr>
          <w:trHeight w:val="432"/>
        </w:trPr>
        <w:tc>
          <w:tcPr>
            <w:tcW w:w="2150" w:type="dxa"/>
          </w:tcPr>
          <w:p w14:paraId="6136130E" w14:textId="52D3A9C6"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Gender and disability-sensitive research and capacity building focused activities in </w:t>
            </w:r>
            <w:r w:rsidR="00AB1849">
              <w:rPr>
                <w:color w:val="auto"/>
                <w:lang w:eastAsia="en-US"/>
              </w:rPr>
              <w:t>Indo Pacific</w:t>
            </w:r>
          </w:p>
        </w:tc>
        <w:tc>
          <w:tcPr>
            <w:tcW w:w="5094" w:type="dxa"/>
          </w:tcPr>
          <w:p w14:paraId="7285E0E4" w14:textId="2C7D572C"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Demonstrate operational research and capacity building activities relevant to particular products, such as product trials or field studies which contribute to capacity building in research in countries in the </w:t>
            </w:r>
            <w:r w:rsidR="00AB1849">
              <w:rPr>
                <w:color w:val="auto"/>
                <w:lang w:eastAsia="en-US"/>
              </w:rPr>
              <w:t>Indo Pacific</w:t>
            </w:r>
            <w:r w:rsidRPr="006138D3">
              <w:rPr>
                <w:color w:val="auto"/>
                <w:lang w:eastAsia="en-US"/>
              </w:rPr>
              <w:t xml:space="preserve"> region. Able to provide evidence of contribution to gender-sensitive and social inclusive capacity building activities. </w:t>
            </w:r>
          </w:p>
          <w:p w14:paraId="15117EBF" w14:textId="77777777" w:rsidR="008B605C" w:rsidRPr="006138D3" w:rsidRDefault="008B605C" w:rsidP="00A953CF">
            <w:pPr>
              <w:pStyle w:val="ListBullet"/>
              <w:numPr>
                <w:ilvl w:val="0"/>
                <w:numId w:val="0"/>
              </w:numPr>
              <w:spacing w:after="0"/>
              <w:rPr>
                <w:color w:val="auto"/>
                <w:lang w:eastAsia="en-US"/>
              </w:rPr>
            </w:pPr>
          </w:p>
        </w:tc>
        <w:tc>
          <w:tcPr>
            <w:tcW w:w="1522" w:type="dxa"/>
          </w:tcPr>
          <w:p w14:paraId="5B3818DC"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r w:rsidR="006138D3" w:rsidRPr="006138D3" w14:paraId="2F5205FB" w14:textId="77777777" w:rsidTr="00A953CF">
        <w:trPr>
          <w:trHeight w:val="413"/>
        </w:trPr>
        <w:tc>
          <w:tcPr>
            <w:tcW w:w="2150" w:type="dxa"/>
          </w:tcPr>
          <w:p w14:paraId="3D1E3B65"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Budget</w:t>
            </w:r>
          </w:p>
        </w:tc>
        <w:tc>
          <w:tcPr>
            <w:tcW w:w="5094" w:type="dxa"/>
          </w:tcPr>
          <w:p w14:paraId="4BD95FEB"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Demonstrate available funds, existing funding gaps, diversity of funding sources, provide breakdown of current funders. And proposed/projected allocation of core spending, </w:t>
            </w:r>
          </w:p>
          <w:p w14:paraId="6D41861F" w14:textId="77777777" w:rsidR="008B605C" w:rsidRPr="006138D3" w:rsidRDefault="008B605C" w:rsidP="00A953CF">
            <w:pPr>
              <w:pStyle w:val="ListBullet"/>
              <w:numPr>
                <w:ilvl w:val="0"/>
                <w:numId w:val="0"/>
              </w:numPr>
              <w:spacing w:after="0"/>
              <w:rPr>
                <w:color w:val="auto"/>
                <w:lang w:eastAsia="en-US"/>
              </w:rPr>
            </w:pPr>
          </w:p>
        </w:tc>
        <w:tc>
          <w:tcPr>
            <w:tcW w:w="1522" w:type="dxa"/>
          </w:tcPr>
          <w:p w14:paraId="05C3459B"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r w:rsidR="006138D3" w:rsidRPr="006138D3" w14:paraId="4B4BCAE1" w14:textId="77777777" w:rsidTr="00A953CF">
        <w:trPr>
          <w:trHeight w:val="432"/>
        </w:trPr>
        <w:tc>
          <w:tcPr>
            <w:tcW w:w="2150" w:type="dxa"/>
          </w:tcPr>
          <w:p w14:paraId="78BC2A46"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Partnerships</w:t>
            </w:r>
          </w:p>
        </w:tc>
        <w:tc>
          <w:tcPr>
            <w:tcW w:w="5094" w:type="dxa"/>
          </w:tcPr>
          <w:p w14:paraId="65AEB331"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Demonstrate ongoing and appropriate engagement with key global health partners including multilateral institutes, academia, country governments, industry (e.g. manufacturing, distribution, implementation partners), Include detailed information on partnerships: </w:t>
            </w:r>
          </w:p>
          <w:p w14:paraId="7A1D5110" w14:textId="3073BCB1" w:rsidR="008B605C" w:rsidRPr="006138D3" w:rsidRDefault="008B605C" w:rsidP="008B605C">
            <w:pPr>
              <w:pStyle w:val="ListBullet"/>
              <w:numPr>
                <w:ilvl w:val="1"/>
                <w:numId w:val="9"/>
              </w:numPr>
              <w:spacing w:after="0"/>
              <w:rPr>
                <w:color w:val="auto"/>
                <w:lang w:eastAsia="en-US"/>
              </w:rPr>
            </w:pPr>
            <w:r w:rsidRPr="006138D3">
              <w:rPr>
                <w:color w:val="auto"/>
                <w:lang w:eastAsia="en-US"/>
              </w:rPr>
              <w:t xml:space="preserve">In the </w:t>
            </w:r>
            <w:r w:rsidR="00AB1849">
              <w:rPr>
                <w:color w:val="auto"/>
                <w:lang w:eastAsia="en-US"/>
              </w:rPr>
              <w:t>Indo Pacific</w:t>
            </w:r>
            <w:r w:rsidRPr="006138D3">
              <w:rPr>
                <w:color w:val="auto"/>
                <w:lang w:eastAsia="en-US"/>
              </w:rPr>
              <w:t xml:space="preserve"> region including specific mention of research institution partnerships in Australia</w:t>
            </w:r>
          </w:p>
          <w:p w14:paraId="51BBD317" w14:textId="77777777" w:rsidR="008B605C" w:rsidRPr="006138D3" w:rsidRDefault="008B605C" w:rsidP="008B605C">
            <w:pPr>
              <w:pStyle w:val="ListBullet"/>
              <w:numPr>
                <w:ilvl w:val="1"/>
                <w:numId w:val="9"/>
              </w:numPr>
              <w:spacing w:after="0"/>
              <w:rPr>
                <w:color w:val="auto"/>
                <w:lang w:eastAsia="en-US"/>
              </w:rPr>
            </w:pPr>
            <w:r w:rsidRPr="006138D3">
              <w:rPr>
                <w:color w:val="auto"/>
                <w:lang w:eastAsia="en-US"/>
              </w:rPr>
              <w:t>Private sector partnerships</w:t>
            </w:r>
          </w:p>
          <w:p w14:paraId="2D9DF1FF" w14:textId="77777777" w:rsidR="008B605C" w:rsidRPr="006138D3" w:rsidRDefault="008B605C" w:rsidP="008B605C">
            <w:pPr>
              <w:pStyle w:val="ListBullet"/>
              <w:numPr>
                <w:ilvl w:val="1"/>
                <w:numId w:val="9"/>
              </w:numPr>
              <w:spacing w:after="0"/>
              <w:rPr>
                <w:color w:val="auto"/>
                <w:lang w:eastAsia="en-US"/>
              </w:rPr>
            </w:pPr>
            <w:r w:rsidRPr="006138D3">
              <w:rPr>
                <w:color w:val="auto"/>
                <w:lang w:eastAsia="en-US"/>
              </w:rPr>
              <w:t xml:space="preserve">Explicit nature of partnerships to be described. </w:t>
            </w:r>
          </w:p>
        </w:tc>
        <w:tc>
          <w:tcPr>
            <w:tcW w:w="1522" w:type="dxa"/>
          </w:tcPr>
          <w:p w14:paraId="1F5998E8"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bl>
    <w:p w14:paraId="07FB4742" w14:textId="55F6CBDF" w:rsidR="00874F0E" w:rsidRPr="006138D3" w:rsidRDefault="00874F0E" w:rsidP="00DA5FEF"/>
    <w:p w14:paraId="300FB3B2" w14:textId="6D1B87E0" w:rsidR="00B74DA4" w:rsidRPr="006138D3" w:rsidRDefault="00421B00" w:rsidP="00DA5FEF">
      <w:pPr>
        <w:rPr>
          <w:b/>
          <w:sz w:val="28"/>
          <w:szCs w:val="28"/>
        </w:rPr>
      </w:pPr>
      <w:r w:rsidRPr="006138D3">
        <w:rPr>
          <w:b/>
          <w:sz w:val="28"/>
          <w:szCs w:val="28"/>
        </w:rPr>
        <w:lastRenderedPageBreak/>
        <w:t xml:space="preserve">5. </w:t>
      </w:r>
      <w:r w:rsidR="00B74DA4" w:rsidRPr="006138D3">
        <w:rPr>
          <w:b/>
          <w:sz w:val="28"/>
          <w:szCs w:val="28"/>
        </w:rPr>
        <w:t>Safeguards and cross-cutting issues</w:t>
      </w:r>
    </w:p>
    <w:p w14:paraId="242AFED0" w14:textId="08477E49" w:rsidR="00B74DA4" w:rsidRPr="006138D3" w:rsidRDefault="00B74DA4" w:rsidP="00DA5FEF">
      <w:pPr>
        <w:rPr>
          <w:rFonts w:ascii="Calibri" w:hAnsi="Calibri" w:cs="Arial"/>
          <w:lang w:val="en-GB"/>
        </w:rPr>
      </w:pPr>
      <w:r w:rsidRPr="006138D3">
        <w:rPr>
          <w:rFonts w:ascii="Calibri" w:hAnsi="Calibri" w:cs="Arial"/>
          <w:lang w:val="en-GB"/>
        </w:rPr>
        <w:t>Proposals must include the applicants approach to:</w:t>
      </w:r>
    </w:p>
    <w:p w14:paraId="4B5C4434" w14:textId="15917523" w:rsidR="00B74DA4" w:rsidRPr="006138D3" w:rsidRDefault="00B74DA4" w:rsidP="00421B00">
      <w:pPr>
        <w:pStyle w:val="ListParagraph"/>
        <w:numPr>
          <w:ilvl w:val="0"/>
          <w:numId w:val="2"/>
        </w:numPr>
        <w:rPr>
          <w:rFonts w:ascii="Calibri" w:hAnsi="Calibri" w:cs="Arial"/>
          <w:lang w:val="en-GB"/>
        </w:rPr>
      </w:pPr>
      <w:r w:rsidRPr="006138D3">
        <w:rPr>
          <w:rFonts w:ascii="Calibri" w:hAnsi="Calibri" w:cs="Arial"/>
          <w:lang w:val="en-GB"/>
        </w:rPr>
        <w:t xml:space="preserve">do no harm </w:t>
      </w:r>
    </w:p>
    <w:p w14:paraId="74800641" w14:textId="4F53228D" w:rsidR="00B74DA4" w:rsidRPr="006138D3" w:rsidRDefault="00B74DA4" w:rsidP="00421B00">
      <w:pPr>
        <w:pStyle w:val="ListParagraph"/>
        <w:numPr>
          <w:ilvl w:val="0"/>
          <w:numId w:val="2"/>
        </w:numPr>
        <w:rPr>
          <w:rFonts w:ascii="Calibri" w:hAnsi="Calibri" w:cs="Arial"/>
          <w:lang w:val="en-GB"/>
        </w:rPr>
      </w:pPr>
      <w:r w:rsidRPr="006138D3">
        <w:rPr>
          <w:rFonts w:ascii="Calibri" w:hAnsi="Calibri" w:cs="Arial"/>
          <w:lang w:val="en-GB"/>
        </w:rPr>
        <w:t xml:space="preserve"> gender and social inclusion of people with disabilities</w:t>
      </w:r>
    </w:p>
    <w:p w14:paraId="21ECE989" w14:textId="30C5164F" w:rsidR="00B74DA4" w:rsidRPr="006138D3" w:rsidRDefault="00B74DA4" w:rsidP="00421B00">
      <w:pPr>
        <w:pStyle w:val="ListParagraph"/>
        <w:numPr>
          <w:ilvl w:val="0"/>
          <w:numId w:val="2"/>
        </w:numPr>
        <w:rPr>
          <w:rFonts w:ascii="Calibri" w:hAnsi="Calibri" w:cs="Arial"/>
          <w:lang w:val="en-GB"/>
        </w:rPr>
      </w:pPr>
      <w:r w:rsidRPr="006138D3">
        <w:rPr>
          <w:rFonts w:ascii="Calibri" w:hAnsi="Calibri" w:cs="Arial"/>
          <w:lang w:val="en-GB"/>
        </w:rPr>
        <w:t xml:space="preserve"> child protection</w:t>
      </w:r>
    </w:p>
    <w:p w14:paraId="4C7E749B" w14:textId="13F5949E" w:rsidR="00B74DA4" w:rsidRPr="006138D3" w:rsidRDefault="00B74DA4" w:rsidP="00421B00">
      <w:pPr>
        <w:pStyle w:val="ListParagraph"/>
        <w:numPr>
          <w:ilvl w:val="0"/>
          <w:numId w:val="2"/>
        </w:numPr>
        <w:rPr>
          <w:rFonts w:ascii="Calibri" w:hAnsi="Calibri" w:cs="Arial"/>
          <w:lang w:val="en-GB"/>
        </w:rPr>
      </w:pPr>
      <w:r w:rsidRPr="006138D3">
        <w:rPr>
          <w:rFonts w:ascii="Calibri" w:hAnsi="Calibri" w:cs="Arial"/>
          <w:lang w:val="en-GB"/>
        </w:rPr>
        <w:t xml:space="preserve"> Minimising risk</w:t>
      </w:r>
    </w:p>
    <w:p w14:paraId="2ECD5459" w14:textId="39C45D55" w:rsidR="00B74DA4" w:rsidRPr="006138D3" w:rsidRDefault="00B74DA4" w:rsidP="00DA5FEF">
      <w:r w:rsidRPr="006138D3">
        <w:t>All</w:t>
      </w:r>
      <w:r w:rsidR="00421B00" w:rsidRPr="006138D3">
        <w:t xml:space="preserve"> </w:t>
      </w:r>
      <w:r w:rsidRPr="006138D3">
        <w:t>organisations must comply with DFAT’s Child Protection Policy</w:t>
      </w:r>
    </w:p>
    <w:p w14:paraId="4DE96154" w14:textId="14D5130F" w:rsidR="00874F0E" w:rsidRPr="006138D3" w:rsidRDefault="00421B00" w:rsidP="00DA5FEF">
      <w:pPr>
        <w:rPr>
          <w:b/>
          <w:sz w:val="28"/>
          <w:szCs w:val="28"/>
        </w:rPr>
      </w:pPr>
      <w:r w:rsidRPr="006138D3">
        <w:rPr>
          <w:b/>
          <w:sz w:val="28"/>
          <w:szCs w:val="28"/>
        </w:rPr>
        <w:t>6.  Application p</w:t>
      </w:r>
      <w:r w:rsidR="00874F0E" w:rsidRPr="006138D3">
        <w:rPr>
          <w:b/>
          <w:sz w:val="28"/>
          <w:szCs w:val="28"/>
        </w:rPr>
        <w:t>rocess</w:t>
      </w:r>
    </w:p>
    <w:p w14:paraId="023CF03F" w14:textId="7C1A840C" w:rsidR="004A3E1D" w:rsidRPr="006138D3" w:rsidRDefault="00421B00" w:rsidP="00DA5FEF">
      <w:pPr>
        <w:rPr>
          <w:b/>
        </w:rPr>
      </w:pPr>
      <w:r w:rsidRPr="006138D3">
        <w:rPr>
          <w:b/>
        </w:rPr>
        <w:t xml:space="preserve">6.1 </w:t>
      </w:r>
      <w:r w:rsidR="004A3E1D" w:rsidRPr="006138D3">
        <w:rPr>
          <w:b/>
        </w:rPr>
        <w:t>The indicative timeline for this competitive grant process is:</w:t>
      </w:r>
    </w:p>
    <w:tbl>
      <w:tblPr>
        <w:tblStyle w:val="TableGrid"/>
        <w:tblW w:w="0" w:type="auto"/>
        <w:tblLook w:val="04A0" w:firstRow="1" w:lastRow="0" w:firstColumn="1" w:lastColumn="0" w:noHBand="0" w:noVBand="1"/>
      </w:tblPr>
      <w:tblGrid>
        <w:gridCol w:w="2405"/>
        <w:gridCol w:w="6611"/>
      </w:tblGrid>
      <w:tr w:rsidR="006138D3" w:rsidRPr="006138D3" w14:paraId="3973C5ED" w14:textId="77777777" w:rsidTr="004547B3">
        <w:tc>
          <w:tcPr>
            <w:tcW w:w="2405" w:type="dxa"/>
            <w:shd w:val="clear" w:color="auto" w:fill="F2F2F2" w:themeFill="background1" w:themeFillShade="F2"/>
          </w:tcPr>
          <w:p w14:paraId="4ABA5FBD" w14:textId="36A0F00B" w:rsidR="004A3E1D" w:rsidRPr="006138D3" w:rsidRDefault="004A3E1D" w:rsidP="008B605C">
            <w:pPr>
              <w:rPr>
                <w:rFonts w:ascii="Calibri" w:hAnsi="Calibri" w:cs="Arial"/>
                <w:b/>
              </w:rPr>
            </w:pPr>
            <w:r w:rsidRPr="006138D3">
              <w:rPr>
                <w:rFonts w:ascii="Calibri" w:hAnsi="Calibri" w:cs="Arial"/>
                <w:b/>
              </w:rPr>
              <w:t>Date</w:t>
            </w:r>
          </w:p>
        </w:tc>
        <w:tc>
          <w:tcPr>
            <w:tcW w:w="6611" w:type="dxa"/>
            <w:shd w:val="clear" w:color="auto" w:fill="F2F2F2" w:themeFill="background1" w:themeFillShade="F2"/>
          </w:tcPr>
          <w:p w14:paraId="6AF7A4A2" w14:textId="6871B5EC" w:rsidR="004A3E1D" w:rsidRPr="006138D3" w:rsidRDefault="004A3E1D" w:rsidP="008B605C">
            <w:pPr>
              <w:rPr>
                <w:rFonts w:ascii="Calibri" w:hAnsi="Calibri" w:cs="Arial"/>
                <w:b/>
              </w:rPr>
            </w:pPr>
            <w:r w:rsidRPr="006138D3">
              <w:rPr>
                <w:rFonts w:ascii="Calibri" w:hAnsi="Calibri" w:cs="Arial"/>
                <w:b/>
              </w:rPr>
              <w:t>Event</w:t>
            </w:r>
          </w:p>
        </w:tc>
      </w:tr>
      <w:tr w:rsidR="006138D3" w:rsidRPr="006138D3" w14:paraId="79538395" w14:textId="77777777" w:rsidTr="004547B3">
        <w:tc>
          <w:tcPr>
            <w:tcW w:w="2405" w:type="dxa"/>
          </w:tcPr>
          <w:p w14:paraId="297CDE4E" w14:textId="3FB66ED5" w:rsidR="004A3E1D" w:rsidRPr="006138D3" w:rsidRDefault="001B2204" w:rsidP="008B605C">
            <w:pPr>
              <w:rPr>
                <w:rFonts w:ascii="Calibri" w:hAnsi="Calibri" w:cs="Arial"/>
                <w:lang w:val="en-GB"/>
              </w:rPr>
            </w:pPr>
            <w:r>
              <w:rPr>
                <w:rFonts w:ascii="Calibri" w:hAnsi="Calibri" w:cs="Arial"/>
                <w:lang w:val="en-GB"/>
              </w:rPr>
              <w:t>9</w:t>
            </w:r>
            <w:r w:rsidR="004A3E1D" w:rsidRPr="006138D3">
              <w:rPr>
                <w:rFonts w:ascii="Calibri" w:hAnsi="Calibri" w:cs="Arial"/>
                <w:lang w:val="en-GB"/>
              </w:rPr>
              <w:t xml:space="preserve"> October 2017</w:t>
            </w:r>
            <w:r w:rsidR="004A3E1D" w:rsidRPr="006138D3">
              <w:rPr>
                <w:rFonts w:ascii="Calibri" w:hAnsi="Calibri" w:cs="Arial"/>
                <w:lang w:val="en-GB"/>
              </w:rPr>
              <w:tab/>
            </w:r>
          </w:p>
        </w:tc>
        <w:tc>
          <w:tcPr>
            <w:tcW w:w="6611" w:type="dxa"/>
          </w:tcPr>
          <w:p w14:paraId="36691B92" w14:textId="3C241120" w:rsidR="004547B3" w:rsidRPr="006138D3" w:rsidRDefault="004A3E1D" w:rsidP="008B605C">
            <w:pPr>
              <w:rPr>
                <w:rFonts w:ascii="Calibri" w:hAnsi="Calibri" w:cs="Arial"/>
                <w:lang w:val="en-GB"/>
              </w:rPr>
            </w:pPr>
            <w:r w:rsidRPr="006138D3">
              <w:rPr>
                <w:rFonts w:ascii="Calibri" w:hAnsi="Calibri" w:cs="Arial"/>
                <w:lang w:val="en-GB"/>
              </w:rPr>
              <w:t>Request for proposals opens</w:t>
            </w:r>
          </w:p>
        </w:tc>
      </w:tr>
      <w:tr w:rsidR="006138D3" w:rsidRPr="006138D3" w14:paraId="4764130E" w14:textId="77777777" w:rsidTr="004547B3">
        <w:tc>
          <w:tcPr>
            <w:tcW w:w="2405" w:type="dxa"/>
          </w:tcPr>
          <w:p w14:paraId="280A46BB" w14:textId="1DBB66A2" w:rsidR="004547B3" w:rsidRPr="006138D3" w:rsidRDefault="004547B3" w:rsidP="008B605C">
            <w:pPr>
              <w:rPr>
                <w:rFonts w:ascii="Calibri" w:hAnsi="Calibri" w:cs="Arial"/>
                <w:lang w:val="en-GB"/>
              </w:rPr>
            </w:pPr>
            <w:r w:rsidRPr="006138D3">
              <w:rPr>
                <w:rFonts w:ascii="Calibri" w:hAnsi="Calibri" w:cs="Arial"/>
                <w:lang w:val="en-GB"/>
              </w:rPr>
              <w:t>24 November 2017</w:t>
            </w:r>
          </w:p>
        </w:tc>
        <w:tc>
          <w:tcPr>
            <w:tcW w:w="6611" w:type="dxa"/>
          </w:tcPr>
          <w:p w14:paraId="2D483D4A" w14:textId="685589F3" w:rsidR="004547B3" w:rsidRPr="006138D3" w:rsidRDefault="004547B3" w:rsidP="008B605C">
            <w:pPr>
              <w:rPr>
                <w:rFonts w:ascii="Calibri" w:hAnsi="Calibri" w:cs="Arial"/>
                <w:lang w:val="en-GB"/>
              </w:rPr>
            </w:pPr>
            <w:r w:rsidRPr="006138D3">
              <w:rPr>
                <w:rFonts w:ascii="Calibri" w:hAnsi="Calibri" w:cs="Arial"/>
                <w:lang w:val="en-GB"/>
              </w:rPr>
              <w:t>Deadline for applicant questions</w:t>
            </w:r>
          </w:p>
        </w:tc>
      </w:tr>
      <w:tr w:rsidR="006138D3" w:rsidRPr="006138D3" w14:paraId="50F19B8F" w14:textId="77777777" w:rsidTr="004547B3">
        <w:tc>
          <w:tcPr>
            <w:tcW w:w="2405" w:type="dxa"/>
          </w:tcPr>
          <w:p w14:paraId="6AFD6D5B" w14:textId="300E91F4" w:rsidR="004547B3" w:rsidRPr="006138D3" w:rsidRDefault="004547B3" w:rsidP="008B605C">
            <w:pPr>
              <w:rPr>
                <w:rFonts w:ascii="Calibri" w:hAnsi="Calibri" w:cs="Arial"/>
                <w:lang w:val="en-GB"/>
              </w:rPr>
            </w:pPr>
            <w:r w:rsidRPr="006138D3">
              <w:rPr>
                <w:rFonts w:ascii="Calibri" w:hAnsi="Calibri" w:cs="Arial"/>
                <w:lang w:val="en-GB"/>
              </w:rPr>
              <w:t>1 December 2017</w:t>
            </w:r>
          </w:p>
        </w:tc>
        <w:tc>
          <w:tcPr>
            <w:tcW w:w="6611" w:type="dxa"/>
          </w:tcPr>
          <w:p w14:paraId="17591E71" w14:textId="7EAB9638" w:rsidR="004547B3" w:rsidRPr="006138D3" w:rsidRDefault="004547B3" w:rsidP="008B605C">
            <w:pPr>
              <w:rPr>
                <w:rFonts w:ascii="Calibri" w:hAnsi="Calibri" w:cs="Arial"/>
                <w:lang w:val="en-GB"/>
              </w:rPr>
            </w:pPr>
            <w:r w:rsidRPr="006138D3">
              <w:rPr>
                <w:rFonts w:ascii="Calibri" w:hAnsi="Calibri" w:cs="Arial"/>
                <w:lang w:val="en-GB"/>
              </w:rPr>
              <w:t>Deadline for DFAT responses to applicant questions</w:t>
            </w:r>
          </w:p>
        </w:tc>
      </w:tr>
      <w:tr w:rsidR="006138D3" w:rsidRPr="006138D3" w14:paraId="13F523B5" w14:textId="77777777" w:rsidTr="004547B3">
        <w:tc>
          <w:tcPr>
            <w:tcW w:w="2405" w:type="dxa"/>
          </w:tcPr>
          <w:p w14:paraId="13EBD947" w14:textId="2B49F7FD" w:rsidR="004A3E1D" w:rsidRPr="006138D3" w:rsidRDefault="004547B3" w:rsidP="004547B3">
            <w:pPr>
              <w:rPr>
                <w:rFonts w:ascii="Calibri" w:hAnsi="Calibri" w:cs="Arial"/>
                <w:lang w:val="en-GB"/>
              </w:rPr>
            </w:pPr>
            <w:r w:rsidRPr="006138D3">
              <w:rPr>
                <w:rFonts w:ascii="Calibri" w:hAnsi="Calibri" w:cs="Arial"/>
                <w:lang w:val="en-GB"/>
              </w:rPr>
              <w:t>15 December</w:t>
            </w:r>
            <w:r w:rsidR="004A3E1D" w:rsidRPr="006138D3">
              <w:rPr>
                <w:rFonts w:ascii="Calibri" w:hAnsi="Calibri" w:cs="Arial"/>
                <w:lang w:val="en-GB"/>
              </w:rPr>
              <w:t xml:space="preserve"> 2018</w:t>
            </w:r>
          </w:p>
        </w:tc>
        <w:tc>
          <w:tcPr>
            <w:tcW w:w="6611" w:type="dxa"/>
          </w:tcPr>
          <w:p w14:paraId="59FB2CDE" w14:textId="1B54C9FE" w:rsidR="004A3E1D" w:rsidRPr="006138D3" w:rsidRDefault="004A3E1D" w:rsidP="008B605C">
            <w:pPr>
              <w:rPr>
                <w:rFonts w:ascii="Calibri" w:hAnsi="Calibri" w:cs="Arial"/>
                <w:lang w:val="en-GB"/>
              </w:rPr>
            </w:pPr>
            <w:r w:rsidRPr="006138D3">
              <w:rPr>
                <w:rFonts w:ascii="Calibri" w:hAnsi="Calibri" w:cs="Arial"/>
                <w:lang w:val="en-GB"/>
              </w:rPr>
              <w:t>Closing date for submission of proposals</w:t>
            </w:r>
          </w:p>
        </w:tc>
      </w:tr>
      <w:tr w:rsidR="006138D3" w:rsidRPr="006138D3" w14:paraId="7D59F0FA" w14:textId="77777777" w:rsidTr="004547B3">
        <w:tc>
          <w:tcPr>
            <w:tcW w:w="2405" w:type="dxa"/>
          </w:tcPr>
          <w:p w14:paraId="3E678F2D" w14:textId="4B130903" w:rsidR="004A3E1D" w:rsidRPr="006138D3" w:rsidRDefault="004A3E1D" w:rsidP="008B605C">
            <w:pPr>
              <w:rPr>
                <w:rFonts w:ascii="Calibri" w:hAnsi="Calibri" w:cs="Arial"/>
                <w:lang w:val="en-GB"/>
              </w:rPr>
            </w:pPr>
            <w:r w:rsidRPr="006138D3">
              <w:rPr>
                <w:rFonts w:ascii="Calibri" w:hAnsi="Calibri" w:cs="Arial"/>
                <w:lang w:val="en-GB"/>
              </w:rPr>
              <w:t>16 February</w:t>
            </w:r>
            <w:r w:rsidR="00153620">
              <w:rPr>
                <w:rFonts w:ascii="Calibri" w:hAnsi="Calibri" w:cs="Arial"/>
                <w:lang w:val="en-GB"/>
              </w:rPr>
              <w:t xml:space="preserve"> 2018</w:t>
            </w:r>
          </w:p>
        </w:tc>
        <w:tc>
          <w:tcPr>
            <w:tcW w:w="6611" w:type="dxa"/>
          </w:tcPr>
          <w:p w14:paraId="25EC8292" w14:textId="0B5BA88B" w:rsidR="004A3E1D" w:rsidRPr="006138D3" w:rsidRDefault="004A3E1D" w:rsidP="008B605C">
            <w:pPr>
              <w:rPr>
                <w:rFonts w:ascii="Calibri" w:hAnsi="Calibri" w:cs="Arial"/>
                <w:lang w:val="en-GB"/>
              </w:rPr>
            </w:pPr>
            <w:r w:rsidRPr="006138D3">
              <w:rPr>
                <w:rFonts w:ascii="Calibri" w:hAnsi="Calibri" w:cs="Arial"/>
                <w:lang w:val="en-GB"/>
              </w:rPr>
              <w:t>Notification of selection to PDPs</w:t>
            </w:r>
          </w:p>
        </w:tc>
      </w:tr>
      <w:tr w:rsidR="006138D3" w:rsidRPr="006138D3" w14:paraId="46374144" w14:textId="77777777" w:rsidTr="004547B3">
        <w:tc>
          <w:tcPr>
            <w:tcW w:w="2405" w:type="dxa"/>
          </w:tcPr>
          <w:p w14:paraId="7E7EB422" w14:textId="6A96D3ED" w:rsidR="004A3E1D" w:rsidRPr="006138D3" w:rsidRDefault="004A3E1D" w:rsidP="008B605C">
            <w:pPr>
              <w:rPr>
                <w:rFonts w:ascii="Calibri" w:hAnsi="Calibri" w:cs="Arial"/>
                <w:lang w:val="en-GB"/>
              </w:rPr>
            </w:pPr>
            <w:r w:rsidRPr="006138D3">
              <w:rPr>
                <w:rFonts w:ascii="Calibri" w:hAnsi="Calibri" w:cs="Arial"/>
                <w:lang w:val="en-GB"/>
              </w:rPr>
              <w:t>30 March 2018</w:t>
            </w:r>
          </w:p>
        </w:tc>
        <w:tc>
          <w:tcPr>
            <w:tcW w:w="6611" w:type="dxa"/>
          </w:tcPr>
          <w:p w14:paraId="5DD16C5E" w14:textId="6A5BD2AF" w:rsidR="004A3E1D" w:rsidRPr="006138D3" w:rsidRDefault="004547B3" w:rsidP="008B605C">
            <w:pPr>
              <w:rPr>
                <w:rFonts w:ascii="Calibri" w:hAnsi="Calibri" w:cs="Arial"/>
                <w:lang w:val="en-GB"/>
              </w:rPr>
            </w:pPr>
            <w:r w:rsidRPr="006138D3">
              <w:rPr>
                <w:rFonts w:ascii="Calibri" w:hAnsi="Calibri" w:cs="Arial"/>
                <w:lang w:val="en-GB"/>
              </w:rPr>
              <w:t>Grant agreements with successful PDPs signed</w:t>
            </w:r>
          </w:p>
        </w:tc>
      </w:tr>
      <w:tr w:rsidR="006138D3" w:rsidRPr="006138D3" w14:paraId="0860B2E0" w14:textId="77777777" w:rsidTr="004547B3">
        <w:trPr>
          <w:trHeight w:val="70"/>
        </w:trPr>
        <w:tc>
          <w:tcPr>
            <w:tcW w:w="2405" w:type="dxa"/>
          </w:tcPr>
          <w:p w14:paraId="13F216C4" w14:textId="22BB8888" w:rsidR="004547B3" w:rsidRPr="006138D3" w:rsidRDefault="004547B3" w:rsidP="008B605C">
            <w:pPr>
              <w:rPr>
                <w:rFonts w:ascii="Calibri" w:hAnsi="Calibri" w:cs="Arial"/>
                <w:lang w:val="en-GB"/>
              </w:rPr>
            </w:pPr>
            <w:r w:rsidRPr="006138D3">
              <w:rPr>
                <w:rFonts w:ascii="Calibri" w:hAnsi="Calibri" w:cs="Arial"/>
                <w:lang w:val="en-GB"/>
              </w:rPr>
              <w:t>30 April</w:t>
            </w:r>
            <w:r w:rsidR="00153620">
              <w:rPr>
                <w:rFonts w:ascii="Calibri" w:hAnsi="Calibri" w:cs="Arial"/>
                <w:lang w:val="en-GB"/>
              </w:rPr>
              <w:t xml:space="preserve"> 2018</w:t>
            </w:r>
          </w:p>
        </w:tc>
        <w:tc>
          <w:tcPr>
            <w:tcW w:w="6611" w:type="dxa"/>
          </w:tcPr>
          <w:p w14:paraId="49602462" w14:textId="4C518099" w:rsidR="004547B3" w:rsidRPr="006138D3" w:rsidRDefault="004547B3" w:rsidP="008B605C">
            <w:pPr>
              <w:rPr>
                <w:rFonts w:ascii="Calibri" w:hAnsi="Calibri" w:cs="Arial"/>
                <w:lang w:val="en-GB"/>
              </w:rPr>
            </w:pPr>
            <w:r w:rsidRPr="006138D3">
              <w:rPr>
                <w:rFonts w:ascii="Calibri" w:hAnsi="Calibri" w:cs="Arial"/>
                <w:lang w:val="en-GB"/>
              </w:rPr>
              <w:t>First tranche payment to PDPs (amount to be determined by proposal and pipeline</w:t>
            </w:r>
          </w:p>
        </w:tc>
      </w:tr>
    </w:tbl>
    <w:p w14:paraId="3C66FFA4" w14:textId="77777777" w:rsidR="008B605C" w:rsidRPr="006138D3" w:rsidRDefault="008B605C" w:rsidP="00DA5FEF">
      <w:pPr>
        <w:rPr>
          <w:b/>
        </w:rPr>
      </w:pPr>
    </w:p>
    <w:p w14:paraId="14CA14D4" w14:textId="7E8F8E42" w:rsidR="00874F0E" w:rsidRPr="006138D3" w:rsidRDefault="00421B00" w:rsidP="00DA5FEF">
      <w:pPr>
        <w:rPr>
          <w:b/>
        </w:rPr>
      </w:pPr>
      <w:r w:rsidRPr="006138D3">
        <w:rPr>
          <w:b/>
        </w:rPr>
        <w:t xml:space="preserve">6.2 </w:t>
      </w:r>
      <w:r w:rsidR="00874F0E" w:rsidRPr="006138D3">
        <w:rPr>
          <w:b/>
        </w:rPr>
        <w:t>Applications</w:t>
      </w:r>
    </w:p>
    <w:p w14:paraId="03935ECD" w14:textId="6915352E" w:rsidR="00EC540F" w:rsidRPr="006138D3" w:rsidRDefault="00EC540F" w:rsidP="00421B00">
      <w:pPr>
        <w:ind w:firstLine="720"/>
        <w:rPr>
          <w:b/>
        </w:rPr>
      </w:pPr>
      <w:r w:rsidRPr="006138D3">
        <w:rPr>
          <w:b/>
        </w:rPr>
        <w:t xml:space="preserve">Stage 1:  </w:t>
      </w:r>
      <w:r w:rsidR="004547B3" w:rsidRPr="006138D3">
        <w:rPr>
          <w:b/>
        </w:rPr>
        <w:t>Applications</w:t>
      </w:r>
    </w:p>
    <w:p w14:paraId="47A8A342" w14:textId="4DADAD41" w:rsidR="00874F0E" w:rsidRPr="006138D3" w:rsidRDefault="00874F0E" w:rsidP="00DA5FEF">
      <w:r w:rsidRPr="006138D3">
        <w:t xml:space="preserve">PDPs are invited to submit </w:t>
      </w:r>
      <w:r w:rsidR="006138D3">
        <w:t xml:space="preserve">a proposal on the </w:t>
      </w:r>
      <w:r w:rsidR="00412308">
        <w:t xml:space="preserve">Invitation </w:t>
      </w:r>
      <w:r w:rsidR="003B2CC3">
        <w:t>to Submit an Activity Proposal template</w:t>
      </w:r>
      <w:r w:rsidR="006138D3">
        <w:t xml:space="preserve"> provided along with other s</w:t>
      </w:r>
      <w:r w:rsidR="00B21EC5" w:rsidRPr="006138D3">
        <w:t xml:space="preserve">upporting documents as outlined below. </w:t>
      </w:r>
      <w:r w:rsidRPr="006138D3">
        <w:t xml:space="preserve">Proposals </w:t>
      </w:r>
      <w:r w:rsidR="00B21EC5" w:rsidRPr="006138D3">
        <w:t>should include draft log frame with performance indicators, pipeline of products</w:t>
      </w:r>
      <w:r w:rsidRPr="006138D3">
        <w:t xml:space="preserve"> and budget</w:t>
      </w:r>
      <w:r w:rsidR="001B2204">
        <w:t>, and where applicable an activity schedule</w:t>
      </w:r>
      <w:r w:rsidR="00E65A3E">
        <w:t>.</w:t>
      </w:r>
    </w:p>
    <w:p w14:paraId="2B8BEB14" w14:textId="34CBD5D1" w:rsidR="00EC540F" w:rsidRPr="006138D3" w:rsidRDefault="004547B3" w:rsidP="00DA5FEF">
      <w:r w:rsidRPr="006138D3">
        <w:t xml:space="preserve">All enquiries about this competitive grant process must be submitted via email </w:t>
      </w:r>
      <w:r w:rsidR="001B2204">
        <w:t xml:space="preserve">to </w:t>
      </w:r>
      <w:hyperlink r:id="rId10" w:history="1">
        <w:r w:rsidR="001B2204" w:rsidRPr="00B67999">
          <w:rPr>
            <w:rStyle w:val="Hyperlink"/>
          </w:rPr>
          <w:t>opportunities@chs.dfat.gov.au</w:t>
        </w:r>
      </w:hyperlink>
      <w:r w:rsidR="001B2204">
        <w:t xml:space="preserve"> </w:t>
      </w:r>
      <w:r w:rsidRPr="006138D3">
        <w:t>as soon as possible and not later than 1 December 2017.</w:t>
      </w:r>
      <w:r w:rsidR="001B2204">
        <w:t xml:space="preserve"> The subject line of the email must clearly indicate that this is an enquiry regarding the PDP grant process. </w:t>
      </w:r>
    </w:p>
    <w:p w14:paraId="7DF95BFD" w14:textId="2F641D84" w:rsidR="004547B3" w:rsidRPr="006138D3" w:rsidRDefault="004547B3" w:rsidP="00DA5FEF">
      <w:r w:rsidRPr="006138D3">
        <w:t>DFAT will publish answers to enquiries on the DFAT Business Opportunities website (without identifying the organisation that submitted the enquiry).</w:t>
      </w:r>
    </w:p>
    <w:p w14:paraId="31C61869" w14:textId="77777777" w:rsidR="00874F0E" w:rsidRPr="006138D3" w:rsidRDefault="00EC540F" w:rsidP="00421B00">
      <w:pPr>
        <w:ind w:firstLine="720"/>
        <w:rPr>
          <w:b/>
        </w:rPr>
      </w:pPr>
      <w:r w:rsidRPr="006138D3">
        <w:rPr>
          <w:b/>
        </w:rPr>
        <w:t>Stage 2:  Assessment</w:t>
      </w:r>
    </w:p>
    <w:p w14:paraId="7FAD6465" w14:textId="770C6D67" w:rsidR="00B74DA4" w:rsidRPr="006138D3" w:rsidRDefault="00B21EC5" w:rsidP="00B74DA4">
      <w:r w:rsidRPr="006138D3">
        <w:t xml:space="preserve">Proposals will be assessed on their technical </w:t>
      </w:r>
      <w:r w:rsidR="006138D3">
        <w:t xml:space="preserve">merits and </w:t>
      </w:r>
      <w:r w:rsidRPr="006138D3">
        <w:t xml:space="preserve">compliance with the conditions of </w:t>
      </w:r>
      <w:r w:rsidR="00F43C84">
        <w:t xml:space="preserve">this </w:t>
      </w:r>
      <w:r w:rsidR="00F43C84" w:rsidRPr="006138D3">
        <w:t>R</w:t>
      </w:r>
      <w:r w:rsidR="00F43C84">
        <w:t>equest for Proposal (RFP)</w:t>
      </w:r>
      <w:r w:rsidRPr="006138D3">
        <w:t>.</w:t>
      </w:r>
      <w:r w:rsidR="00B74DA4" w:rsidRPr="006138D3">
        <w:t xml:space="preserve"> </w:t>
      </w:r>
    </w:p>
    <w:p w14:paraId="56974D93" w14:textId="154805F6" w:rsidR="00B74DA4" w:rsidRPr="006138D3" w:rsidRDefault="00874F0E" w:rsidP="00DA5FEF">
      <w:r w:rsidRPr="006138D3">
        <w:t>A Scientific Advisory Committee</w:t>
      </w:r>
      <w:r w:rsidR="00B21EC5" w:rsidRPr="006138D3">
        <w:t xml:space="preserve"> (SAC)</w:t>
      </w:r>
      <w:r w:rsidRPr="006138D3">
        <w:t xml:space="preserve"> will review the proposals </w:t>
      </w:r>
      <w:r w:rsidR="00EC540F" w:rsidRPr="006138D3">
        <w:t>against</w:t>
      </w:r>
      <w:r w:rsidRPr="006138D3">
        <w:t xml:space="preserve"> the </w:t>
      </w:r>
      <w:r w:rsidR="008C544A">
        <w:t>Invitation to Submit an Activity Proposal</w:t>
      </w:r>
      <w:r w:rsidRPr="006138D3">
        <w:t xml:space="preserve"> (</w:t>
      </w:r>
      <w:r w:rsidR="008C544A">
        <w:t>the Invitation</w:t>
      </w:r>
      <w:r w:rsidRPr="006138D3">
        <w:t>) technical selecti</w:t>
      </w:r>
      <w:r w:rsidR="00B21EC5" w:rsidRPr="006138D3">
        <w:t xml:space="preserve">on criteria.  The SAC will rank proposals based on their technical merit and make recommendations to DFAT.  </w:t>
      </w:r>
    </w:p>
    <w:p w14:paraId="6EAE9152" w14:textId="019D8C5A" w:rsidR="00874F0E" w:rsidRPr="006138D3" w:rsidRDefault="00874F0E" w:rsidP="00DA5FEF">
      <w:r w:rsidRPr="006138D3">
        <w:t xml:space="preserve">Concurrently DFAT will conduct capacity and </w:t>
      </w:r>
      <w:r w:rsidR="003955D1">
        <w:t xml:space="preserve">due </w:t>
      </w:r>
      <w:r w:rsidR="003B2CC3">
        <w:t>diligence</w:t>
      </w:r>
      <w:r w:rsidRPr="006138D3">
        <w:t xml:space="preserve"> </w:t>
      </w:r>
      <w:r w:rsidR="00EC540F" w:rsidRPr="006138D3">
        <w:t>assessments</w:t>
      </w:r>
      <w:r w:rsidRPr="006138D3">
        <w:t xml:space="preserve"> to confirm the prospect</w:t>
      </w:r>
      <w:r w:rsidR="00B21EC5" w:rsidRPr="006138D3">
        <w:t>ive Partner is compliant with the</w:t>
      </w:r>
      <w:r w:rsidRPr="006138D3">
        <w:t xml:space="preserve"> </w:t>
      </w:r>
      <w:r w:rsidR="00EC540F" w:rsidRPr="006138D3">
        <w:t>conditions</w:t>
      </w:r>
      <w:r w:rsidRPr="006138D3">
        <w:t xml:space="preserve"> of the RFP and has the capacity to undertake the suggested program. </w:t>
      </w:r>
      <w:r w:rsidR="00B74DA4" w:rsidRPr="006138D3">
        <w:t xml:space="preserve"> Applications that do not comply with DFAT’s Child Protection Policy and that they have </w:t>
      </w:r>
      <w:r w:rsidR="00B74DA4" w:rsidRPr="006138D3">
        <w:lastRenderedPageBreak/>
        <w:t>not appropriately addressed safeguards and crosscutting issues identified above will be considered non-compliant.</w:t>
      </w:r>
    </w:p>
    <w:p w14:paraId="0A7D36FE" w14:textId="5A172855" w:rsidR="00B21EC5" w:rsidRPr="006138D3" w:rsidRDefault="00B21EC5" w:rsidP="00DA5FEF">
      <w:r w:rsidRPr="006138D3">
        <w:t>The final decision on successful PDPs and funding amounts will be made by DFAT.</w:t>
      </w:r>
    </w:p>
    <w:p w14:paraId="3A09E65C" w14:textId="173E3167" w:rsidR="00C2306D" w:rsidRPr="006138D3" w:rsidRDefault="00B74DA4" w:rsidP="00DA5FEF">
      <w:r w:rsidRPr="006138D3">
        <w:t xml:space="preserve">The assessment will be confidential and applicants must not seek contact with any members of the </w:t>
      </w:r>
      <w:r w:rsidR="00431996">
        <w:t>SAC</w:t>
      </w:r>
      <w:r w:rsidRPr="006138D3">
        <w:t xml:space="preserve"> or DFAT staff to discuss the assessment.  Contact between applicants and </w:t>
      </w:r>
      <w:r w:rsidR="00431996">
        <w:t>SAC m</w:t>
      </w:r>
      <w:r w:rsidRPr="006138D3">
        <w:t>embers and/or DFAT staff will be considered a breach of confidentiality and may result in DFAT rejecting the proposal of the applicant</w:t>
      </w:r>
      <w:r w:rsidR="006138D3">
        <w:t>.</w:t>
      </w:r>
    </w:p>
    <w:p w14:paraId="4EC85B70" w14:textId="276616AF" w:rsidR="00874F0E" w:rsidRPr="006138D3" w:rsidRDefault="00874F0E" w:rsidP="00DA5FEF">
      <w:r w:rsidRPr="006138D3">
        <w:t xml:space="preserve">Unsuccessful applicants will be notified and offered an opportunity for </w:t>
      </w:r>
      <w:r w:rsidR="00B74DA4" w:rsidRPr="006138D3">
        <w:t>feedback</w:t>
      </w:r>
      <w:r w:rsidRPr="006138D3">
        <w:t xml:space="preserve"> on </w:t>
      </w:r>
      <w:r w:rsidR="00B74DA4" w:rsidRPr="006138D3">
        <w:t>their</w:t>
      </w:r>
      <w:r w:rsidRPr="006138D3">
        <w:t xml:space="preserve"> application.</w:t>
      </w:r>
    </w:p>
    <w:p w14:paraId="068EF84C" w14:textId="77777777" w:rsidR="00EC540F" w:rsidRPr="006138D3" w:rsidRDefault="00EC540F" w:rsidP="00421B00">
      <w:pPr>
        <w:ind w:firstLine="720"/>
        <w:rPr>
          <w:b/>
        </w:rPr>
      </w:pPr>
      <w:r w:rsidRPr="006138D3">
        <w:rPr>
          <w:b/>
        </w:rPr>
        <w:t>Stage 3 - Implementation</w:t>
      </w:r>
    </w:p>
    <w:p w14:paraId="35D827BE" w14:textId="1C6C8A5A" w:rsidR="00EC540F" w:rsidRPr="006138D3" w:rsidRDefault="00B74DA4" w:rsidP="00EC540F">
      <w:r w:rsidRPr="006138D3">
        <w:t>F</w:t>
      </w:r>
      <w:r w:rsidR="00EC540F" w:rsidRPr="006138D3">
        <w:t>ollowing acceptance by DFAT of the proposal, partners will implement the gran</w:t>
      </w:r>
      <w:r w:rsidR="00CE2B4E">
        <w:t xml:space="preserve">t in accordance with the agreement </w:t>
      </w:r>
      <w:r w:rsidR="00EC540F" w:rsidRPr="006138D3">
        <w:t>and budget.  All gran</w:t>
      </w:r>
      <w:r w:rsidRPr="006138D3">
        <w:t>t</w:t>
      </w:r>
      <w:r w:rsidR="00EC540F" w:rsidRPr="006138D3">
        <w:t>s will have specific reporting and results frameworks that the partner must adhere to.</w:t>
      </w:r>
      <w:r w:rsidR="00412308">
        <w:t xml:space="preserve"> These will be negotiated with successful organisations prior to finalising grant agreements.</w:t>
      </w:r>
      <w:r w:rsidR="00EC540F" w:rsidRPr="006138D3">
        <w:t xml:space="preserve">  </w:t>
      </w:r>
      <w:r w:rsidR="00A759DA">
        <w:t xml:space="preserve">DFAT and the partners will agree a process whereby DFAT may withhold or cancel funding if performance is considered unacceptable. </w:t>
      </w:r>
    </w:p>
    <w:p w14:paraId="0FCA39DE" w14:textId="77777777" w:rsidR="00EC540F" w:rsidRPr="006138D3" w:rsidRDefault="00EC540F" w:rsidP="00421B00">
      <w:pPr>
        <w:ind w:firstLine="720"/>
        <w:rPr>
          <w:b/>
        </w:rPr>
      </w:pPr>
      <w:r w:rsidRPr="006138D3">
        <w:rPr>
          <w:b/>
        </w:rPr>
        <w:t>Stage 4 – Review</w:t>
      </w:r>
    </w:p>
    <w:p w14:paraId="5C1AA328" w14:textId="64A0FDC8" w:rsidR="00EC540F" w:rsidRPr="006138D3" w:rsidRDefault="00EC540F" w:rsidP="00DA5FEF">
      <w:r w:rsidRPr="006138D3">
        <w:t>DFAT will undertake an exter</w:t>
      </w:r>
      <w:r w:rsidR="00B74DA4" w:rsidRPr="006138D3">
        <w:t>nal review of all PDPs in 2020 (y</w:t>
      </w:r>
      <w:r w:rsidRPr="006138D3">
        <w:t>ear three</w:t>
      </w:r>
      <w:r w:rsidR="00B74DA4" w:rsidRPr="006138D3">
        <w:t>)</w:t>
      </w:r>
      <w:r w:rsidRPr="006138D3">
        <w:t xml:space="preserve"> of the agreement to determine performance, results achieved and make recommendations on whether </w:t>
      </w:r>
      <w:r w:rsidR="001B2204">
        <w:t xml:space="preserve">funding for years four and five shall be allocated and disbursed. </w:t>
      </w:r>
      <w:r w:rsidR="00B74DA4" w:rsidRPr="006138D3">
        <w:t xml:space="preserve">  </w:t>
      </w:r>
    </w:p>
    <w:p w14:paraId="58E2178A" w14:textId="24252FE8" w:rsidR="00EC540F" w:rsidRPr="006138D3" w:rsidRDefault="00421B00" w:rsidP="00DA5FEF">
      <w:pPr>
        <w:rPr>
          <w:b/>
          <w:sz w:val="28"/>
          <w:szCs w:val="28"/>
        </w:rPr>
      </w:pPr>
      <w:r w:rsidRPr="006138D3">
        <w:rPr>
          <w:b/>
          <w:sz w:val="28"/>
          <w:szCs w:val="28"/>
        </w:rPr>
        <w:t>7</w:t>
      </w:r>
      <w:r w:rsidR="00EC540F" w:rsidRPr="006138D3">
        <w:rPr>
          <w:b/>
          <w:sz w:val="28"/>
          <w:szCs w:val="28"/>
        </w:rPr>
        <w:t xml:space="preserve">.  Level of </w:t>
      </w:r>
      <w:r w:rsidRPr="006138D3">
        <w:rPr>
          <w:b/>
          <w:sz w:val="28"/>
          <w:szCs w:val="28"/>
        </w:rPr>
        <w:t>f</w:t>
      </w:r>
      <w:r w:rsidR="00EC540F" w:rsidRPr="006138D3">
        <w:rPr>
          <w:b/>
          <w:sz w:val="28"/>
          <w:szCs w:val="28"/>
        </w:rPr>
        <w:t>unding</w:t>
      </w:r>
    </w:p>
    <w:p w14:paraId="35C02E11" w14:textId="4106E2FB" w:rsidR="006F583C" w:rsidRDefault="006D1E42" w:rsidP="002F3B8B">
      <w:pPr>
        <w:shd w:val="clear" w:color="auto" w:fill="FFFFFF" w:themeFill="background1"/>
      </w:pPr>
      <w:r>
        <w:t xml:space="preserve">The total funding envelope available for the PDP Fund is up to AUD75 million over </w:t>
      </w:r>
      <w:r w:rsidR="00431996">
        <w:t>five</w:t>
      </w:r>
      <w:r>
        <w:t xml:space="preserve"> years.  </w:t>
      </w:r>
      <w:r w:rsidR="006F583C">
        <w:t>G</w:t>
      </w:r>
      <w:r w:rsidR="00EC540F" w:rsidRPr="006138D3">
        <w:t>rants funded by DFAT are expected to be in the range AUD1</w:t>
      </w:r>
      <w:r w:rsidR="006F583C">
        <w:t>0</w:t>
      </w:r>
      <w:r w:rsidR="00EC540F" w:rsidRPr="006138D3">
        <w:t xml:space="preserve"> </w:t>
      </w:r>
      <w:r w:rsidR="00550407">
        <w:t xml:space="preserve">- </w:t>
      </w:r>
      <w:r w:rsidR="006F583C">
        <w:t>15</w:t>
      </w:r>
      <w:r w:rsidR="00EC540F" w:rsidRPr="006138D3">
        <w:t xml:space="preserve"> million</w:t>
      </w:r>
      <w:r w:rsidR="00B74DA4" w:rsidRPr="006138D3">
        <w:t>,</w:t>
      </w:r>
      <w:r w:rsidR="00EC540F" w:rsidRPr="006138D3">
        <w:t xml:space="preserve"> for </w:t>
      </w:r>
      <w:r w:rsidR="00A759DA">
        <w:t xml:space="preserve">an initial period of </w:t>
      </w:r>
      <w:r w:rsidR="00EC540F" w:rsidRPr="006138D3">
        <w:t xml:space="preserve">up to three years. </w:t>
      </w:r>
      <w:r w:rsidR="00421B00" w:rsidRPr="006138D3">
        <w:t xml:space="preserve">  </w:t>
      </w:r>
    </w:p>
    <w:p w14:paraId="6DC7AB02" w14:textId="5214B215" w:rsidR="00421B00" w:rsidRPr="006138D3" w:rsidRDefault="00A759DA" w:rsidP="002F3B8B">
      <w:pPr>
        <w:shd w:val="clear" w:color="auto" w:fill="FFFFFF" w:themeFill="background1"/>
      </w:pPr>
      <w:r>
        <w:t>The figure provided above is an indicative range to enable the applicant organisations to craft and pitch their proposals appropriately.</w:t>
      </w:r>
      <w:r w:rsidR="006F583C" w:rsidRPr="002F3B8B">
        <w:t xml:space="preserve"> However funding of up to AUD 20 million may be considered for outstanding proposals. The decision to provide extra funding will be based on </w:t>
      </w:r>
      <w:r w:rsidR="00B959C8">
        <w:t xml:space="preserve">an exceptional </w:t>
      </w:r>
      <w:r w:rsidR="006F583C" w:rsidRPr="002F3B8B">
        <w:t xml:space="preserve">pipeline </w:t>
      </w:r>
      <w:r w:rsidR="00D002ED">
        <w:t>of</w:t>
      </w:r>
      <w:r w:rsidR="006F583C">
        <w:t xml:space="preserve"> late stage products</w:t>
      </w:r>
      <w:r w:rsidR="00B959C8">
        <w:t>, as per the selection criteria</w:t>
      </w:r>
      <w:r w:rsidR="006F583C" w:rsidRPr="002F3B8B">
        <w:t>.</w:t>
      </w:r>
      <w:r w:rsidR="006F583C" w:rsidRPr="002F3B8B" w:rsidDel="00D32833">
        <w:t xml:space="preserve"> </w:t>
      </w:r>
      <w:r w:rsidR="006F583C" w:rsidRPr="002F3B8B">
        <w:t xml:space="preserve"> </w:t>
      </w:r>
      <w:r w:rsidR="006F583C">
        <w:t xml:space="preserve">DFAT will reserve the right to negotiate final funding amounts, which may </w:t>
      </w:r>
      <w:r w:rsidR="00B959C8">
        <w:t>be</w:t>
      </w:r>
      <w:r w:rsidR="006F583C">
        <w:t xml:space="preserve"> lower than the range indicated above.</w:t>
      </w:r>
    </w:p>
    <w:p w14:paraId="74ADF241" w14:textId="616093B2" w:rsidR="00EC540F" w:rsidRPr="006138D3" w:rsidRDefault="00D002ED" w:rsidP="00DA5FEF">
      <w:r>
        <w:t>PDPs</w:t>
      </w:r>
      <w:r w:rsidR="00481D68">
        <w:t xml:space="preserve"> may</w:t>
      </w:r>
      <w:r w:rsidR="00EC540F" w:rsidRPr="006138D3">
        <w:t xml:space="preserve"> be </w:t>
      </w:r>
      <w:r w:rsidR="00B74DA4" w:rsidRPr="006138D3">
        <w:t>eligible</w:t>
      </w:r>
      <w:r w:rsidR="00EC540F" w:rsidRPr="006138D3">
        <w:t xml:space="preserve"> for </w:t>
      </w:r>
      <w:r w:rsidR="00A759DA">
        <w:t xml:space="preserve">further funding </w:t>
      </w:r>
      <w:r w:rsidR="006F583C">
        <w:t>of up to AUD</w:t>
      </w:r>
      <w:r w:rsidR="00550407">
        <w:t xml:space="preserve"> </w:t>
      </w:r>
      <w:r w:rsidR="00EC540F" w:rsidRPr="006138D3">
        <w:t>10 million for an addition</w:t>
      </w:r>
      <w:r>
        <w:t>al</w:t>
      </w:r>
      <w:r w:rsidR="00EC540F" w:rsidRPr="006138D3">
        <w:t xml:space="preserve"> </w:t>
      </w:r>
      <w:r w:rsidR="00153620">
        <w:t>two</w:t>
      </w:r>
      <w:r w:rsidR="00EC540F" w:rsidRPr="006138D3">
        <w:t xml:space="preserve"> year period</w:t>
      </w:r>
      <w:r w:rsidR="00B74DA4" w:rsidRPr="006138D3">
        <w:t>, subject to</w:t>
      </w:r>
      <w:r>
        <w:t xml:space="preserve"> performance and</w:t>
      </w:r>
      <w:r w:rsidR="00B74DA4" w:rsidRPr="006138D3">
        <w:t xml:space="preserve"> budget availability</w:t>
      </w:r>
      <w:r w:rsidR="00EC540F" w:rsidRPr="006138D3">
        <w:t>.</w:t>
      </w:r>
    </w:p>
    <w:p w14:paraId="5033A1BF" w14:textId="33621544" w:rsidR="00877B4A" w:rsidRPr="006138D3" w:rsidRDefault="00B74DA4" w:rsidP="00DA5FEF">
      <w:r w:rsidRPr="006138D3">
        <w:t>Funds</w:t>
      </w:r>
      <w:r w:rsidR="00877B4A" w:rsidRPr="006138D3">
        <w:t xml:space="preserve"> will be paid in annual tranche payments and according to agreed budget schedule. </w:t>
      </w:r>
    </w:p>
    <w:p w14:paraId="56F5DB91" w14:textId="50ABAD34" w:rsidR="006A6B86" w:rsidRPr="006138D3" w:rsidRDefault="00421B00" w:rsidP="00DA5FEF">
      <w:pPr>
        <w:rPr>
          <w:b/>
        </w:rPr>
      </w:pPr>
      <w:r w:rsidRPr="006138D3">
        <w:rPr>
          <w:b/>
          <w:sz w:val="28"/>
          <w:szCs w:val="28"/>
        </w:rPr>
        <w:t>8.  D</w:t>
      </w:r>
      <w:r w:rsidR="006A6B86" w:rsidRPr="006138D3">
        <w:rPr>
          <w:b/>
          <w:sz w:val="28"/>
          <w:szCs w:val="28"/>
        </w:rPr>
        <w:t>ocuments requi</w:t>
      </w:r>
      <w:r w:rsidRPr="006138D3">
        <w:rPr>
          <w:b/>
          <w:sz w:val="28"/>
          <w:szCs w:val="28"/>
        </w:rPr>
        <w:t>red from lead organisation for s</w:t>
      </w:r>
      <w:r w:rsidR="006A6B86" w:rsidRPr="006138D3">
        <w:rPr>
          <w:b/>
          <w:sz w:val="28"/>
          <w:szCs w:val="28"/>
        </w:rPr>
        <w:t>ubmission to the RFP</w:t>
      </w:r>
    </w:p>
    <w:p w14:paraId="4B59E2D8" w14:textId="4654AC91" w:rsidR="006A6B86" w:rsidRPr="006138D3" w:rsidRDefault="006A6B86" w:rsidP="006A6B86">
      <w:pPr>
        <w:pStyle w:val="ListParagraph"/>
        <w:numPr>
          <w:ilvl w:val="0"/>
          <w:numId w:val="3"/>
        </w:numPr>
      </w:pPr>
      <w:r w:rsidRPr="006138D3">
        <w:t xml:space="preserve">Completed </w:t>
      </w:r>
      <w:r w:rsidR="00421B00" w:rsidRPr="006138D3">
        <w:t>Application Form on DFAT template</w:t>
      </w:r>
    </w:p>
    <w:p w14:paraId="161EBE6B" w14:textId="6D57BA99" w:rsidR="00421B00" w:rsidRPr="006138D3" w:rsidRDefault="00421B00" w:rsidP="006A6B86">
      <w:pPr>
        <w:pStyle w:val="ListParagraph"/>
        <w:numPr>
          <w:ilvl w:val="0"/>
          <w:numId w:val="3"/>
        </w:numPr>
      </w:pPr>
      <w:r w:rsidRPr="006138D3">
        <w:t>Completed Organisations Declaration</w:t>
      </w:r>
    </w:p>
    <w:p w14:paraId="526050CF" w14:textId="77777777" w:rsidR="006A6B86" w:rsidRPr="006138D3" w:rsidRDefault="006A6B86" w:rsidP="006A6B86">
      <w:pPr>
        <w:pStyle w:val="ListParagraph"/>
        <w:numPr>
          <w:ilvl w:val="0"/>
          <w:numId w:val="3"/>
        </w:numPr>
      </w:pPr>
      <w:r w:rsidRPr="006138D3">
        <w:t>Copy of legal registration’</w:t>
      </w:r>
    </w:p>
    <w:p w14:paraId="5408F4F5" w14:textId="2487BD0B" w:rsidR="006A6B86" w:rsidRPr="006138D3" w:rsidRDefault="006A6B86" w:rsidP="006A6B86">
      <w:pPr>
        <w:pStyle w:val="ListParagraph"/>
        <w:numPr>
          <w:ilvl w:val="0"/>
          <w:numId w:val="3"/>
        </w:numPr>
      </w:pPr>
      <w:r w:rsidRPr="006138D3">
        <w:t>Copy o</w:t>
      </w:r>
      <w:r w:rsidR="00421B00" w:rsidRPr="006138D3">
        <w:t>f</w:t>
      </w:r>
      <w:r w:rsidRPr="006138D3">
        <w:t xml:space="preserve"> tax registration</w:t>
      </w:r>
    </w:p>
    <w:p w14:paraId="76AA3A16" w14:textId="06F755D5" w:rsidR="006A6B86" w:rsidRPr="006138D3" w:rsidRDefault="00421B00" w:rsidP="006A6B86">
      <w:pPr>
        <w:pStyle w:val="ListParagraph"/>
        <w:numPr>
          <w:ilvl w:val="0"/>
          <w:numId w:val="3"/>
        </w:numPr>
      </w:pPr>
      <w:r w:rsidRPr="006138D3">
        <w:t>Governance</w:t>
      </w:r>
      <w:r w:rsidR="006A6B86" w:rsidRPr="006138D3">
        <w:t xml:space="preserve"> structure – details, including names, board of directors, CEO and senior executives (i.e. Head of Finance, Head of Operations, Head of Human Resources)</w:t>
      </w:r>
    </w:p>
    <w:p w14:paraId="7B834B16" w14:textId="77777777" w:rsidR="006A6B86" w:rsidRPr="006138D3" w:rsidRDefault="006A6B86" w:rsidP="006A6B86">
      <w:pPr>
        <w:pStyle w:val="ListParagraph"/>
        <w:numPr>
          <w:ilvl w:val="0"/>
          <w:numId w:val="3"/>
        </w:numPr>
      </w:pPr>
      <w:r w:rsidRPr="006138D3">
        <w:t>Financial management and accounting policies and processes</w:t>
      </w:r>
    </w:p>
    <w:p w14:paraId="76E476D0" w14:textId="77777777" w:rsidR="006A6B86" w:rsidRPr="006138D3" w:rsidRDefault="006A6B86" w:rsidP="006A6B86">
      <w:pPr>
        <w:pStyle w:val="ListParagraph"/>
        <w:numPr>
          <w:ilvl w:val="0"/>
          <w:numId w:val="3"/>
        </w:numPr>
      </w:pPr>
      <w:r w:rsidRPr="006138D3">
        <w:t>Procurement policies and processes</w:t>
      </w:r>
    </w:p>
    <w:p w14:paraId="35AEF217" w14:textId="26F756F3" w:rsidR="006A6B86" w:rsidRPr="006138D3" w:rsidRDefault="00421B00" w:rsidP="006A6B86">
      <w:pPr>
        <w:pStyle w:val="ListParagraph"/>
        <w:numPr>
          <w:ilvl w:val="0"/>
          <w:numId w:val="3"/>
        </w:numPr>
      </w:pPr>
      <w:r w:rsidRPr="006138D3">
        <w:lastRenderedPageBreak/>
        <w:t>Child</w:t>
      </w:r>
      <w:r w:rsidR="006A6B86" w:rsidRPr="006138D3">
        <w:t xml:space="preserve"> protection policy and procedures</w:t>
      </w:r>
    </w:p>
    <w:p w14:paraId="138A1ED2" w14:textId="77777777" w:rsidR="006A6B86" w:rsidRPr="006138D3" w:rsidRDefault="006A6B86" w:rsidP="006A6B86">
      <w:pPr>
        <w:pStyle w:val="ListParagraph"/>
        <w:numPr>
          <w:ilvl w:val="0"/>
          <w:numId w:val="3"/>
        </w:numPr>
      </w:pPr>
      <w:r w:rsidRPr="006138D3">
        <w:t>Anti-terrorism, fraud and co</w:t>
      </w:r>
      <w:r w:rsidR="00CA713B" w:rsidRPr="006138D3">
        <w:t>rr</w:t>
      </w:r>
      <w:r w:rsidRPr="006138D3">
        <w:t>uption</w:t>
      </w:r>
    </w:p>
    <w:p w14:paraId="34CD1630" w14:textId="3961FD8D" w:rsidR="006A6B86" w:rsidRPr="006138D3" w:rsidRDefault="006A6B86" w:rsidP="006A6B86">
      <w:pPr>
        <w:pStyle w:val="ListParagraph"/>
        <w:numPr>
          <w:ilvl w:val="0"/>
          <w:numId w:val="3"/>
        </w:numPr>
      </w:pPr>
      <w:r w:rsidRPr="006138D3">
        <w:t>Monitoring and evaluation framework, with</w:t>
      </w:r>
      <w:r w:rsidR="00421B00" w:rsidRPr="006138D3">
        <w:t xml:space="preserve"> proposed in</w:t>
      </w:r>
      <w:r w:rsidR="00177237">
        <w:t>d</w:t>
      </w:r>
      <w:r w:rsidR="00421B00" w:rsidRPr="006138D3">
        <w:t>icators,</w:t>
      </w:r>
      <w:r w:rsidRPr="006138D3">
        <w:t xml:space="preserve"> data collection and analyses strategies</w:t>
      </w:r>
    </w:p>
    <w:p w14:paraId="3AD8F63F" w14:textId="77777777" w:rsidR="006A6B86" w:rsidRPr="006138D3" w:rsidRDefault="006A6B86" w:rsidP="006A6B86">
      <w:pPr>
        <w:pStyle w:val="ListParagraph"/>
        <w:numPr>
          <w:ilvl w:val="0"/>
          <w:numId w:val="3"/>
        </w:numPr>
      </w:pPr>
      <w:r w:rsidRPr="006138D3">
        <w:t>Risk management framework and strategy</w:t>
      </w:r>
    </w:p>
    <w:p w14:paraId="306B9B51" w14:textId="3D777B85" w:rsidR="006A6B86" w:rsidRPr="006138D3" w:rsidRDefault="006A6B86" w:rsidP="006A6B86">
      <w:pPr>
        <w:pStyle w:val="ListParagraph"/>
        <w:numPr>
          <w:ilvl w:val="0"/>
          <w:numId w:val="3"/>
        </w:numPr>
      </w:pPr>
      <w:r w:rsidRPr="006138D3">
        <w:t xml:space="preserve">Sub-grant management if it is </w:t>
      </w:r>
      <w:r w:rsidR="00421B00" w:rsidRPr="006138D3">
        <w:t>proposed</w:t>
      </w:r>
      <w:r w:rsidRPr="006138D3">
        <w:t xml:space="preserve"> to use sub-grantees in the proposed project.</w:t>
      </w:r>
    </w:p>
    <w:p w14:paraId="0D7738B9" w14:textId="77777777" w:rsidR="00431996" w:rsidRDefault="00431996" w:rsidP="006A6B86">
      <w:pPr>
        <w:rPr>
          <w:b/>
          <w:sz w:val="28"/>
          <w:szCs w:val="28"/>
        </w:rPr>
      </w:pPr>
    </w:p>
    <w:p w14:paraId="3F774E7C" w14:textId="5FF9CE96" w:rsidR="006A6B86" w:rsidRPr="006138D3" w:rsidRDefault="00421B00" w:rsidP="006A6B86">
      <w:pPr>
        <w:rPr>
          <w:b/>
          <w:sz w:val="28"/>
          <w:szCs w:val="28"/>
        </w:rPr>
      </w:pPr>
      <w:r w:rsidRPr="006138D3">
        <w:rPr>
          <w:b/>
          <w:sz w:val="28"/>
          <w:szCs w:val="28"/>
        </w:rPr>
        <w:t>9.  N</w:t>
      </w:r>
      <w:r w:rsidR="006A6B86" w:rsidRPr="006138D3">
        <w:rPr>
          <w:b/>
          <w:sz w:val="28"/>
          <w:szCs w:val="28"/>
        </w:rPr>
        <w:t xml:space="preserve">on- </w:t>
      </w:r>
      <w:r w:rsidR="00CA713B" w:rsidRPr="006138D3">
        <w:rPr>
          <w:b/>
          <w:sz w:val="28"/>
          <w:szCs w:val="28"/>
        </w:rPr>
        <w:t>compliant</w:t>
      </w:r>
      <w:r w:rsidR="006A6B86" w:rsidRPr="006138D3">
        <w:rPr>
          <w:b/>
          <w:sz w:val="28"/>
          <w:szCs w:val="28"/>
        </w:rPr>
        <w:t xml:space="preserve"> </w:t>
      </w:r>
      <w:r w:rsidRPr="006138D3">
        <w:rPr>
          <w:b/>
          <w:sz w:val="28"/>
          <w:szCs w:val="28"/>
        </w:rPr>
        <w:t>a</w:t>
      </w:r>
      <w:r w:rsidR="006A6B86" w:rsidRPr="006138D3">
        <w:rPr>
          <w:b/>
          <w:sz w:val="28"/>
          <w:szCs w:val="28"/>
        </w:rPr>
        <w:t>pplications</w:t>
      </w:r>
    </w:p>
    <w:p w14:paraId="5F0AC2F0" w14:textId="57ECF59C" w:rsidR="006A6B86" w:rsidRPr="006138D3" w:rsidRDefault="00CA713B" w:rsidP="006A6B86">
      <w:r w:rsidRPr="006138D3">
        <w:t>Applicants</w:t>
      </w:r>
      <w:r w:rsidR="006A6B86" w:rsidRPr="006138D3">
        <w:t xml:space="preserve"> are responsible for ensuring that they comply with all the requirements of the RFP and submit necessary documents</w:t>
      </w:r>
      <w:r w:rsidRPr="006138D3">
        <w:t>.</w:t>
      </w:r>
      <w:r w:rsidR="006A6B86" w:rsidRPr="006138D3">
        <w:t xml:space="preserve">  </w:t>
      </w:r>
      <w:r w:rsidR="00A759DA">
        <w:t>DFAT does not accept responsibility for notifying all applicants with regard to issues of non-compliance. However, w</w:t>
      </w:r>
      <w:r w:rsidR="006A6B86" w:rsidRPr="006138D3">
        <w:t xml:space="preserve">here </w:t>
      </w:r>
      <w:r w:rsidR="00421B00" w:rsidRPr="006138D3">
        <w:t>applications</w:t>
      </w:r>
      <w:r w:rsidR="006A6B86" w:rsidRPr="006138D3">
        <w:t xml:space="preserve"> are </w:t>
      </w:r>
      <w:r w:rsidRPr="006138D3">
        <w:t>submitted prior</w:t>
      </w:r>
      <w:r w:rsidR="006A6B86" w:rsidRPr="006138D3">
        <w:t xml:space="preserve"> to the deadline and</w:t>
      </w:r>
      <w:r w:rsidR="00A759DA">
        <w:t>/or</w:t>
      </w:r>
      <w:r w:rsidR="006A6B86" w:rsidRPr="006138D3">
        <w:t xml:space="preserve"> a minor issue of non-compliance is </w:t>
      </w:r>
      <w:r w:rsidRPr="006138D3">
        <w:t xml:space="preserve">identified, DFAT </w:t>
      </w:r>
      <w:r w:rsidR="00A759DA">
        <w:t>will endeavour to</w:t>
      </w:r>
      <w:r w:rsidRPr="006138D3">
        <w:t xml:space="preserve"> alert the applicant to this</w:t>
      </w:r>
      <w:bookmarkStart w:id="0" w:name="_GoBack"/>
      <w:bookmarkEnd w:id="0"/>
      <w:r w:rsidRPr="006138D3">
        <w:t xml:space="preserve"> shortcoming so that it can be rectified.  </w:t>
      </w:r>
    </w:p>
    <w:p w14:paraId="36E0816E" w14:textId="3F0812C4" w:rsidR="00CA713B" w:rsidRPr="006138D3" w:rsidRDefault="006138D3" w:rsidP="006A6B86">
      <w:pPr>
        <w:rPr>
          <w:b/>
          <w:sz w:val="28"/>
          <w:szCs w:val="28"/>
        </w:rPr>
      </w:pPr>
      <w:r w:rsidRPr="006138D3">
        <w:rPr>
          <w:b/>
          <w:sz w:val="28"/>
          <w:szCs w:val="28"/>
        </w:rPr>
        <w:t>10.  Due Date</w:t>
      </w:r>
    </w:p>
    <w:p w14:paraId="61AC2E65" w14:textId="6626EA76" w:rsidR="00CA713B" w:rsidRPr="006138D3" w:rsidRDefault="00CA713B" w:rsidP="006A6B86">
      <w:r w:rsidRPr="006138D3">
        <w:t>The d</w:t>
      </w:r>
      <w:r w:rsidR="006138D3" w:rsidRPr="006138D3">
        <w:t>e</w:t>
      </w:r>
      <w:r w:rsidRPr="006138D3">
        <w:t>adline for respo</w:t>
      </w:r>
      <w:r w:rsidR="006138D3" w:rsidRPr="006138D3">
        <w:t>nding to the RFP is</w:t>
      </w:r>
      <w:r w:rsidR="00877B4A" w:rsidRPr="006138D3">
        <w:t xml:space="preserve"> the 15 December</w:t>
      </w:r>
      <w:r w:rsidR="00153620">
        <w:t xml:space="preserve"> </w:t>
      </w:r>
      <w:r w:rsidR="00877B4A" w:rsidRPr="006138D3">
        <w:t xml:space="preserve">2017.  Submissions must be emailed to </w:t>
      </w:r>
      <w:hyperlink r:id="rId11" w:history="1">
        <w:r w:rsidR="00A759DA" w:rsidRPr="00B67999">
          <w:rPr>
            <w:rStyle w:val="Hyperlink"/>
          </w:rPr>
          <w:t>opportunities@chs.dfat.gov.au</w:t>
        </w:r>
      </w:hyperlink>
      <w:r w:rsidR="00A759DA">
        <w:t xml:space="preserve"> </w:t>
      </w:r>
      <w:r w:rsidR="00877B4A" w:rsidRPr="006138D3">
        <w:t xml:space="preserve">by 17:00 Australian Eastern </w:t>
      </w:r>
      <w:r w:rsidR="00C75085">
        <w:t>Daylight Time</w:t>
      </w:r>
      <w:r w:rsidR="00877B4A" w:rsidRPr="006138D3">
        <w:t xml:space="preserve">.  </w:t>
      </w:r>
      <w:r w:rsidR="006138D3" w:rsidRPr="006138D3">
        <w:t>Responses</w:t>
      </w:r>
      <w:r w:rsidR="00877B4A" w:rsidRPr="006138D3">
        <w:t xml:space="preserve"> must be in </w:t>
      </w:r>
      <w:r w:rsidR="006138D3" w:rsidRPr="006138D3">
        <w:t xml:space="preserve">English and </w:t>
      </w:r>
      <w:r w:rsidR="00877B4A" w:rsidRPr="006138D3">
        <w:t xml:space="preserve">must use the Application </w:t>
      </w:r>
      <w:r w:rsidR="006138D3" w:rsidRPr="006138D3">
        <w:t>Form</w:t>
      </w:r>
      <w:r w:rsidR="00877B4A" w:rsidRPr="006138D3">
        <w:t xml:space="preserve"> provided.</w:t>
      </w:r>
      <w:r w:rsidR="00A759DA">
        <w:t xml:space="preserve"> The subject line of the email must clearly identify that it is an application in the PDP competitive round.</w:t>
      </w:r>
    </w:p>
    <w:p w14:paraId="406BC871" w14:textId="77777777" w:rsidR="00877B4A" w:rsidRPr="006138D3" w:rsidRDefault="00877B4A" w:rsidP="006A6B86">
      <w:pPr>
        <w:rPr>
          <w:b/>
          <w:sz w:val="28"/>
          <w:szCs w:val="28"/>
        </w:rPr>
      </w:pPr>
      <w:r w:rsidRPr="006138D3">
        <w:rPr>
          <w:b/>
          <w:sz w:val="28"/>
          <w:szCs w:val="28"/>
        </w:rPr>
        <w:t>11.  Grant Agreement</w:t>
      </w:r>
    </w:p>
    <w:p w14:paraId="01F57B29" w14:textId="62CBBB91" w:rsidR="00877B4A" w:rsidRPr="006138D3" w:rsidRDefault="006138D3" w:rsidP="006A6B86">
      <w:r w:rsidRPr="006138D3">
        <w:t>Interested organisations mu</w:t>
      </w:r>
      <w:r w:rsidR="00877B4A" w:rsidRPr="006138D3">
        <w:t>st review the standard Grant Agreement prior to submission, specifically the contractual terms and conditions that will be used for agreements to release funds from DFAT.  Submission of applications for grants under this Fund will be taken as agreement to the general terms and conditions of the standard grant agreement.</w:t>
      </w:r>
      <w:r w:rsidR="00A759DA">
        <w:t xml:space="preserve"> However, DFAT reserves the right to negotiate the grant agreements with specific organisations. </w:t>
      </w:r>
    </w:p>
    <w:p w14:paraId="45AD2EEA" w14:textId="77777777" w:rsidR="00877B4A" w:rsidRPr="006138D3" w:rsidRDefault="00877B4A" w:rsidP="006A6B86">
      <w:pPr>
        <w:rPr>
          <w:b/>
          <w:sz w:val="28"/>
          <w:szCs w:val="28"/>
        </w:rPr>
      </w:pPr>
      <w:r w:rsidRPr="006138D3">
        <w:rPr>
          <w:b/>
          <w:sz w:val="28"/>
          <w:szCs w:val="28"/>
        </w:rPr>
        <w:t>12.  Reporting</w:t>
      </w:r>
    </w:p>
    <w:p w14:paraId="1FED92D6" w14:textId="03B775E9" w:rsidR="00877B4A" w:rsidRPr="006138D3" w:rsidRDefault="00877B4A" w:rsidP="006A6B86">
      <w:r w:rsidRPr="006138D3">
        <w:t xml:space="preserve">The organisations will be expected to successfully </w:t>
      </w:r>
      <w:r w:rsidR="006138D3" w:rsidRPr="006138D3">
        <w:t>deliver agreed outputs and</w:t>
      </w:r>
      <w:r w:rsidRPr="006138D3">
        <w:t xml:space="preserve"> provide the following types of reports (format to be negotiated) during the life of the Grant</w:t>
      </w:r>
    </w:p>
    <w:p w14:paraId="7826EEAF" w14:textId="77777777" w:rsidR="00877B4A" w:rsidRPr="006138D3" w:rsidRDefault="00877B4A" w:rsidP="00877B4A">
      <w:pPr>
        <w:pStyle w:val="ListParagraph"/>
        <w:numPr>
          <w:ilvl w:val="0"/>
          <w:numId w:val="2"/>
        </w:numPr>
      </w:pPr>
      <w:r w:rsidRPr="006138D3">
        <w:t>Regular (up to monthly) telephone calls with DFAT</w:t>
      </w:r>
    </w:p>
    <w:p w14:paraId="089FB2B4" w14:textId="3A078F95" w:rsidR="00877B4A" w:rsidRPr="006138D3" w:rsidRDefault="00877B4A" w:rsidP="00877B4A">
      <w:pPr>
        <w:pStyle w:val="ListParagraph"/>
        <w:numPr>
          <w:ilvl w:val="0"/>
          <w:numId w:val="2"/>
        </w:numPr>
      </w:pPr>
      <w:r w:rsidRPr="006138D3">
        <w:t>6 monthly progress report</w:t>
      </w:r>
      <w:r w:rsidR="00481D68">
        <w:t>s</w:t>
      </w:r>
    </w:p>
    <w:p w14:paraId="71975211" w14:textId="582D7EF3" w:rsidR="00877B4A" w:rsidRPr="006138D3" w:rsidRDefault="00877B4A" w:rsidP="00877B4A">
      <w:pPr>
        <w:pStyle w:val="ListParagraph"/>
        <w:numPr>
          <w:ilvl w:val="0"/>
          <w:numId w:val="2"/>
        </w:numPr>
      </w:pPr>
      <w:r w:rsidRPr="006138D3">
        <w:t xml:space="preserve">12 month annual progress report </w:t>
      </w:r>
      <w:r w:rsidR="00481D68">
        <w:t>including financial acquittals.</w:t>
      </w:r>
    </w:p>
    <w:sectPr w:rsidR="00877B4A" w:rsidRPr="006138D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2BC1C" w14:textId="77777777" w:rsidR="00051B49" w:rsidRDefault="00051B49" w:rsidP="00051B49">
      <w:pPr>
        <w:spacing w:after="0" w:line="240" w:lineRule="auto"/>
      </w:pPr>
      <w:r>
        <w:separator/>
      </w:r>
    </w:p>
  </w:endnote>
  <w:endnote w:type="continuationSeparator" w:id="0">
    <w:p w14:paraId="2699EE68" w14:textId="77777777" w:rsidR="00051B49" w:rsidRDefault="00051B49" w:rsidP="0005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64549"/>
      <w:docPartObj>
        <w:docPartGallery w:val="Page Numbers (Bottom of Page)"/>
        <w:docPartUnique/>
      </w:docPartObj>
    </w:sdtPr>
    <w:sdtEndPr>
      <w:rPr>
        <w:noProof/>
      </w:rPr>
    </w:sdtEndPr>
    <w:sdtContent>
      <w:p w14:paraId="7DDD7D7A" w14:textId="1A6A888C" w:rsidR="006138D3" w:rsidRDefault="006138D3">
        <w:pPr>
          <w:pStyle w:val="Footer"/>
          <w:jc w:val="right"/>
        </w:pPr>
        <w:r>
          <w:fldChar w:fldCharType="begin"/>
        </w:r>
        <w:r>
          <w:instrText xml:space="preserve"> PAGE   \* MERGEFORMAT </w:instrText>
        </w:r>
        <w:r>
          <w:fldChar w:fldCharType="separate"/>
        </w:r>
        <w:r w:rsidR="00AB1849">
          <w:rPr>
            <w:noProof/>
          </w:rPr>
          <w:t>7</w:t>
        </w:r>
        <w:r>
          <w:rPr>
            <w:noProof/>
          </w:rPr>
          <w:fldChar w:fldCharType="end"/>
        </w:r>
      </w:p>
    </w:sdtContent>
  </w:sdt>
  <w:p w14:paraId="025B2EE7" w14:textId="77777777" w:rsidR="006138D3" w:rsidRDefault="00613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8B238" w14:textId="77777777" w:rsidR="00051B49" w:rsidRDefault="00051B49" w:rsidP="00051B49">
      <w:pPr>
        <w:spacing w:after="0" w:line="240" w:lineRule="auto"/>
      </w:pPr>
      <w:r>
        <w:separator/>
      </w:r>
    </w:p>
  </w:footnote>
  <w:footnote w:type="continuationSeparator" w:id="0">
    <w:p w14:paraId="63C8E504" w14:textId="77777777" w:rsidR="00051B49" w:rsidRDefault="00051B49" w:rsidP="00051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41AC"/>
    <w:multiLevelType w:val="hybridMultilevel"/>
    <w:tmpl w:val="0A50D9FE"/>
    <w:lvl w:ilvl="0" w:tplc="A74231B2">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C1A2A"/>
    <w:multiLevelType w:val="hybridMultilevel"/>
    <w:tmpl w:val="F3EEA038"/>
    <w:lvl w:ilvl="0" w:tplc="11D2F838">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6324BE1"/>
    <w:multiLevelType w:val="multilevel"/>
    <w:tmpl w:val="DBE209CE"/>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Franklin Gothic Book" w:eastAsia="Times New Roman" w:hAnsi="Franklin Gothic Book" w:cs="Times New Roman"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3F487E9C"/>
    <w:multiLevelType w:val="hybridMultilevel"/>
    <w:tmpl w:val="1E3EA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41A68A0"/>
    <w:multiLevelType w:val="hybridMultilevel"/>
    <w:tmpl w:val="9D6842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125F53"/>
    <w:multiLevelType w:val="hybridMultilevel"/>
    <w:tmpl w:val="60340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715D0D"/>
    <w:multiLevelType w:val="hybridMultilevel"/>
    <w:tmpl w:val="CB448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D762A7"/>
    <w:multiLevelType w:val="hybridMultilevel"/>
    <w:tmpl w:val="B1F21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EE1E68"/>
    <w:multiLevelType w:val="hybridMultilevel"/>
    <w:tmpl w:val="57A25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646C80"/>
    <w:multiLevelType w:val="hybridMultilevel"/>
    <w:tmpl w:val="98D6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7A528B"/>
    <w:multiLevelType w:val="hybridMultilevel"/>
    <w:tmpl w:val="249A8308"/>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1"/>
  </w:num>
  <w:num w:numId="6">
    <w:abstractNumId w:val="3"/>
  </w:num>
  <w:num w:numId="7">
    <w:abstractNumId w:val="10"/>
  </w:num>
  <w:num w:numId="8">
    <w:abstractNumId w:val="6"/>
  </w:num>
  <w:num w:numId="9">
    <w:abstractNumId w:val="2"/>
  </w:num>
  <w:num w:numId="10">
    <w:abstractNumId w:val="8"/>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8C"/>
    <w:rsid w:val="00000620"/>
    <w:rsid w:val="00051B49"/>
    <w:rsid w:val="00082B05"/>
    <w:rsid w:val="00153620"/>
    <w:rsid w:val="00177237"/>
    <w:rsid w:val="001B2204"/>
    <w:rsid w:val="00240105"/>
    <w:rsid w:val="0026647B"/>
    <w:rsid w:val="0027309E"/>
    <w:rsid w:val="002751C0"/>
    <w:rsid w:val="002D1C19"/>
    <w:rsid w:val="002D2F1B"/>
    <w:rsid w:val="002E1D97"/>
    <w:rsid w:val="002F3B8B"/>
    <w:rsid w:val="003955D1"/>
    <w:rsid w:val="003B2CC3"/>
    <w:rsid w:val="003D2C0C"/>
    <w:rsid w:val="00412308"/>
    <w:rsid w:val="00421B00"/>
    <w:rsid w:val="00431996"/>
    <w:rsid w:val="00444956"/>
    <w:rsid w:val="004547B3"/>
    <w:rsid w:val="00470E0A"/>
    <w:rsid w:val="00472787"/>
    <w:rsid w:val="00481D68"/>
    <w:rsid w:val="004A3E1D"/>
    <w:rsid w:val="00550407"/>
    <w:rsid w:val="005B3CA4"/>
    <w:rsid w:val="006138D3"/>
    <w:rsid w:val="0064768C"/>
    <w:rsid w:val="006A5B7A"/>
    <w:rsid w:val="006A6B86"/>
    <w:rsid w:val="006D1E42"/>
    <w:rsid w:val="006F583C"/>
    <w:rsid w:val="0073459F"/>
    <w:rsid w:val="007A0245"/>
    <w:rsid w:val="00874F0E"/>
    <w:rsid w:val="00877B4A"/>
    <w:rsid w:val="00892DE7"/>
    <w:rsid w:val="008B605C"/>
    <w:rsid w:val="008C544A"/>
    <w:rsid w:val="008F27D8"/>
    <w:rsid w:val="00977D53"/>
    <w:rsid w:val="00A759DA"/>
    <w:rsid w:val="00AB1849"/>
    <w:rsid w:val="00AC7FDE"/>
    <w:rsid w:val="00AF4222"/>
    <w:rsid w:val="00B21EC5"/>
    <w:rsid w:val="00B74DA4"/>
    <w:rsid w:val="00B959C8"/>
    <w:rsid w:val="00C2306D"/>
    <w:rsid w:val="00C75085"/>
    <w:rsid w:val="00CA713B"/>
    <w:rsid w:val="00CE2B4E"/>
    <w:rsid w:val="00D002ED"/>
    <w:rsid w:val="00D53937"/>
    <w:rsid w:val="00DA5FEF"/>
    <w:rsid w:val="00DC1F52"/>
    <w:rsid w:val="00E4409B"/>
    <w:rsid w:val="00E65A3E"/>
    <w:rsid w:val="00E73DAC"/>
    <w:rsid w:val="00EC540F"/>
    <w:rsid w:val="00F22266"/>
    <w:rsid w:val="00F43C84"/>
    <w:rsid w:val="00FB5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67A5"/>
  <w15:docId w15:val="{1CD6DDBF-4DEC-4B59-AC51-9A4FBD88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rsid w:val="0064768C"/>
    <w:pPr>
      <w:ind w:left="720"/>
      <w:contextualSpacing/>
    </w:pPr>
  </w:style>
  <w:style w:type="character" w:styleId="CommentReference">
    <w:name w:val="annotation reference"/>
    <w:basedOn w:val="DefaultParagraphFont"/>
    <w:uiPriority w:val="99"/>
    <w:semiHidden/>
    <w:unhideWhenUsed/>
    <w:rsid w:val="00240105"/>
    <w:rPr>
      <w:sz w:val="16"/>
      <w:szCs w:val="16"/>
    </w:rPr>
  </w:style>
  <w:style w:type="paragraph" w:styleId="CommentText">
    <w:name w:val="annotation text"/>
    <w:basedOn w:val="Normal"/>
    <w:link w:val="CommentTextChar"/>
    <w:uiPriority w:val="99"/>
    <w:semiHidden/>
    <w:unhideWhenUsed/>
    <w:rsid w:val="00240105"/>
    <w:pPr>
      <w:spacing w:line="240" w:lineRule="auto"/>
    </w:pPr>
    <w:rPr>
      <w:sz w:val="20"/>
      <w:szCs w:val="20"/>
    </w:rPr>
  </w:style>
  <w:style w:type="character" w:customStyle="1" w:styleId="CommentTextChar">
    <w:name w:val="Comment Text Char"/>
    <w:basedOn w:val="DefaultParagraphFont"/>
    <w:link w:val="CommentText"/>
    <w:uiPriority w:val="99"/>
    <w:semiHidden/>
    <w:rsid w:val="00240105"/>
    <w:rPr>
      <w:sz w:val="20"/>
      <w:szCs w:val="20"/>
    </w:rPr>
  </w:style>
  <w:style w:type="paragraph" w:styleId="CommentSubject">
    <w:name w:val="annotation subject"/>
    <w:basedOn w:val="CommentText"/>
    <w:next w:val="CommentText"/>
    <w:link w:val="CommentSubjectChar"/>
    <w:uiPriority w:val="99"/>
    <w:semiHidden/>
    <w:unhideWhenUsed/>
    <w:rsid w:val="00240105"/>
    <w:rPr>
      <w:b/>
      <w:bCs/>
    </w:rPr>
  </w:style>
  <w:style w:type="character" w:customStyle="1" w:styleId="CommentSubjectChar">
    <w:name w:val="Comment Subject Char"/>
    <w:basedOn w:val="CommentTextChar"/>
    <w:link w:val="CommentSubject"/>
    <w:uiPriority w:val="99"/>
    <w:semiHidden/>
    <w:rsid w:val="00240105"/>
    <w:rPr>
      <w:b/>
      <w:bCs/>
      <w:sz w:val="20"/>
      <w:szCs w:val="20"/>
    </w:rPr>
  </w:style>
  <w:style w:type="paragraph" w:styleId="BalloonText">
    <w:name w:val="Balloon Text"/>
    <w:basedOn w:val="Normal"/>
    <w:link w:val="BalloonTextChar"/>
    <w:uiPriority w:val="99"/>
    <w:semiHidden/>
    <w:unhideWhenUsed/>
    <w:rsid w:val="00240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105"/>
    <w:rPr>
      <w:rFonts w:ascii="Segoe UI" w:hAnsi="Segoe UI" w:cs="Segoe UI"/>
      <w:sz w:val="18"/>
      <w:szCs w:val="18"/>
    </w:rPr>
  </w:style>
  <w:style w:type="table" w:styleId="TableGrid">
    <w:name w:val="Table Grid"/>
    <w:basedOn w:val="TableNormal"/>
    <w:uiPriority w:val="59"/>
    <w:rsid w:val="008B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qFormat/>
    <w:rsid w:val="008B605C"/>
    <w:pPr>
      <w:numPr>
        <w:numId w:val="7"/>
      </w:numPr>
      <w:tabs>
        <w:tab w:val="left" w:pos="284"/>
        <w:tab w:val="num" w:pos="360"/>
      </w:tabs>
      <w:spacing w:line="280" w:lineRule="exact"/>
      <w:ind w:left="0" w:firstLine="0"/>
    </w:pPr>
    <w:rPr>
      <w:rFonts w:ascii="Franklin Gothic Book" w:eastAsia="Times New Roman" w:hAnsi="Franklin Gothic Book" w:cs="Times New Roman"/>
      <w:color w:val="44546A" w:themeColor="text2"/>
      <w:sz w:val="21"/>
      <w:szCs w:val="24"/>
      <w:lang w:eastAsia="en-AU"/>
    </w:rPr>
  </w:style>
  <w:style w:type="paragraph" w:styleId="BodyText">
    <w:name w:val="Body Text"/>
    <w:basedOn w:val="Normal"/>
    <w:link w:val="BodyTextChar"/>
    <w:uiPriority w:val="99"/>
    <w:unhideWhenUsed/>
    <w:rsid w:val="008B605C"/>
    <w:pPr>
      <w:spacing w:after="120"/>
    </w:pPr>
  </w:style>
  <w:style w:type="character" w:customStyle="1" w:styleId="BodyTextChar">
    <w:name w:val="Body Text Char"/>
    <w:basedOn w:val="DefaultParagraphFont"/>
    <w:link w:val="BodyText"/>
    <w:uiPriority w:val="99"/>
    <w:rsid w:val="008B605C"/>
  </w:style>
  <w:style w:type="paragraph" w:styleId="FootnoteText">
    <w:name w:val="footnote text"/>
    <w:basedOn w:val="Normal"/>
    <w:link w:val="FootnoteTextChar"/>
    <w:unhideWhenUsed/>
    <w:qFormat/>
    <w:rsid w:val="00051B49"/>
    <w:pPr>
      <w:suppressAutoHyphens/>
      <w:spacing w:before="60" w:after="0" w:line="140" w:lineRule="atLeast"/>
      <w:ind w:left="170" w:hanging="170"/>
    </w:pPr>
    <w:rPr>
      <w:sz w:val="12"/>
      <w:szCs w:val="20"/>
      <w:lang w:val="en-GB"/>
    </w:rPr>
  </w:style>
  <w:style w:type="character" w:customStyle="1" w:styleId="FootnoteTextChar">
    <w:name w:val="Footnote Text Char"/>
    <w:basedOn w:val="DefaultParagraphFont"/>
    <w:link w:val="FootnoteText"/>
    <w:rsid w:val="00051B49"/>
    <w:rPr>
      <w:sz w:val="12"/>
      <w:szCs w:val="20"/>
      <w:lang w:val="en-GB"/>
    </w:rPr>
  </w:style>
  <w:style w:type="character" w:styleId="FootnoteReference">
    <w:name w:val="footnote reference"/>
    <w:aliases w:val="Normal + Font:9 Point,Superscript 3 Point Times"/>
    <w:basedOn w:val="DefaultParagraphFont"/>
    <w:unhideWhenUsed/>
    <w:rsid w:val="00051B49"/>
    <w:rPr>
      <w:vertAlign w:val="superscript"/>
    </w:rPr>
  </w:style>
  <w:style w:type="paragraph" w:styleId="Header">
    <w:name w:val="header"/>
    <w:basedOn w:val="Normal"/>
    <w:link w:val="HeaderChar"/>
    <w:uiPriority w:val="99"/>
    <w:unhideWhenUsed/>
    <w:rsid w:val="00613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8D3"/>
  </w:style>
  <w:style w:type="paragraph" w:styleId="Footer">
    <w:name w:val="footer"/>
    <w:basedOn w:val="Normal"/>
    <w:link w:val="FooterChar"/>
    <w:uiPriority w:val="99"/>
    <w:unhideWhenUsed/>
    <w:rsid w:val="00613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8D3"/>
  </w:style>
  <w:style w:type="character" w:styleId="Hyperlink">
    <w:name w:val="Hyperlink"/>
    <w:basedOn w:val="DefaultParagraphFont"/>
    <w:uiPriority w:val="99"/>
    <w:unhideWhenUsed/>
    <w:rsid w:val="001B2204"/>
    <w:rPr>
      <w:color w:val="0563C1" w:themeColor="hyperlink"/>
      <w:u w:val="single"/>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locked/>
    <w:rsid w:val="00D0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portunities@chs.dfat.gov.au" TargetMode="External"/><Relationship Id="rId5" Type="http://schemas.openxmlformats.org/officeDocument/2006/relationships/styles" Target="styles.xml"/><Relationship Id="rId10" Type="http://schemas.openxmlformats.org/officeDocument/2006/relationships/hyperlink" Target="mailto:opportunities@chs.dfa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A6D33-7808-43C8-A9FB-FC9D594983DF}"/>
</file>

<file path=customXml/itemProps2.xml><?xml version="1.0" encoding="utf-8"?>
<ds:datastoreItem xmlns:ds="http://schemas.openxmlformats.org/officeDocument/2006/customXml" ds:itemID="{3225B37A-D1BF-4D37-85B4-F714F1EA9BBC}"/>
</file>

<file path=customXml/itemProps3.xml><?xml version="1.0" encoding="utf-8"?>
<ds:datastoreItem xmlns:ds="http://schemas.openxmlformats.org/officeDocument/2006/customXml" ds:itemID="{56C2CAE9-2325-45E7-A321-88B5BA3C57BC}"/>
</file>

<file path=docProps/app.xml><?xml version="1.0" encoding="utf-8"?>
<Properties xmlns="http://schemas.openxmlformats.org/officeDocument/2006/extended-properties" xmlns:vt="http://schemas.openxmlformats.org/officeDocument/2006/docPropsVTypes">
  <Template>Normal.dotm</Template>
  <TotalTime>4</TotalTime>
  <Pages>8</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Lara</dc:creator>
  <cp:keywords/>
  <dc:description/>
  <cp:lastModifiedBy>Andrews, Lara</cp:lastModifiedBy>
  <cp:revision>5</cp:revision>
  <cp:lastPrinted>2017-10-05T03:59:00Z</cp:lastPrinted>
  <dcterms:created xsi:type="dcterms:W3CDTF">2017-10-05T07:12:00Z</dcterms:created>
  <dcterms:modified xsi:type="dcterms:W3CDTF">2017-10-05T21:59:00Z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16d64a1e-8aa8-44ec-9ea6-298459039460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1115200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