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5EBA9" w14:textId="77777777" w:rsidR="00BC5F46" w:rsidRDefault="00BC5F46" w:rsidP="00BC5F46">
      <w:pPr>
        <w:pStyle w:val="Title"/>
      </w:pPr>
      <w:r w:rsidRPr="004C6807">
        <w:rPr>
          <w:sz w:val="56"/>
        </w:rPr>
        <w:t>Engaging the pRivate Sector</w:t>
      </w:r>
      <w:r>
        <w:t xml:space="preserve"> </w:t>
      </w:r>
      <w:r w:rsidRPr="004C6807">
        <w:rPr>
          <w:sz w:val="36"/>
        </w:rPr>
        <w:t xml:space="preserve">in development </w:t>
      </w:r>
      <w:r w:rsidRPr="004C6807">
        <w:rPr>
          <w:sz w:val="72"/>
        </w:rPr>
        <w:t xml:space="preserve"> </w:t>
      </w:r>
    </w:p>
    <w:p w14:paraId="52BE7647" w14:textId="77777777" w:rsidR="00BC5F46" w:rsidRDefault="00BC5F46" w:rsidP="00BC5F46">
      <w:pPr>
        <w:pStyle w:val="Title"/>
      </w:pPr>
      <w:r>
        <w:t>Guidance note</w:t>
      </w:r>
    </w:p>
    <w:p w14:paraId="6FCC715C" w14:textId="1CF237CF" w:rsidR="00BC5F46" w:rsidRDefault="00BC5F46" w:rsidP="00BC5F46">
      <w:pPr>
        <w:pStyle w:val="Subtitle"/>
      </w:pPr>
      <w:r>
        <w:fldChar w:fldCharType="begin"/>
      </w:r>
      <w:r>
        <w:instrText xml:space="preserve"> DATE  \@ "MMMM yyyy"  \* MERGEFORMAT </w:instrText>
      </w:r>
      <w:r>
        <w:fldChar w:fldCharType="separate"/>
      </w:r>
      <w:r w:rsidR="00CB5E76">
        <w:rPr>
          <w:noProof/>
        </w:rPr>
        <w:t>February 2020</w:t>
      </w:r>
      <w:r>
        <w:fldChar w:fldCharType="end"/>
      </w:r>
      <w:r>
        <w:t xml:space="preserve"> </w:t>
      </w:r>
    </w:p>
    <w:p w14:paraId="1125C206" w14:textId="77777777" w:rsidR="00BC5F46" w:rsidRPr="00E10987" w:rsidRDefault="00BC5F46" w:rsidP="00BC5F46">
      <w:pPr>
        <w:rPr>
          <w:lang w:val="en-AU"/>
        </w:rPr>
        <w:sectPr w:rsidR="00BC5F46" w:rsidRPr="00E10987" w:rsidSect="00D61576">
          <w:headerReference w:type="default" r:id="rId11"/>
          <w:headerReference w:type="first" r:id="rId12"/>
          <w:type w:val="continuous"/>
          <w:pgSz w:w="11906" w:h="16838" w:code="9"/>
          <w:pgMar w:top="1928" w:right="1134" w:bottom="993" w:left="1134" w:header="567" w:footer="567" w:gutter="0"/>
          <w:pgNumType w:fmt="upperLetter"/>
          <w:cols w:space="708"/>
          <w:vAlign w:val="bottom"/>
          <w:docGrid w:linePitch="360"/>
        </w:sectPr>
      </w:pPr>
    </w:p>
    <w:p w14:paraId="70910D5C" w14:textId="77777777" w:rsidR="00BC5F46" w:rsidRDefault="00BC5F46" w:rsidP="00BC5F46">
      <w:pPr>
        <w:pStyle w:val="TOCHeading"/>
      </w:pPr>
      <w:r>
        <w:lastRenderedPageBreak/>
        <w:t>Contents</w:t>
      </w:r>
    </w:p>
    <w:p w14:paraId="19E673CB" w14:textId="213D0479" w:rsidR="00D7631D" w:rsidRDefault="00BC5F46">
      <w:pPr>
        <w:pStyle w:val="TOC2"/>
        <w:rPr>
          <w:rFonts w:eastAsiaTheme="minorEastAsia"/>
          <w:noProof/>
          <w:color w:val="auto"/>
          <w:lang w:val="en-AU" w:eastAsia="en-AU"/>
        </w:rPr>
      </w:pPr>
      <w:r w:rsidRPr="005B583F">
        <w:rPr>
          <w:b/>
          <w:caps/>
          <w:color w:val="D3875F" w:themeColor="accent1"/>
          <w:sz w:val="26"/>
        </w:rPr>
        <w:fldChar w:fldCharType="begin"/>
      </w:r>
      <w:r w:rsidRPr="005B583F">
        <w:instrText xml:space="preserve"> TOC \o "2-2" \h \z \t "Heading 1,1,Heading 1 Numbered,1,Heading 1 small space after,1,Heading 1 Numbered small space after,1" </w:instrText>
      </w:r>
      <w:r w:rsidRPr="005B583F">
        <w:rPr>
          <w:b/>
          <w:caps/>
          <w:color w:val="D3875F" w:themeColor="accent1"/>
          <w:sz w:val="26"/>
        </w:rPr>
        <w:fldChar w:fldCharType="separate"/>
      </w:r>
      <w:hyperlink w:anchor="_Toc26802480" w:history="1">
        <w:r w:rsidR="00D7631D" w:rsidRPr="001A0710">
          <w:rPr>
            <w:rStyle w:val="Hyperlink"/>
            <w:noProof/>
          </w:rPr>
          <w:t>1.</w:t>
        </w:r>
        <w:r w:rsidR="00D7631D">
          <w:rPr>
            <w:rFonts w:eastAsiaTheme="minorEastAsia"/>
            <w:noProof/>
            <w:color w:val="auto"/>
            <w:lang w:val="en-AU" w:eastAsia="en-AU"/>
          </w:rPr>
          <w:tab/>
        </w:r>
        <w:r w:rsidR="00D7631D" w:rsidRPr="001A0710">
          <w:rPr>
            <w:rStyle w:val="Hyperlink"/>
            <w:noProof/>
          </w:rPr>
          <w:t>Overview</w:t>
        </w:r>
        <w:r w:rsidR="00D7631D">
          <w:rPr>
            <w:noProof/>
            <w:webHidden/>
          </w:rPr>
          <w:tab/>
        </w:r>
        <w:r w:rsidR="00D7631D">
          <w:rPr>
            <w:noProof/>
            <w:webHidden/>
          </w:rPr>
          <w:fldChar w:fldCharType="begin"/>
        </w:r>
        <w:r w:rsidR="00D7631D">
          <w:rPr>
            <w:noProof/>
            <w:webHidden/>
          </w:rPr>
          <w:instrText xml:space="preserve"> PAGEREF _Toc26802480 \h </w:instrText>
        </w:r>
        <w:r w:rsidR="00D7631D">
          <w:rPr>
            <w:noProof/>
            <w:webHidden/>
          </w:rPr>
        </w:r>
        <w:r w:rsidR="00D7631D">
          <w:rPr>
            <w:noProof/>
            <w:webHidden/>
          </w:rPr>
          <w:fldChar w:fldCharType="separate"/>
        </w:r>
        <w:r w:rsidR="00105E80">
          <w:rPr>
            <w:noProof/>
            <w:webHidden/>
          </w:rPr>
          <w:t>2</w:t>
        </w:r>
        <w:r w:rsidR="00D7631D">
          <w:rPr>
            <w:noProof/>
            <w:webHidden/>
          </w:rPr>
          <w:fldChar w:fldCharType="end"/>
        </w:r>
      </w:hyperlink>
    </w:p>
    <w:p w14:paraId="38F4EDCA" w14:textId="2F1D7BB2" w:rsidR="00D7631D" w:rsidRDefault="00CB5E76">
      <w:pPr>
        <w:pStyle w:val="TOC2"/>
        <w:rPr>
          <w:rFonts w:eastAsiaTheme="minorEastAsia"/>
          <w:noProof/>
          <w:color w:val="auto"/>
          <w:lang w:val="en-AU" w:eastAsia="en-AU"/>
        </w:rPr>
      </w:pPr>
      <w:hyperlink w:anchor="_Toc26802481" w:history="1">
        <w:r w:rsidR="00D7631D" w:rsidRPr="001A0710">
          <w:rPr>
            <w:rStyle w:val="Hyperlink"/>
            <w:noProof/>
          </w:rPr>
          <w:t>2.</w:t>
        </w:r>
        <w:r w:rsidR="00D7631D">
          <w:rPr>
            <w:rFonts w:eastAsiaTheme="minorEastAsia"/>
            <w:noProof/>
            <w:color w:val="auto"/>
            <w:lang w:val="en-AU" w:eastAsia="en-AU"/>
          </w:rPr>
          <w:tab/>
        </w:r>
        <w:r w:rsidR="00D7631D" w:rsidRPr="001A0710">
          <w:rPr>
            <w:rStyle w:val="Hyperlink"/>
            <w:noProof/>
          </w:rPr>
          <w:t>Principles</w:t>
        </w:r>
        <w:r w:rsidR="00D7631D">
          <w:rPr>
            <w:noProof/>
            <w:webHidden/>
          </w:rPr>
          <w:tab/>
        </w:r>
        <w:r w:rsidR="00D7631D">
          <w:rPr>
            <w:noProof/>
            <w:webHidden/>
          </w:rPr>
          <w:fldChar w:fldCharType="begin"/>
        </w:r>
        <w:r w:rsidR="00D7631D">
          <w:rPr>
            <w:noProof/>
            <w:webHidden/>
          </w:rPr>
          <w:instrText xml:space="preserve"> PAGEREF _Toc26802481 \h </w:instrText>
        </w:r>
        <w:r w:rsidR="00D7631D">
          <w:rPr>
            <w:noProof/>
            <w:webHidden/>
          </w:rPr>
        </w:r>
        <w:r w:rsidR="00D7631D">
          <w:rPr>
            <w:noProof/>
            <w:webHidden/>
          </w:rPr>
          <w:fldChar w:fldCharType="separate"/>
        </w:r>
        <w:r w:rsidR="00105E80">
          <w:rPr>
            <w:noProof/>
            <w:webHidden/>
          </w:rPr>
          <w:t>6</w:t>
        </w:r>
        <w:r w:rsidR="00D7631D">
          <w:rPr>
            <w:noProof/>
            <w:webHidden/>
          </w:rPr>
          <w:fldChar w:fldCharType="end"/>
        </w:r>
      </w:hyperlink>
    </w:p>
    <w:p w14:paraId="27533D52" w14:textId="5DBBE2E1" w:rsidR="00D7631D" w:rsidRDefault="00CB5E76">
      <w:pPr>
        <w:pStyle w:val="TOC2"/>
        <w:rPr>
          <w:rFonts w:eastAsiaTheme="minorEastAsia"/>
          <w:noProof/>
          <w:color w:val="auto"/>
          <w:lang w:val="en-AU" w:eastAsia="en-AU"/>
        </w:rPr>
      </w:pPr>
      <w:hyperlink w:anchor="_Toc26802482" w:history="1">
        <w:r w:rsidR="00D7631D" w:rsidRPr="001A0710">
          <w:rPr>
            <w:rStyle w:val="Hyperlink"/>
            <w:noProof/>
          </w:rPr>
          <w:t>3.</w:t>
        </w:r>
        <w:r w:rsidR="00D7631D">
          <w:rPr>
            <w:rFonts w:eastAsiaTheme="minorEastAsia"/>
            <w:noProof/>
            <w:color w:val="auto"/>
            <w:lang w:val="en-AU" w:eastAsia="en-AU"/>
          </w:rPr>
          <w:tab/>
        </w:r>
        <w:r w:rsidR="00D7631D" w:rsidRPr="001A0710">
          <w:rPr>
            <w:rStyle w:val="Hyperlink"/>
            <w:noProof/>
          </w:rPr>
          <w:t>Partnerships</w:t>
        </w:r>
        <w:r w:rsidR="00D7631D">
          <w:rPr>
            <w:noProof/>
            <w:webHidden/>
          </w:rPr>
          <w:tab/>
        </w:r>
        <w:r w:rsidR="00D7631D">
          <w:rPr>
            <w:noProof/>
            <w:webHidden/>
          </w:rPr>
          <w:fldChar w:fldCharType="begin"/>
        </w:r>
        <w:r w:rsidR="00D7631D">
          <w:rPr>
            <w:noProof/>
            <w:webHidden/>
          </w:rPr>
          <w:instrText xml:space="preserve"> PAGEREF _Toc26802482 \h </w:instrText>
        </w:r>
        <w:r w:rsidR="00D7631D">
          <w:rPr>
            <w:noProof/>
            <w:webHidden/>
          </w:rPr>
        </w:r>
        <w:r w:rsidR="00D7631D">
          <w:rPr>
            <w:noProof/>
            <w:webHidden/>
          </w:rPr>
          <w:fldChar w:fldCharType="separate"/>
        </w:r>
        <w:r w:rsidR="00105E80">
          <w:rPr>
            <w:noProof/>
            <w:webHidden/>
          </w:rPr>
          <w:t>8</w:t>
        </w:r>
        <w:r w:rsidR="00D7631D">
          <w:rPr>
            <w:noProof/>
            <w:webHidden/>
          </w:rPr>
          <w:fldChar w:fldCharType="end"/>
        </w:r>
      </w:hyperlink>
    </w:p>
    <w:p w14:paraId="3F642B96" w14:textId="51A4566B" w:rsidR="00D7631D" w:rsidRDefault="00CB5E76">
      <w:pPr>
        <w:pStyle w:val="TOC2"/>
        <w:rPr>
          <w:rFonts w:eastAsiaTheme="minorEastAsia"/>
          <w:noProof/>
          <w:color w:val="auto"/>
          <w:lang w:val="en-AU" w:eastAsia="en-AU"/>
        </w:rPr>
      </w:pPr>
      <w:hyperlink w:anchor="_Toc26802483" w:history="1">
        <w:r w:rsidR="00D7631D" w:rsidRPr="001A0710">
          <w:rPr>
            <w:rStyle w:val="Hyperlink"/>
            <w:noProof/>
          </w:rPr>
          <w:t>4.</w:t>
        </w:r>
        <w:r w:rsidR="00D7631D">
          <w:rPr>
            <w:rFonts w:eastAsiaTheme="minorEastAsia"/>
            <w:noProof/>
            <w:color w:val="auto"/>
            <w:lang w:val="en-AU" w:eastAsia="en-AU"/>
          </w:rPr>
          <w:tab/>
        </w:r>
        <w:r w:rsidR="00D7631D" w:rsidRPr="001A0710">
          <w:rPr>
            <w:rStyle w:val="Hyperlink"/>
            <w:noProof/>
          </w:rPr>
          <w:t>Cross-cutting themes</w:t>
        </w:r>
        <w:r w:rsidR="00D7631D">
          <w:rPr>
            <w:noProof/>
            <w:webHidden/>
          </w:rPr>
          <w:tab/>
        </w:r>
        <w:r w:rsidR="00D7631D">
          <w:rPr>
            <w:noProof/>
            <w:webHidden/>
          </w:rPr>
          <w:fldChar w:fldCharType="begin"/>
        </w:r>
        <w:r w:rsidR="00D7631D">
          <w:rPr>
            <w:noProof/>
            <w:webHidden/>
          </w:rPr>
          <w:instrText xml:space="preserve"> PAGEREF _Toc26802483 \h </w:instrText>
        </w:r>
        <w:r w:rsidR="00D7631D">
          <w:rPr>
            <w:noProof/>
            <w:webHidden/>
          </w:rPr>
        </w:r>
        <w:r w:rsidR="00D7631D">
          <w:rPr>
            <w:noProof/>
            <w:webHidden/>
          </w:rPr>
          <w:fldChar w:fldCharType="separate"/>
        </w:r>
        <w:r w:rsidR="00105E80">
          <w:rPr>
            <w:noProof/>
            <w:webHidden/>
          </w:rPr>
          <w:t>10</w:t>
        </w:r>
        <w:r w:rsidR="00D7631D">
          <w:rPr>
            <w:noProof/>
            <w:webHidden/>
          </w:rPr>
          <w:fldChar w:fldCharType="end"/>
        </w:r>
      </w:hyperlink>
    </w:p>
    <w:p w14:paraId="00E8E732" w14:textId="579AA210" w:rsidR="00D7631D" w:rsidRDefault="00CB5E76">
      <w:pPr>
        <w:pStyle w:val="TOC2"/>
        <w:rPr>
          <w:rFonts w:eastAsiaTheme="minorEastAsia"/>
          <w:noProof/>
          <w:color w:val="auto"/>
          <w:lang w:val="en-AU" w:eastAsia="en-AU"/>
        </w:rPr>
      </w:pPr>
      <w:hyperlink w:anchor="_Toc26802484" w:history="1">
        <w:r w:rsidR="00D7631D" w:rsidRPr="001A0710">
          <w:rPr>
            <w:rStyle w:val="Hyperlink"/>
            <w:noProof/>
          </w:rPr>
          <w:t>5.</w:t>
        </w:r>
        <w:r w:rsidR="00D7631D">
          <w:rPr>
            <w:rFonts w:eastAsiaTheme="minorEastAsia"/>
            <w:noProof/>
            <w:color w:val="auto"/>
            <w:lang w:val="en-AU" w:eastAsia="en-AU"/>
          </w:rPr>
          <w:tab/>
        </w:r>
        <w:r w:rsidR="00D7631D" w:rsidRPr="001A0710">
          <w:rPr>
            <w:rStyle w:val="Hyperlink"/>
            <w:noProof/>
          </w:rPr>
          <w:t>Risk</w:t>
        </w:r>
        <w:r w:rsidR="00D7631D">
          <w:rPr>
            <w:noProof/>
            <w:webHidden/>
          </w:rPr>
          <w:tab/>
        </w:r>
        <w:r w:rsidR="00D7631D">
          <w:rPr>
            <w:noProof/>
            <w:webHidden/>
          </w:rPr>
          <w:fldChar w:fldCharType="begin"/>
        </w:r>
        <w:r w:rsidR="00D7631D">
          <w:rPr>
            <w:noProof/>
            <w:webHidden/>
          </w:rPr>
          <w:instrText xml:space="preserve"> PAGEREF _Toc26802484 \h </w:instrText>
        </w:r>
        <w:r w:rsidR="00D7631D">
          <w:rPr>
            <w:noProof/>
            <w:webHidden/>
          </w:rPr>
        </w:r>
        <w:r w:rsidR="00D7631D">
          <w:rPr>
            <w:noProof/>
            <w:webHidden/>
          </w:rPr>
          <w:fldChar w:fldCharType="separate"/>
        </w:r>
        <w:r w:rsidR="00105E80">
          <w:rPr>
            <w:noProof/>
            <w:webHidden/>
          </w:rPr>
          <w:t>12</w:t>
        </w:r>
        <w:r w:rsidR="00D7631D">
          <w:rPr>
            <w:noProof/>
            <w:webHidden/>
          </w:rPr>
          <w:fldChar w:fldCharType="end"/>
        </w:r>
      </w:hyperlink>
    </w:p>
    <w:p w14:paraId="01FA2A81" w14:textId="02B6B139" w:rsidR="00D7631D" w:rsidRDefault="00CB5E76">
      <w:pPr>
        <w:pStyle w:val="TOC1"/>
        <w:rPr>
          <w:rFonts w:asciiTheme="minorHAnsi" w:eastAsiaTheme="minorEastAsia" w:hAnsiTheme="minorHAnsi"/>
          <w:b w:val="0"/>
          <w:caps w:val="0"/>
          <w:color w:val="auto"/>
          <w:sz w:val="22"/>
          <w:lang w:val="en-AU" w:eastAsia="en-AU"/>
        </w:rPr>
      </w:pPr>
      <w:hyperlink w:anchor="_Toc26802485" w:history="1">
        <w:r w:rsidR="00D7631D" w:rsidRPr="001A0710">
          <w:rPr>
            <w:rStyle w:val="Hyperlink"/>
            <w:rFonts w:ascii="Calibri Light" w:hAnsi="Calibri Light"/>
          </w:rPr>
          <w:t>Annex 1: Minimum Concessionality Flowchart</w:t>
        </w:r>
        <w:r w:rsidR="00D7631D">
          <w:rPr>
            <w:webHidden/>
          </w:rPr>
          <w:tab/>
        </w:r>
        <w:r w:rsidR="00D7631D">
          <w:rPr>
            <w:webHidden/>
          </w:rPr>
          <w:fldChar w:fldCharType="begin"/>
        </w:r>
        <w:r w:rsidR="00D7631D">
          <w:rPr>
            <w:webHidden/>
          </w:rPr>
          <w:instrText xml:space="preserve"> PAGEREF _Toc26802485 \h </w:instrText>
        </w:r>
        <w:r w:rsidR="00D7631D">
          <w:rPr>
            <w:webHidden/>
          </w:rPr>
        </w:r>
        <w:r w:rsidR="00D7631D">
          <w:rPr>
            <w:webHidden/>
          </w:rPr>
          <w:fldChar w:fldCharType="separate"/>
        </w:r>
        <w:r w:rsidR="00105E80">
          <w:rPr>
            <w:webHidden/>
          </w:rPr>
          <w:t>15</w:t>
        </w:r>
        <w:r w:rsidR="00D7631D">
          <w:rPr>
            <w:webHidden/>
          </w:rPr>
          <w:fldChar w:fldCharType="end"/>
        </w:r>
      </w:hyperlink>
    </w:p>
    <w:p w14:paraId="753D5953" w14:textId="2B53CDC8" w:rsidR="00D7631D" w:rsidRDefault="00CB5E76">
      <w:pPr>
        <w:pStyle w:val="TOC1"/>
        <w:rPr>
          <w:rFonts w:asciiTheme="minorHAnsi" w:eastAsiaTheme="minorEastAsia" w:hAnsiTheme="minorHAnsi"/>
          <w:b w:val="0"/>
          <w:caps w:val="0"/>
          <w:color w:val="auto"/>
          <w:sz w:val="22"/>
          <w:lang w:val="en-AU" w:eastAsia="en-AU"/>
        </w:rPr>
      </w:pPr>
      <w:hyperlink w:anchor="_Toc26802486" w:history="1">
        <w:r w:rsidR="00D7631D" w:rsidRPr="001A0710">
          <w:rPr>
            <w:rStyle w:val="Hyperlink"/>
            <w:rFonts w:ascii="Calibri Light" w:hAnsi="Calibri Light"/>
          </w:rPr>
          <w:t>Annex 2: dced DECISION-MAKING FLOWCHART TO DEMONSTRATING ADDITIONALITY</w:t>
        </w:r>
        <w:r w:rsidR="00D7631D">
          <w:rPr>
            <w:webHidden/>
          </w:rPr>
          <w:tab/>
        </w:r>
        <w:r w:rsidR="00D7631D">
          <w:rPr>
            <w:webHidden/>
          </w:rPr>
          <w:fldChar w:fldCharType="begin"/>
        </w:r>
        <w:r w:rsidR="00D7631D">
          <w:rPr>
            <w:webHidden/>
          </w:rPr>
          <w:instrText xml:space="preserve"> PAGEREF _Toc26802486 \h </w:instrText>
        </w:r>
        <w:r w:rsidR="00D7631D">
          <w:rPr>
            <w:webHidden/>
          </w:rPr>
        </w:r>
        <w:r w:rsidR="00D7631D">
          <w:rPr>
            <w:webHidden/>
          </w:rPr>
          <w:fldChar w:fldCharType="separate"/>
        </w:r>
        <w:r w:rsidR="00105E80">
          <w:rPr>
            <w:webHidden/>
          </w:rPr>
          <w:t>15</w:t>
        </w:r>
        <w:r w:rsidR="00D7631D">
          <w:rPr>
            <w:webHidden/>
          </w:rPr>
          <w:fldChar w:fldCharType="end"/>
        </w:r>
      </w:hyperlink>
    </w:p>
    <w:p w14:paraId="4D98AEE9" w14:textId="2AEAF9B7" w:rsidR="00D7631D" w:rsidRDefault="00CB5E76">
      <w:pPr>
        <w:pStyle w:val="TOC1"/>
        <w:rPr>
          <w:rFonts w:asciiTheme="minorHAnsi" w:eastAsiaTheme="minorEastAsia" w:hAnsiTheme="minorHAnsi"/>
          <w:b w:val="0"/>
          <w:caps w:val="0"/>
          <w:color w:val="auto"/>
          <w:sz w:val="22"/>
          <w:lang w:val="en-AU" w:eastAsia="en-AU"/>
        </w:rPr>
      </w:pPr>
      <w:hyperlink w:anchor="_Toc26802487" w:history="1">
        <w:r w:rsidR="00D7631D" w:rsidRPr="001A0710">
          <w:rPr>
            <w:rStyle w:val="Hyperlink"/>
            <w:rFonts w:ascii="Calibri Light" w:hAnsi="Calibri Light"/>
          </w:rPr>
          <w:t>Annex 3: sIX STAGES OF THE PARTNERSHIP CYCLE</w:t>
        </w:r>
        <w:r w:rsidR="00D7631D">
          <w:rPr>
            <w:webHidden/>
          </w:rPr>
          <w:tab/>
        </w:r>
        <w:r w:rsidR="00D7631D">
          <w:rPr>
            <w:webHidden/>
          </w:rPr>
          <w:fldChar w:fldCharType="begin"/>
        </w:r>
        <w:r w:rsidR="00D7631D">
          <w:rPr>
            <w:webHidden/>
          </w:rPr>
          <w:instrText xml:space="preserve"> PAGEREF _Toc26802487 \h </w:instrText>
        </w:r>
        <w:r w:rsidR="00D7631D">
          <w:rPr>
            <w:webHidden/>
          </w:rPr>
        </w:r>
        <w:r w:rsidR="00D7631D">
          <w:rPr>
            <w:webHidden/>
          </w:rPr>
          <w:fldChar w:fldCharType="separate"/>
        </w:r>
        <w:r w:rsidR="00105E80">
          <w:rPr>
            <w:webHidden/>
          </w:rPr>
          <w:t>17</w:t>
        </w:r>
        <w:r w:rsidR="00D7631D">
          <w:rPr>
            <w:webHidden/>
          </w:rPr>
          <w:fldChar w:fldCharType="end"/>
        </w:r>
      </w:hyperlink>
    </w:p>
    <w:p w14:paraId="556D69D2" w14:textId="3859DE06" w:rsidR="00BC5F46" w:rsidRDefault="00BC5F46" w:rsidP="00BC5F46">
      <w:pPr>
        <w:pStyle w:val="BodyText"/>
      </w:pPr>
      <w:r w:rsidRPr="005B583F">
        <w:fldChar w:fldCharType="end"/>
      </w:r>
    </w:p>
    <w:p w14:paraId="61818CEE" w14:textId="77777777" w:rsidR="00BC5F46" w:rsidRDefault="00BC5F46" w:rsidP="00BC5F46">
      <w:pPr>
        <w:sectPr w:rsidR="00BC5F46" w:rsidSect="00D44758">
          <w:headerReference w:type="default" r:id="rId13"/>
          <w:footerReference w:type="default" r:id="rId14"/>
          <w:headerReference w:type="first" r:id="rId15"/>
          <w:footerReference w:type="first" r:id="rId16"/>
          <w:pgSz w:w="11906" w:h="16838" w:code="9"/>
          <w:pgMar w:top="1985" w:right="1134" w:bottom="1701" w:left="1134" w:header="567" w:footer="567" w:gutter="0"/>
          <w:pgNumType w:fmt="lowerRoman" w:start="1"/>
          <w:cols w:space="708"/>
          <w:titlePg/>
          <w:docGrid w:linePitch="360"/>
        </w:sectPr>
      </w:pPr>
    </w:p>
    <w:p w14:paraId="42087907" w14:textId="77777777" w:rsidR="00BC5F46" w:rsidRPr="00B841C3" w:rsidRDefault="00BC5F46" w:rsidP="00BC5F46">
      <w:pPr>
        <w:pStyle w:val="Heading2"/>
        <w:numPr>
          <w:ilvl w:val="0"/>
          <w:numId w:val="21"/>
        </w:numPr>
        <w:rPr>
          <w:b/>
        </w:rPr>
      </w:pPr>
      <w:bookmarkStart w:id="0" w:name="_Toc468889131"/>
      <w:bookmarkStart w:id="1" w:name="_Toc26802480"/>
      <w:r>
        <w:lastRenderedPageBreak/>
        <w:t>O</w:t>
      </w:r>
      <w:r w:rsidRPr="00B841C3">
        <w:t>verview</w:t>
      </w:r>
      <w:bookmarkEnd w:id="0"/>
      <w:bookmarkEnd w:id="1"/>
      <w:r w:rsidRPr="00B841C3">
        <w:t xml:space="preserve"> </w:t>
      </w:r>
    </w:p>
    <w:p w14:paraId="5A17D0F7" w14:textId="4469CFD9" w:rsidR="00BC5F46" w:rsidRDefault="00BC5F46" w:rsidP="00BC5F46">
      <w:pPr>
        <w:rPr>
          <w:rFonts w:cstheme="minorHAnsi"/>
        </w:rPr>
      </w:pPr>
      <w:r w:rsidRPr="009F0C7B">
        <w:rPr>
          <w:rFonts w:cstheme="minorHAnsi"/>
        </w:rPr>
        <w:t>Australia's aid policy</w:t>
      </w:r>
      <w:r w:rsidR="00F46058">
        <w:rPr>
          <w:rFonts w:cstheme="minorHAnsi"/>
        </w:rPr>
        <w:t xml:space="preserve"> </w:t>
      </w:r>
      <w:r>
        <w:rPr>
          <w:rFonts w:cstheme="minorHAnsi"/>
        </w:rPr>
        <w:t>requires</w:t>
      </w:r>
      <w:r w:rsidRPr="009F0C7B">
        <w:rPr>
          <w:rFonts w:cstheme="minorHAnsi"/>
        </w:rPr>
        <w:t xml:space="preserve"> all aid investments </w:t>
      </w:r>
      <w:r>
        <w:rPr>
          <w:rFonts w:cstheme="minorHAnsi"/>
        </w:rPr>
        <w:t xml:space="preserve">to </w:t>
      </w:r>
      <w:r w:rsidRPr="009F0C7B">
        <w:rPr>
          <w:rFonts w:cstheme="minorHAnsi"/>
        </w:rPr>
        <w:t xml:space="preserve">explore innovative ways to promote private sector growth </w:t>
      </w:r>
      <w:r>
        <w:rPr>
          <w:rFonts w:cstheme="minorHAnsi"/>
        </w:rPr>
        <w:t>and/</w:t>
      </w:r>
      <w:r w:rsidRPr="009F0C7B">
        <w:rPr>
          <w:rFonts w:cstheme="minorHAnsi"/>
        </w:rPr>
        <w:t xml:space="preserve">or </w:t>
      </w:r>
      <w:r>
        <w:rPr>
          <w:rFonts w:cstheme="minorHAnsi"/>
        </w:rPr>
        <w:t>to</w:t>
      </w:r>
      <w:r w:rsidRPr="009F0C7B">
        <w:rPr>
          <w:rFonts w:cstheme="minorHAnsi"/>
        </w:rPr>
        <w:t xml:space="preserve"> engage </w:t>
      </w:r>
      <w:r w:rsidR="00B9703F">
        <w:rPr>
          <w:rFonts w:cstheme="minorHAnsi"/>
        </w:rPr>
        <w:t xml:space="preserve">with </w:t>
      </w:r>
      <w:r w:rsidR="001B5A23">
        <w:rPr>
          <w:rFonts w:cstheme="minorHAnsi"/>
        </w:rPr>
        <w:t>the private sector</w:t>
      </w:r>
      <w:r w:rsidR="00B9703F">
        <w:rPr>
          <w:rFonts w:cstheme="minorHAnsi"/>
        </w:rPr>
        <w:t xml:space="preserve"> to achieve </w:t>
      </w:r>
      <w:r w:rsidRPr="009F0C7B">
        <w:rPr>
          <w:rFonts w:cstheme="minorHAnsi"/>
        </w:rPr>
        <w:t xml:space="preserve">development outcomes. </w:t>
      </w:r>
    </w:p>
    <w:p w14:paraId="5EB88240" w14:textId="77777777" w:rsidR="00BC5F46" w:rsidRDefault="00BC5F46" w:rsidP="00BC5F46">
      <w:pPr>
        <w:rPr>
          <w:rFonts w:cstheme="minorHAnsi"/>
        </w:rPr>
      </w:pPr>
      <w:r>
        <w:rPr>
          <w:rFonts w:ascii="Calibri Light" w:hAnsi="Calibri Light"/>
        </w:rPr>
        <w:t xml:space="preserve">Business partnerships are critical to narrowing the annual US$2.5 trillion investment gap to achieve the Sustainable Development Goals by 2030. </w:t>
      </w:r>
      <w:r>
        <w:rPr>
          <w:rFonts w:cstheme="minorHAnsi"/>
        </w:rPr>
        <w:t xml:space="preserve">Partnerships support Australia’s commitments to the Sustainable Development Goals, particularly SDG 8 – </w:t>
      </w:r>
      <w:hyperlink r:id="rId17" w:history="1">
        <w:r w:rsidRPr="00DD5629">
          <w:rPr>
            <w:rStyle w:val="Hyperlink"/>
            <w:color w:val="0070C0"/>
            <w:lang w:val="en-AU"/>
          </w:rPr>
          <w:t>Decent work and economic growth</w:t>
        </w:r>
      </w:hyperlink>
      <w:r w:rsidRPr="00DD5629">
        <w:rPr>
          <w:rStyle w:val="Hyperlink"/>
          <w:rFonts w:cstheme="minorHAnsi"/>
          <w:u w:val="none"/>
        </w:rPr>
        <w:t xml:space="preserve"> </w:t>
      </w:r>
      <w:r w:rsidRPr="00523093">
        <w:rPr>
          <w:rStyle w:val="Hyperlink"/>
          <w:rFonts w:cstheme="minorHAnsi"/>
          <w:u w:val="none"/>
        </w:rPr>
        <w:t xml:space="preserve">and SDG 17 </w:t>
      </w:r>
      <w:r w:rsidRPr="00DD5629">
        <w:rPr>
          <w:rStyle w:val="Hyperlink"/>
          <w:rFonts w:cstheme="minorHAnsi"/>
          <w:u w:val="none"/>
        </w:rPr>
        <w:t xml:space="preserve">– </w:t>
      </w:r>
      <w:hyperlink r:id="rId18" w:history="1">
        <w:r w:rsidRPr="00DD5629">
          <w:rPr>
            <w:rStyle w:val="Hyperlink"/>
            <w:color w:val="0070C0"/>
            <w:lang w:val="en-AU"/>
          </w:rPr>
          <w:t>Partnerships for the Goals</w:t>
        </w:r>
      </w:hyperlink>
      <w:r>
        <w:rPr>
          <w:rFonts w:cstheme="minorHAnsi"/>
          <w:i/>
        </w:rPr>
        <w:t xml:space="preserve">. </w:t>
      </w:r>
      <w:r w:rsidRPr="009F0C7B">
        <w:rPr>
          <w:rFonts w:cstheme="minorHAnsi"/>
        </w:rPr>
        <w:t xml:space="preserve">Working more closely with </w:t>
      </w:r>
      <w:r w:rsidR="00B9703F">
        <w:rPr>
          <w:rFonts w:cstheme="minorHAnsi"/>
        </w:rPr>
        <w:t xml:space="preserve">business </w:t>
      </w:r>
      <w:r w:rsidRPr="009F0C7B">
        <w:rPr>
          <w:rFonts w:cstheme="minorHAnsi"/>
        </w:rPr>
        <w:t xml:space="preserve">helps DFAT </w:t>
      </w:r>
      <w:r w:rsidR="00B9703F">
        <w:rPr>
          <w:rFonts w:cstheme="minorHAnsi"/>
        </w:rPr>
        <w:t xml:space="preserve">better understand what is happening in country, </w:t>
      </w:r>
      <w:r w:rsidRPr="009F0C7B">
        <w:rPr>
          <w:rFonts w:cstheme="minorHAnsi"/>
        </w:rPr>
        <w:t>promote</w:t>
      </w:r>
      <w:r w:rsidR="00B9703F">
        <w:rPr>
          <w:rFonts w:cstheme="minorHAnsi"/>
        </w:rPr>
        <w:t>s</w:t>
      </w:r>
      <w:r w:rsidRPr="009F0C7B">
        <w:rPr>
          <w:rFonts w:cstheme="minorHAnsi"/>
        </w:rPr>
        <w:t xml:space="preserve"> economic growth, reduce</w:t>
      </w:r>
      <w:r w:rsidR="00B9703F">
        <w:rPr>
          <w:rFonts w:cstheme="minorHAnsi"/>
        </w:rPr>
        <w:t>s</w:t>
      </w:r>
      <w:r w:rsidRPr="009F0C7B">
        <w:rPr>
          <w:rFonts w:cstheme="minorHAnsi"/>
        </w:rPr>
        <w:t xml:space="preserve"> poverty and transition</w:t>
      </w:r>
      <w:r w:rsidR="00B9703F">
        <w:rPr>
          <w:rFonts w:cstheme="minorHAnsi"/>
        </w:rPr>
        <w:t>s</w:t>
      </w:r>
      <w:r w:rsidRPr="009F0C7B">
        <w:rPr>
          <w:rFonts w:cstheme="minorHAnsi"/>
        </w:rPr>
        <w:t xml:space="preserve"> from aid relationships to economic partnerships with developing countries</w:t>
      </w:r>
      <w:r>
        <w:rPr>
          <w:rFonts w:cstheme="minorHAnsi"/>
        </w:rPr>
        <w:t xml:space="preserve">. </w:t>
      </w:r>
    </w:p>
    <w:p w14:paraId="6769A804" w14:textId="77777777" w:rsidR="00BC5F46" w:rsidRPr="009F0C7B" w:rsidRDefault="00BC5F46" w:rsidP="00BC5F46">
      <w:pPr>
        <w:rPr>
          <w:rFonts w:cstheme="minorHAnsi"/>
        </w:rPr>
      </w:pPr>
      <w:r>
        <w:t xml:space="preserve">Private </w:t>
      </w:r>
      <w:r w:rsidR="0026670E">
        <w:t>s</w:t>
      </w:r>
      <w:r>
        <w:t xml:space="preserve">ector </w:t>
      </w:r>
      <w:r w:rsidR="0026670E">
        <w:t>e</w:t>
      </w:r>
      <w:r>
        <w:t xml:space="preserve">ngagement will strengthen DFAT’s </w:t>
      </w:r>
      <w:r w:rsidR="00B9703F">
        <w:t xml:space="preserve">knowledge, </w:t>
      </w:r>
      <w:r>
        <w:t xml:space="preserve">capabilities, develop our culture and modernise our systems, embedding consistent approaches to partnership with business. It complements our existing engagements with governments and civil society and aligns with DFAT's Economic and Commercial Diplomacy Agenda, to amplify the impact of Australia's development assistance. </w:t>
      </w:r>
      <w:r>
        <w:rPr>
          <w:rFonts w:ascii="Calibri Light" w:hAnsi="Calibri Light"/>
        </w:rPr>
        <w:t xml:space="preserve">Working in partnership with private sector provides opportunities for staff to leverage partner resources and networks, </w:t>
      </w:r>
      <w:r w:rsidR="00A31357">
        <w:rPr>
          <w:rFonts w:ascii="Calibri Light" w:hAnsi="Calibri Light"/>
        </w:rPr>
        <w:t>co-develop solutions, and proactively</w:t>
      </w:r>
      <w:r w:rsidR="007559AC">
        <w:rPr>
          <w:rFonts w:ascii="Calibri Light" w:hAnsi="Calibri Light"/>
        </w:rPr>
        <w:t xml:space="preserve"> manage risks</w:t>
      </w:r>
      <w:r>
        <w:rPr>
          <w:rFonts w:ascii="Calibri Light" w:hAnsi="Calibri Light"/>
        </w:rPr>
        <w:t xml:space="preserve">. </w:t>
      </w:r>
    </w:p>
    <w:p w14:paraId="5B5F8854" w14:textId="37509882" w:rsidR="00BC5F46" w:rsidRDefault="00BC5F46" w:rsidP="00BC5F46">
      <w:pPr>
        <w:rPr>
          <w:rFonts w:cstheme="minorHAnsi"/>
        </w:rPr>
      </w:pPr>
      <w:r>
        <w:rPr>
          <w:rFonts w:cstheme="minorHAnsi"/>
        </w:rPr>
        <w:t>Engaging with the p</w:t>
      </w:r>
      <w:r w:rsidRPr="009F0C7B">
        <w:rPr>
          <w:rFonts w:cstheme="minorHAnsi"/>
        </w:rPr>
        <w:t xml:space="preserve">rivate sector </w:t>
      </w:r>
      <w:r>
        <w:rPr>
          <w:rFonts w:cstheme="minorHAnsi"/>
        </w:rPr>
        <w:t xml:space="preserve">can </w:t>
      </w:r>
      <w:r w:rsidR="00A54E7A">
        <w:rPr>
          <w:rFonts w:cstheme="minorHAnsi"/>
        </w:rPr>
        <w:t xml:space="preserve">better </w:t>
      </w:r>
      <w:r>
        <w:rPr>
          <w:rFonts w:cstheme="minorHAnsi"/>
        </w:rPr>
        <w:t xml:space="preserve">support the Department to </w:t>
      </w:r>
      <w:r w:rsidR="00A54E7A">
        <w:rPr>
          <w:rFonts w:cstheme="minorHAnsi"/>
        </w:rPr>
        <w:t xml:space="preserve">design </w:t>
      </w:r>
      <w:r>
        <w:rPr>
          <w:rFonts w:cstheme="minorHAnsi"/>
        </w:rPr>
        <w:t>and achieve its</w:t>
      </w:r>
      <w:r w:rsidRPr="009F0C7B">
        <w:rPr>
          <w:rFonts w:cstheme="minorHAnsi"/>
        </w:rPr>
        <w:t xml:space="preserve"> Aid Investment Plan (AIP) </w:t>
      </w:r>
      <w:r>
        <w:rPr>
          <w:rFonts w:cstheme="minorHAnsi"/>
        </w:rPr>
        <w:t>objectives and build an awareness of the private sector environment in-country</w:t>
      </w:r>
      <w:r w:rsidRPr="009F0C7B">
        <w:rPr>
          <w:rFonts w:cstheme="minorHAnsi"/>
        </w:rPr>
        <w:t xml:space="preserve">. </w:t>
      </w:r>
      <w:r>
        <w:rPr>
          <w:rFonts w:cstheme="minorHAnsi"/>
        </w:rPr>
        <w:t xml:space="preserve">Including the </w:t>
      </w:r>
      <w:r w:rsidRPr="009F0C7B">
        <w:rPr>
          <w:rFonts w:cstheme="minorHAnsi"/>
        </w:rPr>
        <w:t xml:space="preserve">private sector in the program planning and design phase </w:t>
      </w:r>
      <w:r>
        <w:rPr>
          <w:rFonts w:cstheme="minorHAnsi"/>
        </w:rPr>
        <w:t xml:space="preserve">of an investment </w:t>
      </w:r>
      <w:r w:rsidRPr="009F0C7B">
        <w:rPr>
          <w:rFonts w:cstheme="minorHAnsi"/>
        </w:rPr>
        <w:t>allow</w:t>
      </w:r>
      <w:r>
        <w:rPr>
          <w:rFonts w:cstheme="minorHAnsi"/>
        </w:rPr>
        <w:t>s</w:t>
      </w:r>
      <w:r w:rsidRPr="009F0C7B">
        <w:rPr>
          <w:rFonts w:cstheme="minorHAnsi"/>
        </w:rPr>
        <w:t xml:space="preserve"> DFAT to harness </w:t>
      </w:r>
      <w:r w:rsidR="00A54E7A">
        <w:rPr>
          <w:rFonts w:cstheme="minorHAnsi"/>
        </w:rPr>
        <w:t xml:space="preserve">its </w:t>
      </w:r>
      <w:r>
        <w:rPr>
          <w:rFonts w:cstheme="minorHAnsi"/>
        </w:rPr>
        <w:t>unique</w:t>
      </w:r>
      <w:r w:rsidRPr="009F0C7B">
        <w:rPr>
          <w:rFonts w:cstheme="minorHAnsi"/>
        </w:rPr>
        <w:t xml:space="preserve"> </w:t>
      </w:r>
      <w:r>
        <w:rPr>
          <w:rFonts w:cstheme="minorHAnsi"/>
        </w:rPr>
        <w:t>resources</w:t>
      </w:r>
      <w:r w:rsidRPr="009F0C7B">
        <w:rPr>
          <w:rFonts w:cstheme="minorHAnsi"/>
        </w:rPr>
        <w:t>, innovation, knowledge and connections</w:t>
      </w:r>
      <w:r>
        <w:rPr>
          <w:rFonts w:cstheme="minorHAnsi"/>
        </w:rPr>
        <w:t>, providing additional value to the Department.</w:t>
      </w:r>
      <w:r w:rsidRPr="009F0C7B">
        <w:rPr>
          <w:rFonts w:cstheme="minorHAnsi"/>
        </w:rPr>
        <w:t xml:space="preserve"> </w:t>
      </w:r>
      <w:r>
        <w:rPr>
          <w:rFonts w:cstheme="minorHAnsi"/>
        </w:rPr>
        <w:t>Innovative</w:t>
      </w:r>
      <w:r w:rsidRPr="009F0C7B">
        <w:rPr>
          <w:rFonts w:cstheme="minorHAnsi"/>
        </w:rPr>
        <w:t xml:space="preserve"> ideas, </w:t>
      </w:r>
      <w:r>
        <w:rPr>
          <w:rFonts w:cstheme="minorHAnsi"/>
        </w:rPr>
        <w:t>combined</w:t>
      </w:r>
      <w:r w:rsidRPr="009F0C7B">
        <w:rPr>
          <w:rFonts w:cstheme="minorHAnsi"/>
        </w:rPr>
        <w:t xml:space="preserve"> with DFAT’s </w:t>
      </w:r>
      <w:r>
        <w:rPr>
          <w:rFonts w:cstheme="minorHAnsi"/>
        </w:rPr>
        <w:t>networks</w:t>
      </w:r>
      <w:r w:rsidRPr="009F0C7B">
        <w:rPr>
          <w:rFonts w:cstheme="minorHAnsi"/>
        </w:rPr>
        <w:t xml:space="preserve"> and capabilities</w:t>
      </w:r>
      <w:r>
        <w:rPr>
          <w:rFonts w:cstheme="minorHAnsi"/>
        </w:rPr>
        <w:t>,</w:t>
      </w:r>
      <w:r w:rsidRPr="009F0C7B">
        <w:rPr>
          <w:rFonts w:cstheme="minorHAnsi"/>
        </w:rPr>
        <w:t xml:space="preserve"> </w:t>
      </w:r>
      <w:r>
        <w:rPr>
          <w:rFonts w:cstheme="minorHAnsi"/>
        </w:rPr>
        <w:t>can</w:t>
      </w:r>
      <w:r w:rsidRPr="009F0C7B">
        <w:rPr>
          <w:rFonts w:cstheme="minorHAnsi"/>
        </w:rPr>
        <w:t xml:space="preserve"> maximise the impact of investments. Engaging the private sector </w:t>
      </w:r>
      <w:r>
        <w:rPr>
          <w:rFonts w:cstheme="minorHAnsi"/>
        </w:rPr>
        <w:t xml:space="preserve">in concept, design, </w:t>
      </w:r>
      <w:proofErr w:type="gramStart"/>
      <w:r>
        <w:rPr>
          <w:rFonts w:cstheme="minorHAnsi"/>
        </w:rPr>
        <w:t>implementation</w:t>
      </w:r>
      <w:proofErr w:type="gramEnd"/>
      <w:r>
        <w:rPr>
          <w:rFonts w:cstheme="minorHAnsi"/>
        </w:rPr>
        <w:t xml:space="preserve"> and performance management </w:t>
      </w:r>
      <w:r w:rsidRPr="009F0C7B">
        <w:rPr>
          <w:rFonts w:cstheme="minorHAnsi"/>
        </w:rPr>
        <w:t>provides the Department with additional delivery partners beyond traditional partn</w:t>
      </w:r>
      <w:r>
        <w:rPr>
          <w:rFonts w:cstheme="minorHAnsi"/>
        </w:rPr>
        <w:t xml:space="preserve">ers, presenting value for money, </w:t>
      </w:r>
      <w:r w:rsidRPr="009F0C7B">
        <w:rPr>
          <w:rFonts w:cstheme="minorHAnsi"/>
        </w:rPr>
        <w:t>effectiveness</w:t>
      </w:r>
      <w:r w:rsidR="0065317C">
        <w:rPr>
          <w:rFonts w:cstheme="minorHAnsi"/>
        </w:rPr>
        <w:t>, opportunities for scale</w:t>
      </w:r>
      <w:r>
        <w:rPr>
          <w:rFonts w:cstheme="minorHAnsi"/>
        </w:rPr>
        <w:t xml:space="preserve"> and new ways of working</w:t>
      </w:r>
      <w:r w:rsidRPr="009F0C7B">
        <w:rPr>
          <w:rFonts w:cstheme="minorHAnsi"/>
        </w:rPr>
        <w:t xml:space="preserve">. The private sector is well suited to implementing particular types of </w:t>
      </w:r>
      <w:r>
        <w:rPr>
          <w:rFonts w:cstheme="minorHAnsi"/>
        </w:rPr>
        <w:t>development assistance</w:t>
      </w:r>
      <w:r w:rsidRPr="009F0C7B">
        <w:rPr>
          <w:rFonts w:cstheme="minorHAnsi"/>
        </w:rPr>
        <w:t xml:space="preserve"> investments where there is alignment with their core business objectives or a</w:t>
      </w:r>
      <w:r>
        <w:rPr>
          <w:rFonts w:cstheme="minorHAnsi"/>
        </w:rPr>
        <w:t xml:space="preserve">reas where they have expertise. </w:t>
      </w:r>
    </w:p>
    <w:p w14:paraId="79A3B2BC" w14:textId="187A9CBB" w:rsidR="00BC5F46" w:rsidRDefault="00BC5F46" w:rsidP="00BC5F46">
      <w:pPr>
        <w:suppressAutoHyphens w:val="0"/>
        <w:spacing w:before="0" w:after="150" w:line="240" w:lineRule="auto"/>
        <w:rPr>
          <w:rFonts w:cstheme="minorHAnsi"/>
        </w:rPr>
      </w:pPr>
      <w:r w:rsidRPr="009F0C7B">
        <w:rPr>
          <w:rFonts w:cstheme="minorHAnsi"/>
        </w:rPr>
        <w:t xml:space="preserve">This guidance note provides practical information </w:t>
      </w:r>
      <w:r>
        <w:rPr>
          <w:rFonts w:cstheme="minorHAnsi"/>
        </w:rPr>
        <w:t xml:space="preserve">and examples to assist DFAT </w:t>
      </w:r>
      <w:r w:rsidRPr="009F0C7B">
        <w:rPr>
          <w:rFonts w:cstheme="minorHAnsi"/>
        </w:rPr>
        <w:t xml:space="preserve">staff </w:t>
      </w:r>
      <w:r>
        <w:rPr>
          <w:rFonts w:cstheme="minorHAnsi"/>
        </w:rPr>
        <w:t xml:space="preserve">to explore </w:t>
      </w:r>
      <w:r w:rsidRPr="009F0C7B">
        <w:rPr>
          <w:rFonts w:cstheme="minorHAnsi"/>
        </w:rPr>
        <w:t xml:space="preserve">opportunities to </w:t>
      </w:r>
      <w:r>
        <w:rPr>
          <w:rFonts w:cstheme="minorHAnsi"/>
        </w:rPr>
        <w:t xml:space="preserve">work with the </w:t>
      </w:r>
      <w:r w:rsidRPr="009F0C7B">
        <w:rPr>
          <w:rFonts w:cstheme="minorHAnsi"/>
        </w:rPr>
        <w:t>private sector</w:t>
      </w:r>
      <w:r>
        <w:rPr>
          <w:rFonts w:cstheme="minorHAnsi"/>
        </w:rPr>
        <w:t>. The aim is to enhance</w:t>
      </w:r>
      <w:r w:rsidRPr="009F0C7B">
        <w:rPr>
          <w:rFonts w:cstheme="minorHAnsi"/>
        </w:rPr>
        <w:t xml:space="preserve"> </w:t>
      </w:r>
      <w:r>
        <w:rPr>
          <w:rFonts w:cstheme="minorHAnsi"/>
        </w:rPr>
        <w:t xml:space="preserve">Australia’s economic and </w:t>
      </w:r>
      <w:r w:rsidRPr="009F0C7B">
        <w:rPr>
          <w:rFonts w:cstheme="minorHAnsi"/>
        </w:rPr>
        <w:t xml:space="preserve">development outcomes </w:t>
      </w:r>
      <w:r>
        <w:rPr>
          <w:rFonts w:cstheme="minorHAnsi"/>
        </w:rPr>
        <w:t>as a result of our engagement with the private sector. In conjunction with the</w:t>
      </w:r>
      <w:r w:rsidR="00B01460">
        <w:rPr>
          <w:rFonts w:cstheme="minorHAnsi"/>
        </w:rPr>
        <w:t xml:space="preserve"> </w:t>
      </w:r>
      <w:hyperlink r:id="rId19" w:history="1">
        <w:r w:rsidR="00B01460" w:rsidRPr="00C4262C">
          <w:rPr>
            <w:rStyle w:val="Hyperlink"/>
            <w:rFonts w:cstheme="minorBidi"/>
            <w:color w:val="0070C0"/>
          </w:rPr>
          <w:t>Ministerial Statement on Engaging the Private Sector in Aid and Development</w:t>
        </w:r>
        <w:r w:rsidR="00B01460" w:rsidRPr="00212DCF">
          <w:rPr>
            <w:rStyle w:val="Hyperlink"/>
            <w:rFonts w:cstheme="minorBidi"/>
            <w:i/>
            <w:color w:val="0070C0"/>
          </w:rPr>
          <w:t> </w:t>
        </w:r>
      </w:hyperlink>
      <w:r w:rsidR="00B01460" w:rsidRPr="00B01460">
        <w:rPr>
          <w:rFonts w:cstheme="minorHAnsi"/>
        </w:rPr>
        <w:t>and the</w:t>
      </w:r>
      <w:r w:rsidR="00B01460" w:rsidRPr="00212DCF">
        <w:rPr>
          <w:i/>
        </w:rPr>
        <w:t> </w:t>
      </w:r>
      <w:hyperlink r:id="rId20" w:history="1">
        <w:r w:rsidRPr="00CB5E76">
          <w:rPr>
            <w:rStyle w:val="Hyperlink"/>
            <w:lang w:val="en-AU"/>
          </w:rPr>
          <w:t>Operational Framework for Private Sector Engagement</w:t>
        </w:r>
        <w:r w:rsidR="0026670E" w:rsidRPr="00CB5E76">
          <w:rPr>
            <w:rStyle w:val="Hyperlink"/>
            <w:lang w:val="en-AU"/>
          </w:rPr>
          <w:t xml:space="preserve"> in Australia’s Aid Program</w:t>
        </w:r>
      </w:hyperlink>
      <w:r>
        <w:rPr>
          <w:rFonts w:cstheme="minorHAnsi"/>
        </w:rPr>
        <w:t xml:space="preserve">, this guidance note aims to embed consistent approaches to partnership with business for </w:t>
      </w:r>
      <w:r w:rsidR="0026670E">
        <w:rPr>
          <w:rFonts w:cstheme="minorHAnsi"/>
        </w:rPr>
        <w:t xml:space="preserve">sustainable </w:t>
      </w:r>
      <w:r>
        <w:rPr>
          <w:rFonts w:cstheme="minorHAnsi"/>
        </w:rPr>
        <w:t>development outcomes</w:t>
      </w:r>
      <w:r w:rsidR="00A54E7A">
        <w:rPr>
          <w:rFonts w:cstheme="minorHAnsi"/>
        </w:rPr>
        <w:t xml:space="preserve"> in our national interest</w:t>
      </w:r>
      <w:r>
        <w:rPr>
          <w:rFonts w:cstheme="minorHAnsi"/>
        </w:rPr>
        <w:t xml:space="preserve">. </w:t>
      </w:r>
    </w:p>
    <w:p w14:paraId="688F8649" w14:textId="77777777" w:rsidR="00DC532E" w:rsidRDefault="00DC532E" w:rsidP="00BC5F46">
      <w:pPr>
        <w:suppressAutoHyphens w:val="0"/>
        <w:spacing w:before="0" w:after="150" w:line="240" w:lineRule="auto"/>
        <w:rPr>
          <w:rFonts w:cstheme="minorHAnsi"/>
        </w:rPr>
      </w:pPr>
    </w:p>
    <w:p w14:paraId="180CBF6D" w14:textId="77777777" w:rsidR="00BC5F46" w:rsidRPr="00D44758" w:rsidRDefault="00BC5F46" w:rsidP="00BC5F46">
      <w:pPr>
        <w:pStyle w:val="Box2Heading"/>
        <w:spacing w:before="40"/>
      </w:pPr>
      <w:r>
        <w:tab/>
      </w:r>
      <w:r>
        <w:rPr>
          <w:noProof/>
          <w:lang w:eastAsia="en-AU"/>
        </w:rPr>
        <w:drawing>
          <wp:anchor distT="0" distB="0" distL="114300" distR="114300" simplePos="0" relativeHeight="251664384" behindDoc="0" locked="1" layoutInCell="1" allowOverlap="1" wp14:anchorId="45EF5D1B" wp14:editId="5A09FD3A">
            <wp:simplePos x="0" y="0"/>
            <wp:positionH relativeFrom="column">
              <wp:posOffset>180340</wp:posOffset>
            </wp:positionH>
            <wp:positionV relativeFrom="line">
              <wp:posOffset>248285</wp:posOffset>
            </wp:positionV>
            <wp:extent cx="410845" cy="523240"/>
            <wp:effectExtent l="0" t="0" r="8255" b="0"/>
            <wp:wrapNone/>
            <wp:docPr id="3" name="Picture 3" descr="Key resources" title="Ke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con-01-Key_Message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0845" cy="523240"/>
                    </a:xfrm>
                    <a:prstGeom prst="rect">
                      <a:avLst/>
                    </a:prstGeom>
                  </pic:spPr>
                </pic:pic>
              </a:graphicData>
            </a:graphic>
            <wp14:sizeRelH relativeFrom="margin">
              <wp14:pctWidth>0</wp14:pctWidth>
            </wp14:sizeRelH>
            <wp14:sizeRelV relativeFrom="margin">
              <wp14:pctHeight>0</wp14:pctHeight>
            </wp14:sizeRelV>
          </wp:anchor>
        </w:drawing>
      </w:r>
      <w:r w:rsidRPr="00D44758">
        <w:t>Key resources</w:t>
      </w:r>
    </w:p>
    <w:p w14:paraId="072FD23D" w14:textId="77777777" w:rsidR="001B5A23" w:rsidRDefault="00BC5F46" w:rsidP="00BC5F46">
      <w:pPr>
        <w:pStyle w:val="Box2Text"/>
      </w:pPr>
      <w:r>
        <w:tab/>
      </w:r>
      <w:r w:rsidRPr="00C91400">
        <w:t xml:space="preserve">The </w:t>
      </w:r>
      <w:hyperlink r:id="rId22" w:history="1">
        <w:r w:rsidRPr="00C4262C">
          <w:rPr>
            <w:rStyle w:val="Hyperlink"/>
            <w:color w:val="0070C0"/>
          </w:rPr>
          <w:t>Operational Framework for Private Sector Engagement</w:t>
        </w:r>
      </w:hyperlink>
      <w:r w:rsidR="0026670E">
        <w:rPr>
          <w:rStyle w:val="Hyperlink"/>
          <w:color w:val="0070C0"/>
        </w:rPr>
        <w:t xml:space="preserve"> in Australia’s Aid Program</w:t>
      </w:r>
      <w:r w:rsidRPr="00C91400">
        <w:t xml:space="preserve"> </w:t>
      </w:r>
      <w:r>
        <w:t xml:space="preserve">sets out how DFAT is </w:t>
      </w:r>
      <w:r w:rsidRPr="00C91400">
        <w:t>strengthen</w:t>
      </w:r>
      <w:r>
        <w:t xml:space="preserve">ing its </w:t>
      </w:r>
      <w:r w:rsidRPr="00C91400">
        <w:t>capabilities, develop</w:t>
      </w:r>
      <w:r>
        <w:t xml:space="preserve">ing a partnership </w:t>
      </w:r>
      <w:r w:rsidRPr="00C91400">
        <w:t>culture and modernis</w:t>
      </w:r>
      <w:r>
        <w:t xml:space="preserve">ing </w:t>
      </w:r>
      <w:r w:rsidRPr="00C91400">
        <w:t>systems</w:t>
      </w:r>
      <w:r>
        <w:t xml:space="preserve"> to improve engagement with business</w:t>
      </w:r>
      <w:r w:rsidRPr="00C91400">
        <w:t xml:space="preserve">. It complements our existing engagements with governments and civil society and aligns with DFAT's Economic and Commercial Diplomacy Agenda, to amplify the </w:t>
      </w:r>
      <w:r w:rsidR="001B5A23">
        <w:t>i</w:t>
      </w:r>
      <w:r w:rsidRPr="00C91400">
        <w:t xml:space="preserve">mpact of Australia's development assistance. </w:t>
      </w:r>
    </w:p>
    <w:p w14:paraId="17F7578B" w14:textId="7B9F77D4" w:rsidR="00BC5F46" w:rsidRPr="00DC532E" w:rsidRDefault="00A31357" w:rsidP="00DC532E">
      <w:pPr>
        <w:pStyle w:val="Box2Text"/>
      </w:pPr>
      <w:r>
        <w:tab/>
        <w:t>Resources on approaches to private sector engagement, and supporting case studies</w:t>
      </w:r>
      <w:r w:rsidR="009356EC">
        <w:t xml:space="preserve"> providing lessons learned and best practice</w:t>
      </w:r>
      <w:r>
        <w:t xml:space="preserve">, can be found on the </w:t>
      </w:r>
      <w:bookmarkStart w:id="2" w:name="_Hlk24996463"/>
      <w:r w:rsidR="001B5A23" w:rsidRPr="001B5A23">
        <w:rPr>
          <w:rStyle w:val="Hyperlink"/>
          <w:rFonts w:cstheme="minorBidi"/>
          <w:color w:val="0070C0"/>
        </w:rPr>
        <w:fldChar w:fldCharType="begin"/>
      </w:r>
      <w:r w:rsidR="001B5A23" w:rsidRPr="001B5A23">
        <w:rPr>
          <w:rStyle w:val="Hyperlink"/>
          <w:rFonts w:cstheme="minorBidi"/>
          <w:color w:val="0070C0"/>
        </w:rPr>
        <w:instrText xml:space="preserve"> HYPERLINK "http://dfatintranet.titan.satin.lo/external-engagement/private-sector-engagement/Pages/default.aspx" </w:instrText>
      </w:r>
      <w:r w:rsidR="001B5A23" w:rsidRPr="001B5A23">
        <w:rPr>
          <w:rStyle w:val="Hyperlink"/>
          <w:rFonts w:cstheme="minorBidi"/>
          <w:color w:val="0070C0"/>
        </w:rPr>
        <w:fldChar w:fldCharType="separate"/>
      </w:r>
      <w:r w:rsidRPr="001B5A23">
        <w:rPr>
          <w:rStyle w:val="Hyperlink"/>
          <w:rFonts w:cstheme="minorBidi"/>
          <w:color w:val="0070C0"/>
        </w:rPr>
        <w:t>Privat</w:t>
      </w:r>
      <w:r w:rsidR="00153109">
        <w:rPr>
          <w:rStyle w:val="Hyperlink"/>
          <w:rFonts w:cstheme="minorBidi"/>
          <w:color w:val="0070C0"/>
        </w:rPr>
        <w:t xml:space="preserve">e Sector </w:t>
      </w:r>
      <w:r w:rsidRPr="001B5A23">
        <w:rPr>
          <w:rStyle w:val="Hyperlink"/>
          <w:rFonts w:cstheme="minorBidi"/>
          <w:color w:val="0070C0"/>
        </w:rPr>
        <w:t>Engagement</w:t>
      </w:r>
      <w:bookmarkEnd w:id="2"/>
      <w:r w:rsidRPr="001B5A23">
        <w:rPr>
          <w:rStyle w:val="Hyperlink"/>
          <w:rFonts w:cstheme="minorBidi"/>
          <w:color w:val="0070C0"/>
        </w:rPr>
        <w:t xml:space="preserve"> intranet page</w:t>
      </w:r>
      <w:r w:rsidR="001B5A23" w:rsidRPr="001B5A23">
        <w:rPr>
          <w:rStyle w:val="Hyperlink"/>
          <w:rFonts w:cstheme="minorBidi"/>
          <w:color w:val="0070C0"/>
        </w:rPr>
        <w:fldChar w:fldCharType="end"/>
      </w:r>
      <w:r>
        <w:t xml:space="preserve">. </w:t>
      </w:r>
      <w:r w:rsidR="00BC5F46" w:rsidRPr="008307FE">
        <w:rPr>
          <w:i/>
        </w:rPr>
        <w:t xml:space="preserve"> </w:t>
      </w:r>
    </w:p>
    <w:p w14:paraId="06E61FC1" w14:textId="77777777" w:rsidR="00BC5F46" w:rsidRPr="009F0C7B" w:rsidRDefault="00BC5F46" w:rsidP="00BC5F46">
      <w:pPr>
        <w:pStyle w:val="Heading3"/>
        <w:spacing w:before="240"/>
      </w:pPr>
      <w:r w:rsidRPr="009F0C7B">
        <w:lastRenderedPageBreak/>
        <w:t>Private Sector Engagement</w:t>
      </w:r>
    </w:p>
    <w:p w14:paraId="455CE1B1" w14:textId="77777777" w:rsidR="00BC5F46" w:rsidRPr="009F0C7B" w:rsidRDefault="00BC5F46" w:rsidP="00BC5F46">
      <w:pPr>
        <w:rPr>
          <w:rFonts w:cstheme="minorHAnsi"/>
        </w:rPr>
      </w:pPr>
      <w:r w:rsidRPr="009F0C7B">
        <w:rPr>
          <w:rFonts w:cstheme="minorHAnsi"/>
        </w:rPr>
        <w:t>Private sector engagement</w:t>
      </w:r>
      <w:r>
        <w:rPr>
          <w:rFonts w:cstheme="minorHAnsi"/>
        </w:rPr>
        <w:t xml:space="preserve"> (PSE)</w:t>
      </w:r>
      <w:r w:rsidRPr="009F0C7B">
        <w:rPr>
          <w:rFonts w:cstheme="minorHAnsi"/>
        </w:rPr>
        <w:t xml:space="preserve"> </w:t>
      </w:r>
      <w:r>
        <w:rPr>
          <w:rFonts w:cstheme="minorHAnsi"/>
        </w:rPr>
        <w:t>refers to working with commercial enterprises to achieve a particular development outcome</w:t>
      </w:r>
      <w:r w:rsidR="00A31357">
        <w:rPr>
          <w:rStyle w:val="FootnoteReference"/>
          <w:rFonts w:cstheme="minorHAnsi"/>
        </w:rPr>
        <w:footnoteReference w:id="2"/>
      </w:r>
      <w:r>
        <w:rPr>
          <w:rFonts w:cstheme="minorHAnsi"/>
        </w:rPr>
        <w:t>. These commercial entities include informal sector micro-enterprises (like farmers and street traders), start-ups and social enterprises, small and medium-sized enterprises, large locally-owned companies and multinational conglomerates, and investors, funds and intermediaries. PSE is an approach</w:t>
      </w:r>
      <w:r w:rsidRPr="009F0C7B">
        <w:rPr>
          <w:rFonts w:cstheme="minorHAnsi"/>
        </w:rPr>
        <w:t xml:space="preserve"> that DFAT can use to achieve </w:t>
      </w:r>
      <w:r w:rsidR="009A1CEB">
        <w:rPr>
          <w:rFonts w:cstheme="minorHAnsi"/>
        </w:rPr>
        <w:t>increased</w:t>
      </w:r>
      <w:r w:rsidR="009A1CEB" w:rsidRPr="009F0C7B">
        <w:rPr>
          <w:rFonts w:cstheme="minorHAnsi"/>
        </w:rPr>
        <w:t xml:space="preserve"> </w:t>
      </w:r>
      <w:r w:rsidRPr="009F0C7B">
        <w:rPr>
          <w:rFonts w:cstheme="minorHAnsi"/>
        </w:rPr>
        <w:t xml:space="preserve">development outcomes in </w:t>
      </w:r>
      <w:r>
        <w:rPr>
          <w:rFonts w:cstheme="minorHAnsi"/>
        </w:rPr>
        <w:t>both economic</w:t>
      </w:r>
      <w:r w:rsidRPr="009F0C7B">
        <w:rPr>
          <w:rFonts w:cstheme="minorHAnsi"/>
        </w:rPr>
        <w:t xml:space="preserve"> and human development. </w:t>
      </w:r>
      <w:r>
        <w:rPr>
          <w:rFonts w:cstheme="minorHAnsi"/>
        </w:rPr>
        <w:t xml:space="preserve">Engagement can range from </w:t>
      </w:r>
      <w:r w:rsidRPr="00041596">
        <w:t>dialogue</w:t>
      </w:r>
      <w:r w:rsidRPr="009F0C7B">
        <w:rPr>
          <w:rFonts w:cstheme="minorHAnsi"/>
        </w:rPr>
        <w:t xml:space="preserve"> to </w:t>
      </w:r>
      <w:r>
        <w:rPr>
          <w:rFonts w:cstheme="minorHAnsi"/>
        </w:rPr>
        <w:t xml:space="preserve">co-design, procurement </w:t>
      </w:r>
      <w:r w:rsidRPr="009F0C7B">
        <w:rPr>
          <w:rFonts w:cstheme="minorHAnsi"/>
        </w:rPr>
        <w:t>to partnerships</w:t>
      </w:r>
      <w:r>
        <w:rPr>
          <w:rFonts w:cstheme="minorHAnsi"/>
        </w:rPr>
        <w:t xml:space="preserve"> and can be led by DFAT, the private sector or co-created</w:t>
      </w:r>
      <w:r w:rsidRPr="009F0C7B">
        <w:rPr>
          <w:rFonts w:cstheme="minorHAnsi"/>
        </w:rPr>
        <w:t xml:space="preserve">. Private sector engagement allows DFAT to </w:t>
      </w:r>
      <w:r>
        <w:rPr>
          <w:rFonts w:cstheme="minorHAnsi"/>
        </w:rPr>
        <w:t>gain</w:t>
      </w:r>
      <w:r w:rsidRPr="009F0C7B">
        <w:rPr>
          <w:rFonts w:cstheme="minorHAnsi"/>
        </w:rPr>
        <w:t xml:space="preserve"> better insights into the drivers and constraints facing business in the countries in which we work, allowing us to more effectively </w:t>
      </w:r>
      <w:r>
        <w:rPr>
          <w:rFonts w:cstheme="minorHAnsi"/>
        </w:rPr>
        <w:t>develop programs that drive private</w:t>
      </w:r>
      <w:r>
        <w:rPr>
          <w:rFonts w:cstheme="minorHAnsi"/>
        </w:rPr>
        <w:noBreakHyphen/>
      </w:r>
      <w:r w:rsidRPr="009F0C7B">
        <w:rPr>
          <w:rFonts w:cstheme="minorHAnsi"/>
        </w:rPr>
        <w:t>sector</w:t>
      </w:r>
      <w:r>
        <w:rPr>
          <w:rFonts w:cstheme="minorHAnsi"/>
        </w:rPr>
        <w:t>-</w:t>
      </w:r>
      <w:r w:rsidRPr="009F0C7B">
        <w:rPr>
          <w:rFonts w:cstheme="minorHAnsi"/>
        </w:rPr>
        <w:t>led economic growth</w:t>
      </w:r>
      <w:r>
        <w:rPr>
          <w:rFonts w:cstheme="minorHAnsi"/>
        </w:rPr>
        <w:t xml:space="preserve"> and address social issues. </w:t>
      </w:r>
    </w:p>
    <w:p w14:paraId="174B0E15" w14:textId="2D9CFE2A" w:rsidR="009A1CEB" w:rsidRDefault="00BC5F46" w:rsidP="00BC5F46">
      <w:pPr>
        <w:pStyle w:val="CommentText"/>
        <w:rPr>
          <w:rFonts w:cstheme="minorHAnsi"/>
          <w:sz w:val="22"/>
          <w:szCs w:val="22"/>
        </w:rPr>
      </w:pPr>
      <w:r w:rsidRPr="006F191E">
        <w:rPr>
          <w:rFonts w:cstheme="minorHAnsi"/>
          <w:sz w:val="22"/>
          <w:szCs w:val="22"/>
        </w:rPr>
        <w:t xml:space="preserve">Different stakeholders will have different motivations for working with each other but it is important that each stakeholder has complementary priorities and mutual </w:t>
      </w:r>
      <w:r w:rsidR="00A54E7A">
        <w:rPr>
          <w:rFonts w:cstheme="minorHAnsi"/>
          <w:sz w:val="22"/>
          <w:szCs w:val="22"/>
        </w:rPr>
        <w:t xml:space="preserve">beneficial </w:t>
      </w:r>
      <w:r w:rsidRPr="006F191E">
        <w:rPr>
          <w:rFonts w:cstheme="minorHAnsi"/>
          <w:sz w:val="22"/>
          <w:szCs w:val="22"/>
        </w:rPr>
        <w:t>outcomes, and invest in areas where they have a strategic advantage. The</w:t>
      </w:r>
      <w:r>
        <w:rPr>
          <w:rFonts w:cstheme="minorHAnsi"/>
          <w:sz w:val="22"/>
          <w:szCs w:val="22"/>
        </w:rPr>
        <w:t xml:space="preserve"> different</w:t>
      </w:r>
      <w:r w:rsidRPr="006F191E">
        <w:rPr>
          <w:rFonts w:cstheme="minorHAnsi"/>
          <w:sz w:val="22"/>
          <w:szCs w:val="22"/>
        </w:rPr>
        <w:t xml:space="preserve"> types of engagement DFAT has with the private sector can be differentiated between </w:t>
      </w:r>
      <w:r w:rsidRPr="006F191E">
        <w:rPr>
          <w:rFonts w:cstheme="minorHAnsi"/>
          <w:b/>
          <w:sz w:val="22"/>
          <w:szCs w:val="22"/>
        </w:rPr>
        <w:t>collaboration</w:t>
      </w:r>
      <w:r w:rsidRPr="006F191E">
        <w:rPr>
          <w:rFonts w:cstheme="minorHAnsi"/>
          <w:sz w:val="22"/>
          <w:szCs w:val="22"/>
        </w:rPr>
        <w:t xml:space="preserve">, which is generally less formal in nature with lower levels of obligation and risk, and </w:t>
      </w:r>
      <w:r w:rsidRPr="006F191E">
        <w:rPr>
          <w:rFonts w:cstheme="minorHAnsi"/>
          <w:b/>
          <w:sz w:val="22"/>
          <w:szCs w:val="22"/>
        </w:rPr>
        <w:t>partnership</w:t>
      </w:r>
      <w:r w:rsidRPr="006F191E">
        <w:rPr>
          <w:rFonts w:cstheme="minorHAnsi"/>
          <w:sz w:val="22"/>
          <w:szCs w:val="22"/>
        </w:rPr>
        <w:t>, which involves more formal, written arrangements, and higher levels of structure and obligation. While collaborating and partnering are not necessarily sequential, experience suggests that partnerships often develop from earlier collaborations. Collaborations enable mutual sharing of objectives, priorities and capabilities, which can provide the foundations for a strong partnership</w:t>
      </w:r>
      <w:r w:rsidRPr="008A378A">
        <w:rPr>
          <w:rFonts w:cstheme="minorHAnsi"/>
          <w:sz w:val="22"/>
          <w:szCs w:val="22"/>
        </w:rPr>
        <w:t xml:space="preserve">. </w:t>
      </w:r>
      <w:r w:rsidRPr="00523093">
        <w:rPr>
          <w:rFonts w:cstheme="minorHAnsi"/>
          <w:sz w:val="22"/>
          <w:szCs w:val="22"/>
        </w:rPr>
        <w:t xml:space="preserve"> </w:t>
      </w:r>
      <w:r w:rsidR="001C31AC">
        <w:rPr>
          <w:rFonts w:cstheme="minorHAnsi"/>
          <w:sz w:val="22"/>
          <w:szCs w:val="22"/>
        </w:rPr>
        <w:t xml:space="preserve">Partnership provides an on-going working relationship where contributions, risks and benefits are shared. </w:t>
      </w:r>
    </w:p>
    <w:p w14:paraId="3567F9BF" w14:textId="021ED9B0" w:rsidR="00BC5F46" w:rsidRDefault="00BC5F46" w:rsidP="00BC5F46">
      <w:pPr>
        <w:pStyle w:val="CommentText"/>
        <w:rPr>
          <w:rFonts w:cstheme="minorHAnsi"/>
          <w:sz w:val="22"/>
          <w:szCs w:val="22"/>
        </w:rPr>
      </w:pPr>
      <w:r w:rsidRPr="00C4262C">
        <w:rPr>
          <w:rFonts w:cstheme="minorHAnsi"/>
          <w:sz w:val="22"/>
          <w:szCs w:val="22"/>
        </w:rPr>
        <w:t>Table 1</w:t>
      </w:r>
      <w:r w:rsidRPr="00523093">
        <w:rPr>
          <w:rFonts w:cstheme="minorHAnsi"/>
          <w:sz w:val="22"/>
          <w:szCs w:val="22"/>
        </w:rPr>
        <w:t xml:space="preserve"> provides examples of how DFAT engages with the private sector. </w:t>
      </w:r>
    </w:p>
    <w:p w14:paraId="70E4DE1D" w14:textId="0CFE8875" w:rsidR="00BC5F46" w:rsidRPr="00630A3B" w:rsidRDefault="00BC5F46" w:rsidP="00BC5F46">
      <w:pPr>
        <w:pStyle w:val="Box1Heading"/>
      </w:pPr>
      <w:r w:rsidRPr="00630A3B">
        <w:rPr>
          <w:noProof/>
          <w:lang w:eastAsia="en-AU"/>
        </w:rPr>
        <w:drawing>
          <wp:anchor distT="0" distB="0" distL="114300" distR="114300" simplePos="0" relativeHeight="251657216" behindDoc="0" locked="1" layoutInCell="1" allowOverlap="1" wp14:anchorId="746D18A8" wp14:editId="4C4492DB">
            <wp:simplePos x="0" y="0"/>
            <wp:positionH relativeFrom="column">
              <wp:posOffset>180975</wp:posOffset>
            </wp:positionH>
            <wp:positionV relativeFrom="line">
              <wp:posOffset>244475</wp:posOffset>
            </wp:positionV>
            <wp:extent cx="411480" cy="574040"/>
            <wp:effectExtent l="0" t="0" r="7620" b="0"/>
            <wp:wrapNone/>
            <wp:docPr id="12" name="Picture 12" descr="Key messages" title="Key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con-01-Key_Messag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480" cy="574040"/>
                    </a:xfrm>
                    <a:prstGeom prst="rect">
                      <a:avLst/>
                    </a:prstGeom>
                  </pic:spPr>
                </pic:pic>
              </a:graphicData>
            </a:graphic>
            <wp14:sizeRelH relativeFrom="margin">
              <wp14:pctWidth>0</wp14:pctWidth>
            </wp14:sizeRelH>
            <wp14:sizeRelV relativeFrom="margin">
              <wp14:pctHeight>0</wp14:pctHeight>
            </wp14:sizeRelV>
          </wp:anchor>
        </w:drawing>
      </w:r>
      <w:r w:rsidRPr="00630A3B">
        <w:tab/>
      </w:r>
      <w:r>
        <w:t xml:space="preserve">Private Sector Engagement in practice – </w:t>
      </w:r>
      <w:r w:rsidR="008348EA">
        <w:t>BPP</w:t>
      </w:r>
      <w:r>
        <w:t xml:space="preserve"> in </w:t>
      </w:r>
      <w:r w:rsidR="008348EA">
        <w:t>Vietnam</w:t>
      </w:r>
    </w:p>
    <w:p w14:paraId="2F7CEDA9" w14:textId="77777777" w:rsidR="00F64BDC" w:rsidRDefault="00BC5F46" w:rsidP="00BC5F46">
      <w:pPr>
        <w:pStyle w:val="Box1Text"/>
        <w:tabs>
          <w:tab w:val="left" w:pos="1276"/>
        </w:tabs>
        <w:spacing w:before="0" w:after="120"/>
        <w:ind w:left="1276" w:hanging="992"/>
      </w:pPr>
      <w:r w:rsidRPr="009F0C7B">
        <w:tab/>
      </w:r>
      <w:r>
        <w:t>DFAT’s</w:t>
      </w:r>
      <w:r w:rsidR="008348EA">
        <w:t xml:space="preserve"> Business Partnerships Platform (BPP)</w:t>
      </w:r>
      <w:r w:rsidRPr="009F0C7B">
        <w:t xml:space="preserve"> is a multi-country </w:t>
      </w:r>
      <w:r w:rsidR="00F64BDC">
        <w:t xml:space="preserve">program helping to accelerate Australia’s collaboration directly with businesses to address development challenges in our region. </w:t>
      </w:r>
      <w:r w:rsidR="00F64BDC" w:rsidRPr="00F64BDC">
        <w:t xml:space="preserve">The BPP </w:t>
      </w:r>
      <w:r w:rsidR="00F64BDC">
        <w:t>draws</w:t>
      </w:r>
      <w:r w:rsidR="00F64BDC" w:rsidRPr="00F64BDC">
        <w:t xml:space="preserve"> on the wealth of knowledge, ideas, capabilities and resources the private sector has to offer. </w:t>
      </w:r>
      <w:r w:rsidR="00F64BDC">
        <w:t>Our partnerships create</w:t>
      </w:r>
      <w:r w:rsidR="00F64BDC" w:rsidRPr="00F64BDC">
        <w:t xml:space="preserve"> scalable shared value partnerships that advance economic and social conditions in developing countries.</w:t>
      </w:r>
      <w:r w:rsidRPr="00FF59C4">
        <w:tab/>
      </w:r>
    </w:p>
    <w:p w14:paraId="0B84DE22" w14:textId="6D06A468" w:rsidR="00F64BDC" w:rsidRDefault="00F64BDC" w:rsidP="00BC5F46">
      <w:pPr>
        <w:pStyle w:val="Box1Text"/>
        <w:tabs>
          <w:tab w:val="left" w:pos="1276"/>
        </w:tabs>
        <w:spacing w:before="0" w:after="120"/>
        <w:ind w:left="1276" w:hanging="992"/>
      </w:pPr>
      <w:r>
        <w:tab/>
      </w:r>
      <w:r w:rsidR="00BC5F46" w:rsidRPr="00FF59C4">
        <w:t xml:space="preserve">In </w:t>
      </w:r>
      <w:r>
        <w:t xml:space="preserve">Vietnam approximately two-thirds of Vietnam’s 90 million people remain disconnected from the formal banking system due in large part to the high cost of operating bank branches in remote areas. </w:t>
      </w:r>
      <w:r w:rsidR="00BC5F46" w:rsidRPr="00FF59C4">
        <w:t xml:space="preserve"> </w:t>
      </w:r>
      <w:r>
        <w:t xml:space="preserve">Under the BPP, DFAT partnered with the Vietnam Bank for Social Policies (VBSP), The Asia Foundation (TAF) and MasterCard to roll out the first SMS service and a mobile banking platform for low income Vietnamese people. Digital technology is an enabler for economic development and growth and the partnership brought greater access to digital finance options for VBSP’s clients. By improving mobile banking technology and expanding its availability, the initiative reduced the cost of banking and provided VBSP clients with access to diversified services, such as SMS banking, </w:t>
      </w:r>
      <w:r w:rsidR="00DC532E">
        <w:t>increasing</w:t>
      </w:r>
      <w:r>
        <w:t xml:space="preserve"> the </w:t>
      </w:r>
      <w:r w:rsidR="00DC532E">
        <w:t>bank’s competitiveness</w:t>
      </w:r>
      <w:r>
        <w:t>.</w:t>
      </w:r>
    </w:p>
    <w:p w14:paraId="0ED51759" w14:textId="0F6DC8E3" w:rsidR="003F4A03" w:rsidRDefault="00BC5F46" w:rsidP="00DC532E">
      <w:pPr>
        <w:pStyle w:val="Box1Text"/>
        <w:tabs>
          <w:tab w:val="left" w:pos="1276"/>
        </w:tabs>
        <w:spacing w:before="0" w:after="120"/>
        <w:rPr>
          <w:i/>
        </w:rPr>
      </w:pPr>
      <w:r>
        <w:tab/>
      </w:r>
      <w:r w:rsidR="00DC532E">
        <w:rPr>
          <w:i/>
        </w:rPr>
        <w:t>For more information on the BPP see</w:t>
      </w:r>
      <w:r w:rsidR="00DC532E" w:rsidRPr="00DD5629">
        <w:t xml:space="preserve">: </w:t>
      </w:r>
      <w:hyperlink r:id="rId24" w:history="1">
        <w:r w:rsidR="00DC532E" w:rsidRPr="00DD5629">
          <w:rPr>
            <w:rStyle w:val="Hyperlink"/>
            <w:color w:val="0070C0"/>
          </w:rPr>
          <w:t>www.thebpp.co</w:t>
        </w:r>
        <w:r w:rsidR="00DC532E" w:rsidRPr="00DD5629">
          <w:rPr>
            <w:rStyle w:val="Hyperlink"/>
            <w:color w:val="0070C0"/>
          </w:rPr>
          <w:t>m</w:t>
        </w:r>
        <w:r w:rsidR="00DC532E" w:rsidRPr="00DD5629">
          <w:rPr>
            <w:rStyle w:val="Hyperlink"/>
            <w:color w:val="0070C0"/>
          </w:rPr>
          <w:t>.au</w:t>
        </w:r>
      </w:hyperlink>
      <w:r w:rsidR="00DC532E" w:rsidRPr="00DC532E">
        <w:rPr>
          <w:rStyle w:val="Hyperlink"/>
          <w:i/>
          <w:color w:val="0070C0"/>
          <w:u w:val="none"/>
        </w:rPr>
        <w:t>.</w:t>
      </w:r>
      <w:r w:rsidR="00DC532E">
        <w:rPr>
          <w:i/>
        </w:rPr>
        <w:t xml:space="preserve"> </w:t>
      </w:r>
    </w:p>
    <w:p w14:paraId="5B153804" w14:textId="77777777" w:rsidR="00BC5F46" w:rsidRPr="009F0C7B" w:rsidRDefault="00BC5F46" w:rsidP="00BC5F46">
      <w:pPr>
        <w:pStyle w:val="Heading3"/>
        <w:spacing w:before="240"/>
      </w:pPr>
      <w:r w:rsidRPr="009F0C7B">
        <w:lastRenderedPageBreak/>
        <w:t>Private Sector Development</w:t>
      </w:r>
    </w:p>
    <w:p w14:paraId="5812E212" w14:textId="77777777" w:rsidR="00BC5F46" w:rsidRPr="009F0C7B" w:rsidRDefault="00BC5F46" w:rsidP="00BC5F46">
      <w:pPr>
        <w:rPr>
          <w:rFonts w:cstheme="minorHAnsi"/>
        </w:rPr>
      </w:pPr>
      <w:r w:rsidRPr="009F0C7B">
        <w:rPr>
          <w:rFonts w:cstheme="minorHAnsi"/>
        </w:rPr>
        <w:t xml:space="preserve">Private sector development </w:t>
      </w:r>
      <w:r>
        <w:rPr>
          <w:rFonts w:cstheme="minorHAnsi"/>
        </w:rPr>
        <w:t>programs are programs where DFAT is</w:t>
      </w:r>
      <w:r w:rsidRPr="009F0C7B">
        <w:rPr>
          <w:rFonts w:cstheme="minorHAnsi"/>
        </w:rPr>
        <w:t xml:space="preserve"> support</w:t>
      </w:r>
      <w:r>
        <w:rPr>
          <w:rFonts w:cstheme="minorHAnsi"/>
        </w:rPr>
        <w:t>ing</w:t>
      </w:r>
      <w:r w:rsidRPr="009F0C7B">
        <w:rPr>
          <w:rFonts w:cstheme="minorHAnsi"/>
        </w:rPr>
        <w:t xml:space="preserve"> the private sector </w:t>
      </w:r>
      <w:r>
        <w:rPr>
          <w:rFonts w:cstheme="minorHAnsi"/>
        </w:rPr>
        <w:t>to contribute to economic growth and reduce poverty and inequality in our partner countries.</w:t>
      </w:r>
      <w:r w:rsidRPr="009F0C7B">
        <w:rPr>
          <w:rFonts w:cstheme="minorHAnsi"/>
        </w:rPr>
        <w:t xml:space="preserve"> Private sector development falls into three main categories:</w:t>
      </w:r>
    </w:p>
    <w:p w14:paraId="6777A69A" w14:textId="77777777" w:rsidR="00BC5F46" w:rsidRPr="009F0C7B" w:rsidRDefault="00BC5F46" w:rsidP="00BC5F46">
      <w:pPr>
        <w:pStyle w:val="ListParagraph"/>
        <w:numPr>
          <w:ilvl w:val="0"/>
          <w:numId w:val="22"/>
        </w:numPr>
        <w:rPr>
          <w:rFonts w:cstheme="minorHAnsi"/>
        </w:rPr>
      </w:pPr>
      <w:r w:rsidRPr="0084099D">
        <w:rPr>
          <w:rFonts w:cstheme="minorHAnsi"/>
          <w:b/>
        </w:rPr>
        <w:t>Building better enabling environments for business</w:t>
      </w:r>
      <w:r w:rsidRPr="0084099D">
        <w:rPr>
          <w:rFonts w:cstheme="minorHAnsi"/>
        </w:rPr>
        <w:t>:</w:t>
      </w:r>
      <w:r>
        <w:rPr>
          <w:rFonts w:cstheme="minorHAnsi"/>
        </w:rPr>
        <w:t xml:space="preserve"> </w:t>
      </w:r>
      <w:r w:rsidRPr="0084099D">
        <w:rPr>
          <w:rFonts w:cstheme="minorHAnsi"/>
        </w:rPr>
        <w:t>including reforming business registration processes, implementing contract laws, establishing</w:t>
      </w:r>
      <w:r>
        <w:rPr>
          <w:rFonts w:cstheme="minorHAnsi"/>
        </w:rPr>
        <w:t xml:space="preserve"> and strengthening</w:t>
      </w:r>
      <w:r w:rsidRPr="0084099D">
        <w:rPr>
          <w:rFonts w:cstheme="minorHAnsi"/>
        </w:rPr>
        <w:t xml:space="preserve"> institutions to provide support to business, </w:t>
      </w:r>
      <w:r w:rsidR="00931D7C">
        <w:rPr>
          <w:rFonts w:cstheme="minorHAnsi"/>
        </w:rPr>
        <w:t xml:space="preserve">economic governance reform, </w:t>
      </w:r>
      <w:r w:rsidRPr="0084099D">
        <w:rPr>
          <w:rFonts w:cstheme="minorHAnsi"/>
        </w:rPr>
        <w:t xml:space="preserve">enabling businesses to access finance, </w:t>
      </w:r>
      <w:r>
        <w:rPr>
          <w:rFonts w:cstheme="minorHAnsi"/>
        </w:rPr>
        <w:t xml:space="preserve">and </w:t>
      </w:r>
      <w:r w:rsidRPr="0084099D">
        <w:rPr>
          <w:rFonts w:cstheme="minorHAnsi"/>
        </w:rPr>
        <w:t>investments in infrastructure that is essential for private</w:t>
      </w:r>
      <w:r w:rsidR="00885E9F">
        <w:rPr>
          <w:rFonts w:cstheme="minorHAnsi"/>
        </w:rPr>
        <w:t xml:space="preserve"> </w:t>
      </w:r>
      <w:r w:rsidRPr="0084099D">
        <w:rPr>
          <w:rFonts w:cstheme="minorHAnsi"/>
        </w:rPr>
        <w:t>sector</w:t>
      </w:r>
      <w:r w:rsidR="00885E9F">
        <w:rPr>
          <w:rFonts w:cstheme="minorHAnsi"/>
        </w:rPr>
        <w:t>-</w:t>
      </w:r>
      <w:r w:rsidRPr="0084099D">
        <w:rPr>
          <w:rFonts w:cstheme="minorHAnsi"/>
        </w:rPr>
        <w:t>led growth</w:t>
      </w:r>
      <w:r>
        <w:rPr>
          <w:rFonts w:cstheme="minorHAnsi"/>
        </w:rPr>
        <w:t>.</w:t>
      </w:r>
    </w:p>
    <w:p w14:paraId="743F4885" w14:textId="77777777" w:rsidR="00BC5F46" w:rsidRPr="0084099D" w:rsidRDefault="00BC5F46" w:rsidP="00BC5F46">
      <w:pPr>
        <w:pStyle w:val="ListParagraph"/>
        <w:numPr>
          <w:ilvl w:val="0"/>
          <w:numId w:val="22"/>
        </w:numPr>
        <w:rPr>
          <w:rFonts w:cstheme="minorHAnsi"/>
        </w:rPr>
      </w:pPr>
      <w:r w:rsidRPr="0084099D">
        <w:rPr>
          <w:rFonts w:cstheme="minorHAnsi"/>
          <w:b/>
        </w:rPr>
        <w:t>Strengthening key markets and sectors that drive economic growth or poverty reduction:</w:t>
      </w:r>
      <w:r w:rsidRPr="0084099D">
        <w:rPr>
          <w:rFonts w:cstheme="minorHAnsi"/>
        </w:rPr>
        <w:t xml:space="preserve"> </w:t>
      </w:r>
      <w:r>
        <w:rPr>
          <w:rFonts w:cstheme="minorHAnsi"/>
        </w:rPr>
        <w:t>a</w:t>
      </w:r>
      <w:r w:rsidRPr="0084099D">
        <w:rPr>
          <w:rFonts w:cstheme="minorHAnsi"/>
        </w:rPr>
        <w:t>ctivities</w:t>
      </w:r>
      <w:r>
        <w:rPr>
          <w:rFonts w:cstheme="minorHAnsi"/>
        </w:rPr>
        <w:t xml:space="preserve"> that</w:t>
      </w:r>
      <w:r w:rsidRPr="0084099D">
        <w:rPr>
          <w:rFonts w:cstheme="minorHAnsi"/>
        </w:rPr>
        <w:t xml:space="preserve"> improve the function of </w:t>
      </w:r>
      <w:r>
        <w:rPr>
          <w:rFonts w:cstheme="minorHAnsi"/>
        </w:rPr>
        <w:t>specific</w:t>
      </w:r>
      <w:r w:rsidRPr="0084099D">
        <w:rPr>
          <w:rFonts w:cstheme="minorHAnsi"/>
        </w:rPr>
        <w:t xml:space="preserve"> markets by enhancing connectivity between different parts of the value chain (physical infrastructure or facilitating business to business connections), improving the information available to market players or supporting the development of new products and services to meet an unmet market. </w:t>
      </w:r>
    </w:p>
    <w:p w14:paraId="0D57341B" w14:textId="18BB0D29" w:rsidR="00BC5F46" w:rsidRDefault="00BC5F46" w:rsidP="00BC5F46">
      <w:pPr>
        <w:pStyle w:val="ListParagraph"/>
        <w:numPr>
          <w:ilvl w:val="0"/>
          <w:numId w:val="22"/>
        </w:numPr>
        <w:rPr>
          <w:rFonts w:cstheme="minorHAnsi"/>
        </w:rPr>
      </w:pPr>
      <w:r w:rsidRPr="0084099D">
        <w:rPr>
          <w:rFonts w:cstheme="minorHAnsi"/>
          <w:b/>
        </w:rPr>
        <w:t>Maximising the development impact of individual business</w:t>
      </w:r>
      <w:r>
        <w:rPr>
          <w:rFonts w:cstheme="minorHAnsi"/>
          <w:b/>
        </w:rPr>
        <w:t>es</w:t>
      </w:r>
      <w:r w:rsidRPr="0084099D">
        <w:rPr>
          <w:rFonts w:cstheme="minorHAnsi"/>
          <w:b/>
        </w:rPr>
        <w:t>:</w:t>
      </w:r>
      <w:r>
        <w:rPr>
          <w:rFonts w:cstheme="minorHAnsi"/>
        </w:rPr>
        <w:t xml:space="preserve"> </w:t>
      </w:r>
      <w:r w:rsidRPr="0084099D">
        <w:rPr>
          <w:rFonts w:cstheme="minorHAnsi"/>
        </w:rPr>
        <w:t xml:space="preserve">these activities involve </w:t>
      </w:r>
      <w:r w:rsidR="006E158B">
        <w:rPr>
          <w:rFonts w:cstheme="minorHAnsi"/>
        </w:rPr>
        <w:t>engagement</w:t>
      </w:r>
      <w:r w:rsidRPr="0084099D">
        <w:rPr>
          <w:rFonts w:cstheme="minorHAnsi"/>
        </w:rPr>
        <w:t xml:space="preserve"> with specific business</w:t>
      </w:r>
      <w:r>
        <w:rPr>
          <w:rFonts w:cstheme="minorHAnsi"/>
        </w:rPr>
        <w:t>es</w:t>
      </w:r>
      <w:r w:rsidRPr="0084099D">
        <w:rPr>
          <w:rFonts w:cstheme="minorHAnsi"/>
        </w:rPr>
        <w:t xml:space="preserve"> </w:t>
      </w:r>
      <w:r>
        <w:rPr>
          <w:rFonts w:cstheme="minorHAnsi"/>
        </w:rPr>
        <w:t>that are selected</w:t>
      </w:r>
      <w:r w:rsidRPr="0084099D">
        <w:rPr>
          <w:rFonts w:cstheme="minorHAnsi"/>
        </w:rPr>
        <w:t xml:space="preserve"> because of </w:t>
      </w:r>
      <w:r>
        <w:rPr>
          <w:rFonts w:cstheme="minorHAnsi"/>
        </w:rPr>
        <w:t>their important i</w:t>
      </w:r>
      <w:r w:rsidRPr="0084099D">
        <w:rPr>
          <w:rFonts w:cstheme="minorHAnsi"/>
        </w:rPr>
        <w:t xml:space="preserve">mpact in a </w:t>
      </w:r>
      <w:r>
        <w:rPr>
          <w:rFonts w:cstheme="minorHAnsi"/>
        </w:rPr>
        <w:t xml:space="preserve">particular </w:t>
      </w:r>
      <w:r w:rsidRPr="0084099D">
        <w:rPr>
          <w:rFonts w:cstheme="minorHAnsi"/>
        </w:rPr>
        <w:t xml:space="preserve">sector or economy, and </w:t>
      </w:r>
      <w:r>
        <w:rPr>
          <w:rFonts w:cstheme="minorHAnsi"/>
        </w:rPr>
        <w:t xml:space="preserve">their </w:t>
      </w:r>
      <w:r w:rsidRPr="0084099D">
        <w:rPr>
          <w:rFonts w:cstheme="minorHAnsi"/>
        </w:rPr>
        <w:t xml:space="preserve">ability to transform markets and create broader development benefits. These types of </w:t>
      </w:r>
      <w:r>
        <w:rPr>
          <w:rFonts w:cstheme="minorHAnsi"/>
        </w:rPr>
        <w:t>programs</w:t>
      </w:r>
      <w:r w:rsidRPr="0084099D">
        <w:rPr>
          <w:rFonts w:cstheme="minorHAnsi"/>
        </w:rPr>
        <w:t xml:space="preserve"> may include the use of co-financing</w:t>
      </w:r>
      <w:r>
        <w:rPr>
          <w:rFonts w:cstheme="minorHAnsi"/>
        </w:rPr>
        <w:t xml:space="preserve"> or matched-funding development projects </w:t>
      </w:r>
      <w:r w:rsidRPr="0084099D">
        <w:rPr>
          <w:rFonts w:cstheme="minorHAnsi"/>
        </w:rPr>
        <w:t xml:space="preserve">to </w:t>
      </w:r>
      <w:r>
        <w:rPr>
          <w:rFonts w:cstheme="minorHAnsi"/>
        </w:rPr>
        <w:t xml:space="preserve">influence the way a </w:t>
      </w:r>
      <w:r w:rsidRPr="0084099D">
        <w:rPr>
          <w:rFonts w:cstheme="minorHAnsi"/>
        </w:rPr>
        <w:t>business invest</w:t>
      </w:r>
      <w:r>
        <w:rPr>
          <w:rFonts w:cstheme="minorHAnsi"/>
        </w:rPr>
        <w:t>s</w:t>
      </w:r>
      <w:r w:rsidRPr="0084099D">
        <w:rPr>
          <w:rFonts w:cstheme="minorHAnsi"/>
        </w:rPr>
        <w:t xml:space="preserve"> or undertake</w:t>
      </w:r>
      <w:r>
        <w:rPr>
          <w:rFonts w:cstheme="minorHAnsi"/>
        </w:rPr>
        <w:t>s</w:t>
      </w:r>
      <w:r w:rsidRPr="0084099D">
        <w:rPr>
          <w:rFonts w:cstheme="minorHAnsi"/>
        </w:rPr>
        <w:t xml:space="preserve"> their operations</w:t>
      </w:r>
      <w:r>
        <w:rPr>
          <w:rFonts w:cstheme="minorHAnsi"/>
        </w:rPr>
        <w:t>.</w:t>
      </w:r>
    </w:p>
    <w:p w14:paraId="5AF49EC8" w14:textId="77777777" w:rsidR="00DC532E" w:rsidRPr="00DC532E" w:rsidRDefault="00DC532E" w:rsidP="00DC532E">
      <w:pPr>
        <w:rPr>
          <w:rFonts w:cstheme="minorHAnsi"/>
        </w:rPr>
      </w:pPr>
    </w:p>
    <w:p w14:paraId="096DE052" w14:textId="77777777" w:rsidR="00D7631D" w:rsidRDefault="00BC5F46" w:rsidP="00BC5F46">
      <w:pPr>
        <w:pStyle w:val="Box2Text"/>
        <w:tabs>
          <w:tab w:val="left" w:pos="1276"/>
        </w:tabs>
        <w:ind w:left="1276" w:hanging="850"/>
        <w:rPr>
          <w:i/>
        </w:rPr>
      </w:pPr>
      <w:r>
        <w:rPr>
          <w:b/>
          <w:i/>
        </w:rPr>
        <w:tab/>
      </w:r>
      <w:r>
        <w:rPr>
          <w:noProof/>
          <w:lang w:eastAsia="en-AU"/>
        </w:rPr>
        <w:drawing>
          <wp:anchor distT="0" distB="0" distL="114300" distR="114300" simplePos="0" relativeHeight="251665408" behindDoc="0" locked="1" layoutInCell="1" allowOverlap="1" wp14:anchorId="7E1EEAAF" wp14:editId="7DC2ADE7">
            <wp:simplePos x="0" y="0"/>
            <wp:positionH relativeFrom="column">
              <wp:posOffset>153670</wp:posOffset>
            </wp:positionH>
            <wp:positionV relativeFrom="paragraph">
              <wp:posOffset>227965</wp:posOffset>
            </wp:positionV>
            <wp:extent cx="438785" cy="432435"/>
            <wp:effectExtent l="0" t="0" r="0" b="5715"/>
            <wp:wrapNone/>
            <wp:docPr id="9" name="Picture 9" descr="Mandatory requirements" title="Mandatory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con-01-Key_Messag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8785" cy="432435"/>
                    </a:xfrm>
                    <a:prstGeom prst="rect">
                      <a:avLst/>
                    </a:prstGeom>
                  </pic:spPr>
                </pic:pic>
              </a:graphicData>
            </a:graphic>
            <wp14:sizeRelH relativeFrom="margin">
              <wp14:pctWidth>0</wp14:pctWidth>
            </wp14:sizeRelH>
            <wp14:sizeRelV relativeFrom="margin">
              <wp14:pctHeight>0</wp14:pctHeight>
            </wp14:sizeRelV>
          </wp:anchor>
        </w:drawing>
      </w:r>
      <w:r>
        <w:rPr>
          <w:b/>
          <w:i/>
        </w:rPr>
        <w:t xml:space="preserve">What is the difference between </w:t>
      </w:r>
      <w:r w:rsidRPr="00F83BDA">
        <w:rPr>
          <w:b/>
          <w:i/>
          <w:lang w:val="en-GB"/>
        </w:rPr>
        <w:t xml:space="preserve">Private Sector Development </w:t>
      </w:r>
      <w:r>
        <w:rPr>
          <w:b/>
          <w:i/>
          <w:lang w:val="en-GB"/>
        </w:rPr>
        <w:t>(</w:t>
      </w:r>
      <w:r>
        <w:rPr>
          <w:b/>
          <w:i/>
        </w:rPr>
        <w:t xml:space="preserve">PSD) and Private Sector Engagement (PSE): </w:t>
      </w:r>
      <w:r>
        <w:rPr>
          <w:i/>
        </w:rPr>
        <w:t>PSD are the programs we design that support the growth of the private sector in our partner countries and PSE is the way we collaborate or partner with the private sector to achieve mutually beneficial outcomes</w:t>
      </w:r>
      <w:r w:rsidR="001C31AC">
        <w:rPr>
          <w:i/>
        </w:rPr>
        <w:t xml:space="preserve">; PSD is an outcome, </w:t>
      </w:r>
      <w:r w:rsidR="00D7631D">
        <w:rPr>
          <w:i/>
        </w:rPr>
        <w:t>w</w:t>
      </w:r>
      <w:r w:rsidR="001C31AC">
        <w:rPr>
          <w:i/>
        </w:rPr>
        <w:t>hile PSE is the approach</w:t>
      </w:r>
      <w:r>
        <w:rPr>
          <w:i/>
        </w:rPr>
        <w:t xml:space="preserve">.  </w:t>
      </w:r>
    </w:p>
    <w:p w14:paraId="35C82275" w14:textId="1D3AC17F" w:rsidR="00104986" w:rsidRDefault="00BC5F46" w:rsidP="00BC5F46">
      <w:pPr>
        <w:pStyle w:val="Box2Text"/>
        <w:tabs>
          <w:tab w:val="left" w:pos="1276"/>
        </w:tabs>
        <w:ind w:left="1276" w:hanging="850"/>
        <w:rPr>
          <w:i/>
        </w:rPr>
      </w:pPr>
      <w:r>
        <w:rPr>
          <w:i/>
        </w:rPr>
        <w:tab/>
        <w:t xml:space="preserve">Both PSD and PSE can be mutually reinforcing as we often collaborate </w:t>
      </w:r>
      <w:r w:rsidR="00885E9F">
        <w:rPr>
          <w:i/>
        </w:rPr>
        <w:t xml:space="preserve">or partner </w:t>
      </w:r>
      <w:r>
        <w:rPr>
          <w:i/>
        </w:rPr>
        <w:t xml:space="preserve">with the private sector to undertake private sector development. </w:t>
      </w:r>
      <w:r w:rsidR="00104986">
        <w:rPr>
          <w:i/>
        </w:rPr>
        <w:t xml:space="preserve">The Scaling Frontier Innovation (SFI) Program is an </w:t>
      </w:r>
      <w:proofErr w:type="spellStart"/>
      <w:r w:rsidR="00104986">
        <w:rPr>
          <w:i/>
        </w:rPr>
        <w:t>innovationXchange</w:t>
      </w:r>
      <w:proofErr w:type="spellEnd"/>
      <w:r w:rsidR="00104986">
        <w:rPr>
          <w:i/>
        </w:rPr>
        <w:t xml:space="preserve"> initiative supporting social enterprises to scale their development impact in the Asia-Pacific region. This program works with entrepreneurs and impact funds to deliver impact and build a functioning economic ecosystem. </w:t>
      </w:r>
      <w:r w:rsidR="003F4A03" w:rsidRPr="003F4A03">
        <w:rPr>
          <w:i/>
        </w:rPr>
        <w:t xml:space="preserve">By supporting innovators who are delivering impact through market-based models, we can create opportunities for private sector capital to be invested in ways that contribute to development outcomes and help fill the SDG funding gap. </w:t>
      </w:r>
      <w:r w:rsidR="003F4A03">
        <w:rPr>
          <w:i/>
        </w:rPr>
        <w:t xml:space="preserve">SFI </w:t>
      </w:r>
      <w:r w:rsidR="003F4A03" w:rsidRPr="003F4A03">
        <w:rPr>
          <w:i/>
        </w:rPr>
        <w:t>advocates for social entrepreneurship as an emerging approach to deliver development outcomes, maximising locally driven and contextually relevant solutions.</w:t>
      </w:r>
      <w:r w:rsidR="003F4A03">
        <w:rPr>
          <w:i/>
        </w:rPr>
        <w:t xml:space="preserve"> For more information on </w:t>
      </w:r>
      <w:r w:rsidR="00104986">
        <w:rPr>
          <w:i/>
        </w:rPr>
        <w:t xml:space="preserve">SFI see: </w:t>
      </w:r>
      <w:hyperlink r:id="rId26" w:history="1">
        <w:r w:rsidR="00DD5629">
          <w:rPr>
            <w:rStyle w:val="Hyperlink"/>
            <w:rFonts w:cstheme="minorBidi"/>
            <w:color w:val="0070C0"/>
          </w:rPr>
          <w:t>www.scalingfrontierinno</w:t>
        </w:r>
        <w:r w:rsidR="00DD5629">
          <w:rPr>
            <w:rStyle w:val="Hyperlink"/>
            <w:rFonts w:cstheme="minorBidi"/>
            <w:color w:val="0070C0"/>
          </w:rPr>
          <w:t>v</w:t>
        </w:r>
        <w:r w:rsidR="00DD5629">
          <w:rPr>
            <w:rStyle w:val="Hyperlink"/>
            <w:rFonts w:cstheme="minorBidi"/>
            <w:color w:val="0070C0"/>
          </w:rPr>
          <w:t>ation.org</w:t>
        </w:r>
      </w:hyperlink>
      <w:r w:rsidR="00104986">
        <w:rPr>
          <w:i/>
        </w:rPr>
        <w:t xml:space="preserve">. </w:t>
      </w:r>
    </w:p>
    <w:p w14:paraId="2B54582F" w14:textId="77777777" w:rsidR="00BC5F46" w:rsidRDefault="00BC5F46" w:rsidP="00BC5F46">
      <w:pPr>
        <w:spacing w:line="240" w:lineRule="auto"/>
        <w:rPr>
          <w:rFonts w:asciiTheme="majorHAnsi" w:hAnsiTheme="majorHAnsi" w:cstheme="majorHAnsi"/>
          <w:b/>
          <w:sz w:val="24"/>
          <w:szCs w:val="24"/>
        </w:rPr>
      </w:pPr>
    </w:p>
    <w:p w14:paraId="27A1AF8A" w14:textId="77777777" w:rsidR="00DC532E" w:rsidRDefault="00DC532E">
      <w:pPr>
        <w:suppressAutoHyphens w:val="0"/>
        <w:spacing w:before="0" w:after="120" w:line="440" w:lineRule="atLeast"/>
        <w:rPr>
          <w:rFonts w:asciiTheme="majorHAnsi" w:hAnsiTheme="majorHAnsi" w:cstheme="majorHAnsi"/>
          <w:b/>
          <w:sz w:val="24"/>
          <w:szCs w:val="24"/>
        </w:rPr>
      </w:pPr>
      <w:r>
        <w:rPr>
          <w:rFonts w:asciiTheme="majorHAnsi" w:hAnsiTheme="majorHAnsi" w:cstheme="majorHAnsi"/>
          <w:b/>
          <w:sz w:val="24"/>
          <w:szCs w:val="24"/>
        </w:rPr>
        <w:br w:type="page"/>
      </w:r>
    </w:p>
    <w:p w14:paraId="5DC7C921" w14:textId="0E171C34" w:rsidR="00BC5F46" w:rsidRDefault="00BC5F46" w:rsidP="00BC5F46">
      <w:pPr>
        <w:spacing w:line="240" w:lineRule="auto"/>
        <w:rPr>
          <w:rFonts w:asciiTheme="majorHAnsi" w:hAnsiTheme="majorHAnsi" w:cstheme="majorHAnsi"/>
          <w:b/>
          <w:sz w:val="24"/>
          <w:szCs w:val="24"/>
        </w:rPr>
      </w:pPr>
      <w:r w:rsidRPr="00AD24A9">
        <w:rPr>
          <w:rFonts w:asciiTheme="majorHAnsi" w:hAnsiTheme="majorHAnsi" w:cstheme="majorHAnsi"/>
          <w:b/>
          <w:sz w:val="24"/>
          <w:szCs w:val="24"/>
        </w:rPr>
        <w:lastRenderedPageBreak/>
        <w:t>Table 1 - Private Sector Engagement Examples</w:t>
      </w:r>
    </w:p>
    <w:tbl>
      <w:tblPr>
        <w:tblStyle w:val="TableGridLight1"/>
        <w:tblW w:w="4999"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A0" w:firstRow="1" w:lastRow="0" w:firstColumn="1" w:lastColumn="0" w:noHBand="1" w:noVBand="1"/>
      </w:tblPr>
      <w:tblGrid>
        <w:gridCol w:w="2437"/>
        <w:gridCol w:w="2437"/>
        <w:gridCol w:w="2438"/>
        <w:gridCol w:w="2438"/>
      </w:tblGrid>
      <w:tr w:rsidR="00D7631D" w:rsidRPr="00A9114C" w14:paraId="5D1ED372" w14:textId="77777777" w:rsidTr="00D7631D">
        <w:trPr>
          <w:jc w:val="center"/>
        </w:trPr>
        <w:tc>
          <w:tcPr>
            <w:tcW w:w="1250" w:type="pct"/>
            <w:shd w:val="clear" w:color="auto" w:fill="65C5B4" w:themeFill="accent2"/>
            <w:vAlign w:val="center"/>
          </w:tcPr>
          <w:p w14:paraId="5AFCEDE8" w14:textId="77777777" w:rsidR="00D7631D" w:rsidRPr="00A9114C" w:rsidRDefault="00D7631D" w:rsidP="003F4A03">
            <w:pPr>
              <w:pStyle w:val="BodyText"/>
              <w:spacing w:before="0" w:after="80" w:line="240" w:lineRule="auto"/>
              <w:jc w:val="center"/>
              <w:rPr>
                <w:rFonts w:cstheme="minorHAnsi"/>
                <w:b/>
                <w:color w:val="FFFFFF" w:themeColor="background1"/>
                <w:spacing w:val="-2"/>
                <w:sz w:val="22"/>
                <w:szCs w:val="22"/>
              </w:rPr>
            </w:pPr>
            <w:r w:rsidRPr="00A9114C">
              <w:rPr>
                <w:rFonts w:cstheme="minorHAnsi"/>
                <w:b/>
                <w:color w:val="FFFFFF" w:themeColor="background1"/>
                <w:spacing w:val="-2"/>
                <w:sz w:val="22"/>
                <w:szCs w:val="22"/>
              </w:rPr>
              <w:t>Private sector engagement approaches</w:t>
            </w:r>
          </w:p>
        </w:tc>
        <w:tc>
          <w:tcPr>
            <w:tcW w:w="1250" w:type="pct"/>
            <w:shd w:val="clear" w:color="auto" w:fill="65C5B4" w:themeFill="accent2"/>
            <w:vAlign w:val="center"/>
          </w:tcPr>
          <w:p w14:paraId="343FD34B" w14:textId="77777777" w:rsidR="00D7631D" w:rsidRPr="00A9114C" w:rsidRDefault="00D7631D" w:rsidP="003F4A03">
            <w:pPr>
              <w:pStyle w:val="BodyText"/>
              <w:spacing w:before="0" w:after="80" w:line="240" w:lineRule="auto"/>
              <w:jc w:val="center"/>
              <w:rPr>
                <w:rFonts w:cstheme="minorHAnsi"/>
                <w:b/>
                <w:color w:val="FFFFFF" w:themeColor="background1"/>
                <w:spacing w:val="-2"/>
                <w:sz w:val="22"/>
                <w:szCs w:val="22"/>
              </w:rPr>
            </w:pPr>
            <w:r w:rsidRPr="00A9114C">
              <w:rPr>
                <w:rFonts w:cstheme="minorHAnsi"/>
                <w:b/>
                <w:color w:val="FFFFFF" w:themeColor="background1"/>
                <w:spacing w:val="-2"/>
                <w:sz w:val="22"/>
                <w:szCs w:val="22"/>
              </w:rPr>
              <w:t>Characteristics</w:t>
            </w:r>
          </w:p>
        </w:tc>
        <w:tc>
          <w:tcPr>
            <w:tcW w:w="1250" w:type="pct"/>
            <w:shd w:val="clear" w:color="auto" w:fill="65C5B4" w:themeFill="accent2"/>
            <w:vAlign w:val="center"/>
          </w:tcPr>
          <w:p w14:paraId="0F99C14F" w14:textId="77777777" w:rsidR="00D7631D" w:rsidRPr="00A9114C" w:rsidRDefault="00D7631D" w:rsidP="003F4A03">
            <w:pPr>
              <w:pStyle w:val="BodyText"/>
              <w:spacing w:before="0" w:after="80" w:line="240" w:lineRule="auto"/>
              <w:jc w:val="center"/>
              <w:rPr>
                <w:rFonts w:cstheme="minorHAnsi"/>
                <w:b/>
                <w:color w:val="FFFFFF" w:themeColor="background1"/>
                <w:spacing w:val="-2"/>
                <w:sz w:val="22"/>
                <w:szCs w:val="22"/>
              </w:rPr>
            </w:pPr>
            <w:r w:rsidRPr="00A9114C">
              <w:rPr>
                <w:rFonts w:cstheme="minorHAnsi"/>
                <w:b/>
                <w:color w:val="FFFFFF" w:themeColor="background1"/>
                <w:spacing w:val="-2"/>
                <w:sz w:val="22"/>
                <w:szCs w:val="22"/>
              </w:rPr>
              <w:t>Types of engagement</w:t>
            </w:r>
          </w:p>
        </w:tc>
        <w:tc>
          <w:tcPr>
            <w:tcW w:w="1250" w:type="pct"/>
            <w:shd w:val="clear" w:color="auto" w:fill="65C5B4" w:themeFill="accent2"/>
            <w:vAlign w:val="center"/>
          </w:tcPr>
          <w:p w14:paraId="1899BE1B" w14:textId="77777777" w:rsidR="00D7631D" w:rsidRPr="005E7DDC" w:rsidRDefault="00D7631D" w:rsidP="003F4A03">
            <w:pPr>
              <w:pStyle w:val="BodyText"/>
              <w:spacing w:before="0" w:after="80" w:line="240" w:lineRule="auto"/>
              <w:jc w:val="center"/>
              <w:rPr>
                <w:rFonts w:cstheme="minorHAnsi"/>
                <w:b/>
                <w:color w:val="FFFFFF" w:themeColor="background1"/>
                <w:spacing w:val="-2"/>
                <w:sz w:val="22"/>
                <w:szCs w:val="22"/>
              </w:rPr>
            </w:pPr>
            <w:r w:rsidRPr="005E7DDC">
              <w:rPr>
                <w:rFonts w:cstheme="minorHAnsi"/>
                <w:b/>
                <w:color w:val="FFFFFF" w:themeColor="background1"/>
                <w:spacing w:val="-2"/>
                <w:sz w:val="22"/>
                <w:szCs w:val="22"/>
              </w:rPr>
              <w:t>DFAT contributions</w:t>
            </w:r>
          </w:p>
        </w:tc>
      </w:tr>
      <w:tr w:rsidR="00D7631D" w:rsidRPr="00A9114C" w14:paraId="26D3750C" w14:textId="77777777" w:rsidTr="00D7631D">
        <w:trPr>
          <w:trHeight w:val="3521"/>
          <w:jc w:val="center"/>
        </w:trPr>
        <w:tc>
          <w:tcPr>
            <w:tcW w:w="1250" w:type="pct"/>
            <w:shd w:val="clear" w:color="auto" w:fill="D8DCDB" w:themeFill="background2"/>
          </w:tcPr>
          <w:p w14:paraId="02A29AC1" w14:textId="77777777" w:rsidR="00D7631D" w:rsidRPr="00A9114C" w:rsidRDefault="00D7631D" w:rsidP="003F4A03">
            <w:pPr>
              <w:pStyle w:val="BodyText"/>
              <w:spacing w:before="0" w:after="80" w:line="240" w:lineRule="auto"/>
              <w:rPr>
                <w:rFonts w:cstheme="minorHAnsi"/>
                <w:b/>
                <w:spacing w:val="-2"/>
                <w:sz w:val="22"/>
                <w:szCs w:val="22"/>
              </w:rPr>
            </w:pPr>
            <w:r w:rsidRPr="00A9114C">
              <w:rPr>
                <w:rFonts w:cstheme="minorHAnsi"/>
                <w:b/>
                <w:spacing w:val="-2"/>
                <w:sz w:val="22"/>
                <w:szCs w:val="22"/>
              </w:rPr>
              <w:t>Knowledge and Information sharing</w:t>
            </w:r>
          </w:p>
          <w:p w14:paraId="33178587" w14:textId="77777777" w:rsidR="00D7631D" w:rsidRPr="00A9114C" w:rsidRDefault="00D7631D" w:rsidP="003F4A03">
            <w:pPr>
              <w:pStyle w:val="BodyText"/>
              <w:spacing w:before="0" w:after="80" w:line="240" w:lineRule="auto"/>
              <w:rPr>
                <w:rFonts w:cstheme="minorHAnsi"/>
                <w:spacing w:val="-2"/>
                <w:sz w:val="22"/>
                <w:szCs w:val="22"/>
              </w:rPr>
            </w:pPr>
            <w:r w:rsidRPr="00A9114C">
              <w:rPr>
                <w:rFonts w:cstheme="minorHAnsi"/>
                <w:spacing w:val="-2"/>
                <w:sz w:val="22"/>
                <w:szCs w:val="22"/>
              </w:rPr>
              <w:t>Advance solutions by sharing new methods, tools and approaches. Address</w:t>
            </w:r>
            <w:r>
              <w:rPr>
                <w:rFonts w:cstheme="minorHAnsi"/>
                <w:spacing w:val="-2"/>
                <w:sz w:val="22"/>
                <w:szCs w:val="22"/>
              </w:rPr>
              <w:t>es</w:t>
            </w:r>
            <w:r w:rsidRPr="00A9114C">
              <w:rPr>
                <w:rFonts w:cstheme="minorHAnsi"/>
                <w:spacing w:val="-2"/>
                <w:sz w:val="22"/>
                <w:szCs w:val="22"/>
              </w:rPr>
              <w:t xml:space="preserve"> information asymmetries to promote private investment.</w:t>
            </w:r>
          </w:p>
          <w:p w14:paraId="286A545A" w14:textId="77777777" w:rsidR="00D7631D" w:rsidRPr="00A9114C" w:rsidRDefault="00D7631D" w:rsidP="003F4A03">
            <w:pPr>
              <w:pStyle w:val="BodyText"/>
              <w:spacing w:before="0" w:after="80" w:line="240" w:lineRule="auto"/>
              <w:rPr>
                <w:rFonts w:cstheme="minorHAnsi"/>
                <w:spacing w:val="-2"/>
                <w:sz w:val="22"/>
                <w:szCs w:val="22"/>
              </w:rPr>
            </w:pPr>
            <w:r w:rsidRPr="00A9114C">
              <w:rPr>
                <w:rFonts w:cstheme="minorHAnsi"/>
                <w:spacing w:val="-2"/>
                <w:sz w:val="22"/>
                <w:szCs w:val="22"/>
              </w:rPr>
              <w:t xml:space="preserve"> </w:t>
            </w:r>
          </w:p>
        </w:tc>
        <w:tc>
          <w:tcPr>
            <w:tcW w:w="1250" w:type="pct"/>
            <w:shd w:val="clear" w:color="auto" w:fill="D8DCDB" w:themeFill="background2"/>
          </w:tcPr>
          <w:p w14:paraId="1232D60B" w14:textId="77777777" w:rsidR="00D7631D" w:rsidRPr="00A9114C" w:rsidRDefault="00D7631D" w:rsidP="003F4A03">
            <w:pPr>
              <w:pStyle w:val="BodyText"/>
              <w:spacing w:before="0" w:after="80" w:line="240" w:lineRule="auto"/>
              <w:rPr>
                <w:rFonts w:cstheme="minorHAnsi"/>
                <w:spacing w:val="-2"/>
                <w:sz w:val="22"/>
                <w:szCs w:val="22"/>
              </w:rPr>
            </w:pPr>
            <w:r>
              <w:rPr>
                <w:rFonts w:cstheme="minorHAnsi"/>
                <w:spacing w:val="-2"/>
                <w:sz w:val="22"/>
                <w:szCs w:val="22"/>
              </w:rPr>
              <w:t>Low p</w:t>
            </w:r>
            <w:r w:rsidRPr="00A9114C">
              <w:rPr>
                <w:rFonts w:cstheme="minorHAnsi"/>
                <w:spacing w:val="-2"/>
                <w:sz w:val="22"/>
                <w:szCs w:val="22"/>
              </w:rPr>
              <w:t xml:space="preserve">ersonnel costs </w:t>
            </w:r>
          </w:p>
          <w:p w14:paraId="434A1333" w14:textId="77777777" w:rsidR="00D7631D" w:rsidRPr="00A9114C" w:rsidRDefault="00D7631D" w:rsidP="003F4A03">
            <w:pPr>
              <w:pStyle w:val="BodyText"/>
              <w:spacing w:before="0" w:after="80" w:line="240" w:lineRule="auto"/>
              <w:rPr>
                <w:rFonts w:cstheme="minorHAnsi"/>
                <w:spacing w:val="-2"/>
                <w:sz w:val="22"/>
                <w:szCs w:val="22"/>
              </w:rPr>
            </w:pPr>
            <w:r w:rsidRPr="00A9114C">
              <w:rPr>
                <w:rFonts w:cstheme="minorHAnsi"/>
                <w:spacing w:val="-2"/>
                <w:sz w:val="22"/>
                <w:szCs w:val="22"/>
              </w:rPr>
              <w:t xml:space="preserve">Builds and strengthens relationships and engages business </w:t>
            </w:r>
            <w:r>
              <w:rPr>
                <w:rFonts w:cstheme="minorHAnsi"/>
                <w:spacing w:val="-2"/>
                <w:sz w:val="22"/>
                <w:szCs w:val="22"/>
              </w:rPr>
              <w:t>on</w:t>
            </w:r>
            <w:r w:rsidRPr="00A9114C">
              <w:rPr>
                <w:rFonts w:cstheme="minorHAnsi"/>
                <w:spacing w:val="-2"/>
                <w:sz w:val="22"/>
                <w:szCs w:val="22"/>
              </w:rPr>
              <w:t xml:space="preserve"> core business practices</w:t>
            </w:r>
          </w:p>
          <w:p w14:paraId="0BCF7601" w14:textId="77777777" w:rsidR="00D7631D" w:rsidRPr="00A9114C" w:rsidRDefault="00D7631D" w:rsidP="003F4A03">
            <w:pPr>
              <w:pStyle w:val="BodyText"/>
              <w:spacing w:before="0" w:after="80" w:line="240" w:lineRule="auto"/>
              <w:rPr>
                <w:rFonts w:cstheme="minorHAnsi"/>
                <w:spacing w:val="-2"/>
                <w:sz w:val="22"/>
                <w:szCs w:val="22"/>
              </w:rPr>
            </w:pPr>
            <w:r w:rsidRPr="00A9114C">
              <w:rPr>
                <w:rFonts w:cstheme="minorHAnsi"/>
                <w:spacing w:val="-2"/>
                <w:sz w:val="22"/>
                <w:szCs w:val="22"/>
              </w:rPr>
              <w:t>Assists with accessing new networks and advocacy</w:t>
            </w:r>
          </w:p>
          <w:p w14:paraId="30EEBC1C" w14:textId="77777777" w:rsidR="00D7631D" w:rsidRPr="00A9114C" w:rsidRDefault="00D7631D" w:rsidP="003F4A03">
            <w:pPr>
              <w:pStyle w:val="BodyText"/>
              <w:spacing w:before="0" w:after="80" w:line="240" w:lineRule="auto"/>
              <w:rPr>
                <w:rFonts w:cstheme="minorHAnsi"/>
                <w:spacing w:val="-2"/>
                <w:sz w:val="22"/>
                <w:szCs w:val="22"/>
              </w:rPr>
            </w:pPr>
            <w:r>
              <w:rPr>
                <w:rFonts w:cstheme="minorHAnsi"/>
                <w:spacing w:val="-2"/>
                <w:sz w:val="22"/>
                <w:szCs w:val="22"/>
              </w:rPr>
              <w:t>Can have long time-</w:t>
            </w:r>
            <w:r w:rsidRPr="00A9114C">
              <w:rPr>
                <w:rFonts w:cstheme="minorHAnsi"/>
                <w:spacing w:val="-2"/>
                <w:sz w:val="22"/>
                <w:szCs w:val="22"/>
              </w:rPr>
              <w:t>horizons for impact but large-scale results are possible</w:t>
            </w:r>
          </w:p>
        </w:tc>
        <w:tc>
          <w:tcPr>
            <w:tcW w:w="1250" w:type="pct"/>
            <w:shd w:val="clear" w:color="auto" w:fill="D8DCDB" w:themeFill="background2"/>
          </w:tcPr>
          <w:p w14:paraId="51B35D68" w14:textId="77777777" w:rsidR="00D7631D" w:rsidRPr="00A9114C" w:rsidRDefault="00D7631D" w:rsidP="003F4A03">
            <w:pPr>
              <w:pStyle w:val="BodyText"/>
              <w:spacing w:before="0" w:after="80" w:line="240" w:lineRule="auto"/>
              <w:rPr>
                <w:rFonts w:cstheme="minorHAnsi"/>
                <w:spacing w:val="-2"/>
                <w:sz w:val="22"/>
                <w:szCs w:val="22"/>
              </w:rPr>
            </w:pPr>
            <w:r w:rsidRPr="00A9114C">
              <w:rPr>
                <w:rFonts w:cstheme="minorHAnsi"/>
                <w:spacing w:val="-2"/>
                <w:sz w:val="22"/>
                <w:szCs w:val="22"/>
              </w:rPr>
              <w:t>Consultations between DFAT and businesses</w:t>
            </w:r>
          </w:p>
          <w:p w14:paraId="69133373" w14:textId="77777777" w:rsidR="00D7631D" w:rsidRPr="00A9114C" w:rsidRDefault="00D7631D" w:rsidP="003F4A03">
            <w:pPr>
              <w:pStyle w:val="BodyText"/>
              <w:spacing w:before="0" w:after="80" w:line="240" w:lineRule="auto"/>
              <w:rPr>
                <w:rFonts w:cstheme="minorHAnsi"/>
                <w:spacing w:val="-2"/>
                <w:sz w:val="22"/>
                <w:szCs w:val="22"/>
              </w:rPr>
            </w:pPr>
            <w:r w:rsidRPr="00A9114C">
              <w:rPr>
                <w:rFonts w:cstheme="minorHAnsi"/>
                <w:spacing w:val="-2"/>
                <w:sz w:val="22"/>
                <w:szCs w:val="22"/>
              </w:rPr>
              <w:t xml:space="preserve">Brokering business-to-business linkages through competitive facilities </w:t>
            </w:r>
          </w:p>
          <w:p w14:paraId="20A9A65C" w14:textId="77777777" w:rsidR="00D7631D" w:rsidRPr="00A9114C" w:rsidRDefault="00D7631D" w:rsidP="003F4A03">
            <w:pPr>
              <w:pStyle w:val="BodyText"/>
              <w:spacing w:before="0" w:after="80" w:line="240" w:lineRule="auto"/>
              <w:rPr>
                <w:rFonts w:cstheme="minorHAnsi"/>
                <w:spacing w:val="-2"/>
                <w:sz w:val="22"/>
                <w:szCs w:val="22"/>
              </w:rPr>
            </w:pPr>
            <w:r w:rsidRPr="00A9114C">
              <w:rPr>
                <w:rFonts w:cstheme="minorHAnsi"/>
                <w:spacing w:val="-2"/>
                <w:sz w:val="22"/>
                <w:szCs w:val="22"/>
              </w:rPr>
              <w:t>Participation</w:t>
            </w:r>
            <w:r>
              <w:rPr>
                <w:rFonts w:cstheme="minorHAnsi"/>
                <w:spacing w:val="-2"/>
                <w:sz w:val="22"/>
                <w:szCs w:val="22"/>
              </w:rPr>
              <w:t xml:space="preserve">/funding </w:t>
            </w:r>
            <w:r w:rsidRPr="00A9114C">
              <w:rPr>
                <w:rFonts w:cstheme="minorHAnsi"/>
                <w:spacing w:val="-2"/>
                <w:sz w:val="22"/>
                <w:szCs w:val="22"/>
              </w:rPr>
              <w:t>for multi-stakeholder platform</w:t>
            </w:r>
            <w:r>
              <w:rPr>
                <w:rFonts w:cstheme="minorHAnsi"/>
                <w:spacing w:val="-2"/>
                <w:sz w:val="22"/>
                <w:szCs w:val="22"/>
              </w:rPr>
              <w:t>s, networks, events</w:t>
            </w:r>
          </w:p>
          <w:p w14:paraId="275FDA42" w14:textId="77777777" w:rsidR="00D7631D" w:rsidRPr="00A9114C" w:rsidRDefault="00D7631D" w:rsidP="003F4A03">
            <w:pPr>
              <w:pStyle w:val="BodyText"/>
              <w:spacing w:before="0" w:after="80" w:line="240" w:lineRule="auto"/>
              <w:rPr>
                <w:rFonts w:cstheme="minorHAnsi"/>
                <w:spacing w:val="-2"/>
                <w:sz w:val="22"/>
                <w:szCs w:val="22"/>
              </w:rPr>
            </w:pPr>
            <w:r w:rsidRPr="00A9114C">
              <w:rPr>
                <w:rFonts w:cstheme="minorHAnsi"/>
                <w:spacing w:val="-2"/>
                <w:sz w:val="22"/>
                <w:szCs w:val="22"/>
              </w:rPr>
              <w:t>Engaging businesses in strategic policy and programming processes</w:t>
            </w:r>
          </w:p>
        </w:tc>
        <w:tc>
          <w:tcPr>
            <w:tcW w:w="1250" w:type="pct"/>
            <w:shd w:val="clear" w:color="auto" w:fill="D8DCDB" w:themeFill="background2"/>
          </w:tcPr>
          <w:p w14:paraId="2344F0B8" w14:textId="77777777" w:rsidR="00D7631D" w:rsidRPr="00A9114C" w:rsidRDefault="00D7631D" w:rsidP="003F4A03">
            <w:pPr>
              <w:pStyle w:val="BodyText"/>
              <w:spacing w:before="0" w:after="80" w:line="240" w:lineRule="auto"/>
              <w:rPr>
                <w:rFonts w:cstheme="minorHAnsi"/>
                <w:spacing w:val="-2"/>
              </w:rPr>
            </w:pPr>
            <w:r w:rsidRPr="005E7DDC">
              <w:rPr>
                <w:rFonts w:cstheme="minorHAnsi"/>
                <w:spacing w:val="-2"/>
                <w:sz w:val="22"/>
                <w:szCs w:val="22"/>
              </w:rPr>
              <w:t>Vietnam Post collaborates with and supports the Australian Water Association to work with the Government of Vietnam and its water and sewage agency to improve water quality supply.</w:t>
            </w:r>
          </w:p>
        </w:tc>
      </w:tr>
      <w:tr w:rsidR="00D7631D" w:rsidRPr="00A9114C" w14:paraId="41214301" w14:textId="77777777" w:rsidTr="00D7631D">
        <w:tblPrEx>
          <w:tblLook w:val="04A0" w:firstRow="1" w:lastRow="0" w:firstColumn="1" w:lastColumn="0" w:noHBand="0" w:noVBand="1"/>
        </w:tblPrEx>
        <w:trPr>
          <w:trHeight w:val="2099"/>
          <w:jc w:val="center"/>
        </w:trPr>
        <w:tc>
          <w:tcPr>
            <w:tcW w:w="1250" w:type="pct"/>
            <w:shd w:val="clear" w:color="auto" w:fill="D8DCDB" w:themeFill="background2"/>
          </w:tcPr>
          <w:p w14:paraId="193E1BAA" w14:textId="77777777" w:rsidR="00D7631D" w:rsidRPr="00A9114C" w:rsidRDefault="00D7631D" w:rsidP="003F4A03">
            <w:pPr>
              <w:pStyle w:val="BodyText"/>
              <w:spacing w:before="0" w:after="80" w:line="240" w:lineRule="auto"/>
              <w:rPr>
                <w:rFonts w:cstheme="minorHAnsi"/>
                <w:spacing w:val="-2"/>
                <w:sz w:val="22"/>
                <w:szCs w:val="22"/>
              </w:rPr>
            </w:pPr>
            <w:r w:rsidRPr="00A9114C">
              <w:rPr>
                <w:rFonts w:cstheme="minorHAnsi"/>
                <w:b/>
                <w:spacing w:val="-2"/>
                <w:sz w:val="22"/>
                <w:szCs w:val="22"/>
              </w:rPr>
              <w:t>Technical assistance</w:t>
            </w:r>
          </w:p>
          <w:p w14:paraId="7EB7F51D" w14:textId="77777777" w:rsidR="00D7631D" w:rsidRPr="00A9114C" w:rsidRDefault="00D7631D" w:rsidP="003F4A03">
            <w:pPr>
              <w:pStyle w:val="BodyText"/>
              <w:spacing w:before="0" w:after="80" w:line="240" w:lineRule="auto"/>
              <w:rPr>
                <w:rFonts w:cstheme="minorHAnsi"/>
                <w:spacing w:val="-2"/>
                <w:sz w:val="22"/>
                <w:szCs w:val="22"/>
              </w:rPr>
            </w:pPr>
            <w:r w:rsidRPr="00A9114C">
              <w:rPr>
                <w:rFonts w:cstheme="minorHAnsi"/>
                <w:spacing w:val="-2"/>
                <w:sz w:val="22"/>
                <w:szCs w:val="22"/>
              </w:rPr>
              <w:t>Enable private sector actors to engage in development cooperation through support for project design. Improve operational capacities to meet development objectives or str</w:t>
            </w:r>
            <w:r>
              <w:rPr>
                <w:rFonts w:cstheme="minorHAnsi"/>
                <w:spacing w:val="-2"/>
                <w:sz w:val="22"/>
                <w:szCs w:val="22"/>
              </w:rPr>
              <w:t>engthen institutions/structures</w:t>
            </w:r>
          </w:p>
        </w:tc>
        <w:tc>
          <w:tcPr>
            <w:tcW w:w="1250" w:type="pct"/>
            <w:shd w:val="clear" w:color="auto" w:fill="D8DCDB" w:themeFill="background2"/>
          </w:tcPr>
          <w:p w14:paraId="724347C0" w14:textId="77777777" w:rsidR="00D7631D" w:rsidRPr="00A9114C" w:rsidRDefault="00D7631D" w:rsidP="003F4A03">
            <w:pPr>
              <w:pStyle w:val="BodyText"/>
              <w:spacing w:before="0" w:after="80" w:line="240" w:lineRule="auto"/>
              <w:rPr>
                <w:rFonts w:cstheme="minorHAnsi"/>
                <w:spacing w:val="-2"/>
                <w:sz w:val="22"/>
                <w:szCs w:val="22"/>
              </w:rPr>
            </w:pPr>
            <w:r>
              <w:rPr>
                <w:rFonts w:cstheme="minorHAnsi"/>
                <w:spacing w:val="-2"/>
                <w:sz w:val="22"/>
                <w:szCs w:val="22"/>
              </w:rPr>
              <w:t>High p</w:t>
            </w:r>
            <w:r w:rsidRPr="00A9114C">
              <w:rPr>
                <w:rFonts w:cstheme="minorHAnsi"/>
                <w:spacing w:val="-2"/>
                <w:sz w:val="22"/>
                <w:szCs w:val="22"/>
              </w:rPr>
              <w:t xml:space="preserve">ersonnel costs </w:t>
            </w:r>
          </w:p>
          <w:p w14:paraId="1A249873" w14:textId="77777777" w:rsidR="00D7631D" w:rsidRPr="00A9114C" w:rsidRDefault="00D7631D" w:rsidP="003F4A03">
            <w:pPr>
              <w:pStyle w:val="BodyText"/>
              <w:spacing w:before="0" w:after="80" w:line="240" w:lineRule="auto"/>
              <w:rPr>
                <w:rFonts w:cstheme="minorHAnsi"/>
                <w:spacing w:val="-2"/>
                <w:sz w:val="22"/>
                <w:szCs w:val="22"/>
              </w:rPr>
            </w:pPr>
            <w:r w:rsidRPr="00A9114C">
              <w:rPr>
                <w:rFonts w:cstheme="minorHAnsi"/>
                <w:spacing w:val="-2"/>
                <w:sz w:val="22"/>
                <w:szCs w:val="22"/>
              </w:rPr>
              <w:t>Often delivered through intermediaries (managing contractors</w:t>
            </w:r>
            <w:r>
              <w:rPr>
                <w:rFonts w:cstheme="minorHAnsi"/>
                <w:spacing w:val="-2"/>
                <w:sz w:val="22"/>
                <w:szCs w:val="22"/>
              </w:rPr>
              <w:t xml:space="preserve"> or multilateral institutions)</w:t>
            </w:r>
          </w:p>
        </w:tc>
        <w:tc>
          <w:tcPr>
            <w:tcW w:w="1250" w:type="pct"/>
            <w:shd w:val="clear" w:color="auto" w:fill="D8DCDB" w:themeFill="background2"/>
          </w:tcPr>
          <w:p w14:paraId="08F92575" w14:textId="77777777" w:rsidR="00D7631D" w:rsidRDefault="00D7631D" w:rsidP="003F4A03">
            <w:pPr>
              <w:pStyle w:val="BodyText"/>
              <w:spacing w:before="0" w:after="80" w:line="240" w:lineRule="auto"/>
              <w:rPr>
                <w:rFonts w:cstheme="minorHAnsi"/>
                <w:bCs/>
                <w:spacing w:val="-2"/>
                <w:sz w:val="22"/>
                <w:szCs w:val="22"/>
              </w:rPr>
            </w:pPr>
            <w:r w:rsidRPr="00A9114C">
              <w:rPr>
                <w:rFonts w:cstheme="minorHAnsi"/>
                <w:bCs/>
                <w:spacing w:val="-2"/>
                <w:sz w:val="22"/>
                <w:szCs w:val="22"/>
              </w:rPr>
              <w:t>Matching grants for feasibility studies</w:t>
            </w:r>
          </w:p>
          <w:p w14:paraId="591EBD63" w14:textId="77777777" w:rsidR="00D7631D" w:rsidRPr="00A9114C" w:rsidRDefault="00D7631D" w:rsidP="003F4A03">
            <w:pPr>
              <w:pStyle w:val="BodyText"/>
              <w:spacing w:before="0" w:after="80" w:line="240" w:lineRule="auto"/>
              <w:rPr>
                <w:rFonts w:cstheme="minorHAnsi"/>
                <w:bCs/>
                <w:spacing w:val="-2"/>
                <w:sz w:val="22"/>
                <w:szCs w:val="22"/>
              </w:rPr>
            </w:pPr>
            <w:r w:rsidRPr="00A9114C">
              <w:rPr>
                <w:rFonts w:cstheme="minorHAnsi"/>
                <w:bCs/>
                <w:spacing w:val="-2"/>
                <w:sz w:val="22"/>
                <w:szCs w:val="22"/>
              </w:rPr>
              <w:t xml:space="preserve">Funding/technical assistance for </w:t>
            </w:r>
            <w:r>
              <w:rPr>
                <w:rFonts w:cstheme="minorHAnsi"/>
                <w:bCs/>
                <w:spacing w:val="-2"/>
                <w:sz w:val="22"/>
                <w:szCs w:val="22"/>
              </w:rPr>
              <w:t>implementing</w:t>
            </w:r>
            <w:r w:rsidRPr="00A9114C">
              <w:rPr>
                <w:rFonts w:cstheme="minorHAnsi"/>
                <w:bCs/>
                <w:spacing w:val="-2"/>
                <w:sz w:val="22"/>
                <w:szCs w:val="22"/>
              </w:rPr>
              <w:t xml:space="preserve"> shared value projects or after consultation with businesses </w:t>
            </w:r>
          </w:p>
        </w:tc>
        <w:tc>
          <w:tcPr>
            <w:tcW w:w="1250" w:type="pct"/>
            <w:shd w:val="clear" w:color="auto" w:fill="D8DCDB" w:themeFill="background2"/>
          </w:tcPr>
          <w:p w14:paraId="0B546E89" w14:textId="77777777" w:rsidR="00D7631D" w:rsidRPr="005E7DDC" w:rsidRDefault="00D7631D" w:rsidP="003F4A03">
            <w:pPr>
              <w:pStyle w:val="BodyText"/>
              <w:spacing w:before="0" w:after="80" w:line="240" w:lineRule="auto"/>
              <w:rPr>
                <w:rFonts w:cstheme="minorHAnsi"/>
                <w:bCs/>
                <w:spacing w:val="-2"/>
                <w:sz w:val="22"/>
                <w:szCs w:val="22"/>
              </w:rPr>
            </w:pPr>
            <w:r>
              <w:rPr>
                <w:rFonts w:cstheme="minorHAnsi"/>
                <w:bCs/>
                <w:spacing w:val="-2"/>
                <w:sz w:val="22"/>
                <w:szCs w:val="22"/>
              </w:rPr>
              <w:t xml:space="preserve">Through Investing in Women, </w:t>
            </w:r>
            <w:r w:rsidRPr="001A1E4C">
              <w:rPr>
                <w:rFonts w:cstheme="minorHAnsi"/>
                <w:bCs/>
                <w:spacing w:val="-2"/>
                <w:sz w:val="22"/>
                <w:szCs w:val="22"/>
              </w:rPr>
              <w:t xml:space="preserve">DFAT is supporting the growth of the impact investing market to demonstrate the financial returns and development impact of investing in this way in the region </w:t>
            </w:r>
          </w:p>
        </w:tc>
      </w:tr>
      <w:tr w:rsidR="00D7631D" w:rsidRPr="00A9114C" w14:paraId="7A4E654F" w14:textId="77777777" w:rsidTr="00D7631D">
        <w:tblPrEx>
          <w:tblLook w:val="04A0" w:firstRow="1" w:lastRow="0" w:firstColumn="1" w:lastColumn="0" w:noHBand="0" w:noVBand="1"/>
        </w:tblPrEx>
        <w:trPr>
          <w:trHeight w:val="1480"/>
          <w:jc w:val="center"/>
        </w:trPr>
        <w:tc>
          <w:tcPr>
            <w:tcW w:w="1250" w:type="pct"/>
            <w:shd w:val="clear" w:color="auto" w:fill="D8DCDB" w:themeFill="background2"/>
          </w:tcPr>
          <w:p w14:paraId="341450E9" w14:textId="77777777" w:rsidR="00D7631D" w:rsidRPr="00A9114C" w:rsidRDefault="00D7631D" w:rsidP="003F4A03">
            <w:pPr>
              <w:pStyle w:val="BodyText"/>
              <w:spacing w:before="0" w:after="80" w:line="240" w:lineRule="auto"/>
              <w:rPr>
                <w:rFonts w:cstheme="minorHAnsi"/>
                <w:spacing w:val="-2"/>
                <w:sz w:val="22"/>
                <w:szCs w:val="22"/>
              </w:rPr>
            </w:pPr>
            <w:r w:rsidRPr="00A9114C">
              <w:rPr>
                <w:rFonts w:cstheme="minorHAnsi"/>
                <w:b/>
                <w:spacing w:val="-2"/>
                <w:sz w:val="22"/>
                <w:szCs w:val="22"/>
              </w:rPr>
              <w:t>Capacity development</w:t>
            </w:r>
          </w:p>
          <w:p w14:paraId="0A70C26E" w14:textId="77777777" w:rsidR="00D7631D" w:rsidRDefault="00D7631D" w:rsidP="003F4A03">
            <w:pPr>
              <w:pStyle w:val="BodyText"/>
              <w:spacing w:before="0" w:after="80" w:line="240" w:lineRule="auto"/>
              <w:rPr>
                <w:rFonts w:cstheme="minorHAnsi"/>
                <w:spacing w:val="-2"/>
                <w:sz w:val="22"/>
                <w:szCs w:val="22"/>
              </w:rPr>
            </w:pPr>
            <w:r w:rsidRPr="00A9114C">
              <w:rPr>
                <w:rFonts w:cstheme="minorHAnsi"/>
                <w:spacing w:val="-2"/>
                <w:sz w:val="22"/>
                <w:szCs w:val="22"/>
              </w:rPr>
              <w:t>Improve private sector actors’ capacity to con</w:t>
            </w:r>
            <w:r>
              <w:rPr>
                <w:rFonts w:cstheme="minorHAnsi"/>
                <w:spacing w:val="-2"/>
                <w:sz w:val="22"/>
                <w:szCs w:val="22"/>
              </w:rPr>
              <w:t>tribute to development results</w:t>
            </w:r>
          </w:p>
          <w:p w14:paraId="22DFA9E3" w14:textId="77777777" w:rsidR="00D7631D" w:rsidRPr="00A9114C" w:rsidRDefault="00D7631D" w:rsidP="003F4A03">
            <w:pPr>
              <w:pStyle w:val="BodyText"/>
              <w:spacing w:before="0" w:after="80" w:line="240" w:lineRule="auto"/>
              <w:rPr>
                <w:rFonts w:cstheme="minorHAnsi"/>
                <w:spacing w:val="-2"/>
                <w:sz w:val="22"/>
                <w:szCs w:val="22"/>
              </w:rPr>
            </w:pPr>
            <w:r w:rsidRPr="00A9114C">
              <w:rPr>
                <w:rFonts w:cstheme="minorHAnsi"/>
                <w:spacing w:val="-2"/>
                <w:sz w:val="22"/>
                <w:szCs w:val="22"/>
              </w:rPr>
              <w:t>Chang</w:t>
            </w:r>
            <w:r>
              <w:rPr>
                <w:rFonts w:cstheme="minorHAnsi"/>
                <w:spacing w:val="-2"/>
                <w:sz w:val="22"/>
                <w:szCs w:val="22"/>
              </w:rPr>
              <w:t>e or modify business operations</w:t>
            </w:r>
          </w:p>
        </w:tc>
        <w:tc>
          <w:tcPr>
            <w:tcW w:w="1250" w:type="pct"/>
            <w:shd w:val="clear" w:color="auto" w:fill="D8DCDB" w:themeFill="background2"/>
          </w:tcPr>
          <w:p w14:paraId="79853E95" w14:textId="77777777" w:rsidR="00D7631D" w:rsidRPr="00A9114C" w:rsidRDefault="00D7631D" w:rsidP="003F4A03">
            <w:pPr>
              <w:pStyle w:val="BodyText"/>
              <w:spacing w:before="0" w:after="80" w:line="240" w:lineRule="auto"/>
              <w:rPr>
                <w:rFonts w:cstheme="minorHAnsi"/>
                <w:spacing w:val="-2"/>
                <w:sz w:val="22"/>
                <w:szCs w:val="22"/>
              </w:rPr>
            </w:pPr>
            <w:r w:rsidRPr="00A9114C">
              <w:rPr>
                <w:rFonts w:cstheme="minorHAnsi"/>
                <w:spacing w:val="-2"/>
                <w:sz w:val="22"/>
                <w:szCs w:val="22"/>
              </w:rPr>
              <w:t>Personnel costs can be high</w:t>
            </w:r>
          </w:p>
          <w:p w14:paraId="07BEC129" w14:textId="77777777" w:rsidR="00D7631D" w:rsidRPr="00A9114C" w:rsidRDefault="00D7631D" w:rsidP="003F4A03">
            <w:pPr>
              <w:pStyle w:val="BodyText"/>
              <w:spacing w:before="0" w:after="80" w:line="240" w:lineRule="auto"/>
              <w:rPr>
                <w:rFonts w:cstheme="minorHAnsi"/>
                <w:spacing w:val="-2"/>
                <w:sz w:val="22"/>
                <w:szCs w:val="22"/>
              </w:rPr>
            </w:pPr>
            <w:r w:rsidRPr="00A9114C">
              <w:rPr>
                <w:rFonts w:cstheme="minorHAnsi"/>
                <w:spacing w:val="-2"/>
                <w:sz w:val="22"/>
                <w:szCs w:val="22"/>
              </w:rPr>
              <w:t xml:space="preserve">Requires a high level of technical expertise </w:t>
            </w:r>
          </w:p>
          <w:p w14:paraId="3C04EC14" w14:textId="77777777" w:rsidR="00D7631D" w:rsidRPr="00A9114C" w:rsidRDefault="00D7631D" w:rsidP="003F4A03">
            <w:pPr>
              <w:pStyle w:val="BodyText"/>
              <w:spacing w:before="0" w:after="80" w:line="240" w:lineRule="auto"/>
              <w:rPr>
                <w:rFonts w:cstheme="minorHAnsi"/>
                <w:spacing w:val="-2"/>
                <w:sz w:val="22"/>
                <w:szCs w:val="22"/>
              </w:rPr>
            </w:pPr>
            <w:r w:rsidRPr="00A9114C">
              <w:rPr>
                <w:rFonts w:cstheme="minorHAnsi"/>
                <w:spacing w:val="-2"/>
                <w:sz w:val="22"/>
                <w:szCs w:val="22"/>
              </w:rPr>
              <w:t>Delivered through third party</w:t>
            </w:r>
          </w:p>
        </w:tc>
        <w:tc>
          <w:tcPr>
            <w:tcW w:w="1250" w:type="pct"/>
            <w:shd w:val="clear" w:color="auto" w:fill="D8DCDB" w:themeFill="background2"/>
          </w:tcPr>
          <w:p w14:paraId="23E19F39" w14:textId="77777777" w:rsidR="00D7631D" w:rsidRPr="00A9114C" w:rsidRDefault="00D7631D" w:rsidP="003F4A03">
            <w:pPr>
              <w:pStyle w:val="BodyText"/>
              <w:spacing w:before="0" w:after="80" w:line="240" w:lineRule="auto"/>
              <w:rPr>
                <w:rFonts w:cstheme="minorHAnsi"/>
                <w:b/>
                <w:spacing w:val="-2"/>
                <w:sz w:val="22"/>
                <w:szCs w:val="22"/>
              </w:rPr>
            </w:pPr>
            <w:r w:rsidRPr="00A9114C">
              <w:rPr>
                <w:rFonts w:cstheme="minorHAnsi"/>
                <w:bCs/>
                <w:spacing w:val="-2"/>
                <w:sz w:val="22"/>
                <w:szCs w:val="22"/>
              </w:rPr>
              <w:t>Fund/implement training of company staff to help modify business operations</w:t>
            </w:r>
            <w:r>
              <w:rPr>
                <w:rFonts w:cstheme="minorHAnsi"/>
                <w:bCs/>
                <w:spacing w:val="-2"/>
                <w:sz w:val="22"/>
                <w:szCs w:val="22"/>
              </w:rPr>
              <w:t xml:space="preserve"> and capacity-building intermediaries</w:t>
            </w:r>
          </w:p>
        </w:tc>
        <w:tc>
          <w:tcPr>
            <w:tcW w:w="1250" w:type="pct"/>
            <w:shd w:val="clear" w:color="auto" w:fill="D8DCDB" w:themeFill="background2"/>
          </w:tcPr>
          <w:p w14:paraId="21A60D06" w14:textId="77777777" w:rsidR="00D7631D" w:rsidRPr="005E7DDC" w:rsidRDefault="00D7631D" w:rsidP="003F4A03">
            <w:pPr>
              <w:pStyle w:val="BodyText"/>
              <w:spacing w:before="0" w:after="80" w:line="240" w:lineRule="auto"/>
              <w:rPr>
                <w:rFonts w:cstheme="minorHAnsi"/>
                <w:bCs/>
                <w:spacing w:val="-2"/>
                <w:sz w:val="22"/>
                <w:szCs w:val="22"/>
              </w:rPr>
            </w:pPr>
            <w:r w:rsidRPr="005E7DDC">
              <w:rPr>
                <w:rFonts w:cstheme="minorHAnsi"/>
                <w:bCs/>
                <w:spacing w:val="-2"/>
                <w:sz w:val="22"/>
                <w:szCs w:val="22"/>
              </w:rPr>
              <w:t xml:space="preserve">The Scaling Frontier Innovation Incubators has built the capacity of more than 30 incubators and accelerators that work with enterprises across Asia and the Pacific. </w:t>
            </w:r>
          </w:p>
        </w:tc>
      </w:tr>
      <w:tr w:rsidR="00D7631D" w:rsidRPr="00A9114C" w14:paraId="77F2E21B" w14:textId="77777777" w:rsidTr="00D7631D">
        <w:tblPrEx>
          <w:tblLook w:val="04A0" w:firstRow="1" w:lastRow="0" w:firstColumn="1" w:lastColumn="0" w:noHBand="0" w:noVBand="1"/>
        </w:tblPrEx>
        <w:trPr>
          <w:trHeight w:val="558"/>
          <w:jc w:val="center"/>
        </w:trPr>
        <w:tc>
          <w:tcPr>
            <w:tcW w:w="1250" w:type="pct"/>
            <w:shd w:val="clear" w:color="auto" w:fill="D8DCDB" w:themeFill="background2"/>
          </w:tcPr>
          <w:p w14:paraId="2C918881" w14:textId="77777777" w:rsidR="00D7631D" w:rsidRDefault="00D7631D" w:rsidP="003F4A03">
            <w:pPr>
              <w:pStyle w:val="BodyText"/>
              <w:spacing w:before="0" w:after="80" w:line="240" w:lineRule="auto"/>
              <w:rPr>
                <w:rFonts w:cstheme="minorHAnsi"/>
                <w:b/>
                <w:spacing w:val="-2"/>
                <w:sz w:val="22"/>
                <w:szCs w:val="22"/>
              </w:rPr>
            </w:pPr>
            <w:r w:rsidRPr="00A9114C">
              <w:rPr>
                <w:rFonts w:cstheme="minorHAnsi"/>
                <w:b/>
                <w:spacing w:val="-2"/>
                <w:sz w:val="22"/>
                <w:szCs w:val="22"/>
              </w:rPr>
              <w:t xml:space="preserve">Finance </w:t>
            </w:r>
          </w:p>
          <w:p w14:paraId="662E79A1" w14:textId="77777777" w:rsidR="00D7631D" w:rsidRPr="00A9114C" w:rsidRDefault="00D7631D" w:rsidP="003F4A03">
            <w:pPr>
              <w:pStyle w:val="BodyText"/>
              <w:spacing w:before="0" w:after="80" w:line="240" w:lineRule="auto"/>
              <w:rPr>
                <w:rFonts w:cstheme="minorHAnsi"/>
                <w:spacing w:val="-2"/>
                <w:sz w:val="22"/>
                <w:szCs w:val="22"/>
              </w:rPr>
            </w:pPr>
            <w:r w:rsidRPr="00A9114C">
              <w:rPr>
                <w:rFonts w:cstheme="minorHAnsi"/>
                <w:spacing w:val="-2"/>
                <w:sz w:val="22"/>
                <w:szCs w:val="22"/>
              </w:rPr>
              <w:t>Leverage private</w:t>
            </w:r>
            <w:r>
              <w:rPr>
                <w:rFonts w:cstheme="minorHAnsi"/>
                <w:spacing w:val="-2"/>
                <w:sz w:val="22"/>
                <w:szCs w:val="22"/>
              </w:rPr>
              <w:t xml:space="preserve"> sector finance and investment</w:t>
            </w:r>
          </w:p>
          <w:p w14:paraId="1FFCFB3E" w14:textId="77777777" w:rsidR="00D7631D" w:rsidRPr="00A9114C" w:rsidRDefault="00D7631D" w:rsidP="003F4A03">
            <w:pPr>
              <w:pStyle w:val="BodyText"/>
              <w:spacing w:before="0" w:after="80" w:line="240" w:lineRule="auto"/>
              <w:rPr>
                <w:rFonts w:cstheme="minorHAnsi"/>
                <w:spacing w:val="-2"/>
                <w:sz w:val="22"/>
                <w:szCs w:val="22"/>
              </w:rPr>
            </w:pPr>
            <w:r w:rsidRPr="00A9114C">
              <w:rPr>
                <w:rFonts w:cstheme="minorHAnsi"/>
                <w:spacing w:val="-2"/>
                <w:sz w:val="22"/>
                <w:szCs w:val="22"/>
              </w:rPr>
              <w:t>Support expansion of more and better business including through the promotion of business-to-business partnerships</w:t>
            </w:r>
            <w:r>
              <w:rPr>
                <w:rFonts w:cstheme="minorHAnsi"/>
                <w:spacing w:val="-2"/>
                <w:sz w:val="22"/>
                <w:szCs w:val="22"/>
              </w:rPr>
              <w:t xml:space="preserve"> and </w:t>
            </w:r>
            <w:r w:rsidRPr="00A9114C">
              <w:rPr>
                <w:rFonts w:cstheme="minorHAnsi"/>
                <w:spacing w:val="-2"/>
                <w:sz w:val="22"/>
                <w:szCs w:val="22"/>
              </w:rPr>
              <w:t xml:space="preserve">inclusive business </w:t>
            </w:r>
          </w:p>
        </w:tc>
        <w:tc>
          <w:tcPr>
            <w:tcW w:w="1250" w:type="pct"/>
            <w:shd w:val="clear" w:color="auto" w:fill="D8DCDB" w:themeFill="background2"/>
          </w:tcPr>
          <w:p w14:paraId="473F46A0" w14:textId="77777777" w:rsidR="00D7631D" w:rsidRPr="00A9114C" w:rsidRDefault="00D7631D" w:rsidP="003F4A03">
            <w:pPr>
              <w:pStyle w:val="BodyText"/>
              <w:spacing w:before="0" w:after="80" w:line="240" w:lineRule="auto"/>
              <w:rPr>
                <w:rFonts w:cstheme="minorHAnsi"/>
                <w:spacing w:val="-2"/>
                <w:sz w:val="22"/>
                <w:szCs w:val="22"/>
              </w:rPr>
            </w:pPr>
            <w:r>
              <w:rPr>
                <w:rFonts w:cstheme="minorHAnsi"/>
                <w:spacing w:val="-2"/>
                <w:sz w:val="22"/>
                <w:szCs w:val="22"/>
              </w:rPr>
              <w:t>High p</w:t>
            </w:r>
            <w:r w:rsidRPr="00A9114C">
              <w:rPr>
                <w:rFonts w:cstheme="minorHAnsi"/>
                <w:spacing w:val="-2"/>
                <w:sz w:val="22"/>
                <w:szCs w:val="22"/>
              </w:rPr>
              <w:t xml:space="preserve">ersonnel costs </w:t>
            </w:r>
          </w:p>
          <w:p w14:paraId="61853E71" w14:textId="77777777" w:rsidR="00D7631D" w:rsidRPr="00A9114C" w:rsidRDefault="00D7631D" w:rsidP="003F4A03">
            <w:pPr>
              <w:pStyle w:val="BodyText"/>
              <w:spacing w:before="0" w:after="80" w:line="240" w:lineRule="auto"/>
              <w:rPr>
                <w:rFonts w:cstheme="minorHAnsi"/>
                <w:spacing w:val="-2"/>
                <w:sz w:val="22"/>
                <w:szCs w:val="22"/>
              </w:rPr>
            </w:pPr>
            <w:r w:rsidRPr="00A9114C">
              <w:rPr>
                <w:rFonts w:cstheme="minorHAnsi"/>
                <w:spacing w:val="-2"/>
                <w:sz w:val="22"/>
                <w:szCs w:val="22"/>
              </w:rPr>
              <w:t xml:space="preserve">Normally delivered through intermediaries </w:t>
            </w:r>
          </w:p>
          <w:p w14:paraId="4FB9587B" w14:textId="77777777" w:rsidR="00D7631D" w:rsidRPr="00A9114C" w:rsidRDefault="00D7631D" w:rsidP="003F4A03">
            <w:pPr>
              <w:pStyle w:val="BodyText"/>
              <w:spacing w:before="0" w:after="80" w:line="240" w:lineRule="auto"/>
              <w:rPr>
                <w:rFonts w:cstheme="minorHAnsi"/>
                <w:spacing w:val="-2"/>
                <w:sz w:val="22"/>
                <w:szCs w:val="22"/>
              </w:rPr>
            </w:pPr>
            <w:r w:rsidRPr="00A9114C">
              <w:rPr>
                <w:rFonts w:cstheme="minorHAnsi"/>
                <w:spacing w:val="-2"/>
                <w:sz w:val="22"/>
                <w:szCs w:val="22"/>
              </w:rPr>
              <w:t>Large-scale impacts are possible long-term</w:t>
            </w:r>
          </w:p>
          <w:p w14:paraId="148441F3" w14:textId="77777777" w:rsidR="00D7631D" w:rsidRPr="00A9114C" w:rsidRDefault="00D7631D" w:rsidP="003F4A03">
            <w:pPr>
              <w:pStyle w:val="BodyText"/>
              <w:spacing w:before="0" w:after="80" w:line="240" w:lineRule="auto"/>
              <w:rPr>
                <w:rFonts w:cstheme="minorHAnsi"/>
                <w:spacing w:val="-2"/>
                <w:sz w:val="22"/>
                <w:szCs w:val="22"/>
              </w:rPr>
            </w:pPr>
            <w:r w:rsidRPr="00A9114C">
              <w:rPr>
                <w:rFonts w:cstheme="minorHAnsi"/>
                <w:spacing w:val="-2"/>
                <w:sz w:val="22"/>
                <w:szCs w:val="22"/>
              </w:rPr>
              <w:t>Can involve partnering with a diverse range of businesses from small to international</w:t>
            </w:r>
          </w:p>
        </w:tc>
        <w:tc>
          <w:tcPr>
            <w:tcW w:w="1250" w:type="pct"/>
            <w:shd w:val="clear" w:color="auto" w:fill="D8DCDB" w:themeFill="background2"/>
          </w:tcPr>
          <w:p w14:paraId="30E2C3E5" w14:textId="77777777" w:rsidR="00D7631D" w:rsidRPr="00A9114C" w:rsidRDefault="00D7631D" w:rsidP="003F4A03">
            <w:pPr>
              <w:pStyle w:val="BodyText"/>
              <w:spacing w:before="0" w:after="80" w:line="240" w:lineRule="auto"/>
              <w:rPr>
                <w:rFonts w:cstheme="minorHAnsi"/>
                <w:spacing w:val="-2"/>
                <w:sz w:val="22"/>
                <w:szCs w:val="22"/>
              </w:rPr>
            </w:pPr>
            <w:r>
              <w:rPr>
                <w:rFonts w:cstheme="minorHAnsi"/>
                <w:spacing w:val="-2"/>
                <w:sz w:val="22"/>
                <w:szCs w:val="22"/>
              </w:rPr>
              <w:t>Matching grants/co</w:t>
            </w:r>
            <w:r>
              <w:rPr>
                <w:rFonts w:cstheme="minorHAnsi"/>
                <w:spacing w:val="-2"/>
                <w:sz w:val="22"/>
                <w:szCs w:val="22"/>
              </w:rPr>
              <w:noBreakHyphen/>
            </w:r>
            <w:r w:rsidRPr="00A9114C">
              <w:rPr>
                <w:rFonts w:cstheme="minorHAnsi"/>
                <w:spacing w:val="-2"/>
                <w:sz w:val="22"/>
                <w:szCs w:val="22"/>
              </w:rPr>
              <w:t xml:space="preserve">funding </w:t>
            </w:r>
            <w:r>
              <w:rPr>
                <w:rFonts w:cstheme="minorHAnsi"/>
                <w:spacing w:val="-2"/>
                <w:sz w:val="22"/>
                <w:szCs w:val="22"/>
              </w:rPr>
              <w:t>programs</w:t>
            </w:r>
            <w:r w:rsidRPr="00A9114C">
              <w:rPr>
                <w:rFonts w:cstheme="minorHAnsi"/>
                <w:spacing w:val="-2"/>
                <w:sz w:val="22"/>
                <w:szCs w:val="22"/>
              </w:rPr>
              <w:t xml:space="preserve"> that deliver development and commercial returns </w:t>
            </w:r>
          </w:p>
          <w:p w14:paraId="06820003" w14:textId="77777777" w:rsidR="00D7631D" w:rsidRPr="00A9114C" w:rsidRDefault="00D7631D" w:rsidP="003F4A03">
            <w:pPr>
              <w:pStyle w:val="BodyText"/>
              <w:spacing w:before="0" w:after="80" w:line="240" w:lineRule="auto"/>
              <w:rPr>
                <w:rFonts w:cstheme="minorHAnsi"/>
                <w:spacing w:val="-2"/>
                <w:sz w:val="22"/>
                <w:szCs w:val="22"/>
              </w:rPr>
            </w:pPr>
            <w:r>
              <w:rPr>
                <w:rFonts w:cstheme="minorHAnsi"/>
                <w:spacing w:val="-2"/>
                <w:sz w:val="22"/>
                <w:szCs w:val="22"/>
              </w:rPr>
              <w:t>Co-</w:t>
            </w:r>
            <w:r w:rsidRPr="00A9114C">
              <w:rPr>
                <w:rFonts w:cstheme="minorHAnsi"/>
                <w:spacing w:val="-2"/>
                <w:sz w:val="22"/>
                <w:szCs w:val="22"/>
              </w:rPr>
              <w:t xml:space="preserve">designed and resourced programs: collaborations to </w:t>
            </w:r>
            <w:r>
              <w:rPr>
                <w:rFonts w:cstheme="minorHAnsi"/>
                <w:spacing w:val="-2"/>
                <w:sz w:val="22"/>
                <w:szCs w:val="22"/>
              </w:rPr>
              <w:t>develop</w:t>
            </w:r>
            <w:r w:rsidRPr="00A9114C">
              <w:rPr>
                <w:rFonts w:cstheme="minorHAnsi"/>
                <w:spacing w:val="-2"/>
                <w:sz w:val="22"/>
                <w:szCs w:val="22"/>
              </w:rPr>
              <w:t xml:space="preserve"> a product or value chain </w:t>
            </w:r>
          </w:p>
        </w:tc>
        <w:tc>
          <w:tcPr>
            <w:tcW w:w="1250" w:type="pct"/>
            <w:shd w:val="clear" w:color="auto" w:fill="D8DCDB" w:themeFill="background2"/>
          </w:tcPr>
          <w:p w14:paraId="44472212" w14:textId="77777777" w:rsidR="00D7631D" w:rsidRPr="001A1E4C" w:rsidRDefault="00D7631D" w:rsidP="003F4A03">
            <w:pPr>
              <w:pStyle w:val="BodyText"/>
              <w:spacing w:before="0" w:after="80" w:line="240" w:lineRule="auto"/>
              <w:rPr>
                <w:rFonts w:cstheme="minorHAnsi"/>
                <w:spacing w:val="-2"/>
                <w:sz w:val="22"/>
                <w:szCs w:val="22"/>
              </w:rPr>
            </w:pPr>
            <w:r w:rsidRPr="001A1E4C">
              <w:rPr>
                <w:rFonts w:cstheme="minorHAnsi"/>
                <w:spacing w:val="-2"/>
                <w:sz w:val="22"/>
                <w:szCs w:val="22"/>
              </w:rPr>
              <w:t>Pacific RISE provides support to develop a market for impact investing in the Pacific, including assistance to SMEs to source financing. This is partnering supported by an intermediary.</w:t>
            </w:r>
          </w:p>
        </w:tc>
      </w:tr>
    </w:tbl>
    <w:p w14:paraId="00676EA4" w14:textId="77777777" w:rsidR="00BC5F46" w:rsidRPr="009F0C7B" w:rsidRDefault="00BC5F46" w:rsidP="00BC5F46">
      <w:pPr>
        <w:pStyle w:val="Heading2"/>
        <w:numPr>
          <w:ilvl w:val="0"/>
          <w:numId w:val="21"/>
        </w:numPr>
      </w:pPr>
      <w:bookmarkStart w:id="3" w:name="_Toc26802481"/>
      <w:r w:rsidRPr="009F0C7B">
        <w:lastRenderedPageBreak/>
        <w:t>Principles</w:t>
      </w:r>
      <w:bookmarkEnd w:id="3"/>
    </w:p>
    <w:p w14:paraId="1B0C4AB2" w14:textId="77777777" w:rsidR="00BC5F46" w:rsidRPr="009F0C7B" w:rsidRDefault="00BC5F46" w:rsidP="00BC5F46">
      <w:r w:rsidRPr="009F0C7B">
        <w:t xml:space="preserve">Within DFAT there are two </w:t>
      </w:r>
      <w:r>
        <w:t>approaches</w:t>
      </w:r>
      <w:r w:rsidRPr="009F0C7B">
        <w:t xml:space="preserve"> to partnering with the private sector: </w:t>
      </w:r>
      <w:r w:rsidRPr="009F0C7B">
        <w:rPr>
          <w:b/>
        </w:rPr>
        <w:t>financial partnerships</w:t>
      </w:r>
      <w:r w:rsidRPr="009F0C7B">
        <w:t xml:space="preserve"> and </w:t>
      </w:r>
      <w:r>
        <w:rPr>
          <w:b/>
        </w:rPr>
        <w:t>collaborative (non-financial</w:t>
      </w:r>
      <w:r w:rsidR="00975D65">
        <w:rPr>
          <w:b/>
        </w:rPr>
        <w:t>/less formal</w:t>
      </w:r>
      <w:r w:rsidRPr="009F0C7B">
        <w:rPr>
          <w:b/>
        </w:rPr>
        <w:t>) partnerships</w:t>
      </w:r>
      <w:r w:rsidRPr="009F0C7B">
        <w:t xml:space="preserve">. </w:t>
      </w:r>
    </w:p>
    <w:p w14:paraId="419A3C39" w14:textId="77777777" w:rsidR="00BC5F46" w:rsidRDefault="00BC5F46" w:rsidP="00BC5F46">
      <w:r>
        <w:t>Donors have agreed to key guiding principles for working with the private sector</w:t>
      </w:r>
      <w:r>
        <w:rPr>
          <w:rStyle w:val="FootnoteReference"/>
        </w:rPr>
        <w:footnoteReference w:id="3"/>
      </w:r>
      <w:r w:rsidRPr="009F0C7B">
        <w:t xml:space="preserve">. </w:t>
      </w:r>
      <w:r>
        <w:t>T</w:t>
      </w:r>
      <w:r w:rsidRPr="009F0C7B">
        <w:t>hese guiding principles manage risk</w:t>
      </w:r>
      <w:r w:rsidR="0008765F">
        <w:t xml:space="preserve">, </w:t>
      </w:r>
      <w:r w:rsidRPr="009F0C7B">
        <w:t>ensure value for money</w:t>
      </w:r>
      <w:r>
        <w:t>, and underpin well-designed private sector collaborations and partnerships</w:t>
      </w:r>
      <w:r w:rsidRPr="009F0C7B">
        <w:t xml:space="preserve">. </w:t>
      </w:r>
    </w:p>
    <w:p w14:paraId="5505295A" w14:textId="77777777" w:rsidR="00BC5F46" w:rsidRDefault="00BC5F46" w:rsidP="00BC5F46">
      <w:pPr>
        <w:pStyle w:val="Box1Heading"/>
      </w:pPr>
      <w:r>
        <w:tab/>
      </w:r>
      <w:r>
        <w:rPr>
          <w:noProof/>
          <w:lang w:eastAsia="en-AU"/>
        </w:rPr>
        <w:drawing>
          <wp:anchor distT="0" distB="0" distL="114300" distR="114300" simplePos="0" relativeHeight="251676672" behindDoc="0" locked="1" layoutInCell="1" allowOverlap="1" wp14:anchorId="36E2D5E7" wp14:editId="309668A9">
            <wp:simplePos x="0" y="0"/>
            <wp:positionH relativeFrom="column">
              <wp:posOffset>180340</wp:posOffset>
            </wp:positionH>
            <wp:positionV relativeFrom="line">
              <wp:posOffset>226060</wp:posOffset>
            </wp:positionV>
            <wp:extent cx="438785" cy="432435"/>
            <wp:effectExtent l="0" t="0" r="0" b="5715"/>
            <wp:wrapNone/>
            <wp:docPr id="21" name="Picture 21" descr="Mandatory requirements" title="Mandatory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con-01-Key_Messag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8785" cy="4324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t>Partnership</w:t>
      </w:r>
      <w:r>
        <w:t xml:space="preserve"> requirements</w:t>
      </w:r>
    </w:p>
    <w:p w14:paraId="421048F2" w14:textId="77777777" w:rsidR="00BC5F46" w:rsidRPr="00727380" w:rsidRDefault="00BC5F46" w:rsidP="00BC5F46">
      <w:pPr>
        <w:pStyle w:val="Box1Text"/>
      </w:pPr>
      <w:r w:rsidRPr="009F0C7B">
        <w:tab/>
      </w:r>
      <w:r w:rsidRPr="00727380">
        <w:t>All partnerships, financial and non-financial, should adhere to the principles of minimum concessionality, neutrality and sustainability. Additional principles apply to partnerships that involve the provision of financial or technical support to businesses, such as additionality and value for money</w:t>
      </w:r>
      <w:r w:rsidRPr="00727380">
        <w:rPr>
          <w:vertAlign w:val="superscript"/>
        </w:rPr>
        <w:footnoteReference w:id="4"/>
      </w:r>
      <w:r w:rsidRPr="00727380">
        <w:t xml:space="preserve">. </w:t>
      </w:r>
    </w:p>
    <w:p w14:paraId="05CB514C" w14:textId="77777777" w:rsidR="00BC5F46" w:rsidRPr="009F0C7B" w:rsidRDefault="00BC5F46" w:rsidP="00BC5F46">
      <w:pPr>
        <w:pStyle w:val="Heading3"/>
        <w:numPr>
          <w:ilvl w:val="0"/>
          <w:numId w:val="23"/>
        </w:numPr>
        <w:spacing w:before="240"/>
      </w:pPr>
      <w:r w:rsidRPr="009F0C7B">
        <w:t>Crowding in and minimum concessionality</w:t>
      </w:r>
    </w:p>
    <w:p w14:paraId="63FA7ADE" w14:textId="69EBE91B" w:rsidR="00BC5F46" w:rsidRPr="00521F53" w:rsidRDefault="00BC5F46" w:rsidP="00BC5F46">
      <w:pPr>
        <w:ind w:left="360"/>
      </w:pPr>
      <w:r w:rsidRPr="009F0C7B">
        <w:t xml:space="preserve">Support to the private sector should contribute to catalysing market development and the mobilisation of private sector resources. </w:t>
      </w:r>
      <w:r>
        <w:t xml:space="preserve">Financial support should be structured to encourage private investment that would otherwise have gone elsewhere or to bring in private investors that would otherwise not participate. Financial support should be provided at the minimum level necessary to induce private sector participation </w:t>
      </w:r>
      <w:r w:rsidRPr="009F0C7B">
        <w:t xml:space="preserve">and </w:t>
      </w:r>
      <w:r>
        <w:t xml:space="preserve">should </w:t>
      </w:r>
      <w:r w:rsidRPr="009F0C7B">
        <w:t xml:space="preserve">maximise the </w:t>
      </w:r>
      <w:r>
        <w:t>amount</w:t>
      </w:r>
      <w:r w:rsidRPr="009F0C7B">
        <w:t xml:space="preserve"> of private funding.</w:t>
      </w:r>
      <w:r>
        <w:t xml:space="preserve"> Providing financial support that is greater than necessary to induce the intended investment can distort financial markets and subsidise private sector activity, representing an inefficient allocation of resources. See </w:t>
      </w:r>
      <w:r w:rsidR="00D7631D">
        <w:rPr>
          <w:b/>
        </w:rPr>
        <w:t>Annex 1</w:t>
      </w:r>
      <w:r>
        <w:rPr>
          <w:b/>
        </w:rPr>
        <w:t>: Minimum Concessionality Flowchart</w:t>
      </w:r>
      <w:r>
        <w:t xml:space="preserve"> for additional information. </w:t>
      </w:r>
    </w:p>
    <w:p w14:paraId="1B488193" w14:textId="77777777" w:rsidR="00BC5F46" w:rsidRPr="009F0C7B" w:rsidRDefault="00BC5F46" w:rsidP="00BC5F46">
      <w:pPr>
        <w:pStyle w:val="Heading3"/>
        <w:numPr>
          <w:ilvl w:val="0"/>
          <w:numId w:val="23"/>
        </w:numPr>
        <w:spacing w:before="240"/>
      </w:pPr>
      <w:r w:rsidRPr="009F0C7B">
        <w:t>Neutrality and reinforcing markets</w:t>
      </w:r>
    </w:p>
    <w:p w14:paraId="479F9F98" w14:textId="77777777" w:rsidR="00BC5F46" w:rsidRPr="009F0C7B" w:rsidRDefault="00BC5F46" w:rsidP="00BC5F46">
      <w:pPr>
        <w:ind w:left="360"/>
      </w:pPr>
      <w:r w:rsidRPr="009F0C7B">
        <w:t>Support should not provide one business with an unfair advantage over competitors.</w:t>
      </w:r>
      <w:r>
        <w:t xml:space="preserve"> Further, i</w:t>
      </w:r>
      <w:r w:rsidRPr="009F0C7B">
        <w:t>t should minimise the risk of unduly distorting markets or crowding out new entrants into the market.</w:t>
      </w:r>
      <w:r w:rsidRPr="00151498">
        <w:t xml:space="preserve"> </w:t>
      </w:r>
      <w:r>
        <w:t xml:space="preserve">The use of open, transparent bidding and tendering processes when selecting private sector partners can reinforce the operation of markets by placing all market participants on equal footing. Similarly, offering rolling application processes can ensure opportunities are available to a larger pool of private sector firms. In underdeveloped markets where there are a small number of private firms operating, it can be necessary to partner with a preferred firm. This should be done in a way that improves the operation of the market as a whole and encourages new entrants over time. The </w:t>
      </w:r>
      <w:r w:rsidRPr="00212DCF">
        <w:t>Development Finance Section</w:t>
      </w:r>
      <w:r>
        <w:t xml:space="preserve"> is available to provide support on this topic.       </w:t>
      </w:r>
    </w:p>
    <w:p w14:paraId="51BA7717" w14:textId="77777777" w:rsidR="00BC5F46" w:rsidRPr="009F0C7B" w:rsidRDefault="00BC5F46" w:rsidP="00BC5F46">
      <w:pPr>
        <w:pStyle w:val="Heading3"/>
        <w:numPr>
          <w:ilvl w:val="0"/>
          <w:numId w:val="23"/>
        </w:numPr>
        <w:spacing w:before="240"/>
      </w:pPr>
      <w:r w:rsidRPr="009F0C7B">
        <w:t>Sustainability</w:t>
      </w:r>
    </w:p>
    <w:p w14:paraId="79778445" w14:textId="77777777" w:rsidR="00BC5F46" w:rsidRPr="009F0C7B" w:rsidRDefault="00BC5F46" w:rsidP="00BC5F46">
      <w:pPr>
        <w:ind w:left="360"/>
      </w:pPr>
      <w:r w:rsidRPr="009F0C7B">
        <w:t xml:space="preserve">The partnership should have lasting development impacts and contribute towards the long-term commercial viability of the business or the relevant sector more broadly. There is an expectation that future investments in similar projects in a given sector will gradually require less financial support </w:t>
      </w:r>
      <w:r w:rsidR="003C273D">
        <w:t xml:space="preserve">from the aid community </w:t>
      </w:r>
      <w:r w:rsidRPr="009F0C7B">
        <w:t>and eventually none. However, depending on the context, commercial sustainability and independent commercial replication may only be achievable over time. It is important to maintain a high level of scrutiny of the commercial viability of private sector partners</w:t>
      </w:r>
      <w:r>
        <w:t xml:space="preserve"> (such as through </w:t>
      </w:r>
      <w:r w:rsidR="003C273D">
        <w:t xml:space="preserve">flexibility in responding to evolving markets, </w:t>
      </w:r>
      <w:r>
        <w:t>due diligence assessments and robust monitoring and evaluation)</w:t>
      </w:r>
      <w:r w:rsidRPr="009F0C7B">
        <w:t xml:space="preserve">, and </w:t>
      </w:r>
      <w:r w:rsidRPr="009F0C7B">
        <w:lastRenderedPageBreak/>
        <w:t>reduce the level of support extended to repeat projects as market failures and other obstacles are reduced.</w:t>
      </w:r>
    </w:p>
    <w:p w14:paraId="791A3FE0" w14:textId="77777777" w:rsidR="00BC5F46" w:rsidRPr="009F0C7B" w:rsidRDefault="00BC5F46" w:rsidP="00BC5F46">
      <w:pPr>
        <w:pStyle w:val="Heading3"/>
        <w:numPr>
          <w:ilvl w:val="0"/>
          <w:numId w:val="23"/>
        </w:numPr>
        <w:spacing w:before="240"/>
      </w:pPr>
      <w:r w:rsidRPr="009F0C7B">
        <w:t>Additionality</w:t>
      </w:r>
    </w:p>
    <w:p w14:paraId="7F117B78" w14:textId="1920DC7C" w:rsidR="00BC5F46" w:rsidRDefault="00BC5F46" w:rsidP="00BC5F46">
      <w:pPr>
        <w:ind w:left="360"/>
      </w:pPr>
      <w:r w:rsidRPr="009F0C7B">
        <w:t>The principle of additionality must underpin all financial partnerships with the private sector: donors should not support activities that a business would have financed themselves and/or has the expertise to implement alone</w:t>
      </w:r>
      <w:r>
        <w:t xml:space="preserve"> (see </w:t>
      </w:r>
      <w:r w:rsidRPr="00E71545">
        <w:rPr>
          <w:b/>
        </w:rPr>
        <w:t xml:space="preserve">Annex </w:t>
      </w:r>
      <w:r w:rsidR="00D7631D">
        <w:rPr>
          <w:b/>
        </w:rPr>
        <w:t>2:</w:t>
      </w:r>
      <w:r>
        <w:rPr>
          <w:b/>
        </w:rPr>
        <w:t xml:space="preserve"> DCED Decision-Making Flowchart</w:t>
      </w:r>
      <w:r>
        <w:t xml:space="preserve"> for detail on </w:t>
      </w:r>
      <w:r>
        <w:rPr>
          <w:rFonts w:ascii="Calibri Light" w:hAnsi="Calibri Light"/>
        </w:rPr>
        <w:t xml:space="preserve">determining </w:t>
      </w:r>
      <w:r w:rsidRPr="009F0C7B">
        <w:rPr>
          <w:rFonts w:ascii="Calibri Light" w:hAnsi="Calibri Light"/>
        </w:rPr>
        <w:t>additionality</w:t>
      </w:r>
      <w:r>
        <w:rPr>
          <w:rFonts w:ascii="Calibri Light" w:hAnsi="Calibri Light"/>
        </w:rPr>
        <w:t>)</w:t>
      </w:r>
      <w:r w:rsidRPr="009F0C7B">
        <w:t xml:space="preserve">. Additionality triggers investments that businesses would not make otherwise, or to make them occur more quickly, at a greater scale, or with stronger development outcomes. </w:t>
      </w:r>
      <w:r>
        <w:t>B</w:t>
      </w:r>
      <w:r w:rsidRPr="009F0C7B">
        <w:t xml:space="preserve">lended finance </w:t>
      </w:r>
      <w:r>
        <w:t xml:space="preserve">can be used </w:t>
      </w:r>
      <w:r w:rsidRPr="009F0C7B">
        <w:t xml:space="preserve">when a specific project cannot be </w:t>
      </w:r>
      <w:r>
        <w:t>funded</w:t>
      </w:r>
      <w:r w:rsidRPr="009F0C7B">
        <w:t xml:space="preserve"> on a commercial basis due to market failures or other factors. </w:t>
      </w:r>
      <w:r>
        <w:t xml:space="preserve">Blended finance is the strategic use of development funds to mobilise additional finance towards sustainable development in developing countries. </w:t>
      </w:r>
    </w:p>
    <w:p w14:paraId="5CBA979D" w14:textId="77777777" w:rsidR="00BC5F46" w:rsidRPr="00D44758" w:rsidRDefault="00BC5F46" w:rsidP="00BC5F46">
      <w:pPr>
        <w:pStyle w:val="Box2Heading"/>
        <w:ind w:hanging="822"/>
      </w:pPr>
      <w:r>
        <w:tab/>
      </w:r>
      <w:r>
        <w:rPr>
          <w:noProof/>
          <w:lang w:eastAsia="en-AU"/>
        </w:rPr>
        <w:drawing>
          <wp:anchor distT="0" distB="0" distL="114300" distR="114300" simplePos="0" relativeHeight="251663360" behindDoc="0" locked="1" layoutInCell="1" allowOverlap="1" wp14:anchorId="02D982BB" wp14:editId="1539EB0C">
            <wp:simplePos x="0" y="0"/>
            <wp:positionH relativeFrom="column">
              <wp:posOffset>180340</wp:posOffset>
            </wp:positionH>
            <wp:positionV relativeFrom="line">
              <wp:posOffset>248285</wp:posOffset>
            </wp:positionV>
            <wp:extent cx="410845" cy="523240"/>
            <wp:effectExtent l="0" t="0" r="8255" b="0"/>
            <wp:wrapNone/>
            <wp:docPr id="22" name="Picture 22" descr="Key resources" title="Ke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con-01-Key_Message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0845" cy="523240"/>
                    </a:xfrm>
                    <a:prstGeom prst="rect">
                      <a:avLst/>
                    </a:prstGeom>
                  </pic:spPr>
                </pic:pic>
              </a:graphicData>
            </a:graphic>
            <wp14:sizeRelH relativeFrom="margin">
              <wp14:pctWidth>0</wp14:pctWidth>
            </wp14:sizeRelH>
            <wp14:sizeRelV relativeFrom="margin">
              <wp14:pctHeight>0</wp14:pctHeight>
            </wp14:sizeRelV>
          </wp:anchor>
        </w:drawing>
      </w:r>
      <w:r w:rsidRPr="00D44758">
        <w:t>Key resources</w:t>
      </w:r>
    </w:p>
    <w:p w14:paraId="7D5746F6" w14:textId="2A7EEE1E" w:rsidR="00BC5F46" w:rsidRDefault="00BC5F46" w:rsidP="00BC5F46">
      <w:pPr>
        <w:pStyle w:val="Box2Text"/>
        <w:ind w:hanging="822"/>
        <w:rPr>
          <w:rFonts w:ascii="Calibri Light" w:hAnsi="Calibri Light"/>
        </w:rPr>
      </w:pPr>
      <w:r>
        <w:tab/>
      </w:r>
      <w:r w:rsidRPr="009F0C7B">
        <w:rPr>
          <w:rFonts w:ascii="Calibri Light" w:hAnsi="Calibri Light"/>
        </w:rPr>
        <w:t xml:space="preserve">The </w:t>
      </w:r>
      <w:hyperlink r:id="rId27" w:history="1">
        <w:r w:rsidRPr="00727380">
          <w:rPr>
            <w:rStyle w:val="Hyperlink"/>
            <w:color w:val="0070C0"/>
          </w:rPr>
          <w:t>Donor Committee</w:t>
        </w:r>
        <w:r w:rsidRPr="00727380">
          <w:rPr>
            <w:rStyle w:val="Hyperlink"/>
            <w:color w:val="0070C0"/>
          </w:rPr>
          <w:t xml:space="preserve"> </w:t>
        </w:r>
        <w:r w:rsidRPr="00727380">
          <w:rPr>
            <w:rStyle w:val="Hyperlink"/>
            <w:color w:val="0070C0"/>
          </w:rPr>
          <w:t>for Enterprise Development</w:t>
        </w:r>
      </w:hyperlink>
      <w:r w:rsidRPr="009F0C7B">
        <w:rPr>
          <w:rFonts w:ascii="Calibri Light" w:hAnsi="Calibri Light"/>
        </w:rPr>
        <w:t xml:space="preserve"> (DCED) is the leading agency on private sector development best practice. </w:t>
      </w:r>
      <w:r w:rsidR="003C273D">
        <w:rPr>
          <w:rFonts w:ascii="Calibri Light" w:hAnsi="Calibri Light"/>
        </w:rPr>
        <w:t xml:space="preserve">DFAT has endorsed the DCED standard for results measurement and is a member of the DCED. </w:t>
      </w:r>
      <w:r w:rsidRPr="009F0C7B">
        <w:rPr>
          <w:rFonts w:ascii="Calibri Light" w:hAnsi="Calibri Light"/>
        </w:rPr>
        <w:t xml:space="preserve">The </w:t>
      </w:r>
      <w:r w:rsidR="003C273D">
        <w:rPr>
          <w:rFonts w:ascii="Calibri Light" w:hAnsi="Calibri Light"/>
        </w:rPr>
        <w:t xml:space="preserve">committee </w:t>
      </w:r>
      <w:r w:rsidRPr="009F0C7B">
        <w:rPr>
          <w:rFonts w:ascii="Calibri Light" w:hAnsi="Calibri Light"/>
        </w:rPr>
        <w:t>has summarised key crite</w:t>
      </w:r>
      <w:r>
        <w:rPr>
          <w:rFonts w:ascii="Calibri Light" w:hAnsi="Calibri Light"/>
        </w:rPr>
        <w:t>ria into a decision-making flow</w:t>
      </w:r>
      <w:r w:rsidRPr="009F0C7B">
        <w:rPr>
          <w:rFonts w:ascii="Calibri Light" w:hAnsi="Calibri Light"/>
        </w:rPr>
        <w:t xml:space="preserve">chart to assist </w:t>
      </w:r>
      <w:r w:rsidR="0008765F">
        <w:rPr>
          <w:rFonts w:ascii="Calibri Light" w:hAnsi="Calibri Light"/>
        </w:rPr>
        <w:t>assessing</w:t>
      </w:r>
      <w:r w:rsidRPr="009F0C7B">
        <w:rPr>
          <w:rFonts w:ascii="Calibri Light" w:hAnsi="Calibri Light"/>
        </w:rPr>
        <w:t xml:space="preserve"> additionality </w:t>
      </w:r>
      <w:r>
        <w:rPr>
          <w:rFonts w:ascii="Calibri Light" w:hAnsi="Calibri Light"/>
        </w:rPr>
        <w:t>(</w:t>
      </w:r>
      <w:r>
        <w:rPr>
          <w:rFonts w:ascii="Calibri Light" w:hAnsi="Calibri Light"/>
          <w:b/>
        </w:rPr>
        <w:t>Annex </w:t>
      </w:r>
      <w:r w:rsidR="00D7631D">
        <w:rPr>
          <w:rFonts w:ascii="Calibri Light" w:hAnsi="Calibri Light"/>
          <w:b/>
        </w:rPr>
        <w:t>2</w:t>
      </w:r>
      <w:r w:rsidRPr="009C754A">
        <w:rPr>
          <w:rFonts w:ascii="Calibri Light" w:hAnsi="Calibri Light"/>
        </w:rPr>
        <w:t>)</w:t>
      </w:r>
      <w:r w:rsidRPr="009F0C7B">
        <w:rPr>
          <w:rFonts w:ascii="Calibri Light" w:hAnsi="Calibri Light"/>
        </w:rPr>
        <w:t>.</w:t>
      </w:r>
    </w:p>
    <w:p w14:paraId="184A3EE9" w14:textId="77777777" w:rsidR="00BC5F46" w:rsidRPr="009F0C7B" w:rsidRDefault="00BC5F46" w:rsidP="00BC5F46">
      <w:pPr>
        <w:pStyle w:val="Heading3"/>
        <w:numPr>
          <w:ilvl w:val="0"/>
          <w:numId w:val="23"/>
        </w:numPr>
        <w:spacing w:before="240"/>
      </w:pPr>
      <w:r w:rsidRPr="009F0C7B">
        <w:t>Value for money</w:t>
      </w:r>
    </w:p>
    <w:p w14:paraId="735C27B7" w14:textId="77777777" w:rsidR="00BC5F46" w:rsidRDefault="00BC5F46" w:rsidP="00BC5F46">
      <w:pPr>
        <w:ind w:left="360"/>
      </w:pPr>
      <w:r>
        <w:t>In achieving good value for money in working with the private sector, t</w:t>
      </w:r>
      <w:r w:rsidRPr="009F0C7B">
        <w:t xml:space="preserve">he expected benefits need to be higher than other possible approaches or partners. Typically, this means the achievement of a desired outcome at the best possible price, </w:t>
      </w:r>
      <w:r>
        <w:t>although</w:t>
      </w:r>
      <w:r w:rsidRPr="009F0C7B">
        <w:t xml:space="preserve"> not necessarily the lowest. Assessment of value for money is based on a balanced judgement of financial and non-financial factors relevant to the selection process for partners</w:t>
      </w:r>
      <w:r>
        <w:t>, such as opportunities for scale, reach and replication</w:t>
      </w:r>
      <w:r w:rsidRPr="009F0C7B">
        <w:t xml:space="preserve">. </w:t>
      </w:r>
    </w:p>
    <w:p w14:paraId="316C84BA" w14:textId="77777777" w:rsidR="00117268" w:rsidRDefault="00117268" w:rsidP="00117268">
      <w:pPr>
        <w:ind w:left="360"/>
      </w:pPr>
      <w:r>
        <w:t xml:space="preserve">In addition to PSE-specific value for money, staff must also consider </w:t>
      </w:r>
      <w:r w:rsidRPr="00117268">
        <w:t>DFAT’s strategic objectives</w:t>
      </w:r>
      <w:r>
        <w:t xml:space="preserve">, including requirements under </w:t>
      </w:r>
      <w:r w:rsidRPr="00117268">
        <w:t xml:space="preserve">the Public Governance, Performance and Accountability Act (2013) and the Commonwealth Procurement Rules. Building on these requirements DFAT has developed eight </w:t>
      </w:r>
      <w:hyperlink r:id="rId28" w:history="1">
        <w:r w:rsidRPr="00D7631D">
          <w:rPr>
            <w:rStyle w:val="Hyperlink"/>
            <w:color w:val="0070C0"/>
            <w:lang w:val="en-AU"/>
          </w:rPr>
          <w:t>Val</w:t>
        </w:r>
        <w:r w:rsidRPr="00D7631D">
          <w:rPr>
            <w:rStyle w:val="Hyperlink"/>
            <w:color w:val="0070C0"/>
            <w:lang w:val="en-AU"/>
          </w:rPr>
          <w:t>u</w:t>
        </w:r>
        <w:r w:rsidRPr="00D7631D">
          <w:rPr>
            <w:rStyle w:val="Hyperlink"/>
            <w:color w:val="0070C0"/>
            <w:lang w:val="en-AU"/>
          </w:rPr>
          <w:t>e for Money Principles</w:t>
        </w:r>
      </w:hyperlink>
      <w:r w:rsidRPr="00D7631D">
        <w:rPr>
          <w:rStyle w:val="Hyperlink"/>
          <w:color w:val="0070C0"/>
          <w:lang w:val="en-AU"/>
        </w:rPr>
        <w:t xml:space="preserve"> </w:t>
      </w:r>
      <w:r w:rsidRPr="00117268">
        <w:t>to guide decision making and maximise the impact of its investments. We expect all our delivery partners to give effect to the principles and value for money performance is measured in our Aid Performance Framework.</w:t>
      </w:r>
    </w:p>
    <w:p w14:paraId="2B2CA71E" w14:textId="77777777" w:rsidR="007559AC" w:rsidRPr="00117268" w:rsidRDefault="007559AC" w:rsidP="00117268">
      <w:pPr>
        <w:ind w:left="360"/>
      </w:pPr>
    </w:p>
    <w:tbl>
      <w:tblPr>
        <w:tblW w:w="9631" w:type="dxa"/>
        <w:tblBorders>
          <w:top w:val="single" w:sz="2" w:space="0" w:color="000000"/>
        </w:tblBorders>
        <w:tblCellMar>
          <w:top w:w="15" w:type="dxa"/>
          <w:left w:w="15" w:type="dxa"/>
          <w:bottom w:w="15" w:type="dxa"/>
          <w:right w:w="15" w:type="dxa"/>
        </w:tblCellMar>
        <w:tblLook w:val="04A0" w:firstRow="1" w:lastRow="0" w:firstColumn="1" w:lastColumn="0" w:noHBand="0" w:noVBand="1"/>
      </w:tblPr>
      <w:tblGrid>
        <w:gridCol w:w="2407"/>
        <w:gridCol w:w="2408"/>
        <w:gridCol w:w="2408"/>
        <w:gridCol w:w="2408"/>
      </w:tblGrid>
      <w:tr w:rsidR="00117268" w:rsidRPr="00117268" w14:paraId="582AF0D5" w14:textId="77777777" w:rsidTr="00DD5629">
        <w:tc>
          <w:tcPr>
            <w:tcW w:w="2407" w:type="dxa"/>
            <w:tcBorders>
              <w:top w:val="single" w:sz="2" w:space="0" w:color="000000"/>
              <w:left w:val="single" w:sz="6" w:space="0" w:color="F1F1EF"/>
              <w:bottom w:val="single" w:sz="4" w:space="0" w:color="auto"/>
              <w:right w:val="single" w:sz="6" w:space="0" w:color="F1F1EF"/>
            </w:tcBorders>
            <w:shd w:val="clear" w:color="auto" w:fill="auto"/>
            <w:tcMar>
              <w:top w:w="75" w:type="dxa"/>
              <w:left w:w="150" w:type="dxa"/>
              <w:bottom w:w="75" w:type="dxa"/>
              <w:right w:w="150" w:type="dxa"/>
            </w:tcMar>
            <w:hideMark/>
          </w:tcPr>
          <w:p w14:paraId="6B13F1AD" w14:textId="77777777" w:rsidR="00117268" w:rsidRPr="00117268" w:rsidRDefault="00117268" w:rsidP="00117268">
            <w:pPr>
              <w:suppressAutoHyphens w:val="0"/>
              <w:spacing w:before="0" w:after="0" w:line="240" w:lineRule="auto"/>
            </w:pPr>
            <w:r w:rsidRPr="00117268">
              <w:t>Economy</w:t>
            </w:r>
          </w:p>
        </w:tc>
        <w:tc>
          <w:tcPr>
            <w:tcW w:w="2408" w:type="dxa"/>
            <w:tcBorders>
              <w:top w:val="single" w:sz="2" w:space="0" w:color="000000"/>
              <w:left w:val="single" w:sz="6" w:space="0" w:color="F1F1EF"/>
              <w:bottom w:val="single" w:sz="4" w:space="0" w:color="auto"/>
              <w:right w:val="single" w:sz="6" w:space="0" w:color="F1F1EF"/>
            </w:tcBorders>
            <w:shd w:val="clear" w:color="auto" w:fill="auto"/>
            <w:tcMar>
              <w:top w:w="75" w:type="dxa"/>
              <w:left w:w="150" w:type="dxa"/>
              <w:bottom w:w="75" w:type="dxa"/>
              <w:right w:w="150" w:type="dxa"/>
            </w:tcMar>
            <w:hideMark/>
          </w:tcPr>
          <w:p w14:paraId="772B7A7F" w14:textId="77777777" w:rsidR="00117268" w:rsidRPr="00117268" w:rsidRDefault="00117268" w:rsidP="00117268">
            <w:pPr>
              <w:suppressAutoHyphens w:val="0"/>
              <w:spacing w:before="0" w:after="0" w:line="240" w:lineRule="auto"/>
            </w:pPr>
            <w:r w:rsidRPr="00117268">
              <w:t>Efficiency</w:t>
            </w:r>
          </w:p>
        </w:tc>
        <w:tc>
          <w:tcPr>
            <w:tcW w:w="2408" w:type="dxa"/>
            <w:tcBorders>
              <w:top w:val="single" w:sz="2" w:space="0" w:color="000000"/>
              <w:left w:val="single" w:sz="6" w:space="0" w:color="F1F1EF"/>
              <w:bottom w:val="single" w:sz="4" w:space="0" w:color="auto"/>
              <w:right w:val="single" w:sz="6" w:space="0" w:color="F1F1EF"/>
            </w:tcBorders>
            <w:shd w:val="clear" w:color="auto" w:fill="auto"/>
            <w:tcMar>
              <w:top w:w="75" w:type="dxa"/>
              <w:left w:w="150" w:type="dxa"/>
              <w:bottom w:w="75" w:type="dxa"/>
              <w:right w:w="150" w:type="dxa"/>
            </w:tcMar>
            <w:hideMark/>
          </w:tcPr>
          <w:p w14:paraId="5A0755B1" w14:textId="77777777" w:rsidR="00117268" w:rsidRPr="00117268" w:rsidRDefault="00117268" w:rsidP="00117268">
            <w:pPr>
              <w:suppressAutoHyphens w:val="0"/>
              <w:spacing w:before="0" w:after="0" w:line="240" w:lineRule="auto"/>
            </w:pPr>
            <w:r w:rsidRPr="00117268">
              <w:t>Effectiveness</w:t>
            </w:r>
          </w:p>
        </w:tc>
        <w:tc>
          <w:tcPr>
            <w:tcW w:w="2408" w:type="dxa"/>
            <w:tcBorders>
              <w:top w:val="single" w:sz="2" w:space="0" w:color="000000"/>
              <w:left w:val="single" w:sz="6" w:space="0" w:color="F1F1EF"/>
              <w:bottom w:val="single" w:sz="4" w:space="0" w:color="auto"/>
              <w:right w:val="single" w:sz="6" w:space="0" w:color="F1F1EF"/>
            </w:tcBorders>
            <w:shd w:val="clear" w:color="auto" w:fill="auto"/>
            <w:tcMar>
              <w:top w:w="75" w:type="dxa"/>
              <w:left w:w="150" w:type="dxa"/>
              <w:bottom w:w="75" w:type="dxa"/>
              <w:right w:w="150" w:type="dxa"/>
            </w:tcMar>
            <w:hideMark/>
          </w:tcPr>
          <w:p w14:paraId="666F555E" w14:textId="77777777" w:rsidR="00117268" w:rsidRPr="00117268" w:rsidRDefault="00117268" w:rsidP="00117268">
            <w:pPr>
              <w:suppressAutoHyphens w:val="0"/>
              <w:spacing w:before="0" w:after="0" w:line="240" w:lineRule="auto"/>
            </w:pPr>
            <w:r w:rsidRPr="00117268">
              <w:t>Ethics</w:t>
            </w:r>
          </w:p>
        </w:tc>
      </w:tr>
      <w:tr w:rsidR="00117268" w:rsidRPr="00117268" w14:paraId="6CA6C6C2" w14:textId="77777777" w:rsidTr="00DD5629">
        <w:tc>
          <w:tcPr>
            <w:tcW w:w="2407" w:type="dxa"/>
            <w:tcBorders>
              <w:top w:val="single" w:sz="4" w:space="0" w:color="auto"/>
              <w:left w:val="single" w:sz="6" w:space="0" w:color="F1F1EF"/>
              <w:bottom w:val="single" w:sz="6" w:space="0" w:color="F1F1EF"/>
              <w:right w:val="single" w:sz="6" w:space="0" w:color="F1F1EF"/>
            </w:tcBorders>
            <w:shd w:val="clear" w:color="auto" w:fill="auto"/>
            <w:tcMar>
              <w:top w:w="75" w:type="dxa"/>
              <w:left w:w="150" w:type="dxa"/>
              <w:bottom w:w="75" w:type="dxa"/>
              <w:right w:w="150" w:type="dxa"/>
            </w:tcMar>
            <w:hideMark/>
          </w:tcPr>
          <w:p w14:paraId="0265F49F" w14:textId="77777777" w:rsidR="00117268" w:rsidRPr="00117268" w:rsidRDefault="00117268" w:rsidP="00117268">
            <w:pPr>
              <w:suppressAutoHyphens w:val="0"/>
              <w:spacing w:before="0" w:after="0" w:line="240" w:lineRule="auto"/>
            </w:pPr>
            <w:r w:rsidRPr="00117268">
              <w:t xml:space="preserve">1. Cost consciousness </w:t>
            </w:r>
            <w:r w:rsidRPr="00117268">
              <w:br/>
              <w:t>2. Encouraging competition</w:t>
            </w:r>
          </w:p>
        </w:tc>
        <w:tc>
          <w:tcPr>
            <w:tcW w:w="2408" w:type="dxa"/>
            <w:tcBorders>
              <w:top w:val="single" w:sz="4" w:space="0" w:color="auto"/>
              <w:left w:val="single" w:sz="6" w:space="0" w:color="F1F1EF"/>
              <w:bottom w:val="single" w:sz="6" w:space="0" w:color="F1F1EF"/>
              <w:right w:val="single" w:sz="6" w:space="0" w:color="F1F1EF"/>
            </w:tcBorders>
            <w:shd w:val="clear" w:color="auto" w:fill="auto"/>
            <w:tcMar>
              <w:top w:w="75" w:type="dxa"/>
              <w:left w:w="150" w:type="dxa"/>
              <w:bottom w:w="75" w:type="dxa"/>
              <w:right w:w="150" w:type="dxa"/>
            </w:tcMar>
            <w:hideMark/>
          </w:tcPr>
          <w:p w14:paraId="1C66380D" w14:textId="77777777" w:rsidR="00117268" w:rsidRPr="00117268" w:rsidRDefault="00117268" w:rsidP="00117268">
            <w:pPr>
              <w:suppressAutoHyphens w:val="0"/>
              <w:spacing w:before="0" w:after="0" w:line="240" w:lineRule="auto"/>
            </w:pPr>
            <w:r w:rsidRPr="00117268">
              <w:t>3. Evidence based decision making</w:t>
            </w:r>
            <w:r w:rsidRPr="00117268">
              <w:br/>
              <w:t>4. Proportionality</w:t>
            </w:r>
          </w:p>
        </w:tc>
        <w:tc>
          <w:tcPr>
            <w:tcW w:w="2408" w:type="dxa"/>
            <w:tcBorders>
              <w:top w:val="single" w:sz="4" w:space="0" w:color="auto"/>
              <w:left w:val="single" w:sz="6" w:space="0" w:color="F1F1EF"/>
              <w:bottom w:val="single" w:sz="6" w:space="0" w:color="F1F1EF"/>
              <w:right w:val="single" w:sz="6" w:space="0" w:color="F1F1EF"/>
            </w:tcBorders>
            <w:shd w:val="clear" w:color="auto" w:fill="auto"/>
            <w:tcMar>
              <w:top w:w="75" w:type="dxa"/>
              <w:left w:w="150" w:type="dxa"/>
              <w:bottom w:w="75" w:type="dxa"/>
              <w:right w:w="150" w:type="dxa"/>
            </w:tcMar>
            <w:hideMark/>
          </w:tcPr>
          <w:p w14:paraId="18811EB9" w14:textId="77777777" w:rsidR="00117268" w:rsidRPr="00117268" w:rsidRDefault="00117268" w:rsidP="00117268">
            <w:pPr>
              <w:suppressAutoHyphens w:val="0"/>
              <w:spacing w:before="0" w:after="0" w:line="240" w:lineRule="auto"/>
            </w:pPr>
            <w:r w:rsidRPr="00117268">
              <w:t>5. Performance and Risk Management</w:t>
            </w:r>
            <w:r w:rsidRPr="00117268">
              <w:br/>
              <w:t>6. Results Focus</w:t>
            </w:r>
            <w:r w:rsidRPr="00117268">
              <w:br/>
              <w:t>7. Experimentation and innovation</w:t>
            </w:r>
          </w:p>
        </w:tc>
        <w:tc>
          <w:tcPr>
            <w:tcW w:w="2408" w:type="dxa"/>
            <w:tcBorders>
              <w:top w:val="single" w:sz="4" w:space="0" w:color="auto"/>
              <w:left w:val="single" w:sz="6" w:space="0" w:color="F1F1EF"/>
              <w:bottom w:val="single" w:sz="6" w:space="0" w:color="F1F1EF"/>
              <w:right w:val="single" w:sz="6" w:space="0" w:color="F1F1EF"/>
            </w:tcBorders>
            <w:shd w:val="clear" w:color="auto" w:fill="auto"/>
            <w:tcMar>
              <w:top w:w="75" w:type="dxa"/>
              <w:left w:w="150" w:type="dxa"/>
              <w:bottom w:w="75" w:type="dxa"/>
              <w:right w:w="150" w:type="dxa"/>
            </w:tcMar>
            <w:hideMark/>
          </w:tcPr>
          <w:p w14:paraId="2C845B14" w14:textId="77777777" w:rsidR="00117268" w:rsidRPr="00117268" w:rsidRDefault="00117268" w:rsidP="00117268">
            <w:pPr>
              <w:suppressAutoHyphens w:val="0"/>
              <w:spacing w:before="0" w:after="0" w:line="240" w:lineRule="auto"/>
            </w:pPr>
            <w:r w:rsidRPr="00117268">
              <w:t>8. Accountability and transparency</w:t>
            </w:r>
          </w:p>
        </w:tc>
      </w:tr>
    </w:tbl>
    <w:p w14:paraId="5523FF08" w14:textId="4B641BCE" w:rsidR="00117268" w:rsidRPr="00D7631D" w:rsidRDefault="00D7631D" w:rsidP="00D7631D">
      <w:pPr>
        <w:rPr>
          <w:i/>
        </w:rPr>
      </w:pPr>
      <w:r>
        <w:rPr>
          <w:i/>
        </w:rPr>
        <w:t>Source: DFAT Value for Money Principles</w:t>
      </w:r>
    </w:p>
    <w:p w14:paraId="60FBA7CD" w14:textId="77777777" w:rsidR="00BC5F46" w:rsidRDefault="00BC5F46" w:rsidP="00BC5F46">
      <w:pPr>
        <w:pStyle w:val="ListParagraph"/>
        <w:ind w:left="1276" w:hanging="850"/>
      </w:pPr>
    </w:p>
    <w:p w14:paraId="316151C5" w14:textId="77777777" w:rsidR="00BC5F46" w:rsidRPr="00630A3B" w:rsidRDefault="00BC5F46" w:rsidP="00BC5F46">
      <w:pPr>
        <w:pStyle w:val="Box1Heading"/>
        <w:ind w:left="1276" w:hanging="850"/>
      </w:pPr>
      <w:r w:rsidRPr="00630A3B">
        <w:rPr>
          <w:noProof/>
          <w:lang w:eastAsia="en-AU"/>
        </w:rPr>
        <w:lastRenderedPageBreak/>
        <w:drawing>
          <wp:anchor distT="0" distB="0" distL="114300" distR="114300" simplePos="0" relativeHeight="251666432" behindDoc="0" locked="1" layoutInCell="1" allowOverlap="1" wp14:anchorId="54BFCD93" wp14:editId="69FAE20E">
            <wp:simplePos x="0" y="0"/>
            <wp:positionH relativeFrom="column">
              <wp:posOffset>180975</wp:posOffset>
            </wp:positionH>
            <wp:positionV relativeFrom="line">
              <wp:posOffset>244475</wp:posOffset>
            </wp:positionV>
            <wp:extent cx="411480" cy="574040"/>
            <wp:effectExtent l="0" t="0" r="7620" b="0"/>
            <wp:wrapNone/>
            <wp:docPr id="20" name="Picture 20" descr="Key messages" title="Key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con-01-Key_Messag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480" cy="574040"/>
                    </a:xfrm>
                    <a:prstGeom prst="rect">
                      <a:avLst/>
                    </a:prstGeom>
                  </pic:spPr>
                </pic:pic>
              </a:graphicData>
            </a:graphic>
            <wp14:sizeRelH relativeFrom="margin">
              <wp14:pctWidth>0</wp14:pctWidth>
            </wp14:sizeRelH>
            <wp14:sizeRelV relativeFrom="margin">
              <wp14:pctHeight>0</wp14:pctHeight>
            </wp14:sizeRelV>
          </wp:anchor>
        </w:drawing>
      </w:r>
      <w:r w:rsidRPr="00630A3B">
        <w:tab/>
      </w:r>
      <w:r>
        <w:t>Case study: Carnival Cruises &amp; DFAT in the Pacific</w:t>
      </w:r>
    </w:p>
    <w:p w14:paraId="7D8AB46D" w14:textId="52023DEF" w:rsidR="00BC5F46" w:rsidRDefault="00BC5F46" w:rsidP="00BC5F46">
      <w:pPr>
        <w:pStyle w:val="Box1Text"/>
        <w:ind w:left="1276" w:hanging="850"/>
      </w:pPr>
      <w:r w:rsidRPr="009F0C7B">
        <w:tab/>
      </w:r>
      <w:r>
        <w:t xml:space="preserve">DFAT has pursued financial partnerships and non-financial partnerships for development outcomes. In 2013, DFAT signed a </w:t>
      </w:r>
      <w:r w:rsidRPr="009C754A">
        <w:rPr>
          <w:b/>
        </w:rPr>
        <w:t>non-financial partnership</w:t>
      </w:r>
      <w:r>
        <w:t xml:space="preserve"> with Carnival Cruises, </w:t>
      </w:r>
      <w:hyperlink r:id="rId29" w:history="1">
        <w:r w:rsidRPr="00727380">
          <w:rPr>
            <w:rStyle w:val="Hyperlink"/>
            <w:color w:val="0070C0"/>
          </w:rPr>
          <w:t>Cru</w:t>
        </w:r>
        <w:r w:rsidRPr="00727380">
          <w:rPr>
            <w:rStyle w:val="Hyperlink"/>
            <w:color w:val="0070C0"/>
          </w:rPr>
          <w:t>i</w:t>
        </w:r>
        <w:r w:rsidRPr="00727380">
          <w:rPr>
            <w:rStyle w:val="Hyperlink"/>
            <w:color w:val="0070C0"/>
          </w:rPr>
          <w:t>sing into a new future</w:t>
        </w:r>
      </w:hyperlink>
      <w:r>
        <w:t>, for sustainable economic development in the Pacific. This partnership was the first corporate partnership in the Australian aid program</w:t>
      </w:r>
      <w:r w:rsidR="003C273D">
        <w:t>, managed by the Pacific Division,</w:t>
      </w:r>
      <w:r>
        <w:t xml:space="preserve"> and sought to increase the development impact of cruise tourism in the Pacific. Through principles based on mutual benefits and outcomes, the partnership combined partner resources, leveraged their investments and increased partner access to markets. </w:t>
      </w:r>
    </w:p>
    <w:p w14:paraId="4D38ACD6" w14:textId="6CF42748" w:rsidR="00BC5F46" w:rsidRDefault="00BC5F46" w:rsidP="00BC5F46">
      <w:pPr>
        <w:pStyle w:val="Box1Text"/>
        <w:tabs>
          <w:tab w:val="left" w:pos="1276"/>
        </w:tabs>
        <w:ind w:left="1276" w:hanging="850"/>
      </w:pPr>
      <w:r>
        <w:tab/>
        <w:t>Carnival has a</w:t>
      </w:r>
      <w:r w:rsidR="00BC6029">
        <w:t>n</w:t>
      </w:r>
      <w:r w:rsidR="007559AC">
        <w:t xml:space="preserve"> </w:t>
      </w:r>
      <w:r>
        <w:t xml:space="preserve">interest in the development of the communities that it visits: shore visits are essential to Carnival’s business model. Vibrant cultures and functioning economies improve the customer experience. Local community agreement is required for access to wharves, tourism sites and services. Carnival reinvests in communities through infrastructure and essential service provision, working with communities to develop products and services that will </w:t>
      </w:r>
      <w:r w:rsidR="00DC532E">
        <w:t xml:space="preserve">enrich </w:t>
      </w:r>
      <w:r>
        <w:t xml:space="preserve">the </w:t>
      </w:r>
      <w:r w:rsidR="00DC532E">
        <w:t xml:space="preserve">passengers’ </w:t>
      </w:r>
      <w:r>
        <w:t>experience</w:t>
      </w:r>
      <w:r w:rsidR="00DC532E">
        <w:t>s</w:t>
      </w:r>
      <w:r>
        <w:t xml:space="preserve">. Carnival regards this as core business, not corporate social responsibility. </w:t>
      </w:r>
    </w:p>
    <w:p w14:paraId="73EDF87C" w14:textId="265CDAD2" w:rsidR="00BC5F46" w:rsidRDefault="00BC5F46" w:rsidP="00BC5F46">
      <w:pPr>
        <w:pStyle w:val="Box1Text"/>
        <w:tabs>
          <w:tab w:val="left" w:pos="1276"/>
        </w:tabs>
        <w:ind w:left="1276" w:hanging="850"/>
      </w:pPr>
      <w:r>
        <w:tab/>
        <w:t xml:space="preserve">Non-financial partnerships achieve greater outcomes when linked with other Australian aid programs. Collaboration with Carnival was enhanced by cooperation with the Pacific Partnership with the International Finance Cooperation (IFC), the Pacific Horticulture and Agriculture Market Access Program (PHAMA) and the Australian Pacific Technical College. </w:t>
      </w:r>
    </w:p>
    <w:p w14:paraId="0B62A54F" w14:textId="77777777" w:rsidR="00BC5F46" w:rsidRDefault="00BC5F46" w:rsidP="00BC5F46">
      <w:pPr>
        <w:pStyle w:val="Box1Text"/>
        <w:tabs>
          <w:tab w:val="left" w:pos="1276"/>
        </w:tabs>
        <w:ind w:left="1276" w:hanging="850"/>
      </w:pPr>
      <w:r>
        <w:tab/>
        <w:t xml:space="preserve">Outcomes from the non-financial partnership have included analysis on the impact of cruise tourism in the region, endorsement of local products, and initiatives to increase local spending by cruise passengers. Cruise tourism to the Pacific has been growing rapidly and is a growth sector in some Pacific countries. The partnership is helping Pacific nations translate this growth into development outcomes. </w:t>
      </w:r>
    </w:p>
    <w:p w14:paraId="626C8FB4" w14:textId="77777777" w:rsidR="00BC5F46" w:rsidRPr="00B841C3" w:rsidRDefault="00BC5F46" w:rsidP="00BC5F46">
      <w:pPr>
        <w:pStyle w:val="Heading2"/>
        <w:numPr>
          <w:ilvl w:val="0"/>
          <w:numId w:val="21"/>
        </w:numPr>
        <w:rPr>
          <w:b/>
        </w:rPr>
      </w:pPr>
      <w:bookmarkStart w:id="4" w:name="_Toc26802482"/>
      <w:r>
        <w:t>Partnerships</w:t>
      </w:r>
      <w:bookmarkEnd w:id="4"/>
    </w:p>
    <w:p w14:paraId="79D1DB95" w14:textId="77777777" w:rsidR="00BC5F46" w:rsidRDefault="00BC5F46" w:rsidP="00BC5F46">
      <w:pPr>
        <w:pStyle w:val="Heading3"/>
        <w:spacing w:before="240"/>
      </w:pPr>
      <w:r>
        <w:t>Developing partnerships</w:t>
      </w:r>
    </w:p>
    <w:p w14:paraId="02E1D240" w14:textId="37280F3D" w:rsidR="00BC5F46" w:rsidRPr="00F6244C" w:rsidRDefault="00BC5F46" w:rsidP="00BC5F46">
      <w:pPr>
        <w:pStyle w:val="BodyText"/>
        <w:rPr>
          <w:rFonts w:ascii="Calibri Light" w:hAnsi="Calibri Light"/>
        </w:rPr>
      </w:pPr>
      <w:r>
        <w:rPr>
          <w:rFonts w:ascii="Calibri Light" w:hAnsi="Calibri Light"/>
        </w:rPr>
        <w:t xml:space="preserve">DFAT’s approach to working with the private sector is through partnerships. </w:t>
      </w:r>
      <w:r w:rsidRPr="00F6244C">
        <w:rPr>
          <w:rFonts w:ascii="Calibri Light" w:hAnsi="Calibri Light"/>
        </w:rPr>
        <w:t xml:space="preserve">Building partnerships with the private sector may occur at any stage of the aid management cycle and take a variety of forms (for additional information on the six stages of the partnership cycle, refer to </w:t>
      </w:r>
      <w:r w:rsidR="00D7631D">
        <w:rPr>
          <w:rFonts w:ascii="Calibri Light" w:hAnsi="Calibri Light"/>
          <w:b/>
        </w:rPr>
        <w:t>Annex 3</w:t>
      </w:r>
      <w:r>
        <w:rPr>
          <w:rFonts w:ascii="Calibri Light" w:hAnsi="Calibri Light"/>
          <w:b/>
        </w:rPr>
        <w:t>: Six Stages of the Partnership Cycle</w:t>
      </w:r>
      <w:r w:rsidRPr="00F6244C">
        <w:rPr>
          <w:rFonts w:ascii="Calibri Light" w:hAnsi="Calibri Light"/>
        </w:rPr>
        <w:t xml:space="preserve">). </w:t>
      </w:r>
    </w:p>
    <w:p w14:paraId="2C4BA31D" w14:textId="77777777" w:rsidR="00BC5F46" w:rsidRPr="00630A3B" w:rsidRDefault="00BC5F46" w:rsidP="00BC5F46">
      <w:pPr>
        <w:pStyle w:val="Box1Heading"/>
        <w:ind w:left="1276" w:hanging="992"/>
      </w:pPr>
      <w:r w:rsidRPr="00630A3B">
        <w:rPr>
          <w:noProof/>
          <w:lang w:eastAsia="en-AU"/>
        </w:rPr>
        <w:drawing>
          <wp:anchor distT="0" distB="0" distL="114300" distR="114300" simplePos="0" relativeHeight="251658240" behindDoc="0" locked="1" layoutInCell="1" allowOverlap="1" wp14:anchorId="3F65E82D" wp14:editId="58BF23DA">
            <wp:simplePos x="0" y="0"/>
            <wp:positionH relativeFrom="column">
              <wp:posOffset>180975</wp:posOffset>
            </wp:positionH>
            <wp:positionV relativeFrom="line">
              <wp:posOffset>244475</wp:posOffset>
            </wp:positionV>
            <wp:extent cx="411480" cy="574040"/>
            <wp:effectExtent l="0" t="0" r="7620" b="0"/>
            <wp:wrapNone/>
            <wp:docPr id="34" name="Picture 34" descr="Key messages" title="Key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con-01-Key_Messag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480" cy="574040"/>
                    </a:xfrm>
                    <a:prstGeom prst="rect">
                      <a:avLst/>
                    </a:prstGeom>
                  </pic:spPr>
                </pic:pic>
              </a:graphicData>
            </a:graphic>
            <wp14:sizeRelH relativeFrom="margin">
              <wp14:pctWidth>0</wp14:pctWidth>
            </wp14:sizeRelH>
            <wp14:sizeRelV relativeFrom="margin">
              <wp14:pctHeight>0</wp14:pctHeight>
            </wp14:sizeRelV>
          </wp:anchor>
        </w:drawing>
      </w:r>
      <w:r w:rsidRPr="00630A3B">
        <w:tab/>
      </w:r>
      <w:r>
        <w:t>The Partnership Cycle</w:t>
      </w:r>
    </w:p>
    <w:p w14:paraId="6CBD5C69" w14:textId="41111C28" w:rsidR="00BC5F46" w:rsidRPr="001B1E46" w:rsidRDefault="00BC5F46" w:rsidP="00BC5F46">
      <w:pPr>
        <w:pStyle w:val="Box1Text"/>
        <w:ind w:left="1276" w:hanging="992"/>
      </w:pPr>
      <w:r w:rsidRPr="009F0C7B">
        <w:tab/>
      </w:r>
      <w:r w:rsidRPr="001B1E46">
        <w:t xml:space="preserve">The partnership cycle provides a framework to ensure relationships and engagement between partners is equitable and of value to each partner, and supports stronger project implementation. </w:t>
      </w:r>
      <w:r w:rsidR="004C7367">
        <w:t xml:space="preserve">Partnering using the partnership cycle helps to develop an understanding of, and mutual accountability to, the principles of equity, mutual benefit, diversity, openness and courage in collaboration. </w:t>
      </w:r>
      <w:r w:rsidRPr="001B1E46">
        <w:t xml:space="preserve">The partnership cycle has been developed for multi-stakeholder partnerships and aligns with the stages of the aid management cycle, focussing specifically on relationships and processes to support implementation. The cycle follows the relationship phases through </w:t>
      </w:r>
      <w:r w:rsidRPr="001B1E46">
        <w:rPr>
          <w:i/>
        </w:rPr>
        <w:t>scoping and building</w:t>
      </w:r>
      <w:r w:rsidRPr="001B1E46">
        <w:t xml:space="preserve">, </w:t>
      </w:r>
      <w:r w:rsidRPr="001B1E46">
        <w:rPr>
          <w:i/>
        </w:rPr>
        <w:t>managing and maintaining</w:t>
      </w:r>
      <w:r w:rsidRPr="001B1E46">
        <w:t xml:space="preserve">, </w:t>
      </w:r>
      <w:r w:rsidRPr="001B1E46">
        <w:rPr>
          <w:i/>
        </w:rPr>
        <w:t>reviewing and revising,</w:t>
      </w:r>
      <w:r w:rsidRPr="001B1E46">
        <w:t xml:space="preserve"> and </w:t>
      </w:r>
      <w:r w:rsidRPr="001B1E46">
        <w:rPr>
          <w:i/>
        </w:rPr>
        <w:t>sustaining outcomes or moving on/closure</w:t>
      </w:r>
      <w:r>
        <w:rPr>
          <w:i/>
        </w:rPr>
        <w:t xml:space="preserve"> </w:t>
      </w:r>
      <w:r>
        <w:t>(</w:t>
      </w:r>
      <w:r w:rsidRPr="00390F38">
        <w:rPr>
          <w:b/>
        </w:rPr>
        <w:t xml:space="preserve">Annex </w:t>
      </w:r>
      <w:r w:rsidR="00D7631D">
        <w:rPr>
          <w:b/>
        </w:rPr>
        <w:t>3</w:t>
      </w:r>
      <w:r>
        <w:t>)</w:t>
      </w:r>
      <w:r w:rsidRPr="001B1E46">
        <w:t xml:space="preserve">. </w:t>
      </w:r>
    </w:p>
    <w:p w14:paraId="378F26ED" w14:textId="77777777" w:rsidR="00BC5F46" w:rsidRPr="00F6244C" w:rsidRDefault="00BC5F46" w:rsidP="00BC5F46">
      <w:pPr>
        <w:pStyle w:val="BodyText"/>
        <w:rPr>
          <w:color w:val="auto"/>
        </w:rPr>
      </w:pPr>
      <w:r w:rsidRPr="00BD45D2">
        <w:rPr>
          <w:rFonts w:ascii="Calibri Light" w:hAnsi="Calibri Light"/>
        </w:rPr>
        <w:lastRenderedPageBreak/>
        <w:t>Developing partnerships with the private sector has been tested through a number of DFAT programs,</w:t>
      </w:r>
      <w:r w:rsidRPr="00F6244C">
        <w:rPr>
          <w:color w:val="auto"/>
        </w:rPr>
        <w:t xml:space="preserve"> </w:t>
      </w:r>
      <w:r w:rsidRPr="00BE3CBE">
        <w:rPr>
          <w:rFonts w:ascii="Calibri Light" w:hAnsi="Calibri Light"/>
        </w:rPr>
        <w:t xml:space="preserve">including the </w:t>
      </w:r>
      <w:hyperlink r:id="rId30" w:history="1">
        <w:r w:rsidRPr="00727380">
          <w:rPr>
            <w:rStyle w:val="Hyperlink"/>
            <w:color w:val="0070C0"/>
            <w:lang w:val="en-AU"/>
          </w:rPr>
          <w:t>Market Develo</w:t>
        </w:r>
        <w:r w:rsidRPr="00727380">
          <w:rPr>
            <w:rStyle w:val="Hyperlink"/>
            <w:color w:val="0070C0"/>
            <w:lang w:val="en-AU"/>
          </w:rPr>
          <w:t>p</w:t>
        </w:r>
        <w:r w:rsidRPr="00727380">
          <w:rPr>
            <w:rStyle w:val="Hyperlink"/>
            <w:color w:val="0070C0"/>
            <w:lang w:val="en-AU"/>
          </w:rPr>
          <w:t>ment Facility</w:t>
        </w:r>
      </w:hyperlink>
      <w:r w:rsidRPr="00727380">
        <w:rPr>
          <w:color w:val="auto"/>
        </w:rPr>
        <w:t xml:space="preserve"> </w:t>
      </w:r>
      <w:r w:rsidRPr="00BE3CBE">
        <w:rPr>
          <w:rFonts w:ascii="Calibri Light" w:hAnsi="Calibri Light"/>
        </w:rPr>
        <w:t xml:space="preserve">and the </w:t>
      </w:r>
      <w:hyperlink r:id="rId31" w:history="1">
        <w:r w:rsidRPr="00727380">
          <w:rPr>
            <w:rStyle w:val="Hyperlink"/>
            <w:color w:val="0070C0"/>
            <w:lang w:val="en-AU"/>
          </w:rPr>
          <w:t>Business Partn</w:t>
        </w:r>
        <w:r w:rsidRPr="00727380">
          <w:rPr>
            <w:rStyle w:val="Hyperlink"/>
            <w:color w:val="0070C0"/>
            <w:lang w:val="en-AU"/>
          </w:rPr>
          <w:t>e</w:t>
        </w:r>
        <w:r w:rsidRPr="00727380">
          <w:rPr>
            <w:rStyle w:val="Hyperlink"/>
            <w:color w:val="0070C0"/>
            <w:lang w:val="en-AU"/>
          </w:rPr>
          <w:t>rships Platform</w:t>
        </w:r>
      </w:hyperlink>
      <w:r w:rsidRPr="00BE3CBE">
        <w:rPr>
          <w:rFonts w:ascii="Calibri Light" w:hAnsi="Calibri Light"/>
        </w:rPr>
        <w:t>, and appraisals</w:t>
      </w:r>
      <w:r w:rsidRPr="00F6244C">
        <w:rPr>
          <w:color w:val="auto"/>
        </w:rPr>
        <w:t xml:space="preserve"> </w:t>
      </w:r>
      <w:r w:rsidRPr="00BE3CBE">
        <w:rPr>
          <w:rFonts w:ascii="Calibri Light" w:hAnsi="Calibri Light"/>
        </w:rPr>
        <w:t>demonstrate that successful partnerships exhibit three common elements:</w:t>
      </w:r>
    </w:p>
    <w:p w14:paraId="09D51277" w14:textId="77777777" w:rsidR="00BC5F46" w:rsidRPr="00F6244C" w:rsidRDefault="00BC5F46" w:rsidP="00975D65">
      <w:pPr>
        <w:pStyle w:val="BodyText"/>
        <w:numPr>
          <w:ilvl w:val="0"/>
          <w:numId w:val="35"/>
        </w:numPr>
      </w:pPr>
      <w:r w:rsidRPr="00F6244C">
        <w:t>Clear governance mechanisms enabling appropriate participation in decision-making</w:t>
      </w:r>
    </w:p>
    <w:p w14:paraId="4E3213D4" w14:textId="77777777" w:rsidR="00BC5F46" w:rsidRPr="00F6244C" w:rsidRDefault="00BC5F46" w:rsidP="00975D65">
      <w:pPr>
        <w:pStyle w:val="BodyText"/>
        <w:numPr>
          <w:ilvl w:val="0"/>
          <w:numId w:val="35"/>
        </w:numPr>
      </w:pPr>
      <w:r w:rsidRPr="00F6244C">
        <w:t xml:space="preserve">Disciplined approach to </w:t>
      </w:r>
      <w:r>
        <w:t xml:space="preserve">open </w:t>
      </w:r>
      <w:r w:rsidRPr="00F6244C">
        <w:t>communicat</w:t>
      </w:r>
      <w:r>
        <w:t>ion</w:t>
      </w:r>
      <w:r w:rsidRPr="00F6244C">
        <w:t xml:space="preserve"> among partners and with stakeholders</w:t>
      </w:r>
    </w:p>
    <w:p w14:paraId="722F997C" w14:textId="77777777" w:rsidR="00BC5F46" w:rsidRPr="00F6244C" w:rsidRDefault="00BC5F46" w:rsidP="00975D65">
      <w:pPr>
        <w:pStyle w:val="BodyText"/>
        <w:numPr>
          <w:ilvl w:val="0"/>
          <w:numId w:val="35"/>
        </w:numPr>
      </w:pPr>
      <w:r>
        <w:t>Approaches</w:t>
      </w:r>
      <w:r w:rsidRPr="00F6244C">
        <w:t xml:space="preserve"> that balance the needs of individual partners with the objectives of the partnership.</w:t>
      </w:r>
    </w:p>
    <w:p w14:paraId="27201259" w14:textId="6B37846C" w:rsidR="00BC5F46" w:rsidRPr="00F6244C" w:rsidRDefault="00BC5F46" w:rsidP="00BC5F46">
      <w:pPr>
        <w:pStyle w:val="BodyText"/>
      </w:pPr>
      <w:r w:rsidRPr="00ED58D9">
        <w:t>Identifying opportunities for partnership can be instigated by DFAT or by the private sector</w:t>
      </w:r>
      <w:r w:rsidR="004C7367">
        <w:t>, NGOs, and/or public sector bodies</w:t>
      </w:r>
      <w:r w:rsidRPr="00ED58D9">
        <w:t>. Each partner brings resources and knowledge to achieve shared objectives that deliver both sustainable development and commercial outcomes.</w:t>
      </w:r>
      <w:r w:rsidRPr="00F6244C">
        <w:t xml:space="preserve"> </w:t>
      </w:r>
    </w:p>
    <w:p w14:paraId="146CB42E" w14:textId="4751DF61" w:rsidR="00BC5F46" w:rsidRDefault="00BC5F46" w:rsidP="00BC5F46">
      <w:pPr>
        <w:pStyle w:val="BodyText"/>
      </w:pPr>
      <w:r w:rsidRPr="00F6244C">
        <w:t>P</w:t>
      </w:r>
      <w:r>
        <w:t>otential p</w:t>
      </w:r>
      <w:r w:rsidRPr="00F6244C">
        <w:t xml:space="preserve">artnerships are assessed by their target outcomes, complementary partner priorities and values, and partner appropriateness. </w:t>
      </w:r>
    </w:p>
    <w:p w14:paraId="2AF36FAB" w14:textId="77777777" w:rsidR="00EF740B" w:rsidRPr="00F6244C" w:rsidRDefault="00EF740B" w:rsidP="00BC5F46">
      <w:pPr>
        <w:pStyle w:val="BodyText"/>
      </w:pPr>
    </w:p>
    <w:p w14:paraId="29490601" w14:textId="77777777" w:rsidR="00BC5F46" w:rsidRDefault="00BC5F46" w:rsidP="00BC5F46">
      <w:r w:rsidRPr="00B41D83">
        <w:rPr>
          <w:i/>
          <w:noProof/>
          <w:lang w:val="en-AU" w:eastAsia="en-AU"/>
        </w:rPr>
        <mc:AlternateContent>
          <mc:Choice Requires="wps">
            <w:drawing>
              <wp:inline distT="0" distB="0" distL="0" distR="0" wp14:anchorId="71A38A6C" wp14:editId="37CF4A32">
                <wp:extent cx="5731510" cy="2538663"/>
                <wp:effectExtent l="38100" t="38100" r="97790" b="8890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538663"/>
                        </a:xfrm>
                        <a:prstGeom prst="rect">
                          <a:avLst/>
                        </a:prstGeom>
                        <a:solidFill>
                          <a:schemeClr val="accent2"/>
                        </a:solidFill>
                        <a:ln>
                          <a:noFill/>
                          <a:headEnd/>
                          <a:tailEnd/>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14:paraId="05754040" w14:textId="77777777" w:rsidR="003F4A03" w:rsidRPr="00D04551" w:rsidRDefault="003F4A03" w:rsidP="00BC5F46">
                            <w:pPr>
                              <w:rPr>
                                <w:color w:val="FFFFFF" w:themeColor="background1"/>
                              </w:rPr>
                            </w:pPr>
                            <w:r w:rsidRPr="00D04551">
                              <w:rPr>
                                <w:b/>
                                <w:bCs/>
                                <w:color w:val="FFFFFF" w:themeColor="background1"/>
                                <w:lang w:val="en-US"/>
                              </w:rPr>
                              <w:t>DFAT approaches to business</w:t>
                            </w:r>
                          </w:p>
                          <w:p w14:paraId="7E2E7FA2" w14:textId="77777777" w:rsidR="003F4A03" w:rsidRPr="00D04551" w:rsidRDefault="003F4A03" w:rsidP="00BC5F46">
                            <w:pPr>
                              <w:numPr>
                                <w:ilvl w:val="0"/>
                                <w:numId w:val="26"/>
                              </w:numPr>
                              <w:suppressAutoHyphens w:val="0"/>
                              <w:spacing w:before="0" w:after="160" w:line="259" w:lineRule="auto"/>
                              <w:rPr>
                                <w:color w:val="FFFFFF" w:themeColor="background1"/>
                              </w:rPr>
                            </w:pPr>
                            <w:r w:rsidRPr="00D04551">
                              <w:rPr>
                                <w:color w:val="FFFFFF" w:themeColor="background1"/>
                              </w:rPr>
                              <w:t xml:space="preserve">DFAT may approach private sector entities as </w:t>
                            </w:r>
                            <w:r>
                              <w:rPr>
                                <w:color w:val="FFFFFF" w:themeColor="background1"/>
                              </w:rPr>
                              <w:t>collaborative</w:t>
                            </w:r>
                            <w:r w:rsidRPr="00D04551">
                              <w:rPr>
                                <w:color w:val="FFFFFF" w:themeColor="background1"/>
                              </w:rPr>
                              <w:t xml:space="preserve"> or </w:t>
                            </w:r>
                            <w:r>
                              <w:rPr>
                                <w:color w:val="FFFFFF" w:themeColor="background1"/>
                              </w:rPr>
                              <w:t>financial</w:t>
                            </w:r>
                            <w:r w:rsidRPr="00D04551">
                              <w:rPr>
                                <w:color w:val="FFFFFF" w:themeColor="background1"/>
                              </w:rPr>
                              <w:t xml:space="preserve"> partners to achieve strategic development objectives. Reputational and financial risks must be considered in every engagement and where financial support is provided, partnerships </w:t>
                            </w:r>
                            <w:r>
                              <w:rPr>
                                <w:color w:val="FFFFFF" w:themeColor="background1"/>
                              </w:rPr>
                              <w:t xml:space="preserve">must comply with the </w:t>
                            </w:r>
                            <w:r w:rsidRPr="00D04551">
                              <w:rPr>
                                <w:color w:val="FFFFFF" w:themeColor="background1"/>
                              </w:rPr>
                              <w:t>Public Governance, Performance and Accountability Act (2013) and the Commonwealth Procurement Guidelines.</w:t>
                            </w:r>
                          </w:p>
                          <w:p w14:paraId="58E36662" w14:textId="77777777" w:rsidR="003F4A03" w:rsidRPr="00D04551" w:rsidRDefault="003F4A03" w:rsidP="00BC5F46">
                            <w:pPr>
                              <w:numPr>
                                <w:ilvl w:val="0"/>
                                <w:numId w:val="26"/>
                              </w:numPr>
                              <w:suppressAutoHyphens w:val="0"/>
                              <w:spacing w:before="0" w:after="160" w:line="259" w:lineRule="auto"/>
                              <w:rPr>
                                <w:color w:val="FFFFFF" w:themeColor="background1"/>
                              </w:rPr>
                            </w:pPr>
                            <w:r w:rsidRPr="00D04551">
                              <w:rPr>
                                <w:color w:val="FFFFFF" w:themeColor="background1"/>
                              </w:rPr>
                              <w:t xml:space="preserve">For </w:t>
                            </w:r>
                            <w:r>
                              <w:rPr>
                                <w:color w:val="FFFFFF" w:themeColor="background1"/>
                              </w:rPr>
                              <w:t>financial</w:t>
                            </w:r>
                            <w:r w:rsidRPr="00D04551">
                              <w:rPr>
                                <w:color w:val="FFFFFF" w:themeColor="background1"/>
                              </w:rPr>
                              <w:t xml:space="preserve"> partnerships, calls for partnership must be public and transparent and decided in an equitable manner. While there are minimum standards to adhere to, to attract interest from a broader range of businesses, a marketing campaign may be conducted (e.g. challenge funds or </w:t>
                            </w:r>
                            <w:r>
                              <w:rPr>
                                <w:color w:val="FFFFFF" w:themeColor="background1"/>
                              </w:rPr>
                              <w:t xml:space="preserve">competitive processes as with the </w:t>
                            </w:r>
                            <w:r w:rsidRPr="00D04551">
                              <w:rPr>
                                <w:color w:val="FFFFFF" w:themeColor="background1"/>
                              </w:rPr>
                              <w:t>Business Partnerships Platform).</w:t>
                            </w:r>
                          </w:p>
                          <w:p w14:paraId="26DB933F" w14:textId="77777777" w:rsidR="003F4A03" w:rsidRPr="00D04551" w:rsidRDefault="003F4A03" w:rsidP="00BC5F46">
                            <w:pPr>
                              <w:numPr>
                                <w:ilvl w:val="0"/>
                                <w:numId w:val="26"/>
                              </w:numPr>
                              <w:suppressAutoHyphens w:val="0"/>
                              <w:spacing w:before="0" w:after="160" w:line="259" w:lineRule="auto"/>
                              <w:rPr>
                                <w:color w:val="FFFFFF" w:themeColor="background1"/>
                              </w:rPr>
                            </w:pPr>
                            <w:r w:rsidRPr="00D04551">
                              <w:rPr>
                                <w:color w:val="FFFFFF" w:themeColor="background1"/>
                              </w:rPr>
                              <w:t xml:space="preserve">In specific circumstances, where it is assessed that there is limited impact to the neutrality principle, strategic partnerships could be formed for advocacy and </w:t>
                            </w:r>
                            <w:r>
                              <w:rPr>
                                <w:color w:val="FFFFFF" w:themeColor="background1"/>
                              </w:rPr>
                              <w:t>financial</w:t>
                            </w:r>
                            <w:r w:rsidRPr="00D04551">
                              <w:rPr>
                                <w:color w:val="FFFFFF" w:themeColor="background1"/>
                              </w:rPr>
                              <w:t xml:space="preserve"> partnerships with identified individual businesses or private sector bodies to forward strategic development objectives</w:t>
                            </w:r>
                            <w:r>
                              <w:rPr>
                                <w:color w:val="FFFFFF" w:themeColor="background1"/>
                              </w:rPr>
                              <w:t xml:space="preserve"> (e.g. the DFAT partnership with Carnival Cruises, see Case Study pg. 7)</w:t>
                            </w:r>
                            <w:r w:rsidRPr="00D04551">
                              <w:rPr>
                                <w:color w:val="FFFFFF" w:themeColor="background1"/>
                              </w:rPr>
                              <w:t>.</w:t>
                            </w:r>
                          </w:p>
                        </w:txbxContent>
                      </wps:txbx>
                      <wps:bodyPr rot="0" vert="horz" wrap="square" lIns="91440" tIns="45720" rIns="91440" bIns="45720" anchor="t" anchorCtr="0">
                        <a:spAutoFit/>
                      </wps:bodyPr>
                    </wps:wsp>
                  </a:graphicData>
                </a:graphic>
              </wp:inline>
            </w:drawing>
          </mc:Choice>
          <mc:Fallback>
            <w:pict>
              <v:shapetype w14:anchorId="71A38A6C" id="_x0000_t202" coordsize="21600,21600" o:spt="202" path="m,l,21600r21600,l21600,xe">
                <v:stroke joinstyle="miter"/>
                <v:path gradientshapeok="t" o:connecttype="rect"/>
              </v:shapetype>
              <v:shape id="Text Box 2" o:spid="_x0000_s1026" type="#_x0000_t202" style="width:451.3pt;height:19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" fillcolor="#65c5b4 [3205]" stroked="f" strokeweight="1.5pt">
                <v:shadow on="t" color="black" opacity="26214f" origin="-.5,-.5" offset=".74836mm,.74836mm"/>
                <v:textbox style="mso-fit-shape-to-text:t">
                  <w:txbxContent>
                    <w:p w14:paraId="05754040" w14:textId="77777777" w:rsidR="003F4A03" w:rsidRPr="00D04551" w:rsidRDefault="003F4A03" w:rsidP="00BC5F46">
                      <w:pPr>
                        <w:rPr>
                          <w:color w:val="FFFFFF" w:themeColor="background1"/>
                        </w:rPr>
                      </w:pPr>
                      <w:r w:rsidRPr="00D04551">
                        <w:rPr>
                          <w:b/>
                          <w:bCs/>
                          <w:color w:val="FFFFFF" w:themeColor="background1"/>
                          <w:lang w:val="en-US"/>
                        </w:rPr>
                        <w:t>DFAT approaches to business</w:t>
                      </w:r>
                    </w:p>
                    <w:p w14:paraId="7E2E7FA2" w14:textId="77777777" w:rsidR="003F4A03" w:rsidRPr="00D04551" w:rsidRDefault="003F4A03" w:rsidP="00BC5F46">
                      <w:pPr>
                        <w:numPr>
                          <w:ilvl w:val="0"/>
                          <w:numId w:val="26"/>
                        </w:numPr>
                        <w:suppressAutoHyphens w:val="0"/>
                        <w:spacing w:before="0" w:after="160" w:line="259" w:lineRule="auto"/>
                        <w:rPr>
                          <w:color w:val="FFFFFF" w:themeColor="background1"/>
                        </w:rPr>
                      </w:pPr>
                      <w:r w:rsidRPr="00D04551">
                        <w:rPr>
                          <w:color w:val="FFFFFF" w:themeColor="background1"/>
                        </w:rPr>
                        <w:t xml:space="preserve">DFAT may approach private sector entities as </w:t>
                      </w:r>
                      <w:r>
                        <w:rPr>
                          <w:color w:val="FFFFFF" w:themeColor="background1"/>
                        </w:rPr>
                        <w:t>collaborative</w:t>
                      </w:r>
                      <w:r w:rsidRPr="00D04551">
                        <w:rPr>
                          <w:color w:val="FFFFFF" w:themeColor="background1"/>
                        </w:rPr>
                        <w:t xml:space="preserve"> or </w:t>
                      </w:r>
                      <w:r>
                        <w:rPr>
                          <w:color w:val="FFFFFF" w:themeColor="background1"/>
                        </w:rPr>
                        <w:t>financial</w:t>
                      </w:r>
                      <w:r w:rsidRPr="00D04551">
                        <w:rPr>
                          <w:color w:val="FFFFFF" w:themeColor="background1"/>
                        </w:rPr>
                        <w:t xml:space="preserve"> partners to achieve strategic development objectives. Reputational and financial risks must be considered in every engagement and where financial support is provided, partnerships </w:t>
                      </w:r>
                      <w:r>
                        <w:rPr>
                          <w:color w:val="FFFFFF" w:themeColor="background1"/>
                        </w:rPr>
                        <w:t xml:space="preserve">must comply with the </w:t>
                      </w:r>
                      <w:r w:rsidRPr="00D04551">
                        <w:rPr>
                          <w:color w:val="FFFFFF" w:themeColor="background1"/>
                        </w:rPr>
                        <w:t>Public Governance, Performance and Accountability Act (2013) and the Commonwealth Procurement Guidelines.</w:t>
                      </w:r>
                    </w:p>
                    <w:p w14:paraId="58E36662" w14:textId="77777777" w:rsidR="003F4A03" w:rsidRPr="00D04551" w:rsidRDefault="003F4A03" w:rsidP="00BC5F46">
                      <w:pPr>
                        <w:numPr>
                          <w:ilvl w:val="0"/>
                          <w:numId w:val="26"/>
                        </w:numPr>
                        <w:suppressAutoHyphens w:val="0"/>
                        <w:spacing w:before="0" w:after="160" w:line="259" w:lineRule="auto"/>
                        <w:rPr>
                          <w:color w:val="FFFFFF" w:themeColor="background1"/>
                        </w:rPr>
                      </w:pPr>
                      <w:r w:rsidRPr="00D04551">
                        <w:rPr>
                          <w:color w:val="FFFFFF" w:themeColor="background1"/>
                        </w:rPr>
                        <w:t xml:space="preserve">For </w:t>
                      </w:r>
                      <w:r>
                        <w:rPr>
                          <w:color w:val="FFFFFF" w:themeColor="background1"/>
                        </w:rPr>
                        <w:t>financial</w:t>
                      </w:r>
                      <w:r w:rsidRPr="00D04551">
                        <w:rPr>
                          <w:color w:val="FFFFFF" w:themeColor="background1"/>
                        </w:rPr>
                        <w:t xml:space="preserve"> partnerships, calls for partnership must be public and transparent and decided in an equitable manner. While there are minimum standards to adhere to, to attract interest from a broader range of businesses, a marketing campaign may be conducted (e.g. challenge funds or </w:t>
                      </w:r>
                      <w:r>
                        <w:rPr>
                          <w:color w:val="FFFFFF" w:themeColor="background1"/>
                        </w:rPr>
                        <w:t xml:space="preserve">competitive processes as with the </w:t>
                      </w:r>
                      <w:r w:rsidRPr="00D04551">
                        <w:rPr>
                          <w:color w:val="FFFFFF" w:themeColor="background1"/>
                        </w:rPr>
                        <w:t>Business Partnerships Platform).</w:t>
                      </w:r>
                    </w:p>
                    <w:p w14:paraId="26DB933F" w14:textId="77777777" w:rsidR="003F4A03" w:rsidRPr="00D04551" w:rsidRDefault="003F4A03" w:rsidP="00BC5F46">
                      <w:pPr>
                        <w:numPr>
                          <w:ilvl w:val="0"/>
                          <w:numId w:val="26"/>
                        </w:numPr>
                        <w:suppressAutoHyphens w:val="0"/>
                        <w:spacing w:before="0" w:after="160" w:line="259" w:lineRule="auto"/>
                        <w:rPr>
                          <w:color w:val="FFFFFF" w:themeColor="background1"/>
                        </w:rPr>
                      </w:pPr>
                      <w:r w:rsidRPr="00D04551">
                        <w:rPr>
                          <w:color w:val="FFFFFF" w:themeColor="background1"/>
                        </w:rPr>
                        <w:t xml:space="preserve">In specific circumstances, where it is assessed that there is limited impact to the neutrality principle, strategic partnerships could be formed for advocacy and </w:t>
                      </w:r>
                      <w:r>
                        <w:rPr>
                          <w:color w:val="FFFFFF" w:themeColor="background1"/>
                        </w:rPr>
                        <w:t>financial</w:t>
                      </w:r>
                      <w:r w:rsidRPr="00D04551">
                        <w:rPr>
                          <w:color w:val="FFFFFF" w:themeColor="background1"/>
                        </w:rPr>
                        <w:t xml:space="preserve"> partnerships with identified individual businesses or private sector bodies to forward strategic development objectives</w:t>
                      </w:r>
                      <w:r>
                        <w:rPr>
                          <w:color w:val="FFFFFF" w:themeColor="background1"/>
                        </w:rPr>
                        <w:t xml:space="preserve"> (e.g. the DFAT partnership with Carnival Cruises, see Case Study pg. 7)</w:t>
                      </w:r>
                      <w:r w:rsidRPr="00D04551">
                        <w:rPr>
                          <w:color w:val="FFFFFF" w:themeColor="background1"/>
                        </w:rPr>
                        <w:t>.</w:t>
                      </w:r>
                    </w:p>
                  </w:txbxContent>
                </v:textbox>
                <w10:anchorlock/>
              </v:shape>
            </w:pict>
          </mc:Fallback>
        </mc:AlternateContent>
      </w:r>
    </w:p>
    <w:p w14:paraId="71781E2A" w14:textId="77777777" w:rsidR="00BC5F46" w:rsidRDefault="00BC5F46" w:rsidP="00BC5F46">
      <w:r w:rsidRPr="00B41D83">
        <w:rPr>
          <w:i/>
          <w:noProof/>
          <w:lang w:val="en-AU" w:eastAsia="en-AU"/>
        </w:rPr>
        <mc:AlternateContent>
          <mc:Choice Requires="wps">
            <w:drawing>
              <wp:inline distT="0" distB="0" distL="0" distR="0" wp14:anchorId="33EFDEF9" wp14:editId="265E3E80">
                <wp:extent cx="5731510" cy="1767979"/>
                <wp:effectExtent l="38100" t="38100" r="97790" b="94615"/>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767979"/>
                        </a:xfrm>
                        <a:prstGeom prst="rect">
                          <a:avLst/>
                        </a:prstGeom>
                        <a:solidFill>
                          <a:schemeClr val="accent6"/>
                        </a:solidFill>
                        <a:ln>
                          <a:noFill/>
                          <a:headEnd/>
                          <a:tailEnd/>
                        </a:ln>
                        <a:effectLst>
                          <a:outerShdw blurRad="50800" dist="38100" dir="2700000" algn="tl" rotWithShape="0">
                            <a:prstClr val="black">
                              <a:alpha val="40000"/>
                            </a:prstClr>
                          </a:outerShdw>
                        </a:effectLst>
                      </wps:spPr>
                      <wps:style>
                        <a:lnRef idx="3">
                          <a:schemeClr val="lt1"/>
                        </a:lnRef>
                        <a:fillRef idx="1">
                          <a:schemeClr val="accent1"/>
                        </a:fillRef>
                        <a:effectRef idx="1">
                          <a:schemeClr val="accent1"/>
                        </a:effectRef>
                        <a:fontRef idx="minor">
                          <a:schemeClr val="lt1"/>
                        </a:fontRef>
                      </wps:style>
                      <wps:txbx>
                        <w:txbxContent>
                          <w:p w14:paraId="09F4B7B9" w14:textId="77777777" w:rsidR="003F4A03" w:rsidRPr="00D04551" w:rsidRDefault="003F4A03" w:rsidP="00BC5F46">
                            <w:pPr>
                              <w:rPr>
                                <w:b/>
                                <w:bCs/>
                                <w:color w:val="FFFFFF" w:themeColor="background1"/>
                              </w:rPr>
                            </w:pPr>
                            <w:r w:rsidRPr="00D04551">
                              <w:rPr>
                                <w:b/>
                                <w:bCs/>
                                <w:color w:val="FFFFFF" w:themeColor="background1"/>
                                <w:lang w:val="en-US"/>
                              </w:rPr>
                              <w:t>Business approaches to DFAT</w:t>
                            </w:r>
                          </w:p>
                          <w:p w14:paraId="0C38ED75" w14:textId="77777777" w:rsidR="003F4A03" w:rsidRPr="00D04551" w:rsidRDefault="003F4A03" w:rsidP="00BC5F46">
                            <w:pPr>
                              <w:numPr>
                                <w:ilvl w:val="0"/>
                                <w:numId w:val="26"/>
                              </w:numPr>
                              <w:suppressAutoHyphens w:val="0"/>
                              <w:spacing w:before="0" w:after="160" w:line="259" w:lineRule="auto"/>
                              <w:rPr>
                                <w:bCs/>
                                <w:color w:val="FFFFFF" w:themeColor="background1"/>
                              </w:rPr>
                            </w:pPr>
                            <w:r w:rsidRPr="00D04551">
                              <w:rPr>
                                <w:bCs/>
                                <w:color w:val="FFFFFF" w:themeColor="background1"/>
                              </w:rPr>
                              <w:t xml:space="preserve">Businesses that have identified potential partnership opportunities with DFAT may contact </w:t>
                            </w:r>
                            <w:r w:rsidRPr="00C91400">
                              <w:rPr>
                                <w:color w:val="FFFFFF" w:themeColor="background1"/>
                              </w:rPr>
                              <w:t>DFAT via their own contacts and networks, through publicly available information, or via the</w:t>
                            </w:r>
                            <w:r w:rsidRPr="00D04551">
                              <w:rPr>
                                <w:bCs/>
                                <w:color w:val="FFFFFF" w:themeColor="background1"/>
                              </w:rPr>
                              <w:t xml:space="preserve"> Private Sector </w:t>
                            </w:r>
                            <w:r>
                              <w:rPr>
                                <w:bCs/>
                                <w:color w:val="FFFFFF" w:themeColor="background1"/>
                              </w:rPr>
                              <w:t>and Partnerships Section</w:t>
                            </w:r>
                            <w:r w:rsidRPr="00D04551">
                              <w:rPr>
                                <w:bCs/>
                                <w:color w:val="FFFFFF" w:themeColor="background1"/>
                              </w:rPr>
                              <w:t xml:space="preserve"> inbox (</w:t>
                            </w:r>
                            <w:hyperlink r:id="rId32" w:history="1">
                              <w:r w:rsidRPr="00145990">
                                <w:rPr>
                                  <w:rStyle w:val="Hyperlink"/>
                                  <w:rFonts w:cstheme="minorBidi"/>
                                  <w:bCs/>
                                  <w:color w:val="FFFFFF" w:themeColor="background1"/>
                                </w:rPr>
                                <w:t>privatesector@dfat.gov.au</w:t>
                              </w:r>
                            </w:hyperlink>
                            <w:r w:rsidRPr="00145990">
                              <w:rPr>
                                <w:bCs/>
                                <w:color w:val="FFFFFF" w:themeColor="background1"/>
                              </w:rPr>
                              <w:t>)</w:t>
                            </w:r>
                            <w:r w:rsidRPr="00D04551">
                              <w:rPr>
                                <w:bCs/>
                                <w:color w:val="FFFFFF" w:themeColor="background1"/>
                              </w:rPr>
                              <w:t>.</w:t>
                            </w:r>
                          </w:p>
                          <w:p w14:paraId="7EFA4C49" w14:textId="77777777" w:rsidR="003F4A03" w:rsidRPr="00D04551" w:rsidRDefault="003F4A03" w:rsidP="00BC5F46">
                            <w:pPr>
                              <w:numPr>
                                <w:ilvl w:val="0"/>
                                <w:numId w:val="26"/>
                              </w:numPr>
                              <w:suppressAutoHyphens w:val="0"/>
                              <w:spacing w:before="0" w:after="160" w:line="259" w:lineRule="auto"/>
                              <w:rPr>
                                <w:bCs/>
                                <w:color w:val="FFFFFF" w:themeColor="background1"/>
                              </w:rPr>
                            </w:pPr>
                            <w:r w:rsidRPr="00D04551">
                              <w:rPr>
                                <w:bCs/>
                                <w:color w:val="FFFFFF" w:themeColor="background1"/>
                              </w:rPr>
                              <w:t>DFAT will make an initial assessment of the approach, taking into con</w:t>
                            </w:r>
                            <w:r>
                              <w:rPr>
                                <w:bCs/>
                                <w:color w:val="FFFFFF" w:themeColor="background1"/>
                              </w:rPr>
                              <w:t>sideration its strategic develop</w:t>
                            </w:r>
                            <w:r w:rsidRPr="00D04551">
                              <w:rPr>
                                <w:bCs/>
                                <w:color w:val="FFFFFF" w:themeColor="background1"/>
                              </w:rPr>
                              <w:t xml:space="preserve">ment objectives, the value proposition and </w:t>
                            </w:r>
                            <w:r>
                              <w:rPr>
                                <w:bCs/>
                                <w:color w:val="FFFFFF" w:themeColor="background1"/>
                              </w:rPr>
                              <w:t xml:space="preserve">the </w:t>
                            </w:r>
                            <w:r w:rsidRPr="00D04551">
                              <w:rPr>
                                <w:bCs/>
                                <w:color w:val="FFFFFF" w:themeColor="background1"/>
                              </w:rPr>
                              <w:t>principles above</w:t>
                            </w:r>
                            <w:r>
                              <w:rPr>
                                <w:bCs/>
                                <w:color w:val="FFFFFF" w:themeColor="background1"/>
                              </w:rPr>
                              <w:t>.</w:t>
                            </w:r>
                            <w:r w:rsidRPr="00D04551">
                              <w:rPr>
                                <w:bCs/>
                                <w:color w:val="FFFFFF" w:themeColor="background1"/>
                              </w:rPr>
                              <w:t xml:space="preserve"> </w:t>
                            </w:r>
                            <w:r>
                              <w:rPr>
                                <w:bCs/>
                                <w:color w:val="FFFFFF" w:themeColor="background1"/>
                              </w:rPr>
                              <w:t>The Private Sector and Partnerships Section will then</w:t>
                            </w:r>
                            <w:r w:rsidRPr="00D04551">
                              <w:rPr>
                                <w:bCs/>
                                <w:color w:val="FFFFFF" w:themeColor="background1"/>
                              </w:rPr>
                              <w:t xml:space="preserve"> connect </w:t>
                            </w:r>
                            <w:r>
                              <w:rPr>
                                <w:bCs/>
                                <w:color w:val="FFFFFF" w:themeColor="background1"/>
                              </w:rPr>
                              <w:t>the business</w:t>
                            </w:r>
                            <w:r w:rsidRPr="00D04551">
                              <w:rPr>
                                <w:bCs/>
                                <w:color w:val="FFFFFF" w:themeColor="background1"/>
                              </w:rPr>
                              <w:t xml:space="preserve"> with the relevant </w:t>
                            </w:r>
                            <w:r>
                              <w:rPr>
                                <w:bCs/>
                                <w:color w:val="FFFFFF" w:themeColor="background1"/>
                              </w:rPr>
                              <w:t>departmental</w:t>
                            </w:r>
                            <w:r w:rsidRPr="00D04551">
                              <w:rPr>
                                <w:bCs/>
                                <w:color w:val="FFFFFF" w:themeColor="background1"/>
                              </w:rPr>
                              <w:t xml:space="preserve"> area for further investigation regarding ongoing programming, or into discussions as part of the aid programming strategy cycle, as appropriate.</w:t>
                            </w:r>
                          </w:p>
                        </w:txbxContent>
                      </wps:txbx>
                      <wps:bodyPr rot="0" vert="horz" wrap="square" lIns="91440" tIns="45720" rIns="91440" bIns="45720" anchor="t" anchorCtr="0">
                        <a:spAutoFit/>
                      </wps:bodyPr>
                    </wps:wsp>
                  </a:graphicData>
                </a:graphic>
              </wp:inline>
            </w:drawing>
          </mc:Choice>
          <mc:Fallback>
            <w:pict>
              <v:shape w14:anchorId="33EFDEF9" id="_x0000_s1027" type="#_x0000_t202" style="width:451.3pt;height:13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" fillcolor="#007c89 [3209]" stroked="f" strokeweight="1.5pt">
                <v:shadow on="t" color="black" opacity="26214f" origin="-.5,-.5" offset=".74836mm,.74836mm"/>
                <v:textbox style="mso-fit-shape-to-text:t">
                  <w:txbxContent>
                    <w:p w14:paraId="09F4B7B9" w14:textId="77777777" w:rsidR="003F4A03" w:rsidRPr="00D04551" w:rsidRDefault="003F4A03" w:rsidP="00BC5F46">
                      <w:pPr>
                        <w:rPr>
                          <w:b/>
                          <w:bCs/>
                          <w:color w:val="FFFFFF" w:themeColor="background1"/>
                        </w:rPr>
                      </w:pPr>
                      <w:r w:rsidRPr="00D04551">
                        <w:rPr>
                          <w:b/>
                          <w:bCs/>
                          <w:color w:val="FFFFFF" w:themeColor="background1"/>
                          <w:lang w:val="en-US"/>
                        </w:rPr>
                        <w:t>Business approaches to DFAT</w:t>
                      </w:r>
                    </w:p>
                    <w:p w14:paraId="0C38ED75" w14:textId="77777777" w:rsidR="003F4A03" w:rsidRPr="00D04551" w:rsidRDefault="003F4A03" w:rsidP="00BC5F46">
                      <w:pPr>
                        <w:numPr>
                          <w:ilvl w:val="0"/>
                          <w:numId w:val="26"/>
                        </w:numPr>
                        <w:suppressAutoHyphens w:val="0"/>
                        <w:spacing w:before="0" w:after="160" w:line="259" w:lineRule="auto"/>
                        <w:rPr>
                          <w:bCs/>
                          <w:color w:val="FFFFFF" w:themeColor="background1"/>
                        </w:rPr>
                      </w:pPr>
                      <w:r w:rsidRPr="00D04551">
                        <w:rPr>
                          <w:bCs/>
                          <w:color w:val="FFFFFF" w:themeColor="background1"/>
                        </w:rPr>
                        <w:t xml:space="preserve">Businesses that have identified potential partnership opportunities with DFAT may contact </w:t>
                      </w:r>
                      <w:r w:rsidRPr="00C91400">
                        <w:rPr>
                          <w:color w:val="FFFFFF" w:themeColor="background1"/>
                        </w:rPr>
                        <w:t>DFAT via their own contacts and networks, through publicly available information, or via the</w:t>
                      </w:r>
                      <w:r w:rsidRPr="00D04551">
                        <w:rPr>
                          <w:bCs/>
                          <w:color w:val="FFFFFF" w:themeColor="background1"/>
                        </w:rPr>
                        <w:t xml:space="preserve"> Private Sector </w:t>
                      </w:r>
                      <w:r>
                        <w:rPr>
                          <w:bCs/>
                          <w:color w:val="FFFFFF" w:themeColor="background1"/>
                        </w:rPr>
                        <w:t>and Partnerships Section</w:t>
                      </w:r>
                      <w:r w:rsidRPr="00D04551">
                        <w:rPr>
                          <w:bCs/>
                          <w:color w:val="FFFFFF" w:themeColor="background1"/>
                        </w:rPr>
                        <w:t xml:space="preserve"> inbox (</w:t>
                      </w:r>
                      <w:hyperlink r:id="rId34" w:history="1">
                        <w:r w:rsidRPr="00145990">
                          <w:rPr>
                            <w:rStyle w:val="Hyperlink"/>
                            <w:rFonts w:cstheme="minorBidi"/>
                            <w:bCs/>
                            <w:color w:val="FFFFFF" w:themeColor="background1"/>
                          </w:rPr>
                          <w:t>privatesector@dfat.gov.au</w:t>
                        </w:r>
                      </w:hyperlink>
                      <w:r w:rsidRPr="00145990">
                        <w:rPr>
                          <w:bCs/>
                          <w:color w:val="FFFFFF" w:themeColor="background1"/>
                        </w:rPr>
                        <w:t>)</w:t>
                      </w:r>
                      <w:r w:rsidRPr="00D04551">
                        <w:rPr>
                          <w:bCs/>
                          <w:color w:val="FFFFFF" w:themeColor="background1"/>
                        </w:rPr>
                        <w:t>.</w:t>
                      </w:r>
                    </w:p>
                    <w:p w14:paraId="7EFA4C49" w14:textId="77777777" w:rsidR="003F4A03" w:rsidRPr="00D04551" w:rsidRDefault="003F4A03" w:rsidP="00BC5F46">
                      <w:pPr>
                        <w:numPr>
                          <w:ilvl w:val="0"/>
                          <w:numId w:val="26"/>
                        </w:numPr>
                        <w:suppressAutoHyphens w:val="0"/>
                        <w:spacing w:before="0" w:after="160" w:line="259" w:lineRule="auto"/>
                        <w:rPr>
                          <w:bCs/>
                          <w:color w:val="FFFFFF" w:themeColor="background1"/>
                        </w:rPr>
                      </w:pPr>
                      <w:r w:rsidRPr="00D04551">
                        <w:rPr>
                          <w:bCs/>
                          <w:color w:val="FFFFFF" w:themeColor="background1"/>
                        </w:rPr>
                        <w:t>DFAT will make an initial assessment of the approach, taking into con</w:t>
                      </w:r>
                      <w:r>
                        <w:rPr>
                          <w:bCs/>
                          <w:color w:val="FFFFFF" w:themeColor="background1"/>
                        </w:rPr>
                        <w:t>sideration its strategic develop</w:t>
                      </w:r>
                      <w:r w:rsidRPr="00D04551">
                        <w:rPr>
                          <w:bCs/>
                          <w:color w:val="FFFFFF" w:themeColor="background1"/>
                        </w:rPr>
                        <w:t xml:space="preserve">ment objectives, the value proposition and </w:t>
                      </w:r>
                      <w:r>
                        <w:rPr>
                          <w:bCs/>
                          <w:color w:val="FFFFFF" w:themeColor="background1"/>
                        </w:rPr>
                        <w:t xml:space="preserve">the </w:t>
                      </w:r>
                      <w:r w:rsidRPr="00D04551">
                        <w:rPr>
                          <w:bCs/>
                          <w:color w:val="FFFFFF" w:themeColor="background1"/>
                        </w:rPr>
                        <w:t>principles above</w:t>
                      </w:r>
                      <w:r>
                        <w:rPr>
                          <w:bCs/>
                          <w:color w:val="FFFFFF" w:themeColor="background1"/>
                        </w:rPr>
                        <w:t>.</w:t>
                      </w:r>
                      <w:r w:rsidRPr="00D04551">
                        <w:rPr>
                          <w:bCs/>
                          <w:color w:val="FFFFFF" w:themeColor="background1"/>
                        </w:rPr>
                        <w:t xml:space="preserve"> </w:t>
                      </w:r>
                      <w:r>
                        <w:rPr>
                          <w:bCs/>
                          <w:color w:val="FFFFFF" w:themeColor="background1"/>
                        </w:rPr>
                        <w:t>The Private Sector and Partnerships Section will then</w:t>
                      </w:r>
                      <w:r w:rsidRPr="00D04551">
                        <w:rPr>
                          <w:bCs/>
                          <w:color w:val="FFFFFF" w:themeColor="background1"/>
                        </w:rPr>
                        <w:t xml:space="preserve"> connect </w:t>
                      </w:r>
                      <w:r>
                        <w:rPr>
                          <w:bCs/>
                          <w:color w:val="FFFFFF" w:themeColor="background1"/>
                        </w:rPr>
                        <w:t>the business</w:t>
                      </w:r>
                      <w:r w:rsidRPr="00D04551">
                        <w:rPr>
                          <w:bCs/>
                          <w:color w:val="FFFFFF" w:themeColor="background1"/>
                        </w:rPr>
                        <w:t xml:space="preserve"> with the relevant </w:t>
                      </w:r>
                      <w:r>
                        <w:rPr>
                          <w:bCs/>
                          <w:color w:val="FFFFFF" w:themeColor="background1"/>
                        </w:rPr>
                        <w:t>departmental</w:t>
                      </w:r>
                      <w:r w:rsidRPr="00D04551">
                        <w:rPr>
                          <w:bCs/>
                          <w:color w:val="FFFFFF" w:themeColor="background1"/>
                        </w:rPr>
                        <w:t xml:space="preserve"> area for further investigation regarding ongoing programming, or into discussions as part of the aid programming strategy cycle, as appropriate.</w:t>
                      </w:r>
                    </w:p>
                  </w:txbxContent>
                </v:textbox>
                <w10:anchorlock/>
              </v:shape>
            </w:pict>
          </mc:Fallback>
        </mc:AlternateContent>
      </w:r>
    </w:p>
    <w:p w14:paraId="282A2E3D" w14:textId="77777777" w:rsidR="00BC5F46" w:rsidRDefault="00BC5F46" w:rsidP="00BC5F46">
      <w:pPr>
        <w:suppressAutoHyphens w:val="0"/>
        <w:spacing w:before="0" w:after="120" w:line="440" w:lineRule="atLeast"/>
        <w:rPr>
          <w:rFonts w:asciiTheme="majorHAnsi" w:eastAsiaTheme="majorEastAsia" w:hAnsiTheme="majorHAnsi" w:cstheme="majorBidi"/>
          <w:caps/>
          <w:sz w:val="38"/>
          <w:szCs w:val="26"/>
        </w:rPr>
      </w:pPr>
      <w:bookmarkStart w:id="5" w:name="_Toc468889135"/>
      <w:r>
        <w:br w:type="page"/>
      </w:r>
    </w:p>
    <w:p w14:paraId="753CB319" w14:textId="77777777" w:rsidR="00BC5F46" w:rsidRPr="00B841C3" w:rsidRDefault="00BC5F46" w:rsidP="00BC5F46">
      <w:pPr>
        <w:pStyle w:val="Heading2"/>
        <w:numPr>
          <w:ilvl w:val="0"/>
          <w:numId w:val="21"/>
        </w:numPr>
        <w:rPr>
          <w:b/>
        </w:rPr>
      </w:pPr>
      <w:bookmarkStart w:id="6" w:name="_Toc26802483"/>
      <w:r>
        <w:lastRenderedPageBreak/>
        <w:t>Cross-cutting themes</w:t>
      </w:r>
      <w:bookmarkEnd w:id="5"/>
      <w:bookmarkEnd w:id="6"/>
    </w:p>
    <w:p w14:paraId="34AFB73A" w14:textId="77777777" w:rsidR="00BC5F46" w:rsidRPr="003170F3" w:rsidRDefault="00BC5F46" w:rsidP="00BC5F46">
      <w:pPr>
        <w:pStyle w:val="BodyText"/>
      </w:pPr>
      <w:r w:rsidRPr="003170F3">
        <w:t>The Foreign Policy White Paper identifies gender and disability as cross</w:t>
      </w:r>
      <w:r>
        <w:t>-</w:t>
      </w:r>
      <w:r w:rsidRPr="003170F3">
        <w:t xml:space="preserve">cutting priorities in Australia’s international engagement in development. </w:t>
      </w:r>
      <w:r>
        <w:t>It is important to consider w</w:t>
      </w:r>
      <w:r w:rsidRPr="003170F3">
        <w:t xml:space="preserve">omen’s empowerment and inclusive development in private sector partnerships. </w:t>
      </w:r>
    </w:p>
    <w:p w14:paraId="5414EA56" w14:textId="77777777" w:rsidR="00BC5F46" w:rsidRPr="00D04551" w:rsidRDefault="00BC5F46" w:rsidP="00BC5F46">
      <w:pPr>
        <w:pStyle w:val="Heading3"/>
        <w:spacing w:before="240"/>
      </w:pPr>
      <w:r w:rsidRPr="00F6244C">
        <w:t>Gender Equality and Women’s Empowerment</w:t>
      </w:r>
    </w:p>
    <w:p w14:paraId="416EBCE9" w14:textId="2A985F96" w:rsidR="00BC5F46" w:rsidRPr="001B1E46" w:rsidRDefault="00BC5F46" w:rsidP="00BC5F46">
      <w:pPr>
        <w:pStyle w:val="BodyText"/>
      </w:pPr>
      <w:r w:rsidRPr="001B1E46">
        <w:t>While gender equality has an intrinsic value as a human right, it also acts as a catalyst for economic growth</w:t>
      </w:r>
      <w:r>
        <w:rPr>
          <w:rStyle w:val="FootnoteReference"/>
        </w:rPr>
        <w:footnoteReference w:id="5"/>
      </w:r>
      <w:r w:rsidRPr="001B1E46">
        <w:t xml:space="preserve">. Equal access to resources and economic opportunities </w:t>
      </w:r>
      <w:r>
        <w:t>for</w:t>
      </w:r>
      <w:r w:rsidRPr="001B1E46">
        <w:t xml:space="preserve"> women enhance</w:t>
      </w:r>
      <w:r>
        <w:t>s</w:t>
      </w:r>
      <w:r w:rsidRPr="001B1E46">
        <w:t xml:space="preserve"> productivity and economic growth</w:t>
      </w:r>
      <w:r w:rsidRPr="001B1E46">
        <w:rPr>
          <w:rStyle w:val="FootnoteReference"/>
          <w:rFonts w:asciiTheme="majorHAnsi" w:hAnsiTheme="majorHAnsi" w:cstheme="majorHAnsi"/>
          <w:sz w:val="24"/>
          <w:szCs w:val="24"/>
        </w:rPr>
        <w:footnoteReference w:id="6"/>
      </w:r>
      <w:r w:rsidRPr="001B1E46">
        <w:t xml:space="preserve">. </w:t>
      </w:r>
      <w:r w:rsidR="00B01460">
        <w:t xml:space="preserve">Increased participation </w:t>
      </w:r>
      <w:r w:rsidRPr="001B1E46">
        <w:t>of women in the labour force is recognised as an important driver of national growth</w:t>
      </w:r>
      <w:r>
        <w:t>,</w:t>
      </w:r>
      <w:r w:rsidRPr="001B1E46">
        <w:t xml:space="preserve"> with estimates that gender economic parity could add up to 26 per cent to the annual global GDP</w:t>
      </w:r>
      <w:r w:rsidRPr="001B1E46">
        <w:rPr>
          <w:rStyle w:val="FootnoteReference"/>
          <w:rFonts w:asciiTheme="majorHAnsi" w:hAnsiTheme="majorHAnsi" w:cstheme="majorHAnsi"/>
          <w:sz w:val="24"/>
          <w:szCs w:val="24"/>
        </w:rPr>
        <w:footnoteReference w:id="7"/>
      </w:r>
      <w:r w:rsidRPr="001B1E46">
        <w:t xml:space="preserve">. </w:t>
      </w:r>
      <w:r w:rsidR="00B01460">
        <w:t xml:space="preserve">It is important that DFAT and its partners understand </w:t>
      </w:r>
      <w:r w:rsidR="004C7367">
        <w:t>how gender impacts businesses</w:t>
      </w:r>
      <w:r w:rsidR="00B01460">
        <w:t>,</w:t>
      </w:r>
      <w:r w:rsidR="004C7367">
        <w:t xml:space="preserve"> supply chains, customers and </w:t>
      </w:r>
      <w:r w:rsidR="00B01460">
        <w:t xml:space="preserve">the </w:t>
      </w:r>
      <w:r w:rsidR="004C7367">
        <w:t>workforce</w:t>
      </w:r>
      <w:r w:rsidR="00B01460">
        <w:t>, to design and implement programs that can harness opportunities and</w:t>
      </w:r>
      <w:r w:rsidR="004C7367">
        <w:t xml:space="preserve"> </w:t>
      </w:r>
      <w:r w:rsidR="00B01460">
        <w:t>demonstrate</w:t>
      </w:r>
      <w:r w:rsidRPr="001B1E46">
        <w:t xml:space="preserve"> </w:t>
      </w:r>
      <w:r>
        <w:t>the</w:t>
      </w:r>
      <w:r w:rsidRPr="001B1E46">
        <w:t xml:space="preserve"> business case for gender equality</w:t>
      </w:r>
      <w:r w:rsidR="00B01460">
        <w:t xml:space="preserve"> (while avoiding potential negative impacts on women and girls)</w:t>
      </w:r>
      <w:r w:rsidRPr="001B1E46">
        <w:t>.</w:t>
      </w:r>
    </w:p>
    <w:p w14:paraId="5051FE0D" w14:textId="77777777" w:rsidR="00BC5F46" w:rsidRPr="003170F3" w:rsidRDefault="00BC5F46" w:rsidP="00BC5F46">
      <w:pPr>
        <w:pStyle w:val="Figure"/>
        <w:rPr>
          <w:rFonts w:asciiTheme="minorHAnsi" w:eastAsiaTheme="minorHAnsi" w:hAnsiTheme="minorHAnsi" w:cstheme="minorBidi"/>
          <w:color w:val="495965" w:themeColor="text2"/>
          <w:kern w:val="0"/>
          <w:sz w:val="22"/>
          <w:lang w:val="en-GB" w:eastAsia="en-US"/>
        </w:rPr>
      </w:pPr>
      <w:r w:rsidRPr="003170F3">
        <w:rPr>
          <w:rFonts w:asciiTheme="minorHAnsi" w:eastAsiaTheme="minorHAnsi" w:hAnsiTheme="minorHAnsi" w:cstheme="minorBidi"/>
          <w:color w:val="495965" w:themeColor="text2"/>
          <w:kern w:val="0"/>
          <w:sz w:val="22"/>
          <w:lang w:val="en-GB" w:eastAsia="en-US"/>
        </w:rPr>
        <w:t xml:space="preserve">DFAT’s </w:t>
      </w:r>
      <w:r>
        <w:rPr>
          <w:rFonts w:asciiTheme="minorHAnsi" w:eastAsiaTheme="minorHAnsi" w:hAnsiTheme="minorHAnsi" w:cstheme="minorBidi"/>
          <w:color w:val="495965" w:themeColor="text2"/>
          <w:kern w:val="0"/>
          <w:sz w:val="22"/>
          <w:lang w:val="en-GB" w:eastAsia="en-US"/>
        </w:rPr>
        <w:t>2017</w:t>
      </w:r>
      <w:r w:rsidRPr="003170F3">
        <w:rPr>
          <w:rFonts w:asciiTheme="minorHAnsi" w:eastAsiaTheme="minorHAnsi" w:hAnsiTheme="minorHAnsi" w:cstheme="minorBidi"/>
          <w:color w:val="495965" w:themeColor="text2"/>
          <w:kern w:val="0"/>
          <w:sz w:val="22"/>
          <w:lang w:val="en-GB" w:eastAsia="en-US"/>
        </w:rPr>
        <w:t xml:space="preserve"> </w:t>
      </w:r>
      <w:hyperlink r:id="rId35" w:history="1">
        <w:r w:rsidRPr="00DD5629">
          <w:rPr>
            <w:rStyle w:val="Hyperlink"/>
            <w:rFonts w:eastAsiaTheme="minorHAnsi"/>
            <w:color w:val="0070C0"/>
            <w:kern w:val="0"/>
            <w:sz w:val="22"/>
            <w:lang w:eastAsia="en-US"/>
          </w:rPr>
          <w:t>Gender Equality and Wo</w:t>
        </w:r>
        <w:r w:rsidRPr="00DD5629">
          <w:rPr>
            <w:rStyle w:val="Hyperlink"/>
            <w:rFonts w:eastAsiaTheme="minorHAnsi"/>
            <w:color w:val="0070C0"/>
            <w:kern w:val="0"/>
            <w:sz w:val="22"/>
            <w:lang w:eastAsia="en-US"/>
          </w:rPr>
          <w:t>m</w:t>
        </w:r>
        <w:r w:rsidRPr="00DD5629">
          <w:rPr>
            <w:rStyle w:val="Hyperlink"/>
            <w:rFonts w:eastAsiaTheme="minorHAnsi"/>
            <w:color w:val="0070C0"/>
            <w:kern w:val="0"/>
            <w:sz w:val="22"/>
            <w:lang w:eastAsia="en-US"/>
          </w:rPr>
          <w:t>en’s Empowerment Strategy</w:t>
        </w:r>
      </w:hyperlink>
      <w:r w:rsidRPr="003170F3">
        <w:rPr>
          <w:rFonts w:asciiTheme="minorHAnsi" w:eastAsiaTheme="minorHAnsi" w:hAnsiTheme="minorHAnsi" w:cstheme="minorBidi"/>
          <w:color w:val="495965" w:themeColor="text2"/>
          <w:kern w:val="0"/>
          <w:sz w:val="22"/>
          <w:lang w:val="en-GB" w:eastAsia="en-US"/>
        </w:rPr>
        <w:t xml:space="preserve"> highlights women’s economic participation as a driver of</w:t>
      </w:r>
      <w:r>
        <w:rPr>
          <w:rFonts w:asciiTheme="minorHAnsi" w:eastAsiaTheme="minorHAnsi" w:hAnsiTheme="minorHAnsi" w:cstheme="minorBidi"/>
          <w:color w:val="495965" w:themeColor="text2"/>
          <w:kern w:val="0"/>
          <w:sz w:val="22"/>
          <w:lang w:val="en-GB" w:eastAsia="en-US"/>
        </w:rPr>
        <w:t xml:space="preserve"> </w:t>
      </w:r>
      <w:r w:rsidRPr="003170F3">
        <w:rPr>
          <w:rFonts w:asciiTheme="minorHAnsi" w:eastAsiaTheme="minorHAnsi" w:hAnsiTheme="minorHAnsi" w:cstheme="minorBidi"/>
          <w:color w:val="495965" w:themeColor="text2"/>
          <w:kern w:val="0"/>
          <w:sz w:val="22"/>
          <w:lang w:val="en-GB" w:eastAsia="en-US"/>
        </w:rPr>
        <w:t>reduce</w:t>
      </w:r>
      <w:r>
        <w:rPr>
          <w:rFonts w:asciiTheme="minorHAnsi" w:eastAsiaTheme="minorHAnsi" w:hAnsiTheme="minorHAnsi" w:cstheme="minorBidi"/>
          <w:color w:val="495965" w:themeColor="text2"/>
          <w:kern w:val="0"/>
          <w:sz w:val="22"/>
          <w:lang w:val="en-GB" w:eastAsia="en-US"/>
        </w:rPr>
        <w:t>d</w:t>
      </w:r>
      <w:r w:rsidRPr="003170F3">
        <w:rPr>
          <w:rFonts w:asciiTheme="minorHAnsi" w:eastAsiaTheme="minorHAnsi" w:hAnsiTheme="minorHAnsi" w:cstheme="minorBidi"/>
          <w:color w:val="495965" w:themeColor="text2"/>
          <w:kern w:val="0"/>
          <w:sz w:val="22"/>
          <w:lang w:val="en-GB" w:eastAsia="en-US"/>
        </w:rPr>
        <w:t xml:space="preserve"> poverty wi</w:t>
      </w:r>
      <w:r>
        <w:rPr>
          <w:rFonts w:asciiTheme="minorHAnsi" w:eastAsiaTheme="minorHAnsi" w:hAnsiTheme="minorHAnsi" w:cstheme="minorBidi"/>
          <w:color w:val="495965" w:themeColor="text2"/>
          <w:kern w:val="0"/>
          <w:sz w:val="22"/>
          <w:lang w:val="en-GB" w:eastAsia="en-US"/>
        </w:rPr>
        <w:t>thin communities and households and of</w:t>
      </w:r>
      <w:r w:rsidRPr="003170F3">
        <w:rPr>
          <w:rFonts w:asciiTheme="minorHAnsi" w:eastAsiaTheme="minorHAnsi" w:hAnsiTheme="minorHAnsi" w:cstheme="minorBidi"/>
          <w:color w:val="495965" w:themeColor="text2"/>
          <w:kern w:val="0"/>
          <w:sz w:val="22"/>
          <w:lang w:val="en-GB" w:eastAsia="en-US"/>
        </w:rPr>
        <w:t xml:space="preserve"> inclusive and sustainable economic growth at a national level</w:t>
      </w:r>
      <w:r>
        <w:rPr>
          <w:rFonts w:asciiTheme="minorHAnsi" w:eastAsiaTheme="minorHAnsi" w:hAnsiTheme="minorHAnsi" w:cstheme="minorBidi"/>
          <w:color w:val="495965" w:themeColor="text2"/>
          <w:kern w:val="0"/>
          <w:sz w:val="22"/>
          <w:lang w:val="en-GB" w:eastAsia="en-US"/>
        </w:rPr>
        <w:t>.</w:t>
      </w:r>
      <w:r w:rsidRPr="003170F3">
        <w:rPr>
          <w:rFonts w:asciiTheme="minorHAnsi" w:eastAsiaTheme="minorHAnsi" w:hAnsiTheme="minorHAnsi" w:cstheme="minorBidi"/>
          <w:color w:val="495965" w:themeColor="text2"/>
          <w:kern w:val="0"/>
          <w:sz w:val="22"/>
          <w:lang w:val="en-GB" w:eastAsia="en-US"/>
        </w:rPr>
        <w:t xml:space="preserve"> Societies that better use the skills, talents and time of all members will more likely prosper.  </w:t>
      </w:r>
    </w:p>
    <w:p w14:paraId="748C1688" w14:textId="77777777" w:rsidR="00BC5F46" w:rsidRPr="001B1E46" w:rsidRDefault="00BC5F46" w:rsidP="00BC5F46">
      <w:pPr>
        <w:pStyle w:val="BodyText"/>
      </w:pPr>
      <w:r w:rsidRPr="00DE3DD4">
        <w:t>The Government has set a target requiring that at least 80 per cent of investments, regardless of their objectives, will effectively address gender issues in their implementation.</w:t>
      </w:r>
      <w:r>
        <w:rPr>
          <w:rFonts w:ascii="Segoe UI" w:hAnsi="Segoe UI" w:cs="Segoe UI"/>
          <w:color w:val="333333"/>
          <w:sz w:val="20"/>
          <w:szCs w:val="20"/>
        </w:rPr>
        <w:t xml:space="preserve"> </w:t>
      </w:r>
      <w:r w:rsidRPr="001B1E46">
        <w:t xml:space="preserve">All private sector partnerships </w:t>
      </w:r>
      <w:r>
        <w:t xml:space="preserve">in the </w:t>
      </w:r>
      <w:r w:rsidRPr="001B1E46">
        <w:t>aid program must consider gender equality and women’s economic empowerment. Gender considerations can be addressed in partnerships by identifying how the initiative will impact women as consumers, producers</w:t>
      </w:r>
      <w:r>
        <w:t xml:space="preserve">, </w:t>
      </w:r>
      <w:r w:rsidRPr="001B1E46">
        <w:t xml:space="preserve">business owners and employees. With an in-depth </w:t>
      </w:r>
      <w:r>
        <w:t xml:space="preserve">gender and social inclusion </w:t>
      </w:r>
      <w:r w:rsidRPr="001B1E46">
        <w:t>analysis of the specific context, consider the initiative’s impact on women’s income and employment, as well as decision-making about that income, time use and sharing unpaid workload, skills development, occupational health and safety, safety from violence, and decision-making authority as a manager or business owner.</w:t>
      </w:r>
      <w:r w:rsidRPr="001B1E46">
        <w:rPr>
          <w:rStyle w:val="FootnoteReference"/>
          <w:rFonts w:asciiTheme="majorHAnsi" w:hAnsiTheme="majorHAnsi" w:cstheme="majorHAnsi"/>
          <w:b/>
          <w:sz w:val="24"/>
          <w:szCs w:val="24"/>
        </w:rPr>
        <w:t xml:space="preserve"> </w:t>
      </w:r>
    </w:p>
    <w:p w14:paraId="3D494921" w14:textId="77777777" w:rsidR="00BC5F46" w:rsidRPr="001B1E46" w:rsidRDefault="00BC5F46" w:rsidP="00BC5F46">
      <w:pPr>
        <w:pStyle w:val="BodyText"/>
      </w:pPr>
      <w:r w:rsidRPr="001B1E46">
        <w:t xml:space="preserve">In </w:t>
      </w:r>
      <w:r>
        <w:t>showing</w:t>
      </w:r>
      <w:r w:rsidRPr="001B1E46">
        <w:t xml:space="preserve"> positive impact on gender equality and women’s empowerment, partnerships are encouraged to:</w:t>
      </w:r>
    </w:p>
    <w:p w14:paraId="3F875C37" w14:textId="77777777" w:rsidR="00BC5F46" w:rsidRPr="001B1E46" w:rsidRDefault="00BC5F46" w:rsidP="00975D65">
      <w:pPr>
        <w:pStyle w:val="BodyText"/>
        <w:numPr>
          <w:ilvl w:val="0"/>
          <w:numId w:val="34"/>
        </w:numPr>
      </w:pPr>
      <w:r w:rsidRPr="001B1E46">
        <w:t>demonstrate that gender dynamics and the specific interests of women affected by the initiative have been assessed and taken into account in the initiative design</w:t>
      </w:r>
    </w:p>
    <w:p w14:paraId="46E99308" w14:textId="77777777" w:rsidR="00BC5F46" w:rsidRPr="003170F3" w:rsidRDefault="00BC5F46" w:rsidP="00975D65">
      <w:pPr>
        <w:pStyle w:val="BodyText"/>
        <w:numPr>
          <w:ilvl w:val="0"/>
          <w:numId w:val="34"/>
        </w:numPr>
        <w:rPr>
          <w:i/>
        </w:rPr>
      </w:pPr>
      <w:r w:rsidRPr="001B1E46">
        <w:t>promote women’s empowerment</w:t>
      </w:r>
    </w:p>
    <w:p w14:paraId="09BA66B6" w14:textId="1B00C925" w:rsidR="00BC5F46" w:rsidRPr="00EF740B" w:rsidRDefault="00BC5F46" w:rsidP="00975D65">
      <w:pPr>
        <w:pStyle w:val="BodyText"/>
        <w:numPr>
          <w:ilvl w:val="0"/>
          <w:numId w:val="34"/>
        </w:numPr>
        <w:rPr>
          <w:i/>
        </w:rPr>
      </w:pPr>
      <w:proofErr w:type="gramStart"/>
      <w:r w:rsidRPr="001B1E46">
        <w:t>monitor</w:t>
      </w:r>
      <w:proofErr w:type="gramEnd"/>
      <w:r w:rsidRPr="001B1E46">
        <w:t xml:space="preserve"> and address potential negative </w:t>
      </w:r>
      <w:r>
        <w:t>and unintended i</w:t>
      </w:r>
      <w:r w:rsidRPr="001B1E46">
        <w:t>mpacts for women, such as increasing women’s workload and their exposure to gender-based violence.</w:t>
      </w:r>
    </w:p>
    <w:p w14:paraId="1257E673" w14:textId="0A67BCE3" w:rsidR="00EF740B" w:rsidRPr="00B01460" w:rsidRDefault="00EF740B" w:rsidP="00EF740B">
      <w:pPr>
        <w:pStyle w:val="Box2Text"/>
        <w:ind w:left="284" w:firstLine="850"/>
        <w:rPr>
          <w:rFonts w:cstheme="minorHAnsi"/>
          <w:b/>
        </w:rPr>
      </w:pPr>
      <w:r w:rsidRPr="00B01460">
        <w:rPr>
          <w:rFonts w:cstheme="minorHAnsi"/>
          <w:b/>
          <w:noProof/>
          <w:lang w:eastAsia="en-AU"/>
        </w:rPr>
        <w:drawing>
          <wp:anchor distT="0" distB="0" distL="114300" distR="114300" simplePos="0" relativeHeight="251685888" behindDoc="0" locked="1" layoutInCell="1" allowOverlap="1" wp14:anchorId="4F3BB603" wp14:editId="40C27EEF">
            <wp:simplePos x="0" y="0"/>
            <wp:positionH relativeFrom="column">
              <wp:posOffset>158750</wp:posOffset>
            </wp:positionH>
            <wp:positionV relativeFrom="line">
              <wp:posOffset>260350</wp:posOffset>
            </wp:positionV>
            <wp:extent cx="411480" cy="574040"/>
            <wp:effectExtent l="0" t="0" r="7620" b="0"/>
            <wp:wrapNone/>
            <wp:docPr id="53" name="Picture 53" descr="Key messages" title="Key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con-01-Key_Messag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480" cy="574040"/>
                    </a:xfrm>
                    <a:prstGeom prst="rect">
                      <a:avLst/>
                    </a:prstGeom>
                  </pic:spPr>
                </pic:pic>
              </a:graphicData>
            </a:graphic>
            <wp14:sizeRelH relativeFrom="margin">
              <wp14:pctWidth>0</wp14:pctWidth>
            </wp14:sizeRelH>
            <wp14:sizeRelV relativeFrom="margin">
              <wp14:pctHeight>0</wp14:pctHeight>
            </wp14:sizeRelV>
          </wp:anchor>
        </w:drawing>
      </w:r>
      <w:r w:rsidRPr="00B01460">
        <w:rPr>
          <w:rFonts w:cstheme="minorHAnsi"/>
          <w:b/>
        </w:rPr>
        <w:t>Case Study: Investing in Women</w:t>
      </w:r>
    </w:p>
    <w:p w14:paraId="03FFDD11" w14:textId="77777777" w:rsidR="00B01460" w:rsidRPr="00B01460" w:rsidRDefault="00EF740B" w:rsidP="00B01460">
      <w:pPr>
        <w:pStyle w:val="Box2Text"/>
        <w:tabs>
          <w:tab w:val="left" w:pos="1134"/>
        </w:tabs>
        <w:ind w:left="1134" w:hanging="850"/>
        <w:rPr>
          <w:rFonts w:cstheme="minorHAnsi"/>
        </w:rPr>
      </w:pPr>
      <w:r w:rsidRPr="00B01460">
        <w:rPr>
          <w:rFonts w:cstheme="minorHAnsi"/>
        </w:rPr>
        <w:tab/>
      </w:r>
      <w:r w:rsidR="00B01460" w:rsidRPr="00B01460">
        <w:rPr>
          <w:rFonts w:cstheme="minorHAnsi"/>
        </w:rPr>
        <w:t>Investing in Women (IW) supports Business Coalitions in Indonesia, the Philippines, Myanmar and Vietnam working with influential businesses to shift workplace culture, practices and policy barriers to achieve workplace gender equality (WGE).</w:t>
      </w:r>
    </w:p>
    <w:p w14:paraId="09D08D3A" w14:textId="169CF878" w:rsidR="00B01460" w:rsidRPr="00B01460" w:rsidRDefault="00B01460" w:rsidP="00B01460">
      <w:pPr>
        <w:pStyle w:val="Box2Text"/>
        <w:tabs>
          <w:tab w:val="left" w:pos="1134"/>
        </w:tabs>
        <w:ind w:left="1134" w:hanging="850"/>
        <w:rPr>
          <w:rFonts w:cstheme="minorHAnsi"/>
        </w:rPr>
      </w:pPr>
      <w:r>
        <w:rPr>
          <w:rFonts w:cstheme="minorHAnsi"/>
        </w:rPr>
        <w:tab/>
      </w:r>
      <w:r w:rsidRPr="00B01460">
        <w:rPr>
          <w:rFonts w:cstheme="minorHAnsi"/>
        </w:rPr>
        <w:t xml:space="preserve">There are substantial potential benefits for companies including increased staff motivation, better talent management, higher productivity and performance, and improved reputation. When IW began in 2016 there was little evidence in the region on the gains WGE can bring, and business leaders lacked confidence that they could convincingly promote the business </w:t>
      </w:r>
      <w:r w:rsidRPr="00B01460">
        <w:rPr>
          <w:rFonts w:cstheme="minorHAnsi"/>
        </w:rPr>
        <w:lastRenderedPageBreak/>
        <w:t xml:space="preserve">case within their workplaces and to other private sector firms. IW supports the development of business cases through gathering and analysing data on firms’ priorities, policies, plans and actions – and on employee perceptions.  </w:t>
      </w:r>
    </w:p>
    <w:p w14:paraId="6D715159" w14:textId="629A4ADF" w:rsidR="00B01460" w:rsidRDefault="00B01460" w:rsidP="00B01460">
      <w:pPr>
        <w:pStyle w:val="Box2Text"/>
        <w:tabs>
          <w:tab w:val="left" w:pos="1134"/>
        </w:tabs>
        <w:ind w:left="1134" w:hanging="850"/>
        <w:rPr>
          <w:rFonts w:cstheme="minorHAnsi"/>
        </w:rPr>
      </w:pPr>
      <w:r>
        <w:rPr>
          <w:rFonts w:cstheme="minorHAnsi"/>
        </w:rPr>
        <w:tab/>
      </w:r>
      <w:r w:rsidRPr="00B01460">
        <w:rPr>
          <w:rFonts w:cstheme="minorHAnsi"/>
        </w:rPr>
        <w:t xml:space="preserve">For example, staff retention is a core and measurable component of the business case. It is costly to replace staff, and women in particular need to be retained in order to improve the gender balance at senior levels (an important driver of business performance). IW studies with the Business Coalition member firms found that perceptions of pay fairness, access to leadership opportunities, working hours, and for women - the belief that their company would provide support in harassment cases, are factors that have statistically significant impacts on staff retention. Alongside this, IW has developed a staff turnover cost calculator that is being trialled with member firms so they have a clearer picture of how voluntary turnover impacts their bottom line. By staffing the Business Coalitions with HR expertise, developing their internal capacity and financial sustainability, and exposing them to global best practice in WGE, the Business Coalitions aim to become trusted advisors to the private sector in their national context.  </w:t>
      </w:r>
    </w:p>
    <w:p w14:paraId="6C56B4F3" w14:textId="655E4516" w:rsidR="00B01460" w:rsidRPr="00B01460" w:rsidRDefault="00B01460" w:rsidP="00B01460">
      <w:pPr>
        <w:pStyle w:val="Box2Text"/>
        <w:tabs>
          <w:tab w:val="left" w:pos="1134"/>
        </w:tabs>
        <w:ind w:left="1134" w:hanging="850"/>
        <w:rPr>
          <w:rFonts w:cstheme="minorHAnsi"/>
        </w:rPr>
      </w:pPr>
      <w:r>
        <w:rPr>
          <w:rFonts w:cstheme="minorHAnsi"/>
        </w:rPr>
        <w:tab/>
        <w:t xml:space="preserve">For more information on the Investing in Women initiative, visit </w:t>
      </w:r>
      <w:hyperlink r:id="rId36" w:history="1">
        <w:r w:rsidRPr="00B01460">
          <w:rPr>
            <w:rStyle w:val="Hyperlink"/>
            <w:color w:val="0070C0"/>
          </w:rPr>
          <w:t>www.inv</w:t>
        </w:r>
        <w:r w:rsidRPr="00B01460">
          <w:rPr>
            <w:rStyle w:val="Hyperlink"/>
            <w:color w:val="0070C0"/>
          </w:rPr>
          <w:t>e</w:t>
        </w:r>
        <w:r w:rsidRPr="00B01460">
          <w:rPr>
            <w:rStyle w:val="Hyperlink"/>
            <w:color w:val="0070C0"/>
          </w:rPr>
          <w:t>s</w:t>
        </w:r>
        <w:r w:rsidRPr="00B01460">
          <w:rPr>
            <w:rStyle w:val="Hyperlink"/>
            <w:color w:val="0070C0"/>
          </w:rPr>
          <w:t>t</w:t>
        </w:r>
        <w:r w:rsidRPr="00B01460">
          <w:rPr>
            <w:rStyle w:val="Hyperlink"/>
            <w:color w:val="0070C0"/>
          </w:rPr>
          <w:t>ingin</w:t>
        </w:r>
        <w:r w:rsidRPr="00B01460">
          <w:rPr>
            <w:rStyle w:val="Hyperlink"/>
            <w:color w:val="0070C0"/>
          </w:rPr>
          <w:t>w</w:t>
        </w:r>
        <w:r w:rsidRPr="00B01460">
          <w:rPr>
            <w:rStyle w:val="Hyperlink"/>
            <w:color w:val="0070C0"/>
          </w:rPr>
          <w:t>omen.asia</w:t>
        </w:r>
      </w:hyperlink>
      <w:r w:rsidRPr="00B01460">
        <w:rPr>
          <w:rStyle w:val="Hyperlink"/>
          <w:color w:val="auto"/>
          <w:u w:val="none"/>
        </w:rPr>
        <w:t>.</w:t>
      </w:r>
    </w:p>
    <w:p w14:paraId="08315CB9" w14:textId="77777777" w:rsidR="00EF740B" w:rsidRPr="00145751" w:rsidRDefault="00EF740B" w:rsidP="00EF740B">
      <w:pPr>
        <w:pStyle w:val="BodyText"/>
        <w:rPr>
          <w:i/>
        </w:rPr>
      </w:pPr>
    </w:p>
    <w:p w14:paraId="12F24638" w14:textId="77777777" w:rsidR="00BC5F46" w:rsidRPr="00D04551" w:rsidRDefault="00BC5F46" w:rsidP="00BC5F46">
      <w:pPr>
        <w:pStyle w:val="Heading3"/>
        <w:spacing w:before="240"/>
      </w:pPr>
      <w:r w:rsidRPr="00F6244C">
        <w:t>Disability-Inclusive development</w:t>
      </w:r>
    </w:p>
    <w:p w14:paraId="737C921B" w14:textId="77777777" w:rsidR="00BC5F46" w:rsidRPr="001B1E46" w:rsidRDefault="00BC5F46" w:rsidP="00BC5F46">
      <w:pPr>
        <w:pStyle w:val="BodyText"/>
        <w:rPr>
          <w:b/>
        </w:rPr>
      </w:pPr>
      <w:r w:rsidRPr="00BD45D2">
        <w:rPr>
          <w:rFonts w:cstheme="minorHAnsi"/>
        </w:rPr>
        <w:t xml:space="preserve">The </w:t>
      </w:r>
      <w:hyperlink r:id="rId37" w:history="1">
        <w:r w:rsidRPr="00727380">
          <w:rPr>
            <w:rStyle w:val="Hyperlink"/>
            <w:color w:val="0070C0"/>
            <w:lang w:val="en-AU"/>
          </w:rPr>
          <w:t>Developm</w:t>
        </w:r>
        <w:r w:rsidRPr="00727380">
          <w:rPr>
            <w:rStyle w:val="Hyperlink"/>
            <w:color w:val="0070C0"/>
            <w:lang w:val="en-AU"/>
          </w:rPr>
          <w:t>e</w:t>
        </w:r>
        <w:r w:rsidRPr="00727380">
          <w:rPr>
            <w:rStyle w:val="Hyperlink"/>
            <w:color w:val="0070C0"/>
            <w:lang w:val="en-AU"/>
          </w:rPr>
          <w:t>nt for All Strategy</w:t>
        </w:r>
      </w:hyperlink>
      <w:r w:rsidRPr="00727380">
        <w:rPr>
          <w:rFonts w:cstheme="minorHAnsi"/>
        </w:rPr>
        <w:t xml:space="preserve"> </w:t>
      </w:r>
      <w:r w:rsidRPr="00BD45D2">
        <w:rPr>
          <w:rFonts w:cstheme="minorHAnsi"/>
        </w:rPr>
        <w:t>states</w:t>
      </w:r>
      <w:r w:rsidRPr="001B1E46">
        <w:t xml:space="preserve"> that development efforts that include and benefit people with disabilities are integral to achieving Australia’s </w:t>
      </w:r>
      <w:r>
        <w:t>development assistance</w:t>
      </w:r>
      <w:r w:rsidRPr="001B1E46">
        <w:t xml:space="preserve"> policy objectives of promoting prosperity, reducing poverty and enhancing stability in our region. People with disabilities are the largest and most disadvantaged minority in the world. To be effective in reducing poverty, sustainable development must actively include and benefit people with disabilities.</w:t>
      </w:r>
    </w:p>
    <w:p w14:paraId="0CFE05C1" w14:textId="77777777" w:rsidR="00BC5F46" w:rsidRPr="006B4FD3" w:rsidRDefault="00BC5F46" w:rsidP="00BC5F46">
      <w:pPr>
        <w:pStyle w:val="BodyText"/>
        <w:rPr>
          <w:color w:val="auto"/>
        </w:rPr>
      </w:pPr>
      <w:r w:rsidRPr="006B4FD3">
        <w:rPr>
          <w:color w:val="auto"/>
        </w:rPr>
        <w:t xml:space="preserve">Private sector partnerships are encouraged to improve the quality of life of people with disabilities through: </w:t>
      </w:r>
    </w:p>
    <w:p w14:paraId="082F7EFB" w14:textId="77777777" w:rsidR="00BC5F46" w:rsidRPr="006B4FD3" w:rsidRDefault="00BC5F46" w:rsidP="00975D65">
      <w:pPr>
        <w:pStyle w:val="BodyText"/>
        <w:numPr>
          <w:ilvl w:val="0"/>
          <w:numId w:val="27"/>
        </w:numPr>
        <w:rPr>
          <w:b/>
          <w:color w:val="auto"/>
        </w:rPr>
      </w:pPr>
      <w:r w:rsidRPr="006B4FD3">
        <w:rPr>
          <w:color w:val="auto"/>
        </w:rPr>
        <w:t xml:space="preserve">enhancing participation and empowerment of people with disabilities, as contributors, leaders, decision makers, employees and customers </w:t>
      </w:r>
    </w:p>
    <w:p w14:paraId="212709B3" w14:textId="77777777" w:rsidR="00BC5F46" w:rsidRPr="006B4FD3" w:rsidRDefault="00BC5F46" w:rsidP="00975D65">
      <w:pPr>
        <w:pStyle w:val="BodyText"/>
        <w:numPr>
          <w:ilvl w:val="0"/>
          <w:numId w:val="27"/>
        </w:numPr>
        <w:rPr>
          <w:b/>
          <w:color w:val="auto"/>
        </w:rPr>
      </w:pPr>
      <w:r w:rsidRPr="006B4FD3">
        <w:rPr>
          <w:color w:val="auto"/>
        </w:rPr>
        <w:t>reducing poverty among people with disabilities</w:t>
      </w:r>
    </w:p>
    <w:p w14:paraId="71ABD970" w14:textId="77777777" w:rsidR="001D0F7D" w:rsidRPr="006B4FD3" w:rsidRDefault="001D0F7D" w:rsidP="00975D65">
      <w:pPr>
        <w:pStyle w:val="BodyText"/>
        <w:numPr>
          <w:ilvl w:val="0"/>
          <w:numId w:val="27"/>
        </w:numPr>
        <w:rPr>
          <w:rFonts w:cstheme="minorHAnsi"/>
          <w:b/>
          <w:color w:val="auto"/>
        </w:rPr>
      </w:pPr>
      <w:r w:rsidRPr="006B4FD3">
        <w:rPr>
          <w:rFonts w:cstheme="minorHAnsi"/>
          <w:color w:val="auto"/>
        </w:rPr>
        <w:t>ensuring that design and development of infrastructure, information communications technologies, and facilities and services are accessible to all</w:t>
      </w:r>
    </w:p>
    <w:p w14:paraId="68C18D7A" w14:textId="77777777" w:rsidR="00BC5F46" w:rsidRPr="006B4FD3" w:rsidRDefault="00BC5F46" w:rsidP="00975D65">
      <w:pPr>
        <w:pStyle w:val="BodyText"/>
        <w:numPr>
          <w:ilvl w:val="0"/>
          <w:numId w:val="27"/>
        </w:numPr>
        <w:rPr>
          <w:b/>
          <w:color w:val="auto"/>
        </w:rPr>
      </w:pPr>
      <w:proofErr w:type="gramStart"/>
      <w:r w:rsidRPr="006B4FD3">
        <w:rPr>
          <w:rFonts w:cstheme="minorHAnsi"/>
          <w:color w:val="auto"/>
        </w:rPr>
        <w:t>improving</w:t>
      </w:r>
      <w:proofErr w:type="gramEnd"/>
      <w:r w:rsidRPr="006B4FD3">
        <w:rPr>
          <w:rFonts w:cstheme="minorHAnsi"/>
          <w:color w:val="auto"/>
        </w:rPr>
        <w:t xml:space="preserve"> equality for people with disabilities in all areas of public life, including service</w:t>
      </w:r>
      <w:r w:rsidRPr="006B4FD3">
        <w:rPr>
          <w:color w:val="auto"/>
        </w:rPr>
        <w:t xml:space="preserve"> provision, education and employment. </w:t>
      </w:r>
    </w:p>
    <w:p w14:paraId="645D81D2" w14:textId="77777777" w:rsidR="00B51505" w:rsidRPr="006B4FD3" w:rsidRDefault="004B1AEA" w:rsidP="004B1AEA">
      <w:pPr>
        <w:pStyle w:val="BodyText"/>
        <w:rPr>
          <w:rFonts w:cstheme="minorHAnsi"/>
          <w:color w:val="auto"/>
        </w:rPr>
      </w:pPr>
      <w:r w:rsidRPr="006B4FD3">
        <w:rPr>
          <w:rFonts w:cstheme="minorHAnsi"/>
          <w:color w:val="auto"/>
        </w:rPr>
        <w:t xml:space="preserve">Disability-inclusive private sector engagement should consider disability as it intersects with gender: women and girls with disabilities are rarely included in programming on women’s leadership, women’s economic empowerment and ending violence against women, despite experiencing higher levels of discrimination and violence compared to their peers without disabilities. </w:t>
      </w:r>
    </w:p>
    <w:p w14:paraId="724A42D5" w14:textId="77777777" w:rsidR="004B1AEA" w:rsidRPr="00975D65" w:rsidRDefault="004B1AEA" w:rsidP="004B1AEA">
      <w:pPr>
        <w:pStyle w:val="BodyText"/>
        <w:rPr>
          <w:rFonts w:cstheme="minorHAnsi"/>
        </w:rPr>
      </w:pPr>
      <w:r w:rsidRPr="006B4FD3">
        <w:rPr>
          <w:rFonts w:cstheme="minorHAnsi"/>
          <w:color w:val="auto"/>
        </w:rPr>
        <w:t>Private sector partnerships can contribute to</w:t>
      </w:r>
      <w:r w:rsidRPr="00975D65">
        <w:rPr>
          <w:rFonts w:cstheme="minorHAnsi"/>
        </w:rPr>
        <w:t xml:space="preserve"> </w:t>
      </w:r>
      <w:r w:rsidRPr="00975D65">
        <w:rPr>
          <w:rFonts w:cstheme="minorHAnsi"/>
          <w:color w:val="auto"/>
        </w:rPr>
        <w:t xml:space="preserve">ensuring accessibility of infrastructure and relevance of applying DFAT’s </w:t>
      </w:r>
      <w:hyperlink r:id="rId38" w:history="1">
        <w:r w:rsidRPr="00975D65">
          <w:rPr>
            <w:rStyle w:val="Hyperlink"/>
            <w:rFonts w:cstheme="minorHAnsi"/>
            <w:i/>
          </w:rPr>
          <w:t xml:space="preserve">Accessibility Design </w:t>
        </w:r>
        <w:r w:rsidRPr="00975D65">
          <w:rPr>
            <w:rStyle w:val="Hyperlink"/>
            <w:rFonts w:cstheme="minorHAnsi"/>
            <w:i/>
          </w:rPr>
          <w:t>G</w:t>
        </w:r>
        <w:r w:rsidRPr="00975D65">
          <w:rPr>
            <w:rStyle w:val="Hyperlink"/>
            <w:rFonts w:cstheme="minorHAnsi"/>
            <w:i/>
          </w:rPr>
          <w:t>uide</w:t>
        </w:r>
      </w:hyperlink>
      <w:r w:rsidRPr="00975D65">
        <w:rPr>
          <w:rFonts w:cstheme="minorHAnsi"/>
          <w:i/>
          <w:color w:val="auto"/>
        </w:rPr>
        <w:t>.</w:t>
      </w:r>
      <w:r w:rsidRPr="00975D65">
        <w:rPr>
          <w:rFonts w:cstheme="minorHAnsi"/>
          <w:color w:val="auto"/>
        </w:rPr>
        <w:t xml:space="preserve"> The </w:t>
      </w:r>
      <w:r w:rsidR="00B37F39" w:rsidRPr="00975D65">
        <w:rPr>
          <w:rFonts w:cstheme="minorHAnsi"/>
          <w:color w:val="auto"/>
        </w:rPr>
        <w:t xml:space="preserve">Accessibility Design Guide provides reference and guidance to DFAT’s requirements for all partnerships, particularly those involving infrastructure investments. </w:t>
      </w:r>
    </w:p>
    <w:p w14:paraId="25F2D4A6" w14:textId="73093B4B" w:rsidR="00105E80" w:rsidRDefault="00105E80">
      <w:pPr>
        <w:suppressAutoHyphens w:val="0"/>
        <w:spacing w:before="0" w:after="120" w:line="440" w:lineRule="atLeast"/>
        <w:rPr>
          <w:rFonts w:cstheme="minorHAnsi"/>
          <w:b/>
        </w:rPr>
      </w:pPr>
      <w:r>
        <w:rPr>
          <w:rFonts w:cstheme="minorHAnsi"/>
          <w:b/>
        </w:rPr>
        <w:br w:type="page"/>
      </w:r>
    </w:p>
    <w:p w14:paraId="4434A1A9" w14:textId="77777777" w:rsidR="001D0F7D" w:rsidRPr="00975D65" w:rsidRDefault="001D0F7D" w:rsidP="001D0F7D">
      <w:pPr>
        <w:pStyle w:val="BodyText"/>
        <w:rPr>
          <w:rFonts w:cstheme="minorHAnsi"/>
          <w:b/>
        </w:rPr>
      </w:pPr>
    </w:p>
    <w:p w14:paraId="6FD4B41A" w14:textId="77777777" w:rsidR="00BC5F46" w:rsidRPr="00975D65" w:rsidRDefault="00BC5F46" w:rsidP="00BC5F46">
      <w:pPr>
        <w:pStyle w:val="Box2Text"/>
        <w:tabs>
          <w:tab w:val="left" w:pos="1276"/>
        </w:tabs>
        <w:ind w:left="1276" w:hanging="992"/>
        <w:rPr>
          <w:rFonts w:cstheme="minorHAnsi"/>
        </w:rPr>
      </w:pPr>
      <w:r w:rsidRPr="00975D65">
        <w:rPr>
          <w:rFonts w:cstheme="minorHAnsi"/>
          <w:b/>
          <w:noProof/>
          <w:lang w:eastAsia="en-AU"/>
        </w:rPr>
        <w:drawing>
          <wp:anchor distT="0" distB="0" distL="114300" distR="114300" simplePos="0" relativeHeight="251662336" behindDoc="0" locked="1" layoutInCell="1" allowOverlap="1" wp14:anchorId="6D2DB7C6" wp14:editId="08908247">
            <wp:simplePos x="0" y="0"/>
            <wp:positionH relativeFrom="column">
              <wp:posOffset>158750</wp:posOffset>
            </wp:positionH>
            <wp:positionV relativeFrom="line">
              <wp:posOffset>260350</wp:posOffset>
            </wp:positionV>
            <wp:extent cx="411480" cy="574040"/>
            <wp:effectExtent l="0" t="0" r="7620" b="0"/>
            <wp:wrapNone/>
            <wp:docPr id="8" name="Picture 8" descr="Key messages" title="Key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con-01-Key_Messag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480" cy="574040"/>
                    </a:xfrm>
                    <a:prstGeom prst="rect">
                      <a:avLst/>
                    </a:prstGeom>
                  </pic:spPr>
                </pic:pic>
              </a:graphicData>
            </a:graphic>
            <wp14:sizeRelH relativeFrom="margin">
              <wp14:pctWidth>0</wp14:pctWidth>
            </wp14:sizeRelH>
            <wp14:sizeRelV relativeFrom="margin">
              <wp14:pctHeight>0</wp14:pctHeight>
            </wp14:sizeRelV>
          </wp:anchor>
        </w:drawing>
      </w:r>
      <w:r w:rsidRPr="00975D65">
        <w:rPr>
          <w:rFonts w:cstheme="minorHAnsi"/>
        </w:rPr>
        <w:tab/>
      </w:r>
      <w:r w:rsidRPr="00975D65">
        <w:rPr>
          <w:rFonts w:cstheme="minorHAnsi"/>
          <w:b/>
        </w:rPr>
        <w:t xml:space="preserve">Case Study: </w:t>
      </w:r>
      <w:r w:rsidR="00B859AB" w:rsidRPr="00975D65">
        <w:rPr>
          <w:rFonts w:cstheme="minorHAnsi"/>
          <w:b/>
        </w:rPr>
        <w:t>the Vanuatu Skills Partnership Program (VSPP)</w:t>
      </w:r>
    </w:p>
    <w:p w14:paraId="4E0E3471" w14:textId="40E70EC3" w:rsidR="00BC5F46" w:rsidRPr="00975D65" w:rsidRDefault="00BC5F46" w:rsidP="00BC5F46">
      <w:pPr>
        <w:pStyle w:val="Box2Text"/>
        <w:tabs>
          <w:tab w:val="left" w:pos="1276"/>
        </w:tabs>
        <w:ind w:left="1276" w:hanging="992"/>
        <w:rPr>
          <w:rFonts w:cstheme="minorHAnsi"/>
        </w:rPr>
      </w:pPr>
      <w:r w:rsidRPr="00975D65">
        <w:rPr>
          <w:rFonts w:cstheme="minorHAnsi"/>
        </w:rPr>
        <w:tab/>
      </w:r>
      <w:r w:rsidR="00B51346" w:rsidRPr="00975D65">
        <w:rPr>
          <w:rFonts w:cstheme="minorHAnsi"/>
        </w:rPr>
        <w:t xml:space="preserve">The Vanuatu Skills Partnership Program (VSPP) works with key productive sector departments to identify priority economic growth opportunities that can be maximised by targeted skills development. The partnership supports increased diversity </w:t>
      </w:r>
      <w:r w:rsidR="00DD5629">
        <w:rPr>
          <w:rFonts w:cstheme="minorHAnsi"/>
        </w:rPr>
        <w:t xml:space="preserve">and </w:t>
      </w:r>
      <w:r w:rsidR="00B51346" w:rsidRPr="00975D65">
        <w:rPr>
          <w:rFonts w:cstheme="minorHAnsi"/>
        </w:rPr>
        <w:t xml:space="preserve">flexibility within the skills system and promote pathways for further education.  </w:t>
      </w:r>
    </w:p>
    <w:p w14:paraId="7BA7DEE9" w14:textId="77777777" w:rsidR="00105E80" w:rsidRDefault="00BC5F46" w:rsidP="00105E80">
      <w:pPr>
        <w:pStyle w:val="Box2Text"/>
        <w:tabs>
          <w:tab w:val="left" w:pos="1276"/>
        </w:tabs>
        <w:ind w:left="1276" w:hanging="992"/>
        <w:rPr>
          <w:rFonts w:cstheme="minorHAnsi"/>
        </w:rPr>
      </w:pPr>
      <w:r w:rsidRPr="00975D65">
        <w:rPr>
          <w:rFonts w:cstheme="minorHAnsi"/>
        </w:rPr>
        <w:tab/>
      </w:r>
      <w:r w:rsidR="00B51346" w:rsidRPr="00975D65">
        <w:rPr>
          <w:rFonts w:cstheme="minorHAnsi"/>
        </w:rPr>
        <w:t>Improved accessibility of tourism products results in an increase in the number of visitors</w:t>
      </w:r>
      <w:r w:rsidR="00DD5629">
        <w:rPr>
          <w:rFonts w:cstheme="minorHAnsi"/>
        </w:rPr>
        <w:t>, including by those</w:t>
      </w:r>
      <w:r w:rsidR="00B51346" w:rsidRPr="00975D65">
        <w:rPr>
          <w:rFonts w:cstheme="minorHAnsi"/>
        </w:rPr>
        <w:t xml:space="preserve"> with disabilities, which contributes to business income. Following a visit by the Accessible Tourism Industry Coach, the Flower Garden &amp; Water Music attraction in Santo levelled and smoothed the ground and entrances to bathrooms. As a result they received </w:t>
      </w:r>
      <w:r w:rsidR="00DD5629">
        <w:rPr>
          <w:rFonts w:cstheme="minorHAnsi"/>
        </w:rPr>
        <w:t xml:space="preserve">cruise ship </w:t>
      </w:r>
      <w:r w:rsidR="00B51346" w:rsidRPr="00975D65">
        <w:rPr>
          <w:rFonts w:cstheme="minorHAnsi"/>
        </w:rPr>
        <w:t xml:space="preserve">visitors who use walking frames, and were able to access the attraction due to the changes. </w:t>
      </w:r>
    </w:p>
    <w:p w14:paraId="746EDF26" w14:textId="05B058B6" w:rsidR="00BC5F46" w:rsidRPr="00975D65" w:rsidRDefault="00105E80" w:rsidP="00105E80">
      <w:pPr>
        <w:pStyle w:val="Box2Text"/>
        <w:tabs>
          <w:tab w:val="left" w:pos="1276"/>
        </w:tabs>
        <w:ind w:left="1276" w:hanging="992"/>
        <w:rPr>
          <w:rFonts w:cstheme="minorHAnsi"/>
        </w:rPr>
      </w:pPr>
      <w:r>
        <w:rPr>
          <w:rFonts w:cstheme="minorHAnsi"/>
        </w:rPr>
        <w:tab/>
      </w:r>
      <w:r w:rsidR="00B51346" w:rsidRPr="00975D65">
        <w:rPr>
          <w:rFonts w:cstheme="minorHAnsi"/>
        </w:rPr>
        <w:t xml:space="preserve">Increasing their appeal to visitors with mobility impairments on cruise ship days has made </w:t>
      </w:r>
      <w:r>
        <w:rPr>
          <w:rFonts w:cstheme="minorHAnsi"/>
        </w:rPr>
        <w:t>participating</w:t>
      </w:r>
      <w:r w:rsidR="00B51346" w:rsidRPr="00975D65">
        <w:rPr>
          <w:rFonts w:cstheme="minorHAnsi"/>
        </w:rPr>
        <w:t xml:space="preserve"> businesses more competitive and attractive to </w:t>
      </w:r>
      <w:r w:rsidR="00DD5629">
        <w:rPr>
          <w:rFonts w:cstheme="minorHAnsi"/>
        </w:rPr>
        <w:t>their</w:t>
      </w:r>
      <w:r w:rsidR="00B51346" w:rsidRPr="00975D65">
        <w:rPr>
          <w:rFonts w:cstheme="minorHAnsi"/>
        </w:rPr>
        <w:t xml:space="preserve"> core market of cruise visitors.</w:t>
      </w:r>
    </w:p>
    <w:p w14:paraId="5C73B275" w14:textId="1AC33B23" w:rsidR="00E6696A" w:rsidRPr="00975D65" w:rsidRDefault="00E6696A" w:rsidP="00B51346">
      <w:pPr>
        <w:pStyle w:val="Box2Text"/>
        <w:tabs>
          <w:tab w:val="left" w:pos="1276"/>
        </w:tabs>
        <w:ind w:left="1276" w:hanging="992"/>
        <w:rPr>
          <w:rFonts w:cstheme="minorHAnsi"/>
        </w:rPr>
      </w:pPr>
      <w:r w:rsidRPr="00975D65">
        <w:rPr>
          <w:rFonts w:cstheme="minorHAnsi"/>
        </w:rPr>
        <w:tab/>
        <w:t>The VSPP features key engagement points with private sector through its wider tou</w:t>
      </w:r>
      <w:r w:rsidR="00DD5629">
        <w:rPr>
          <w:rFonts w:cstheme="minorHAnsi"/>
        </w:rPr>
        <w:t>rism sector support approach,</w:t>
      </w:r>
      <w:r w:rsidRPr="00975D65">
        <w:rPr>
          <w:rFonts w:cstheme="minorHAnsi"/>
        </w:rPr>
        <w:t xml:space="preserve"> including brokering relationships between local tourism operators and Disabled People’s Organisations. </w:t>
      </w:r>
    </w:p>
    <w:p w14:paraId="1BCE98FD" w14:textId="77777777" w:rsidR="00BC5F46" w:rsidRPr="00B841C3" w:rsidRDefault="00BC5F46" w:rsidP="00BC5F46">
      <w:pPr>
        <w:pStyle w:val="Heading2"/>
        <w:numPr>
          <w:ilvl w:val="0"/>
          <w:numId w:val="21"/>
        </w:numPr>
        <w:rPr>
          <w:b/>
        </w:rPr>
      </w:pPr>
      <w:bookmarkStart w:id="7" w:name="_Toc26802484"/>
      <w:bookmarkStart w:id="8" w:name="_Toc383433497"/>
      <w:bookmarkStart w:id="9" w:name="_Toc399832815"/>
      <w:bookmarkStart w:id="10" w:name="_Toc273699003"/>
      <w:bookmarkStart w:id="11" w:name="_Toc383433503"/>
      <w:bookmarkStart w:id="12" w:name="_Toc399832818"/>
      <w:r>
        <w:t>Risk</w:t>
      </w:r>
      <w:bookmarkEnd w:id="7"/>
    </w:p>
    <w:p w14:paraId="5FCFF468" w14:textId="77777777" w:rsidR="00BC5F46" w:rsidRPr="00A75106" w:rsidRDefault="00BC5F46" w:rsidP="00BC5F46">
      <w:pPr>
        <w:spacing w:before="100" w:beforeAutospacing="1" w:after="100" w:afterAutospacing="1" w:line="240" w:lineRule="auto"/>
        <w:rPr>
          <w:rFonts w:cstheme="minorHAnsi"/>
        </w:rPr>
      </w:pPr>
      <w:r w:rsidRPr="00A75106">
        <w:rPr>
          <w:rFonts w:cstheme="minorHAnsi"/>
        </w:rPr>
        <w:t xml:space="preserve">Engaging with the private sector provides significant opportunities to amplify the reach and impact of the Australian aid program. However, </w:t>
      </w:r>
      <w:r>
        <w:rPr>
          <w:rFonts w:cstheme="minorHAnsi"/>
        </w:rPr>
        <w:t xml:space="preserve">as with all partnerships, there are </w:t>
      </w:r>
      <w:r w:rsidRPr="00A75106">
        <w:rPr>
          <w:rFonts w:cstheme="minorHAnsi"/>
        </w:rPr>
        <w:t>risks</w:t>
      </w:r>
      <w:r>
        <w:rPr>
          <w:rFonts w:cstheme="minorHAnsi"/>
        </w:rPr>
        <w:t xml:space="preserve"> to manage</w:t>
      </w:r>
      <w:r w:rsidRPr="00A75106">
        <w:rPr>
          <w:rFonts w:cstheme="minorHAnsi"/>
        </w:rPr>
        <w:t xml:space="preserve">, which may include: </w:t>
      </w:r>
    </w:p>
    <w:p w14:paraId="47E01318" w14:textId="77777777" w:rsidR="00BC5F46" w:rsidRPr="00A75106" w:rsidRDefault="00BC5F46" w:rsidP="00BC5F46">
      <w:pPr>
        <w:pStyle w:val="ListParagraph"/>
        <w:numPr>
          <w:ilvl w:val="0"/>
          <w:numId w:val="24"/>
        </w:numPr>
        <w:suppressAutoHyphens w:val="0"/>
        <w:spacing w:before="100" w:beforeAutospacing="1" w:after="100" w:afterAutospacing="1" w:line="240" w:lineRule="auto"/>
        <w:ind w:left="426" w:hanging="426"/>
        <w:rPr>
          <w:rFonts w:cstheme="minorHAnsi"/>
          <w:spacing w:val="-2"/>
        </w:rPr>
      </w:pPr>
      <w:r w:rsidRPr="00A75106">
        <w:rPr>
          <w:rFonts w:cstheme="minorHAnsi"/>
        </w:rPr>
        <w:t>Reputational risks, through real or perceived confl</w:t>
      </w:r>
      <w:r w:rsidRPr="00A75106">
        <w:rPr>
          <w:rFonts w:cstheme="minorHAnsi"/>
          <w:spacing w:val="-2"/>
        </w:rPr>
        <w:t>ict</w:t>
      </w:r>
      <w:r>
        <w:rPr>
          <w:rFonts w:cstheme="minorHAnsi"/>
          <w:spacing w:val="-2"/>
        </w:rPr>
        <w:t>s</w:t>
      </w:r>
      <w:r w:rsidRPr="00A75106">
        <w:rPr>
          <w:rFonts w:cstheme="minorHAnsi"/>
          <w:spacing w:val="-2"/>
        </w:rPr>
        <w:t xml:space="preserve"> of interest, or standards of conduct that do not align with the policy and legislative requirements of the Australian aid program</w:t>
      </w:r>
      <w:r>
        <w:rPr>
          <w:rFonts w:cstheme="minorHAnsi"/>
          <w:spacing w:val="-2"/>
        </w:rPr>
        <w:t>.</w:t>
      </w:r>
    </w:p>
    <w:p w14:paraId="7A496D56" w14:textId="77777777" w:rsidR="00BC5F46" w:rsidRPr="00A75106" w:rsidRDefault="00BC5F46" w:rsidP="00BC5F46">
      <w:pPr>
        <w:pStyle w:val="ListParagraph"/>
        <w:numPr>
          <w:ilvl w:val="0"/>
          <w:numId w:val="24"/>
        </w:numPr>
        <w:suppressAutoHyphens w:val="0"/>
        <w:spacing w:before="100" w:beforeAutospacing="1" w:after="100" w:afterAutospacing="1" w:line="240" w:lineRule="auto"/>
        <w:ind w:left="426" w:hanging="426"/>
        <w:rPr>
          <w:rFonts w:cstheme="minorHAnsi"/>
          <w:spacing w:val="-2"/>
        </w:rPr>
      </w:pPr>
      <w:r w:rsidRPr="00A75106">
        <w:rPr>
          <w:rFonts w:cstheme="minorHAnsi"/>
          <w:spacing w:val="-2"/>
        </w:rPr>
        <w:t>Misaligned interests or attitudes that compromise relationships and impact the ability to achieve objectives</w:t>
      </w:r>
      <w:r>
        <w:rPr>
          <w:rFonts w:cstheme="minorHAnsi"/>
          <w:spacing w:val="-2"/>
        </w:rPr>
        <w:t>.</w:t>
      </w:r>
    </w:p>
    <w:p w14:paraId="6DF4727A" w14:textId="77777777" w:rsidR="00BC5F46" w:rsidRPr="00A75106" w:rsidRDefault="00BC5F46" w:rsidP="00BC5F46">
      <w:pPr>
        <w:pStyle w:val="ListParagraph"/>
        <w:numPr>
          <w:ilvl w:val="0"/>
          <w:numId w:val="24"/>
        </w:numPr>
        <w:suppressAutoHyphens w:val="0"/>
        <w:spacing w:before="100" w:beforeAutospacing="1" w:after="100" w:afterAutospacing="1" w:line="240" w:lineRule="auto"/>
        <w:ind w:left="426" w:hanging="426"/>
        <w:rPr>
          <w:rFonts w:cstheme="minorHAnsi"/>
          <w:spacing w:val="-2"/>
        </w:rPr>
      </w:pPr>
      <w:r w:rsidRPr="00A75106">
        <w:rPr>
          <w:rFonts w:cstheme="minorHAnsi"/>
          <w:spacing w:val="-2"/>
        </w:rPr>
        <w:t>Investment or fiduciary risks related to fraud, corruption, or poor partner performance</w:t>
      </w:r>
      <w:r>
        <w:rPr>
          <w:rFonts w:cstheme="minorHAnsi"/>
          <w:spacing w:val="-2"/>
        </w:rPr>
        <w:t>.</w:t>
      </w:r>
      <w:r w:rsidRPr="00A75106">
        <w:rPr>
          <w:rFonts w:cstheme="minorHAnsi"/>
          <w:spacing w:val="-2"/>
        </w:rPr>
        <w:t xml:space="preserve"> </w:t>
      </w:r>
    </w:p>
    <w:p w14:paraId="55D8A46F" w14:textId="77777777" w:rsidR="00BC5F46" w:rsidRPr="00A75106" w:rsidRDefault="00BC5F46" w:rsidP="00BC5F46">
      <w:pPr>
        <w:pStyle w:val="ListParagraph"/>
        <w:numPr>
          <w:ilvl w:val="0"/>
          <w:numId w:val="24"/>
        </w:numPr>
        <w:suppressAutoHyphens w:val="0"/>
        <w:spacing w:before="100" w:beforeAutospacing="1" w:after="100" w:afterAutospacing="1" w:line="240" w:lineRule="auto"/>
        <w:ind w:left="426" w:hanging="426"/>
        <w:rPr>
          <w:rFonts w:cstheme="minorHAnsi"/>
          <w:spacing w:val="-2"/>
        </w:rPr>
      </w:pPr>
      <w:r w:rsidRPr="00A75106">
        <w:rPr>
          <w:rFonts w:cstheme="minorHAnsi"/>
          <w:spacing w:val="-2"/>
        </w:rPr>
        <w:t>Relationship management risks</w:t>
      </w:r>
      <w:r>
        <w:rPr>
          <w:rFonts w:cstheme="minorHAnsi"/>
          <w:spacing w:val="-2"/>
        </w:rPr>
        <w:t xml:space="preserve"> that</w:t>
      </w:r>
      <w:r w:rsidRPr="00A75106">
        <w:rPr>
          <w:rFonts w:cstheme="minorHAnsi"/>
          <w:spacing w:val="-2"/>
        </w:rPr>
        <w:t xml:space="preserve"> arise from a lack of direct control in direct private sector partnerships compared to traditional service delivery relationships</w:t>
      </w:r>
      <w:r>
        <w:rPr>
          <w:rFonts w:cstheme="minorHAnsi"/>
          <w:spacing w:val="-2"/>
        </w:rPr>
        <w:t>.</w:t>
      </w:r>
    </w:p>
    <w:p w14:paraId="732928BD" w14:textId="77777777" w:rsidR="00BC5F46" w:rsidRDefault="00BC5F46" w:rsidP="00BC5F46">
      <w:pPr>
        <w:pStyle w:val="ListParagraph"/>
        <w:numPr>
          <w:ilvl w:val="0"/>
          <w:numId w:val="24"/>
        </w:numPr>
        <w:suppressAutoHyphens w:val="0"/>
        <w:spacing w:before="100" w:beforeAutospacing="1" w:after="100" w:afterAutospacing="1" w:line="240" w:lineRule="auto"/>
        <w:ind w:left="426" w:hanging="426"/>
        <w:rPr>
          <w:rFonts w:cstheme="minorHAnsi"/>
          <w:spacing w:val="-2"/>
        </w:rPr>
      </w:pPr>
      <w:r>
        <w:rPr>
          <w:rFonts w:cstheme="minorHAnsi"/>
          <w:spacing w:val="-2"/>
        </w:rPr>
        <w:t xml:space="preserve">Safeguards and child protection risks; the DFAT </w:t>
      </w:r>
      <w:hyperlink r:id="rId39" w:history="1">
        <w:r w:rsidRPr="00727380">
          <w:rPr>
            <w:rStyle w:val="Hyperlink"/>
            <w:color w:val="0070C0"/>
            <w:lang w:val="en-AU"/>
          </w:rPr>
          <w:t>Preventing Sexual Exploitation, Abuse and Ha</w:t>
        </w:r>
        <w:r w:rsidRPr="00727380">
          <w:rPr>
            <w:rStyle w:val="Hyperlink"/>
            <w:color w:val="0070C0"/>
            <w:lang w:val="en-AU"/>
          </w:rPr>
          <w:t>r</w:t>
        </w:r>
        <w:r w:rsidRPr="00727380">
          <w:rPr>
            <w:rStyle w:val="Hyperlink"/>
            <w:color w:val="0070C0"/>
            <w:lang w:val="en-AU"/>
          </w:rPr>
          <w:t>assment (PSEAH) Policy</w:t>
        </w:r>
      </w:hyperlink>
      <w:r>
        <w:rPr>
          <w:rFonts w:cstheme="minorHAnsi"/>
          <w:spacing w:val="-2"/>
        </w:rPr>
        <w:t xml:space="preserve"> sets out expectations and requirements for all DFAT staff and delivery partners to manage SEAH risks and incidents.</w:t>
      </w:r>
    </w:p>
    <w:p w14:paraId="0D0CC284" w14:textId="1ECF0790" w:rsidR="009571FF" w:rsidRDefault="009571FF" w:rsidP="00BC5F46">
      <w:pPr>
        <w:pStyle w:val="ListParagraph"/>
        <w:numPr>
          <w:ilvl w:val="0"/>
          <w:numId w:val="24"/>
        </w:numPr>
        <w:suppressAutoHyphens w:val="0"/>
        <w:spacing w:before="100" w:beforeAutospacing="1" w:after="100" w:afterAutospacing="1" w:line="240" w:lineRule="auto"/>
        <w:ind w:left="426" w:hanging="426"/>
        <w:rPr>
          <w:rFonts w:cstheme="minorHAnsi"/>
          <w:spacing w:val="-2"/>
        </w:rPr>
      </w:pPr>
      <w:r>
        <w:rPr>
          <w:rFonts w:cstheme="minorHAnsi"/>
          <w:spacing w:val="-2"/>
        </w:rPr>
        <w:t xml:space="preserve">Project failure, despite strong planning, engagement and commitment, due to imperfect market assumptions </w:t>
      </w:r>
    </w:p>
    <w:p w14:paraId="3D8EEC23" w14:textId="7AB5F511" w:rsidR="009571FF" w:rsidRDefault="009571FF" w:rsidP="00BC5F46">
      <w:pPr>
        <w:pStyle w:val="ListParagraph"/>
        <w:numPr>
          <w:ilvl w:val="0"/>
          <w:numId w:val="24"/>
        </w:numPr>
        <w:suppressAutoHyphens w:val="0"/>
        <w:spacing w:before="100" w:beforeAutospacing="1" w:after="100" w:afterAutospacing="1" w:line="240" w:lineRule="auto"/>
        <w:ind w:left="426" w:hanging="426"/>
        <w:rPr>
          <w:rFonts w:cstheme="minorHAnsi"/>
          <w:spacing w:val="-2"/>
        </w:rPr>
      </w:pPr>
      <w:r>
        <w:rPr>
          <w:rFonts w:cstheme="minorHAnsi"/>
          <w:spacing w:val="-2"/>
        </w:rPr>
        <w:t xml:space="preserve">Constraints to private sector/market growth in developing countries, such as access to finance, limited human capital, low resource base, poor infrastructure and vulnerability to external market shocks or natural disasters. </w:t>
      </w:r>
    </w:p>
    <w:p w14:paraId="2F05DEAC" w14:textId="48066920" w:rsidR="00BC5F46" w:rsidRDefault="00BC5F46" w:rsidP="00BC5F46">
      <w:pPr>
        <w:spacing w:before="100" w:beforeAutospacing="1" w:after="100" w:afterAutospacing="1" w:line="240" w:lineRule="auto"/>
        <w:rPr>
          <w:rFonts w:cstheme="minorHAnsi"/>
          <w:spacing w:val="-2"/>
        </w:rPr>
      </w:pPr>
      <w:r>
        <w:rPr>
          <w:rFonts w:cstheme="minorHAnsi"/>
        </w:rPr>
        <w:t>I</w:t>
      </w:r>
      <w:r w:rsidRPr="003A5347">
        <w:rPr>
          <w:rFonts w:cstheme="minorHAnsi"/>
        </w:rPr>
        <w:t>t is necessary to weigh the risks against the potential benefits and continuously re-assess risks/</w:t>
      </w:r>
      <w:r>
        <w:rPr>
          <w:rFonts w:cstheme="minorHAnsi"/>
        </w:rPr>
        <w:t>benefits and manage those risks</w:t>
      </w:r>
      <w:r w:rsidRPr="003A5347">
        <w:rPr>
          <w:rFonts w:cstheme="minorHAnsi"/>
        </w:rPr>
        <w:t xml:space="preserve"> </w:t>
      </w:r>
      <w:r>
        <w:rPr>
          <w:rFonts w:cstheme="minorHAnsi"/>
          <w:spacing w:val="-2"/>
        </w:rPr>
        <w:t xml:space="preserve">instead of perceiving them as roadblocks to engaging with the private sector. </w:t>
      </w:r>
      <w:r w:rsidR="00E766E6">
        <w:rPr>
          <w:rFonts w:cstheme="minorHAnsi"/>
          <w:spacing w:val="-2"/>
        </w:rPr>
        <w:t xml:space="preserve">Risks and appropriate mitigation actions can be identified and managed through a robust due diligence assessment, risk and safeguards assessment and in partnering discussions. As partnerships with private sector are often innovative, there will be failure in some cases. A risk appetite that allows for an appropriate level of failure is important. </w:t>
      </w:r>
      <w:r>
        <w:rPr>
          <w:rFonts w:cstheme="minorHAnsi"/>
          <w:spacing w:val="-2"/>
        </w:rPr>
        <w:t xml:space="preserve">Some strategies for managing PSE risks are outlined in the below case study. </w:t>
      </w:r>
    </w:p>
    <w:p w14:paraId="38FBDB40" w14:textId="77777777" w:rsidR="00105E80" w:rsidRPr="003A5347" w:rsidRDefault="00105E80" w:rsidP="00105E80">
      <w:pPr>
        <w:spacing w:before="0" w:after="0" w:line="240" w:lineRule="auto"/>
        <w:rPr>
          <w:rFonts w:cstheme="minorHAnsi"/>
        </w:rPr>
      </w:pPr>
    </w:p>
    <w:p w14:paraId="0F3C2BCD" w14:textId="77777777" w:rsidR="00BC5F46" w:rsidRPr="00630A3B" w:rsidRDefault="00BC5F46" w:rsidP="00BC5F46">
      <w:pPr>
        <w:pStyle w:val="Box1Heading"/>
      </w:pPr>
      <w:r w:rsidRPr="00630A3B">
        <w:rPr>
          <w:noProof/>
          <w:lang w:eastAsia="en-AU"/>
        </w:rPr>
        <w:drawing>
          <wp:anchor distT="0" distB="0" distL="114300" distR="114300" simplePos="0" relativeHeight="251660288" behindDoc="0" locked="1" layoutInCell="1" allowOverlap="1" wp14:anchorId="4D5CE03D" wp14:editId="2AE2A61A">
            <wp:simplePos x="0" y="0"/>
            <wp:positionH relativeFrom="column">
              <wp:posOffset>180975</wp:posOffset>
            </wp:positionH>
            <wp:positionV relativeFrom="line">
              <wp:posOffset>244475</wp:posOffset>
            </wp:positionV>
            <wp:extent cx="411480" cy="574040"/>
            <wp:effectExtent l="0" t="0" r="7620" b="0"/>
            <wp:wrapNone/>
            <wp:docPr id="28" name="Picture 28" descr="Key messages" title="Key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con-01-Key_Messag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480" cy="574040"/>
                    </a:xfrm>
                    <a:prstGeom prst="rect">
                      <a:avLst/>
                    </a:prstGeom>
                  </pic:spPr>
                </pic:pic>
              </a:graphicData>
            </a:graphic>
            <wp14:sizeRelH relativeFrom="margin">
              <wp14:pctWidth>0</wp14:pctWidth>
            </wp14:sizeRelH>
            <wp14:sizeRelV relativeFrom="margin">
              <wp14:pctHeight>0</wp14:pctHeight>
            </wp14:sizeRelV>
          </wp:anchor>
        </w:drawing>
      </w:r>
      <w:r w:rsidRPr="00630A3B">
        <w:tab/>
      </w:r>
      <w:r>
        <w:t>Case study</w:t>
      </w:r>
    </w:p>
    <w:p w14:paraId="12691D9C" w14:textId="77777777" w:rsidR="00BC5F46" w:rsidRPr="00F6244C" w:rsidRDefault="00BC5F46" w:rsidP="00BC5F46">
      <w:pPr>
        <w:pStyle w:val="Box1Text"/>
        <w:spacing w:before="0" w:line="240" w:lineRule="auto"/>
      </w:pPr>
      <w:r w:rsidRPr="009F0C7B">
        <w:tab/>
      </w:r>
      <w:r w:rsidRPr="00F6244C">
        <w:t xml:space="preserve">Since its establishment, </w:t>
      </w:r>
      <w:r w:rsidRPr="00944E13">
        <w:t xml:space="preserve">DFAT’s </w:t>
      </w:r>
      <w:proofErr w:type="spellStart"/>
      <w:r w:rsidRPr="00944E13">
        <w:t>innovationXchange</w:t>
      </w:r>
      <w:proofErr w:type="spellEnd"/>
      <w:r w:rsidRPr="00944E13">
        <w:t xml:space="preserve"> (</w:t>
      </w:r>
      <w:proofErr w:type="spellStart"/>
      <w:r w:rsidRPr="00944E13">
        <w:t>iXc</w:t>
      </w:r>
      <w:proofErr w:type="spellEnd"/>
      <w:r w:rsidRPr="00944E13">
        <w:t>)</w:t>
      </w:r>
      <w:r w:rsidRPr="00F6244C">
        <w:t xml:space="preserve"> has explored new ways of engaging with risk to encourage innovation. Below are some of the lessons the </w:t>
      </w:r>
      <w:proofErr w:type="spellStart"/>
      <w:r w:rsidRPr="00F6244C">
        <w:t>iXc</w:t>
      </w:r>
      <w:proofErr w:type="spellEnd"/>
      <w:r w:rsidRPr="00F6244C">
        <w:t xml:space="preserve"> </w:t>
      </w:r>
      <w:r>
        <w:t>h</w:t>
      </w:r>
      <w:r w:rsidRPr="00F6244C">
        <w:t>as learned so far:</w:t>
      </w:r>
    </w:p>
    <w:p w14:paraId="65A19DBF" w14:textId="77777777" w:rsidR="00BC5F46" w:rsidRPr="00F6244C" w:rsidRDefault="00BC5F46" w:rsidP="00BC5F46">
      <w:pPr>
        <w:pStyle w:val="Box1Text"/>
        <w:numPr>
          <w:ilvl w:val="0"/>
          <w:numId w:val="25"/>
        </w:numPr>
        <w:tabs>
          <w:tab w:val="left" w:pos="1276"/>
        </w:tabs>
        <w:spacing w:before="0" w:line="240" w:lineRule="auto"/>
        <w:ind w:left="1276" w:hanging="992"/>
      </w:pPr>
      <w:r w:rsidRPr="00F6244C">
        <w:rPr>
          <w:bCs/>
        </w:rPr>
        <w:t>Trial small</w:t>
      </w:r>
      <w:r w:rsidRPr="00F6244C">
        <w:t xml:space="preserve"> – grow your team’s skills</w:t>
      </w:r>
      <w:r>
        <w:t>,</w:t>
      </w:r>
      <w:r w:rsidRPr="00F6244C">
        <w:t xml:space="preserve"> use experiments and test where you can.</w:t>
      </w:r>
    </w:p>
    <w:p w14:paraId="042D8B72" w14:textId="77777777" w:rsidR="00BC5F46" w:rsidRPr="00F6244C" w:rsidRDefault="00BC5F46" w:rsidP="00BC5F46">
      <w:pPr>
        <w:pStyle w:val="Box1Text"/>
        <w:numPr>
          <w:ilvl w:val="0"/>
          <w:numId w:val="25"/>
        </w:numPr>
        <w:tabs>
          <w:tab w:val="left" w:pos="1276"/>
        </w:tabs>
        <w:spacing w:before="0" w:line="240" w:lineRule="auto"/>
        <w:ind w:left="1276" w:hanging="992"/>
      </w:pPr>
      <w:r w:rsidRPr="00F6244C">
        <w:t xml:space="preserve">Consider your investments and decisions from a </w:t>
      </w:r>
      <w:r w:rsidRPr="00F6244C">
        <w:rPr>
          <w:bCs/>
        </w:rPr>
        <w:t>portfolio perspective</w:t>
      </w:r>
      <w:r>
        <w:t>: b</w:t>
      </w:r>
      <w:r w:rsidRPr="00F6244C">
        <w:t>alance your portfolio of activities between those where you embrace higher risk in return for higher potential return with those where you take a more conservative approach.</w:t>
      </w:r>
    </w:p>
    <w:p w14:paraId="624B4CD5" w14:textId="77777777" w:rsidR="00BC5F46" w:rsidRPr="00F6244C" w:rsidRDefault="00BC5F46" w:rsidP="00BC5F46">
      <w:pPr>
        <w:pStyle w:val="Box1Text"/>
        <w:numPr>
          <w:ilvl w:val="0"/>
          <w:numId w:val="25"/>
        </w:numPr>
        <w:tabs>
          <w:tab w:val="left" w:pos="1276"/>
        </w:tabs>
        <w:spacing w:before="0" w:line="240" w:lineRule="auto"/>
        <w:ind w:left="1276" w:hanging="992"/>
      </w:pPr>
      <w:r w:rsidRPr="00F6244C">
        <w:t xml:space="preserve">Be clear about the costs and benefits of pursuing an opportunity, including the </w:t>
      </w:r>
      <w:r w:rsidRPr="00F6244C">
        <w:rPr>
          <w:bCs/>
        </w:rPr>
        <w:t>costs of not acting.</w:t>
      </w:r>
    </w:p>
    <w:p w14:paraId="7DCF7EF6" w14:textId="77777777" w:rsidR="00BC5F46" w:rsidRPr="00F21C5F" w:rsidRDefault="00BC5F46" w:rsidP="00BC5F46">
      <w:pPr>
        <w:pStyle w:val="Box1Text"/>
        <w:numPr>
          <w:ilvl w:val="0"/>
          <w:numId w:val="25"/>
        </w:numPr>
        <w:tabs>
          <w:tab w:val="left" w:pos="1276"/>
        </w:tabs>
        <w:spacing w:before="0" w:line="240" w:lineRule="auto"/>
        <w:ind w:left="1276" w:hanging="992"/>
        <w:rPr>
          <w:i/>
        </w:rPr>
      </w:pPr>
      <w:r w:rsidRPr="00F6244C">
        <w:t xml:space="preserve">Use new </w:t>
      </w:r>
      <w:r w:rsidRPr="00F6244C">
        <w:rPr>
          <w:bCs/>
        </w:rPr>
        <w:t>partnerships</w:t>
      </w:r>
      <w:r w:rsidRPr="00F6244C">
        <w:t xml:space="preserve"> to bring in skills and experience as a means of broadening your</w:t>
      </w:r>
      <w:r w:rsidRPr="00BE3CBE">
        <w:t xml:space="preserve"> ideas </w:t>
      </w:r>
      <w:r>
        <w:t>and</w:t>
      </w:r>
      <w:r w:rsidRPr="00BE3CBE">
        <w:t xml:space="preserve"> minimising your risk exposure.</w:t>
      </w:r>
    </w:p>
    <w:p w14:paraId="1C469FAD" w14:textId="77777777" w:rsidR="00BC5F46" w:rsidRDefault="00BC5F46" w:rsidP="00BC5F46">
      <w:pPr>
        <w:pStyle w:val="Box1Text"/>
        <w:numPr>
          <w:ilvl w:val="0"/>
          <w:numId w:val="25"/>
        </w:numPr>
        <w:tabs>
          <w:tab w:val="left" w:pos="1276"/>
        </w:tabs>
        <w:spacing w:before="0" w:line="240" w:lineRule="auto"/>
        <w:ind w:left="1276" w:hanging="992"/>
      </w:pPr>
      <w:r>
        <w:t>E</w:t>
      </w:r>
      <w:r w:rsidRPr="00E71545">
        <w:t xml:space="preserve">ngage with private sector actors early in the concept and </w:t>
      </w:r>
      <w:r>
        <w:t>design stage to ensure aligned interests</w:t>
      </w:r>
      <w:r w:rsidRPr="00E71545">
        <w:t>.</w:t>
      </w:r>
    </w:p>
    <w:p w14:paraId="5C687082" w14:textId="77777777" w:rsidR="00BC5F46" w:rsidRPr="00E71545" w:rsidRDefault="00BC5F46" w:rsidP="00BC5F46">
      <w:pPr>
        <w:pStyle w:val="Box1Text"/>
        <w:numPr>
          <w:ilvl w:val="0"/>
          <w:numId w:val="25"/>
        </w:numPr>
        <w:tabs>
          <w:tab w:val="left" w:pos="1276"/>
        </w:tabs>
        <w:spacing w:before="0" w:line="240" w:lineRule="auto"/>
        <w:ind w:left="1276" w:hanging="992"/>
      </w:pPr>
      <w:r>
        <w:t xml:space="preserve">A robust partnership approach and well-developed partnership agreement can help mitigate risks. </w:t>
      </w:r>
      <w:r>
        <w:tab/>
      </w:r>
    </w:p>
    <w:p w14:paraId="2DB12210" w14:textId="7E09C32E" w:rsidR="00BC5F46" w:rsidRDefault="00BC5F46" w:rsidP="00BC5F46">
      <w:pPr>
        <w:suppressAutoHyphens w:val="0"/>
        <w:spacing w:before="100" w:beforeAutospacing="1" w:after="100" w:afterAutospacing="1" w:line="240" w:lineRule="auto"/>
        <w:rPr>
          <w:rFonts w:cstheme="minorHAnsi"/>
        </w:rPr>
      </w:pPr>
      <w:r w:rsidRPr="00A75106">
        <w:rPr>
          <w:rFonts w:cstheme="minorHAnsi"/>
        </w:rPr>
        <w:t>Before entering into a formal partnership, it is critical to conduct a due diligence assessment,</w:t>
      </w:r>
      <w:r w:rsidRPr="00A75106">
        <w:rPr>
          <w:rFonts w:cstheme="minorHAnsi"/>
          <w:lang w:eastAsia="en-AU"/>
        </w:rPr>
        <w:t xml:space="preserve"> as outlined in Chapter 7 of DFAT’s </w:t>
      </w:r>
      <w:hyperlink r:id="rId40" w:history="1">
        <w:r w:rsidRPr="00FC41C2">
          <w:rPr>
            <w:rStyle w:val="Hyperlink"/>
            <w:color w:val="0070C0"/>
            <w:lang w:val="en-AU"/>
          </w:rPr>
          <w:t>Aid Programming G</w:t>
        </w:r>
        <w:r w:rsidRPr="00FC41C2">
          <w:rPr>
            <w:rStyle w:val="Hyperlink"/>
            <w:color w:val="0070C0"/>
            <w:lang w:val="en-AU"/>
          </w:rPr>
          <w:t>u</w:t>
        </w:r>
        <w:r w:rsidRPr="00FC41C2">
          <w:rPr>
            <w:rStyle w:val="Hyperlink"/>
            <w:color w:val="0070C0"/>
            <w:lang w:val="en-AU"/>
          </w:rPr>
          <w:t>ide</w:t>
        </w:r>
      </w:hyperlink>
      <w:r w:rsidRPr="00A75106">
        <w:rPr>
          <w:rStyle w:val="Hyperlink"/>
          <w:rFonts w:cstheme="minorHAnsi"/>
          <w:color w:val="0070C0"/>
          <w:u w:val="none"/>
          <w:lang w:eastAsia="en-AU"/>
        </w:rPr>
        <w:t>.</w:t>
      </w:r>
      <w:r>
        <w:rPr>
          <w:rStyle w:val="Hyperlink"/>
          <w:rFonts w:cstheme="minorHAnsi"/>
          <w:color w:val="0070C0"/>
          <w:u w:val="none"/>
          <w:lang w:eastAsia="en-AU"/>
        </w:rPr>
        <w:t xml:space="preserve"> </w:t>
      </w:r>
      <w:r w:rsidRPr="00F6244C">
        <w:rPr>
          <w:rFonts w:cstheme="minorHAnsi"/>
        </w:rPr>
        <w:t xml:space="preserve">For potential private sector partners, DFAT’s </w:t>
      </w:r>
      <w:hyperlink r:id="rId41" w:history="1">
        <w:r w:rsidRPr="00FC41C2">
          <w:rPr>
            <w:rStyle w:val="Hyperlink"/>
            <w:color w:val="0070C0"/>
            <w:lang w:val="en-AU"/>
          </w:rPr>
          <w:t>Due Dili</w:t>
        </w:r>
        <w:r w:rsidRPr="00FC41C2">
          <w:rPr>
            <w:rStyle w:val="Hyperlink"/>
            <w:color w:val="0070C0"/>
            <w:lang w:val="en-AU"/>
          </w:rPr>
          <w:t>g</w:t>
        </w:r>
        <w:r w:rsidRPr="00FC41C2">
          <w:rPr>
            <w:rStyle w:val="Hyperlink"/>
            <w:color w:val="0070C0"/>
            <w:lang w:val="en-AU"/>
          </w:rPr>
          <w:t>ence Framework</w:t>
        </w:r>
      </w:hyperlink>
      <w:r w:rsidRPr="00F6244C">
        <w:rPr>
          <w:rFonts w:cstheme="minorHAnsi"/>
        </w:rPr>
        <w:t xml:space="preserve"> identifies ten key risks that must be assessed and documented by the responsible DFAT officer – known as a </w:t>
      </w:r>
      <w:hyperlink r:id="rId42" w:history="1">
        <w:r w:rsidRPr="00DD5629">
          <w:rPr>
            <w:rStyle w:val="Hyperlink"/>
            <w:color w:val="0070C0"/>
            <w:lang w:val="en-AU"/>
          </w:rPr>
          <w:t>Baseline Pl</w:t>
        </w:r>
        <w:r w:rsidRPr="00DD5629">
          <w:rPr>
            <w:rStyle w:val="Hyperlink"/>
            <w:color w:val="0070C0"/>
            <w:lang w:val="en-AU"/>
          </w:rPr>
          <w:t>u</w:t>
        </w:r>
        <w:r w:rsidRPr="00DD5629">
          <w:rPr>
            <w:rStyle w:val="Hyperlink"/>
            <w:color w:val="0070C0"/>
            <w:lang w:val="en-AU"/>
          </w:rPr>
          <w:t>s assessment</w:t>
        </w:r>
      </w:hyperlink>
      <w:r w:rsidRPr="00D7631D">
        <w:rPr>
          <w:rStyle w:val="Hyperlink"/>
          <w:i/>
          <w:color w:val="0070C0"/>
          <w:u w:val="none"/>
          <w:lang w:val="en-AU"/>
        </w:rPr>
        <w:t>.</w:t>
      </w:r>
    </w:p>
    <w:p w14:paraId="7F749CCC" w14:textId="77777777" w:rsidR="00BC5F46" w:rsidRDefault="00BC5F46" w:rsidP="00BC5F46">
      <w:pPr>
        <w:pStyle w:val="Box1Heading"/>
        <w:spacing w:before="40"/>
      </w:pPr>
      <w:r>
        <w:tab/>
      </w:r>
      <w:r>
        <w:rPr>
          <w:noProof/>
          <w:lang w:eastAsia="en-AU"/>
        </w:rPr>
        <w:drawing>
          <wp:anchor distT="0" distB="0" distL="114300" distR="114300" simplePos="0" relativeHeight="251659264" behindDoc="0" locked="1" layoutInCell="1" allowOverlap="1" wp14:anchorId="25BF0F87" wp14:editId="540AF1C9">
            <wp:simplePos x="0" y="0"/>
            <wp:positionH relativeFrom="column">
              <wp:posOffset>180340</wp:posOffset>
            </wp:positionH>
            <wp:positionV relativeFrom="line">
              <wp:posOffset>226060</wp:posOffset>
            </wp:positionV>
            <wp:extent cx="438785" cy="432435"/>
            <wp:effectExtent l="0" t="0" r="0" b="5715"/>
            <wp:wrapNone/>
            <wp:docPr id="33" name="Picture 33" descr="Mandatory requirements" title="Mandatory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con-01-Key_Messag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8785" cy="432435"/>
                    </a:xfrm>
                    <a:prstGeom prst="rect">
                      <a:avLst/>
                    </a:prstGeom>
                  </pic:spPr>
                </pic:pic>
              </a:graphicData>
            </a:graphic>
            <wp14:sizeRelH relativeFrom="margin">
              <wp14:pctWidth>0</wp14:pctWidth>
            </wp14:sizeRelH>
            <wp14:sizeRelV relativeFrom="margin">
              <wp14:pctHeight>0</wp14:pctHeight>
            </wp14:sizeRelV>
          </wp:anchor>
        </w:drawing>
      </w:r>
      <w:r>
        <w:t>Mandatory requirements</w:t>
      </w:r>
    </w:p>
    <w:p w14:paraId="37B027E9" w14:textId="77777777" w:rsidR="00E766E6" w:rsidRDefault="00BC5F46" w:rsidP="00BC5F46">
      <w:pPr>
        <w:pStyle w:val="Box1Text"/>
        <w:rPr>
          <w:rFonts w:ascii="Calibri Light" w:hAnsi="Calibri Light"/>
        </w:rPr>
      </w:pPr>
      <w:r w:rsidRPr="00F6244C">
        <w:rPr>
          <w:rFonts w:ascii="Calibri Light" w:hAnsi="Calibri Light"/>
        </w:rPr>
        <w:tab/>
      </w:r>
      <w:hyperlink r:id="rId43" w:history="1">
        <w:r w:rsidRPr="00FC41C2">
          <w:rPr>
            <w:rStyle w:val="Hyperlink"/>
            <w:color w:val="0070C0"/>
          </w:rPr>
          <w:t xml:space="preserve">Baseline </w:t>
        </w:r>
        <w:proofErr w:type="gramStart"/>
        <w:r w:rsidRPr="00FC41C2">
          <w:rPr>
            <w:rStyle w:val="Hyperlink"/>
            <w:color w:val="0070C0"/>
          </w:rPr>
          <w:t>Plus</w:t>
        </w:r>
        <w:proofErr w:type="gramEnd"/>
        <w:r w:rsidRPr="00FC41C2">
          <w:rPr>
            <w:rStyle w:val="Hyperlink"/>
            <w:color w:val="0070C0"/>
          </w:rPr>
          <w:t xml:space="preserve"> Due Diligence </w:t>
        </w:r>
        <w:r w:rsidRPr="00FC41C2">
          <w:rPr>
            <w:rStyle w:val="Hyperlink"/>
            <w:color w:val="0070C0"/>
          </w:rPr>
          <w:t>A</w:t>
        </w:r>
        <w:r w:rsidRPr="00FC41C2">
          <w:rPr>
            <w:rStyle w:val="Hyperlink"/>
            <w:color w:val="0070C0"/>
          </w:rPr>
          <w:t>ssessments</w:t>
        </w:r>
      </w:hyperlink>
      <w:r w:rsidRPr="00FC41C2">
        <w:rPr>
          <w:rStyle w:val="Hyperlink"/>
          <w:i/>
          <w:color w:val="0070C0"/>
          <w:u w:val="none"/>
        </w:rPr>
        <w:t xml:space="preserve"> </w:t>
      </w:r>
      <w:r w:rsidRPr="00F6244C">
        <w:rPr>
          <w:rFonts w:ascii="Calibri Light" w:hAnsi="Calibri Light"/>
        </w:rPr>
        <w:t>require details on a private sector entity’s</w:t>
      </w:r>
      <w:r w:rsidR="00E766E6">
        <w:rPr>
          <w:rFonts w:ascii="Calibri Light" w:hAnsi="Calibri Light"/>
        </w:rPr>
        <w:t>:</w:t>
      </w:r>
    </w:p>
    <w:p w14:paraId="3E48B8DC" w14:textId="73D4ECB8" w:rsidR="006B4FD3" w:rsidRDefault="006B4FD3" w:rsidP="006B4FD3">
      <w:pPr>
        <w:pStyle w:val="Box1Text"/>
        <w:ind w:left="284" w:firstLine="992"/>
      </w:pPr>
      <w:r>
        <w:t xml:space="preserve">1.   </w:t>
      </w:r>
      <w:r w:rsidRPr="006B4FD3">
        <w:t>Entity Details</w:t>
      </w:r>
      <w:r>
        <w:tab/>
      </w:r>
      <w:r>
        <w:tab/>
      </w:r>
      <w:r>
        <w:tab/>
        <w:t xml:space="preserve">6.   </w:t>
      </w:r>
      <w:r w:rsidRPr="006B4FD3">
        <w:t xml:space="preserve">Counter Terrorism </w:t>
      </w:r>
    </w:p>
    <w:p w14:paraId="11FDEF77" w14:textId="071428A6" w:rsidR="006B4FD3" w:rsidRPr="006B4FD3" w:rsidRDefault="006B4FD3" w:rsidP="006B4FD3">
      <w:pPr>
        <w:pStyle w:val="Box1Text"/>
        <w:ind w:left="284" w:firstLine="992"/>
      </w:pPr>
      <w:r>
        <w:t xml:space="preserve">2.   </w:t>
      </w:r>
      <w:r w:rsidRPr="006B4FD3">
        <w:t>Past Performance</w:t>
      </w:r>
      <w:r>
        <w:tab/>
      </w:r>
      <w:r>
        <w:tab/>
        <w:t xml:space="preserve">7.   </w:t>
      </w:r>
      <w:r w:rsidRPr="006B4FD3">
        <w:t>Integrity Systems Check</w:t>
      </w:r>
    </w:p>
    <w:p w14:paraId="77DC0E4A" w14:textId="5A7102C2" w:rsidR="006B4FD3" w:rsidRDefault="006B4FD3" w:rsidP="006B4FD3">
      <w:pPr>
        <w:pStyle w:val="Box1Text"/>
        <w:ind w:left="284" w:firstLine="992"/>
      </w:pPr>
      <w:r>
        <w:t xml:space="preserve">3.   </w:t>
      </w:r>
      <w:r w:rsidRPr="006B4FD3">
        <w:t>Fraud Control</w:t>
      </w:r>
      <w:r>
        <w:tab/>
      </w:r>
      <w:r>
        <w:tab/>
      </w:r>
      <w:r>
        <w:tab/>
        <w:t>8.   Child Protection</w:t>
      </w:r>
    </w:p>
    <w:p w14:paraId="024F8215" w14:textId="20A93E27" w:rsidR="006B4FD3" w:rsidRDefault="006B4FD3" w:rsidP="006B4FD3">
      <w:pPr>
        <w:pStyle w:val="Box1Text"/>
        <w:ind w:left="284" w:firstLine="992"/>
      </w:pPr>
      <w:r>
        <w:t xml:space="preserve">4.   </w:t>
      </w:r>
      <w:r w:rsidRPr="006B4FD3">
        <w:t>Anti-Corruption</w:t>
      </w:r>
      <w:r>
        <w:tab/>
      </w:r>
      <w:r>
        <w:tab/>
        <w:t>9.   Environmental Safeguards</w:t>
      </w:r>
    </w:p>
    <w:p w14:paraId="72B1EFD8" w14:textId="4A207166" w:rsidR="006B4FD3" w:rsidRPr="006B4FD3" w:rsidRDefault="006B4FD3" w:rsidP="006B4FD3">
      <w:pPr>
        <w:pStyle w:val="Box1Text"/>
        <w:ind w:left="284" w:firstLine="992"/>
      </w:pPr>
      <w:r>
        <w:t xml:space="preserve">5.   </w:t>
      </w:r>
      <w:r w:rsidRPr="006B4FD3">
        <w:t xml:space="preserve">Sanctions Lists </w:t>
      </w:r>
      <w:r>
        <w:tab/>
      </w:r>
      <w:r>
        <w:tab/>
        <w:t>10. National Interest</w:t>
      </w:r>
    </w:p>
    <w:p w14:paraId="47A358F9" w14:textId="77777777" w:rsidR="006B4FD3" w:rsidRDefault="006B4FD3" w:rsidP="00BC5F46">
      <w:pPr>
        <w:pStyle w:val="Heading3"/>
        <w:spacing w:before="240"/>
        <w:sectPr w:rsidR="006B4FD3" w:rsidSect="00951977">
          <w:headerReference w:type="default" r:id="rId44"/>
          <w:footerReference w:type="default" r:id="rId45"/>
          <w:headerReference w:type="first" r:id="rId46"/>
          <w:footerReference w:type="first" r:id="rId47"/>
          <w:pgSz w:w="11907" w:h="16840" w:code="9"/>
          <w:pgMar w:top="1701" w:right="709" w:bottom="851" w:left="1440" w:header="851" w:footer="454" w:gutter="0"/>
          <w:cols w:space="720"/>
          <w:docGrid w:linePitch="299"/>
        </w:sectPr>
      </w:pPr>
    </w:p>
    <w:p w14:paraId="6631BD8B" w14:textId="77777777" w:rsidR="006B4FD3" w:rsidRDefault="006B4FD3" w:rsidP="00BC5F46">
      <w:pPr>
        <w:pStyle w:val="Heading3"/>
        <w:spacing w:before="240"/>
      </w:pPr>
    </w:p>
    <w:p w14:paraId="53E986CB" w14:textId="77777777" w:rsidR="00105E80" w:rsidRDefault="00105E80">
      <w:pPr>
        <w:suppressAutoHyphens w:val="0"/>
        <w:spacing w:before="0" w:after="120" w:line="440" w:lineRule="atLeast"/>
        <w:rPr>
          <w:rFonts w:asciiTheme="majorHAnsi" w:eastAsiaTheme="majorEastAsia" w:hAnsiTheme="majorHAnsi" w:cstheme="majorBidi"/>
          <w:bCs/>
          <w:sz w:val="30"/>
          <w:szCs w:val="26"/>
          <w:lang w:val="en-AU"/>
        </w:rPr>
      </w:pPr>
      <w:r>
        <w:br w:type="page"/>
      </w:r>
    </w:p>
    <w:p w14:paraId="667741FE" w14:textId="325DCF61" w:rsidR="00BC5F46" w:rsidRPr="00A75106" w:rsidRDefault="00BC5F46" w:rsidP="00BC5F46">
      <w:pPr>
        <w:pStyle w:val="Heading3"/>
        <w:spacing w:before="240"/>
      </w:pPr>
      <w:r w:rsidRPr="00A75106">
        <w:lastRenderedPageBreak/>
        <w:t xml:space="preserve">Safeguards </w:t>
      </w:r>
    </w:p>
    <w:p w14:paraId="082B91D5" w14:textId="77777777" w:rsidR="00BC5F46" w:rsidRDefault="00BC5F46" w:rsidP="00BC5F46">
      <w:pPr>
        <w:spacing w:before="100" w:beforeAutospacing="1" w:after="100" w:afterAutospacing="1" w:line="240" w:lineRule="auto"/>
        <w:rPr>
          <w:rFonts w:cstheme="minorHAnsi"/>
        </w:rPr>
      </w:pPr>
      <w:r>
        <w:rPr>
          <w:rFonts w:cstheme="minorHAnsi"/>
        </w:rPr>
        <w:t xml:space="preserve">DFAT has expertise in environmental and social safeguards and can provide significant value-add to partnerships with the private sector. Working closely with the private sector to build solutions to </w:t>
      </w:r>
      <w:r w:rsidRPr="00A75106">
        <w:rPr>
          <w:rFonts w:cstheme="minorHAnsi"/>
        </w:rPr>
        <w:t>development problems, utilising the Department’s and businesses expertise, leads to strong</w:t>
      </w:r>
      <w:r>
        <w:rPr>
          <w:rFonts w:cstheme="minorHAnsi"/>
        </w:rPr>
        <w:t>,</w:t>
      </w:r>
      <w:r w:rsidRPr="00A75106">
        <w:rPr>
          <w:rFonts w:cstheme="minorHAnsi"/>
        </w:rPr>
        <w:t xml:space="preserve"> sustainable projects. </w:t>
      </w:r>
    </w:p>
    <w:p w14:paraId="0A8642B8" w14:textId="77777777" w:rsidR="00BC5F46" w:rsidRPr="009614AE" w:rsidRDefault="00BC5F46" w:rsidP="00BC5F46">
      <w:pPr>
        <w:pStyle w:val="ListParagraph"/>
        <w:numPr>
          <w:ilvl w:val="0"/>
          <w:numId w:val="25"/>
        </w:numPr>
        <w:spacing w:before="100" w:beforeAutospacing="1" w:after="100" w:afterAutospacing="1" w:line="240" w:lineRule="auto"/>
        <w:rPr>
          <w:rFonts w:asciiTheme="majorHAnsi" w:hAnsiTheme="majorHAnsi" w:cstheme="majorHAnsi"/>
          <w:spacing w:val="-2"/>
        </w:rPr>
      </w:pPr>
      <w:r w:rsidRPr="009614AE">
        <w:rPr>
          <w:rFonts w:cstheme="minorHAnsi"/>
        </w:rPr>
        <w:t>The </w:t>
      </w:r>
      <w:hyperlink r:id="rId48" w:history="1">
        <w:r w:rsidRPr="00FC41C2">
          <w:rPr>
            <w:rStyle w:val="Hyperlink"/>
            <w:color w:val="0070C0"/>
            <w:lang w:val="en-AU"/>
          </w:rPr>
          <w:t>Environmental and Social Safeguard Operational Procedu</w:t>
        </w:r>
        <w:r w:rsidRPr="00FC41C2">
          <w:rPr>
            <w:rStyle w:val="Hyperlink"/>
            <w:color w:val="0070C0"/>
            <w:lang w:val="en-AU"/>
          </w:rPr>
          <w:t>r</w:t>
        </w:r>
        <w:r w:rsidRPr="00FC41C2">
          <w:rPr>
            <w:rStyle w:val="Hyperlink"/>
            <w:color w:val="0070C0"/>
            <w:lang w:val="en-AU"/>
          </w:rPr>
          <w:t>es</w:t>
        </w:r>
      </w:hyperlink>
      <w:r w:rsidRPr="00212DCF">
        <w:rPr>
          <w:rStyle w:val="Hyperlink"/>
          <w:i/>
          <w:color w:val="0070C0"/>
          <w:lang w:val="en-AU"/>
        </w:rPr>
        <w:t xml:space="preserve"> </w:t>
      </w:r>
      <w:r>
        <w:rPr>
          <w:rFonts w:cstheme="minorHAnsi"/>
        </w:rPr>
        <w:t>a</w:t>
      </w:r>
      <w:r w:rsidRPr="009614AE">
        <w:rPr>
          <w:rFonts w:cstheme="minorHAnsi"/>
        </w:rPr>
        <w:t xml:space="preserve">nd guidance notes help staff </w:t>
      </w:r>
      <w:r>
        <w:rPr>
          <w:rFonts w:cstheme="minorHAnsi"/>
        </w:rPr>
        <w:t>manage safeguard requirements.</w:t>
      </w:r>
    </w:p>
    <w:p w14:paraId="5BBA3202" w14:textId="77777777" w:rsidR="00BC5F46" w:rsidRPr="009614AE" w:rsidRDefault="00BC5F46" w:rsidP="00BC5F46">
      <w:pPr>
        <w:pStyle w:val="ListParagraph"/>
        <w:numPr>
          <w:ilvl w:val="0"/>
          <w:numId w:val="25"/>
        </w:numPr>
        <w:spacing w:before="100" w:beforeAutospacing="1" w:after="100" w:afterAutospacing="1" w:line="240" w:lineRule="auto"/>
        <w:rPr>
          <w:rFonts w:asciiTheme="majorHAnsi" w:hAnsiTheme="majorHAnsi" w:cstheme="majorHAnsi"/>
          <w:spacing w:val="-2"/>
        </w:rPr>
      </w:pPr>
      <w:r w:rsidRPr="009614AE">
        <w:rPr>
          <w:rFonts w:cstheme="minorHAnsi"/>
        </w:rPr>
        <w:t xml:space="preserve">DFAT’s </w:t>
      </w:r>
      <w:hyperlink r:id="rId49" w:history="1">
        <w:r w:rsidRPr="00FC41C2">
          <w:rPr>
            <w:rStyle w:val="Hyperlink"/>
            <w:color w:val="0070C0"/>
            <w:lang w:val="en-AU"/>
          </w:rPr>
          <w:t>Preventing Sexual Exploitation, Abuse and Harassme</w:t>
        </w:r>
        <w:r w:rsidRPr="00FC41C2">
          <w:rPr>
            <w:rStyle w:val="Hyperlink"/>
            <w:color w:val="0070C0"/>
            <w:lang w:val="en-AU"/>
          </w:rPr>
          <w:t>n</w:t>
        </w:r>
        <w:r w:rsidRPr="00FC41C2">
          <w:rPr>
            <w:rStyle w:val="Hyperlink"/>
            <w:color w:val="0070C0"/>
            <w:lang w:val="en-AU"/>
          </w:rPr>
          <w:t>t Policy</w:t>
        </w:r>
      </w:hyperlink>
      <w:r w:rsidRPr="00FC41C2">
        <w:rPr>
          <w:rFonts w:cstheme="minorHAnsi"/>
          <w:spacing w:val="-2"/>
        </w:rPr>
        <w:t xml:space="preserve"> </w:t>
      </w:r>
      <w:r w:rsidRPr="009614AE">
        <w:rPr>
          <w:rFonts w:cstheme="minorHAnsi"/>
          <w:spacing w:val="-2"/>
        </w:rPr>
        <w:t>sets out expectations and requirements for all DFAT staff and delivery partners to manage sexual exploitation, abuse and harassment risks and incidents. It applies to all DFAT staff and all DFAT partners, in Australia and overseas.</w:t>
      </w:r>
    </w:p>
    <w:p w14:paraId="111D542A" w14:textId="77777777" w:rsidR="00BC5F46" w:rsidRDefault="00BC5F46" w:rsidP="00BC5F46">
      <w:pPr>
        <w:pStyle w:val="ListParagraph"/>
        <w:numPr>
          <w:ilvl w:val="0"/>
          <w:numId w:val="25"/>
        </w:numPr>
        <w:spacing w:before="100" w:beforeAutospacing="1" w:after="100" w:afterAutospacing="1" w:line="240" w:lineRule="auto"/>
        <w:rPr>
          <w:rFonts w:cstheme="minorHAnsi"/>
        </w:rPr>
      </w:pPr>
      <w:r w:rsidRPr="009614AE">
        <w:rPr>
          <w:rFonts w:cstheme="minorHAnsi"/>
        </w:rPr>
        <w:t>DFAT</w:t>
      </w:r>
      <w:r>
        <w:rPr>
          <w:rFonts w:cstheme="minorHAnsi"/>
        </w:rPr>
        <w:t xml:space="preserve">-funded partners </w:t>
      </w:r>
      <w:r w:rsidRPr="009614AE">
        <w:rPr>
          <w:rFonts w:cstheme="minorHAnsi"/>
        </w:rPr>
        <w:t xml:space="preserve">are </w:t>
      </w:r>
      <w:r>
        <w:rPr>
          <w:rFonts w:cstheme="minorHAnsi"/>
        </w:rPr>
        <w:t>required</w:t>
      </w:r>
      <w:r w:rsidRPr="009614AE">
        <w:rPr>
          <w:rFonts w:cstheme="minorHAnsi"/>
        </w:rPr>
        <w:t xml:space="preserve"> to act in accordance with </w:t>
      </w:r>
      <w:r>
        <w:rPr>
          <w:rFonts w:cstheme="minorHAnsi"/>
        </w:rPr>
        <w:t xml:space="preserve">DFAT’s </w:t>
      </w:r>
      <w:hyperlink r:id="rId50" w:history="1">
        <w:r w:rsidRPr="00FC41C2">
          <w:rPr>
            <w:rStyle w:val="Hyperlink"/>
            <w:color w:val="0070C0"/>
            <w:lang w:val="en-AU"/>
          </w:rPr>
          <w:t>Child Prot</w:t>
        </w:r>
        <w:r w:rsidRPr="00FC41C2">
          <w:rPr>
            <w:rStyle w:val="Hyperlink"/>
            <w:color w:val="0070C0"/>
            <w:lang w:val="en-AU"/>
          </w:rPr>
          <w:t>e</w:t>
        </w:r>
        <w:r w:rsidRPr="00FC41C2">
          <w:rPr>
            <w:rStyle w:val="Hyperlink"/>
            <w:color w:val="0070C0"/>
            <w:lang w:val="en-AU"/>
          </w:rPr>
          <w:t>ction Policy</w:t>
        </w:r>
      </w:hyperlink>
      <w:r>
        <w:rPr>
          <w:rFonts w:cstheme="minorHAnsi"/>
        </w:rPr>
        <w:t xml:space="preserve"> </w:t>
      </w:r>
      <w:r w:rsidRPr="009614AE">
        <w:rPr>
          <w:rFonts w:cstheme="minorHAnsi"/>
        </w:rPr>
        <w:t xml:space="preserve">to </w:t>
      </w:r>
      <w:r>
        <w:rPr>
          <w:rFonts w:cstheme="minorHAnsi"/>
        </w:rPr>
        <w:t>prevent child exploitation and abuse</w:t>
      </w:r>
      <w:r w:rsidRPr="009614AE">
        <w:rPr>
          <w:rFonts w:cstheme="minorHAnsi"/>
        </w:rPr>
        <w:t>.</w:t>
      </w:r>
    </w:p>
    <w:p w14:paraId="2D329624" w14:textId="77777777" w:rsidR="009571FF" w:rsidRPr="00C91400" w:rsidRDefault="009571FF" w:rsidP="00BC5F46">
      <w:pPr>
        <w:pStyle w:val="ListParagraph"/>
        <w:numPr>
          <w:ilvl w:val="0"/>
          <w:numId w:val="25"/>
        </w:numPr>
        <w:spacing w:before="100" w:beforeAutospacing="1" w:after="100" w:afterAutospacing="1" w:line="240" w:lineRule="auto"/>
        <w:rPr>
          <w:rFonts w:cstheme="minorHAnsi"/>
        </w:rPr>
      </w:pPr>
      <w:r>
        <w:rPr>
          <w:rFonts w:cstheme="minorHAnsi"/>
        </w:rPr>
        <w:t xml:space="preserve">The </w:t>
      </w:r>
      <w:hyperlink r:id="rId51" w:history="1">
        <w:r w:rsidRPr="00EF740B">
          <w:rPr>
            <w:rStyle w:val="Hyperlink"/>
            <w:color w:val="0070C0"/>
            <w:lang w:val="en-AU"/>
          </w:rPr>
          <w:t>Frau</w:t>
        </w:r>
        <w:r w:rsidRPr="00EF740B">
          <w:rPr>
            <w:rStyle w:val="Hyperlink"/>
            <w:color w:val="0070C0"/>
            <w:lang w:val="en-AU"/>
          </w:rPr>
          <w:t>d</w:t>
        </w:r>
        <w:r w:rsidRPr="00EF740B">
          <w:rPr>
            <w:rStyle w:val="Hyperlink"/>
            <w:color w:val="0070C0"/>
            <w:lang w:val="en-AU"/>
          </w:rPr>
          <w:t xml:space="preserve"> Control Toolkit</w:t>
        </w:r>
      </w:hyperlink>
      <w:r>
        <w:rPr>
          <w:rFonts w:cstheme="minorHAnsi"/>
        </w:rPr>
        <w:t xml:space="preserve"> </w:t>
      </w:r>
      <w:r w:rsidR="00214116">
        <w:rPr>
          <w:rFonts w:cstheme="minorHAnsi"/>
        </w:rPr>
        <w:t xml:space="preserve">provides ways of developing and implementing fraud control strategies that meet DFAT’s contractual requirements. </w:t>
      </w:r>
    </w:p>
    <w:p w14:paraId="08B6B67A" w14:textId="77777777" w:rsidR="00BC5F46" w:rsidRPr="00E63FAA" w:rsidRDefault="00BC5F46" w:rsidP="00BC5F46"/>
    <w:p w14:paraId="6483202A" w14:textId="77777777" w:rsidR="00BC5F46" w:rsidRPr="00D44758" w:rsidRDefault="00BC5F46" w:rsidP="00BC5F46">
      <w:pPr>
        <w:pStyle w:val="Box2Heading"/>
        <w:spacing w:before="40"/>
      </w:pPr>
      <w:r>
        <w:tab/>
      </w:r>
      <w:r>
        <w:rPr>
          <w:noProof/>
          <w:lang w:eastAsia="en-AU"/>
        </w:rPr>
        <w:drawing>
          <wp:anchor distT="0" distB="0" distL="114300" distR="114300" simplePos="0" relativeHeight="251661312" behindDoc="0" locked="1" layoutInCell="1" allowOverlap="1" wp14:anchorId="3CC8AE3F" wp14:editId="42EA8AA7">
            <wp:simplePos x="0" y="0"/>
            <wp:positionH relativeFrom="column">
              <wp:posOffset>180340</wp:posOffset>
            </wp:positionH>
            <wp:positionV relativeFrom="line">
              <wp:posOffset>248285</wp:posOffset>
            </wp:positionV>
            <wp:extent cx="410845" cy="523240"/>
            <wp:effectExtent l="0" t="0" r="8255" b="0"/>
            <wp:wrapNone/>
            <wp:docPr id="26" name="Picture 26" descr="Key resources" title="Key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con-01-Key_Message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0845" cy="523240"/>
                    </a:xfrm>
                    <a:prstGeom prst="rect">
                      <a:avLst/>
                    </a:prstGeom>
                  </pic:spPr>
                </pic:pic>
              </a:graphicData>
            </a:graphic>
            <wp14:sizeRelH relativeFrom="margin">
              <wp14:pctWidth>0</wp14:pctWidth>
            </wp14:sizeRelH>
            <wp14:sizeRelV relativeFrom="margin">
              <wp14:pctHeight>0</wp14:pctHeight>
            </wp14:sizeRelV>
          </wp:anchor>
        </w:drawing>
      </w:r>
      <w:r w:rsidRPr="00D44758">
        <w:t>Key resources</w:t>
      </w:r>
    </w:p>
    <w:p w14:paraId="1575CDCB" w14:textId="67663694" w:rsidR="00BC5F46" w:rsidRDefault="00BC5F46" w:rsidP="00BC5F46">
      <w:pPr>
        <w:pStyle w:val="Box2Text"/>
      </w:pPr>
      <w:r>
        <w:tab/>
        <w:t>For assistance or information on private sector engagement</w:t>
      </w:r>
      <w:r w:rsidR="00214116">
        <w:t xml:space="preserve"> the </w:t>
      </w:r>
      <w:hyperlink r:id="rId52" w:history="1">
        <w:r w:rsidR="00214116" w:rsidRPr="00EF740B">
          <w:rPr>
            <w:rStyle w:val="Hyperlink"/>
            <w:color w:val="0070C0"/>
          </w:rPr>
          <w:t>Private Sector E</w:t>
        </w:r>
        <w:r w:rsidR="00214116" w:rsidRPr="00EF740B">
          <w:rPr>
            <w:rStyle w:val="Hyperlink"/>
            <w:color w:val="0070C0"/>
          </w:rPr>
          <w:t>n</w:t>
        </w:r>
        <w:r w:rsidR="00214116" w:rsidRPr="00EF740B">
          <w:rPr>
            <w:rStyle w:val="Hyperlink"/>
            <w:color w:val="0070C0"/>
          </w:rPr>
          <w:t>gagement intranet site</w:t>
        </w:r>
      </w:hyperlink>
      <w:r w:rsidR="00214116">
        <w:t xml:space="preserve"> provides useful resources, case studies and contacts. For specific support and advice, </w:t>
      </w:r>
      <w:r>
        <w:t xml:space="preserve">contact the Private Sector Development Section: </w:t>
      </w:r>
      <w:hyperlink r:id="rId53" w:history="1">
        <w:r w:rsidRPr="00FC41C2">
          <w:rPr>
            <w:rStyle w:val="Hyperlink"/>
            <w:color w:val="0070C0"/>
          </w:rPr>
          <w:t>privatesector@dfat.gov.au</w:t>
        </w:r>
      </w:hyperlink>
      <w:r>
        <w:t xml:space="preserve">. </w:t>
      </w:r>
    </w:p>
    <w:p w14:paraId="636492C0" w14:textId="7C77FE95" w:rsidR="00BC5F46" w:rsidRDefault="00EF740B" w:rsidP="00EF740B">
      <w:pPr>
        <w:pStyle w:val="Box2Text"/>
        <w:tabs>
          <w:tab w:val="left" w:pos="1276"/>
        </w:tabs>
        <w:ind w:left="1276" w:hanging="992"/>
      </w:pPr>
      <w:r>
        <w:rPr>
          <w:rFonts w:ascii="Calibri Light" w:hAnsi="Calibri Light"/>
          <w:lang w:val="en-GB"/>
        </w:rPr>
        <w:tab/>
      </w:r>
      <w:r w:rsidR="00BC5F46" w:rsidRPr="00E63FAA">
        <w:rPr>
          <w:rFonts w:ascii="Calibri Light" w:hAnsi="Calibri Light"/>
          <w:lang w:val="en-GB"/>
        </w:rPr>
        <w:t xml:space="preserve">The Private Sector Engagement Network </w:t>
      </w:r>
      <w:r w:rsidR="00BC5F46">
        <w:rPr>
          <w:rFonts w:ascii="Calibri Light" w:hAnsi="Calibri Light"/>
          <w:lang w:val="en-GB"/>
        </w:rPr>
        <w:t>circulates</w:t>
      </w:r>
      <w:r w:rsidR="00BC5F46" w:rsidRPr="00E63FAA">
        <w:rPr>
          <w:rFonts w:ascii="Calibri Light" w:hAnsi="Calibri Light"/>
          <w:lang w:val="en-GB"/>
        </w:rPr>
        <w:t xml:space="preserve"> information, events and resources supporting private sector engagement. Join the network by emailing </w:t>
      </w:r>
      <w:hyperlink r:id="rId54" w:history="1">
        <w:r w:rsidR="00BC5F46" w:rsidRPr="00FC41C2">
          <w:rPr>
            <w:rStyle w:val="Hyperlink"/>
            <w:color w:val="0070C0"/>
          </w:rPr>
          <w:t>privatesector@dfat.gov.au</w:t>
        </w:r>
      </w:hyperlink>
      <w:r w:rsidR="00BC5F46">
        <w:t xml:space="preserve">. </w:t>
      </w:r>
    </w:p>
    <w:p w14:paraId="245EBDD2" w14:textId="77777777" w:rsidR="00B859AB" w:rsidRDefault="00B859AB" w:rsidP="00BC5F46">
      <w:pPr>
        <w:suppressAutoHyphens w:val="0"/>
        <w:spacing w:before="0" w:after="160" w:line="259" w:lineRule="auto"/>
        <w:rPr>
          <w:rStyle w:val="Hyperlink"/>
          <w:rFonts w:ascii="Calibri Light" w:hAnsi="Calibri Light"/>
          <w:color w:val="808080" w:themeColor="background1" w:themeShade="80"/>
        </w:rPr>
      </w:pPr>
    </w:p>
    <w:p w14:paraId="5300F2E3" w14:textId="77777777" w:rsidR="00951977" w:rsidRDefault="00951977" w:rsidP="00BC5F46">
      <w:pPr>
        <w:pStyle w:val="Heading1"/>
        <w:keepLines w:val="0"/>
        <w:suppressAutoHyphens w:val="0"/>
        <w:spacing w:before="480" w:after="120" w:line="240" w:lineRule="auto"/>
        <w:contextualSpacing w:val="0"/>
        <w:rPr>
          <w:rFonts w:ascii="Calibri Light" w:hAnsi="Calibri Light"/>
          <w:color w:val="808080" w:themeColor="background1" w:themeShade="80"/>
        </w:rPr>
        <w:sectPr w:rsidR="00951977" w:rsidSect="006B4FD3">
          <w:type w:val="continuous"/>
          <w:pgSz w:w="11907" w:h="16840" w:code="9"/>
          <w:pgMar w:top="1701" w:right="709" w:bottom="851" w:left="1440" w:header="851" w:footer="454" w:gutter="0"/>
          <w:cols w:space="720"/>
          <w:docGrid w:linePitch="299"/>
        </w:sectPr>
      </w:pPr>
      <w:bookmarkStart w:id="13" w:name="_Toc26802485"/>
      <w:bookmarkStart w:id="14" w:name="_Toc468889139"/>
      <w:bookmarkEnd w:id="8"/>
      <w:bookmarkEnd w:id="9"/>
      <w:bookmarkEnd w:id="10"/>
      <w:bookmarkEnd w:id="11"/>
      <w:bookmarkEnd w:id="12"/>
    </w:p>
    <w:p w14:paraId="6439D716" w14:textId="1082C527" w:rsidR="00BC5F46" w:rsidRDefault="00D7631D" w:rsidP="00BC5F46">
      <w:pPr>
        <w:pStyle w:val="Heading1"/>
        <w:keepLines w:val="0"/>
        <w:suppressAutoHyphens w:val="0"/>
        <w:spacing w:before="480" w:after="120" w:line="240" w:lineRule="auto"/>
        <w:contextualSpacing w:val="0"/>
        <w:rPr>
          <w:rFonts w:ascii="Calibri Light" w:hAnsi="Calibri Light"/>
          <w:color w:val="808080" w:themeColor="background1" w:themeShade="80"/>
        </w:rPr>
      </w:pPr>
      <w:r>
        <w:rPr>
          <w:rFonts w:ascii="Calibri Light" w:hAnsi="Calibri Light"/>
          <w:color w:val="808080" w:themeColor="background1" w:themeShade="80"/>
        </w:rPr>
        <w:lastRenderedPageBreak/>
        <w:t>Annex 1</w:t>
      </w:r>
      <w:r w:rsidR="00BC5F46">
        <w:rPr>
          <w:rFonts w:ascii="Calibri Light" w:hAnsi="Calibri Light"/>
          <w:color w:val="808080" w:themeColor="background1" w:themeShade="80"/>
        </w:rPr>
        <w:t>: Minimum Concessionality Flowchart</w:t>
      </w:r>
      <w:bookmarkEnd w:id="13"/>
    </w:p>
    <w:p w14:paraId="42A49C92" w14:textId="2018A873" w:rsidR="00B643F2" w:rsidRDefault="00EF740B">
      <w:pPr>
        <w:suppressAutoHyphens w:val="0"/>
        <w:spacing w:before="0" w:after="120" w:line="440" w:lineRule="atLeast"/>
        <w:rPr>
          <w:rFonts w:ascii="Calibri Light" w:eastAsiaTheme="majorEastAsia" w:hAnsi="Calibri Light" w:cstheme="majorBidi"/>
          <w:b/>
          <w:bCs/>
          <w:caps/>
          <w:color w:val="808080" w:themeColor="background1" w:themeShade="80"/>
          <w:sz w:val="38"/>
          <w:szCs w:val="28"/>
        </w:rPr>
      </w:pPr>
      <w:bookmarkStart w:id="15" w:name="_Toc26802486"/>
      <w:r>
        <w:rPr>
          <w:noProof/>
          <w:lang w:val="en-AU" w:eastAsia="en-AU"/>
        </w:rPr>
        <w:drawing>
          <wp:inline distT="0" distB="0" distL="0" distR="0" wp14:anchorId="6C150130" wp14:editId="3BDF0AEF">
            <wp:extent cx="8060329" cy="5337065"/>
            <wp:effectExtent l="9208" t="0" r="7302" b="7303"/>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7983" t="30191" r="62186" b="6601"/>
                    <a:stretch/>
                  </pic:blipFill>
                  <pic:spPr bwMode="auto">
                    <a:xfrm rot="16200000">
                      <a:off x="0" y="0"/>
                      <a:ext cx="8077113" cy="5348178"/>
                    </a:xfrm>
                    <a:prstGeom prst="rect">
                      <a:avLst/>
                    </a:prstGeom>
                    <a:ln>
                      <a:noFill/>
                    </a:ln>
                    <a:extLst>
                      <a:ext uri="{53640926-AAD7-44D8-BBD7-CCE9431645EC}">
                        <a14:shadowObscured xmlns:a14="http://schemas.microsoft.com/office/drawing/2010/main"/>
                      </a:ext>
                    </a:extLst>
                  </pic:spPr>
                </pic:pic>
              </a:graphicData>
            </a:graphic>
          </wp:inline>
        </w:drawing>
      </w:r>
      <w:r>
        <w:rPr>
          <w:noProof/>
          <w:lang w:val="en-AU" w:eastAsia="en-AU"/>
        </w:rPr>
        <w:t xml:space="preserve"> </w:t>
      </w:r>
      <w:r w:rsidR="00B643F2">
        <w:rPr>
          <w:rFonts w:ascii="Calibri Light" w:hAnsi="Calibri Light"/>
          <w:color w:val="808080" w:themeColor="background1" w:themeShade="80"/>
        </w:rPr>
        <w:br w:type="page"/>
      </w:r>
    </w:p>
    <w:p w14:paraId="5624E7F8" w14:textId="77777777" w:rsidR="00EF740B" w:rsidRDefault="00EF740B" w:rsidP="00BC5F46">
      <w:pPr>
        <w:pStyle w:val="Heading1"/>
        <w:keepLines w:val="0"/>
        <w:suppressAutoHyphens w:val="0"/>
        <w:spacing w:before="0" w:after="0" w:line="240" w:lineRule="auto"/>
        <w:contextualSpacing w:val="0"/>
        <w:rPr>
          <w:rFonts w:ascii="Calibri Light" w:hAnsi="Calibri Light"/>
          <w:color w:val="808080" w:themeColor="background1" w:themeShade="80"/>
        </w:rPr>
        <w:sectPr w:rsidR="00EF740B" w:rsidSect="00EF740B">
          <w:pgSz w:w="11907" w:h="16840" w:code="9"/>
          <w:pgMar w:top="1701" w:right="709" w:bottom="851" w:left="1440" w:header="851" w:footer="454" w:gutter="0"/>
          <w:cols w:space="720"/>
          <w:docGrid w:linePitch="299"/>
        </w:sectPr>
      </w:pPr>
    </w:p>
    <w:p w14:paraId="215FF1B5" w14:textId="213700C2" w:rsidR="00BC5F46" w:rsidRPr="00FF4D20" w:rsidRDefault="00BC5F46" w:rsidP="00BC5F46">
      <w:pPr>
        <w:pStyle w:val="Heading1"/>
        <w:keepLines w:val="0"/>
        <w:suppressAutoHyphens w:val="0"/>
        <w:spacing w:before="0" w:after="0" w:line="240" w:lineRule="auto"/>
        <w:contextualSpacing w:val="0"/>
        <w:rPr>
          <w:rFonts w:ascii="Calibri Light" w:hAnsi="Calibri Light"/>
          <w:color w:val="808080" w:themeColor="background1" w:themeShade="80"/>
        </w:rPr>
      </w:pPr>
      <w:r w:rsidRPr="00FF4D20">
        <w:rPr>
          <w:rFonts w:ascii="Calibri Light" w:hAnsi="Calibri Light"/>
          <w:color w:val="808080" w:themeColor="background1" w:themeShade="80"/>
        </w:rPr>
        <w:lastRenderedPageBreak/>
        <w:t xml:space="preserve">Annex </w:t>
      </w:r>
      <w:r w:rsidR="00D7631D">
        <w:rPr>
          <w:rFonts w:ascii="Calibri Light" w:hAnsi="Calibri Light"/>
          <w:color w:val="808080" w:themeColor="background1" w:themeShade="80"/>
        </w:rPr>
        <w:t>2</w:t>
      </w:r>
      <w:r w:rsidRPr="00FF4D20">
        <w:rPr>
          <w:rFonts w:ascii="Calibri Light" w:hAnsi="Calibri Light"/>
          <w:color w:val="808080" w:themeColor="background1" w:themeShade="80"/>
        </w:rPr>
        <w:t xml:space="preserve">: </w:t>
      </w:r>
      <w:r>
        <w:rPr>
          <w:rFonts w:ascii="Calibri Light" w:hAnsi="Calibri Light"/>
          <w:color w:val="808080" w:themeColor="background1" w:themeShade="80"/>
        </w:rPr>
        <w:t>dced DECISION-MAKING FLOWCHART TO DEMONSTRATING ADDITIONALITY</w:t>
      </w:r>
      <w:r>
        <w:rPr>
          <w:rStyle w:val="FootnoteReference"/>
          <w:rFonts w:ascii="Calibri Light" w:hAnsi="Calibri Light"/>
          <w:color w:val="808080" w:themeColor="background1" w:themeShade="80"/>
        </w:rPr>
        <w:footnoteReference w:id="8"/>
      </w:r>
      <w:bookmarkEnd w:id="15"/>
    </w:p>
    <w:p w14:paraId="78C8749B" w14:textId="77777777" w:rsidR="00BC5F46" w:rsidRDefault="00BC5F46" w:rsidP="00EF740B">
      <w:pPr>
        <w:ind w:firstLine="720"/>
        <w:sectPr w:rsidR="00BC5F46" w:rsidSect="00EF740B">
          <w:pgSz w:w="11907" w:h="16840" w:code="9"/>
          <w:pgMar w:top="1701" w:right="709" w:bottom="851" w:left="1440" w:header="851" w:footer="454" w:gutter="0"/>
          <w:cols w:space="720"/>
          <w:docGrid w:linePitch="299"/>
        </w:sectPr>
      </w:pPr>
      <w:r>
        <w:rPr>
          <w:noProof/>
          <w:lang w:val="en-AU" w:eastAsia="en-AU"/>
        </w:rPr>
        <w:drawing>
          <wp:inline distT="0" distB="0" distL="0" distR="0" wp14:anchorId="61418D3B" wp14:editId="4B7711F9">
            <wp:extent cx="7501522" cy="5208531"/>
            <wp:effectExtent l="3493" t="0" r="7937" b="7938"/>
            <wp:docPr id="36" name="Picture 36" descr="Image result for DCED decision-making flow-chart to demonstrating addi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CED decision-making flow-chart to demonstrating additionalit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6200000">
                      <a:off x="0" y="0"/>
                      <a:ext cx="7506399" cy="5211917"/>
                    </a:xfrm>
                    <a:prstGeom prst="rect">
                      <a:avLst/>
                    </a:prstGeom>
                    <a:noFill/>
                    <a:ln>
                      <a:noFill/>
                    </a:ln>
                  </pic:spPr>
                </pic:pic>
              </a:graphicData>
            </a:graphic>
          </wp:inline>
        </w:drawing>
      </w:r>
    </w:p>
    <w:p w14:paraId="3D2E65EE" w14:textId="45693AD7" w:rsidR="00BC5F46" w:rsidRDefault="00BC5F46" w:rsidP="00BC5F46">
      <w:pPr>
        <w:pStyle w:val="Heading1"/>
        <w:keepLines w:val="0"/>
        <w:suppressAutoHyphens w:val="0"/>
        <w:spacing w:before="480" w:after="120" w:line="240" w:lineRule="auto"/>
        <w:contextualSpacing w:val="0"/>
        <w:rPr>
          <w:rFonts w:ascii="Calibri Light" w:hAnsi="Calibri Light"/>
          <w:color w:val="808080" w:themeColor="background1" w:themeShade="80"/>
        </w:rPr>
      </w:pPr>
      <w:bookmarkStart w:id="16" w:name="_Toc26802487"/>
      <w:r w:rsidRPr="00FF4D20">
        <w:rPr>
          <w:rFonts w:ascii="Calibri Light" w:hAnsi="Calibri Light"/>
          <w:color w:val="808080" w:themeColor="background1" w:themeShade="80"/>
        </w:rPr>
        <w:lastRenderedPageBreak/>
        <w:t xml:space="preserve">Annex </w:t>
      </w:r>
      <w:r w:rsidR="00D7631D">
        <w:rPr>
          <w:rFonts w:ascii="Calibri Light" w:hAnsi="Calibri Light"/>
          <w:color w:val="808080" w:themeColor="background1" w:themeShade="80"/>
        </w:rPr>
        <w:t>3</w:t>
      </w:r>
      <w:r>
        <w:rPr>
          <w:rFonts w:ascii="Calibri Light" w:hAnsi="Calibri Light"/>
          <w:color w:val="808080" w:themeColor="background1" w:themeShade="80"/>
        </w:rPr>
        <w:t>: sIX STAGES OF THE PARTNERSHIP CYCLE</w:t>
      </w:r>
      <w:bookmarkEnd w:id="16"/>
    </w:p>
    <w:p w14:paraId="38092C9C" w14:textId="77777777" w:rsidR="00BC5F46" w:rsidRPr="00A9114C" w:rsidRDefault="00BC5F46" w:rsidP="00975D65">
      <w:pPr>
        <w:pStyle w:val="Heading3"/>
        <w:numPr>
          <w:ilvl w:val="0"/>
          <w:numId w:val="33"/>
        </w:numPr>
        <w:spacing w:before="240"/>
      </w:pPr>
      <w:r w:rsidRPr="00A9114C">
        <w:t>Setting the strategic framework</w:t>
      </w:r>
    </w:p>
    <w:p w14:paraId="53012BA5" w14:textId="77777777" w:rsidR="00BC5F46" w:rsidRPr="00A9114C" w:rsidRDefault="00BC5F46" w:rsidP="00BC5F46">
      <w:pPr>
        <w:spacing w:line="240" w:lineRule="auto"/>
        <w:rPr>
          <w:rFonts w:cstheme="minorHAnsi"/>
        </w:rPr>
      </w:pPr>
      <w:r w:rsidRPr="00A9114C">
        <w:rPr>
          <w:rFonts w:cstheme="minorHAnsi"/>
        </w:rPr>
        <w:t xml:space="preserve">Identifying private sector partnership opportunities requires a strategic approach, beginning with a clear understanding of Australia’s </w:t>
      </w:r>
      <w:r>
        <w:rPr>
          <w:rFonts w:cstheme="minorHAnsi"/>
        </w:rPr>
        <w:t>development assistance</w:t>
      </w:r>
      <w:r w:rsidRPr="00A9114C">
        <w:rPr>
          <w:rFonts w:cstheme="minorHAnsi"/>
        </w:rPr>
        <w:t xml:space="preserve"> program objectives and assessment of how private sector partners can contribute to meeting identified objectives. Private sector engagement should complement existing and planned </w:t>
      </w:r>
      <w:r w:rsidR="00E348BA">
        <w:rPr>
          <w:rFonts w:cstheme="minorHAnsi"/>
        </w:rPr>
        <w:t xml:space="preserve">aid </w:t>
      </w:r>
      <w:r w:rsidRPr="00A9114C">
        <w:rPr>
          <w:rFonts w:cstheme="minorHAnsi"/>
        </w:rPr>
        <w:t>investments.</w:t>
      </w:r>
    </w:p>
    <w:p w14:paraId="6EF44403" w14:textId="7D20ACF2" w:rsidR="00BC5F46" w:rsidRDefault="00BC5F46" w:rsidP="00BC5F46">
      <w:pPr>
        <w:spacing w:line="240" w:lineRule="auto"/>
        <w:rPr>
          <w:rFonts w:cstheme="minorHAnsi"/>
        </w:rPr>
      </w:pPr>
      <w:r w:rsidRPr="00A9114C">
        <w:rPr>
          <w:rFonts w:cstheme="minorHAnsi"/>
        </w:rPr>
        <w:t>In developing strategic documents</w:t>
      </w:r>
      <w:r w:rsidR="00E348BA">
        <w:rPr>
          <w:rFonts w:cstheme="minorHAnsi"/>
        </w:rPr>
        <w:t>, such as Aid Investment Plans</w:t>
      </w:r>
      <w:r w:rsidRPr="00A9114C">
        <w:rPr>
          <w:rFonts w:cstheme="minorHAnsi"/>
        </w:rPr>
        <w:t xml:space="preserve">, </w:t>
      </w:r>
      <w:r w:rsidR="00E348BA">
        <w:rPr>
          <w:rFonts w:cstheme="minorHAnsi"/>
        </w:rPr>
        <w:t>identifying key objectives and sectors where the private sector could add value enables</w:t>
      </w:r>
      <w:r w:rsidRPr="00A9114C">
        <w:rPr>
          <w:rFonts w:cstheme="minorHAnsi"/>
        </w:rPr>
        <w:t xml:space="preserve"> potential roles for the private sector </w:t>
      </w:r>
      <w:r w:rsidR="00E348BA">
        <w:rPr>
          <w:rFonts w:cstheme="minorHAnsi"/>
        </w:rPr>
        <w:t>to be</w:t>
      </w:r>
      <w:r w:rsidR="00E348BA" w:rsidRPr="00A9114C">
        <w:rPr>
          <w:rFonts w:cstheme="minorHAnsi"/>
        </w:rPr>
        <w:t xml:space="preserve"> </w:t>
      </w:r>
      <w:r w:rsidRPr="00A9114C">
        <w:rPr>
          <w:rFonts w:cstheme="minorHAnsi"/>
        </w:rPr>
        <w:t xml:space="preserve">identified: consulting with key private sector entities that align with Australian </w:t>
      </w:r>
      <w:r>
        <w:rPr>
          <w:rFonts w:cstheme="minorHAnsi"/>
        </w:rPr>
        <w:t>development assistance</w:t>
      </w:r>
      <w:r w:rsidRPr="00A9114C">
        <w:rPr>
          <w:rFonts w:cstheme="minorHAnsi"/>
        </w:rPr>
        <w:t xml:space="preserve"> priorities at an early stage enables DFAT to gain valuable market information. </w:t>
      </w:r>
      <w:r w:rsidR="00E348BA">
        <w:rPr>
          <w:rFonts w:cstheme="minorHAnsi"/>
        </w:rPr>
        <w:t>It</w:t>
      </w:r>
      <w:r w:rsidRPr="00A9114C">
        <w:rPr>
          <w:rFonts w:cstheme="minorHAnsi"/>
        </w:rPr>
        <w:t xml:space="preserve"> is </w:t>
      </w:r>
      <w:r w:rsidR="00E348BA">
        <w:rPr>
          <w:rFonts w:cstheme="minorHAnsi"/>
        </w:rPr>
        <w:t xml:space="preserve">also </w:t>
      </w:r>
      <w:r w:rsidRPr="00A9114C">
        <w:rPr>
          <w:rFonts w:cstheme="minorHAnsi"/>
        </w:rPr>
        <w:t>the starting point for relationship building and seeds the potential for future engagement</w:t>
      </w:r>
      <w:r w:rsidR="00E348BA">
        <w:rPr>
          <w:rFonts w:cstheme="minorHAnsi"/>
        </w:rPr>
        <w:t>, collaboration and partnership</w:t>
      </w:r>
      <w:r w:rsidRPr="00A9114C">
        <w:rPr>
          <w:rFonts w:cstheme="minorHAnsi"/>
        </w:rPr>
        <w:t xml:space="preserve">. </w:t>
      </w:r>
      <w:r w:rsidRPr="00FC41C2">
        <w:rPr>
          <w:rFonts w:cstheme="minorHAnsi"/>
        </w:rPr>
        <w:t>Figure 1</w:t>
      </w:r>
      <w:r w:rsidRPr="00212DCF">
        <w:rPr>
          <w:rFonts w:cstheme="minorHAnsi"/>
          <w:i/>
        </w:rPr>
        <w:t xml:space="preserve"> </w:t>
      </w:r>
      <w:r w:rsidRPr="00A9114C">
        <w:rPr>
          <w:rFonts w:cstheme="minorHAnsi"/>
        </w:rPr>
        <w:t>outlines the stages and activities in the partnership cycle.</w:t>
      </w:r>
    </w:p>
    <w:p w14:paraId="2BE21696" w14:textId="77777777" w:rsidR="00BC5F46" w:rsidRDefault="00BC5F46" w:rsidP="00BC5F46">
      <w:pPr>
        <w:spacing w:line="240" w:lineRule="auto"/>
        <w:rPr>
          <w:rFonts w:cstheme="minorHAnsi"/>
        </w:rPr>
      </w:pPr>
    </w:p>
    <w:p w14:paraId="1B8936C3" w14:textId="77777777" w:rsidR="00BC5F46" w:rsidRPr="00A9114C" w:rsidRDefault="00BC5F46" w:rsidP="00BC5F46">
      <w:pPr>
        <w:spacing w:line="240" w:lineRule="auto"/>
        <w:jc w:val="center"/>
        <w:rPr>
          <w:rFonts w:cstheme="minorHAnsi"/>
          <w:i/>
        </w:rPr>
      </w:pPr>
      <w:r w:rsidRPr="00A9114C">
        <w:rPr>
          <w:rFonts w:cstheme="minorHAnsi"/>
          <w:i/>
        </w:rPr>
        <w:t>Figure 1: Partnership Framework</w:t>
      </w:r>
      <w:r>
        <w:rPr>
          <w:rStyle w:val="FootnoteReference"/>
          <w:rFonts w:cstheme="minorHAnsi"/>
          <w:i/>
        </w:rPr>
        <w:footnoteReference w:id="9"/>
      </w:r>
    </w:p>
    <w:p w14:paraId="7A068824" w14:textId="77777777" w:rsidR="00BC5F46" w:rsidRPr="00715B3F" w:rsidRDefault="00BC5F46" w:rsidP="00BC5F46">
      <w:pPr>
        <w:jc w:val="center"/>
      </w:pPr>
      <w:r>
        <w:rPr>
          <w:rFonts w:asciiTheme="majorHAnsi" w:hAnsiTheme="majorHAnsi"/>
          <w:noProof/>
          <w:color w:val="auto"/>
          <w:lang w:val="en-AU" w:eastAsia="en-AU"/>
        </w:rPr>
        <w:drawing>
          <wp:inline distT="0" distB="0" distL="0" distR="0" wp14:anchorId="1F172DDF" wp14:editId="5747831A">
            <wp:extent cx="4905375" cy="3714750"/>
            <wp:effectExtent l="0" t="0" r="9525" b="0"/>
            <wp:docPr id="1" name="Picture 1" descr="Macintosh HD:Users:juliemundy:Desktop:PBA cycle2: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iemundy:Desktop:PBA cycle2:Slide1.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5272" t="4719" r="4219" b="7640"/>
                    <a:stretch/>
                  </pic:blipFill>
                  <pic:spPr bwMode="auto">
                    <a:xfrm>
                      <a:off x="0" y="0"/>
                      <a:ext cx="4913244" cy="372070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A1BAD9" w14:textId="77777777" w:rsidR="00BC5F46" w:rsidRPr="00A9114C" w:rsidRDefault="00BC5F46" w:rsidP="00BC5F46">
      <w:pPr>
        <w:spacing w:line="240" w:lineRule="auto"/>
        <w:rPr>
          <w:rFonts w:cstheme="minorHAnsi"/>
        </w:rPr>
      </w:pPr>
    </w:p>
    <w:p w14:paraId="4289F4B8" w14:textId="77777777" w:rsidR="00BC5F46" w:rsidRPr="00A9114C" w:rsidRDefault="00BC5F46" w:rsidP="00975D65">
      <w:pPr>
        <w:pStyle w:val="Heading3"/>
        <w:numPr>
          <w:ilvl w:val="0"/>
          <w:numId w:val="33"/>
        </w:numPr>
        <w:spacing w:before="240"/>
      </w:pPr>
      <w:r w:rsidRPr="00A9114C">
        <w:t>Identifying and scoping partnerships</w:t>
      </w:r>
    </w:p>
    <w:p w14:paraId="417E012C" w14:textId="32813BD1" w:rsidR="00BC5F46" w:rsidRPr="00A9114C" w:rsidRDefault="00BC5F46" w:rsidP="00BC5F46">
      <w:pPr>
        <w:spacing w:line="240" w:lineRule="auto"/>
        <w:rPr>
          <w:rFonts w:cstheme="minorHAnsi"/>
        </w:rPr>
      </w:pPr>
      <w:r w:rsidRPr="00A9114C">
        <w:rPr>
          <w:rFonts w:cstheme="minorHAnsi"/>
        </w:rPr>
        <w:t>Identifying</w:t>
      </w:r>
      <w:r>
        <w:rPr>
          <w:rFonts w:cstheme="minorHAnsi"/>
        </w:rPr>
        <w:t xml:space="preserve"> collaboration</w:t>
      </w:r>
      <w:r w:rsidRPr="00A9114C">
        <w:rPr>
          <w:rFonts w:cstheme="minorHAnsi"/>
        </w:rPr>
        <w:t xml:space="preserve"> and </w:t>
      </w:r>
      <w:r>
        <w:rPr>
          <w:rFonts w:cstheme="minorHAnsi"/>
        </w:rPr>
        <w:t>financial</w:t>
      </w:r>
      <w:r w:rsidRPr="00A9114C">
        <w:rPr>
          <w:rFonts w:cstheme="minorHAnsi"/>
        </w:rPr>
        <w:t xml:space="preserve"> partnership opportunities is an iterative process. Just as it is part of DFAT’s core business to maintain strategic relationships with governments and civil society organisations, regular, deliberate and ongoing engagement with private sector entities allows the </w:t>
      </w:r>
      <w:r w:rsidRPr="00A9114C">
        <w:rPr>
          <w:rFonts w:cstheme="minorHAnsi"/>
        </w:rPr>
        <w:lastRenderedPageBreak/>
        <w:t xml:space="preserve">Department to capitalise on opportunities and partners relevant to our </w:t>
      </w:r>
      <w:r>
        <w:rPr>
          <w:rFonts w:cstheme="minorHAnsi"/>
        </w:rPr>
        <w:t>development assistance</w:t>
      </w:r>
      <w:r w:rsidRPr="00A9114C">
        <w:rPr>
          <w:rFonts w:cstheme="minorHAnsi"/>
        </w:rPr>
        <w:t xml:space="preserve"> program priorities.</w:t>
      </w:r>
    </w:p>
    <w:p w14:paraId="19FFD605" w14:textId="77777777" w:rsidR="00BC5F46" w:rsidRPr="00A9114C" w:rsidRDefault="00BC5F46" w:rsidP="00BC5F46">
      <w:pPr>
        <w:spacing w:line="240" w:lineRule="auto"/>
        <w:rPr>
          <w:rFonts w:cstheme="minorHAnsi"/>
        </w:rPr>
      </w:pPr>
      <w:r w:rsidRPr="00A9114C">
        <w:rPr>
          <w:rFonts w:cstheme="minorHAnsi"/>
        </w:rPr>
        <w:t xml:space="preserve">The aid programming cycle guides the development of explicit objectives, to which the private sector can contribute and specific opportunities for </w:t>
      </w:r>
      <w:r>
        <w:rPr>
          <w:rFonts w:cstheme="minorHAnsi"/>
        </w:rPr>
        <w:t xml:space="preserve">working with the </w:t>
      </w:r>
      <w:r w:rsidRPr="00A9114C">
        <w:rPr>
          <w:rFonts w:cstheme="minorHAnsi"/>
        </w:rPr>
        <w:t>private sector are identified. The identification of partners is</w:t>
      </w:r>
      <w:r w:rsidRPr="00A9114C">
        <w:rPr>
          <w:rFonts w:cstheme="minorHAnsi"/>
          <w:spacing w:val="-2"/>
        </w:rPr>
        <w:t xml:space="preserve"> informed by understanding and articulating the problem to be addressed, including root causes and symptoms. This is particularly important in complex political environments where DFAT pursues development, trade and foreign policy objectives.</w:t>
      </w:r>
      <w:r w:rsidRPr="00A9114C">
        <w:rPr>
          <w:rStyle w:val="FootnoteReference"/>
          <w:rFonts w:cstheme="minorHAnsi"/>
          <w:spacing w:val="-2"/>
        </w:rPr>
        <w:footnoteReference w:id="10"/>
      </w:r>
    </w:p>
    <w:p w14:paraId="06C239EA" w14:textId="77777777" w:rsidR="00BC5F46" w:rsidRPr="00A9114C" w:rsidRDefault="00BC5F46" w:rsidP="00BC5F46">
      <w:pPr>
        <w:spacing w:line="240" w:lineRule="auto"/>
        <w:rPr>
          <w:rFonts w:cstheme="minorHAnsi"/>
        </w:rPr>
      </w:pPr>
      <w:r w:rsidRPr="00A9114C">
        <w:rPr>
          <w:rFonts w:cstheme="minorHAnsi"/>
        </w:rPr>
        <w:t xml:space="preserve">A stakeholder analysis maps major stakeholders, including the private sector, and their potential role in supporting the realisation of strategic objectives. Good mapping helps build the contextual perspective that underpins strong private sector engagement, including understanding the expertise and influence of business actors, their role in the context within which they operate, the incentives that drive them, and their constraints. Consultations with private sector stakeholders during this phase also </w:t>
      </w:r>
      <w:r>
        <w:rPr>
          <w:rFonts w:cstheme="minorHAnsi"/>
        </w:rPr>
        <w:t>allows partners to</w:t>
      </w:r>
      <w:r w:rsidRPr="00A9114C">
        <w:rPr>
          <w:rFonts w:cstheme="minorHAnsi"/>
        </w:rPr>
        <w:t xml:space="preserve"> scope out potential opportunities and build relationships. </w:t>
      </w:r>
    </w:p>
    <w:p w14:paraId="64346D0B" w14:textId="77777777" w:rsidR="00BC5F46" w:rsidRPr="00A9114C" w:rsidRDefault="00BC5F46" w:rsidP="00BC5F46">
      <w:pPr>
        <w:spacing w:line="240" w:lineRule="auto"/>
        <w:rPr>
          <w:rFonts w:cstheme="minorHAnsi"/>
        </w:rPr>
      </w:pPr>
      <w:r w:rsidRPr="00A9114C">
        <w:rPr>
          <w:rFonts w:cstheme="minorHAnsi"/>
        </w:rPr>
        <w:t>Identification of a private sector partner can occur in two ways – where DFAT approaches businesses or a business seeks out DFAT.</w:t>
      </w:r>
    </w:p>
    <w:p w14:paraId="4A483130" w14:textId="77777777" w:rsidR="00BC5F46" w:rsidRPr="00A9114C" w:rsidRDefault="00BC5F46" w:rsidP="00975D65">
      <w:pPr>
        <w:pStyle w:val="Heading3"/>
        <w:numPr>
          <w:ilvl w:val="0"/>
          <w:numId w:val="33"/>
        </w:numPr>
        <w:spacing w:before="240"/>
      </w:pPr>
      <w:r w:rsidRPr="00A9114C">
        <w:t>Building partnerships</w:t>
      </w:r>
    </w:p>
    <w:p w14:paraId="4E93D162" w14:textId="77777777" w:rsidR="00BC5F46" w:rsidRPr="00A9114C" w:rsidRDefault="00BC5F46" w:rsidP="00BC5F46">
      <w:pPr>
        <w:spacing w:line="240" w:lineRule="auto"/>
        <w:rPr>
          <w:rFonts w:cstheme="minorHAnsi"/>
        </w:rPr>
      </w:pPr>
      <w:r w:rsidRPr="00A9114C">
        <w:rPr>
          <w:rFonts w:cstheme="minorHAnsi"/>
        </w:rPr>
        <w:t>When a potential private sector partner is identified, the responsible DFAT officers will conduct an in-depth partnership suitability assessment prior to proceeding to consider a formal partnership. Partnerships can be multi-stakeholder, involving civil society organisations, NGOs and academia if deemed valuable to achieving strategic development objectives. Each partner brings strengths to achieve shared objectives that deliver both sustainable development and commercial outcomes.</w:t>
      </w:r>
    </w:p>
    <w:p w14:paraId="17D4795E" w14:textId="77777777" w:rsidR="00BC5F46" w:rsidRPr="00A9114C" w:rsidRDefault="00BC5F46" w:rsidP="00BC5F46">
      <w:pPr>
        <w:spacing w:line="240" w:lineRule="auto"/>
        <w:rPr>
          <w:rFonts w:cstheme="minorHAnsi"/>
        </w:rPr>
      </w:pPr>
      <w:r w:rsidRPr="00A9114C">
        <w:rPr>
          <w:rFonts w:cstheme="minorHAnsi"/>
        </w:rPr>
        <w:t>Assessments examine whether the partnership is viable by considering:</w:t>
      </w:r>
    </w:p>
    <w:p w14:paraId="4D40B9AE" w14:textId="77777777" w:rsidR="00BC5F46" w:rsidRPr="00A9114C" w:rsidRDefault="00BC5F46" w:rsidP="00975D65">
      <w:pPr>
        <w:pStyle w:val="ListParagraph"/>
        <w:numPr>
          <w:ilvl w:val="0"/>
          <w:numId w:val="29"/>
        </w:numPr>
        <w:suppressAutoHyphens w:val="0"/>
        <w:spacing w:before="0" w:after="0" w:line="240" w:lineRule="auto"/>
        <w:rPr>
          <w:rFonts w:cstheme="minorHAnsi"/>
        </w:rPr>
      </w:pPr>
      <w:r w:rsidRPr="00A9114C">
        <w:rPr>
          <w:rFonts w:cstheme="minorHAnsi"/>
        </w:rPr>
        <w:t>the partnership’s potential to achieve targeted outcomes</w:t>
      </w:r>
    </w:p>
    <w:p w14:paraId="47201A55" w14:textId="77777777" w:rsidR="00BC5F46" w:rsidRPr="00A9114C" w:rsidRDefault="00BC5F46" w:rsidP="00975D65">
      <w:pPr>
        <w:pStyle w:val="ListParagraph"/>
        <w:numPr>
          <w:ilvl w:val="0"/>
          <w:numId w:val="30"/>
        </w:numPr>
        <w:suppressAutoHyphens w:val="0"/>
        <w:spacing w:before="0" w:after="0" w:line="240" w:lineRule="auto"/>
        <w:rPr>
          <w:rFonts w:cstheme="minorHAnsi"/>
        </w:rPr>
      </w:pPr>
      <w:r w:rsidRPr="00A9114C">
        <w:rPr>
          <w:rFonts w:cstheme="minorHAnsi"/>
        </w:rPr>
        <w:t>whether partners have complementary priorities and values</w:t>
      </w:r>
    </w:p>
    <w:p w14:paraId="359F0BB7" w14:textId="77777777" w:rsidR="00BC5F46" w:rsidRPr="00A9114C" w:rsidRDefault="00BC5F46" w:rsidP="00975D65">
      <w:pPr>
        <w:pStyle w:val="ListParagraph"/>
        <w:numPr>
          <w:ilvl w:val="0"/>
          <w:numId w:val="30"/>
        </w:numPr>
        <w:suppressAutoHyphens w:val="0"/>
        <w:spacing w:before="0" w:after="160" w:line="240" w:lineRule="auto"/>
        <w:rPr>
          <w:rFonts w:cstheme="minorHAnsi"/>
        </w:rPr>
      </w:pPr>
      <w:proofErr w:type="gramStart"/>
      <w:r w:rsidRPr="00A9114C">
        <w:rPr>
          <w:rFonts w:cstheme="minorHAnsi"/>
        </w:rPr>
        <w:t>partner</w:t>
      </w:r>
      <w:proofErr w:type="gramEnd"/>
      <w:r w:rsidRPr="00A9114C">
        <w:rPr>
          <w:rFonts w:cstheme="minorHAnsi"/>
        </w:rPr>
        <w:t xml:space="preserve"> appropriateness through due diligence and assessing commitment to transparency and responsible business (see section on Risk</w:t>
      </w:r>
      <w:r>
        <w:rPr>
          <w:rFonts w:cstheme="minorHAnsi"/>
        </w:rPr>
        <w:t>, pg. 13</w:t>
      </w:r>
      <w:r w:rsidRPr="00A9114C">
        <w:rPr>
          <w:rFonts w:cstheme="minorHAnsi"/>
        </w:rPr>
        <w:t>)</w:t>
      </w:r>
      <w:r>
        <w:rPr>
          <w:rFonts w:cstheme="minorHAnsi"/>
        </w:rPr>
        <w:t>.</w:t>
      </w:r>
    </w:p>
    <w:p w14:paraId="31914758" w14:textId="59124769" w:rsidR="00BC5F46" w:rsidRPr="00A9114C" w:rsidRDefault="00BC5F46" w:rsidP="00BC5F46">
      <w:pPr>
        <w:spacing w:line="240" w:lineRule="auto"/>
        <w:rPr>
          <w:rFonts w:cstheme="minorHAnsi"/>
        </w:rPr>
      </w:pPr>
      <w:r w:rsidRPr="00A9114C">
        <w:rPr>
          <w:rFonts w:cstheme="minorHAnsi"/>
        </w:rPr>
        <w:t xml:space="preserve">Partners then agree on </w:t>
      </w:r>
      <w:r>
        <w:rPr>
          <w:rFonts w:cstheme="minorHAnsi"/>
        </w:rPr>
        <w:t xml:space="preserve">the engagement approach, </w:t>
      </w:r>
      <w:r w:rsidRPr="00A9114C">
        <w:rPr>
          <w:rFonts w:cstheme="minorHAnsi"/>
        </w:rPr>
        <w:t>whether collaboration</w:t>
      </w:r>
      <w:r w:rsidR="00E348BA">
        <w:rPr>
          <w:rFonts w:cstheme="minorHAnsi"/>
        </w:rPr>
        <w:t xml:space="preserve"> or partnership</w:t>
      </w:r>
      <w:r w:rsidRPr="00A9114C">
        <w:rPr>
          <w:rFonts w:cstheme="minorHAnsi"/>
        </w:rPr>
        <w:t>. This will determine the par</w:t>
      </w:r>
      <w:r>
        <w:rPr>
          <w:rFonts w:cstheme="minorHAnsi"/>
        </w:rPr>
        <w:t>tnership governance structures</w:t>
      </w:r>
      <w:r w:rsidRPr="00A9114C">
        <w:rPr>
          <w:rFonts w:cstheme="minorHAnsi"/>
        </w:rPr>
        <w:t xml:space="preserve">. </w:t>
      </w:r>
      <w:r w:rsidRPr="00944E13">
        <w:t>For example, a</w:t>
      </w:r>
      <w:r w:rsidR="006E1767">
        <w:t xml:space="preserve"> collaboration</w:t>
      </w:r>
      <w:r w:rsidR="00E01D75">
        <w:t xml:space="preserve"> </w:t>
      </w:r>
      <w:r w:rsidRPr="00944E13">
        <w:t xml:space="preserve">partnership does not require a formal partnership governance structure; rather it is built on </w:t>
      </w:r>
      <w:r>
        <w:t>joint and individual</w:t>
      </w:r>
      <w:r w:rsidRPr="00944E13">
        <w:t xml:space="preserve"> priorities and a commitment to an open and transparent relationship.</w:t>
      </w:r>
      <w:r w:rsidRPr="00A9114C">
        <w:rPr>
          <w:rFonts w:cstheme="minorHAnsi"/>
        </w:rPr>
        <w:t xml:space="preserve"> Alternatively, a </w:t>
      </w:r>
      <w:r>
        <w:rPr>
          <w:rFonts w:cstheme="minorHAnsi"/>
        </w:rPr>
        <w:t>financial</w:t>
      </w:r>
      <w:r w:rsidRPr="00A9114C">
        <w:rPr>
          <w:rFonts w:cstheme="minorHAnsi"/>
        </w:rPr>
        <w:t xml:space="preserve"> partnership has a formal documented governance structure with regular engagement points over the life of the investment. </w:t>
      </w:r>
      <w:r>
        <w:rPr>
          <w:rFonts w:cstheme="minorHAnsi"/>
        </w:rPr>
        <w:t xml:space="preserve">Collaboration partnerships may require formal documentation if the collaboration is </w:t>
      </w:r>
      <w:r w:rsidR="006E1767">
        <w:rPr>
          <w:rFonts w:cstheme="minorHAnsi"/>
        </w:rPr>
        <w:t xml:space="preserve">high-level, </w:t>
      </w:r>
      <w:r>
        <w:rPr>
          <w:rFonts w:cstheme="minorHAnsi"/>
        </w:rPr>
        <w:t>extensive</w:t>
      </w:r>
      <w:r w:rsidR="006E1767">
        <w:rPr>
          <w:rFonts w:cstheme="minorHAnsi"/>
        </w:rPr>
        <w:t xml:space="preserve"> or</w:t>
      </w:r>
      <w:r>
        <w:rPr>
          <w:rFonts w:cstheme="minorHAnsi"/>
        </w:rPr>
        <w:t xml:space="preserve"> will occur over a considerable period</w:t>
      </w:r>
      <w:r w:rsidR="006E1767" w:rsidRPr="006E1767">
        <w:rPr>
          <w:rFonts w:cstheme="minorHAnsi"/>
        </w:rPr>
        <w:t xml:space="preserve"> </w:t>
      </w:r>
      <w:r w:rsidR="006E1767">
        <w:rPr>
          <w:rFonts w:cstheme="minorHAnsi"/>
        </w:rPr>
        <w:t>(for example a strategic partnership through a Memorandum of Understanding)</w:t>
      </w:r>
      <w:r>
        <w:rPr>
          <w:rFonts w:cstheme="minorHAnsi"/>
        </w:rPr>
        <w:t>.</w:t>
      </w:r>
    </w:p>
    <w:p w14:paraId="2D6AC8F8" w14:textId="77777777" w:rsidR="00BC5F46" w:rsidRPr="00A9114C" w:rsidRDefault="00BC5F46" w:rsidP="00BC5F46">
      <w:pPr>
        <w:spacing w:line="240" w:lineRule="auto"/>
        <w:rPr>
          <w:rFonts w:cstheme="minorHAnsi"/>
        </w:rPr>
      </w:pPr>
      <w:r>
        <w:rPr>
          <w:rFonts w:cstheme="minorHAnsi"/>
        </w:rPr>
        <w:t>For extensive collaboration or financial partnerships, a</w:t>
      </w:r>
      <w:r w:rsidRPr="00A9114C">
        <w:rPr>
          <w:rFonts w:cstheme="minorHAnsi"/>
        </w:rPr>
        <w:t xml:space="preserve"> joint meeting of all partners at the outset to discuss the following issues provide clarity, cements the partnership and underpins ongoing </w:t>
      </w:r>
      <w:r>
        <w:rPr>
          <w:rFonts w:cstheme="minorHAnsi"/>
        </w:rPr>
        <w:t xml:space="preserve">relationship </w:t>
      </w:r>
      <w:r w:rsidRPr="00A9114C">
        <w:rPr>
          <w:rFonts w:cstheme="minorHAnsi"/>
        </w:rPr>
        <w:t>maintenance and evaluation:</w:t>
      </w:r>
    </w:p>
    <w:p w14:paraId="74ACAF4D" w14:textId="77777777" w:rsidR="00BC5F46" w:rsidRPr="00A9114C" w:rsidRDefault="00BC5F46" w:rsidP="00975D65">
      <w:pPr>
        <w:pStyle w:val="ListParagraph"/>
        <w:numPr>
          <w:ilvl w:val="0"/>
          <w:numId w:val="31"/>
        </w:numPr>
        <w:suppressAutoHyphens w:val="0"/>
        <w:spacing w:before="0" w:after="0" w:line="240" w:lineRule="auto"/>
        <w:rPr>
          <w:rFonts w:cstheme="minorHAnsi"/>
        </w:rPr>
      </w:pPr>
      <w:r w:rsidRPr="00A9114C">
        <w:rPr>
          <w:rFonts w:cstheme="minorHAnsi"/>
        </w:rPr>
        <w:t>objectives (joint and individual)</w:t>
      </w:r>
    </w:p>
    <w:p w14:paraId="1FCE1BAE" w14:textId="77777777" w:rsidR="00BC5F46" w:rsidRPr="00A9114C" w:rsidRDefault="00BC5F46" w:rsidP="00975D65">
      <w:pPr>
        <w:pStyle w:val="ListParagraph"/>
        <w:numPr>
          <w:ilvl w:val="0"/>
          <w:numId w:val="31"/>
        </w:numPr>
        <w:suppressAutoHyphens w:val="0"/>
        <w:spacing w:before="0" w:after="0" w:line="240" w:lineRule="auto"/>
        <w:rPr>
          <w:rFonts w:cstheme="minorHAnsi"/>
        </w:rPr>
      </w:pPr>
      <w:r w:rsidRPr="00A9114C">
        <w:rPr>
          <w:rFonts w:cstheme="minorHAnsi"/>
        </w:rPr>
        <w:t xml:space="preserve">guiding values and principles </w:t>
      </w:r>
    </w:p>
    <w:p w14:paraId="41089BAE" w14:textId="77777777" w:rsidR="00BC5F46" w:rsidRPr="00A9114C" w:rsidRDefault="00BC5F46" w:rsidP="00975D65">
      <w:pPr>
        <w:pStyle w:val="ListParagraph"/>
        <w:numPr>
          <w:ilvl w:val="0"/>
          <w:numId w:val="31"/>
        </w:numPr>
        <w:suppressAutoHyphens w:val="0"/>
        <w:spacing w:before="0" w:after="0" w:line="240" w:lineRule="auto"/>
        <w:rPr>
          <w:rFonts w:cstheme="minorHAnsi"/>
        </w:rPr>
      </w:pPr>
      <w:r w:rsidRPr="00A9114C">
        <w:rPr>
          <w:rFonts w:cstheme="minorHAnsi"/>
        </w:rPr>
        <w:t xml:space="preserve">respective contributions (joint and individual) </w:t>
      </w:r>
    </w:p>
    <w:p w14:paraId="02494844" w14:textId="77777777" w:rsidR="00BC5F46" w:rsidRPr="00A9114C" w:rsidRDefault="00BC5F46" w:rsidP="00975D65">
      <w:pPr>
        <w:pStyle w:val="ListParagraph"/>
        <w:numPr>
          <w:ilvl w:val="0"/>
          <w:numId w:val="31"/>
        </w:numPr>
        <w:suppressAutoHyphens w:val="0"/>
        <w:spacing w:before="0" w:after="0" w:line="240" w:lineRule="auto"/>
        <w:rPr>
          <w:rFonts w:cstheme="minorHAnsi"/>
        </w:rPr>
      </w:pPr>
      <w:r w:rsidRPr="00A9114C">
        <w:rPr>
          <w:rFonts w:cstheme="minorHAnsi"/>
        </w:rPr>
        <w:t>responsibilities and points of contact</w:t>
      </w:r>
    </w:p>
    <w:p w14:paraId="50661B50" w14:textId="77777777" w:rsidR="00BC5F46" w:rsidRPr="00A9114C" w:rsidRDefault="00BC5F46" w:rsidP="00975D65">
      <w:pPr>
        <w:pStyle w:val="ListParagraph"/>
        <w:numPr>
          <w:ilvl w:val="0"/>
          <w:numId w:val="31"/>
        </w:numPr>
        <w:suppressAutoHyphens w:val="0"/>
        <w:spacing w:before="0" w:after="0" w:line="240" w:lineRule="auto"/>
        <w:rPr>
          <w:rFonts w:cstheme="minorHAnsi"/>
        </w:rPr>
      </w:pPr>
      <w:r w:rsidRPr="00A9114C">
        <w:rPr>
          <w:rFonts w:cstheme="minorHAnsi"/>
        </w:rPr>
        <w:t>governance arrangements</w:t>
      </w:r>
    </w:p>
    <w:p w14:paraId="7832B842" w14:textId="77777777" w:rsidR="00BC5F46" w:rsidRPr="00A9114C" w:rsidRDefault="00BC5F46" w:rsidP="00975D65">
      <w:pPr>
        <w:pStyle w:val="ListParagraph"/>
        <w:numPr>
          <w:ilvl w:val="0"/>
          <w:numId w:val="31"/>
        </w:numPr>
        <w:suppressAutoHyphens w:val="0"/>
        <w:spacing w:before="0" w:after="0" w:line="240" w:lineRule="auto"/>
        <w:rPr>
          <w:rFonts w:cstheme="minorHAnsi"/>
        </w:rPr>
      </w:pPr>
      <w:r w:rsidRPr="00A9114C">
        <w:rPr>
          <w:rFonts w:cstheme="minorHAnsi"/>
        </w:rPr>
        <w:t>risks and risk management</w:t>
      </w:r>
    </w:p>
    <w:p w14:paraId="4CD3B7E8" w14:textId="77777777" w:rsidR="00BC5F46" w:rsidRPr="00A9114C" w:rsidRDefault="00BC5F46" w:rsidP="00975D65">
      <w:pPr>
        <w:pStyle w:val="ListParagraph"/>
        <w:numPr>
          <w:ilvl w:val="0"/>
          <w:numId w:val="31"/>
        </w:numPr>
        <w:suppressAutoHyphens w:val="0"/>
        <w:spacing w:before="0" w:after="0" w:line="240" w:lineRule="auto"/>
        <w:rPr>
          <w:rFonts w:cstheme="minorHAnsi"/>
        </w:rPr>
      </w:pPr>
      <w:r w:rsidRPr="00A9114C">
        <w:rPr>
          <w:rFonts w:cstheme="minorHAnsi"/>
        </w:rPr>
        <w:t>communication protocols</w:t>
      </w:r>
    </w:p>
    <w:p w14:paraId="714329E7" w14:textId="77777777" w:rsidR="00BC5F46" w:rsidRPr="00A9114C" w:rsidRDefault="00BC5F46" w:rsidP="00975D65">
      <w:pPr>
        <w:pStyle w:val="ListParagraph"/>
        <w:numPr>
          <w:ilvl w:val="0"/>
          <w:numId w:val="31"/>
        </w:numPr>
        <w:suppressAutoHyphens w:val="0"/>
        <w:spacing w:before="0" w:after="0" w:line="240" w:lineRule="auto"/>
        <w:rPr>
          <w:rFonts w:cstheme="minorHAnsi"/>
        </w:rPr>
      </w:pPr>
      <w:r w:rsidRPr="00A9114C">
        <w:rPr>
          <w:rFonts w:cstheme="minorHAnsi"/>
        </w:rPr>
        <w:lastRenderedPageBreak/>
        <w:t>reporting requirements</w:t>
      </w:r>
    </w:p>
    <w:p w14:paraId="38AB6EF7" w14:textId="77777777" w:rsidR="00BC5F46" w:rsidRPr="00A9114C" w:rsidRDefault="00BC5F46" w:rsidP="00975D65">
      <w:pPr>
        <w:pStyle w:val="ListParagraph"/>
        <w:numPr>
          <w:ilvl w:val="0"/>
          <w:numId w:val="31"/>
        </w:numPr>
        <w:suppressAutoHyphens w:val="0"/>
        <w:spacing w:before="0" w:after="0" w:line="240" w:lineRule="auto"/>
        <w:rPr>
          <w:rFonts w:cstheme="minorHAnsi"/>
        </w:rPr>
      </w:pPr>
      <w:r w:rsidRPr="00A9114C">
        <w:rPr>
          <w:rFonts w:cstheme="minorHAnsi"/>
        </w:rPr>
        <w:t>success indicators</w:t>
      </w:r>
    </w:p>
    <w:p w14:paraId="23CCD0E0" w14:textId="77777777" w:rsidR="00BC5F46" w:rsidRPr="00A9114C" w:rsidRDefault="00BC5F46" w:rsidP="00975D65">
      <w:pPr>
        <w:pStyle w:val="ListParagraph"/>
        <w:numPr>
          <w:ilvl w:val="0"/>
          <w:numId w:val="31"/>
        </w:numPr>
        <w:suppressAutoHyphens w:val="0"/>
        <w:spacing w:before="0" w:after="0" w:line="240" w:lineRule="auto"/>
        <w:rPr>
          <w:rFonts w:cstheme="minorHAnsi"/>
        </w:rPr>
      </w:pPr>
      <w:r w:rsidRPr="00A9114C">
        <w:rPr>
          <w:rFonts w:cstheme="minorHAnsi"/>
        </w:rPr>
        <w:t>process to resolve disagreements</w:t>
      </w:r>
    </w:p>
    <w:p w14:paraId="0375DE5F" w14:textId="77777777" w:rsidR="00BC5F46" w:rsidRPr="00A9114C" w:rsidRDefault="00BC5F46" w:rsidP="00975D65">
      <w:pPr>
        <w:pStyle w:val="ListParagraph"/>
        <w:numPr>
          <w:ilvl w:val="0"/>
          <w:numId w:val="31"/>
        </w:numPr>
        <w:suppressAutoHyphens w:val="0"/>
        <w:spacing w:before="0" w:after="0" w:line="240" w:lineRule="auto"/>
        <w:rPr>
          <w:rFonts w:cstheme="minorHAnsi"/>
        </w:rPr>
      </w:pPr>
      <w:r w:rsidRPr="00A9114C">
        <w:rPr>
          <w:rFonts w:cstheme="minorHAnsi"/>
        </w:rPr>
        <w:t>non-negotiable elements of the partnership</w:t>
      </w:r>
    </w:p>
    <w:p w14:paraId="5BE09071" w14:textId="77777777" w:rsidR="00BC5F46" w:rsidRDefault="00BC5F46" w:rsidP="00975D65">
      <w:pPr>
        <w:pStyle w:val="ListParagraph"/>
        <w:numPr>
          <w:ilvl w:val="0"/>
          <w:numId w:val="31"/>
        </w:numPr>
        <w:suppressAutoHyphens w:val="0"/>
        <w:spacing w:before="0" w:after="0" w:line="240" w:lineRule="auto"/>
        <w:rPr>
          <w:rFonts w:cstheme="minorHAnsi"/>
        </w:rPr>
      </w:pPr>
      <w:r w:rsidRPr="00A9114C">
        <w:rPr>
          <w:rFonts w:cstheme="minorHAnsi"/>
        </w:rPr>
        <w:t>duration of the partnership</w:t>
      </w:r>
    </w:p>
    <w:p w14:paraId="51122627" w14:textId="77777777" w:rsidR="00BC5F46" w:rsidRDefault="00BC5F46" w:rsidP="00BC5F46">
      <w:pPr>
        <w:suppressAutoHyphens w:val="0"/>
        <w:spacing w:before="0" w:after="0" w:line="240" w:lineRule="auto"/>
        <w:rPr>
          <w:rFonts w:cstheme="minorHAnsi"/>
        </w:rPr>
      </w:pPr>
    </w:p>
    <w:p w14:paraId="404E7D9C" w14:textId="6C7E66D8" w:rsidR="00BC5F46" w:rsidRPr="00523093" w:rsidRDefault="00BC5F46" w:rsidP="00BC5F46">
      <w:pPr>
        <w:suppressAutoHyphens w:val="0"/>
        <w:spacing w:before="0" w:after="0" w:line="240" w:lineRule="auto"/>
        <w:rPr>
          <w:rFonts w:cstheme="minorHAnsi"/>
        </w:rPr>
      </w:pPr>
      <w:r>
        <w:rPr>
          <w:rFonts w:cstheme="minorHAnsi"/>
        </w:rPr>
        <w:t xml:space="preserve">Agreeing a formal non-binding record of the outcomes of the discussion is useful as a foundation on how partners will work together under the collaboration or financial partnership. The record can assist to work through future issues and to mitigate risks. A </w:t>
      </w:r>
      <w:r w:rsidRPr="00CB5E76">
        <w:rPr>
          <w:rFonts w:cs="MuseoSans-500"/>
          <w:u w:color="495965" w:themeColor="text2"/>
          <w:lang w:val="en-AU"/>
        </w:rPr>
        <w:t>template for a discus</w:t>
      </w:r>
      <w:r w:rsidRPr="00CB5E76">
        <w:rPr>
          <w:rFonts w:cs="MuseoSans-500"/>
          <w:u w:color="495965" w:themeColor="text2"/>
          <w:lang w:val="en-AU"/>
        </w:rPr>
        <w:t>s</w:t>
      </w:r>
      <w:r w:rsidRPr="00CB5E76">
        <w:rPr>
          <w:rFonts w:cs="MuseoSans-500"/>
          <w:u w:color="495965" w:themeColor="text2"/>
          <w:lang w:val="en-AU"/>
        </w:rPr>
        <w:t>ion record</w:t>
      </w:r>
      <w:r>
        <w:rPr>
          <w:rFonts w:cstheme="minorHAnsi"/>
        </w:rPr>
        <w:t xml:space="preserve"> can be found on the </w:t>
      </w:r>
      <w:hyperlink r:id="rId58" w:history="1">
        <w:r w:rsidRPr="006B4FD3">
          <w:rPr>
            <w:rStyle w:val="Hyperlink"/>
            <w:color w:val="0070C0"/>
            <w:lang w:val="en-AU"/>
          </w:rPr>
          <w:t>Private Sector Engage</w:t>
        </w:r>
        <w:r w:rsidRPr="006B4FD3">
          <w:rPr>
            <w:rStyle w:val="Hyperlink"/>
            <w:color w:val="0070C0"/>
            <w:lang w:val="en-AU"/>
          </w:rPr>
          <w:t>m</w:t>
        </w:r>
        <w:r w:rsidRPr="006B4FD3">
          <w:rPr>
            <w:rStyle w:val="Hyperlink"/>
            <w:color w:val="0070C0"/>
            <w:lang w:val="en-AU"/>
          </w:rPr>
          <w:t>ent Intranet page</w:t>
        </w:r>
      </w:hyperlink>
      <w:r>
        <w:rPr>
          <w:rFonts w:cstheme="minorHAnsi"/>
        </w:rPr>
        <w:t>.</w:t>
      </w:r>
    </w:p>
    <w:p w14:paraId="1E35A28A" w14:textId="77777777" w:rsidR="00BC5F46" w:rsidRPr="00A9114C" w:rsidRDefault="00BC5F46" w:rsidP="00975D65">
      <w:pPr>
        <w:pStyle w:val="Heading3"/>
        <w:numPr>
          <w:ilvl w:val="0"/>
          <w:numId w:val="33"/>
        </w:numPr>
        <w:spacing w:before="240"/>
      </w:pPr>
      <w:r w:rsidRPr="00A9114C">
        <w:t>Managing and maintaining partnerships</w:t>
      </w:r>
    </w:p>
    <w:p w14:paraId="0AA94BF2" w14:textId="77777777" w:rsidR="00BC5F46" w:rsidRPr="00A9114C" w:rsidRDefault="00BC5F46" w:rsidP="00BC5F46">
      <w:pPr>
        <w:autoSpaceDE w:val="0"/>
        <w:autoSpaceDN w:val="0"/>
        <w:adjustRightInd w:val="0"/>
        <w:spacing w:line="240" w:lineRule="auto"/>
        <w:rPr>
          <w:rFonts w:cstheme="minorHAnsi"/>
          <w:szCs w:val="24"/>
        </w:rPr>
      </w:pPr>
      <w:r w:rsidRPr="00A9114C">
        <w:rPr>
          <w:rFonts w:cstheme="minorHAnsi"/>
          <w:szCs w:val="24"/>
        </w:rPr>
        <w:t xml:space="preserve">Regular networking and communication between partners is critical to maintain a healthy partnership. Whether formal or informal, regular communication deepens relationships and builds rapport and trust between partners. Assigning a dedicated relationship manager to provide ongoing, consistent engagement with private sector partners will strengthen the partnership and enable early identification of issues requiring resolution. </w:t>
      </w:r>
    </w:p>
    <w:p w14:paraId="1BD34527" w14:textId="77777777" w:rsidR="00BC5F46" w:rsidRPr="00A9114C" w:rsidRDefault="00BC5F46" w:rsidP="00BC5F46">
      <w:pPr>
        <w:rPr>
          <w:rFonts w:cstheme="minorHAnsi"/>
          <w:szCs w:val="24"/>
        </w:rPr>
      </w:pPr>
      <w:r w:rsidRPr="00A9114C">
        <w:rPr>
          <w:rFonts w:cstheme="minorHAnsi"/>
          <w:szCs w:val="24"/>
        </w:rPr>
        <w:t>A regular partnership health check</w:t>
      </w:r>
      <w:r w:rsidRPr="00A9114C">
        <w:rPr>
          <w:rStyle w:val="FootnoteReference"/>
          <w:rFonts w:cstheme="minorHAnsi"/>
          <w:szCs w:val="24"/>
        </w:rPr>
        <w:footnoteReference w:id="11"/>
      </w:r>
      <w:r w:rsidRPr="00A9114C">
        <w:rPr>
          <w:rFonts w:cstheme="minorHAnsi"/>
          <w:szCs w:val="24"/>
        </w:rPr>
        <w:t xml:space="preserve"> allows partners to reflect on the objectives and success indicators identified in the partnership discussions, ensuring that it is tracking well on delivering targeted outcomes, and allows resolution of any key issues that arise. Regular discussions can consider:</w:t>
      </w:r>
    </w:p>
    <w:p w14:paraId="1310B287" w14:textId="77777777" w:rsidR="00BC5F46" w:rsidRPr="00A9114C" w:rsidRDefault="00BC5F46" w:rsidP="00975D65">
      <w:pPr>
        <w:pStyle w:val="ListParagraph"/>
        <w:numPr>
          <w:ilvl w:val="0"/>
          <w:numId w:val="28"/>
        </w:numPr>
        <w:suppressAutoHyphens w:val="0"/>
        <w:autoSpaceDE w:val="0"/>
        <w:autoSpaceDN w:val="0"/>
        <w:adjustRightInd w:val="0"/>
        <w:spacing w:before="0" w:after="0" w:line="240" w:lineRule="auto"/>
        <w:rPr>
          <w:rFonts w:cstheme="minorHAnsi"/>
          <w:szCs w:val="24"/>
        </w:rPr>
      </w:pPr>
      <w:r w:rsidRPr="00A9114C">
        <w:rPr>
          <w:rFonts w:cstheme="minorHAnsi"/>
          <w:szCs w:val="24"/>
        </w:rPr>
        <w:t>What is working well? How do we do more of this?</w:t>
      </w:r>
    </w:p>
    <w:p w14:paraId="029D91DB" w14:textId="77777777" w:rsidR="00BC5F46" w:rsidRPr="00A9114C" w:rsidRDefault="00BC5F46" w:rsidP="00975D65">
      <w:pPr>
        <w:pStyle w:val="ListParagraph"/>
        <w:numPr>
          <w:ilvl w:val="0"/>
          <w:numId w:val="28"/>
        </w:numPr>
        <w:suppressAutoHyphens w:val="0"/>
        <w:autoSpaceDE w:val="0"/>
        <w:autoSpaceDN w:val="0"/>
        <w:adjustRightInd w:val="0"/>
        <w:spacing w:before="0" w:after="0" w:line="240" w:lineRule="auto"/>
        <w:rPr>
          <w:rFonts w:cstheme="minorHAnsi"/>
          <w:szCs w:val="24"/>
        </w:rPr>
      </w:pPr>
      <w:r w:rsidRPr="00A9114C">
        <w:rPr>
          <w:rFonts w:cstheme="minorHAnsi"/>
          <w:szCs w:val="24"/>
        </w:rPr>
        <w:t>What should we do differently? What needs to change?</w:t>
      </w:r>
    </w:p>
    <w:p w14:paraId="71F1237F" w14:textId="77777777" w:rsidR="00BC5F46" w:rsidRPr="00A9114C" w:rsidRDefault="00BC5F46" w:rsidP="00975D65">
      <w:pPr>
        <w:pStyle w:val="ListParagraph"/>
        <w:numPr>
          <w:ilvl w:val="0"/>
          <w:numId w:val="28"/>
        </w:numPr>
        <w:suppressAutoHyphens w:val="0"/>
        <w:autoSpaceDE w:val="0"/>
        <w:autoSpaceDN w:val="0"/>
        <w:adjustRightInd w:val="0"/>
        <w:spacing w:before="0" w:after="0" w:line="240" w:lineRule="auto"/>
        <w:rPr>
          <w:rFonts w:cstheme="minorHAnsi"/>
          <w:szCs w:val="24"/>
        </w:rPr>
      </w:pPr>
      <w:r w:rsidRPr="00A9114C">
        <w:rPr>
          <w:rFonts w:cstheme="minorHAnsi"/>
          <w:szCs w:val="24"/>
        </w:rPr>
        <w:t>How we can we derive more value-add from the partnership?</w:t>
      </w:r>
    </w:p>
    <w:p w14:paraId="4AEBAE08" w14:textId="77777777" w:rsidR="00BC5F46" w:rsidRPr="00A9114C" w:rsidRDefault="00BC5F46" w:rsidP="00975D65">
      <w:pPr>
        <w:pStyle w:val="ListParagraph"/>
        <w:numPr>
          <w:ilvl w:val="0"/>
          <w:numId w:val="28"/>
        </w:numPr>
        <w:suppressAutoHyphens w:val="0"/>
        <w:autoSpaceDE w:val="0"/>
        <w:autoSpaceDN w:val="0"/>
        <w:adjustRightInd w:val="0"/>
        <w:spacing w:before="0" w:after="0" w:line="240" w:lineRule="auto"/>
        <w:rPr>
          <w:rFonts w:cstheme="minorHAnsi"/>
          <w:szCs w:val="24"/>
        </w:rPr>
      </w:pPr>
      <w:r w:rsidRPr="00A9114C">
        <w:rPr>
          <w:rFonts w:cstheme="minorHAnsi"/>
          <w:szCs w:val="24"/>
        </w:rPr>
        <w:t>What have we learnt? How do we transfer that knowledge to others?</w:t>
      </w:r>
    </w:p>
    <w:p w14:paraId="4E80533B" w14:textId="77777777" w:rsidR="00BC5F46" w:rsidRPr="00A9114C" w:rsidRDefault="00BC5F46" w:rsidP="00975D65">
      <w:pPr>
        <w:pStyle w:val="ListParagraph"/>
        <w:numPr>
          <w:ilvl w:val="0"/>
          <w:numId w:val="28"/>
        </w:numPr>
        <w:suppressAutoHyphens w:val="0"/>
        <w:autoSpaceDE w:val="0"/>
        <w:autoSpaceDN w:val="0"/>
        <w:adjustRightInd w:val="0"/>
        <w:spacing w:before="0" w:after="120" w:line="240" w:lineRule="auto"/>
        <w:ind w:left="357" w:hanging="357"/>
        <w:rPr>
          <w:rFonts w:cstheme="minorHAnsi"/>
          <w:szCs w:val="24"/>
        </w:rPr>
      </w:pPr>
      <w:r w:rsidRPr="00A9114C">
        <w:rPr>
          <w:rFonts w:cstheme="minorHAnsi"/>
          <w:szCs w:val="24"/>
        </w:rPr>
        <w:t>What are our options moving beyond the end of the funding cycle?</w:t>
      </w:r>
    </w:p>
    <w:p w14:paraId="2C05CE9C" w14:textId="16120515" w:rsidR="00BC5F46" w:rsidRPr="00A9114C" w:rsidRDefault="00BC5F46" w:rsidP="00BC5F46">
      <w:pPr>
        <w:autoSpaceDE w:val="0"/>
        <w:autoSpaceDN w:val="0"/>
        <w:adjustRightInd w:val="0"/>
        <w:spacing w:line="240" w:lineRule="auto"/>
        <w:rPr>
          <w:rFonts w:cstheme="minorHAnsi"/>
          <w:szCs w:val="24"/>
        </w:rPr>
      </w:pPr>
      <w:r w:rsidRPr="00A9114C">
        <w:rPr>
          <w:rFonts w:cstheme="minorHAnsi"/>
          <w:szCs w:val="24"/>
        </w:rPr>
        <w:t xml:space="preserve">Regular health checks are particularly valuable for </w:t>
      </w:r>
      <w:r>
        <w:rPr>
          <w:rFonts w:cstheme="minorHAnsi"/>
          <w:szCs w:val="24"/>
        </w:rPr>
        <w:t>financial</w:t>
      </w:r>
      <w:r w:rsidRPr="00A9114C">
        <w:rPr>
          <w:rFonts w:cstheme="minorHAnsi"/>
          <w:szCs w:val="24"/>
        </w:rPr>
        <w:t xml:space="preserve"> partnerships. At a minimum, plan a mid-point health check and a wrap-up meeting at the end of the investment. Maintain flexibility to allow for health checks at other intervals should the need arise to address specific issues over the course of the partnership.</w:t>
      </w:r>
    </w:p>
    <w:p w14:paraId="75D3F7C8" w14:textId="77777777" w:rsidR="00BC5F46" w:rsidRPr="00A9114C" w:rsidRDefault="00BC5F46" w:rsidP="00975D65">
      <w:pPr>
        <w:pStyle w:val="Heading3"/>
        <w:numPr>
          <w:ilvl w:val="0"/>
          <w:numId w:val="33"/>
        </w:numPr>
        <w:spacing w:before="240"/>
      </w:pPr>
      <w:r w:rsidRPr="00A9114C">
        <w:t>Reviewing and revising partnerships and outcomes</w:t>
      </w:r>
    </w:p>
    <w:p w14:paraId="5FD5ADF0" w14:textId="77777777" w:rsidR="00BC5F46" w:rsidRPr="00A9114C" w:rsidRDefault="00BC5F46" w:rsidP="00BC5F46">
      <w:pPr>
        <w:rPr>
          <w:rFonts w:cstheme="minorHAnsi"/>
        </w:rPr>
      </w:pPr>
      <w:r w:rsidRPr="00A9114C">
        <w:rPr>
          <w:rFonts w:cstheme="minorHAnsi"/>
        </w:rPr>
        <w:t>Allocating resources at the outset to measure and evaluate the achievements and quality of the partnership is key to ensure targeted outcomes are achieved and successful private sector partners</w:t>
      </w:r>
      <w:r>
        <w:rPr>
          <w:rFonts w:cstheme="minorHAnsi"/>
        </w:rPr>
        <w:t>hips</w:t>
      </w:r>
      <w:r w:rsidRPr="00A9114C">
        <w:rPr>
          <w:rFonts w:cstheme="minorHAnsi"/>
        </w:rPr>
        <w:t xml:space="preserve"> are sustained. </w:t>
      </w:r>
    </w:p>
    <w:p w14:paraId="237EBAD0" w14:textId="77777777" w:rsidR="00BC5F46" w:rsidRPr="00A9114C" w:rsidRDefault="00BC5F46" w:rsidP="00BC5F46">
      <w:pPr>
        <w:rPr>
          <w:rFonts w:cstheme="minorHAnsi"/>
        </w:rPr>
      </w:pPr>
      <w:r w:rsidRPr="00A9114C">
        <w:rPr>
          <w:rFonts w:cstheme="minorHAnsi"/>
        </w:rPr>
        <w:t xml:space="preserve">The objectives, contributions and success indicators identified in the partnership discussions provide a solid foundation to measure and evaluate the success of the partnership. </w:t>
      </w:r>
    </w:p>
    <w:p w14:paraId="4FD1833F" w14:textId="77777777" w:rsidR="00BC5F46" w:rsidRPr="00A9114C" w:rsidRDefault="00BC5F46" w:rsidP="00BC5F46">
      <w:pPr>
        <w:rPr>
          <w:rFonts w:cstheme="minorHAnsi"/>
        </w:rPr>
      </w:pPr>
      <w:r w:rsidRPr="00A9114C">
        <w:rPr>
          <w:rFonts w:cstheme="minorHAnsi"/>
        </w:rPr>
        <w:t xml:space="preserve">For private sector </w:t>
      </w:r>
      <w:r>
        <w:rPr>
          <w:rFonts w:cstheme="minorHAnsi"/>
        </w:rPr>
        <w:t>financial partnerships</w:t>
      </w:r>
      <w:r w:rsidRPr="00A9114C">
        <w:rPr>
          <w:rFonts w:cstheme="minorHAnsi"/>
        </w:rPr>
        <w:t xml:space="preserve">, the </w:t>
      </w:r>
      <w:hyperlink r:id="rId59" w:history="1">
        <w:r w:rsidRPr="00FC41C2">
          <w:rPr>
            <w:rStyle w:val="Hyperlink"/>
            <w:color w:val="0070C0"/>
            <w:lang w:val="en-AU"/>
          </w:rPr>
          <w:t>Development Co</w:t>
        </w:r>
        <w:bookmarkStart w:id="17" w:name="_GoBack"/>
        <w:bookmarkEnd w:id="17"/>
        <w:r w:rsidRPr="00FC41C2">
          <w:rPr>
            <w:rStyle w:val="Hyperlink"/>
            <w:color w:val="0070C0"/>
            <w:lang w:val="en-AU"/>
          </w:rPr>
          <w:t>m</w:t>
        </w:r>
        <w:r w:rsidRPr="00FC41C2">
          <w:rPr>
            <w:rStyle w:val="Hyperlink"/>
            <w:color w:val="0070C0"/>
            <w:lang w:val="en-AU"/>
          </w:rPr>
          <w:t>mittee for Enterprise Development (DCED) Standard for Results Measurement</w:t>
        </w:r>
      </w:hyperlink>
      <w:r w:rsidRPr="00A9114C">
        <w:rPr>
          <w:rFonts w:cstheme="minorHAnsi"/>
        </w:rPr>
        <w:t xml:space="preserve"> can be useful. This framework outlines elements of a successful monitoring system based on proven good practices in private sector development. The DCED Standard also recommends an independent auditing process. </w:t>
      </w:r>
    </w:p>
    <w:p w14:paraId="33A4DEE1" w14:textId="77777777" w:rsidR="00BC5F46" w:rsidRPr="00A9114C" w:rsidRDefault="00BC5F46" w:rsidP="00975D65">
      <w:pPr>
        <w:pStyle w:val="Heading3"/>
        <w:numPr>
          <w:ilvl w:val="0"/>
          <w:numId w:val="33"/>
        </w:numPr>
        <w:spacing w:before="240"/>
      </w:pPr>
      <w:r w:rsidRPr="00A9114C">
        <w:lastRenderedPageBreak/>
        <w:t xml:space="preserve">Sustaining outcomes or </w:t>
      </w:r>
      <w:r>
        <w:t>m</w:t>
      </w:r>
      <w:r w:rsidRPr="00A9114C">
        <w:t>oving on and closure</w:t>
      </w:r>
    </w:p>
    <w:p w14:paraId="57073328" w14:textId="77777777" w:rsidR="00BC5F46" w:rsidRPr="00B76321" w:rsidRDefault="00BC5F46" w:rsidP="00BC5F46">
      <w:pPr>
        <w:rPr>
          <w:rFonts w:cstheme="minorHAnsi"/>
          <w:iCs/>
        </w:rPr>
      </w:pPr>
      <w:r w:rsidRPr="00B76321">
        <w:rPr>
          <w:rFonts w:cstheme="minorHAnsi"/>
        </w:rPr>
        <w:t xml:space="preserve">There is no ‘one size fits all’ approach for every partnership, and this is true of the closing or moving on stage of partnerships.  A successful private sector partnership is characterised by sustained outcomes. </w:t>
      </w:r>
      <w:r w:rsidR="00CF6F8F">
        <w:rPr>
          <w:rFonts w:cstheme="minorHAnsi"/>
        </w:rPr>
        <w:t xml:space="preserve">It is useful to consider the exit/sustainability plan from the beginning of the partnership. </w:t>
      </w:r>
      <w:r w:rsidRPr="00B76321">
        <w:rPr>
          <w:rFonts w:cstheme="minorHAnsi"/>
        </w:rPr>
        <w:t>After assessing results achieved from the partnership, a decision may be taken to:</w:t>
      </w:r>
    </w:p>
    <w:p w14:paraId="4A426211" w14:textId="77777777" w:rsidR="00BC5F46" w:rsidRPr="00A9114C" w:rsidRDefault="00BC5F46" w:rsidP="00975D65">
      <w:pPr>
        <w:pStyle w:val="ListParagraph"/>
        <w:numPr>
          <w:ilvl w:val="0"/>
          <w:numId w:val="40"/>
        </w:numPr>
        <w:suppressAutoHyphens w:val="0"/>
        <w:spacing w:before="0" w:after="160" w:line="259" w:lineRule="auto"/>
        <w:rPr>
          <w:rFonts w:cstheme="minorHAnsi"/>
        </w:rPr>
      </w:pPr>
      <w:r w:rsidRPr="00A9114C">
        <w:rPr>
          <w:rFonts w:cstheme="minorHAnsi"/>
          <w:b/>
        </w:rPr>
        <w:t>move on</w:t>
      </w:r>
      <w:r w:rsidRPr="00A9114C">
        <w:rPr>
          <w:rFonts w:cstheme="minorHAnsi"/>
        </w:rPr>
        <w:t xml:space="preserve"> – close the partnership if the investment has become self-sustaining </w:t>
      </w:r>
    </w:p>
    <w:p w14:paraId="6FB90C86" w14:textId="77777777" w:rsidR="00BC5F46" w:rsidRPr="00A9114C" w:rsidRDefault="00BC5F46" w:rsidP="00975D65">
      <w:pPr>
        <w:pStyle w:val="ListParagraph"/>
        <w:numPr>
          <w:ilvl w:val="0"/>
          <w:numId w:val="40"/>
        </w:numPr>
        <w:suppressAutoHyphens w:val="0"/>
        <w:spacing w:before="0" w:after="160" w:line="259" w:lineRule="auto"/>
        <w:rPr>
          <w:rFonts w:cstheme="minorHAnsi"/>
        </w:rPr>
      </w:pPr>
      <w:r w:rsidRPr="00A9114C">
        <w:rPr>
          <w:rFonts w:cstheme="minorHAnsi"/>
          <w:b/>
        </w:rPr>
        <w:t>innovate</w:t>
      </w:r>
      <w:r w:rsidRPr="00A9114C">
        <w:rPr>
          <w:rFonts w:cstheme="minorHAnsi"/>
        </w:rPr>
        <w:t xml:space="preserve"> – continue the partnership in a new form</w:t>
      </w:r>
    </w:p>
    <w:p w14:paraId="29227587" w14:textId="77777777" w:rsidR="00BC5F46" w:rsidRPr="00A9114C" w:rsidRDefault="00BC5F46" w:rsidP="00975D65">
      <w:pPr>
        <w:pStyle w:val="ListParagraph"/>
        <w:numPr>
          <w:ilvl w:val="0"/>
          <w:numId w:val="40"/>
        </w:numPr>
        <w:suppressAutoHyphens w:val="0"/>
        <w:spacing w:before="0" w:after="160" w:line="259" w:lineRule="auto"/>
        <w:rPr>
          <w:rFonts w:cstheme="minorHAnsi"/>
        </w:rPr>
      </w:pPr>
      <w:r w:rsidRPr="00A9114C">
        <w:rPr>
          <w:rFonts w:cstheme="minorHAnsi"/>
          <w:b/>
        </w:rPr>
        <w:t>sustain</w:t>
      </w:r>
      <w:r w:rsidRPr="00A9114C">
        <w:rPr>
          <w:rFonts w:cstheme="minorHAnsi"/>
        </w:rPr>
        <w:t xml:space="preserve"> – invest additional resources to scale-up the activity to increase impact</w:t>
      </w:r>
    </w:p>
    <w:p w14:paraId="2A0397D5" w14:textId="77777777" w:rsidR="00BC5F46" w:rsidRPr="00A9114C" w:rsidRDefault="00BC5F46" w:rsidP="00975D65">
      <w:pPr>
        <w:pStyle w:val="ListParagraph"/>
        <w:numPr>
          <w:ilvl w:val="0"/>
          <w:numId w:val="40"/>
        </w:numPr>
        <w:suppressAutoHyphens w:val="0"/>
        <w:spacing w:before="0" w:after="160" w:line="259" w:lineRule="auto"/>
        <w:rPr>
          <w:rFonts w:cstheme="minorHAnsi"/>
        </w:rPr>
      </w:pPr>
      <w:r w:rsidRPr="00A9114C">
        <w:rPr>
          <w:rFonts w:cstheme="minorHAnsi"/>
          <w:b/>
        </w:rPr>
        <w:t>close</w:t>
      </w:r>
      <w:r w:rsidRPr="00A9114C">
        <w:rPr>
          <w:rFonts w:cstheme="minorHAnsi"/>
        </w:rPr>
        <w:t xml:space="preserve"> – end the partnership, capturing lessons learned for future partnerships</w:t>
      </w:r>
    </w:p>
    <w:p w14:paraId="66E48D69" w14:textId="77777777" w:rsidR="00BC5F46" w:rsidRPr="00B76321" w:rsidRDefault="00BC5F46" w:rsidP="00BC5F46">
      <w:pPr>
        <w:rPr>
          <w:rFonts w:cstheme="minorHAnsi"/>
          <w:iCs/>
        </w:rPr>
      </w:pPr>
      <w:r w:rsidRPr="00B76321">
        <w:rPr>
          <w:rFonts w:cstheme="minorHAnsi"/>
        </w:rPr>
        <w:t>Where a decision is made to close the partnership, or to withdraw from it, it is critical to finalise the closing out processes, for example:</w:t>
      </w:r>
    </w:p>
    <w:p w14:paraId="6911D679" w14:textId="77777777" w:rsidR="00BC5F46" w:rsidRPr="00B76321" w:rsidRDefault="00BC5F46" w:rsidP="00975D65">
      <w:pPr>
        <w:pStyle w:val="ListParagraph"/>
        <w:numPr>
          <w:ilvl w:val="0"/>
          <w:numId w:val="37"/>
        </w:numPr>
        <w:rPr>
          <w:rFonts w:cstheme="minorHAnsi"/>
          <w:iCs/>
        </w:rPr>
      </w:pPr>
      <w:r w:rsidRPr="00B76321">
        <w:rPr>
          <w:rFonts w:cstheme="minorHAnsi"/>
        </w:rPr>
        <w:t>Project sustainability – what aspects of the project will be sustained beyond the current partnership? Will some partners continue? For those withdrawing, how will their inputs during the early phase be acknowledged?</w:t>
      </w:r>
    </w:p>
    <w:p w14:paraId="6C5DDE49" w14:textId="77777777" w:rsidR="00BC5F46" w:rsidRPr="00B76321" w:rsidRDefault="00BC5F46" w:rsidP="00975D65">
      <w:pPr>
        <w:pStyle w:val="ListParagraph"/>
        <w:numPr>
          <w:ilvl w:val="0"/>
          <w:numId w:val="37"/>
        </w:numPr>
        <w:rPr>
          <w:rFonts w:cstheme="minorHAnsi"/>
          <w:iCs/>
        </w:rPr>
      </w:pPr>
      <w:r w:rsidRPr="00B76321">
        <w:rPr>
          <w:rFonts w:cstheme="minorHAnsi"/>
        </w:rPr>
        <w:t>Transfer of any physical resources</w:t>
      </w:r>
    </w:p>
    <w:p w14:paraId="682579CC" w14:textId="77777777" w:rsidR="00BC5F46" w:rsidRPr="00B76321" w:rsidRDefault="00BC5F46" w:rsidP="00975D65">
      <w:pPr>
        <w:pStyle w:val="ListParagraph"/>
        <w:numPr>
          <w:ilvl w:val="0"/>
          <w:numId w:val="37"/>
        </w:numPr>
        <w:rPr>
          <w:rFonts w:cstheme="minorHAnsi"/>
          <w:iCs/>
        </w:rPr>
      </w:pPr>
      <w:r w:rsidRPr="00B76321">
        <w:rPr>
          <w:rFonts w:cstheme="minorHAnsi"/>
        </w:rPr>
        <w:t>Final reporting</w:t>
      </w:r>
    </w:p>
    <w:p w14:paraId="00BE7AE1" w14:textId="77777777" w:rsidR="00BC5F46" w:rsidRPr="00B76321" w:rsidRDefault="00BC5F46" w:rsidP="00975D65">
      <w:pPr>
        <w:pStyle w:val="ListParagraph"/>
        <w:numPr>
          <w:ilvl w:val="0"/>
          <w:numId w:val="37"/>
        </w:numPr>
        <w:rPr>
          <w:rFonts w:cstheme="minorHAnsi"/>
          <w:iCs/>
        </w:rPr>
      </w:pPr>
      <w:r w:rsidRPr="00B76321">
        <w:rPr>
          <w:rFonts w:cstheme="minorHAnsi"/>
        </w:rPr>
        <w:t>Reflection of lessons learned and how this can be shared and to whom</w:t>
      </w:r>
    </w:p>
    <w:p w14:paraId="267CAF34" w14:textId="2154D8DA" w:rsidR="00BC5F46" w:rsidRPr="00B76321" w:rsidRDefault="00BC5F46" w:rsidP="00975D65">
      <w:pPr>
        <w:pStyle w:val="ListParagraph"/>
        <w:numPr>
          <w:ilvl w:val="0"/>
          <w:numId w:val="37"/>
        </w:numPr>
        <w:rPr>
          <w:rFonts w:cstheme="minorHAnsi"/>
          <w:iCs/>
        </w:rPr>
      </w:pPr>
      <w:r>
        <w:rPr>
          <w:rFonts w:cstheme="minorHAnsi"/>
        </w:rPr>
        <w:t>Any o</w:t>
      </w:r>
      <w:r w:rsidRPr="00B76321">
        <w:rPr>
          <w:rFonts w:cstheme="minorHAnsi"/>
        </w:rPr>
        <w:t xml:space="preserve">utstanding Intellectual Property </w:t>
      </w:r>
      <w:r w:rsidR="006E1767">
        <w:rPr>
          <w:rFonts w:cstheme="minorHAnsi"/>
        </w:rPr>
        <w:t>i</w:t>
      </w:r>
      <w:r w:rsidRPr="00B76321">
        <w:rPr>
          <w:rFonts w:cstheme="minorHAnsi"/>
        </w:rPr>
        <w:t>ssues</w:t>
      </w:r>
    </w:p>
    <w:p w14:paraId="185A30D7" w14:textId="77777777" w:rsidR="00BC5F46" w:rsidRPr="00B76321" w:rsidRDefault="00BC5F46" w:rsidP="00975D65">
      <w:pPr>
        <w:pStyle w:val="ListParagraph"/>
        <w:numPr>
          <w:ilvl w:val="0"/>
          <w:numId w:val="37"/>
        </w:numPr>
        <w:rPr>
          <w:rFonts w:cstheme="minorHAnsi"/>
          <w:iCs/>
        </w:rPr>
      </w:pPr>
      <w:r w:rsidRPr="00B76321">
        <w:rPr>
          <w:rFonts w:cstheme="minorHAnsi"/>
        </w:rPr>
        <w:t>A communications plan to include public messaging about the partnership achievements</w:t>
      </w:r>
    </w:p>
    <w:p w14:paraId="57106A01" w14:textId="77777777" w:rsidR="00BC5F46" w:rsidRPr="00B76321" w:rsidRDefault="00BC5F46" w:rsidP="00975D65">
      <w:pPr>
        <w:pStyle w:val="ListParagraph"/>
        <w:numPr>
          <w:ilvl w:val="0"/>
          <w:numId w:val="37"/>
        </w:numPr>
        <w:rPr>
          <w:rFonts w:cstheme="minorHAnsi"/>
          <w:iCs/>
        </w:rPr>
      </w:pPr>
      <w:r w:rsidRPr="00B76321">
        <w:rPr>
          <w:rFonts w:cstheme="minorHAnsi"/>
        </w:rPr>
        <w:t xml:space="preserve">Follow-on monitoring and evaluation </w:t>
      </w:r>
      <w:r w:rsidR="006E1767">
        <w:rPr>
          <w:rFonts w:cstheme="minorHAnsi"/>
        </w:rPr>
        <w:t>to understand the longer-term impacts from the partnership</w:t>
      </w:r>
    </w:p>
    <w:p w14:paraId="2BBF8BE8" w14:textId="77777777" w:rsidR="00BC5F46" w:rsidRPr="00B76321" w:rsidRDefault="00BC5F46" w:rsidP="00BC5F46">
      <w:pPr>
        <w:rPr>
          <w:rFonts w:cstheme="minorHAnsi"/>
          <w:iCs/>
        </w:rPr>
      </w:pPr>
      <w:r w:rsidRPr="00B76321">
        <w:rPr>
          <w:rFonts w:cstheme="minorHAnsi"/>
        </w:rPr>
        <w:t>It is important that any closure processes also make time for identifying and celebrating the achievements and outcomes of the partnership.</w:t>
      </w:r>
    </w:p>
    <w:bookmarkEnd w:id="14"/>
    <w:p w14:paraId="6E6715DA" w14:textId="77777777" w:rsidR="00BC5F46" w:rsidRPr="00A9114C" w:rsidRDefault="00BC5F46" w:rsidP="00BC5F46">
      <w:pPr>
        <w:suppressAutoHyphens w:val="0"/>
        <w:spacing w:before="0" w:after="120" w:line="440" w:lineRule="atLeast"/>
        <w:rPr>
          <w:rFonts w:eastAsiaTheme="majorEastAsia" w:cstheme="minorHAnsi"/>
          <w:b/>
          <w:bCs/>
          <w:caps/>
          <w:color w:val="808080" w:themeColor="background1" w:themeShade="80"/>
        </w:rPr>
      </w:pPr>
    </w:p>
    <w:p w14:paraId="03BE2C7B" w14:textId="77777777" w:rsidR="00BC5F46" w:rsidRPr="00C130B9" w:rsidRDefault="00BC5F46" w:rsidP="00BC5F46"/>
    <w:p w14:paraId="31BD2DE5" w14:textId="77777777" w:rsidR="00BC5F46" w:rsidRPr="00130F8F" w:rsidRDefault="00BC5F46" w:rsidP="00BC5F46"/>
    <w:p w14:paraId="41968168" w14:textId="77777777" w:rsidR="00F6244C" w:rsidRPr="00BC5F46" w:rsidRDefault="00F6244C" w:rsidP="00BC5F46"/>
    <w:sectPr w:rsidR="00F6244C" w:rsidRPr="00BC5F46" w:rsidSect="00A9114C">
      <w:headerReference w:type="default" r:id="rId60"/>
      <w:footerReference w:type="default" r:id="rId61"/>
      <w:headerReference w:type="first" r:id="rId62"/>
      <w:footerReference w:type="first" r:id="rId63"/>
      <w:pgSz w:w="11907" w:h="16840" w:code="9"/>
      <w:pgMar w:top="1701" w:right="1440" w:bottom="851" w:left="1440" w:header="851"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0665E0" w14:textId="77777777" w:rsidR="003F4A03" w:rsidRDefault="003F4A03" w:rsidP="003A5358">
      <w:r>
        <w:separator/>
      </w:r>
    </w:p>
  </w:endnote>
  <w:endnote w:type="continuationSeparator" w:id="0">
    <w:p w14:paraId="6986A369" w14:textId="77777777" w:rsidR="003F4A03" w:rsidRDefault="003F4A03" w:rsidP="003A5358">
      <w:r>
        <w:continuationSeparator/>
      </w:r>
    </w:p>
  </w:endnote>
  <w:endnote w:type="continuationNotice" w:id="1">
    <w:p w14:paraId="165A10B0" w14:textId="77777777" w:rsidR="003F4A03" w:rsidRDefault="003F4A0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649F2" w14:textId="77777777" w:rsidR="003F4A03" w:rsidRDefault="003F4A03" w:rsidP="00057479">
    <w:pPr>
      <w:pStyle w:val="Classification"/>
    </w:pPr>
    <w:r>
      <w:rPr>
        <w:noProof/>
        <w:lang w:val="en-AU" w:eastAsia="en-AU"/>
      </w:rPr>
      <w:drawing>
        <wp:anchor distT="0" distB="0" distL="114300" distR="114300" simplePos="0" relativeHeight="251739136" behindDoc="1" locked="0" layoutInCell="1" allowOverlap="1" wp14:anchorId="269BEAE1" wp14:editId="468E80EC">
          <wp:simplePos x="0" y="0"/>
          <wp:positionH relativeFrom="page">
            <wp:posOffset>723900</wp:posOffset>
          </wp:positionH>
          <wp:positionV relativeFrom="page">
            <wp:posOffset>10156190</wp:posOffset>
          </wp:positionV>
          <wp:extent cx="6119495" cy="382270"/>
          <wp:effectExtent l="0" t="0" r="0" b="0"/>
          <wp:wrapNone/>
          <wp:docPr id="24" name="Picture 24"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PT-Aqua-H1-1stPageFooter.png"/>
                  <pic:cNvPicPr/>
                </pic:nvPicPr>
                <pic:blipFill>
                  <a:blip r:embed="rId1">
                    <a:extLst>
                      <a:ext uri="{28A0092B-C50C-407E-A947-70E740481C1C}">
                        <a14:useLocalDpi xmlns:a14="http://schemas.microsoft.com/office/drawing/2010/main" val="0"/>
                      </a:ext>
                    </a:extLst>
                  </a:blip>
                  <a:stretch>
                    <a:fillRect/>
                  </a:stretch>
                </pic:blipFill>
                <pic:spPr>
                  <a:xfrm>
                    <a:off x="0" y="0"/>
                    <a:ext cx="6119495" cy="382270"/>
                  </a:xfrm>
                  <a:prstGeom prst="rect">
                    <a:avLst/>
                  </a:prstGeom>
                </pic:spPr>
              </pic:pic>
            </a:graphicData>
          </a:graphic>
          <wp14:sizeRelH relativeFrom="margin">
            <wp14:pctWidth>0</wp14:pctWidth>
          </wp14:sizeRelH>
          <wp14:sizeRelV relativeFrom="margin">
            <wp14:pctHeight>0</wp14:pctHeight>
          </wp14:sizeRelV>
        </wp:anchor>
      </w:drawing>
    </w:r>
  </w:p>
  <w:p w14:paraId="7B2FD600" w14:textId="1B44934E" w:rsidR="003F4A03" w:rsidRDefault="003F4A03" w:rsidP="003A5358">
    <w:pPr>
      <w:pStyle w:val="Footer"/>
    </w:pPr>
    <w:r>
      <w:tab/>
    </w:r>
    <w:r w:rsidRPr="00B92E1E">
      <w:fldChar w:fldCharType="begin"/>
    </w:r>
    <w:r>
      <w:instrText xml:space="preserve"> STYLEREF  Title  \* MERGEFORMAT </w:instrText>
    </w:r>
    <w:r w:rsidRPr="00B92E1E">
      <w:fldChar w:fldCharType="separate"/>
    </w:r>
    <w:r w:rsidR="00105E80">
      <w:rPr>
        <w:noProof/>
      </w:rPr>
      <w:t>Guidance note</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Pr>
        <w:rStyle w:val="PageNumber"/>
        <w:noProof/>
      </w:rPr>
      <w:t>ii</w:t>
    </w:r>
    <w:r w:rsidRPr="00B92E1E">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8DF9F" w14:textId="043B7E8F" w:rsidR="003F4A03" w:rsidRDefault="003F4A03" w:rsidP="003A5358">
    <w:pPr>
      <w:pStyle w:val="Footer"/>
    </w:pPr>
    <w:r>
      <w:rPr>
        <w:noProof/>
        <w:lang w:val="en-AU" w:eastAsia="en-AU"/>
      </w:rPr>
      <w:drawing>
        <wp:anchor distT="0" distB="0" distL="114300" distR="114300" simplePos="0" relativeHeight="251742208" behindDoc="1" locked="0" layoutInCell="1" allowOverlap="1" wp14:anchorId="7803BB00" wp14:editId="4229DBA5">
          <wp:simplePos x="0" y="0"/>
          <wp:positionH relativeFrom="page">
            <wp:posOffset>723900</wp:posOffset>
          </wp:positionH>
          <wp:positionV relativeFrom="page">
            <wp:posOffset>10149840</wp:posOffset>
          </wp:positionV>
          <wp:extent cx="6119495" cy="382270"/>
          <wp:effectExtent l="0" t="0" r="0" b="0"/>
          <wp:wrapNone/>
          <wp:docPr id="27" name="Picture 27"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PT-Aqua-H1-1stPageFooter.png"/>
                  <pic:cNvPicPr/>
                </pic:nvPicPr>
                <pic:blipFill>
                  <a:blip r:embed="rId1">
                    <a:extLst>
                      <a:ext uri="{28A0092B-C50C-407E-A947-70E740481C1C}">
                        <a14:useLocalDpi xmlns:a14="http://schemas.microsoft.com/office/drawing/2010/main" val="0"/>
                      </a:ext>
                    </a:extLst>
                  </a:blip>
                  <a:stretch>
                    <a:fillRect/>
                  </a:stretch>
                </pic:blipFill>
                <pic:spPr>
                  <a:xfrm>
                    <a:off x="0" y="0"/>
                    <a:ext cx="6119495" cy="382270"/>
                  </a:xfrm>
                  <a:prstGeom prst="rect">
                    <a:avLst/>
                  </a:prstGeom>
                </pic:spPr>
              </pic:pic>
            </a:graphicData>
          </a:graphic>
          <wp14:sizeRelH relativeFrom="margin">
            <wp14:pctWidth>0</wp14:pctWidth>
          </wp14:sizeRelH>
          <wp14:sizeRelV relativeFrom="margin">
            <wp14:pctHeight>0</wp14:pctHeight>
          </wp14:sizeRelV>
        </wp:anchor>
      </w:drawing>
    </w:r>
    <w:r>
      <w:tab/>
      <w:t>Engaging the Private Sector Guidance Note</w:t>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CB5E76">
      <w:rPr>
        <w:rStyle w:val="PageNumber"/>
        <w:noProof/>
      </w:rPr>
      <w:t>i</w:t>
    </w:r>
    <w:r w:rsidRPr="00F5404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CA594" w14:textId="77777777" w:rsidR="003F4A03" w:rsidRDefault="003F4A03" w:rsidP="007C42D8">
    <w:pPr>
      <w:pStyle w:val="Classification"/>
    </w:pPr>
    <w:r>
      <w:rPr>
        <w:noProof/>
        <w:lang w:val="en-AU" w:eastAsia="en-AU"/>
      </w:rPr>
      <w:drawing>
        <wp:anchor distT="0" distB="0" distL="114300" distR="114300" simplePos="0" relativeHeight="251730944" behindDoc="1" locked="0" layoutInCell="1" allowOverlap="1" wp14:anchorId="7B7A9679" wp14:editId="28EB9140">
          <wp:simplePos x="0" y="0"/>
          <wp:positionH relativeFrom="page">
            <wp:posOffset>723900</wp:posOffset>
          </wp:positionH>
          <wp:positionV relativeFrom="page">
            <wp:posOffset>10156190</wp:posOffset>
          </wp:positionV>
          <wp:extent cx="6119495" cy="382270"/>
          <wp:effectExtent l="0" t="0" r="0" b="0"/>
          <wp:wrapNone/>
          <wp:docPr id="50" name="Picture 50"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PT-Aqua-H1-1stPageFooter.png"/>
                  <pic:cNvPicPr/>
                </pic:nvPicPr>
                <pic:blipFill>
                  <a:blip r:embed="rId1">
                    <a:extLst>
                      <a:ext uri="{28A0092B-C50C-407E-A947-70E740481C1C}">
                        <a14:useLocalDpi xmlns:a14="http://schemas.microsoft.com/office/drawing/2010/main" val="0"/>
                      </a:ext>
                    </a:extLst>
                  </a:blip>
                  <a:stretch>
                    <a:fillRect/>
                  </a:stretch>
                </pic:blipFill>
                <pic:spPr>
                  <a:xfrm>
                    <a:off x="0" y="0"/>
                    <a:ext cx="6119495" cy="382270"/>
                  </a:xfrm>
                  <a:prstGeom prst="rect">
                    <a:avLst/>
                  </a:prstGeom>
                </pic:spPr>
              </pic:pic>
            </a:graphicData>
          </a:graphic>
          <wp14:sizeRelH relativeFrom="margin">
            <wp14:pctWidth>0</wp14:pctWidth>
          </wp14:sizeRelH>
          <wp14:sizeRelV relativeFrom="margin">
            <wp14:pctHeight>0</wp14:pctHeight>
          </wp14:sizeRelV>
        </wp:anchor>
      </w:drawing>
    </w:r>
  </w:p>
  <w:p w14:paraId="52D8ECD7" w14:textId="6B943065" w:rsidR="003F4A03" w:rsidRPr="00FC41C2" w:rsidRDefault="003F4A03" w:rsidP="00FC41C2">
    <w:pPr>
      <w:pStyle w:val="Footer"/>
      <w:ind w:right="-45"/>
    </w:pPr>
    <w:r>
      <w:t xml:space="preserve">                                                                                                                                                                                   Engaging the Private Sector Guidance Note</w:t>
    </w:r>
    <w:r>
      <w:tab/>
    </w:r>
    <w:r w:rsidRPr="00FC41C2">
      <w:rPr>
        <w:rStyle w:val="PageNumber"/>
        <w:color w:val="FFFFFF" w:themeColor="background1"/>
      </w:rPr>
      <w:fldChar w:fldCharType="begin"/>
    </w:r>
    <w:r w:rsidRPr="00FC41C2">
      <w:rPr>
        <w:rStyle w:val="PageNumber"/>
        <w:color w:val="FFFFFF" w:themeColor="background1"/>
      </w:rPr>
      <w:instrText xml:space="preserve"> PAGE   \* MERGEFORMAT </w:instrText>
    </w:r>
    <w:r w:rsidRPr="00FC41C2">
      <w:rPr>
        <w:rStyle w:val="PageNumber"/>
        <w:color w:val="FFFFFF" w:themeColor="background1"/>
      </w:rPr>
      <w:fldChar w:fldCharType="separate"/>
    </w:r>
    <w:r w:rsidR="00CB5E76">
      <w:rPr>
        <w:rStyle w:val="PageNumber"/>
        <w:noProof/>
        <w:color w:val="FFFFFF" w:themeColor="background1"/>
      </w:rPr>
      <w:t>16</w:t>
    </w:r>
    <w:r w:rsidRPr="00FC41C2">
      <w:rPr>
        <w:rStyle w:val="PageNumber"/>
        <w:color w:val="FFFFFF" w:themeColor="background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98D62" w14:textId="77777777" w:rsidR="003F4A03" w:rsidRDefault="003F4A03" w:rsidP="00D203EB">
    <w:pPr>
      <w:pStyle w:val="Classification"/>
    </w:pPr>
    <w:r>
      <w:rPr>
        <w:noProof/>
        <w:lang w:val="en-AU" w:eastAsia="en-AU"/>
      </w:rPr>
      <w:drawing>
        <wp:anchor distT="0" distB="0" distL="114300" distR="114300" simplePos="0" relativeHeight="251731968" behindDoc="1" locked="0" layoutInCell="1" allowOverlap="1" wp14:anchorId="15600C34" wp14:editId="20C0E48F">
          <wp:simplePos x="0" y="0"/>
          <wp:positionH relativeFrom="page">
            <wp:posOffset>723900</wp:posOffset>
          </wp:positionH>
          <wp:positionV relativeFrom="page">
            <wp:posOffset>10156190</wp:posOffset>
          </wp:positionV>
          <wp:extent cx="6119495" cy="382270"/>
          <wp:effectExtent l="0" t="0" r="0" b="0"/>
          <wp:wrapNone/>
          <wp:docPr id="52" name="Picture 52"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PT-Aqua-H1-1stPageFooter.png"/>
                  <pic:cNvPicPr/>
                </pic:nvPicPr>
                <pic:blipFill>
                  <a:blip r:embed="rId1">
                    <a:extLst>
                      <a:ext uri="{28A0092B-C50C-407E-A947-70E740481C1C}">
                        <a14:useLocalDpi xmlns:a14="http://schemas.microsoft.com/office/drawing/2010/main" val="0"/>
                      </a:ext>
                    </a:extLst>
                  </a:blip>
                  <a:stretch>
                    <a:fillRect/>
                  </a:stretch>
                </pic:blipFill>
                <pic:spPr>
                  <a:xfrm>
                    <a:off x="0" y="0"/>
                    <a:ext cx="6119495" cy="382270"/>
                  </a:xfrm>
                  <a:prstGeom prst="rect">
                    <a:avLst/>
                  </a:prstGeom>
                </pic:spPr>
              </pic:pic>
            </a:graphicData>
          </a:graphic>
          <wp14:sizeRelH relativeFrom="margin">
            <wp14:pctWidth>0</wp14:pctWidth>
          </wp14:sizeRelH>
          <wp14:sizeRelV relativeFrom="margin">
            <wp14:pctHeight>0</wp14:pctHeight>
          </wp14:sizeRelV>
        </wp:anchor>
      </w:drawing>
    </w:r>
  </w:p>
  <w:p w14:paraId="5471C80F" w14:textId="4BEC9322" w:rsidR="003F4A03" w:rsidRDefault="003F4A03" w:rsidP="003A5358">
    <w:pPr>
      <w:pStyle w:val="Footer"/>
    </w:pPr>
    <w:r>
      <w:tab/>
    </w:r>
    <w:r w:rsidRPr="005B583F">
      <w:fldChar w:fldCharType="begin"/>
    </w:r>
    <w:r>
      <w:instrText xml:space="preserve"> STYLEREF  Title  \* MERGEFORMAT </w:instrText>
    </w:r>
    <w:r w:rsidRPr="005B583F">
      <w:fldChar w:fldCharType="separate"/>
    </w:r>
    <w:r w:rsidR="00105E80">
      <w:rPr>
        <w:noProof/>
      </w:rPr>
      <w:t>Guidance note</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3</w:t>
    </w:r>
    <w:r w:rsidRPr="005B583F">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E9CA0" w14:textId="77777777" w:rsidR="003F4A03" w:rsidRDefault="003F4A03" w:rsidP="007C42D8">
    <w:pPr>
      <w:pStyle w:val="Classification"/>
    </w:pPr>
    <w:r>
      <w:rPr>
        <w:noProof/>
        <w:lang w:val="en-AU" w:eastAsia="en-AU"/>
      </w:rPr>
      <w:drawing>
        <wp:anchor distT="0" distB="0" distL="114300" distR="114300" simplePos="0" relativeHeight="251713536" behindDoc="1" locked="0" layoutInCell="1" allowOverlap="1" wp14:anchorId="488F8B03" wp14:editId="45D4D1A0">
          <wp:simplePos x="0" y="0"/>
          <wp:positionH relativeFrom="page">
            <wp:posOffset>723900</wp:posOffset>
          </wp:positionH>
          <wp:positionV relativeFrom="page">
            <wp:posOffset>10156190</wp:posOffset>
          </wp:positionV>
          <wp:extent cx="6119495" cy="382270"/>
          <wp:effectExtent l="0" t="0" r="0" b="0"/>
          <wp:wrapNone/>
          <wp:docPr id="38" name="Picture 3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PT-Aqua-H1-1stPageFooter.png"/>
                  <pic:cNvPicPr/>
                </pic:nvPicPr>
                <pic:blipFill>
                  <a:blip r:embed="rId1">
                    <a:extLst>
                      <a:ext uri="{28A0092B-C50C-407E-A947-70E740481C1C}">
                        <a14:useLocalDpi xmlns:a14="http://schemas.microsoft.com/office/drawing/2010/main" val="0"/>
                      </a:ext>
                    </a:extLst>
                  </a:blip>
                  <a:stretch>
                    <a:fillRect/>
                  </a:stretch>
                </pic:blipFill>
                <pic:spPr>
                  <a:xfrm>
                    <a:off x="0" y="0"/>
                    <a:ext cx="6119495" cy="382270"/>
                  </a:xfrm>
                  <a:prstGeom prst="rect">
                    <a:avLst/>
                  </a:prstGeom>
                </pic:spPr>
              </pic:pic>
            </a:graphicData>
          </a:graphic>
          <wp14:sizeRelH relativeFrom="margin">
            <wp14:pctWidth>0</wp14:pctWidth>
          </wp14:sizeRelH>
          <wp14:sizeRelV relativeFrom="margin">
            <wp14:pctHeight>0</wp14:pctHeight>
          </wp14:sizeRelV>
        </wp:anchor>
      </w:drawing>
    </w:r>
  </w:p>
  <w:p w14:paraId="253B8D9A" w14:textId="5D07822C" w:rsidR="003F4A03" w:rsidRPr="009F3D88" w:rsidRDefault="003F4A03" w:rsidP="009F3D88">
    <w:pPr>
      <w:pStyle w:val="Footer"/>
      <w:tabs>
        <w:tab w:val="clear" w:pos="9356"/>
        <w:tab w:val="clear" w:pos="10036"/>
        <w:tab w:val="center" w:pos="9214"/>
      </w:tabs>
      <w:ind w:right="-329"/>
    </w:pPr>
    <w:r>
      <w:t xml:space="preserve">                                                                                                                                                                                                      Engaging the Private Sector Guidance Note</w:t>
    </w:r>
    <w:r>
      <w:tab/>
    </w:r>
    <w:r w:rsidRPr="009F3D88">
      <w:rPr>
        <w:rStyle w:val="PageNumber"/>
        <w:color w:val="FFFFFF" w:themeColor="background1"/>
      </w:rPr>
      <w:fldChar w:fldCharType="begin"/>
    </w:r>
    <w:r w:rsidRPr="009F3D88">
      <w:rPr>
        <w:rStyle w:val="PageNumber"/>
        <w:color w:val="FFFFFF" w:themeColor="background1"/>
      </w:rPr>
      <w:instrText xml:space="preserve"> PAGE   \* MERGEFORMAT </w:instrText>
    </w:r>
    <w:r w:rsidRPr="009F3D88">
      <w:rPr>
        <w:rStyle w:val="PageNumber"/>
        <w:color w:val="FFFFFF" w:themeColor="background1"/>
      </w:rPr>
      <w:fldChar w:fldCharType="separate"/>
    </w:r>
    <w:r w:rsidR="00CB5E76">
      <w:rPr>
        <w:rStyle w:val="PageNumber"/>
        <w:noProof/>
        <w:color w:val="FFFFFF" w:themeColor="background1"/>
      </w:rPr>
      <w:t>20</w:t>
    </w:r>
    <w:r w:rsidRPr="009F3D88">
      <w:rPr>
        <w:rStyle w:val="PageNumber"/>
        <w:color w:val="FFFFFF" w:themeColor="background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02561" w14:textId="77777777" w:rsidR="003F4A03" w:rsidRDefault="003F4A03" w:rsidP="00D203EB">
    <w:pPr>
      <w:pStyle w:val="Classification"/>
    </w:pPr>
    <w:r>
      <w:rPr>
        <w:noProof/>
        <w:lang w:val="en-AU" w:eastAsia="en-AU"/>
      </w:rPr>
      <w:drawing>
        <wp:anchor distT="0" distB="0" distL="114300" distR="114300" simplePos="0" relativeHeight="251717632" behindDoc="1" locked="0" layoutInCell="1" allowOverlap="1" wp14:anchorId="2A78F6A9" wp14:editId="7D9B7E0B">
          <wp:simplePos x="0" y="0"/>
          <wp:positionH relativeFrom="page">
            <wp:posOffset>723900</wp:posOffset>
          </wp:positionH>
          <wp:positionV relativeFrom="page">
            <wp:posOffset>10156190</wp:posOffset>
          </wp:positionV>
          <wp:extent cx="6119495" cy="382270"/>
          <wp:effectExtent l="0" t="0" r="0" b="0"/>
          <wp:wrapNone/>
          <wp:docPr id="44" name="Picture 44"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PT-Aqua-H1-1stPageFooter.png"/>
                  <pic:cNvPicPr/>
                </pic:nvPicPr>
                <pic:blipFill>
                  <a:blip r:embed="rId1">
                    <a:extLst>
                      <a:ext uri="{28A0092B-C50C-407E-A947-70E740481C1C}">
                        <a14:useLocalDpi xmlns:a14="http://schemas.microsoft.com/office/drawing/2010/main" val="0"/>
                      </a:ext>
                    </a:extLst>
                  </a:blip>
                  <a:stretch>
                    <a:fillRect/>
                  </a:stretch>
                </pic:blipFill>
                <pic:spPr>
                  <a:xfrm>
                    <a:off x="0" y="0"/>
                    <a:ext cx="6119495" cy="382270"/>
                  </a:xfrm>
                  <a:prstGeom prst="rect">
                    <a:avLst/>
                  </a:prstGeom>
                </pic:spPr>
              </pic:pic>
            </a:graphicData>
          </a:graphic>
          <wp14:sizeRelH relativeFrom="margin">
            <wp14:pctWidth>0</wp14:pctWidth>
          </wp14:sizeRelH>
          <wp14:sizeRelV relativeFrom="margin">
            <wp14:pctHeight>0</wp14:pctHeight>
          </wp14:sizeRelV>
        </wp:anchor>
      </w:drawing>
    </w:r>
  </w:p>
  <w:p w14:paraId="1F46CBB0" w14:textId="0ED986CF" w:rsidR="003F4A03" w:rsidRDefault="003F4A03" w:rsidP="003A5358">
    <w:pPr>
      <w:pStyle w:val="Footer"/>
    </w:pPr>
    <w:r>
      <w:tab/>
    </w:r>
    <w:r w:rsidRPr="005B583F">
      <w:fldChar w:fldCharType="begin"/>
    </w:r>
    <w:r>
      <w:instrText xml:space="preserve"> STYLEREF  Title  \* MERGEFORMAT </w:instrText>
    </w:r>
    <w:r w:rsidRPr="005B583F">
      <w:fldChar w:fldCharType="separate"/>
    </w:r>
    <w:r w:rsidR="00105E80">
      <w:rPr>
        <w:noProof/>
      </w:rPr>
      <w:t>Guidance note</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3</w:t>
    </w:r>
    <w:r w:rsidRPr="005B583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FDA39" w14:textId="77777777" w:rsidR="003F4A03" w:rsidRPr="008C5A0E" w:rsidRDefault="003F4A03" w:rsidP="003A5358">
      <w:pPr>
        <w:pStyle w:val="FootnoteSeparator"/>
      </w:pPr>
    </w:p>
  </w:footnote>
  <w:footnote w:type="continuationSeparator" w:id="0">
    <w:p w14:paraId="242F9744" w14:textId="77777777" w:rsidR="003F4A03" w:rsidRDefault="003F4A03" w:rsidP="003A5358">
      <w:r>
        <w:continuationSeparator/>
      </w:r>
    </w:p>
  </w:footnote>
  <w:footnote w:type="continuationNotice" w:id="1">
    <w:p w14:paraId="0CFE1A6C" w14:textId="77777777" w:rsidR="003F4A03" w:rsidRDefault="003F4A03">
      <w:pPr>
        <w:spacing w:before="0" w:after="0" w:line="240" w:lineRule="auto"/>
      </w:pPr>
    </w:p>
  </w:footnote>
  <w:footnote w:id="2">
    <w:p w14:paraId="513F653B" w14:textId="77777777" w:rsidR="003F4A03" w:rsidRPr="00931D7C" w:rsidRDefault="003F4A03" w:rsidP="00931D7C">
      <w:pPr>
        <w:rPr>
          <w:rStyle w:val="FootnoteReference"/>
          <w:sz w:val="16"/>
          <w:szCs w:val="16"/>
          <w:vertAlign w:val="baseline"/>
        </w:rPr>
      </w:pPr>
      <w:r w:rsidRPr="00931D7C">
        <w:rPr>
          <w:rStyle w:val="FootnoteReference"/>
          <w:sz w:val="16"/>
          <w:szCs w:val="16"/>
        </w:rPr>
        <w:footnoteRef/>
      </w:r>
      <w:r w:rsidRPr="00931D7C">
        <w:rPr>
          <w:rStyle w:val="FootnoteReference"/>
          <w:sz w:val="16"/>
          <w:szCs w:val="16"/>
          <w:vertAlign w:val="baseline"/>
        </w:rPr>
        <w:t xml:space="preserve"> See OECD definition on key terms and modalities for private sector engagement: </w:t>
      </w:r>
      <w:hyperlink r:id="rId1" w:history="1">
        <w:r w:rsidRPr="00931D7C">
          <w:rPr>
            <w:rStyle w:val="FootnoteReference"/>
            <w:sz w:val="16"/>
            <w:szCs w:val="16"/>
            <w:vertAlign w:val="baseline"/>
          </w:rPr>
          <w:t>http://www.oecd.org/dac/p</w:t>
        </w:r>
        <w:r w:rsidRPr="00931D7C">
          <w:rPr>
            <w:rStyle w:val="FootnoteReference"/>
            <w:sz w:val="16"/>
            <w:szCs w:val="16"/>
            <w:vertAlign w:val="baseline"/>
          </w:rPr>
          <w:t>e</w:t>
        </w:r>
        <w:r w:rsidRPr="00931D7C">
          <w:rPr>
            <w:rStyle w:val="FootnoteReference"/>
            <w:sz w:val="16"/>
            <w:szCs w:val="16"/>
            <w:vertAlign w:val="baseline"/>
          </w:rPr>
          <w:t>er-reviews/inventory-1-Private-Sector-Engagement-Terminology-and-Typology.pdf</w:t>
        </w:r>
      </w:hyperlink>
    </w:p>
    <w:p w14:paraId="081B5E61" w14:textId="77777777" w:rsidR="003F4A03" w:rsidRPr="00931D7C" w:rsidRDefault="003F4A03">
      <w:pPr>
        <w:pStyle w:val="FootnoteText"/>
        <w:rPr>
          <w:lang w:val="en-US"/>
        </w:rPr>
      </w:pPr>
    </w:p>
  </w:footnote>
  <w:footnote w:id="3">
    <w:p w14:paraId="1D006FD4" w14:textId="77777777" w:rsidR="003F4A03" w:rsidRPr="00727380" w:rsidRDefault="003F4A03" w:rsidP="00BC5F46">
      <w:pPr>
        <w:pStyle w:val="FootnoteText"/>
        <w:rPr>
          <w:szCs w:val="16"/>
          <w:lang w:val="en-AU"/>
        </w:rPr>
      </w:pPr>
      <w:r w:rsidRPr="00727380">
        <w:rPr>
          <w:rStyle w:val="FootnoteReference"/>
          <w:szCs w:val="16"/>
        </w:rPr>
        <w:footnoteRef/>
      </w:r>
      <w:r w:rsidRPr="00727380">
        <w:rPr>
          <w:szCs w:val="16"/>
        </w:rPr>
        <w:t xml:space="preserve"> </w:t>
      </w:r>
      <w:r w:rsidRPr="00727380">
        <w:rPr>
          <w:szCs w:val="16"/>
          <w:lang w:val="en-AU"/>
        </w:rPr>
        <w:t xml:space="preserve">DCED Guiding Principles: </w:t>
      </w:r>
      <w:hyperlink r:id="rId2" w:history="1">
        <w:r w:rsidRPr="00727380">
          <w:rPr>
            <w:rStyle w:val="Hyperlink"/>
            <w:rFonts w:cstheme="minorBidi"/>
            <w:szCs w:val="16"/>
            <w:lang w:val="en-AU"/>
          </w:rPr>
          <w:t>https://www.enterprise-development.org/dced-guidance/</w:t>
        </w:r>
        <w:r w:rsidRPr="00727380">
          <w:rPr>
            <w:rStyle w:val="Hyperlink"/>
            <w:rFonts w:cstheme="minorBidi"/>
            <w:szCs w:val="16"/>
            <w:lang w:val="en-AU"/>
          </w:rPr>
          <w:t>b</w:t>
        </w:r>
        <w:r w:rsidRPr="00727380">
          <w:rPr>
            <w:rStyle w:val="Hyperlink"/>
            <w:rFonts w:cstheme="minorBidi"/>
            <w:szCs w:val="16"/>
            <w:lang w:val="en-AU"/>
          </w:rPr>
          <w:t>usiness-development-services-dced-guiding-principles/</w:t>
        </w:r>
      </w:hyperlink>
      <w:r w:rsidRPr="00727380">
        <w:rPr>
          <w:szCs w:val="16"/>
          <w:lang w:val="en-AU"/>
        </w:rPr>
        <w:t xml:space="preserve"> </w:t>
      </w:r>
    </w:p>
  </w:footnote>
  <w:footnote w:id="4">
    <w:p w14:paraId="34CEE185" w14:textId="77777777" w:rsidR="003F4A03" w:rsidRPr="00727380" w:rsidRDefault="003F4A03" w:rsidP="00BC5F46">
      <w:pPr>
        <w:pStyle w:val="FootnoteText"/>
        <w:rPr>
          <w:szCs w:val="16"/>
        </w:rPr>
      </w:pPr>
      <w:r w:rsidRPr="00727380">
        <w:rPr>
          <w:rStyle w:val="FootnoteReference"/>
          <w:szCs w:val="16"/>
        </w:rPr>
        <w:footnoteRef/>
      </w:r>
      <w:r w:rsidRPr="00727380">
        <w:rPr>
          <w:szCs w:val="16"/>
        </w:rPr>
        <w:t xml:space="preserve"> DFI Working Group on Blended Concessional Finance for Private Sector Projects, Summary Report, October 2017</w:t>
      </w:r>
    </w:p>
  </w:footnote>
  <w:footnote w:id="5">
    <w:p w14:paraId="7FAE8C6B" w14:textId="77777777" w:rsidR="003F4A03" w:rsidRPr="00727380" w:rsidRDefault="003F4A03" w:rsidP="00BC5F46">
      <w:pPr>
        <w:pStyle w:val="FootnoteText"/>
        <w:rPr>
          <w:szCs w:val="16"/>
          <w:lang w:val="en-AU"/>
        </w:rPr>
      </w:pPr>
      <w:r w:rsidRPr="00727380">
        <w:rPr>
          <w:rStyle w:val="FootnoteReference"/>
          <w:szCs w:val="16"/>
        </w:rPr>
        <w:footnoteRef/>
      </w:r>
      <w:r w:rsidRPr="00727380">
        <w:rPr>
          <w:szCs w:val="16"/>
        </w:rPr>
        <w:t xml:space="preserve"> </w:t>
      </w:r>
      <w:r w:rsidRPr="00727380">
        <w:rPr>
          <w:szCs w:val="16"/>
          <w:lang w:val="en-AU"/>
        </w:rPr>
        <w:t xml:space="preserve">Klugman, J &amp; Tyson L. 2016, </w:t>
      </w:r>
      <w:r w:rsidRPr="00727380">
        <w:rPr>
          <w:i/>
          <w:szCs w:val="16"/>
          <w:lang w:val="en-AU"/>
        </w:rPr>
        <w:t xml:space="preserve">A Call to Action for Gender Equality and Women’s Economic Empowerment, </w:t>
      </w:r>
      <w:r w:rsidRPr="00727380">
        <w:rPr>
          <w:szCs w:val="16"/>
          <w:lang w:val="en-AU"/>
        </w:rPr>
        <w:t xml:space="preserve">United Nations High Level Panel on Women’s Economic Empowerment. </w:t>
      </w:r>
    </w:p>
  </w:footnote>
  <w:footnote w:id="6">
    <w:p w14:paraId="664DF4A8" w14:textId="77777777" w:rsidR="003F4A03" w:rsidRPr="00727380" w:rsidRDefault="003F4A03" w:rsidP="00BC5F46">
      <w:pPr>
        <w:pStyle w:val="FootnoteText"/>
        <w:rPr>
          <w:szCs w:val="16"/>
        </w:rPr>
      </w:pPr>
      <w:r w:rsidRPr="00727380">
        <w:rPr>
          <w:rStyle w:val="FootnoteReference"/>
          <w:szCs w:val="16"/>
        </w:rPr>
        <w:footnoteRef/>
      </w:r>
      <w:r w:rsidRPr="00727380">
        <w:rPr>
          <w:szCs w:val="16"/>
        </w:rPr>
        <w:t xml:space="preserve"> Klugman &amp; Tyson 2016; 2011, World Development Report 2012 - Gender and Development, World Bank, Washington. </w:t>
      </w:r>
    </w:p>
  </w:footnote>
  <w:footnote w:id="7">
    <w:p w14:paraId="57AFC0C0" w14:textId="77777777" w:rsidR="003F4A03" w:rsidRPr="00727380" w:rsidRDefault="003F4A03" w:rsidP="00BC5F46">
      <w:pPr>
        <w:pStyle w:val="FootnoteText"/>
        <w:rPr>
          <w:szCs w:val="16"/>
        </w:rPr>
      </w:pPr>
      <w:r w:rsidRPr="00727380">
        <w:rPr>
          <w:rStyle w:val="FootnoteReference"/>
          <w:szCs w:val="16"/>
        </w:rPr>
        <w:footnoteRef/>
      </w:r>
      <w:r w:rsidRPr="00727380">
        <w:rPr>
          <w:szCs w:val="16"/>
        </w:rPr>
        <w:t xml:space="preserve"> </w:t>
      </w:r>
      <w:proofErr w:type="spellStart"/>
      <w:r w:rsidRPr="00727380">
        <w:rPr>
          <w:szCs w:val="16"/>
        </w:rPr>
        <w:t>Woetzel</w:t>
      </w:r>
      <w:proofErr w:type="spellEnd"/>
      <w:r w:rsidRPr="00727380">
        <w:rPr>
          <w:szCs w:val="16"/>
        </w:rPr>
        <w:t xml:space="preserve"> et al., 2015</w:t>
      </w:r>
    </w:p>
  </w:footnote>
  <w:footnote w:id="8">
    <w:p w14:paraId="7F9A2109" w14:textId="26628272" w:rsidR="003F4A03" w:rsidRPr="00727380" w:rsidRDefault="003F4A03" w:rsidP="00BC5F46">
      <w:pPr>
        <w:pStyle w:val="FootnoteText"/>
        <w:rPr>
          <w:szCs w:val="16"/>
          <w:lang w:val="en-AU"/>
        </w:rPr>
      </w:pPr>
      <w:r w:rsidRPr="00727380">
        <w:rPr>
          <w:rStyle w:val="FootnoteReference"/>
          <w:szCs w:val="16"/>
        </w:rPr>
        <w:footnoteRef/>
      </w:r>
      <w:r w:rsidRPr="00727380">
        <w:rPr>
          <w:szCs w:val="16"/>
        </w:rPr>
        <w:t xml:space="preserve"> </w:t>
      </w:r>
      <w:hyperlink r:id="rId3" w:history="1">
        <w:r w:rsidR="00EF740B" w:rsidRPr="005C4CCD">
          <w:rPr>
            <w:rStyle w:val="Hyperlink"/>
            <w:szCs w:val="16"/>
          </w:rPr>
          <w:t>https://www.enterprise-development.org/wp-content/uploads/DCED_DemonstratingAdditionality_OnePageSummary.pdf</w:t>
        </w:r>
      </w:hyperlink>
    </w:p>
  </w:footnote>
  <w:footnote w:id="9">
    <w:p w14:paraId="56F2452A" w14:textId="77777777" w:rsidR="003F4A03" w:rsidRPr="00727380" w:rsidRDefault="003F4A03" w:rsidP="00BC5F46">
      <w:pPr>
        <w:pStyle w:val="FootnoteText"/>
        <w:rPr>
          <w:szCs w:val="16"/>
          <w:lang w:val="en-AU"/>
        </w:rPr>
      </w:pPr>
      <w:r w:rsidRPr="00727380">
        <w:rPr>
          <w:rStyle w:val="FootnoteReference"/>
          <w:szCs w:val="16"/>
        </w:rPr>
        <w:footnoteRef/>
      </w:r>
      <w:r w:rsidRPr="00727380">
        <w:rPr>
          <w:szCs w:val="16"/>
        </w:rPr>
        <w:t xml:space="preserve"> </w:t>
      </w:r>
      <w:hyperlink r:id="rId4" w:history="1">
        <w:r w:rsidRPr="00727380">
          <w:rPr>
            <w:rStyle w:val="Hyperlink"/>
            <w:rFonts w:eastAsia="Times New Roman"/>
            <w:szCs w:val="16"/>
          </w:rPr>
          <w:t>www.partnershipbrokers.org</w:t>
        </w:r>
      </w:hyperlink>
    </w:p>
  </w:footnote>
  <w:footnote w:id="10">
    <w:p w14:paraId="27542F81" w14:textId="7A9C8C49" w:rsidR="003F4A03" w:rsidRPr="00727380" w:rsidRDefault="003F4A03" w:rsidP="00BC5F46">
      <w:pPr>
        <w:pStyle w:val="FootnoteText"/>
        <w:rPr>
          <w:szCs w:val="16"/>
        </w:rPr>
      </w:pPr>
      <w:r w:rsidRPr="00727380">
        <w:rPr>
          <w:rStyle w:val="FootnoteReference"/>
          <w:szCs w:val="16"/>
        </w:rPr>
        <w:footnoteRef/>
      </w:r>
      <w:r w:rsidRPr="00727380">
        <w:rPr>
          <w:szCs w:val="16"/>
        </w:rPr>
        <w:t xml:space="preserve"> </w:t>
      </w:r>
      <w:proofErr w:type="spellStart"/>
      <w:r w:rsidRPr="00727380">
        <w:rPr>
          <w:szCs w:val="16"/>
        </w:rPr>
        <w:t>MercyCorp</w:t>
      </w:r>
      <w:proofErr w:type="spellEnd"/>
      <w:r w:rsidRPr="00727380">
        <w:rPr>
          <w:szCs w:val="16"/>
        </w:rPr>
        <w:t xml:space="preserve"> Private Sector Engagement Toolkit, </w:t>
      </w:r>
      <w:hyperlink r:id="rId5" w:history="1">
        <w:r w:rsidR="00DD5629">
          <w:rPr>
            <w:rStyle w:val="Hyperlink"/>
            <w:rFonts w:cstheme="minorBidi"/>
            <w:szCs w:val="16"/>
          </w:rPr>
          <w:t>https://www.mercycorps.org/research-resources/private-sector-engagement-tool-kit</w:t>
        </w:r>
      </w:hyperlink>
    </w:p>
  </w:footnote>
  <w:footnote w:id="11">
    <w:p w14:paraId="63AF3A22" w14:textId="77777777" w:rsidR="003F4A03" w:rsidRPr="00727380" w:rsidRDefault="003F4A03" w:rsidP="00BC5F46">
      <w:pPr>
        <w:pStyle w:val="FootnoteText"/>
        <w:rPr>
          <w:szCs w:val="16"/>
        </w:rPr>
      </w:pPr>
      <w:r w:rsidRPr="00727380">
        <w:rPr>
          <w:rStyle w:val="FootnoteReference"/>
          <w:szCs w:val="16"/>
        </w:rPr>
        <w:footnoteRef/>
      </w:r>
      <w:r w:rsidRPr="00727380">
        <w:rPr>
          <w:szCs w:val="16"/>
        </w:rPr>
        <w:t xml:space="preserve"> A </w:t>
      </w:r>
      <w:r w:rsidRPr="00727380">
        <w:rPr>
          <w:b/>
          <w:i/>
          <w:szCs w:val="16"/>
        </w:rPr>
        <w:t>health check</w:t>
      </w:r>
      <w:r w:rsidRPr="00727380">
        <w:rPr>
          <w:b/>
          <w:szCs w:val="16"/>
        </w:rPr>
        <w:t xml:space="preserve"> </w:t>
      </w:r>
      <w:r w:rsidRPr="00727380">
        <w:rPr>
          <w:szCs w:val="16"/>
        </w:rPr>
        <w:t>is a review and discussion of partnership progress, and often provides an opportunity to update partnership arrangements.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05193" w14:textId="77777777" w:rsidR="003F4A03" w:rsidRPr="00806503" w:rsidRDefault="003F4A03" w:rsidP="00057479">
    <w:pPr>
      <w:pStyle w:val="Classification"/>
    </w:pPr>
    <w:r w:rsidRPr="00B92E1E">
      <w:rPr>
        <w:noProof/>
        <w:lang w:val="en-AU" w:eastAsia="en-AU"/>
      </w:rPr>
      <w:drawing>
        <wp:anchor distT="0" distB="0" distL="114300" distR="114300" simplePos="0" relativeHeight="251738112" behindDoc="1" locked="1" layoutInCell="1" allowOverlap="1" wp14:anchorId="1357E95C" wp14:editId="2EA02592">
          <wp:simplePos x="0" y="0"/>
          <wp:positionH relativeFrom="page">
            <wp:posOffset>726440</wp:posOffset>
          </wp:positionH>
          <wp:positionV relativeFrom="page">
            <wp:posOffset>3312795</wp:posOffset>
          </wp:positionV>
          <wp:extent cx="3162300" cy="554355"/>
          <wp:effectExtent l="0" t="0" r="0" b="0"/>
          <wp:wrapNone/>
          <wp:docPr id="2" name="Picture 2" descr="Department of Foreign Affairs and Trade" title="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2300" cy="554355"/>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737088" behindDoc="1" locked="1" layoutInCell="1" allowOverlap="1" wp14:anchorId="50CE1FE4" wp14:editId="0EAA3D1B">
          <wp:simplePos x="0" y="0"/>
          <wp:positionH relativeFrom="page">
            <wp:align>left</wp:align>
          </wp:positionH>
          <wp:positionV relativeFrom="page">
            <wp:align>center</wp:align>
          </wp:positionV>
          <wp:extent cx="7559040" cy="10692765"/>
          <wp:effectExtent l="0" t="0" r="3810" b="0"/>
          <wp:wrapNone/>
          <wp:docPr id="4" name="Picture 4" descr="Cover background image" title="Cov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38"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684D1" w14:textId="77777777" w:rsidR="003F4A03" w:rsidRDefault="003F4A03" w:rsidP="00A75A27">
    <w:pPr>
      <w:pStyle w:val="Classification"/>
    </w:pPr>
    <w:r w:rsidRPr="00B92E1E">
      <w:rPr>
        <w:noProof/>
        <w:lang w:val="en-AU" w:eastAsia="en-AU"/>
      </w:rPr>
      <w:drawing>
        <wp:anchor distT="0" distB="0" distL="114300" distR="114300" simplePos="0" relativeHeight="251740160" behindDoc="1" locked="1" layoutInCell="1" allowOverlap="1" wp14:anchorId="33F6EF07" wp14:editId="233CBE8E">
          <wp:simplePos x="0" y="0"/>
          <wp:positionH relativeFrom="page">
            <wp:posOffset>720090</wp:posOffset>
          </wp:positionH>
          <wp:positionV relativeFrom="page">
            <wp:posOffset>3311525</wp:posOffset>
          </wp:positionV>
          <wp:extent cx="3167380" cy="554355"/>
          <wp:effectExtent l="0" t="0" r="0" b="0"/>
          <wp:wrapNone/>
          <wp:docPr id="5" name="Picture 5"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7380" cy="554355"/>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735040" behindDoc="1" locked="1" layoutInCell="1" allowOverlap="1" wp14:anchorId="6C670D59" wp14:editId="4877FF46">
          <wp:simplePos x="0" y="0"/>
          <wp:positionH relativeFrom="page">
            <wp:posOffset>0</wp:posOffset>
          </wp:positionH>
          <wp:positionV relativeFrom="page">
            <wp:posOffset>4968875</wp:posOffset>
          </wp:positionV>
          <wp:extent cx="5039995" cy="4180205"/>
          <wp:effectExtent l="0" t="0" r="8255" b="0"/>
          <wp:wrapNone/>
          <wp:docPr id="6" name="Picture 6"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736064" behindDoc="1" locked="1" layoutInCell="1" allowOverlap="1" wp14:anchorId="3E8908A8" wp14:editId="2A1DE1E9">
          <wp:simplePos x="0" y="0"/>
          <wp:positionH relativeFrom="page">
            <wp:align>left</wp:align>
          </wp:positionH>
          <wp:positionV relativeFrom="page">
            <wp:align>center</wp:align>
          </wp:positionV>
          <wp:extent cx="7559040" cy="10692765"/>
          <wp:effectExtent l="0" t="0" r="3810" b="0"/>
          <wp:wrapNone/>
          <wp:docPr id="7" name="Picture 7" descr="Cover background image" title="Cov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A159C" w14:textId="77777777" w:rsidR="003F4A03" w:rsidRPr="00806503" w:rsidRDefault="003F4A03" w:rsidP="00057479">
    <w:pPr>
      <w:pStyle w:val="Classification"/>
    </w:pPr>
    <w:r>
      <w:rPr>
        <w:noProof/>
        <w:lang w:val="en-AU" w:eastAsia="en-AU"/>
      </w:rPr>
      <w:drawing>
        <wp:anchor distT="0" distB="0" distL="114300" distR="114300" simplePos="0" relativeHeight="251741184" behindDoc="1" locked="0" layoutInCell="1" allowOverlap="1" wp14:anchorId="5770690E" wp14:editId="0E7B2DE2">
          <wp:simplePos x="0" y="0"/>
          <wp:positionH relativeFrom="page">
            <wp:posOffset>724395</wp:posOffset>
          </wp:positionH>
          <wp:positionV relativeFrom="page">
            <wp:posOffset>182091</wp:posOffset>
          </wp:positionV>
          <wp:extent cx="6120000" cy="883798"/>
          <wp:effectExtent l="0" t="0" r="0" b="0"/>
          <wp:wrapNone/>
          <wp:docPr id="23" name="Picture 23"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PT-Aqua-H1-Header.png"/>
                  <pic:cNvPicPr/>
                </pic:nvPicPr>
                <pic:blipFill>
                  <a:blip r:embed="rId1">
                    <a:extLst>
                      <a:ext uri="{28A0092B-C50C-407E-A947-70E740481C1C}">
                        <a14:useLocalDpi xmlns:a14="http://schemas.microsoft.com/office/drawing/2010/main" val="0"/>
                      </a:ext>
                    </a:extLst>
                  </a:blip>
                  <a:stretch>
                    <a:fillRect/>
                  </a:stretch>
                </pic:blipFill>
                <pic:spPr>
                  <a:xfrm>
                    <a:off x="0" y="0"/>
                    <a:ext cx="6120000" cy="88379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8A092" w14:textId="77777777" w:rsidR="003F4A03" w:rsidRDefault="003F4A03" w:rsidP="003A5358">
    <w:pPr>
      <w:pStyle w:val="Header"/>
    </w:pPr>
    <w:r>
      <w:rPr>
        <w:noProof/>
        <w:lang w:val="en-AU" w:eastAsia="en-AU"/>
      </w:rPr>
      <w:drawing>
        <wp:anchor distT="0" distB="0" distL="114300" distR="114300" simplePos="0" relativeHeight="251743232" behindDoc="1" locked="0" layoutInCell="1" allowOverlap="1" wp14:anchorId="63F4A6A3" wp14:editId="3BA9B14D">
          <wp:simplePos x="0" y="0"/>
          <wp:positionH relativeFrom="page">
            <wp:posOffset>180340</wp:posOffset>
          </wp:positionH>
          <wp:positionV relativeFrom="page">
            <wp:posOffset>180340</wp:posOffset>
          </wp:positionV>
          <wp:extent cx="7200000" cy="2521440"/>
          <wp:effectExtent l="0" t="0" r="1270" b="0"/>
          <wp:wrapNone/>
          <wp:docPr id="25" name="Picture 25"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PT-Aqua-H1-1stPageHeader.png"/>
                  <pic:cNvPicPr/>
                </pic:nvPicPr>
                <pic:blipFill>
                  <a:blip r:embed="rId1">
                    <a:extLst>
                      <a:ext uri="{28A0092B-C50C-407E-A947-70E740481C1C}">
                        <a14:useLocalDpi xmlns:a14="http://schemas.microsoft.com/office/drawing/2010/main" val="0"/>
                      </a:ext>
                    </a:extLst>
                  </a:blip>
                  <a:stretch>
                    <a:fillRect/>
                  </a:stretch>
                </pic:blipFill>
                <pic:spPr>
                  <a:xfrm>
                    <a:off x="0" y="0"/>
                    <a:ext cx="7200000" cy="2521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09138" w14:textId="77777777" w:rsidR="003F4A03" w:rsidRPr="00806503" w:rsidRDefault="003F4A03" w:rsidP="007C42D8">
    <w:pPr>
      <w:pStyle w:val="Classification"/>
    </w:pPr>
    <w:r>
      <w:rPr>
        <w:noProof/>
        <w:lang w:val="en-AU" w:eastAsia="en-AU"/>
      </w:rPr>
      <w:drawing>
        <wp:anchor distT="0" distB="0" distL="114300" distR="114300" simplePos="0" relativeHeight="251734016" behindDoc="1" locked="0" layoutInCell="1" allowOverlap="1" wp14:anchorId="5ADC3177" wp14:editId="33B91406">
          <wp:simplePos x="0" y="0"/>
          <wp:positionH relativeFrom="page">
            <wp:posOffset>724395</wp:posOffset>
          </wp:positionH>
          <wp:positionV relativeFrom="page">
            <wp:posOffset>182117</wp:posOffset>
          </wp:positionV>
          <wp:extent cx="6119640" cy="883746"/>
          <wp:effectExtent l="0" t="0" r="0" b="0"/>
          <wp:wrapNone/>
          <wp:docPr id="49" name="Picture 4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PT-Aqua-H1-Header.png"/>
                  <pic:cNvPicPr/>
                </pic:nvPicPr>
                <pic:blipFill>
                  <a:blip r:embed="rId1">
                    <a:extLst>
                      <a:ext uri="{28A0092B-C50C-407E-A947-70E740481C1C}">
                        <a14:useLocalDpi xmlns:a14="http://schemas.microsoft.com/office/drawing/2010/main" val="0"/>
                      </a:ext>
                    </a:extLst>
                  </a:blip>
                  <a:stretch>
                    <a:fillRect/>
                  </a:stretch>
                </pic:blipFill>
                <pic:spPr>
                  <a:xfrm>
                    <a:off x="0" y="0"/>
                    <a:ext cx="6119640" cy="883746"/>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03CBC" w14:textId="77777777" w:rsidR="003F4A03" w:rsidRPr="00806503" w:rsidRDefault="003F4A03" w:rsidP="00D203EB">
    <w:pPr>
      <w:pStyle w:val="Classification"/>
    </w:pPr>
    <w:r>
      <w:rPr>
        <w:noProof/>
        <w:lang w:val="en-AU" w:eastAsia="en-AU"/>
      </w:rPr>
      <w:drawing>
        <wp:anchor distT="0" distB="0" distL="114300" distR="114300" simplePos="0" relativeHeight="251732992" behindDoc="1" locked="0" layoutInCell="1" allowOverlap="1" wp14:anchorId="7030104D" wp14:editId="7EEE41D2">
          <wp:simplePos x="0" y="0"/>
          <wp:positionH relativeFrom="page">
            <wp:posOffset>180340</wp:posOffset>
          </wp:positionH>
          <wp:positionV relativeFrom="page">
            <wp:posOffset>180340</wp:posOffset>
          </wp:positionV>
          <wp:extent cx="7200000" cy="2521440"/>
          <wp:effectExtent l="0" t="0" r="1270" b="0"/>
          <wp:wrapNone/>
          <wp:docPr id="51" name="Picture 51"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PT-Aqua-H1-1stPageHeader.png"/>
                  <pic:cNvPicPr/>
                </pic:nvPicPr>
                <pic:blipFill>
                  <a:blip r:embed="rId1">
                    <a:extLst>
                      <a:ext uri="{28A0092B-C50C-407E-A947-70E740481C1C}">
                        <a14:useLocalDpi xmlns:a14="http://schemas.microsoft.com/office/drawing/2010/main" val="0"/>
                      </a:ext>
                    </a:extLst>
                  </a:blip>
                  <a:stretch>
                    <a:fillRect/>
                  </a:stretch>
                </pic:blipFill>
                <pic:spPr>
                  <a:xfrm>
                    <a:off x="0" y="0"/>
                    <a:ext cx="7200000" cy="2521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3AA66" w14:textId="77777777" w:rsidR="003F4A03" w:rsidRPr="00806503" w:rsidRDefault="003F4A03" w:rsidP="007C42D8">
    <w:pPr>
      <w:pStyle w:val="Classification"/>
    </w:pPr>
    <w:r>
      <w:rPr>
        <w:noProof/>
        <w:lang w:val="en-AU" w:eastAsia="en-AU"/>
      </w:rPr>
      <w:drawing>
        <wp:anchor distT="0" distB="0" distL="114300" distR="114300" simplePos="0" relativeHeight="251728896" behindDoc="1" locked="0" layoutInCell="1" allowOverlap="1" wp14:anchorId="230D083C" wp14:editId="4601A7CF">
          <wp:simplePos x="0" y="0"/>
          <wp:positionH relativeFrom="page">
            <wp:posOffset>724395</wp:posOffset>
          </wp:positionH>
          <wp:positionV relativeFrom="page">
            <wp:posOffset>182117</wp:posOffset>
          </wp:positionV>
          <wp:extent cx="6119640" cy="883746"/>
          <wp:effectExtent l="0" t="0" r="0" b="0"/>
          <wp:wrapNone/>
          <wp:docPr id="37" name="Picture 37"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PT-Aqua-H1-Header.png"/>
                  <pic:cNvPicPr/>
                </pic:nvPicPr>
                <pic:blipFill>
                  <a:blip r:embed="rId1">
                    <a:extLst>
                      <a:ext uri="{28A0092B-C50C-407E-A947-70E740481C1C}">
                        <a14:useLocalDpi xmlns:a14="http://schemas.microsoft.com/office/drawing/2010/main" val="0"/>
                      </a:ext>
                    </a:extLst>
                  </a:blip>
                  <a:stretch>
                    <a:fillRect/>
                  </a:stretch>
                </pic:blipFill>
                <pic:spPr>
                  <a:xfrm>
                    <a:off x="0" y="0"/>
                    <a:ext cx="6119640" cy="883746"/>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DA8E9" w14:textId="77777777" w:rsidR="003F4A03" w:rsidRPr="00806503" w:rsidRDefault="003F4A03" w:rsidP="00D203EB">
    <w:pPr>
      <w:pStyle w:val="Classification"/>
    </w:pPr>
    <w:r>
      <w:rPr>
        <w:noProof/>
        <w:lang w:val="en-AU" w:eastAsia="en-AU"/>
      </w:rPr>
      <w:drawing>
        <wp:anchor distT="0" distB="0" distL="114300" distR="114300" simplePos="0" relativeHeight="251726848" behindDoc="1" locked="0" layoutInCell="1" allowOverlap="1" wp14:anchorId="107AB14F" wp14:editId="4DF0D06E">
          <wp:simplePos x="0" y="0"/>
          <wp:positionH relativeFrom="page">
            <wp:posOffset>180340</wp:posOffset>
          </wp:positionH>
          <wp:positionV relativeFrom="page">
            <wp:posOffset>180340</wp:posOffset>
          </wp:positionV>
          <wp:extent cx="7200000" cy="2521440"/>
          <wp:effectExtent l="0" t="0" r="1270" b="0"/>
          <wp:wrapNone/>
          <wp:docPr id="43" name="Picture 43"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PT-Aqua-H1-1stPageHeader.png"/>
                  <pic:cNvPicPr/>
                </pic:nvPicPr>
                <pic:blipFill>
                  <a:blip r:embed="rId1">
                    <a:extLst>
                      <a:ext uri="{28A0092B-C50C-407E-A947-70E740481C1C}">
                        <a14:useLocalDpi xmlns:a14="http://schemas.microsoft.com/office/drawing/2010/main" val="0"/>
                      </a:ext>
                    </a:extLst>
                  </a:blip>
                  <a:stretch>
                    <a:fillRect/>
                  </a:stretch>
                </pic:blipFill>
                <pic:spPr>
                  <a:xfrm>
                    <a:off x="0" y="0"/>
                    <a:ext cx="7200000" cy="2521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14E8F"/>
    <w:multiLevelType w:val="hybridMultilevel"/>
    <w:tmpl w:val="1286FE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BA247D"/>
    <w:multiLevelType w:val="hybridMultilevel"/>
    <w:tmpl w:val="33640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3D7532"/>
    <w:multiLevelType w:val="hybridMultilevel"/>
    <w:tmpl w:val="7AC07B9C"/>
    <w:lvl w:ilvl="0" w:tplc="04429664">
      <w:start w:val="1"/>
      <w:numFmt w:val="lowerLetter"/>
      <w:pStyle w:val="ListNumber2"/>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69B0BBC"/>
    <w:multiLevelType w:val="multilevel"/>
    <w:tmpl w:val="9E08230C"/>
    <w:styleLink w:val="StyleBulletedSymbolsymbol95ptLeft063cmHanging"/>
    <w:lvl w:ilvl="0">
      <w:start w:val="1"/>
      <w:numFmt w:val="bullet"/>
      <w:lvlText w:val=""/>
      <w:lvlJc w:val="left"/>
      <w:pPr>
        <w:ind w:left="720" w:hanging="360"/>
      </w:pPr>
      <w:rPr>
        <w:rFonts w:ascii="Symbol" w:hAnsi="Symbol"/>
        <w:sz w:val="1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91A51B9"/>
    <w:multiLevelType w:val="hybridMultilevel"/>
    <w:tmpl w:val="5EC637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0B4D2B88"/>
    <w:multiLevelType w:val="hybridMultilevel"/>
    <w:tmpl w:val="88907B8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C71A7A"/>
    <w:multiLevelType w:val="hybridMultilevel"/>
    <w:tmpl w:val="CF80D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621CE7"/>
    <w:multiLevelType w:val="hybridMultilevel"/>
    <w:tmpl w:val="2760E9F8"/>
    <w:lvl w:ilvl="0" w:tplc="8ECE1B78">
      <w:start w:val="1"/>
      <w:numFmt w:val="bullet"/>
      <w:pStyle w:val="TableListBullet2"/>
      <w:lvlText w:val="»"/>
      <w:lvlJc w:val="left"/>
      <w:pPr>
        <w:ind w:left="587" w:hanging="360"/>
      </w:pPr>
      <w:rPr>
        <w:rFonts w:ascii="Times New Roman" w:hAnsi="Times New Roman" w:cs="Times New Roman" w:hint="default"/>
      </w:rPr>
    </w:lvl>
    <w:lvl w:ilvl="1" w:tplc="947E372C">
      <w:start w:val="1"/>
      <w:numFmt w:val="bullet"/>
      <w:lvlText w:val="o"/>
      <w:lvlJc w:val="left"/>
      <w:pPr>
        <w:tabs>
          <w:tab w:val="num" w:pos="1440"/>
        </w:tabs>
        <w:ind w:left="1440" w:hanging="360"/>
      </w:pPr>
      <w:rPr>
        <w:rFonts w:ascii="Courier New" w:hAnsi="Courier New" w:cs="Wingdings" w:hint="default"/>
      </w:rPr>
    </w:lvl>
    <w:lvl w:ilvl="2" w:tplc="EB360BC2">
      <w:start w:val="1"/>
      <w:numFmt w:val="bullet"/>
      <w:lvlText w:val=""/>
      <w:lvlJc w:val="left"/>
      <w:pPr>
        <w:tabs>
          <w:tab w:val="num" w:pos="2160"/>
        </w:tabs>
        <w:ind w:left="2160" w:hanging="360"/>
      </w:pPr>
      <w:rPr>
        <w:rFonts w:ascii="Wingdings" w:hAnsi="Wingdings" w:hint="default"/>
      </w:rPr>
    </w:lvl>
    <w:lvl w:ilvl="3" w:tplc="870C39C6">
      <w:start w:val="1"/>
      <w:numFmt w:val="bullet"/>
      <w:lvlText w:val=""/>
      <w:lvlJc w:val="left"/>
      <w:pPr>
        <w:tabs>
          <w:tab w:val="num" w:pos="2880"/>
        </w:tabs>
        <w:ind w:left="2880" w:hanging="360"/>
      </w:pPr>
      <w:rPr>
        <w:rFonts w:ascii="Symbol" w:hAnsi="Symbol" w:hint="default"/>
      </w:rPr>
    </w:lvl>
    <w:lvl w:ilvl="4" w:tplc="C75CAEA6">
      <w:start w:val="1"/>
      <w:numFmt w:val="bullet"/>
      <w:lvlText w:val="o"/>
      <w:lvlJc w:val="left"/>
      <w:pPr>
        <w:tabs>
          <w:tab w:val="num" w:pos="3600"/>
        </w:tabs>
        <w:ind w:left="3600" w:hanging="360"/>
      </w:pPr>
      <w:rPr>
        <w:rFonts w:ascii="Courier New" w:hAnsi="Courier New" w:cs="Wingdings" w:hint="default"/>
      </w:rPr>
    </w:lvl>
    <w:lvl w:ilvl="5" w:tplc="A10E0402">
      <w:start w:val="1"/>
      <w:numFmt w:val="bullet"/>
      <w:lvlText w:val=""/>
      <w:lvlJc w:val="left"/>
      <w:pPr>
        <w:tabs>
          <w:tab w:val="num" w:pos="4320"/>
        </w:tabs>
        <w:ind w:left="4320" w:hanging="360"/>
      </w:pPr>
      <w:rPr>
        <w:rFonts w:ascii="Wingdings" w:hAnsi="Wingdings" w:hint="default"/>
      </w:rPr>
    </w:lvl>
    <w:lvl w:ilvl="6" w:tplc="2C5E5F06">
      <w:start w:val="1"/>
      <w:numFmt w:val="bullet"/>
      <w:lvlText w:val=""/>
      <w:lvlJc w:val="left"/>
      <w:pPr>
        <w:tabs>
          <w:tab w:val="num" w:pos="5040"/>
        </w:tabs>
        <w:ind w:left="5040" w:hanging="360"/>
      </w:pPr>
      <w:rPr>
        <w:rFonts w:ascii="Symbol" w:hAnsi="Symbol" w:hint="default"/>
      </w:rPr>
    </w:lvl>
    <w:lvl w:ilvl="7" w:tplc="F404DE94">
      <w:start w:val="1"/>
      <w:numFmt w:val="bullet"/>
      <w:lvlText w:val="o"/>
      <w:lvlJc w:val="left"/>
      <w:pPr>
        <w:tabs>
          <w:tab w:val="num" w:pos="5760"/>
        </w:tabs>
        <w:ind w:left="5760" w:hanging="360"/>
      </w:pPr>
      <w:rPr>
        <w:rFonts w:ascii="Courier New" w:hAnsi="Courier New" w:cs="Wingdings" w:hint="default"/>
      </w:rPr>
    </w:lvl>
    <w:lvl w:ilvl="8" w:tplc="8B221DA6">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2E1101"/>
    <w:multiLevelType w:val="hybridMultilevel"/>
    <w:tmpl w:val="2F6228D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64D40B4"/>
    <w:multiLevelType w:val="hybridMultilevel"/>
    <w:tmpl w:val="F386042E"/>
    <w:lvl w:ilvl="0" w:tplc="D722BEB8">
      <w:start w:val="1"/>
      <w:numFmt w:val="bullet"/>
      <w:lvlText w:val="•"/>
      <w:lvlJc w:val="left"/>
      <w:pPr>
        <w:tabs>
          <w:tab w:val="num" w:pos="720"/>
        </w:tabs>
        <w:ind w:left="720" w:hanging="360"/>
      </w:pPr>
      <w:rPr>
        <w:rFonts w:ascii="Arial" w:hAnsi="Arial" w:hint="default"/>
      </w:rPr>
    </w:lvl>
    <w:lvl w:ilvl="1" w:tplc="27A2E6DC" w:tentative="1">
      <w:start w:val="1"/>
      <w:numFmt w:val="bullet"/>
      <w:lvlText w:val="•"/>
      <w:lvlJc w:val="left"/>
      <w:pPr>
        <w:tabs>
          <w:tab w:val="num" w:pos="1440"/>
        </w:tabs>
        <w:ind w:left="1440" w:hanging="360"/>
      </w:pPr>
      <w:rPr>
        <w:rFonts w:ascii="Arial" w:hAnsi="Arial" w:hint="default"/>
      </w:rPr>
    </w:lvl>
    <w:lvl w:ilvl="2" w:tplc="04D22CD2" w:tentative="1">
      <w:start w:val="1"/>
      <w:numFmt w:val="bullet"/>
      <w:lvlText w:val="•"/>
      <w:lvlJc w:val="left"/>
      <w:pPr>
        <w:tabs>
          <w:tab w:val="num" w:pos="2160"/>
        </w:tabs>
        <w:ind w:left="2160" w:hanging="360"/>
      </w:pPr>
      <w:rPr>
        <w:rFonts w:ascii="Arial" w:hAnsi="Arial" w:hint="default"/>
      </w:rPr>
    </w:lvl>
    <w:lvl w:ilvl="3" w:tplc="D4E6FAC0" w:tentative="1">
      <w:start w:val="1"/>
      <w:numFmt w:val="bullet"/>
      <w:lvlText w:val="•"/>
      <w:lvlJc w:val="left"/>
      <w:pPr>
        <w:tabs>
          <w:tab w:val="num" w:pos="2880"/>
        </w:tabs>
        <w:ind w:left="2880" w:hanging="360"/>
      </w:pPr>
      <w:rPr>
        <w:rFonts w:ascii="Arial" w:hAnsi="Arial" w:hint="default"/>
      </w:rPr>
    </w:lvl>
    <w:lvl w:ilvl="4" w:tplc="1DDCCC2E" w:tentative="1">
      <w:start w:val="1"/>
      <w:numFmt w:val="bullet"/>
      <w:lvlText w:val="•"/>
      <w:lvlJc w:val="left"/>
      <w:pPr>
        <w:tabs>
          <w:tab w:val="num" w:pos="3600"/>
        </w:tabs>
        <w:ind w:left="3600" w:hanging="360"/>
      </w:pPr>
      <w:rPr>
        <w:rFonts w:ascii="Arial" w:hAnsi="Arial" w:hint="default"/>
      </w:rPr>
    </w:lvl>
    <w:lvl w:ilvl="5" w:tplc="94562B1A" w:tentative="1">
      <w:start w:val="1"/>
      <w:numFmt w:val="bullet"/>
      <w:lvlText w:val="•"/>
      <w:lvlJc w:val="left"/>
      <w:pPr>
        <w:tabs>
          <w:tab w:val="num" w:pos="4320"/>
        </w:tabs>
        <w:ind w:left="4320" w:hanging="360"/>
      </w:pPr>
      <w:rPr>
        <w:rFonts w:ascii="Arial" w:hAnsi="Arial" w:hint="default"/>
      </w:rPr>
    </w:lvl>
    <w:lvl w:ilvl="6" w:tplc="0ED6683A" w:tentative="1">
      <w:start w:val="1"/>
      <w:numFmt w:val="bullet"/>
      <w:lvlText w:val="•"/>
      <w:lvlJc w:val="left"/>
      <w:pPr>
        <w:tabs>
          <w:tab w:val="num" w:pos="5040"/>
        </w:tabs>
        <w:ind w:left="5040" w:hanging="360"/>
      </w:pPr>
      <w:rPr>
        <w:rFonts w:ascii="Arial" w:hAnsi="Arial" w:hint="default"/>
      </w:rPr>
    </w:lvl>
    <w:lvl w:ilvl="7" w:tplc="D4D2F8D2" w:tentative="1">
      <w:start w:val="1"/>
      <w:numFmt w:val="bullet"/>
      <w:lvlText w:val="•"/>
      <w:lvlJc w:val="left"/>
      <w:pPr>
        <w:tabs>
          <w:tab w:val="num" w:pos="5760"/>
        </w:tabs>
        <w:ind w:left="5760" w:hanging="360"/>
      </w:pPr>
      <w:rPr>
        <w:rFonts w:ascii="Arial" w:hAnsi="Arial" w:hint="default"/>
      </w:rPr>
    </w:lvl>
    <w:lvl w:ilvl="8" w:tplc="1966C5D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2" w15:restartNumberingAfterBreak="0">
    <w:nsid w:val="177B7DD8"/>
    <w:multiLevelType w:val="hybridMultilevel"/>
    <w:tmpl w:val="AB264564"/>
    <w:lvl w:ilvl="0" w:tplc="731A1E60">
      <w:start w:val="1"/>
      <w:numFmt w:val="lowerLetter"/>
      <w:pStyle w:val="TableListNumber2"/>
      <w:lvlText w:val="%1."/>
      <w:lvlJc w:val="left"/>
      <w:pPr>
        <w:ind w:left="587" w:hanging="360"/>
      </w:pPr>
    </w:lvl>
    <w:lvl w:ilvl="1" w:tplc="EB583B20">
      <w:start w:val="1"/>
      <w:numFmt w:val="lowerLetter"/>
      <w:lvlText w:val="%2."/>
      <w:lvlJc w:val="left"/>
      <w:pPr>
        <w:tabs>
          <w:tab w:val="num" w:pos="1440"/>
        </w:tabs>
        <w:ind w:left="1440" w:hanging="360"/>
      </w:pPr>
    </w:lvl>
    <w:lvl w:ilvl="2" w:tplc="B5E21B8A">
      <w:start w:val="1"/>
      <w:numFmt w:val="lowerRoman"/>
      <w:lvlText w:val="%3."/>
      <w:lvlJc w:val="right"/>
      <w:pPr>
        <w:tabs>
          <w:tab w:val="num" w:pos="2160"/>
        </w:tabs>
        <w:ind w:left="2160" w:hanging="180"/>
      </w:pPr>
    </w:lvl>
    <w:lvl w:ilvl="3" w:tplc="017C68B8">
      <w:start w:val="1"/>
      <w:numFmt w:val="decimal"/>
      <w:lvlText w:val="%4."/>
      <w:lvlJc w:val="left"/>
      <w:pPr>
        <w:tabs>
          <w:tab w:val="num" w:pos="2880"/>
        </w:tabs>
        <w:ind w:left="2880" w:hanging="360"/>
      </w:pPr>
    </w:lvl>
    <w:lvl w:ilvl="4" w:tplc="D1789FF6">
      <w:start w:val="1"/>
      <w:numFmt w:val="lowerLetter"/>
      <w:lvlText w:val="%5."/>
      <w:lvlJc w:val="left"/>
      <w:pPr>
        <w:tabs>
          <w:tab w:val="num" w:pos="3600"/>
        </w:tabs>
        <w:ind w:left="3600" w:hanging="360"/>
      </w:pPr>
    </w:lvl>
    <w:lvl w:ilvl="5" w:tplc="105ACA1A">
      <w:start w:val="1"/>
      <w:numFmt w:val="lowerRoman"/>
      <w:lvlText w:val="%6."/>
      <w:lvlJc w:val="right"/>
      <w:pPr>
        <w:tabs>
          <w:tab w:val="num" w:pos="4320"/>
        </w:tabs>
        <w:ind w:left="4320" w:hanging="180"/>
      </w:pPr>
    </w:lvl>
    <w:lvl w:ilvl="6" w:tplc="EF6CA31C">
      <w:start w:val="1"/>
      <w:numFmt w:val="decimal"/>
      <w:lvlText w:val="%7."/>
      <w:lvlJc w:val="left"/>
      <w:pPr>
        <w:tabs>
          <w:tab w:val="num" w:pos="5040"/>
        </w:tabs>
        <w:ind w:left="5040" w:hanging="360"/>
      </w:pPr>
    </w:lvl>
    <w:lvl w:ilvl="7" w:tplc="FD7C2C44">
      <w:start w:val="1"/>
      <w:numFmt w:val="lowerLetter"/>
      <w:lvlText w:val="%8."/>
      <w:lvlJc w:val="left"/>
      <w:pPr>
        <w:tabs>
          <w:tab w:val="num" w:pos="5760"/>
        </w:tabs>
        <w:ind w:left="5760" w:hanging="360"/>
      </w:pPr>
    </w:lvl>
    <w:lvl w:ilvl="8" w:tplc="A68E2E52">
      <w:start w:val="1"/>
      <w:numFmt w:val="lowerRoman"/>
      <w:lvlText w:val="%9."/>
      <w:lvlJc w:val="right"/>
      <w:pPr>
        <w:tabs>
          <w:tab w:val="num" w:pos="6480"/>
        </w:tabs>
        <w:ind w:left="6480" w:hanging="180"/>
      </w:pPr>
    </w:lvl>
  </w:abstractNum>
  <w:abstractNum w:abstractNumId="13" w15:restartNumberingAfterBreak="0">
    <w:nsid w:val="180665BC"/>
    <w:multiLevelType w:val="hybridMultilevel"/>
    <w:tmpl w:val="28E67FD2"/>
    <w:lvl w:ilvl="0" w:tplc="E95294B4">
      <w:start w:val="1"/>
      <w:numFmt w:val="decimal"/>
      <w:pStyle w:val="ListNumber"/>
      <w:lvlText w:val="%1."/>
      <w:lvlJc w:val="left"/>
      <w:pPr>
        <w:ind w:left="360" w:hanging="360"/>
      </w:pPr>
    </w:lvl>
    <w:lvl w:ilvl="1" w:tplc="1AC44F52">
      <w:start w:val="1"/>
      <w:numFmt w:val="lowerLetter"/>
      <w:lvlText w:val="%2."/>
      <w:lvlJc w:val="left"/>
      <w:pPr>
        <w:tabs>
          <w:tab w:val="num" w:pos="1440"/>
        </w:tabs>
        <w:ind w:left="1440" w:hanging="360"/>
      </w:pPr>
    </w:lvl>
    <w:lvl w:ilvl="2" w:tplc="80663A2E">
      <w:start w:val="1"/>
      <w:numFmt w:val="lowerRoman"/>
      <w:lvlText w:val="%3."/>
      <w:lvlJc w:val="right"/>
      <w:pPr>
        <w:tabs>
          <w:tab w:val="num" w:pos="2160"/>
        </w:tabs>
        <w:ind w:left="2160" w:hanging="180"/>
      </w:pPr>
    </w:lvl>
    <w:lvl w:ilvl="3" w:tplc="7494D2F4">
      <w:start w:val="1"/>
      <w:numFmt w:val="decimal"/>
      <w:lvlText w:val="%4."/>
      <w:lvlJc w:val="left"/>
      <w:pPr>
        <w:tabs>
          <w:tab w:val="num" w:pos="2880"/>
        </w:tabs>
        <w:ind w:left="2880" w:hanging="360"/>
      </w:pPr>
    </w:lvl>
    <w:lvl w:ilvl="4" w:tplc="5824E6D8">
      <w:start w:val="1"/>
      <w:numFmt w:val="lowerLetter"/>
      <w:lvlText w:val="%5."/>
      <w:lvlJc w:val="left"/>
      <w:pPr>
        <w:tabs>
          <w:tab w:val="num" w:pos="3600"/>
        </w:tabs>
        <w:ind w:left="3600" w:hanging="360"/>
      </w:pPr>
    </w:lvl>
    <w:lvl w:ilvl="5" w:tplc="9E0A90D6">
      <w:start w:val="1"/>
      <w:numFmt w:val="lowerRoman"/>
      <w:lvlText w:val="%6."/>
      <w:lvlJc w:val="right"/>
      <w:pPr>
        <w:tabs>
          <w:tab w:val="num" w:pos="4320"/>
        </w:tabs>
        <w:ind w:left="4320" w:hanging="180"/>
      </w:pPr>
    </w:lvl>
    <w:lvl w:ilvl="6" w:tplc="D8F6E7D8">
      <w:start w:val="1"/>
      <w:numFmt w:val="decimal"/>
      <w:lvlText w:val="%7."/>
      <w:lvlJc w:val="left"/>
      <w:pPr>
        <w:tabs>
          <w:tab w:val="num" w:pos="5040"/>
        </w:tabs>
        <w:ind w:left="5040" w:hanging="360"/>
      </w:pPr>
    </w:lvl>
    <w:lvl w:ilvl="7" w:tplc="CB6C9680">
      <w:start w:val="1"/>
      <w:numFmt w:val="lowerLetter"/>
      <w:lvlText w:val="%8."/>
      <w:lvlJc w:val="left"/>
      <w:pPr>
        <w:tabs>
          <w:tab w:val="num" w:pos="5760"/>
        </w:tabs>
        <w:ind w:left="5760" w:hanging="360"/>
      </w:pPr>
    </w:lvl>
    <w:lvl w:ilvl="8" w:tplc="11204952">
      <w:start w:val="1"/>
      <w:numFmt w:val="lowerRoman"/>
      <w:lvlText w:val="%9."/>
      <w:lvlJc w:val="right"/>
      <w:pPr>
        <w:tabs>
          <w:tab w:val="num" w:pos="6480"/>
        </w:tabs>
        <w:ind w:left="6480" w:hanging="180"/>
      </w:pPr>
    </w:lvl>
  </w:abstractNum>
  <w:abstractNum w:abstractNumId="14" w15:restartNumberingAfterBreak="0">
    <w:nsid w:val="195C13E9"/>
    <w:multiLevelType w:val="hybridMultilevel"/>
    <w:tmpl w:val="2850DBD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BE96D32"/>
    <w:multiLevelType w:val="hybridMultilevel"/>
    <w:tmpl w:val="073E3B84"/>
    <w:lvl w:ilvl="0" w:tplc="0C090001">
      <w:start w:val="1"/>
      <w:numFmt w:val="bullet"/>
      <w:lvlText w:val=""/>
      <w:lvlJc w:val="left"/>
      <w:pPr>
        <w:ind w:left="360" w:hanging="360"/>
      </w:pPr>
      <w:rPr>
        <w:rFonts w:ascii="Symbol" w:hAnsi="Symbol" w:hint="default"/>
      </w:rPr>
    </w:lvl>
    <w:lvl w:ilvl="1" w:tplc="F8E4CAFE">
      <w:start w:val="1"/>
      <w:numFmt w:val="bullet"/>
      <w:lvlText w:val="o"/>
      <w:lvlJc w:val="left"/>
      <w:pPr>
        <w:ind w:left="72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C0E04A6"/>
    <w:multiLevelType w:val="hybridMultilevel"/>
    <w:tmpl w:val="2312CB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4300016"/>
    <w:multiLevelType w:val="multilevel"/>
    <w:tmpl w:val="DF3EEF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7895F49"/>
    <w:multiLevelType w:val="hybridMultilevel"/>
    <w:tmpl w:val="9114551C"/>
    <w:lvl w:ilvl="0" w:tplc="DE9A5BD6">
      <w:start w:val="1"/>
      <w:numFmt w:val="lowerLetter"/>
      <w:pStyle w:val="BoxListNumber2"/>
      <w:lvlText w:val="%1."/>
      <w:lvlJc w:val="left"/>
      <w:pPr>
        <w:ind w:left="644"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9" w15:restartNumberingAfterBreak="0">
    <w:nsid w:val="28D81A9A"/>
    <w:multiLevelType w:val="hybridMultilevel"/>
    <w:tmpl w:val="5C2469A8"/>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0" w15:restartNumberingAfterBreak="0">
    <w:nsid w:val="2B9B159F"/>
    <w:multiLevelType w:val="multilevel"/>
    <w:tmpl w:val="327AC97A"/>
    <w:styleLink w:val="HeadingsList"/>
    <w:lvl w:ilvl="0">
      <w:start w:val="1"/>
      <w:numFmt w:val="decimal"/>
      <w:pStyle w:val="Heading1Numberedsmallspaceafter"/>
      <w:suff w:val="space"/>
      <w:lvlText w:val="Chapter %1"/>
      <w:lvlJc w:val="left"/>
      <w:pPr>
        <w:ind w:left="0" w:firstLine="0"/>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1" w15:restartNumberingAfterBreak="0">
    <w:nsid w:val="2D2510DD"/>
    <w:multiLevelType w:val="multilevel"/>
    <w:tmpl w:val="2D3CC7E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2737F4"/>
    <w:multiLevelType w:val="hybridMultilevel"/>
    <w:tmpl w:val="68D05A1C"/>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944CA7"/>
    <w:multiLevelType w:val="hybridMultilevel"/>
    <w:tmpl w:val="F06AD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C20B6E"/>
    <w:multiLevelType w:val="hybridMultilevel"/>
    <w:tmpl w:val="35D215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6CD579B"/>
    <w:multiLevelType w:val="hybridMultilevel"/>
    <w:tmpl w:val="A5308B10"/>
    <w:lvl w:ilvl="0" w:tplc="35321CFE">
      <w:start w:val="1"/>
      <w:numFmt w:val="bullet"/>
      <w:pStyle w:val="Box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692D64"/>
    <w:multiLevelType w:val="hybridMultilevel"/>
    <w:tmpl w:val="3FC0FB20"/>
    <w:lvl w:ilvl="0" w:tplc="6C461E4A">
      <w:start w:val="1"/>
      <w:numFmt w:val="bullet"/>
      <w:pStyle w:val="BoxListBullet2"/>
      <w:lvlText w:val="»"/>
      <w:lvlJc w:val="left"/>
      <w:pPr>
        <w:ind w:left="644"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8" w15:restartNumberingAfterBreak="0">
    <w:nsid w:val="598A5214"/>
    <w:multiLevelType w:val="hybridMultilevel"/>
    <w:tmpl w:val="7884C832"/>
    <w:lvl w:ilvl="0" w:tplc="07522316">
      <w:start w:val="1"/>
      <w:numFmt w:val="decimal"/>
      <w:pStyle w:val="TableListNumber"/>
      <w:lvlText w:val="%1."/>
      <w:lvlJc w:val="left"/>
      <w:pPr>
        <w:ind w:left="36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9" w15:restartNumberingAfterBreak="0">
    <w:nsid w:val="5D56043A"/>
    <w:multiLevelType w:val="multilevel"/>
    <w:tmpl w:val="69AEB596"/>
    <w:numStyleLink w:val="BulletsList"/>
  </w:abstractNum>
  <w:abstractNum w:abstractNumId="30"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1" w15:restartNumberingAfterBreak="0">
    <w:nsid w:val="66C55035"/>
    <w:multiLevelType w:val="hybridMultilevel"/>
    <w:tmpl w:val="70ACFA88"/>
    <w:lvl w:ilvl="0" w:tplc="E63E98D4">
      <w:start w:val="1"/>
      <w:numFmt w:val="bullet"/>
      <w:pStyle w:val="TableListBullet"/>
      <w:lvlText w:val="›"/>
      <w:lvlJc w:val="left"/>
      <w:pPr>
        <w:ind w:left="360" w:hanging="360"/>
      </w:pPr>
      <w:rPr>
        <w:rFonts w:ascii="Times New Roman" w:hAnsi="Times New Roman" w:cs="Times New Roman" w:hint="default"/>
        <w:color w:val="auto"/>
        <w:spacing w:val="0"/>
        <w:w w:val="100"/>
        <w:position w:val="3"/>
      </w:rPr>
    </w:lvl>
    <w:lvl w:ilvl="1" w:tplc="DD1C3B26">
      <w:start w:val="1"/>
      <w:numFmt w:val="bullet"/>
      <w:lvlText w:val="o"/>
      <w:lvlJc w:val="left"/>
      <w:pPr>
        <w:tabs>
          <w:tab w:val="num" w:pos="1440"/>
        </w:tabs>
        <w:ind w:left="1440" w:hanging="360"/>
      </w:pPr>
      <w:rPr>
        <w:rFonts w:ascii="Courier New" w:hAnsi="Courier New" w:cs="Wingdings" w:hint="default"/>
      </w:rPr>
    </w:lvl>
    <w:lvl w:ilvl="2" w:tplc="99748D30">
      <w:start w:val="1"/>
      <w:numFmt w:val="bullet"/>
      <w:lvlText w:val=""/>
      <w:lvlJc w:val="left"/>
      <w:pPr>
        <w:tabs>
          <w:tab w:val="num" w:pos="2160"/>
        </w:tabs>
        <w:ind w:left="2160" w:hanging="360"/>
      </w:pPr>
      <w:rPr>
        <w:rFonts w:ascii="Wingdings" w:hAnsi="Wingdings" w:hint="default"/>
      </w:rPr>
    </w:lvl>
    <w:lvl w:ilvl="3" w:tplc="0DF60BFA">
      <w:start w:val="1"/>
      <w:numFmt w:val="bullet"/>
      <w:lvlText w:val=""/>
      <w:lvlJc w:val="left"/>
      <w:pPr>
        <w:tabs>
          <w:tab w:val="num" w:pos="2880"/>
        </w:tabs>
        <w:ind w:left="2880" w:hanging="360"/>
      </w:pPr>
      <w:rPr>
        <w:rFonts w:ascii="Symbol" w:hAnsi="Symbol" w:hint="default"/>
      </w:rPr>
    </w:lvl>
    <w:lvl w:ilvl="4" w:tplc="DD4E902C">
      <w:start w:val="1"/>
      <w:numFmt w:val="bullet"/>
      <w:lvlText w:val="o"/>
      <w:lvlJc w:val="left"/>
      <w:pPr>
        <w:tabs>
          <w:tab w:val="num" w:pos="3600"/>
        </w:tabs>
        <w:ind w:left="3600" w:hanging="360"/>
      </w:pPr>
      <w:rPr>
        <w:rFonts w:ascii="Courier New" w:hAnsi="Courier New" w:cs="Wingdings" w:hint="default"/>
      </w:rPr>
    </w:lvl>
    <w:lvl w:ilvl="5" w:tplc="64B02D42">
      <w:start w:val="1"/>
      <w:numFmt w:val="bullet"/>
      <w:lvlText w:val=""/>
      <w:lvlJc w:val="left"/>
      <w:pPr>
        <w:tabs>
          <w:tab w:val="num" w:pos="4320"/>
        </w:tabs>
        <w:ind w:left="4320" w:hanging="360"/>
      </w:pPr>
      <w:rPr>
        <w:rFonts w:ascii="Wingdings" w:hAnsi="Wingdings" w:hint="default"/>
      </w:rPr>
    </w:lvl>
    <w:lvl w:ilvl="6" w:tplc="88A247DA">
      <w:start w:val="1"/>
      <w:numFmt w:val="bullet"/>
      <w:lvlText w:val=""/>
      <w:lvlJc w:val="left"/>
      <w:pPr>
        <w:tabs>
          <w:tab w:val="num" w:pos="5040"/>
        </w:tabs>
        <w:ind w:left="5040" w:hanging="360"/>
      </w:pPr>
      <w:rPr>
        <w:rFonts w:ascii="Symbol" w:hAnsi="Symbol" w:hint="default"/>
      </w:rPr>
    </w:lvl>
    <w:lvl w:ilvl="7" w:tplc="01FC8B3C">
      <w:start w:val="1"/>
      <w:numFmt w:val="bullet"/>
      <w:lvlText w:val="o"/>
      <w:lvlJc w:val="left"/>
      <w:pPr>
        <w:tabs>
          <w:tab w:val="num" w:pos="5760"/>
        </w:tabs>
        <w:ind w:left="5760" w:hanging="360"/>
      </w:pPr>
      <w:rPr>
        <w:rFonts w:ascii="Courier New" w:hAnsi="Courier New" w:cs="Wingdings" w:hint="default"/>
      </w:rPr>
    </w:lvl>
    <w:lvl w:ilvl="8" w:tplc="0FF81D96">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835503"/>
    <w:multiLevelType w:val="hybridMultilevel"/>
    <w:tmpl w:val="43FA2B66"/>
    <w:lvl w:ilvl="0" w:tplc="2D06848C">
      <w:start w:val="1"/>
      <w:numFmt w:val="bullet"/>
      <w:lvlText w:val="•"/>
      <w:lvlJc w:val="left"/>
      <w:pPr>
        <w:tabs>
          <w:tab w:val="num" w:pos="720"/>
        </w:tabs>
        <w:ind w:left="720" w:hanging="360"/>
      </w:pPr>
      <w:rPr>
        <w:rFonts w:ascii="Arial" w:hAnsi="Arial" w:hint="default"/>
      </w:rPr>
    </w:lvl>
    <w:lvl w:ilvl="1" w:tplc="810AE4F0" w:tentative="1">
      <w:start w:val="1"/>
      <w:numFmt w:val="bullet"/>
      <w:lvlText w:val="•"/>
      <w:lvlJc w:val="left"/>
      <w:pPr>
        <w:tabs>
          <w:tab w:val="num" w:pos="1440"/>
        </w:tabs>
        <w:ind w:left="1440" w:hanging="360"/>
      </w:pPr>
      <w:rPr>
        <w:rFonts w:ascii="Arial" w:hAnsi="Arial" w:hint="default"/>
      </w:rPr>
    </w:lvl>
    <w:lvl w:ilvl="2" w:tplc="6F34A7CE" w:tentative="1">
      <w:start w:val="1"/>
      <w:numFmt w:val="bullet"/>
      <w:lvlText w:val="•"/>
      <w:lvlJc w:val="left"/>
      <w:pPr>
        <w:tabs>
          <w:tab w:val="num" w:pos="2160"/>
        </w:tabs>
        <w:ind w:left="2160" w:hanging="360"/>
      </w:pPr>
      <w:rPr>
        <w:rFonts w:ascii="Arial" w:hAnsi="Arial" w:hint="default"/>
      </w:rPr>
    </w:lvl>
    <w:lvl w:ilvl="3" w:tplc="F59AB894" w:tentative="1">
      <w:start w:val="1"/>
      <w:numFmt w:val="bullet"/>
      <w:lvlText w:val="•"/>
      <w:lvlJc w:val="left"/>
      <w:pPr>
        <w:tabs>
          <w:tab w:val="num" w:pos="2880"/>
        </w:tabs>
        <w:ind w:left="2880" w:hanging="360"/>
      </w:pPr>
      <w:rPr>
        <w:rFonts w:ascii="Arial" w:hAnsi="Arial" w:hint="default"/>
      </w:rPr>
    </w:lvl>
    <w:lvl w:ilvl="4" w:tplc="A830BA1C" w:tentative="1">
      <w:start w:val="1"/>
      <w:numFmt w:val="bullet"/>
      <w:lvlText w:val="•"/>
      <w:lvlJc w:val="left"/>
      <w:pPr>
        <w:tabs>
          <w:tab w:val="num" w:pos="3600"/>
        </w:tabs>
        <w:ind w:left="3600" w:hanging="360"/>
      </w:pPr>
      <w:rPr>
        <w:rFonts w:ascii="Arial" w:hAnsi="Arial" w:hint="default"/>
      </w:rPr>
    </w:lvl>
    <w:lvl w:ilvl="5" w:tplc="349831EA" w:tentative="1">
      <w:start w:val="1"/>
      <w:numFmt w:val="bullet"/>
      <w:lvlText w:val="•"/>
      <w:lvlJc w:val="left"/>
      <w:pPr>
        <w:tabs>
          <w:tab w:val="num" w:pos="4320"/>
        </w:tabs>
        <w:ind w:left="4320" w:hanging="360"/>
      </w:pPr>
      <w:rPr>
        <w:rFonts w:ascii="Arial" w:hAnsi="Arial" w:hint="default"/>
      </w:rPr>
    </w:lvl>
    <w:lvl w:ilvl="6" w:tplc="4D3ECCD8" w:tentative="1">
      <w:start w:val="1"/>
      <w:numFmt w:val="bullet"/>
      <w:lvlText w:val="•"/>
      <w:lvlJc w:val="left"/>
      <w:pPr>
        <w:tabs>
          <w:tab w:val="num" w:pos="5040"/>
        </w:tabs>
        <w:ind w:left="5040" w:hanging="360"/>
      </w:pPr>
      <w:rPr>
        <w:rFonts w:ascii="Arial" w:hAnsi="Arial" w:hint="default"/>
      </w:rPr>
    </w:lvl>
    <w:lvl w:ilvl="7" w:tplc="39A86CAA" w:tentative="1">
      <w:start w:val="1"/>
      <w:numFmt w:val="bullet"/>
      <w:lvlText w:val="•"/>
      <w:lvlJc w:val="left"/>
      <w:pPr>
        <w:tabs>
          <w:tab w:val="num" w:pos="5760"/>
        </w:tabs>
        <w:ind w:left="5760" w:hanging="360"/>
      </w:pPr>
      <w:rPr>
        <w:rFonts w:ascii="Arial" w:hAnsi="Arial" w:hint="default"/>
      </w:rPr>
    </w:lvl>
    <w:lvl w:ilvl="8" w:tplc="1F5ECD5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79F03FF"/>
    <w:multiLevelType w:val="hybridMultilevel"/>
    <w:tmpl w:val="17B264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9936BC6"/>
    <w:multiLevelType w:val="hybridMultilevel"/>
    <w:tmpl w:val="5EC637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3107305"/>
    <w:multiLevelType w:val="multilevel"/>
    <w:tmpl w:val="69AEB596"/>
    <w:styleLink w:val="BulletsList"/>
    <w:lvl w:ilvl="0">
      <w:start w:val="1"/>
      <w:numFmt w:val="bullet"/>
      <w:pStyle w:val="Bullet1"/>
      <w:lvlText w:val=""/>
      <w:lvlJc w:val="left"/>
      <w:pPr>
        <w:tabs>
          <w:tab w:val="num" w:pos="284"/>
        </w:tabs>
        <w:ind w:left="284" w:hanging="284"/>
      </w:pPr>
      <w:rPr>
        <w:rFonts w:ascii="Symbol" w:hAnsi="Symbol" w:hint="default"/>
        <w:color w:val="D3875F" w:themeColor="accent1"/>
      </w:rPr>
    </w:lvl>
    <w:lvl w:ilvl="1">
      <w:start w:val="1"/>
      <w:numFmt w:val="bullet"/>
      <w:pStyle w:val="Bullet2"/>
      <w:lvlText w:val="–"/>
      <w:lvlJc w:val="left"/>
      <w:pPr>
        <w:tabs>
          <w:tab w:val="num" w:pos="568"/>
        </w:tabs>
        <w:ind w:left="568" w:hanging="284"/>
      </w:pPr>
      <w:rPr>
        <w:rFonts w:ascii="Arial" w:hAnsi="Arial" w:hint="default"/>
        <w:color w:val="D3875F" w:themeColor="accent1"/>
      </w:rPr>
    </w:lvl>
    <w:lvl w:ilvl="2">
      <w:start w:val="1"/>
      <w:numFmt w:val="bullet"/>
      <w:pStyle w:val="Bullet3"/>
      <w:lvlText w:val="»"/>
      <w:lvlJc w:val="left"/>
      <w:pPr>
        <w:tabs>
          <w:tab w:val="num" w:pos="852"/>
        </w:tabs>
        <w:ind w:left="852" w:hanging="285"/>
      </w:pPr>
      <w:rPr>
        <w:rFonts w:ascii="Arial" w:hAnsi="Arial" w:hint="default"/>
        <w:color w:val="D3875F"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36" w15:restartNumberingAfterBreak="0">
    <w:nsid w:val="744A7AEF"/>
    <w:multiLevelType w:val="multilevel"/>
    <w:tmpl w:val="327AC97A"/>
    <w:numStyleLink w:val="HeadingsList"/>
  </w:abstractNum>
  <w:abstractNum w:abstractNumId="37" w15:restartNumberingAfterBreak="0">
    <w:nsid w:val="774868B9"/>
    <w:multiLevelType w:val="hybridMultilevel"/>
    <w:tmpl w:val="A02AF9EA"/>
    <w:lvl w:ilvl="0" w:tplc="F33CF392">
      <w:start w:val="1"/>
      <w:numFmt w:val="bullet"/>
      <w:pStyle w:val="Table-list-bullet"/>
      <w:lvlText w:val="–"/>
      <w:lvlJc w:val="left"/>
      <w:pPr>
        <w:tabs>
          <w:tab w:val="num" w:pos="357"/>
        </w:tabs>
        <w:ind w:left="357" w:hanging="357"/>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9B2374"/>
    <w:multiLevelType w:val="hybridMultilevel"/>
    <w:tmpl w:val="82161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2E3E94"/>
    <w:multiLevelType w:val="hybridMultilevel"/>
    <w:tmpl w:val="5E10DF26"/>
    <w:lvl w:ilvl="0" w:tplc="9BB017C6">
      <w:start w:val="1"/>
      <w:numFmt w:val="bullet"/>
      <w:pStyle w:val="Box2Bullet"/>
      <w:lvlText w:val=""/>
      <w:lvlJc w:val="left"/>
      <w:pPr>
        <w:ind w:left="644" w:hanging="360"/>
      </w:pPr>
      <w:rPr>
        <w:rFonts w:ascii="Symbol" w:hAnsi="Symbol" w:hint="default"/>
        <w:color w:val="ECEDED"/>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0" w15:restartNumberingAfterBreak="0">
    <w:nsid w:val="7A0B5B91"/>
    <w:multiLevelType w:val="hybridMultilevel"/>
    <w:tmpl w:val="353A41EC"/>
    <w:lvl w:ilvl="0" w:tplc="64DCC9E6">
      <w:start w:val="1"/>
      <w:numFmt w:val="bullet"/>
      <w:lvlText w:val="•"/>
      <w:lvlJc w:val="left"/>
      <w:pPr>
        <w:tabs>
          <w:tab w:val="num" w:pos="360"/>
        </w:tabs>
        <w:ind w:left="360" w:hanging="360"/>
      </w:pPr>
      <w:rPr>
        <w:rFonts w:ascii="Times New Roman" w:hAnsi="Times New Roman" w:hint="default"/>
      </w:rPr>
    </w:lvl>
    <w:lvl w:ilvl="1" w:tplc="06846154">
      <w:start w:val="76"/>
      <w:numFmt w:val="bullet"/>
      <w:lvlText w:val="•"/>
      <w:lvlJc w:val="left"/>
      <w:pPr>
        <w:tabs>
          <w:tab w:val="num" w:pos="1080"/>
        </w:tabs>
        <w:ind w:left="1080" w:hanging="360"/>
      </w:pPr>
      <w:rPr>
        <w:rFonts w:ascii="Times New Roman" w:hAnsi="Times New Roman" w:hint="default"/>
      </w:rPr>
    </w:lvl>
    <w:lvl w:ilvl="2" w:tplc="495810D4" w:tentative="1">
      <w:start w:val="1"/>
      <w:numFmt w:val="bullet"/>
      <w:lvlText w:val="•"/>
      <w:lvlJc w:val="left"/>
      <w:pPr>
        <w:tabs>
          <w:tab w:val="num" w:pos="1800"/>
        </w:tabs>
        <w:ind w:left="1800" w:hanging="360"/>
      </w:pPr>
      <w:rPr>
        <w:rFonts w:ascii="Times New Roman" w:hAnsi="Times New Roman" w:hint="default"/>
      </w:rPr>
    </w:lvl>
    <w:lvl w:ilvl="3" w:tplc="10E45BBA" w:tentative="1">
      <w:start w:val="1"/>
      <w:numFmt w:val="bullet"/>
      <w:lvlText w:val="•"/>
      <w:lvlJc w:val="left"/>
      <w:pPr>
        <w:tabs>
          <w:tab w:val="num" w:pos="2520"/>
        </w:tabs>
        <w:ind w:left="2520" w:hanging="360"/>
      </w:pPr>
      <w:rPr>
        <w:rFonts w:ascii="Times New Roman" w:hAnsi="Times New Roman" w:hint="default"/>
      </w:rPr>
    </w:lvl>
    <w:lvl w:ilvl="4" w:tplc="57605806" w:tentative="1">
      <w:start w:val="1"/>
      <w:numFmt w:val="bullet"/>
      <w:lvlText w:val="•"/>
      <w:lvlJc w:val="left"/>
      <w:pPr>
        <w:tabs>
          <w:tab w:val="num" w:pos="3240"/>
        </w:tabs>
        <w:ind w:left="3240" w:hanging="360"/>
      </w:pPr>
      <w:rPr>
        <w:rFonts w:ascii="Times New Roman" w:hAnsi="Times New Roman" w:hint="default"/>
      </w:rPr>
    </w:lvl>
    <w:lvl w:ilvl="5" w:tplc="4B508F80" w:tentative="1">
      <w:start w:val="1"/>
      <w:numFmt w:val="bullet"/>
      <w:lvlText w:val="•"/>
      <w:lvlJc w:val="left"/>
      <w:pPr>
        <w:tabs>
          <w:tab w:val="num" w:pos="3960"/>
        </w:tabs>
        <w:ind w:left="3960" w:hanging="360"/>
      </w:pPr>
      <w:rPr>
        <w:rFonts w:ascii="Times New Roman" w:hAnsi="Times New Roman" w:hint="default"/>
      </w:rPr>
    </w:lvl>
    <w:lvl w:ilvl="6" w:tplc="C44AF84E" w:tentative="1">
      <w:start w:val="1"/>
      <w:numFmt w:val="bullet"/>
      <w:lvlText w:val="•"/>
      <w:lvlJc w:val="left"/>
      <w:pPr>
        <w:tabs>
          <w:tab w:val="num" w:pos="4680"/>
        </w:tabs>
        <w:ind w:left="4680" w:hanging="360"/>
      </w:pPr>
      <w:rPr>
        <w:rFonts w:ascii="Times New Roman" w:hAnsi="Times New Roman" w:hint="default"/>
      </w:rPr>
    </w:lvl>
    <w:lvl w:ilvl="7" w:tplc="4BAC8838" w:tentative="1">
      <w:start w:val="1"/>
      <w:numFmt w:val="bullet"/>
      <w:lvlText w:val="•"/>
      <w:lvlJc w:val="left"/>
      <w:pPr>
        <w:tabs>
          <w:tab w:val="num" w:pos="5400"/>
        </w:tabs>
        <w:ind w:left="5400" w:hanging="360"/>
      </w:pPr>
      <w:rPr>
        <w:rFonts w:ascii="Times New Roman" w:hAnsi="Times New Roman" w:hint="default"/>
      </w:rPr>
    </w:lvl>
    <w:lvl w:ilvl="8" w:tplc="2E803434" w:tentative="1">
      <w:start w:val="1"/>
      <w:numFmt w:val="bullet"/>
      <w:lvlText w:val="•"/>
      <w:lvlJc w:val="left"/>
      <w:pPr>
        <w:tabs>
          <w:tab w:val="num" w:pos="6120"/>
        </w:tabs>
        <w:ind w:left="6120" w:hanging="360"/>
      </w:pPr>
      <w:rPr>
        <w:rFonts w:ascii="Times New Roman" w:hAnsi="Times New Roman" w:hint="default"/>
      </w:rPr>
    </w:lvl>
  </w:abstractNum>
  <w:num w:numId="1">
    <w:abstractNumId w:val="35"/>
  </w:num>
  <w:num w:numId="2">
    <w:abstractNumId w:val="5"/>
  </w:num>
  <w:num w:numId="3">
    <w:abstractNumId w:val="20"/>
  </w:num>
  <w:num w:numId="4">
    <w:abstractNumId w:val="27"/>
  </w:num>
  <w:num w:numId="5">
    <w:abstractNumId w:val="30"/>
  </w:num>
  <w:num w:numId="6">
    <w:abstractNumId w:val="5"/>
  </w:num>
  <w:num w:numId="7">
    <w:abstractNumId w:val="11"/>
  </w:num>
  <w:num w:numId="8">
    <w:abstractNumId w:val="39"/>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8"/>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36"/>
  </w:num>
  <w:num w:numId="17">
    <w:abstractNumId w:val="26"/>
  </w:num>
  <w:num w:numId="18">
    <w:abstractNumId w:val="25"/>
  </w:num>
  <w:num w:numId="19">
    <w:abstractNumId w:val="3"/>
  </w:num>
  <w:num w:numId="20">
    <w:abstractNumId w:val="18"/>
  </w:num>
  <w:num w:numId="21">
    <w:abstractNumId w:val="21"/>
  </w:num>
  <w:num w:numId="22">
    <w:abstractNumId w:val="33"/>
  </w:num>
  <w:num w:numId="23">
    <w:abstractNumId w:val="22"/>
  </w:num>
  <w:num w:numId="24">
    <w:abstractNumId w:val="1"/>
  </w:num>
  <w:num w:numId="25">
    <w:abstractNumId w:val="9"/>
  </w:num>
  <w:num w:numId="26">
    <w:abstractNumId w:val="40"/>
  </w:num>
  <w:num w:numId="27">
    <w:abstractNumId w:val="23"/>
  </w:num>
  <w:num w:numId="28">
    <w:abstractNumId w:val="24"/>
  </w:num>
  <w:num w:numId="29">
    <w:abstractNumId w:val="15"/>
  </w:num>
  <w:num w:numId="30">
    <w:abstractNumId w:val="14"/>
  </w:num>
  <w:num w:numId="31">
    <w:abstractNumId w:val="16"/>
  </w:num>
  <w:num w:numId="32">
    <w:abstractNumId w:val="6"/>
  </w:num>
  <w:num w:numId="33">
    <w:abstractNumId w:val="4"/>
  </w:num>
  <w:num w:numId="34">
    <w:abstractNumId w:val="7"/>
  </w:num>
  <w:num w:numId="35">
    <w:abstractNumId w:val="0"/>
  </w:num>
  <w:num w:numId="36">
    <w:abstractNumId w:val="37"/>
  </w:num>
  <w:num w:numId="37">
    <w:abstractNumId w:val="38"/>
  </w:num>
  <w:num w:numId="38">
    <w:abstractNumId w:val="32"/>
  </w:num>
  <w:num w:numId="39">
    <w:abstractNumId w:val="10"/>
  </w:num>
  <w:num w:numId="40">
    <w:abstractNumId w:val="34"/>
  </w:num>
  <w:num w:numId="41">
    <w:abstractNumId w:val="17"/>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7B0"/>
    <w:rsid w:val="00000D47"/>
    <w:rsid w:val="00000D6F"/>
    <w:rsid w:val="000119B6"/>
    <w:rsid w:val="00012458"/>
    <w:rsid w:val="00013F0E"/>
    <w:rsid w:val="0001666A"/>
    <w:rsid w:val="0002080A"/>
    <w:rsid w:val="0002336C"/>
    <w:rsid w:val="00027287"/>
    <w:rsid w:val="00027821"/>
    <w:rsid w:val="0002782F"/>
    <w:rsid w:val="000356C3"/>
    <w:rsid w:val="00041596"/>
    <w:rsid w:val="0004160F"/>
    <w:rsid w:val="000503CE"/>
    <w:rsid w:val="00050DF8"/>
    <w:rsid w:val="000524C5"/>
    <w:rsid w:val="00054E4D"/>
    <w:rsid w:val="00055EAB"/>
    <w:rsid w:val="00057479"/>
    <w:rsid w:val="00060073"/>
    <w:rsid w:val="00061316"/>
    <w:rsid w:val="00064004"/>
    <w:rsid w:val="0006409E"/>
    <w:rsid w:val="00066FE3"/>
    <w:rsid w:val="000732D6"/>
    <w:rsid w:val="000741A7"/>
    <w:rsid w:val="000866C8"/>
    <w:rsid w:val="0008765F"/>
    <w:rsid w:val="0009364E"/>
    <w:rsid w:val="000972FD"/>
    <w:rsid w:val="0009796F"/>
    <w:rsid w:val="000A2176"/>
    <w:rsid w:val="000A7AD5"/>
    <w:rsid w:val="000B3155"/>
    <w:rsid w:val="000B321A"/>
    <w:rsid w:val="000B5035"/>
    <w:rsid w:val="000B7F10"/>
    <w:rsid w:val="000C31E7"/>
    <w:rsid w:val="000C3638"/>
    <w:rsid w:val="000D09D3"/>
    <w:rsid w:val="000D53CF"/>
    <w:rsid w:val="000E79F6"/>
    <w:rsid w:val="000F2A97"/>
    <w:rsid w:val="00101A68"/>
    <w:rsid w:val="0010275D"/>
    <w:rsid w:val="00104986"/>
    <w:rsid w:val="00105094"/>
    <w:rsid w:val="001055F8"/>
    <w:rsid w:val="00105E80"/>
    <w:rsid w:val="0011006C"/>
    <w:rsid w:val="00117268"/>
    <w:rsid w:val="00123820"/>
    <w:rsid w:val="001250CF"/>
    <w:rsid w:val="00130F8F"/>
    <w:rsid w:val="00133275"/>
    <w:rsid w:val="0013593B"/>
    <w:rsid w:val="00141E3E"/>
    <w:rsid w:val="00145751"/>
    <w:rsid w:val="00151498"/>
    <w:rsid w:val="00153109"/>
    <w:rsid w:val="001541EA"/>
    <w:rsid w:val="00155E7F"/>
    <w:rsid w:val="00156A3D"/>
    <w:rsid w:val="00157C34"/>
    <w:rsid w:val="00164036"/>
    <w:rsid w:val="00165788"/>
    <w:rsid w:val="00176E78"/>
    <w:rsid w:val="00177828"/>
    <w:rsid w:val="00180046"/>
    <w:rsid w:val="00192C1B"/>
    <w:rsid w:val="00196DE3"/>
    <w:rsid w:val="001A79DE"/>
    <w:rsid w:val="001B2C5C"/>
    <w:rsid w:val="001B579A"/>
    <w:rsid w:val="001B5A23"/>
    <w:rsid w:val="001B686C"/>
    <w:rsid w:val="001C013B"/>
    <w:rsid w:val="001C31AC"/>
    <w:rsid w:val="001C455C"/>
    <w:rsid w:val="001C4FF1"/>
    <w:rsid w:val="001C7935"/>
    <w:rsid w:val="001D0F7D"/>
    <w:rsid w:val="001D2C92"/>
    <w:rsid w:val="001D663E"/>
    <w:rsid w:val="001D7DB1"/>
    <w:rsid w:val="001E0D37"/>
    <w:rsid w:val="001E1DC0"/>
    <w:rsid w:val="001E55FC"/>
    <w:rsid w:val="001E7A05"/>
    <w:rsid w:val="001F43C1"/>
    <w:rsid w:val="00203BF7"/>
    <w:rsid w:val="00214116"/>
    <w:rsid w:val="0022167B"/>
    <w:rsid w:val="0022186C"/>
    <w:rsid w:val="00221AE5"/>
    <w:rsid w:val="00224D3C"/>
    <w:rsid w:val="00226AF4"/>
    <w:rsid w:val="0023298F"/>
    <w:rsid w:val="00233304"/>
    <w:rsid w:val="0023481D"/>
    <w:rsid w:val="00234A59"/>
    <w:rsid w:val="00235580"/>
    <w:rsid w:val="00240236"/>
    <w:rsid w:val="00240892"/>
    <w:rsid w:val="0024653B"/>
    <w:rsid w:val="00247E3C"/>
    <w:rsid w:val="0025143D"/>
    <w:rsid w:val="00251B71"/>
    <w:rsid w:val="00253405"/>
    <w:rsid w:val="00254A71"/>
    <w:rsid w:val="002573DB"/>
    <w:rsid w:val="002607B0"/>
    <w:rsid w:val="002634EE"/>
    <w:rsid w:val="00263B58"/>
    <w:rsid w:val="0026670E"/>
    <w:rsid w:val="00271503"/>
    <w:rsid w:val="00272B56"/>
    <w:rsid w:val="00276B76"/>
    <w:rsid w:val="00283EFE"/>
    <w:rsid w:val="0028602A"/>
    <w:rsid w:val="00286D12"/>
    <w:rsid w:val="00286EDD"/>
    <w:rsid w:val="002921CE"/>
    <w:rsid w:val="0029542A"/>
    <w:rsid w:val="002A2A1C"/>
    <w:rsid w:val="002A48A8"/>
    <w:rsid w:val="002B3872"/>
    <w:rsid w:val="002C0579"/>
    <w:rsid w:val="002C0C6F"/>
    <w:rsid w:val="002C1EB6"/>
    <w:rsid w:val="002D01DB"/>
    <w:rsid w:val="002D04E0"/>
    <w:rsid w:val="002D43C3"/>
    <w:rsid w:val="002D484F"/>
    <w:rsid w:val="002D506F"/>
    <w:rsid w:val="002E709E"/>
    <w:rsid w:val="002F1BDC"/>
    <w:rsid w:val="002F1C03"/>
    <w:rsid w:val="002F2CC9"/>
    <w:rsid w:val="003002C0"/>
    <w:rsid w:val="00301144"/>
    <w:rsid w:val="00307CB5"/>
    <w:rsid w:val="0031097F"/>
    <w:rsid w:val="003148B7"/>
    <w:rsid w:val="003158C3"/>
    <w:rsid w:val="003167BC"/>
    <w:rsid w:val="003170F3"/>
    <w:rsid w:val="00317E9B"/>
    <w:rsid w:val="003274CD"/>
    <w:rsid w:val="00330703"/>
    <w:rsid w:val="00333501"/>
    <w:rsid w:val="003342C7"/>
    <w:rsid w:val="00337452"/>
    <w:rsid w:val="00337935"/>
    <w:rsid w:val="00337B31"/>
    <w:rsid w:val="00337D35"/>
    <w:rsid w:val="003457C4"/>
    <w:rsid w:val="00347425"/>
    <w:rsid w:val="0035119D"/>
    <w:rsid w:val="00354454"/>
    <w:rsid w:val="0035513B"/>
    <w:rsid w:val="00355B5D"/>
    <w:rsid w:val="003567C7"/>
    <w:rsid w:val="00363B3C"/>
    <w:rsid w:val="00365420"/>
    <w:rsid w:val="00367856"/>
    <w:rsid w:val="0037630A"/>
    <w:rsid w:val="00376FBB"/>
    <w:rsid w:val="00380674"/>
    <w:rsid w:val="00383010"/>
    <w:rsid w:val="00383B26"/>
    <w:rsid w:val="00384079"/>
    <w:rsid w:val="003862FC"/>
    <w:rsid w:val="00391641"/>
    <w:rsid w:val="003934E0"/>
    <w:rsid w:val="003A2500"/>
    <w:rsid w:val="003A5347"/>
    <w:rsid w:val="003A5358"/>
    <w:rsid w:val="003A5CD1"/>
    <w:rsid w:val="003B4F12"/>
    <w:rsid w:val="003B6BB0"/>
    <w:rsid w:val="003B7805"/>
    <w:rsid w:val="003C273D"/>
    <w:rsid w:val="003D4F79"/>
    <w:rsid w:val="003D7F56"/>
    <w:rsid w:val="003E038E"/>
    <w:rsid w:val="003E0442"/>
    <w:rsid w:val="003E32FA"/>
    <w:rsid w:val="003F3DE0"/>
    <w:rsid w:val="003F4A03"/>
    <w:rsid w:val="003F525E"/>
    <w:rsid w:val="003F7128"/>
    <w:rsid w:val="00402885"/>
    <w:rsid w:val="00410B8B"/>
    <w:rsid w:val="0041302B"/>
    <w:rsid w:val="00413052"/>
    <w:rsid w:val="0041430C"/>
    <w:rsid w:val="004144E9"/>
    <w:rsid w:val="004152EC"/>
    <w:rsid w:val="0041627D"/>
    <w:rsid w:val="004215E7"/>
    <w:rsid w:val="004230ED"/>
    <w:rsid w:val="004234E3"/>
    <w:rsid w:val="00423F31"/>
    <w:rsid w:val="00423F77"/>
    <w:rsid w:val="0042447C"/>
    <w:rsid w:val="0042455D"/>
    <w:rsid w:val="00425CB9"/>
    <w:rsid w:val="00426C51"/>
    <w:rsid w:val="00427B4D"/>
    <w:rsid w:val="00431899"/>
    <w:rsid w:val="00431C90"/>
    <w:rsid w:val="00437506"/>
    <w:rsid w:val="004377D5"/>
    <w:rsid w:val="00437A5A"/>
    <w:rsid w:val="00444401"/>
    <w:rsid w:val="00457225"/>
    <w:rsid w:val="0046529B"/>
    <w:rsid w:val="00467695"/>
    <w:rsid w:val="0047491E"/>
    <w:rsid w:val="00481CA0"/>
    <w:rsid w:val="00484BB4"/>
    <w:rsid w:val="004866A7"/>
    <w:rsid w:val="00486804"/>
    <w:rsid w:val="00492E45"/>
    <w:rsid w:val="00493A01"/>
    <w:rsid w:val="00494045"/>
    <w:rsid w:val="00495F8E"/>
    <w:rsid w:val="004971E7"/>
    <w:rsid w:val="004A27B5"/>
    <w:rsid w:val="004A3947"/>
    <w:rsid w:val="004A3DE0"/>
    <w:rsid w:val="004A67E8"/>
    <w:rsid w:val="004B1AEA"/>
    <w:rsid w:val="004B3775"/>
    <w:rsid w:val="004B3E3F"/>
    <w:rsid w:val="004C246D"/>
    <w:rsid w:val="004C6807"/>
    <w:rsid w:val="004C699B"/>
    <w:rsid w:val="004C7367"/>
    <w:rsid w:val="004D0AEE"/>
    <w:rsid w:val="004D336E"/>
    <w:rsid w:val="004D630E"/>
    <w:rsid w:val="004D633C"/>
    <w:rsid w:val="004E058F"/>
    <w:rsid w:val="004E0B3D"/>
    <w:rsid w:val="004E3B87"/>
    <w:rsid w:val="004E6FD5"/>
    <w:rsid w:val="004E7C30"/>
    <w:rsid w:val="004E7E9F"/>
    <w:rsid w:val="004F3A2A"/>
    <w:rsid w:val="004F78A7"/>
    <w:rsid w:val="00501EA3"/>
    <w:rsid w:val="0050405D"/>
    <w:rsid w:val="00510921"/>
    <w:rsid w:val="00510AD3"/>
    <w:rsid w:val="00513348"/>
    <w:rsid w:val="00514EA2"/>
    <w:rsid w:val="00517CFC"/>
    <w:rsid w:val="00521B2A"/>
    <w:rsid w:val="00523093"/>
    <w:rsid w:val="005247AB"/>
    <w:rsid w:val="00533B5D"/>
    <w:rsid w:val="00536F42"/>
    <w:rsid w:val="00544FF7"/>
    <w:rsid w:val="00552BFE"/>
    <w:rsid w:val="005536C4"/>
    <w:rsid w:val="005577F0"/>
    <w:rsid w:val="00557FCB"/>
    <w:rsid w:val="00560EDD"/>
    <w:rsid w:val="0056172E"/>
    <w:rsid w:val="005700C1"/>
    <w:rsid w:val="0057225D"/>
    <w:rsid w:val="0057334B"/>
    <w:rsid w:val="005753F0"/>
    <w:rsid w:val="0058458D"/>
    <w:rsid w:val="0058530D"/>
    <w:rsid w:val="00594961"/>
    <w:rsid w:val="0059577C"/>
    <w:rsid w:val="00596DED"/>
    <w:rsid w:val="005A3526"/>
    <w:rsid w:val="005B535F"/>
    <w:rsid w:val="005B583F"/>
    <w:rsid w:val="005B5C9E"/>
    <w:rsid w:val="005C18AC"/>
    <w:rsid w:val="005C437F"/>
    <w:rsid w:val="005C70FA"/>
    <w:rsid w:val="005D13BB"/>
    <w:rsid w:val="005D1E4D"/>
    <w:rsid w:val="005D22A6"/>
    <w:rsid w:val="005D3763"/>
    <w:rsid w:val="005E4D3B"/>
    <w:rsid w:val="005F0701"/>
    <w:rsid w:val="00613E55"/>
    <w:rsid w:val="00617926"/>
    <w:rsid w:val="00617F5D"/>
    <w:rsid w:val="006222A8"/>
    <w:rsid w:val="00623BA1"/>
    <w:rsid w:val="00627558"/>
    <w:rsid w:val="00630A3B"/>
    <w:rsid w:val="006346BC"/>
    <w:rsid w:val="0064032D"/>
    <w:rsid w:val="006442D0"/>
    <w:rsid w:val="0065317C"/>
    <w:rsid w:val="006532C5"/>
    <w:rsid w:val="00655169"/>
    <w:rsid w:val="0065749D"/>
    <w:rsid w:val="00660AF5"/>
    <w:rsid w:val="0066652A"/>
    <w:rsid w:val="0066797B"/>
    <w:rsid w:val="00672D17"/>
    <w:rsid w:val="006731F6"/>
    <w:rsid w:val="00673C5E"/>
    <w:rsid w:val="00676EDC"/>
    <w:rsid w:val="006802BE"/>
    <w:rsid w:val="00682167"/>
    <w:rsid w:val="00686E76"/>
    <w:rsid w:val="00687B3B"/>
    <w:rsid w:val="006922D7"/>
    <w:rsid w:val="00694131"/>
    <w:rsid w:val="006955FB"/>
    <w:rsid w:val="006A5B93"/>
    <w:rsid w:val="006B0E2A"/>
    <w:rsid w:val="006B1300"/>
    <w:rsid w:val="006B4829"/>
    <w:rsid w:val="006B4FD3"/>
    <w:rsid w:val="006C3576"/>
    <w:rsid w:val="006C42AF"/>
    <w:rsid w:val="006C483E"/>
    <w:rsid w:val="006C736E"/>
    <w:rsid w:val="006D36D0"/>
    <w:rsid w:val="006E08FA"/>
    <w:rsid w:val="006E158B"/>
    <w:rsid w:val="006E1767"/>
    <w:rsid w:val="006E289B"/>
    <w:rsid w:val="006E2A12"/>
    <w:rsid w:val="006F0606"/>
    <w:rsid w:val="006F191E"/>
    <w:rsid w:val="006F2D2E"/>
    <w:rsid w:val="006F682D"/>
    <w:rsid w:val="00700B3A"/>
    <w:rsid w:val="00706FDE"/>
    <w:rsid w:val="0071086E"/>
    <w:rsid w:val="00710AC4"/>
    <w:rsid w:val="00711D8E"/>
    <w:rsid w:val="00712672"/>
    <w:rsid w:val="00715B3F"/>
    <w:rsid w:val="007217FC"/>
    <w:rsid w:val="00721F4D"/>
    <w:rsid w:val="00724901"/>
    <w:rsid w:val="00727380"/>
    <w:rsid w:val="0073093B"/>
    <w:rsid w:val="00731A39"/>
    <w:rsid w:val="00732CA1"/>
    <w:rsid w:val="00734E3F"/>
    <w:rsid w:val="00736985"/>
    <w:rsid w:val="00740D5C"/>
    <w:rsid w:val="00744E44"/>
    <w:rsid w:val="007459CF"/>
    <w:rsid w:val="00745DF5"/>
    <w:rsid w:val="007474FC"/>
    <w:rsid w:val="00750DBA"/>
    <w:rsid w:val="007538A5"/>
    <w:rsid w:val="007559AC"/>
    <w:rsid w:val="00756044"/>
    <w:rsid w:val="0075794C"/>
    <w:rsid w:val="00760B3C"/>
    <w:rsid w:val="00761FBB"/>
    <w:rsid w:val="0076606A"/>
    <w:rsid w:val="007727B6"/>
    <w:rsid w:val="00773540"/>
    <w:rsid w:val="00774489"/>
    <w:rsid w:val="00780364"/>
    <w:rsid w:val="007806BC"/>
    <w:rsid w:val="007825ED"/>
    <w:rsid w:val="00785854"/>
    <w:rsid w:val="00785918"/>
    <w:rsid w:val="00786F05"/>
    <w:rsid w:val="007903D7"/>
    <w:rsid w:val="00793AB5"/>
    <w:rsid w:val="00794E78"/>
    <w:rsid w:val="0079738A"/>
    <w:rsid w:val="007A34B5"/>
    <w:rsid w:val="007B29FD"/>
    <w:rsid w:val="007B42BF"/>
    <w:rsid w:val="007B6200"/>
    <w:rsid w:val="007B634D"/>
    <w:rsid w:val="007C21BB"/>
    <w:rsid w:val="007C42D8"/>
    <w:rsid w:val="007C4894"/>
    <w:rsid w:val="007D5DCF"/>
    <w:rsid w:val="007D60CC"/>
    <w:rsid w:val="007D742B"/>
    <w:rsid w:val="007E0884"/>
    <w:rsid w:val="007E090E"/>
    <w:rsid w:val="007E2535"/>
    <w:rsid w:val="007E3380"/>
    <w:rsid w:val="007F2CBA"/>
    <w:rsid w:val="007F3395"/>
    <w:rsid w:val="00801B9F"/>
    <w:rsid w:val="00804CC3"/>
    <w:rsid w:val="00806503"/>
    <w:rsid w:val="00806757"/>
    <w:rsid w:val="00823FC8"/>
    <w:rsid w:val="00824C60"/>
    <w:rsid w:val="008252FA"/>
    <w:rsid w:val="0082741E"/>
    <w:rsid w:val="00827BB4"/>
    <w:rsid w:val="00831BFC"/>
    <w:rsid w:val="00834336"/>
    <w:rsid w:val="008348EA"/>
    <w:rsid w:val="00840942"/>
    <w:rsid w:val="0084099D"/>
    <w:rsid w:val="0085011E"/>
    <w:rsid w:val="00853A36"/>
    <w:rsid w:val="008657FB"/>
    <w:rsid w:val="0086735E"/>
    <w:rsid w:val="00871128"/>
    <w:rsid w:val="00875F79"/>
    <w:rsid w:val="00877DBE"/>
    <w:rsid w:val="008830D2"/>
    <w:rsid w:val="0088418A"/>
    <w:rsid w:val="00885638"/>
    <w:rsid w:val="00885E9F"/>
    <w:rsid w:val="00892441"/>
    <w:rsid w:val="00895D66"/>
    <w:rsid w:val="008963B9"/>
    <w:rsid w:val="008A2D70"/>
    <w:rsid w:val="008A378A"/>
    <w:rsid w:val="008A7E86"/>
    <w:rsid w:val="008B0B5B"/>
    <w:rsid w:val="008C2147"/>
    <w:rsid w:val="008C2ACD"/>
    <w:rsid w:val="008C455D"/>
    <w:rsid w:val="008C5A0E"/>
    <w:rsid w:val="008D5FE6"/>
    <w:rsid w:val="008E032F"/>
    <w:rsid w:val="008F1222"/>
    <w:rsid w:val="008F4066"/>
    <w:rsid w:val="008F516A"/>
    <w:rsid w:val="009057EA"/>
    <w:rsid w:val="00916C64"/>
    <w:rsid w:val="00922FD6"/>
    <w:rsid w:val="00924EB1"/>
    <w:rsid w:val="00925315"/>
    <w:rsid w:val="00931D7C"/>
    <w:rsid w:val="00932513"/>
    <w:rsid w:val="009336EB"/>
    <w:rsid w:val="00934A3C"/>
    <w:rsid w:val="009356EC"/>
    <w:rsid w:val="00944E13"/>
    <w:rsid w:val="00951977"/>
    <w:rsid w:val="00951E68"/>
    <w:rsid w:val="009571FF"/>
    <w:rsid w:val="009614AE"/>
    <w:rsid w:val="00961895"/>
    <w:rsid w:val="00964599"/>
    <w:rsid w:val="00965283"/>
    <w:rsid w:val="00971905"/>
    <w:rsid w:val="00975D65"/>
    <w:rsid w:val="0098013B"/>
    <w:rsid w:val="00982A5F"/>
    <w:rsid w:val="00986B2B"/>
    <w:rsid w:val="00987BC8"/>
    <w:rsid w:val="00994292"/>
    <w:rsid w:val="009946C6"/>
    <w:rsid w:val="009A1CEB"/>
    <w:rsid w:val="009A4CDE"/>
    <w:rsid w:val="009A60A0"/>
    <w:rsid w:val="009A68B5"/>
    <w:rsid w:val="009A7C23"/>
    <w:rsid w:val="009B11EB"/>
    <w:rsid w:val="009B12CA"/>
    <w:rsid w:val="009B3BF8"/>
    <w:rsid w:val="009B4D3B"/>
    <w:rsid w:val="009B7FC7"/>
    <w:rsid w:val="009C6BCD"/>
    <w:rsid w:val="009D3402"/>
    <w:rsid w:val="009D6E37"/>
    <w:rsid w:val="009D7407"/>
    <w:rsid w:val="009E0866"/>
    <w:rsid w:val="009E25BF"/>
    <w:rsid w:val="009E4648"/>
    <w:rsid w:val="009F0C7B"/>
    <w:rsid w:val="009F3D88"/>
    <w:rsid w:val="009F6423"/>
    <w:rsid w:val="00A00BD0"/>
    <w:rsid w:val="00A01138"/>
    <w:rsid w:val="00A014E4"/>
    <w:rsid w:val="00A04166"/>
    <w:rsid w:val="00A07077"/>
    <w:rsid w:val="00A12F6C"/>
    <w:rsid w:val="00A13E4D"/>
    <w:rsid w:val="00A1561E"/>
    <w:rsid w:val="00A24100"/>
    <w:rsid w:val="00A2486C"/>
    <w:rsid w:val="00A24A62"/>
    <w:rsid w:val="00A2525D"/>
    <w:rsid w:val="00A27BF2"/>
    <w:rsid w:val="00A31357"/>
    <w:rsid w:val="00A31C9F"/>
    <w:rsid w:val="00A33675"/>
    <w:rsid w:val="00A368D9"/>
    <w:rsid w:val="00A376D2"/>
    <w:rsid w:val="00A37954"/>
    <w:rsid w:val="00A4144F"/>
    <w:rsid w:val="00A44AC6"/>
    <w:rsid w:val="00A51B45"/>
    <w:rsid w:val="00A54E7A"/>
    <w:rsid w:val="00A5609A"/>
    <w:rsid w:val="00A617A4"/>
    <w:rsid w:val="00A61D28"/>
    <w:rsid w:val="00A6241D"/>
    <w:rsid w:val="00A62580"/>
    <w:rsid w:val="00A62CC4"/>
    <w:rsid w:val="00A65F96"/>
    <w:rsid w:val="00A71263"/>
    <w:rsid w:val="00A724F1"/>
    <w:rsid w:val="00A72C0D"/>
    <w:rsid w:val="00A745FC"/>
    <w:rsid w:val="00A75106"/>
    <w:rsid w:val="00A75A27"/>
    <w:rsid w:val="00A75B1D"/>
    <w:rsid w:val="00A768BE"/>
    <w:rsid w:val="00A820A7"/>
    <w:rsid w:val="00A83C0F"/>
    <w:rsid w:val="00A90510"/>
    <w:rsid w:val="00A9114C"/>
    <w:rsid w:val="00A91AE2"/>
    <w:rsid w:val="00AA4D68"/>
    <w:rsid w:val="00AB388E"/>
    <w:rsid w:val="00AB4D59"/>
    <w:rsid w:val="00AB6F51"/>
    <w:rsid w:val="00AC157B"/>
    <w:rsid w:val="00AC164A"/>
    <w:rsid w:val="00AC4620"/>
    <w:rsid w:val="00AC5C34"/>
    <w:rsid w:val="00AE03CD"/>
    <w:rsid w:val="00AE4D7C"/>
    <w:rsid w:val="00AF2050"/>
    <w:rsid w:val="00AF27F0"/>
    <w:rsid w:val="00AF33C7"/>
    <w:rsid w:val="00AF6D5E"/>
    <w:rsid w:val="00B01460"/>
    <w:rsid w:val="00B03CA8"/>
    <w:rsid w:val="00B0574F"/>
    <w:rsid w:val="00B15FC6"/>
    <w:rsid w:val="00B33B1D"/>
    <w:rsid w:val="00B34059"/>
    <w:rsid w:val="00B35911"/>
    <w:rsid w:val="00B37F39"/>
    <w:rsid w:val="00B43EB6"/>
    <w:rsid w:val="00B4594F"/>
    <w:rsid w:val="00B50C1F"/>
    <w:rsid w:val="00B51346"/>
    <w:rsid w:val="00B51505"/>
    <w:rsid w:val="00B5154C"/>
    <w:rsid w:val="00B544EE"/>
    <w:rsid w:val="00B55E19"/>
    <w:rsid w:val="00B6075D"/>
    <w:rsid w:val="00B643F2"/>
    <w:rsid w:val="00B66BDC"/>
    <w:rsid w:val="00B71158"/>
    <w:rsid w:val="00B718F2"/>
    <w:rsid w:val="00B76321"/>
    <w:rsid w:val="00B8281F"/>
    <w:rsid w:val="00B851FD"/>
    <w:rsid w:val="00B8581A"/>
    <w:rsid w:val="00B859AB"/>
    <w:rsid w:val="00B915DD"/>
    <w:rsid w:val="00B92E1E"/>
    <w:rsid w:val="00B9703F"/>
    <w:rsid w:val="00BA147A"/>
    <w:rsid w:val="00BA31A7"/>
    <w:rsid w:val="00BA4B6D"/>
    <w:rsid w:val="00BA5D1A"/>
    <w:rsid w:val="00BA5D31"/>
    <w:rsid w:val="00BA7505"/>
    <w:rsid w:val="00BB19CD"/>
    <w:rsid w:val="00BB26C5"/>
    <w:rsid w:val="00BB3E21"/>
    <w:rsid w:val="00BC00DC"/>
    <w:rsid w:val="00BC25E7"/>
    <w:rsid w:val="00BC3B4A"/>
    <w:rsid w:val="00BC5F46"/>
    <w:rsid w:val="00BC6029"/>
    <w:rsid w:val="00BD22D4"/>
    <w:rsid w:val="00BD45D2"/>
    <w:rsid w:val="00BD4786"/>
    <w:rsid w:val="00BE0891"/>
    <w:rsid w:val="00BE1FFF"/>
    <w:rsid w:val="00BE21B1"/>
    <w:rsid w:val="00BE3CBE"/>
    <w:rsid w:val="00BF14D0"/>
    <w:rsid w:val="00BF27EF"/>
    <w:rsid w:val="00BF29D2"/>
    <w:rsid w:val="00BF3A17"/>
    <w:rsid w:val="00BF4DE6"/>
    <w:rsid w:val="00BF5380"/>
    <w:rsid w:val="00BF57D1"/>
    <w:rsid w:val="00BF67F2"/>
    <w:rsid w:val="00C00C98"/>
    <w:rsid w:val="00C04CAA"/>
    <w:rsid w:val="00C0613F"/>
    <w:rsid w:val="00C10D7B"/>
    <w:rsid w:val="00C130B9"/>
    <w:rsid w:val="00C1374B"/>
    <w:rsid w:val="00C16478"/>
    <w:rsid w:val="00C235C4"/>
    <w:rsid w:val="00C3731C"/>
    <w:rsid w:val="00C40091"/>
    <w:rsid w:val="00C4262C"/>
    <w:rsid w:val="00C42CDE"/>
    <w:rsid w:val="00C44AE4"/>
    <w:rsid w:val="00C60B11"/>
    <w:rsid w:val="00C63EE9"/>
    <w:rsid w:val="00C65C11"/>
    <w:rsid w:val="00C718BC"/>
    <w:rsid w:val="00C76FD9"/>
    <w:rsid w:val="00C8354E"/>
    <w:rsid w:val="00C86007"/>
    <w:rsid w:val="00C91400"/>
    <w:rsid w:val="00C97745"/>
    <w:rsid w:val="00CA1160"/>
    <w:rsid w:val="00CA2AAC"/>
    <w:rsid w:val="00CA36BC"/>
    <w:rsid w:val="00CA37B1"/>
    <w:rsid w:val="00CA6EC9"/>
    <w:rsid w:val="00CB1959"/>
    <w:rsid w:val="00CB1C7D"/>
    <w:rsid w:val="00CB4585"/>
    <w:rsid w:val="00CB5E76"/>
    <w:rsid w:val="00CC431B"/>
    <w:rsid w:val="00CC531A"/>
    <w:rsid w:val="00CD2F34"/>
    <w:rsid w:val="00CD40A6"/>
    <w:rsid w:val="00CD533C"/>
    <w:rsid w:val="00CD60B1"/>
    <w:rsid w:val="00CD6919"/>
    <w:rsid w:val="00CE2F1B"/>
    <w:rsid w:val="00CF6F8F"/>
    <w:rsid w:val="00D018D0"/>
    <w:rsid w:val="00D01DAB"/>
    <w:rsid w:val="00D0296C"/>
    <w:rsid w:val="00D042D3"/>
    <w:rsid w:val="00D05D07"/>
    <w:rsid w:val="00D12225"/>
    <w:rsid w:val="00D12D89"/>
    <w:rsid w:val="00D133BA"/>
    <w:rsid w:val="00D17E7D"/>
    <w:rsid w:val="00D203EB"/>
    <w:rsid w:val="00D20694"/>
    <w:rsid w:val="00D2248F"/>
    <w:rsid w:val="00D22C51"/>
    <w:rsid w:val="00D250F8"/>
    <w:rsid w:val="00D26380"/>
    <w:rsid w:val="00D40C15"/>
    <w:rsid w:val="00D41000"/>
    <w:rsid w:val="00D44758"/>
    <w:rsid w:val="00D44F25"/>
    <w:rsid w:val="00D500E9"/>
    <w:rsid w:val="00D509F3"/>
    <w:rsid w:val="00D51343"/>
    <w:rsid w:val="00D55D99"/>
    <w:rsid w:val="00D57616"/>
    <w:rsid w:val="00D61576"/>
    <w:rsid w:val="00D63697"/>
    <w:rsid w:val="00D7631D"/>
    <w:rsid w:val="00D765B8"/>
    <w:rsid w:val="00D8193B"/>
    <w:rsid w:val="00D9353F"/>
    <w:rsid w:val="00D9392E"/>
    <w:rsid w:val="00DA6350"/>
    <w:rsid w:val="00DB0239"/>
    <w:rsid w:val="00DB617A"/>
    <w:rsid w:val="00DB6402"/>
    <w:rsid w:val="00DB792F"/>
    <w:rsid w:val="00DC1E12"/>
    <w:rsid w:val="00DC2895"/>
    <w:rsid w:val="00DC5265"/>
    <w:rsid w:val="00DC532E"/>
    <w:rsid w:val="00DC6CCD"/>
    <w:rsid w:val="00DD26CC"/>
    <w:rsid w:val="00DD41F5"/>
    <w:rsid w:val="00DD420C"/>
    <w:rsid w:val="00DD5629"/>
    <w:rsid w:val="00DE07B1"/>
    <w:rsid w:val="00DE24A2"/>
    <w:rsid w:val="00DE3DD4"/>
    <w:rsid w:val="00DE5E82"/>
    <w:rsid w:val="00DF0EA6"/>
    <w:rsid w:val="00E00787"/>
    <w:rsid w:val="00E01D75"/>
    <w:rsid w:val="00E0285C"/>
    <w:rsid w:val="00E03461"/>
    <w:rsid w:val="00E04AC1"/>
    <w:rsid w:val="00E07C5D"/>
    <w:rsid w:val="00E10987"/>
    <w:rsid w:val="00E11351"/>
    <w:rsid w:val="00E20BD3"/>
    <w:rsid w:val="00E24138"/>
    <w:rsid w:val="00E26E94"/>
    <w:rsid w:val="00E3368B"/>
    <w:rsid w:val="00E348BA"/>
    <w:rsid w:val="00E357B7"/>
    <w:rsid w:val="00E377D5"/>
    <w:rsid w:val="00E37B70"/>
    <w:rsid w:val="00E41B0A"/>
    <w:rsid w:val="00E44A4F"/>
    <w:rsid w:val="00E451AD"/>
    <w:rsid w:val="00E53800"/>
    <w:rsid w:val="00E54C4E"/>
    <w:rsid w:val="00E55AF3"/>
    <w:rsid w:val="00E55B43"/>
    <w:rsid w:val="00E57089"/>
    <w:rsid w:val="00E6081F"/>
    <w:rsid w:val="00E62377"/>
    <w:rsid w:val="00E62925"/>
    <w:rsid w:val="00E63FAA"/>
    <w:rsid w:val="00E6696A"/>
    <w:rsid w:val="00E6753E"/>
    <w:rsid w:val="00E71545"/>
    <w:rsid w:val="00E766E6"/>
    <w:rsid w:val="00E82491"/>
    <w:rsid w:val="00E82F47"/>
    <w:rsid w:val="00E83287"/>
    <w:rsid w:val="00E839A4"/>
    <w:rsid w:val="00E9392A"/>
    <w:rsid w:val="00EA04B2"/>
    <w:rsid w:val="00EA0BCE"/>
    <w:rsid w:val="00EA20F3"/>
    <w:rsid w:val="00EA3CFE"/>
    <w:rsid w:val="00EA5EDD"/>
    <w:rsid w:val="00EB5B14"/>
    <w:rsid w:val="00EB632D"/>
    <w:rsid w:val="00EB6875"/>
    <w:rsid w:val="00EC7660"/>
    <w:rsid w:val="00EC7759"/>
    <w:rsid w:val="00ED2552"/>
    <w:rsid w:val="00ED3A7A"/>
    <w:rsid w:val="00ED43D1"/>
    <w:rsid w:val="00ED58D9"/>
    <w:rsid w:val="00EE0D33"/>
    <w:rsid w:val="00EE2D37"/>
    <w:rsid w:val="00EE36A8"/>
    <w:rsid w:val="00EE4EE1"/>
    <w:rsid w:val="00EF23EA"/>
    <w:rsid w:val="00EF37C4"/>
    <w:rsid w:val="00EF4574"/>
    <w:rsid w:val="00EF7002"/>
    <w:rsid w:val="00EF740B"/>
    <w:rsid w:val="00EF75BF"/>
    <w:rsid w:val="00F12838"/>
    <w:rsid w:val="00F14C4A"/>
    <w:rsid w:val="00F1611E"/>
    <w:rsid w:val="00F20E5E"/>
    <w:rsid w:val="00F21C5F"/>
    <w:rsid w:val="00F22DDE"/>
    <w:rsid w:val="00F2485C"/>
    <w:rsid w:val="00F2684E"/>
    <w:rsid w:val="00F3151E"/>
    <w:rsid w:val="00F331A2"/>
    <w:rsid w:val="00F46058"/>
    <w:rsid w:val="00F4791C"/>
    <w:rsid w:val="00F50744"/>
    <w:rsid w:val="00F50776"/>
    <w:rsid w:val="00F536F5"/>
    <w:rsid w:val="00F5387F"/>
    <w:rsid w:val="00F5404C"/>
    <w:rsid w:val="00F56FD1"/>
    <w:rsid w:val="00F6098C"/>
    <w:rsid w:val="00F623D2"/>
    <w:rsid w:val="00F6244C"/>
    <w:rsid w:val="00F63911"/>
    <w:rsid w:val="00F64BDC"/>
    <w:rsid w:val="00F729EF"/>
    <w:rsid w:val="00F7740D"/>
    <w:rsid w:val="00F77CAE"/>
    <w:rsid w:val="00F80194"/>
    <w:rsid w:val="00F8408A"/>
    <w:rsid w:val="00F8555B"/>
    <w:rsid w:val="00F93C93"/>
    <w:rsid w:val="00F956E8"/>
    <w:rsid w:val="00F958AE"/>
    <w:rsid w:val="00F96BB9"/>
    <w:rsid w:val="00FA467F"/>
    <w:rsid w:val="00FA6261"/>
    <w:rsid w:val="00FC1DEF"/>
    <w:rsid w:val="00FC2884"/>
    <w:rsid w:val="00FC41C2"/>
    <w:rsid w:val="00FC54A8"/>
    <w:rsid w:val="00FC750D"/>
    <w:rsid w:val="00FD1DF4"/>
    <w:rsid w:val="00FD22B7"/>
    <w:rsid w:val="00FD31F2"/>
    <w:rsid w:val="00FE2037"/>
    <w:rsid w:val="00FE6D51"/>
    <w:rsid w:val="00FE7052"/>
    <w:rsid w:val="00FF0D49"/>
    <w:rsid w:val="00FF142B"/>
    <w:rsid w:val="00FF4BB2"/>
    <w:rsid w:val="00FF7D3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5C64160"/>
  <w15:docId w15:val="{CA811E0F-7D9A-429A-AE65-3A4A55B90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qFormat="1"/>
    <w:lsdException w:name="heading 8" w:locked="0" w:semiHidden="1" w:uiPriority="0" w:unhideWhenUsed="1" w:qFormat="1"/>
    <w:lsdException w:name="heading 9" w:locked="0" w:semiHidden="1" w:uiPriority="0"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0" w:unhideWhenUsed="1"/>
    <w:lsdException w:name="toc 4" w:locked="0" w:semiHidden="1" w:uiPriority="39" w:unhideWhenUsed="1"/>
    <w:lsdException w:name="toc 5" w:locked="0" w:semiHidden="1" w:uiPriority="39" w:unhideWhenUsed="1"/>
    <w:lsdException w:name="toc 6" w:locked="0" w:semiHidden="1" w:unhideWhenUsed="1"/>
    <w:lsdException w:name="toc 7" w:locked="0" w:semiHidden="1"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iPriority="0"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iPriority="0" w:unhideWhenUsed="1"/>
    <w:lsdException w:name="endnote reference" w:locked="0" w:semiHidden="1" w:uiPriority="0" w:unhideWhenUsed="1"/>
    <w:lsdException w:name="endnote text" w:locked="0"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Salutation" w:semiHidden="1" w:unhideWhenUsed="1"/>
    <w:lsdException w:name="Date" w:locked="0" w:semiHidden="1" w:uiPriority="0" w:unhideWhenUsed="1" w:qFormat="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locked="0" w:uiPriority="0"/>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7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0B5035"/>
    <w:pPr>
      <w:suppressAutoHyphens/>
      <w:spacing w:before="120" w:after="60" w:line="260" w:lineRule="atLeast"/>
    </w:pPr>
    <w:rPr>
      <w:color w:val="495965" w:themeColor="text2"/>
      <w:lang w:val="en-GB"/>
    </w:rPr>
  </w:style>
  <w:style w:type="paragraph" w:styleId="Heading1">
    <w:name w:val="heading 1"/>
    <w:basedOn w:val="Normal"/>
    <w:next w:val="Normal"/>
    <w:link w:val="Heading1Char"/>
    <w:qFormat/>
    <w:rsid w:val="00E10987"/>
    <w:pPr>
      <w:keepNext/>
      <w:keepLines/>
      <w:spacing w:before="300" w:after="2400" w:line="380" w:lineRule="exact"/>
      <w:contextualSpacing/>
      <w:outlineLvl w:val="0"/>
    </w:pPr>
    <w:rPr>
      <w:rFonts w:asciiTheme="majorHAnsi" w:eastAsiaTheme="majorEastAsia" w:hAnsiTheme="majorHAnsi" w:cstheme="majorBidi"/>
      <w:b/>
      <w:bCs/>
      <w:caps/>
      <w:color w:val="FFFFFF" w:themeColor="background1"/>
      <w:sz w:val="38"/>
      <w:szCs w:val="28"/>
    </w:rPr>
  </w:style>
  <w:style w:type="paragraph" w:styleId="Heading2">
    <w:name w:val="heading 2"/>
    <w:basedOn w:val="Heading1"/>
    <w:next w:val="Normal"/>
    <w:link w:val="Heading2Char"/>
    <w:unhideWhenUsed/>
    <w:qFormat/>
    <w:rsid w:val="00E10987"/>
    <w:pPr>
      <w:spacing w:before="480" w:after="120"/>
      <w:outlineLvl w:val="1"/>
    </w:pPr>
    <w:rPr>
      <w:b w:val="0"/>
      <w:bCs w:val="0"/>
      <w:color w:val="495965" w:themeColor="text2"/>
      <w:szCs w:val="26"/>
    </w:rPr>
  </w:style>
  <w:style w:type="paragraph" w:styleId="Heading3">
    <w:name w:val="heading 3"/>
    <w:basedOn w:val="Heading2"/>
    <w:next w:val="Normal"/>
    <w:link w:val="Heading3Char"/>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nhideWhenUsed/>
    <w:qFormat/>
    <w:rsid w:val="00501EA3"/>
    <w:pPr>
      <w:spacing w:before="240" w:line="280" w:lineRule="atLeast"/>
      <w:outlineLvl w:val="3"/>
    </w:pPr>
    <w:rPr>
      <w:iCs/>
      <w:sz w:val="24"/>
    </w:rPr>
  </w:style>
  <w:style w:type="paragraph" w:styleId="Heading5">
    <w:name w:val="heading 5"/>
    <w:basedOn w:val="Heading4"/>
    <w:next w:val="Normal"/>
    <w:link w:val="Heading5Char"/>
    <w:unhideWhenUsed/>
    <w:qFormat/>
    <w:rsid w:val="00501EA3"/>
    <w:pPr>
      <w:spacing w:line="200" w:lineRule="atLeast"/>
      <w:outlineLvl w:val="4"/>
    </w:pPr>
    <w:rPr>
      <w:b/>
      <w:sz w:val="16"/>
    </w:rPr>
  </w:style>
  <w:style w:type="paragraph" w:styleId="Heading6">
    <w:name w:val="heading 6"/>
    <w:basedOn w:val="Heading5"/>
    <w:next w:val="Normal"/>
    <w:link w:val="Heading6Char"/>
    <w:unhideWhenUsed/>
    <w:qFormat/>
    <w:rsid w:val="00501EA3"/>
    <w:pPr>
      <w:spacing w:before="40"/>
      <w:outlineLvl w:val="5"/>
    </w:pPr>
    <w:rPr>
      <w:b w:val="0"/>
      <w:color w:val="773E21" w:themeColor="accent1" w:themeShade="7F"/>
      <w:sz w:val="22"/>
    </w:rPr>
  </w:style>
  <w:style w:type="paragraph" w:styleId="Heading7">
    <w:name w:val="heading 7"/>
    <w:basedOn w:val="Heading6"/>
    <w:next w:val="Normal"/>
    <w:link w:val="Heading7Char"/>
    <w:unhideWhenUsed/>
    <w:qFormat/>
    <w:locked/>
    <w:rsid w:val="00501EA3"/>
    <w:pPr>
      <w:outlineLvl w:val="6"/>
    </w:pPr>
    <w:rPr>
      <w:i/>
      <w:iCs w:val="0"/>
    </w:rPr>
  </w:style>
  <w:style w:type="paragraph" w:styleId="Heading8">
    <w:name w:val="heading 8"/>
    <w:basedOn w:val="Heading7"/>
    <w:next w:val="Normal"/>
    <w:link w:val="Heading8Char"/>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0987"/>
    <w:rPr>
      <w:rFonts w:asciiTheme="majorHAnsi" w:eastAsiaTheme="majorEastAsia" w:hAnsiTheme="majorHAnsi" w:cstheme="majorBidi"/>
      <w:b/>
      <w:bCs/>
      <w:caps/>
      <w:color w:val="FFFFFF" w:themeColor="background1"/>
      <w:sz w:val="38"/>
      <w:szCs w:val="28"/>
      <w:lang w:val="en-GB"/>
    </w:rPr>
  </w:style>
  <w:style w:type="character" w:customStyle="1" w:styleId="Heading2Char">
    <w:name w:val="Heading 2 Char"/>
    <w:basedOn w:val="DefaultParagraphFont"/>
    <w:link w:val="Heading2"/>
    <w:rsid w:val="00E10987"/>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qFormat/>
    <w:rsid w:val="00E03461"/>
    <w:pPr>
      <w:numPr>
        <w:ilvl w:val="1"/>
      </w:numPr>
      <w:spacing w:before="120" w:line="280" w:lineRule="atLeast"/>
      <w:outlineLvl w:val="9"/>
    </w:pPr>
    <w:rPr>
      <w:rFonts w:asciiTheme="minorHAnsi" w:hAnsiTheme="minorHAnsi"/>
      <w:b w:val="0"/>
      <w:iCs/>
      <w:caps w:val="0"/>
      <w:spacing w:val="0"/>
      <w:sz w:val="24"/>
      <w:szCs w:val="24"/>
    </w:rPr>
  </w:style>
  <w:style w:type="character" w:customStyle="1" w:styleId="SubtitleChar">
    <w:name w:val="Subtitle Char"/>
    <w:basedOn w:val="DefaultParagraphFont"/>
    <w:link w:val="Subtitle"/>
    <w:rsid w:val="00E03461"/>
    <w:rPr>
      <w:rFonts w:eastAsiaTheme="majorEastAsia" w:cstheme="majorBidi"/>
      <w:bCs/>
      <w:iCs/>
      <w:color w:val="FFFFFF" w:themeColor="background1"/>
      <w:kern w:val="28"/>
      <w:sz w:val="24"/>
      <w:szCs w:val="24"/>
    </w:rPr>
  </w:style>
  <w:style w:type="paragraph" w:customStyle="1" w:styleId="Bullet1">
    <w:name w:val="Bullet 1"/>
    <w:basedOn w:val="Normal"/>
    <w:qFormat/>
    <w:rsid w:val="00D44758"/>
    <w:pPr>
      <w:numPr>
        <w:numId w:val="15"/>
      </w:numPr>
      <w:tabs>
        <w:tab w:val="left" w:pos="567"/>
      </w:tabs>
      <w:spacing w:before="60"/>
    </w:pPr>
  </w:style>
  <w:style w:type="paragraph" w:customStyle="1" w:styleId="Bullet2">
    <w:name w:val="Bullet 2"/>
    <w:basedOn w:val="Bullet1"/>
    <w:qFormat/>
    <w:rsid w:val="001C013B"/>
    <w:pPr>
      <w:numPr>
        <w:ilvl w:val="1"/>
      </w:numPr>
      <w:tabs>
        <w:tab w:val="clear" w:pos="568"/>
        <w:tab w:val="left" w:pos="851"/>
      </w:tabs>
    </w:pPr>
  </w:style>
  <w:style w:type="paragraph" w:customStyle="1" w:styleId="Bullet3">
    <w:name w:val="Bullet 3"/>
    <w:basedOn w:val="Bullet2"/>
    <w:qFormat/>
    <w:rsid w:val="001C013B"/>
    <w:pPr>
      <w:numPr>
        <w:ilvl w:val="2"/>
      </w:numPr>
      <w:tabs>
        <w:tab w:val="clear" w:pos="852"/>
        <w:tab w:val="left" w:pos="1134"/>
      </w:tabs>
    </w:pPr>
  </w:style>
  <w:style w:type="paragraph" w:customStyle="1" w:styleId="NumberedList1">
    <w:name w:val="Numbered List 1"/>
    <w:basedOn w:val="Normal"/>
    <w:qFormat/>
    <w:rsid w:val="009946C6"/>
    <w:pPr>
      <w:numPr>
        <w:numId w:val="6"/>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pPr>
  </w:style>
  <w:style w:type="paragraph" w:customStyle="1" w:styleId="Heading1Numbered">
    <w:name w:val="Heading 1 Numbered"/>
    <w:basedOn w:val="Heading1"/>
    <w:next w:val="Normal"/>
    <w:qFormat/>
    <w:rsid w:val="00D12D89"/>
    <w:pPr>
      <w:spacing w:after="3000" w:line="240" w:lineRule="auto"/>
    </w:pPr>
  </w:style>
  <w:style w:type="paragraph" w:customStyle="1" w:styleId="Heading2Numbered">
    <w:name w:val="Heading 2 Numbered"/>
    <w:basedOn w:val="Heading2"/>
    <w:next w:val="Normal"/>
    <w:qFormat/>
    <w:rsid w:val="00BA5D1A"/>
    <w:pPr>
      <w:numPr>
        <w:ilvl w:val="1"/>
        <w:numId w:val="16"/>
      </w:numPr>
      <w:spacing w:after="60"/>
    </w:pPr>
    <w:rPr>
      <w:bCs/>
    </w:rPr>
  </w:style>
  <w:style w:type="paragraph" w:customStyle="1" w:styleId="Heading3Numbered">
    <w:name w:val="Heading 3 Numbered"/>
    <w:basedOn w:val="Heading3"/>
    <w:next w:val="Normal"/>
    <w:qFormat/>
    <w:rsid w:val="00BA5D1A"/>
    <w:pPr>
      <w:numPr>
        <w:ilvl w:val="2"/>
        <w:numId w:val="16"/>
      </w:numPr>
      <w:spacing w:before="300" w:after="60"/>
    </w:pPr>
    <w:rPr>
      <w:szCs w:val="22"/>
      <w:lang w:val="en-GB"/>
    </w:rPr>
  </w:style>
  <w:style w:type="numbering" w:customStyle="1" w:styleId="BulletsList">
    <w:name w:val="Bullets List"/>
    <w:uiPriority w:val="99"/>
    <w:rsid w:val="00D44758"/>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BA5D1A"/>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673C5E"/>
    <w:pPr>
      <w:pBdr>
        <w:top w:val="single" w:sz="4" w:space="6" w:color="D3875F" w:themeColor="accent1"/>
        <w:between w:val="single" w:sz="4" w:space="6" w:color="D3875F" w:themeColor="accent1"/>
      </w:pBdr>
      <w:tabs>
        <w:tab w:val="left" w:pos="680"/>
        <w:tab w:val="right" w:pos="9639"/>
      </w:tabs>
      <w:spacing w:after="100" w:line="320" w:lineRule="atLeast"/>
    </w:pPr>
    <w:rPr>
      <w:rFonts w:ascii="Calibri Light" w:hAnsi="Calibri Light"/>
      <w:b/>
      <w:caps/>
      <w:noProof/>
      <w:color w:val="D3875F" w:themeColor="accent1"/>
      <w:sz w:val="24"/>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nhideWhenUsed/>
    <w:rsid w:val="0035119D"/>
    <w:pPr>
      <w:spacing w:after="100"/>
      <w:ind w:left="400"/>
    </w:pPr>
  </w:style>
  <w:style w:type="paragraph" w:styleId="Header">
    <w:name w:val="header"/>
    <w:basedOn w:val="Normal"/>
    <w:link w:val="HeaderChar"/>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9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9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locked/>
    <w:rsid w:val="00E10987"/>
    <w:pPr>
      <w:spacing w:before="400" w:after="400" w:line="280" w:lineRule="exact"/>
    </w:pPr>
    <w:rPr>
      <w:b/>
      <w:caps/>
      <w:color w:val="D3875F" w:themeColor="accent1"/>
      <w:sz w:val="28"/>
    </w:rPr>
  </w:style>
  <w:style w:type="table" w:styleId="TableGrid">
    <w:name w:val="Table Grid"/>
    <w:basedOn w:val="TableNormal"/>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3A5CD1"/>
    <w:rPr>
      <w:rFonts w:asciiTheme="minorHAnsi" w:hAnsiTheme="minorHAnsi" w:cs="MuseoSans-500"/>
      <w:color w:val="495965" w:themeColor="text2"/>
      <w:u w:val="single" w:color="495965" w:themeColor="text2"/>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D9353F"/>
    <w:rPr>
      <w:b/>
      <w:bCs/>
      <w:color w:val="495965" w:themeColor="text2"/>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link w:val="CaptionChar"/>
    <w:unhideWhenUsed/>
    <w:qFormat/>
    <w:rsid w:val="00B15FC6"/>
    <w:pPr>
      <w:keepNext/>
      <w:spacing w:before="240" w:after="120" w:line="240" w:lineRule="atLeast"/>
      <w:contextualSpacing/>
    </w:pPr>
    <w:rPr>
      <w:b/>
      <w:iCs/>
      <w:sz w:val="20"/>
      <w:szCs w:val="18"/>
    </w:rPr>
  </w:style>
  <w:style w:type="paragraph" w:styleId="Footer">
    <w:name w:val="footer"/>
    <w:basedOn w:val="Normal"/>
    <w:link w:val="FooterChar"/>
    <w:uiPriority w:val="99"/>
    <w:unhideWhenUsed/>
    <w:rsid w:val="002921CE"/>
    <w:pPr>
      <w:tabs>
        <w:tab w:val="right" w:pos="9356"/>
        <w:tab w:val="center" w:pos="10036"/>
      </w:tabs>
      <w:spacing w:before="0" w:after="0" w:line="220" w:lineRule="atLeast"/>
      <w:ind w:left="284" w:right="-567"/>
    </w:pPr>
    <w:rPr>
      <w:color w:val="FFFFFF" w:themeColor="background1"/>
      <w:sz w:val="14"/>
    </w:rPr>
  </w:style>
  <w:style w:type="character" w:customStyle="1" w:styleId="FooterChar">
    <w:name w:val="Footer Char"/>
    <w:basedOn w:val="DefaultParagraphFont"/>
    <w:link w:val="Footer"/>
    <w:uiPriority w:val="99"/>
    <w:rsid w:val="002921CE"/>
    <w:rPr>
      <w:color w:val="FFFFFF" w:themeColor="background1"/>
      <w:sz w:val="14"/>
      <w:lang w:val="en-GB"/>
    </w:rPr>
  </w:style>
  <w:style w:type="character" w:customStyle="1" w:styleId="Heading6Char">
    <w:name w:val="Heading 6 Char"/>
    <w:basedOn w:val="DefaultParagraphFont"/>
    <w:link w:val="Heading6"/>
    <w:rsid w:val="00501EA3"/>
    <w:rPr>
      <w:rFonts w:asciiTheme="majorHAnsi" w:eastAsiaTheme="majorEastAsia" w:hAnsiTheme="majorHAnsi" w:cstheme="majorBidi"/>
      <w:bCs/>
      <w:iCs/>
      <w:color w:val="773E21" w:themeColor="accent1" w:themeShade="7F"/>
      <w:szCs w:val="26"/>
    </w:rPr>
  </w:style>
  <w:style w:type="character" w:customStyle="1" w:styleId="Heading7Char">
    <w:name w:val="Heading 7 Char"/>
    <w:basedOn w:val="DefaultParagraphFont"/>
    <w:link w:val="Heading7"/>
    <w:rsid w:val="00501EA3"/>
    <w:rPr>
      <w:rFonts w:asciiTheme="majorHAnsi" w:eastAsiaTheme="majorEastAsia" w:hAnsiTheme="majorHAnsi" w:cstheme="majorBidi"/>
      <w:bCs/>
      <w:i/>
      <w:color w:val="773E21" w:themeColor="accent1" w:themeShade="7F"/>
      <w:szCs w:val="26"/>
    </w:rPr>
  </w:style>
  <w:style w:type="character" w:customStyle="1" w:styleId="Heading8Char">
    <w:name w:val="Heading 8 Char"/>
    <w:basedOn w:val="DefaultParagraphFont"/>
    <w:link w:val="Heading8"/>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rsid w:val="00501EA3"/>
    <w:rPr>
      <w:rFonts w:asciiTheme="majorHAnsi" w:eastAsiaTheme="majorEastAsia" w:hAnsiTheme="majorHAnsi" w:cstheme="majorBidi"/>
      <w:bCs/>
      <w:iCs/>
      <w:color w:val="272727" w:themeColor="text1" w:themeTint="D8"/>
      <w:sz w:val="21"/>
      <w:szCs w:val="21"/>
    </w:rPr>
  </w:style>
  <w:style w:type="character" w:styleId="PageNumber">
    <w:name w:val="page number"/>
    <w:basedOn w:val="DefaultParagraphFont"/>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E10987"/>
    <w:pPr>
      <w:framePr w:hSpace="180" w:wrap="around" w:vAnchor="page" w:hAnchor="margin" w:y="5061"/>
      <w:spacing w:before="60"/>
    </w:pPr>
    <w:rPr>
      <w:rFonts w:ascii="Calibri" w:hAnsi="Calibri"/>
      <w:b/>
      <w:color w:val="FFFFFF" w:themeColor="background1"/>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D3875F" w:themeColor="accent1"/>
          <w:bottom w:val="single" w:sz="4" w:space="0" w:color="D3875F" w:themeColor="accent1"/>
          <w:insideH w:val="single" w:sz="4" w:space="0" w:color="D3875F" w:themeColor="accent1"/>
        </w:tcBorders>
        <w:shd w:val="clear" w:color="auto" w:fill="D3875F"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F6E6DE" w:themeFill="accent1" w:themeFillTint="33"/>
      </w:tcPr>
    </w:tblStylePr>
    <w:tblStylePr w:type="band2Vert">
      <w:tblPr/>
      <w:tcPr>
        <w:shd w:val="clear" w:color="auto" w:fill="EDCEBE" w:themeFill="accent1" w:themeFillTint="66"/>
      </w:tcPr>
    </w:tblStylePr>
    <w:tblStylePr w:type="band1Horz">
      <w:tblPr/>
      <w:tcPr>
        <w:shd w:val="clear" w:color="auto" w:fill="F6E6DE" w:themeFill="accent1" w:themeFillTint="33"/>
      </w:tcPr>
    </w:tblStylePr>
    <w:tblStylePr w:type="band2Horz">
      <w:tblPr/>
      <w:tcPr>
        <w:shd w:val="clear" w:color="auto" w:fill="EDCEBE" w:themeFill="accent1" w:themeFillTint="66"/>
      </w:tcPr>
    </w:tblStylePr>
  </w:style>
  <w:style w:type="paragraph" w:customStyle="1" w:styleId="Heading1smallspaceafter">
    <w:name w:val="Heading 1 small space after"/>
    <w:basedOn w:val="Heading1"/>
    <w:qFormat/>
    <w:rsid w:val="00E10987"/>
    <w:pPr>
      <w:spacing w:after="600"/>
    </w:pPr>
    <w:rPr>
      <w:color w:val="495965" w:themeColor="text2"/>
    </w:rPr>
  </w:style>
  <w:style w:type="paragraph" w:styleId="BalloonText">
    <w:name w:val="Balloon Text"/>
    <w:basedOn w:val="Normal"/>
    <w:link w:val="BalloonTextChar"/>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qFormat/>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57225D"/>
    <w:pPr>
      <w:pBdr>
        <w:top w:val="single" w:sz="4" w:space="14" w:color="F6E6DE" w:themeColor="accent1" w:themeTint="33"/>
        <w:left w:val="single" w:sz="4" w:space="14" w:color="F6E6DE" w:themeColor="accent1" w:themeTint="33"/>
        <w:bottom w:val="single" w:sz="4" w:space="14" w:color="F6E6DE" w:themeColor="accent1" w:themeTint="33"/>
        <w:right w:val="single" w:sz="4" w:space="14" w:color="F6E6DE" w:themeColor="accent1" w:themeTint="33"/>
      </w:pBdr>
      <w:shd w:val="clear" w:color="auto" w:fill="F6E6DE" w:themeFill="accent1" w:themeFillTint="33"/>
      <w:spacing w:after="80"/>
      <w:ind w:left="1248" w:right="284" w:hanging="964"/>
    </w:pPr>
    <w:rPr>
      <w:lang w:val="en-AU"/>
    </w:rPr>
  </w:style>
  <w:style w:type="paragraph" w:customStyle="1" w:styleId="Box1Heading">
    <w:name w:val="Box 1 Heading"/>
    <w:basedOn w:val="Box1Text"/>
    <w:qFormat/>
    <w:rsid w:val="00B15FC6"/>
    <w:pPr>
      <w:keepNext/>
      <w:spacing w:before="180" w:line="300" w:lineRule="atLeast"/>
    </w:pPr>
    <w:rPr>
      <w:b/>
      <w:sz w:val="26"/>
    </w:rPr>
  </w:style>
  <w:style w:type="paragraph" w:customStyle="1" w:styleId="Box2Text">
    <w:name w:val="Box 2 Text"/>
    <w:basedOn w:val="Box1Text"/>
    <w:qFormat/>
    <w:rsid w:val="0057225D"/>
    <w:pPr>
      <w:pBdr>
        <w:top w:val="single" w:sz="4" w:space="14" w:color="ECEDED"/>
        <w:left w:val="single" w:sz="4" w:space="14" w:color="ECEDED"/>
        <w:bottom w:val="single" w:sz="4" w:space="14" w:color="ECEDED"/>
        <w:right w:val="single" w:sz="4" w:space="14" w:color="ECEDED"/>
      </w:pBdr>
      <w:shd w:val="clear" w:color="auto" w:fill="ECEDED"/>
    </w:pPr>
  </w:style>
  <w:style w:type="paragraph" w:customStyle="1" w:styleId="Box2Heading">
    <w:name w:val="Box 2 Heading"/>
    <w:basedOn w:val="Box2Text"/>
    <w:qFormat/>
    <w:rsid w:val="00B15FC6"/>
    <w:pPr>
      <w:keepNext/>
      <w:spacing w:before="180" w:line="300" w:lineRule="atLeast"/>
    </w:pPr>
    <w:rPr>
      <w:b/>
      <w:sz w:val="26"/>
    </w:rPr>
  </w:style>
  <w:style w:type="paragraph" w:customStyle="1" w:styleId="Box1Bullet">
    <w:name w:val="Box 1 Bullet"/>
    <w:basedOn w:val="Box1Text"/>
    <w:qFormat/>
    <w:rsid w:val="00C16478"/>
    <w:pPr>
      <w:numPr>
        <w:numId w:val="7"/>
      </w:numPr>
      <w:ind w:left="454" w:hanging="170"/>
    </w:pPr>
  </w:style>
  <w:style w:type="paragraph" w:customStyle="1" w:styleId="Box2Bullet">
    <w:name w:val="Box 2 Bullet"/>
    <w:basedOn w:val="Box2Text"/>
    <w:qFormat/>
    <w:rsid w:val="006F682D"/>
    <w:pPr>
      <w:numPr>
        <w:numId w:val="8"/>
      </w:numPr>
      <w:tabs>
        <w:tab w:val="left" w:pos="1247"/>
        <w:tab w:val="left" w:pos="1531"/>
      </w:tabs>
      <w:spacing w:before="60" w:after="60"/>
      <w:ind w:left="1531" w:hanging="1247"/>
    </w:pPr>
  </w:style>
  <w:style w:type="paragraph" w:styleId="ListParagraph">
    <w:name w:val="List Paragraph"/>
    <w:aliases w:val="Agenda list points,List Paragraph1,Recommendation,Evidence on Demand bullet points,List Paragraph11,L,F5 List Paragraph,Dot pt,CV text,Table text,List Paragraph111,Medium Grid 1 - Accent 21,Numbered Paragraph,List Paragraph2,Bulleted Para"/>
    <w:basedOn w:val="Normal"/>
    <w:link w:val="ListParagraphChar"/>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BA5D1A"/>
    <w:pPr>
      <w:numPr>
        <w:numId w:val="16"/>
      </w:numPr>
      <w:spacing w:after="600"/>
    </w:pPr>
    <w:rPr>
      <w:color w:val="495965" w:themeColor="text2"/>
    </w:r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unhideWhenUsed/>
    <w:rsid w:val="00E11351"/>
    <w:pPr>
      <w:spacing w:line="240" w:lineRule="auto"/>
    </w:pPr>
    <w:rPr>
      <w:sz w:val="20"/>
      <w:szCs w:val="20"/>
    </w:rPr>
  </w:style>
  <w:style w:type="character" w:customStyle="1" w:styleId="CommentTextChar">
    <w:name w:val="Comment Text Char"/>
    <w:basedOn w:val="DefaultParagraphFont"/>
    <w:link w:val="CommentText"/>
    <w:uiPriority w:val="99"/>
    <w:rsid w:val="00425CB9"/>
    <w:rPr>
      <w:color w:val="495965" w:themeColor="text2"/>
      <w:sz w:val="20"/>
      <w:szCs w:val="20"/>
      <w:lang w:val="en-GB"/>
    </w:rPr>
  </w:style>
  <w:style w:type="paragraph" w:styleId="CommentSubject">
    <w:name w:val="annotation subject"/>
    <w:basedOn w:val="CommentText"/>
    <w:next w:val="CommentText"/>
    <w:link w:val="CommentSubjectChar"/>
    <w:semiHidden/>
    <w:unhideWhenUsed/>
    <w:rsid w:val="00425CB9"/>
    <w:rPr>
      <w:b/>
      <w:bCs/>
    </w:rPr>
  </w:style>
  <w:style w:type="character" w:customStyle="1" w:styleId="CommentSubjectChar">
    <w:name w:val="Comment Subject Char"/>
    <w:basedOn w:val="CommentTextChar"/>
    <w:link w:val="CommentSubject"/>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D3875F" w:themeColor="accent1"/>
    </w:rPr>
  </w:style>
  <w:style w:type="paragraph" w:customStyle="1" w:styleId="Footerlandscape">
    <w:name w:val="Footer landscape"/>
    <w:basedOn w:val="Footer"/>
    <w:qFormat/>
    <w:rsid w:val="00F6098C"/>
    <w:pPr>
      <w:tabs>
        <w:tab w:val="clear" w:pos="9356"/>
        <w:tab w:val="clear" w:pos="10036"/>
        <w:tab w:val="right" w:pos="13041"/>
      </w:tabs>
      <w:ind w:right="-1307"/>
      <w:jc w:val="right"/>
    </w:pPr>
    <w:rPr>
      <w:noProof/>
    </w:rPr>
  </w:style>
  <w:style w:type="character" w:styleId="FollowedHyperlink">
    <w:name w:val="FollowedHyperlink"/>
    <w:semiHidden/>
    <w:unhideWhenUsed/>
    <w:rsid w:val="00D44758"/>
    <w:rPr>
      <w:strike w:val="0"/>
      <w:dstrike w:val="0"/>
      <w:color w:val="333399"/>
      <w:u w:val="none"/>
      <w:effect w:val="none"/>
    </w:rPr>
  </w:style>
  <w:style w:type="paragraph" w:styleId="NormalWeb">
    <w:name w:val="Normal (Web)"/>
    <w:basedOn w:val="Normal"/>
    <w:uiPriority w:val="99"/>
    <w:unhideWhenUsed/>
    <w:rsid w:val="00D44758"/>
    <w:pPr>
      <w:suppressAutoHyphens w:val="0"/>
      <w:spacing w:before="240" w:after="240" w:line="240" w:lineRule="auto"/>
    </w:pPr>
    <w:rPr>
      <w:rFonts w:ascii="Times New Roman" w:eastAsia="Times New Roman" w:hAnsi="Times New Roman" w:cs="Times New Roman"/>
      <w:color w:val="auto"/>
      <w:sz w:val="24"/>
      <w:szCs w:val="24"/>
      <w:lang w:val="en-AU" w:eastAsia="en-AU"/>
    </w:rPr>
  </w:style>
  <w:style w:type="paragraph" w:styleId="EndnoteText">
    <w:name w:val="endnote text"/>
    <w:basedOn w:val="Normal"/>
    <w:link w:val="EndnoteTextChar"/>
    <w:unhideWhenUsed/>
    <w:rsid w:val="00D44758"/>
    <w:pPr>
      <w:suppressAutoHyphens w:val="0"/>
      <w:spacing w:before="0" w:after="160" w:line="240" w:lineRule="auto"/>
    </w:pPr>
    <w:rPr>
      <w:rFonts w:ascii="Franklin Gothic Book" w:eastAsia="Times New Roman" w:hAnsi="Franklin Gothic Book" w:cs="Times New Roman"/>
      <w:color w:val="auto"/>
      <w:sz w:val="20"/>
      <w:szCs w:val="20"/>
      <w:lang w:val="en-AU" w:eastAsia="en-AU"/>
    </w:rPr>
  </w:style>
  <w:style w:type="character" w:customStyle="1" w:styleId="EndnoteTextChar">
    <w:name w:val="Endnote Text Char"/>
    <w:basedOn w:val="DefaultParagraphFont"/>
    <w:link w:val="EndnoteText"/>
    <w:rsid w:val="00D44758"/>
    <w:rPr>
      <w:rFonts w:ascii="Franklin Gothic Book" w:eastAsia="Times New Roman" w:hAnsi="Franklin Gothic Book" w:cs="Times New Roman"/>
      <w:sz w:val="20"/>
      <w:szCs w:val="20"/>
      <w:lang w:eastAsia="en-AU"/>
    </w:rPr>
  </w:style>
  <w:style w:type="paragraph" w:styleId="ListBullet">
    <w:name w:val="List Bullet"/>
    <w:basedOn w:val="BodyText"/>
    <w:unhideWhenUsed/>
    <w:qFormat/>
    <w:locked/>
    <w:rsid w:val="00D44758"/>
    <w:pPr>
      <w:suppressAutoHyphens w:val="0"/>
      <w:spacing w:before="80" w:after="120" w:line="360" w:lineRule="auto"/>
      <w:ind w:left="360" w:hanging="360"/>
    </w:pPr>
    <w:rPr>
      <w:rFonts w:ascii="Franklin Gothic Book" w:eastAsia="Times New Roman" w:hAnsi="Franklin Gothic Book" w:cs="Times New Roman"/>
      <w:color w:val="auto"/>
      <w:sz w:val="21"/>
      <w:szCs w:val="24"/>
      <w:lang w:val="en-AU" w:eastAsia="en-AU"/>
    </w:rPr>
  </w:style>
  <w:style w:type="paragraph" w:styleId="ListNumber">
    <w:name w:val="List Number"/>
    <w:basedOn w:val="ListBullet"/>
    <w:unhideWhenUsed/>
    <w:qFormat/>
    <w:locked/>
    <w:rsid w:val="00D44758"/>
    <w:pPr>
      <w:numPr>
        <w:numId w:val="9"/>
      </w:numPr>
      <w:ind w:left="284" w:hanging="284"/>
    </w:pPr>
  </w:style>
  <w:style w:type="paragraph" w:styleId="ListBullet2">
    <w:name w:val="List Bullet 2"/>
    <w:basedOn w:val="ListBullet"/>
    <w:unhideWhenUsed/>
    <w:qFormat/>
    <w:locked/>
    <w:rsid w:val="00D44758"/>
    <w:pPr>
      <w:ind w:left="568" w:hanging="284"/>
    </w:pPr>
  </w:style>
  <w:style w:type="paragraph" w:styleId="ListBullet3">
    <w:name w:val="List Bullet 3"/>
    <w:basedOn w:val="ListBullet2"/>
    <w:uiPriority w:val="99"/>
    <w:unhideWhenUsed/>
    <w:qFormat/>
    <w:locked/>
    <w:rsid w:val="00D44758"/>
    <w:pPr>
      <w:ind w:left="851"/>
      <w:contextualSpacing/>
    </w:pPr>
  </w:style>
  <w:style w:type="paragraph" w:styleId="ListNumber2">
    <w:name w:val="List Number 2"/>
    <w:basedOn w:val="ListNumber"/>
    <w:unhideWhenUsed/>
    <w:qFormat/>
    <w:locked/>
    <w:rsid w:val="00D44758"/>
    <w:pPr>
      <w:numPr>
        <w:numId w:val="10"/>
      </w:numPr>
      <w:ind w:left="568" w:hanging="284"/>
    </w:pPr>
  </w:style>
  <w:style w:type="paragraph" w:styleId="ListNumber3">
    <w:name w:val="List Number 3"/>
    <w:basedOn w:val="ListNumber2"/>
    <w:unhideWhenUsed/>
    <w:locked/>
    <w:rsid w:val="00D44758"/>
    <w:pPr>
      <w:numPr>
        <w:numId w:val="0"/>
      </w:numPr>
      <w:ind w:left="851" w:hanging="284"/>
      <w:contextualSpacing/>
    </w:pPr>
  </w:style>
  <w:style w:type="paragraph" w:styleId="Date">
    <w:name w:val="Date"/>
    <w:basedOn w:val="Subtitle"/>
    <w:next w:val="Normal"/>
    <w:link w:val="DateChar"/>
    <w:semiHidden/>
    <w:unhideWhenUsed/>
    <w:qFormat/>
    <w:rsid w:val="00D44758"/>
    <w:pPr>
      <w:keepNext w:val="0"/>
      <w:keepLines w:val="0"/>
      <w:numPr>
        <w:ilvl w:val="0"/>
      </w:numPr>
      <w:suppressAutoHyphens w:val="0"/>
      <w:spacing w:before="240" w:after="600" w:line="380" w:lineRule="atLeast"/>
      <w:ind w:left="709" w:right="-624"/>
      <w:contextualSpacing w:val="0"/>
    </w:pPr>
    <w:rPr>
      <w:rFonts w:asciiTheme="majorHAnsi" w:eastAsia="Times New Roman" w:hAnsiTheme="majorHAnsi" w:cs="Times New Roman"/>
      <w:bCs w:val="0"/>
      <w:iCs w:val="0"/>
      <w:noProof/>
      <w:color w:val="FFFFFF"/>
      <w:lang w:val="en-US"/>
    </w:rPr>
  </w:style>
  <w:style w:type="character" w:customStyle="1" w:styleId="DateChar">
    <w:name w:val="Date Char"/>
    <w:basedOn w:val="DefaultParagraphFont"/>
    <w:link w:val="Date"/>
    <w:semiHidden/>
    <w:rsid w:val="00D44758"/>
    <w:rPr>
      <w:rFonts w:asciiTheme="majorHAnsi" w:eastAsia="Times New Roman" w:hAnsiTheme="majorHAnsi" w:cs="Times New Roman"/>
      <w:noProof/>
      <w:color w:val="FFFFFF"/>
      <w:kern w:val="28"/>
      <w:sz w:val="24"/>
      <w:szCs w:val="24"/>
      <w:lang w:val="en-US"/>
    </w:rPr>
  </w:style>
  <w:style w:type="paragraph" w:styleId="Revision">
    <w:name w:val="Revision"/>
    <w:uiPriority w:val="71"/>
    <w:rsid w:val="00D44758"/>
    <w:pPr>
      <w:spacing w:after="0" w:line="240" w:lineRule="auto"/>
    </w:pPr>
    <w:rPr>
      <w:rFonts w:ascii="Franklin Gothic Book" w:eastAsia="Times New Roman" w:hAnsi="Franklin Gothic Book" w:cs="Times New Roman"/>
      <w:sz w:val="21"/>
      <w:szCs w:val="24"/>
      <w:lang w:eastAsia="en-AU"/>
    </w:rPr>
  </w:style>
  <w:style w:type="character" w:customStyle="1" w:styleId="ListParagraphChar">
    <w:name w:val="List Paragraph Char"/>
    <w:aliases w:val="Agenda list points Char,List Paragraph1 Char,Recommendation Char,Evidence on Demand bullet points Char,List Paragraph11 Char,L Char,F5 List Paragraph Char,Dot pt Char,CV text Char,Table text Char,List Paragraph111 Char"/>
    <w:basedOn w:val="DefaultParagraphFont"/>
    <w:link w:val="ListParagraph"/>
    <w:uiPriority w:val="34"/>
    <w:qFormat/>
    <w:locked/>
    <w:rsid w:val="00D44758"/>
    <w:rPr>
      <w:color w:val="495965" w:themeColor="text2"/>
      <w:lang w:val="en-GB"/>
    </w:rPr>
  </w:style>
  <w:style w:type="paragraph" w:customStyle="1" w:styleId="Reference">
    <w:name w:val="Reference"/>
    <w:basedOn w:val="BodyText"/>
    <w:uiPriority w:val="99"/>
    <w:rsid w:val="00D44758"/>
    <w:pPr>
      <w:keepLines/>
      <w:suppressAutoHyphens w:val="0"/>
      <w:spacing w:before="60"/>
      <w:ind w:left="284" w:hanging="284"/>
    </w:pPr>
    <w:rPr>
      <w:rFonts w:ascii="Franklin Gothic Book" w:eastAsia="Times New Roman" w:hAnsi="Franklin Gothic Book" w:cs="Times New Roman"/>
      <w:color w:val="auto"/>
      <w:sz w:val="17"/>
      <w:szCs w:val="17"/>
      <w:lang w:val="en-AU" w:eastAsia="en-AU"/>
    </w:rPr>
  </w:style>
  <w:style w:type="paragraph" w:customStyle="1" w:styleId="Contents">
    <w:name w:val="Contents"/>
    <w:basedOn w:val="Normal"/>
    <w:next w:val="BodyText"/>
    <w:uiPriority w:val="99"/>
    <w:semiHidden/>
    <w:rsid w:val="00D44758"/>
    <w:pPr>
      <w:pageBreakBefore/>
      <w:suppressAutoHyphens w:val="0"/>
      <w:spacing w:before="0" w:after="1860" w:line="540" w:lineRule="exact"/>
    </w:pPr>
    <w:rPr>
      <w:rFonts w:ascii="Arial" w:eastAsia="Times New Roman" w:hAnsi="Arial" w:cs="Times New Roman"/>
      <w:color w:val="AD495D"/>
      <w:kern w:val="28"/>
      <w:sz w:val="50"/>
      <w:szCs w:val="50"/>
      <w:lang w:val="en-AU" w:eastAsia="en-AU"/>
    </w:rPr>
  </w:style>
  <w:style w:type="paragraph" w:customStyle="1" w:styleId="Reporttype">
    <w:name w:val="Report type"/>
    <w:basedOn w:val="BodyText"/>
    <w:uiPriority w:val="99"/>
    <w:semiHidden/>
    <w:rsid w:val="00D44758"/>
    <w:pPr>
      <w:suppressAutoHyphens w:val="0"/>
      <w:spacing w:before="80" w:after="160" w:line="400" w:lineRule="atLeast"/>
    </w:pPr>
    <w:rPr>
      <w:rFonts w:ascii="Arial" w:eastAsia="Times New Roman" w:hAnsi="Arial" w:cs="Times New Roman"/>
      <w:color w:val="00467F"/>
      <w:spacing w:val="-2"/>
      <w:sz w:val="36"/>
      <w:szCs w:val="36"/>
      <w:lang w:val="en-AU" w:eastAsia="en-AU"/>
    </w:rPr>
  </w:style>
  <w:style w:type="paragraph" w:customStyle="1" w:styleId="Invisiblepara">
    <w:name w:val="Invisible para"/>
    <w:basedOn w:val="Normal"/>
    <w:uiPriority w:val="99"/>
    <w:semiHidden/>
    <w:rsid w:val="00D44758"/>
    <w:pPr>
      <w:keepNext/>
      <w:suppressAutoHyphens w:val="0"/>
      <w:spacing w:before="320" w:after="160" w:line="80" w:lineRule="exact"/>
    </w:pPr>
    <w:rPr>
      <w:rFonts w:ascii="Franklin Gothic Book" w:eastAsia="Times New Roman" w:hAnsi="Franklin Gothic Book" w:cs="Times New Roman"/>
      <w:color w:val="auto"/>
      <w:sz w:val="21"/>
      <w:szCs w:val="20"/>
      <w:lang w:val="en-AU" w:eastAsia="en-AU"/>
    </w:rPr>
  </w:style>
  <w:style w:type="paragraph" w:customStyle="1" w:styleId="Source">
    <w:name w:val="Source"/>
    <w:basedOn w:val="Normal"/>
    <w:next w:val="BodyText"/>
    <w:uiPriority w:val="99"/>
    <w:rsid w:val="00D44758"/>
    <w:pPr>
      <w:suppressAutoHyphens w:val="0"/>
      <w:spacing w:before="60" w:after="240" w:line="180" w:lineRule="atLeast"/>
    </w:pPr>
    <w:rPr>
      <w:rFonts w:ascii="Franklin Gothic Book" w:eastAsia="Calibri" w:hAnsi="Franklin Gothic Book" w:cs="Times New Roman"/>
      <w:color w:val="auto"/>
      <w:sz w:val="16"/>
      <w:szCs w:val="16"/>
      <w:lang w:val="en-AU"/>
    </w:rPr>
  </w:style>
  <w:style w:type="paragraph" w:customStyle="1" w:styleId="TableListBullet">
    <w:name w:val="Table List Bullet"/>
    <w:basedOn w:val="TableText"/>
    <w:rsid w:val="00D44758"/>
    <w:pPr>
      <w:framePr w:hSpace="0" w:wrap="auto" w:vAnchor="margin" w:hAnchor="text" w:yAlign="inline"/>
      <w:numPr>
        <w:numId w:val="11"/>
      </w:numPr>
      <w:suppressAutoHyphens w:val="0"/>
      <w:spacing w:before="80" w:after="120" w:line="240" w:lineRule="auto"/>
      <w:ind w:left="284" w:hanging="284"/>
    </w:pPr>
    <w:rPr>
      <w:rFonts w:ascii="Franklin Gothic Book" w:eastAsia="Times New Roman" w:hAnsi="Franklin Gothic Book" w:cs="Times New Roman"/>
      <w:noProof/>
      <w:color w:val="auto"/>
      <w:sz w:val="21"/>
      <w:szCs w:val="24"/>
      <w:lang w:val="en-AU" w:eastAsia="en-AU"/>
    </w:rPr>
  </w:style>
  <w:style w:type="paragraph" w:customStyle="1" w:styleId="ChartText">
    <w:name w:val="Chart Text"/>
    <w:basedOn w:val="BodyText"/>
    <w:uiPriority w:val="99"/>
    <w:semiHidden/>
    <w:rsid w:val="00D44758"/>
    <w:pPr>
      <w:suppressAutoHyphens w:val="0"/>
      <w:spacing w:before="100" w:after="160" w:line="190" w:lineRule="exact"/>
    </w:pPr>
    <w:rPr>
      <w:rFonts w:ascii="Arial" w:eastAsia="Times New Roman" w:hAnsi="Arial" w:cs="Times New Roman"/>
      <w:color w:val="auto"/>
      <w:sz w:val="17"/>
      <w:szCs w:val="24"/>
      <w:lang w:val="en-AU" w:eastAsia="en-AU"/>
    </w:rPr>
  </w:style>
  <w:style w:type="paragraph" w:customStyle="1" w:styleId="ChartBoldText">
    <w:name w:val="Chart Bold Text"/>
    <w:basedOn w:val="ChartText"/>
    <w:next w:val="ChartText"/>
    <w:uiPriority w:val="99"/>
    <w:semiHidden/>
    <w:rsid w:val="00D44758"/>
    <w:pPr>
      <w:spacing w:before="0"/>
      <w:jc w:val="center"/>
    </w:pPr>
    <w:rPr>
      <w:rFonts w:ascii="Arial Bold" w:hAnsi="Arial Bold"/>
      <w:b/>
      <w:color w:val="073771"/>
      <w:szCs w:val="17"/>
    </w:rPr>
  </w:style>
  <w:style w:type="paragraph" w:customStyle="1" w:styleId="ChartHighlight">
    <w:name w:val="Chart Highlight"/>
    <w:basedOn w:val="ChartBoldText"/>
    <w:uiPriority w:val="99"/>
    <w:semiHidden/>
    <w:rsid w:val="00D44758"/>
    <w:pPr>
      <w:spacing w:line="210" w:lineRule="exact"/>
    </w:pPr>
    <w:rPr>
      <w:caps/>
      <w:sz w:val="19"/>
    </w:rPr>
  </w:style>
  <w:style w:type="paragraph" w:customStyle="1" w:styleId="ChartListBullet">
    <w:name w:val="Chart List Bullet"/>
    <w:basedOn w:val="TableListBullet"/>
    <w:uiPriority w:val="99"/>
    <w:semiHidden/>
    <w:rsid w:val="00D44758"/>
    <w:pPr>
      <w:numPr>
        <w:numId w:val="0"/>
      </w:numPr>
      <w:tabs>
        <w:tab w:val="num" w:pos="227"/>
      </w:tabs>
      <w:spacing w:before="50" w:after="0" w:line="190" w:lineRule="exact"/>
      <w:ind w:left="227" w:hanging="227"/>
    </w:pPr>
  </w:style>
  <w:style w:type="paragraph" w:customStyle="1" w:styleId="ChartListBullet2">
    <w:name w:val="Chart List Bullet 2"/>
    <w:basedOn w:val="ListBullet2"/>
    <w:uiPriority w:val="99"/>
    <w:semiHidden/>
    <w:rsid w:val="00D44758"/>
    <w:p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uiPriority w:val="99"/>
    <w:semiHidden/>
    <w:rsid w:val="00D44758"/>
    <w:pPr>
      <w:tabs>
        <w:tab w:val="num" w:pos="227"/>
      </w:tabs>
      <w:spacing w:before="60"/>
      <w:ind w:left="227" w:hanging="227"/>
    </w:pPr>
  </w:style>
  <w:style w:type="paragraph" w:customStyle="1" w:styleId="CharChar">
    <w:name w:val="Char Char"/>
    <w:basedOn w:val="Normal"/>
    <w:uiPriority w:val="99"/>
    <w:semiHidden/>
    <w:rsid w:val="0001666A"/>
  </w:style>
  <w:style w:type="paragraph" w:customStyle="1" w:styleId="Client">
    <w:name w:val="Client"/>
    <w:basedOn w:val="Normal"/>
    <w:uiPriority w:val="99"/>
    <w:semiHidden/>
    <w:rsid w:val="00D44758"/>
    <w:pPr>
      <w:suppressAutoHyphens w:val="0"/>
      <w:spacing w:before="180" w:after="160"/>
      <w:ind w:left="2410" w:right="-199"/>
    </w:pPr>
    <w:rPr>
      <w:rFonts w:ascii="Helvetica" w:eastAsia="Times New Roman" w:hAnsi="Helvetica" w:cs="Times New Roman"/>
      <w:noProof/>
      <w:color w:val="auto"/>
      <w:spacing w:val="-2"/>
      <w:kern w:val="28"/>
      <w:sz w:val="20"/>
      <w:szCs w:val="20"/>
      <w:lang w:val="en-US"/>
    </w:rPr>
  </w:style>
  <w:style w:type="paragraph" w:customStyle="1" w:styleId="TableHeading1">
    <w:name w:val="Table Heading 1"/>
    <w:basedOn w:val="Normal"/>
    <w:next w:val="TableText"/>
    <w:qFormat/>
    <w:rsid w:val="00D44758"/>
    <w:pPr>
      <w:suppressAutoHyphens w:val="0"/>
      <w:spacing w:after="160" w:line="240" w:lineRule="auto"/>
    </w:pPr>
    <w:rPr>
      <w:rFonts w:ascii="Franklin Gothic Book" w:eastAsia="Times New Roman" w:hAnsi="Franklin Gothic Book" w:cs="Times New Roman"/>
      <w:b/>
      <w:noProof/>
      <w:color w:val="auto"/>
      <w:sz w:val="24"/>
      <w:szCs w:val="24"/>
      <w:lang w:val="en-AU" w:eastAsia="en-AU"/>
    </w:rPr>
  </w:style>
  <w:style w:type="paragraph" w:customStyle="1" w:styleId="TableHeading2">
    <w:name w:val="Table Heading 2"/>
    <w:basedOn w:val="Normal"/>
    <w:next w:val="TableText"/>
    <w:qFormat/>
    <w:rsid w:val="00D44758"/>
    <w:pPr>
      <w:suppressAutoHyphens w:val="0"/>
      <w:spacing w:before="80" w:after="120" w:line="240" w:lineRule="auto"/>
    </w:pPr>
    <w:rPr>
      <w:rFonts w:ascii="Franklin Gothic Book" w:eastAsia="Times New Roman" w:hAnsi="Franklin Gothic Book" w:cs="Times New Roman"/>
      <w:b/>
      <w:i/>
      <w:noProof/>
      <w:color w:val="auto"/>
      <w:sz w:val="21"/>
      <w:szCs w:val="24"/>
      <w:lang w:val="en-AU" w:eastAsia="en-AU"/>
    </w:rPr>
  </w:style>
  <w:style w:type="character" w:customStyle="1" w:styleId="TableListBullet2Char">
    <w:name w:val="Table List Bullet 2 Char"/>
    <w:link w:val="TableListBullet2"/>
    <w:locked/>
    <w:rsid w:val="00D44758"/>
    <w:rPr>
      <w:rFonts w:ascii="Franklin Gothic Book" w:hAnsi="Franklin Gothic Book"/>
      <w:noProof/>
      <w:sz w:val="21"/>
      <w:szCs w:val="24"/>
    </w:rPr>
  </w:style>
  <w:style w:type="paragraph" w:customStyle="1" w:styleId="TableListBullet2">
    <w:name w:val="Table List Bullet 2"/>
    <w:basedOn w:val="TableListBullet"/>
    <w:link w:val="TableListBullet2Char"/>
    <w:rsid w:val="00D44758"/>
    <w:pPr>
      <w:numPr>
        <w:numId w:val="12"/>
      </w:numPr>
      <w:ind w:left="568" w:hanging="284"/>
    </w:pPr>
    <w:rPr>
      <w:rFonts w:eastAsiaTheme="minorHAnsi" w:cstheme="minorBidi"/>
      <w:lang w:eastAsia="en-US"/>
    </w:rPr>
  </w:style>
  <w:style w:type="paragraph" w:customStyle="1" w:styleId="TableListNumber">
    <w:name w:val="Table List Number"/>
    <w:basedOn w:val="TableText"/>
    <w:rsid w:val="00D44758"/>
    <w:pPr>
      <w:framePr w:hSpace="0" w:wrap="auto" w:vAnchor="margin" w:hAnchor="text" w:yAlign="inline"/>
      <w:numPr>
        <w:numId w:val="13"/>
      </w:numPr>
      <w:suppressAutoHyphens w:val="0"/>
      <w:spacing w:before="80" w:after="120" w:line="240" w:lineRule="auto"/>
      <w:ind w:left="284" w:hanging="284"/>
    </w:pPr>
    <w:rPr>
      <w:rFonts w:ascii="Franklin Gothic Book" w:eastAsia="Times New Roman" w:hAnsi="Franklin Gothic Book" w:cs="Times New Roman"/>
      <w:noProof/>
      <w:color w:val="auto"/>
      <w:sz w:val="21"/>
      <w:szCs w:val="24"/>
      <w:lang w:val="en-AU" w:eastAsia="en-AU"/>
    </w:rPr>
  </w:style>
  <w:style w:type="paragraph" w:customStyle="1" w:styleId="TableListNumber2">
    <w:name w:val="Table List Number 2"/>
    <w:basedOn w:val="TableListNumber"/>
    <w:rsid w:val="00D44758"/>
    <w:pPr>
      <w:numPr>
        <w:numId w:val="14"/>
      </w:numPr>
      <w:ind w:left="568" w:hanging="284"/>
    </w:pPr>
  </w:style>
  <w:style w:type="paragraph" w:customStyle="1" w:styleId="Blurb">
    <w:name w:val="Blurb"/>
    <w:basedOn w:val="Normal"/>
    <w:uiPriority w:val="99"/>
    <w:semiHidden/>
    <w:rsid w:val="00D44758"/>
    <w:pPr>
      <w:suppressAutoHyphens w:val="0"/>
      <w:spacing w:before="180" w:after="0" w:line="240" w:lineRule="auto"/>
    </w:pPr>
    <w:rPr>
      <w:rFonts w:ascii="Franklin Gothic Book" w:eastAsia="Times New Roman" w:hAnsi="Franklin Gothic Book" w:cs="Times New Roman"/>
      <w:color w:val="FFFFFF"/>
      <w:sz w:val="21"/>
      <w:szCs w:val="24"/>
      <w:lang w:val="en-AU" w:eastAsia="en-AU"/>
    </w:rPr>
  </w:style>
  <w:style w:type="paragraph" w:customStyle="1" w:styleId="Figure">
    <w:name w:val="Figure"/>
    <w:basedOn w:val="Normal"/>
    <w:next w:val="BodyText"/>
    <w:uiPriority w:val="99"/>
    <w:qFormat/>
    <w:rsid w:val="00E03461"/>
    <w:pPr>
      <w:suppressLineNumbers/>
      <w:tabs>
        <w:tab w:val="left" w:pos="993"/>
      </w:tabs>
      <w:spacing w:after="240" w:line="240" w:lineRule="atLeast"/>
    </w:pPr>
    <w:rPr>
      <w:rFonts w:asciiTheme="majorHAnsi" w:eastAsia="Times New Roman" w:hAnsiTheme="majorHAnsi" w:cs="Arial"/>
      <w:color w:val="595959" w:themeColor="text1" w:themeTint="A6"/>
      <w:kern w:val="28"/>
      <w:sz w:val="20"/>
      <w:lang w:val="en-AU" w:eastAsia="zh-CN"/>
    </w:rPr>
  </w:style>
  <w:style w:type="paragraph" w:customStyle="1" w:styleId="Appendix">
    <w:name w:val="Appendix"/>
    <w:basedOn w:val="Normal"/>
    <w:uiPriority w:val="99"/>
    <w:semiHidden/>
    <w:rsid w:val="00D44758"/>
    <w:pPr>
      <w:framePr w:wrap="around" w:vAnchor="text" w:hAnchor="text" w:y="1"/>
      <w:suppressAutoHyphens w:val="0"/>
      <w:spacing w:before="0" w:after="160" w:line="240" w:lineRule="auto"/>
    </w:pPr>
    <w:rPr>
      <w:rFonts w:ascii="Franklin Gothic Medium" w:eastAsia="Times New Roman" w:hAnsi="Franklin Gothic Medium" w:cs="Times New Roman"/>
      <w:color w:val="7E6D5F"/>
      <w:sz w:val="32"/>
      <w:szCs w:val="32"/>
      <w:lang w:val="en-AU" w:eastAsia="en-AU"/>
    </w:rPr>
  </w:style>
  <w:style w:type="paragraph" w:customStyle="1" w:styleId="CharChar1">
    <w:name w:val="Char Char1"/>
    <w:basedOn w:val="Normal"/>
    <w:uiPriority w:val="99"/>
    <w:semiHidden/>
    <w:rsid w:val="00D44758"/>
    <w:pPr>
      <w:suppressAutoHyphens w:val="0"/>
      <w:spacing w:before="180" w:after="160" w:line="280" w:lineRule="atLeast"/>
    </w:pPr>
    <w:rPr>
      <w:rFonts w:ascii="Arial" w:eastAsia="Times New Roman" w:hAnsi="Arial" w:cs="Times New Roman"/>
      <w:color w:val="auto"/>
      <w:szCs w:val="20"/>
      <w:lang w:val="en-AU"/>
    </w:rPr>
  </w:style>
  <w:style w:type="paragraph" w:customStyle="1" w:styleId="Heading7unnumbered">
    <w:name w:val="Heading 7 unnumbered"/>
    <w:basedOn w:val="Heading7"/>
    <w:next w:val="BodyText"/>
    <w:uiPriority w:val="99"/>
    <w:semiHidden/>
    <w:rsid w:val="00D44758"/>
    <w:pPr>
      <w:keepLines w:val="0"/>
      <w:suppressLineNumbers/>
      <w:spacing w:before="80" w:after="160" w:line="360" w:lineRule="auto"/>
      <w:contextualSpacing w:val="0"/>
    </w:pPr>
    <w:rPr>
      <w:rFonts w:ascii="Franklin Gothic Book" w:eastAsia="Times New Roman" w:hAnsi="Franklin Gothic Book" w:cs="Times New Roman"/>
      <w:b/>
      <w:bCs w:val="0"/>
      <w:i w:val="0"/>
      <w:color w:val="auto"/>
      <w:sz w:val="21"/>
      <w:szCs w:val="24"/>
      <w:lang w:eastAsia="en-AU"/>
    </w:rPr>
  </w:style>
  <w:style w:type="paragraph" w:customStyle="1" w:styleId="TableName">
    <w:name w:val="Table Name"/>
    <w:basedOn w:val="BodyText"/>
    <w:next w:val="Figure"/>
    <w:uiPriority w:val="99"/>
    <w:rsid w:val="00D44758"/>
    <w:pPr>
      <w:suppressAutoHyphens w:val="0"/>
      <w:spacing w:before="80" w:after="120" w:line="240" w:lineRule="exact"/>
    </w:pPr>
    <w:rPr>
      <w:rFonts w:ascii="Franklin Gothic Book" w:eastAsia="Times New Roman" w:hAnsi="Franklin Gothic Book" w:cs="Times New Roman"/>
      <w:color w:val="595959" w:themeColor="text1" w:themeTint="A6"/>
      <w:sz w:val="20"/>
      <w:szCs w:val="24"/>
      <w:lang w:val="en-AU" w:eastAsia="en-AU"/>
    </w:rPr>
  </w:style>
  <w:style w:type="paragraph" w:customStyle="1" w:styleId="BodyTextsinglespacing">
    <w:name w:val="Body Text single spacing"/>
    <w:basedOn w:val="BodyText"/>
    <w:uiPriority w:val="99"/>
    <w:rsid w:val="00D44758"/>
    <w:pPr>
      <w:suppressAutoHyphens w:val="0"/>
      <w:spacing w:before="80" w:after="160" w:line="240" w:lineRule="auto"/>
    </w:pPr>
    <w:rPr>
      <w:rFonts w:ascii="Franklin Gothic Book" w:eastAsia="Times New Roman" w:hAnsi="Franklin Gothic Book" w:cs="Times New Roman"/>
      <w:noProof/>
      <w:color w:val="auto"/>
      <w:sz w:val="21"/>
      <w:szCs w:val="24"/>
      <w:lang w:val="en-AU" w:eastAsia="en-AU"/>
    </w:rPr>
  </w:style>
  <w:style w:type="paragraph" w:customStyle="1" w:styleId="Default">
    <w:name w:val="Default"/>
    <w:uiPriority w:val="99"/>
    <w:rsid w:val="00D44758"/>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customStyle="1" w:styleId="TableTextEntries">
    <w:name w:val="Table Text Entries"/>
    <w:basedOn w:val="Normal"/>
    <w:rsid w:val="00710AC4"/>
    <w:pPr>
      <w:keepLines/>
      <w:suppressAutoHyphens w:val="0"/>
      <w:spacing w:before="40" w:after="40" w:line="200" w:lineRule="atLeast"/>
    </w:pPr>
    <w:rPr>
      <w:rFonts w:ascii="Franklin Gothic Book" w:eastAsia="Times New Roman" w:hAnsi="Franklin Gothic Book"/>
      <w:iCs/>
      <w:color w:val="auto"/>
      <w:sz w:val="17"/>
      <w:szCs w:val="17"/>
      <w:lang w:val="en-AU"/>
    </w:rPr>
  </w:style>
  <w:style w:type="character" w:styleId="EndnoteReference">
    <w:name w:val="endnote reference"/>
    <w:basedOn w:val="DefaultParagraphFont"/>
    <w:unhideWhenUsed/>
    <w:rsid w:val="00D44758"/>
    <w:rPr>
      <w:vertAlign w:val="superscript"/>
    </w:rPr>
  </w:style>
  <w:style w:type="character" w:customStyle="1" w:styleId="Subtitlebox">
    <w:name w:val="Subtitle box"/>
    <w:aliases w:val="figure &amp; table,chart &amp; table"/>
    <w:semiHidden/>
    <w:rsid w:val="00D44758"/>
    <w:rPr>
      <w:rFonts w:ascii="Franklin Gothic Book" w:hAnsi="Franklin Gothic Book" w:hint="default"/>
      <w:color w:val="auto"/>
      <w:sz w:val="17"/>
      <w:szCs w:val="17"/>
    </w:rPr>
  </w:style>
  <w:style w:type="table" w:customStyle="1" w:styleId="DFATtable">
    <w:name w:val="DFAT table"/>
    <w:basedOn w:val="TableNormal"/>
    <w:uiPriority w:val="99"/>
    <w:rsid w:val="00D44758"/>
    <w:pPr>
      <w:spacing w:after="0" w:line="240" w:lineRule="auto"/>
    </w:pPr>
    <w:rPr>
      <w:rFonts w:ascii="Times New Roman" w:eastAsia="Times New Roman" w:hAnsi="Times New Roman" w:cs="Times New Roman"/>
      <w:sz w:val="20"/>
      <w:szCs w:val="20"/>
      <w:lang w:eastAsia="en-AU"/>
    </w:rPr>
    <w:tblPr>
      <w:tblBorders>
        <w:bottom w:val="single" w:sz="8" w:space="0" w:color="D9D9D9" w:themeColor="background1" w:themeShade="D9"/>
        <w:insideH w:val="single" w:sz="8" w:space="0" w:color="D9D9D9" w:themeColor="background1" w:themeShade="D9"/>
      </w:tblBorders>
      <w:tblCellMar>
        <w:top w:w="85" w:type="dxa"/>
        <w:left w:w="85" w:type="dxa"/>
        <w:right w:w="85" w:type="dxa"/>
      </w:tblCellMar>
    </w:tblPr>
    <w:tblStylePr w:type="firstRow">
      <w:pPr>
        <w:jc w:val="left"/>
      </w:pPr>
      <w:tblPr/>
      <w:tcPr>
        <w:shd w:val="clear" w:color="auto" w:fill="D9D9D9" w:themeFill="background1" w:themeFillShade="D9"/>
      </w:tcPr>
    </w:tblStylePr>
  </w:style>
  <w:style w:type="table" w:customStyle="1" w:styleId="DFATAdditionalInfo">
    <w:name w:val="DFAT Additional Info"/>
    <w:basedOn w:val="TableNormal"/>
    <w:uiPriority w:val="99"/>
    <w:rsid w:val="00D44758"/>
    <w:pPr>
      <w:spacing w:after="0" w:line="240" w:lineRule="auto"/>
    </w:pPr>
    <w:rPr>
      <w:rFonts w:ascii="Times New Roman" w:eastAsia="Times New Roman" w:hAnsi="Times New Roman" w:cs="Times New Roman"/>
      <w:sz w:val="20"/>
      <w:szCs w:val="20"/>
      <w:lang w:eastAsia="en-AU"/>
    </w:rPr>
    <w:tblPr>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blBorders>
      <w:tblCellMar>
        <w:left w:w="142" w:type="dxa"/>
        <w:right w:w="142" w:type="dxa"/>
      </w:tblCellMar>
    </w:tblPr>
  </w:style>
  <w:style w:type="paragraph" w:customStyle="1" w:styleId="TableHeading1Centred">
    <w:name w:val="Table Heading 1 Centred"/>
    <w:basedOn w:val="TableHeading1"/>
    <w:uiPriority w:val="99"/>
    <w:rsid w:val="00D44758"/>
    <w:pPr>
      <w:jc w:val="center"/>
    </w:pPr>
  </w:style>
  <w:style w:type="paragraph" w:customStyle="1" w:styleId="Heading3-Lineabove">
    <w:name w:val="Heading 3 - Line above"/>
    <w:basedOn w:val="Heading3"/>
    <w:qFormat/>
    <w:rsid w:val="00D44758"/>
    <w:pPr>
      <w:pBdr>
        <w:top w:val="single" w:sz="4" w:space="6" w:color="D3875F" w:themeColor="accent1"/>
      </w:pBdr>
      <w:spacing w:before="320" w:line="320" w:lineRule="atLeast"/>
    </w:pPr>
    <w:rPr>
      <w:b/>
      <w:color w:val="D3875F" w:themeColor="accent1"/>
      <w:sz w:val="26"/>
    </w:rPr>
  </w:style>
  <w:style w:type="paragraph" w:styleId="DocumentMap">
    <w:name w:val="Document Map"/>
    <w:basedOn w:val="Normal"/>
    <w:link w:val="DocumentMapChar"/>
    <w:uiPriority w:val="99"/>
    <w:semiHidden/>
    <w:unhideWhenUsed/>
    <w:locked/>
    <w:rsid w:val="00DC5265"/>
    <w:pPr>
      <w:spacing w:before="0"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DC5265"/>
    <w:rPr>
      <w:rFonts w:ascii="Times New Roman" w:hAnsi="Times New Roman" w:cs="Times New Roman"/>
      <w:color w:val="495965" w:themeColor="text2"/>
      <w:sz w:val="24"/>
      <w:szCs w:val="24"/>
      <w:lang w:val="en-GB"/>
    </w:rPr>
  </w:style>
  <w:style w:type="paragraph" w:customStyle="1" w:styleId="PublicationDate">
    <w:name w:val="Publication Date"/>
    <w:next w:val="Heading1"/>
    <w:rsid w:val="005E4D3B"/>
    <w:pPr>
      <w:spacing w:after="360" w:line="276" w:lineRule="auto"/>
    </w:pPr>
    <w:rPr>
      <w:rFonts w:ascii="Helvetica" w:eastAsia="Times New Roman" w:hAnsi="Helvetica" w:cs="Times New Roman"/>
      <w:color w:val="A8A5A8"/>
      <w:spacing w:val="-10"/>
      <w:kern w:val="24"/>
      <w:sz w:val="24"/>
      <w:szCs w:val="28"/>
      <w:lang w:eastAsia="en-AU"/>
    </w:rPr>
  </w:style>
  <w:style w:type="paragraph" w:customStyle="1" w:styleId="Note">
    <w:name w:val="Note"/>
    <w:basedOn w:val="TableTextEntries"/>
    <w:next w:val="BodyText"/>
    <w:link w:val="NoteCharChar"/>
    <w:autoRedefine/>
    <w:rsid w:val="005E4D3B"/>
    <w:pPr>
      <w:keepNext/>
      <w:spacing w:before="20" w:after="20" w:line="180" w:lineRule="atLeast"/>
      <w:jc w:val="both"/>
    </w:pPr>
    <w:rPr>
      <w:rFonts w:cs="Times New Roman"/>
      <w:iCs w:val="0"/>
      <w:sz w:val="14"/>
      <w:szCs w:val="14"/>
      <w:lang w:eastAsia="en-AU"/>
    </w:rPr>
  </w:style>
  <w:style w:type="character" w:customStyle="1" w:styleId="NoteCharChar">
    <w:name w:val="Note Char Char"/>
    <w:link w:val="Note"/>
    <w:rsid w:val="005E4D3B"/>
    <w:rPr>
      <w:rFonts w:ascii="Franklin Gothic Book" w:eastAsia="Times New Roman" w:hAnsi="Franklin Gothic Book" w:cs="Times New Roman"/>
      <w:sz w:val="14"/>
      <w:szCs w:val="14"/>
      <w:lang w:eastAsia="en-AU"/>
    </w:rPr>
  </w:style>
  <w:style w:type="paragraph" w:customStyle="1" w:styleId="TableDataEntries">
    <w:name w:val="Table Data Entries"/>
    <w:basedOn w:val="TableTextEntries"/>
    <w:rsid w:val="005E4D3B"/>
    <w:pPr>
      <w:jc w:val="right"/>
    </w:pPr>
    <w:rPr>
      <w:rFonts w:cs="Times New Roman"/>
    </w:rPr>
  </w:style>
  <w:style w:type="paragraph" w:customStyle="1" w:styleId="TableDataColumnHeading">
    <w:name w:val="Table Data Column Heading"/>
    <w:basedOn w:val="TableDataEntries"/>
    <w:rsid w:val="005E4D3B"/>
    <w:pPr>
      <w:spacing w:before="80" w:after="80"/>
    </w:pPr>
    <w:rPr>
      <w:rFonts w:ascii="Franklin Gothic Medium" w:hAnsi="Franklin Gothic Medium"/>
    </w:rPr>
  </w:style>
  <w:style w:type="paragraph" w:customStyle="1" w:styleId="TableTextColumnHeading">
    <w:name w:val="Table Text Column Heading"/>
    <w:basedOn w:val="TableDataColumnHeading"/>
    <w:autoRedefine/>
    <w:rsid w:val="005E4D3B"/>
  </w:style>
  <w:style w:type="table" w:customStyle="1" w:styleId="DFATTable0">
    <w:name w:val="DFAT Table"/>
    <w:basedOn w:val="TableNormal"/>
    <w:uiPriority w:val="99"/>
    <w:rsid w:val="005E4D3B"/>
    <w:pPr>
      <w:spacing w:after="0" w:line="240" w:lineRule="auto"/>
    </w:pPr>
    <w:rPr>
      <w:rFonts w:ascii="Helvetica" w:hAnsi="Helvetica"/>
      <w:sz w:val="17"/>
      <w:lang w:eastAsia="en-AU"/>
    </w:rPr>
    <w:tblPr>
      <w:tblBorders>
        <w:top w:val="single" w:sz="12" w:space="0" w:color="auto"/>
        <w:bottom w:val="single" w:sz="12" w:space="0" w:color="auto"/>
      </w:tblBorders>
    </w:tblPr>
  </w:style>
  <w:style w:type="table" w:customStyle="1" w:styleId="DFATBox">
    <w:name w:val="DFAT Box"/>
    <w:basedOn w:val="TableNormal"/>
    <w:uiPriority w:val="99"/>
    <w:rsid w:val="005E4D3B"/>
    <w:pPr>
      <w:spacing w:after="0" w:line="240" w:lineRule="auto"/>
    </w:pPr>
    <w:rPr>
      <w:rFonts w:ascii="Helvetica" w:hAnsi="Helvetica"/>
      <w:lang w:eastAsia="en-AU"/>
    </w:rPr>
    <w:tblPr>
      <w:tblBorders>
        <w:top w:val="single" w:sz="4" w:space="0" w:color="auto"/>
        <w:left w:val="single" w:sz="4" w:space="0" w:color="auto"/>
        <w:bottom w:val="single" w:sz="4" w:space="0" w:color="auto"/>
        <w:right w:val="single" w:sz="4" w:space="0" w:color="auto"/>
      </w:tblBorders>
    </w:tblPr>
    <w:tcPr>
      <w:shd w:val="clear" w:color="auto" w:fill="C7D5E6"/>
    </w:tcPr>
  </w:style>
  <w:style w:type="paragraph" w:customStyle="1" w:styleId="BoxListBullet">
    <w:name w:val="Box List Bullet"/>
    <w:basedOn w:val="BoxText"/>
    <w:rsid w:val="005E4D3B"/>
    <w:pPr>
      <w:keepLines/>
      <w:numPr>
        <w:numId w:val="18"/>
      </w:numPr>
      <w:tabs>
        <w:tab w:val="num" w:pos="284"/>
      </w:tabs>
      <w:spacing w:line="240" w:lineRule="auto"/>
      <w:ind w:left="284" w:hanging="284"/>
      <w:contextualSpacing/>
    </w:pPr>
    <w:rPr>
      <w:szCs w:val="20"/>
    </w:rPr>
  </w:style>
  <w:style w:type="paragraph" w:customStyle="1" w:styleId="BoxText">
    <w:name w:val="Box Text"/>
    <w:link w:val="BoxTextChar"/>
    <w:autoRedefine/>
    <w:rsid w:val="005E4D3B"/>
    <w:pPr>
      <w:pBdr>
        <w:top w:val="single" w:sz="4" w:space="10" w:color="auto"/>
        <w:left w:val="single" w:sz="4" w:space="10" w:color="auto"/>
        <w:bottom w:val="single" w:sz="4" w:space="10" w:color="auto"/>
        <w:right w:val="single" w:sz="4" w:space="10" w:color="auto"/>
      </w:pBdr>
      <w:shd w:val="clear" w:color="auto" w:fill="C7D5E6"/>
      <w:spacing w:line="280" w:lineRule="exact"/>
    </w:pPr>
    <w:rPr>
      <w:rFonts w:ascii="Franklin Gothic Book" w:eastAsia="Times New Roman" w:hAnsi="Franklin Gothic Book" w:cs="Times New Roman"/>
      <w:iCs/>
      <w:sz w:val="20"/>
      <w:lang w:eastAsia="en-AU"/>
    </w:rPr>
  </w:style>
  <w:style w:type="character" w:customStyle="1" w:styleId="BoxTextChar">
    <w:name w:val="Box Text Char"/>
    <w:link w:val="BoxText"/>
    <w:rsid w:val="005E4D3B"/>
    <w:rPr>
      <w:rFonts w:ascii="Franklin Gothic Book" w:eastAsia="Times New Roman" w:hAnsi="Franklin Gothic Book" w:cs="Times New Roman"/>
      <w:iCs/>
      <w:sz w:val="20"/>
      <w:shd w:val="clear" w:color="auto" w:fill="C7D5E6"/>
      <w:lang w:eastAsia="en-AU"/>
    </w:rPr>
  </w:style>
  <w:style w:type="paragraph" w:customStyle="1" w:styleId="BoxHeading1">
    <w:name w:val="Box Heading 1"/>
    <w:basedOn w:val="BoxText"/>
    <w:next w:val="BoxText"/>
    <w:rsid w:val="005E4D3B"/>
    <w:pPr>
      <w:spacing w:before="120" w:line="240" w:lineRule="auto"/>
    </w:pPr>
    <w:rPr>
      <w:b/>
      <w:color w:val="000000"/>
    </w:rPr>
  </w:style>
  <w:style w:type="paragraph" w:customStyle="1" w:styleId="BoxHeading2">
    <w:name w:val="Box Heading 2"/>
    <w:basedOn w:val="BoxHeading1"/>
    <w:next w:val="BoxText"/>
    <w:rsid w:val="005E4D3B"/>
    <w:rPr>
      <w:i/>
      <w:color w:val="auto"/>
    </w:rPr>
  </w:style>
  <w:style w:type="paragraph" w:customStyle="1" w:styleId="BoxListBullet2">
    <w:name w:val="Box List Bullet 2"/>
    <w:basedOn w:val="BoxText"/>
    <w:rsid w:val="005E4D3B"/>
    <w:pPr>
      <w:keepLines/>
      <w:numPr>
        <w:numId w:val="17"/>
      </w:numPr>
      <w:tabs>
        <w:tab w:val="left" w:pos="284"/>
        <w:tab w:val="left" w:pos="851"/>
      </w:tabs>
      <w:spacing w:line="240" w:lineRule="auto"/>
      <w:ind w:left="284" w:hanging="284"/>
      <w:contextualSpacing/>
    </w:pPr>
    <w:rPr>
      <w:szCs w:val="18"/>
    </w:rPr>
  </w:style>
  <w:style w:type="paragraph" w:customStyle="1" w:styleId="BoxListNumber">
    <w:name w:val="Box List Number"/>
    <w:basedOn w:val="BoxListBullet"/>
    <w:rsid w:val="005E4D3B"/>
    <w:pPr>
      <w:numPr>
        <w:numId w:val="0"/>
      </w:numPr>
      <w:tabs>
        <w:tab w:val="left" w:pos="284"/>
      </w:tabs>
      <w:ind w:left="568"/>
    </w:pPr>
  </w:style>
  <w:style w:type="paragraph" w:customStyle="1" w:styleId="BoxListNumber2">
    <w:name w:val="Box List Number 2"/>
    <w:basedOn w:val="BoxListNumber"/>
    <w:rsid w:val="005E4D3B"/>
    <w:pPr>
      <w:numPr>
        <w:numId w:val="20"/>
      </w:numPr>
      <w:tabs>
        <w:tab w:val="num" w:pos="360"/>
      </w:tabs>
      <w:ind w:left="284" w:hanging="284"/>
    </w:pPr>
    <w:rPr>
      <w:szCs w:val="22"/>
    </w:rPr>
  </w:style>
  <w:style w:type="paragraph" w:customStyle="1" w:styleId="BoxNoteSource">
    <w:name w:val="Box Note/Source"/>
    <w:basedOn w:val="BoxText"/>
    <w:rsid w:val="005E4D3B"/>
    <w:pPr>
      <w:spacing w:before="100" w:after="100" w:line="180" w:lineRule="atLeast"/>
    </w:pPr>
    <w:rPr>
      <w:sz w:val="14"/>
      <w:szCs w:val="14"/>
    </w:rPr>
  </w:style>
  <w:style w:type="paragraph" w:customStyle="1" w:styleId="BoxQuote">
    <w:name w:val="Box Quote"/>
    <w:basedOn w:val="BoxText"/>
    <w:next w:val="BoxText"/>
    <w:rsid w:val="005E4D3B"/>
    <w:pPr>
      <w:spacing w:line="240" w:lineRule="atLeast"/>
      <w:ind w:left="284"/>
    </w:pPr>
    <w:rPr>
      <w:sz w:val="16"/>
      <w:szCs w:val="16"/>
    </w:rPr>
  </w:style>
  <w:style w:type="paragraph" w:customStyle="1" w:styleId="Photocaption">
    <w:name w:val="Photo caption"/>
    <w:basedOn w:val="Normal"/>
    <w:next w:val="BodyText"/>
    <w:semiHidden/>
    <w:rsid w:val="005E4D3B"/>
    <w:pPr>
      <w:suppressAutoHyphens w:val="0"/>
      <w:spacing w:before="140" w:after="240" w:line="180" w:lineRule="exact"/>
    </w:pPr>
    <w:rPr>
      <w:rFonts w:ascii="Franklin Gothic Book" w:eastAsia="Times New Roman" w:hAnsi="Franklin Gothic Book" w:cs="Times New Roman"/>
      <w:color w:val="A8A5A8"/>
      <w:sz w:val="14"/>
      <w:szCs w:val="14"/>
      <w:lang w:val="en-AU" w:eastAsia="en-AU"/>
    </w:rPr>
  </w:style>
  <w:style w:type="table" w:styleId="MediumGrid2-Accent2">
    <w:name w:val="Medium Grid 2 Accent 2"/>
    <w:basedOn w:val="TableNormal"/>
    <w:uiPriority w:val="68"/>
    <w:locked/>
    <w:rsid w:val="005E4D3B"/>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65C5B4" w:themeColor="accent2"/>
        <w:left w:val="single" w:sz="8" w:space="0" w:color="65C5B4" w:themeColor="accent2"/>
        <w:bottom w:val="single" w:sz="8" w:space="0" w:color="65C5B4" w:themeColor="accent2"/>
        <w:right w:val="single" w:sz="8" w:space="0" w:color="65C5B4" w:themeColor="accent2"/>
        <w:insideH w:val="single" w:sz="8" w:space="0" w:color="65C5B4" w:themeColor="accent2"/>
        <w:insideV w:val="single" w:sz="8" w:space="0" w:color="65C5B4" w:themeColor="accent2"/>
      </w:tblBorders>
    </w:tblPr>
    <w:tcPr>
      <w:shd w:val="clear" w:color="auto" w:fill="D8F0EC" w:themeFill="accent2" w:themeFillTint="3F"/>
    </w:tcPr>
    <w:tblStylePr w:type="firstRow">
      <w:rPr>
        <w:b/>
        <w:bCs/>
        <w:color w:val="000000" w:themeColor="text1"/>
      </w:rPr>
      <w:tblPr/>
      <w:tcPr>
        <w:shd w:val="clear" w:color="auto" w:fill="EFF9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3EF" w:themeFill="accent2" w:themeFillTint="33"/>
      </w:tcPr>
    </w:tblStylePr>
    <w:tblStylePr w:type="band1Vert">
      <w:tblPr/>
      <w:tcPr>
        <w:shd w:val="clear" w:color="auto" w:fill="B2E2D9" w:themeFill="accent2" w:themeFillTint="7F"/>
      </w:tcPr>
    </w:tblStylePr>
    <w:tblStylePr w:type="band1Horz">
      <w:tblPr/>
      <w:tcPr>
        <w:tcBorders>
          <w:insideH w:val="single" w:sz="6" w:space="0" w:color="65C5B4" w:themeColor="accent2"/>
          <w:insideV w:val="single" w:sz="6" w:space="0" w:color="65C5B4" w:themeColor="accent2"/>
        </w:tcBorders>
        <w:shd w:val="clear" w:color="auto" w:fill="B2E2D9" w:themeFill="accent2" w:themeFillTint="7F"/>
      </w:tcPr>
    </w:tblStylePr>
    <w:tblStylePr w:type="nwCell">
      <w:tblPr/>
      <w:tcPr>
        <w:shd w:val="clear" w:color="auto" w:fill="FFFFFF" w:themeFill="background1"/>
      </w:tcPr>
    </w:tblStylePr>
  </w:style>
  <w:style w:type="table" w:styleId="LightShading">
    <w:name w:val="Light Shading"/>
    <w:basedOn w:val="TableNormal"/>
    <w:uiPriority w:val="60"/>
    <w:locked/>
    <w:rsid w:val="005E4D3B"/>
    <w:pPr>
      <w:spacing w:after="0" w:line="240" w:lineRule="auto"/>
    </w:pPr>
    <w:rPr>
      <w:color w:val="000000" w:themeColor="text1" w:themeShade="BF"/>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locked/>
    <w:rsid w:val="005E4D3B"/>
    <w:pPr>
      <w:spacing w:after="0" w:line="240" w:lineRule="auto"/>
    </w:pPr>
    <w:rPr>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9F6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9F68" w:themeFill="accent5"/>
      </w:tcPr>
    </w:tblStylePr>
    <w:tblStylePr w:type="lastCol">
      <w:rPr>
        <w:b/>
        <w:bCs/>
        <w:color w:val="FFFFFF" w:themeColor="background1"/>
      </w:rPr>
      <w:tblPr/>
      <w:tcPr>
        <w:tcBorders>
          <w:left w:val="nil"/>
          <w:right w:val="nil"/>
          <w:insideH w:val="nil"/>
          <w:insideV w:val="nil"/>
        </w:tcBorders>
        <w:shd w:val="clear" w:color="auto" w:fill="409F6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locked/>
    <w:rsid w:val="005E4D3B"/>
    <w:pPr>
      <w:spacing w:after="0" w:line="240" w:lineRule="auto"/>
    </w:pPr>
    <w:rPr>
      <w:color w:val="B35D31" w:themeColor="accent1" w:themeShade="BF"/>
      <w:lang w:eastAsia="en-AU"/>
    </w:rPr>
    <w:tblPr>
      <w:tblStyleRowBandSize w:val="1"/>
      <w:tblStyleColBandSize w:val="1"/>
      <w:tblBorders>
        <w:top w:val="single" w:sz="8" w:space="0" w:color="D3875F" w:themeColor="accent1"/>
        <w:bottom w:val="single" w:sz="8" w:space="0" w:color="D3875F" w:themeColor="accent1"/>
      </w:tblBorders>
    </w:tblPr>
    <w:tblStylePr w:type="firstRow">
      <w:pPr>
        <w:spacing w:before="0" w:after="0" w:line="240" w:lineRule="auto"/>
      </w:pPr>
      <w:rPr>
        <w:b/>
        <w:bCs/>
      </w:rPr>
      <w:tblPr/>
      <w:tcPr>
        <w:tcBorders>
          <w:top w:val="single" w:sz="8" w:space="0" w:color="D3875F" w:themeColor="accent1"/>
          <w:left w:val="nil"/>
          <w:bottom w:val="single" w:sz="8" w:space="0" w:color="D3875F" w:themeColor="accent1"/>
          <w:right w:val="nil"/>
          <w:insideH w:val="nil"/>
          <w:insideV w:val="nil"/>
        </w:tcBorders>
      </w:tcPr>
    </w:tblStylePr>
    <w:tblStylePr w:type="lastRow">
      <w:pPr>
        <w:spacing w:before="0" w:after="0" w:line="240" w:lineRule="auto"/>
      </w:pPr>
      <w:rPr>
        <w:b/>
        <w:bCs/>
      </w:rPr>
      <w:tblPr/>
      <w:tcPr>
        <w:tcBorders>
          <w:top w:val="single" w:sz="8" w:space="0" w:color="D3875F" w:themeColor="accent1"/>
          <w:left w:val="nil"/>
          <w:bottom w:val="single" w:sz="8" w:space="0" w:color="D3875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E1D7" w:themeFill="accent1" w:themeFillTint="3F"/>
      </w:tcPr>
    </w:tblStylePr>
    <w:tblStylePr w:type="band1Horz">
      <w:tblPr/>
      <w:tcPr>
        <w:tcBorders>
          <w:left w:val="nil"/>
          <w:right w:val="nil"/>
          <w:insideH w:val="nil"/>
          <w:insideV w:val="nil"/>
        </w:tcBorders>
        <w:shd w:val="clear" w:color="auto" w:fill="F4E1D7" w:themeFill="accent1" w:themeFillTint="3F"/>
      </w:tcPr>
    </w:tblStylePr>
  </w:style>
  <w:style w:type="numbering" w:customStyle="1" w:styleId="StyleBulletedSymbolsymbol95ptLeft063cmHanging">
    <w:name w:val="Style Bulleted Symbol (symbol) 9.5 pt Left:  0.63 cm Hanging:  ..."/>
    <w:basedOn w:val="NoList"/>
    <w:rsid w:val="005E4D3B"/>
    <w:pPr>
      <w:numPr>
        <w:numId w:val="19"/>
      </w:numPr>
    </w:pPr>
  </w:style>
  <w:style w:type="character" w:customStyle="1" w:styleId="CaptionChar">
    <w:name w:val="Caption Char"/>
    <w:link w:val="Caption"/>
    <w:locked/>
    <w:rsid w:val="005E4D3B"/>
    <w:rPr>
      <w:b/>
      <w:iCs/>
      <w:color w:val="495965" w:themeColor="text2"/>
      <w:sz w:val="20"/>
      <w:szCs w:val="18"/>
      <w:lang w:val="en-GB"/>
    </w:rPr>
  </w:style>
  <w:style w:type="table" w:styleId="LightShading-Accent3">
    <w:name w:val="Light Shading Accent 3"/>
    <w:basedOn w:val="TableNormal"/>
    <w:uiPriority w:val="60"/>
    <w:locked/>
    <w:rsid w:val="005E4D3B"/>
    <w:pPr>
      <w:spacing w:after="0" w:line="240" w:lineRule="auto"/>
    </w:pPr>
    <w:rPr>
      <w:color w:val="7FB64D" w:themeColor="accent3" w:themeShade="BF"/>
      <w:lang w:eastAsia="en-AU"/>
    </w:rPr>
    <w:tblPr>
      <w:tblStyleRowBandSize w:val="1"/>
      <w:tblStyleColBandSize w:val="1"/>
      <w:tblBorders>
        <w:top w:val="single" w:sz="8" w:space="0" w:color="ACD08C" w:themeColor="accent3"/>
        <w:bottom w:val="single" w:sz="8" w:space="0" w:color="ACD08C" w:themeColor="accent3"/>
      </w:tblBorders>
    </w:tblPr>
    <w:tblStylePr w:type="firstRow">
      <w:pPr>
        <w:spacing w:before="0" w:after="0" w:line="240" w:lineRule="auto"/>
      </w:pPr>
      <w:rPr>
        <w:b/>
        <w:bCs/>
      </w:rPr>
      <w:tblPr/>
      <w:tcPr>
        <w:tcBorders>
          <w:top w:val="single" w:sz="8" w:space="0" w:color="ACD08C" w:themeColor="accent3"/>
          <w:left w:val="nil"/>
          <w:bottom w:val="single" w:sz="8" w:space="0" w:color="ACD08C" w:themeColor="accent3"/>
          <w:right w:val="nil"/>
          <w:insideH w:val="nil"/>
          <w:insideV w:val="nil"/>
        </w:tcBorders>
      </w:tcPr>
    </w:tblStylePr>
    <w:tblStylePr w:type="lastRow">
      <w:pPr>
        <w:spacing w:before="0" w:after="0" w:line="240" w:lineRule="auto"/>
      </w:pPr>
      <w:rPr>
        <w:b/>
        <w:bCs/>
      </w:rPr>
      <w:tblPr/>
      <w:tcPr>
        <w:tcBorders>
          <w:top w:val="single" w:sz="8" w:space="0" w:color="ACD08C" w:themeColor="accent3"/>
          <w:left w:val="nil"/>
          <w:bottom w:val="single" w:sz="8" w:space="0" w:color="ACD08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3E2" w:themeFill="accent3" w:themeFillTint="3F"/>
      </w:tcPr>
    </w:tblStylePr>
    <w:tblStylePr w:type="band1Horz">
      <w:tblPr/>
      <w:tcPr>
        <w:tcBorders>
          <w:left w:val="nil"/>
          <w:right w:val="nil"/>
          <w:insideH w:val="nil"/>
          <w:insideV w:val="nil"/>
        </w:tcBorders>
        <w:shd w:val="clear" w:color="auto" w:fill="EAF3E2" w:themeFill="accent3" w:themeFillTint="3F"/>
      </w:tcPr>
    </w:tblStylePr>
  </w:style>
  <w:style w:type="table" w:customStyle="1" w:styleId="TableGridLight1">
    <w:name w:val="Table Grid Light1"/>
    <w:basedOn w:val="TableNormal"/>
    <w:uiPriority w:val="40"/>
    <w:rsid w:val="009F0C7B"/>
    <w:pPr>
      <w:spacing w:after="0" w:line="240" w:lineRule="auto"/>
    </w:pPr>
    <w:rPr>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Num">
    <w:name w:val="PF (Num)"/>
    <w:basedOn w:val="Normal"/>
    <w:rsid w:val="00A9114C"/>
    <w:pPr>
      <w:tabs>
        <w:tab w:val="right" w:pos="9214"/>
      </w:tabs>
      <w:suppressAutoHyphens w:val="0"/>
      <w:spacing w:after="120" w:line="240" w:lineRule="auto"/>
    </w:pPr>
    <w:rPr>
      <w:rFonts w:ascii="Arial" w:eastAsia="Times New Roman" w:hAnsi="Arial" w:cs="Times New Roman"/>
      <w:iCs/>
      <w:color w:val="000000"/>
      <w:szCs w:val="20"/>
      <w:lang w:val="en-AU"/>
    </w:rPr>
  </w:style>
  <w:style w:type="paragraph" w:customStyle="1" w:styleId="Table-list-bullet">
    <w:name w:val="Table-list-bullet"/>
    <w:basedOn w:val="Normal"/>
    <w:uiPriority w:val="99"/>
    <w:qFormat/>
    <w:rsid w:val="0084099D"/>
    <w:pPr>
      <w:numPr>
        <w:numId w:val="36"/>
      </w:numPr>
      <w:suppressAutoHyphens w:val="0"/>
      <w:spacing w:before="60" w:after="0" w:line="240" w:lineRule="auto"/>
    </w:pPr>
    <w:rPr>
      <w:rFonts w:ascii="Arial" w:eastAsia="Times New Roman" w:hAnsi="Arial" w:cs="Times New Roman"/>
      <w:color w:val="auto"/>
      <w:sz w:val="20"/>
      <w:szCs w:val="24"/>
      <w:lang w:val="en-AU"/>
    </w:rPr>
  </w:style>
  <w:style w:type="table" w:customStyle="1" w:styleId="GridTable4-Accent21">
    <w:name w:val="Grid Table 4 - Accent 21"/>
    <w:basedOn w:val="TableNormal"/>
    <w:uiPriority w:val="49"/>
    <w:rsid w:val="00E00787"/>
    <w:pPr>
      <w:spacing w:after="0" w:line="240" w:lineRule="auto"/>
    </w:pPr>
    <w:tblPr>
      <w:tblStyleRowBandSize w:val="1"/>
      <w:tblStyleColBandSize w:val="1"/>
      <w:tblBorders>
        <w:top w:val="single" w:sz="4" w:space="0" w:color="A2DCD1" w:themeColor="accent2" w:themeTint="99"/>
        <w:left w:val="single" w:sz="4" w:space="0" w:color="A2DCD1" w:themeColor="accent2" w:themeTint="99"/>
        <w:bottom w:val="single" w:sz="4" w:space="0" w:color="A2DCD1" w:themeColor="accent2" w:themeTint="99"/>
        <w:right w:val="single" w:sz="4" w:space="0" w:color="A2DCD1" w:themeColor="accent2" w:themeTint="99"/>
        <w:insideH w:val="single" w:sz="4" w:space="0" w:color="A2DCD1" w:themeColor="accent2" w:themeTint="99"/>
        <w:insideV w:val="single" w:sz="4" w:space="0" w:color="A2DCD1" w:themeColor="accent2" w:themeTint="99"/>
      </w:tblBorders>
    </w:tblPr>
    <w:tblStylePr w:type="firstRow">
      <w:rPr>
        <w:b/>
        <w:bCs/>
        <w:color w:val="FFFFFF" w:themeColor="background1"/>
      </w:rPr>
      <w:tblPr/>
      <w:tcPr>
        <w:tcBorders>
          <w:top w:val="single" w:sz="4" w:space="0" w:color="65C5B4" w:themeColor="accent2"/>
          <w:left w:val="single" w:sz="4" w:space="0" w:color="65C5B4" w:themeColor="accent2"/>
          <w:bottom w:val="single" w:sz="4" w:space="0" w:color="65C5B4" w:themeColor="accent2"/>
          <w:right w:val="single" w:sz="4" w:space="0" w:color="65C5B4" w:themeColor="accent2"/>
          <w:insideH w:val="nil"/>
          <w:insideV w:val="nil"/>
        </w:tcBorders>
        <w:shd w:val="clear" w:color="auto" w:fill="65C5B4" w:themeFill="accent2"/>
      </w:tcPr>
    </w:tblStylePr>
    <w:tblStylePr w:type="lastRow">
      <w:rPr>
        <w:b/>
        <w:bCs/>
      </w:rPr>
      <w:tblPr/>
      <w:tcPr>
        <w:tcBorders>
          <w:top w:val="double" w:sz="4" w:space="0" w:color="65C5B4" w:themeColor="accent2"/>
        </w:tcBorders>
      </w:tcPr>
    </w:tblStylePr>
    <w:tblStylePr w:type="firstCol">
      <w:rPr>
        <w:b/>
        <w:bCs/>
      </w:rPr>
    </w:tblStylePr>
    <w:tblStylePr w:type="lastCol">
      <w:rPr>
        <w:b/>
        <w:bCs/>
      </w:rPr>
    </w:tblStylePr>
    <w:tblStylePr w:type="band1Vert">
      <w:tblPr/>
      <w:tcPr>
        <w:shd w:val="clear" w:color="auto" w:fill="E0F3EF" w:themeFill="accent2" w:themeFillTint="33"/>
      </w:tcPr>
    </w:tblStylePr>
    <w:tblStylePr w:type="band1Horz">
      <w:tblPr/>
      <w:tcPr>
        <w:shd w:val="clear" w:color="auto" w:fill="E0F3EF"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12407">
      <w:bodyDiv w:val="1"/>
      <w:marLeft w:val="0"/>
      <w:marRight w:val="0"/>
      <w:marTop w:val="0"/>
      <w:marBottom w:val="0"/>
      <w:divBdr>
        <w:top w:val="none" w:sz="0" w:space="0" w:color="auto"/>
        <w:left w:val="none" w:sz="0" w:space="0" w:color="auto"/>
        <w:bottom w:val="none" w:sz="0" w:space="0" w:color="auto"/>
        <w:right w:val="none" w:sz="0" w:space="0" w:color="auto"/>
      </w:divBdr>
    </w:div>
    <w:div w:id="369578041">
      <w:bodyDiv w:val="1"/>
      <w:marLeft w:val="0"/>
      <w:marRight w:val="0"/>
      <w:marTop w:val="0"/>
      <w:marBottom w:val="0"/>
      <w:divBdr>
        <w:top w:val="none" w:sz="0" w:space="0" w:color="auto"/>
        <w:left w:val="none" w:sz="0" w:space="0" w:color="auto"/>
        <w:bottom w:val="none" w:sz="0" w:space="0" w:color="auto"/>
        <w:right w:val="none" w:sz="0" w:space="0" w:color="auto"/>
      </w:divBdr>
    </w:div>
    <w:div w:id="599022089">
      <w:bodyDiv w:val="1"/>
      <w:marLeft w:val="0"/>
      <w:marRight w:val="0"/>
      <w:marTop w:val="0"/>
      <w:marBottom w:val="0"/>
      <w:divBdr>
        <w:top w:val="none" w:sz="0" w:space="0" w:color="auto"/>
        <w:left w:val="none" w:sz="0" w:space="0" w:color="auto"/>
        <w:bottom w:val="none" w:sz="0" w:space="0" w:color="auto"/>
        <w:right w:val="none" w:sz="0" w:space="0" w:color="auto"/>
      </w:divBdr>
    </w:div>
    <w:div w:id="672221763">
      <w:bodyDiv w:val="1"/>
      <w:marLeft w:val="0"/>
      <w:marRight w:val="0"/>
      <w:marTop w:val="0"/>
      <w:marBottom w:val="0"/>
      <w:divBdr>
        <w:top w:val="none" w:sz="0" w:space="0" w:color="auto"/>
        <w:left w:val="none" w:sz="0" w:space="0" w:color="auto"/>
        <w:bottom w:val="none" w:sz="0" w:space="0" w:color="auto"/>
        <w:right w:val="none" w:sz="0" w:space="0" w:color="auto"/>
      </w:divBdr>
    </w:div>
    <w:div w:id="723142902">
      <w:bodyDiv w:val="1"/>
      <w:marLeft w:val="0"/>
      <w:marRight w:val="0"/>
      <w:marTop w:val="0"/>
      <w:marBottom w:val="0"/>
      <w:divBdr>
        <w:top w:val="none" w:sz="0" w:space="0" w:color="auto"/>
        <w:left w:val="none" w:sz="0" w:space="0" w:color="auto"/>
        <w:bottom w:val="none" w:sz="0" w:space="0" w:color="auto"/>
        <w:right w:val="none" w:sz="0" w:space="0" w:color="auto"/>
      </w:divBdr>
    </w:div>
    <w:div w:id="747270227">
      <w:bodyDiv w:val="1"/>
      <w:marLeft w:val="0"/>
      <w:marRight w:val="0"/>
      <w:marTop w:val="0"/>
      <w:marBottom w:val="0"/>
      <w:divBdr>
        <w:top w:val="none" w:sz="0" w:space="0" w:color="auto"/>
        <w:left w:val="none" w:sz="0" w:space="0" w:color="auto"/>
        <w:bottom w:val="none" w:sz="0" w:space="0" w:color="auto"/>
        <w:right w:val="none" w:sz="0" w:space="0" w:color="auto"/>
      </w:divBdr>
    </w:div>
    <w:div w:id="1353409445">
      <w:bodyDiv w:val="1"/>
      <w:marLeft w:val="0"/>
      <w:marRight w:val="0"/>
      <w:marTop w:val="0"/>
      <w:marBottom w:val="0"/>
      <w:divBdr>
        <w:top w:val="none" w:sz="0" w:space="0" w:color="auto"/>
        <w:left w:val="none" w:sz="0" w:space="0" w:color="auto"/>
        <w:bottom w:val="none" w:sz="0" w:space="0" w:color="auto"/>
        <w:right w:val="none" w:sz="0" w:space="0" w:color="auto"/>
      </w:divBdr>
    </w:div>
    <w:div w:id="1376658015">
      <w:bodyDiv w:val="1"/>
      <w:marLeft w:val="0"/>
      <w:marRight w:val="0"/>
      <w:marTop w:val="0"/>
      <w:marBottom w:val="0"/>
      <w:divBdr>
        <w:top w:val="none" w:sz="0" w:space="0" w:color="auto"/>
        <w:left w:val="none" w:sz="0" w:space="0" w:color="auto"/>
        <w:bottom w:val="none" w:sz="0" w:space="0" w:color="auto"/>
        <w:right w:val="none" w:sz="0" w:space="0" w:color="auto"/>
      </w:divBdr>
    </w:div>
    <w:div w:id="1476413882">
      <w:bodyDiv w:val="1"/>
      <w:marLeft w:val="0"/>
      <w:marRight w:val="0"/>
      <w:marTop w:val="0"/>
      <w:marBottom w:val="0"/>
      <w:divBdr>
        <w:top w:val="none" w:sz="0" w:space="0" w:color="auto"/>
        <w:left w:val="none" w:sz="0" w:space="0" w:color="auto"/>
        <w:bottom w:val="none" w:sz="0" w:space="0" w:color="auto"/>
        <w:right w:val="none" w:sz="0" w:space="0" w:color="auto"/>
      </w:divBdr>
    </w:div>
    <w:div w:id="1481773258">
      <w:bodyDiv w:val="1"/>
      <w:marLeft w:val="0"/>
      <w:marRight w:val="0"/>
      <w:marTop w:val="0"/>
      <w:marBottom w:val="0"/>
      <w:divBdr>
        <w:top w:val="none" w:sz="0" w:space="0" w:color="auto"/>
        <w:left w:val="none" w:sz="0" w:space="0" w:color="auto"/>
        <w:bottom w:val="none" w:sz="0" w:space="0" w:color="auto"/>
        <w:right w:val="none" w:sz="0" w:space="0" w:color="auto"/>
      </w:divBdr>
    </w:div>
    <w:div w:id="1794784877">
      <w:bodyDiv w:val="1"/>
      <w:marLeft w:val="0"/>
      <w:marRight w:val="0"/>
      <w:marTop w:val="0"/>
      <w:marBottom w:val="0"/>
      <w:divBdr>
        <w:top w:val="none" w:sz="0" w:space="0" w:color="auto"/>
        <w:left w:val="none" w:sz="0" w:space="0" w:color="auto"/>
        <w:bottom w:val="none" w:sz="0" w:space="0" w:color="auto"/>
        <w:right w:val="none" w:sz="0" w:space="0" w:color="auto"/>
      </w:divBdr>
    </w:div>
    <w:div w:id="2025088865">
      <w:bodyDiv w:val="1"/>
      <w:marLeft w:val="0"/>
      <w:marRight w:val="0"/>
      <w:marTop w:val="0"/>
      <w:marBottom w:val="0"/>
      <w:divBdr>
        <w:top w:val="none" w:sz="0" w:space="0" w:color="auto"/>
        <w:left w:val="none" w:sz="0" w:space="0" w:color="auto"/>
        <w:bottom w:val="none" w:sz="0" w:space="0" w:color="auto"/>
        <w:right w:val="none" w:sz="0" w:space="0" w:color="auto"/>
      </w:divBdr>
    </w:div>
    <w:div w:id="209177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sustainabledevelopment.un.org/sdg17" TargetMode="External"/><Relationship Id="rId26" Type="http://schemas.openxmlformats.org/officeDocument/2006/relationships/hyperlink" Target="https://www.scalingfrontierinnovation.org/" TargetMode="External"/><Relationship Id="rId39" Type="http://schemas.openxmlformats.org/officeDocument/2006/relationships/hyperlink" Target="https://dfat.gov.au/international-relations/themes/preventing-sexual-exploitation-abuse-and-harassment/Pages/default.aspx" TargetMode="External"/><Relationship Id="rId21" Type="http://schemas.openxmlformats.org/officeDocument/2006/relationships/image" Target="media/image8.png"/><Relationship Id="rId34" Type="http://schemas.openxmlformats.org/officeDocument/2006/relationships/hyperlink" Target="mailto:privatesector@dfat.gov.au" TargetMode="External"/><Relationship Id="rId42" Type="http://schemas.openxmlformats.org/officeDocument/2006/relationships/hyperlink" Target="http://dfatintranet.titan.satin.lo/managing-aid/other-aid-management-risk-policies/due-diligence/Pages/default.aspx" TargetMode="External"/><Relationship Id="rId47" Type="http://schemas.openxmlformats.org/officeDocument/2006/relationships/footer" Target="footer4.xml"/><Relationship Id="rId50" Type="http://schemas.openxmlformats.org/officeDocument/2006/relationships/hyperlink" Target="https://dfat.gov.au/about-us/publications/Pages/child-protection-policy.aspx" TargetMode="External"/><Relationship Id="rId55" Type="http://schemas.openxmlformats.org/officeDocument/2006/relationships/image" Target="media/image11.png"/><Relationship Id="rId63"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dfat.gov.au/about-us/publications/Pages/private-sector-engagement-in-australias-aid-program-operational-framework.aspx" TargetMode="External"/><Relationship Id="rId29" Type="http://schemas.openxmlformats.org/officeDocument/2006/relationships/hyperlink" Target="https://dfat.gov.au/about-us/publications/Pages/pacific-carnival-partnership-cruising-into-a-new-future.aspx" TargetMode="External"/><Relationship Id="rId41" Type="http://schemas.openxmlformats.org/officeDocument/2006/relationships/hyperlink" Target="https://dfat.gov.au/about-us/publications/Pages/due-diligence-framework.aspx" TargetMode="External"/><Relationship Id="rId54" Type="http://schemas.openxmlformats.org/officeDocument/2006/relationships/hyperlink" Target="mailto:privatesector@dfat.gov.au" TargetMode="Externa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thebpp.com.au" TargetMode="External"/><Relationship Id="rId32" Type="http://schemas.openxmlformats.org/officeDocument/2006/relationships/hyperlink" Target="mailto:privatesector@dfat.gov.au" TargetMode="External"/><Relationship Id="rId37" Type="http://schemas.openxmlformats.org/officeDocument/2006/relationships/hyperlink" Target="https://dfat.gov.au/about-us/publications/pages/development-for-all-2015-2020.aspx" TargetMode="External"/><Relationship Id="rId40" Type="http://schemas.openxmlformats.org/officeDocument/2006/relationships/hyperlink" Target="https://dfat.gov.au/about-us/publications/Pages/aid-programming-guide.aspx" TargetMode="External"/><Relationship Id="rId45" Type="http://schemas.openxmlformats.org/officeDocument/2006/relationships/footer" Target="footer3.xml"/><Relationship Id="rId53" Type="http://schemas.openxmlformats.org/officeDocument/2006/relationships/hyperlink" Target="mailto:privatesector@dfat.gov.au" TargetMode="External"/><Relationship Id="rId58" Type="http://schemas.openxmlformats.org/officeDocument/2006/relationships/hyperlink" Target="http://dfatintranet.titan.satin.lo/external-engagement/private-sector-engagement/Pages/engagement-resources.aspx" TargetMode="Externa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hyperlink" Target="https://dfat.gov.au/aid/who-we-work-with/value-for-money-principles/Pages/value-for-money-principles.aspx" TargetMode="External"/><Relationship Id="rId36" Type="http://schemas.openxmlformats.org/officeDocument/2006/relationships/hyperlink" Target="https://investinginwomen.asia/our-work/workplace-gender-equality/" TargetMode="External"/><Relationship Id="rId49" Type="http://schemas.openxmlformats.org/officeDocument/2006/relationships/hyperlink" Target="https://dfat.gov.au/international-relations/themes/preventing-sexual-exploitation-abuse-and-harassment/Pages/default.aspx" TargetMode="External"/><Relationship Id="rId57" Type="http://schemas.openxmlformats.org/officeDocument/2006/relationships/image" Target="media/image13.jpeg"/><Relationship Id="rId61"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dfat.gov.au/news/news/Pages/engaging-the-private-sector-in-aid-and-development.aspx" TargetMode="External"/><Relationship Id="rId31" Type="http://schemas.openxmlformats.org/officeDocument/2006/relationships/hyperlink" Target="http://thebpp.com.au/" TargetMode="External"/><Relationship Id="rId44" Type="http://schemas.openxmlformats.org/officeDocument/2006/relationships/header" Target="header5.xml"/><Relationship Id="rId52" Type="http://schemas.openxmlformats.org/officeDocument/2006/relationships/hyperlink" Target="http://dfatintranet.titan.satin.lo/external-engagement/private-sector-engagement/Pages/default.aspx" TargetMode="External"/><Relationship Id="rId60" Type="http://schemas.openxmlformats.org/officeDocument/2006/relationships/header" Target="header7.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dfat.gov.au/about-us/publications/Pages/private-sector-engagement-in-australias-aid-program-operational-framework.aspx" TargetMode="External"/><Relationship Id="rId27" Type="http://schemas.openxmlformats.org/officeDocument/2006/relationships/hyperlink" Target="https://www.enterprise-development.org/" TargetMode="External"/><Relationship Id="rId30" Type="http://schemas.openxmlformats.org/officeDocument/2006/relationships/hyperlink" Target="http://marketdevelopmentfacility.org/" TargetMode="External"/><Relationship Id="rId35" Type="http://schemas.openxmlformats.org/officeDocument/2006/relationships/hyperlink" Target="https://dfat.gov.au/about-us/publications/pages/gender-equality-and-womens-empowerment-strategy.aspx" TargetMode="External"/><Relationship Id="rId43" Type="http://schemas.openxmlformats.org/officeDocument/2006/relationships/hyperlink" Target="http://dfatintranet.titan.satin.lo/managing-aid/other-aid-management-risk-policies/due-diligence/Pages/default.aspx" TargetMode="External"/><Relationship Id="rId48" Type="http://schemas.openxmlformats.org/officeDocument/2006/relationships/hyperlink" Target="https://dfat.gov.au/aid/topics/aid-risk-management/Pages/environmental-and-social-safeguards.aspx" TargetMode="External"/><Relationship Id="rId56" Type="http://schemas.openxmlformats.org/officeDocument/2006/relationships/image" Target="media/image12.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fat.gov.au/about-us/publications/Pages/fraud-control-toolkit-for-funding-recipients.aspx"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sustainabledevelopment.un.org/sdg8" TargetMode="External"/><Relationship Id="rId25" Type="http://schemas.openxmlformats.org/officeDocument/2006/relationships/image" Target="media/image10.png"/><Relationship Id="rId38" Type="http://schemas.openxmlformats.org/officeDocument/2006/relationships/hyperlink" Target="https://dfat.gov.au/about-us/publications/Pages/accessibility-design-guide-universal-design-principles-for-australia-s-aid-program.aspx" TargetMode="External"/><Relationship Id="rId46" Type="http://schemas.openxmlformats.org/officeDocument/2006/relationships/header" Target="header6.xml"/><Relationship Id="rId59" Type="http://schemas.openxmlformats.org/officeDocument/2006/relationships/hyperlink" Target="https://www.enterprise-development.org/measuring-results-the-dced-standar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enterprise-development.org/wp-content/uploads/DCED_DemonstratingAdditionality_OnePageSummary.pdf" TargetMode="External"/><Relationship Id="rId2" Type="http://schemas.openxmlformats.org/officeDocument/2006/relationships/hyperlink" Target="https://www.enterprise-development.org/dced-guidance/business-development-services-dced-guiding-principles/" TargetMode="External"/><Relationship Id="rId1" Type="http://schemas.openxmlformats.org/officeDocument/2006/relationships/hyperlink" Target="http://www.oecd.org/dac/peer-reviews/inventory-1-Private-Sector-Engagement-Terminology-and-Typology.pdf" TargetMode="External"/><Relationship Id="rId5" Type="http://schemas.openxmlformats.org/officeDocument/2006/relationships/hyperlink" Target="https://www.mercycorps.org/research-resources/private-sector-engagement-tool-kit" TargetMode="External"/><Relationship Id="rId4" Type="http://schemas.openxmlformats.org/officeDocument/2006/relationships/hyperlink" Target="http://www.partnershipbroker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jgyj\Dropbox\MSO%20Conversions\Swell\DFAT%20Aid%20Programming%20Book\DFAT%20Aid%20Programming%20Book_01a.dotx" TargetMode="External"/></Relationships>
</file>

<file path=word/theme/theme1.xml><?xml version="1.0" encoding="utf-8"?>
<a:theme xmlns:a="http://schemas.openxmlformats.org/drawingml/2006/main" name="DFAT Corporate - Standard">
  <a:themeElements>
    <a:clrScheme name="DFAT APG Orange">
      <a:dk1>
        <a:sysClr val="windowText" lastClr="000000"/>
      </a:dk1>
      <a:lt1>
        <a:sysClr val="window" lastClr="FFFFFF"/>
      </a:lt1>
      <a:dk2>
        <a:srgbClr val="495965"/>
      </a:dk2>
      <a:lt2>
        <a:srgbClr val="D8DCDB"/>
      </a:lt2>
      <a:accent1>
        <a:srgbClr val="D3875F"/>
      </a:accent1>
      <a:accent2>
        <a:srgbClr val="65C5B4"/>
      </a:accent2>
      <a:accent3>
        <a:srgbClr val="ACD08C"/>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3D8A8BE7399B49A5BB52669B330A50" ma:contentTypeVersion="1" ma:contentTypeDescription="Create a new document." ma:contentTypeScope="" ma:versionID="316a9221aecc19b21f6367b0d43d7517">
  <xsd:schema xmlns:xsd="http://www.w3.org/2001/XMLSchema" xmlns:xs="http://www.w3.org/2001/XMLSchema" xmlns:p="http://schemas.microsoft.com/office/2006/metadata/properties" xmlns:ns2="283efd9f-794b-4c2b-9be4-f495c58e15e2" targetNamespace="http://schemas.microsoft.com/office/2006/metadata/properties" ma:root="true" ma:fieldsID="7818179b4f6e98c9a9bc4192aeba4a4d" ns2:_="">
    <xsd:import namespace="283efd9f-794b-4c2b-9be4-f495c58e15e2"/>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3efd9f-794b-4c2b-9be4-f495c58e15e2"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Policy"/>
          <xsd:enumeration value="Approval Templates"/>
          <xsd:enumeration value="Other Templates"/>
          <xsd:enumeration value="Agreements"/>
          <xsd:enumeration value="Fact Sheets"/>
          <xsd:enumeration value="Tools"/>
          <xsd:enumeration value="Guidanc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283efd9f-794b-4c2b-9be4-f495c58e15e2">Tools</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943F4-73FA-4804-B221-DC1B39EB6D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3efd9f-794b-4c2b-9be4-f495c58e15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8234C3-315B-4435-9240-CBADD8D03FAA}">
  <ds:schemaRefs>
    <ds:schemaRef ds:uri="http://purl.org/dc/elements/1.1/"/>
    <ds:schemaRef ds:uri="http://schemas.microsoft.com/office/2006/metadata/properties"/>
    <ds:schemaRef ds:uri="283efd9f-794b-4c2b-9be4-f495c58e15e2"/>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5F474F24-C3B4-4CBD-AFDB-BF46CA8C2FD6}">
  <ds:schemaRefs>
    <ds:schemaRef ds:uri="http://schemas.microsoft.com/sharepoint/v3/contenttype/forms"/>
  </ds:schemaRefs>
</ds:datastoreItem>
</file>

<file path=customXml/itemProps4.xml><?xml version="1.0" encoding="utf-8"?>
<ds:datastoreItem xmlns:ds="http://schemas.openxmlformats.org/officeDocument/2006/customXml" ds:itemID="{5C3EEDB1-F958-4763-8FA4-A38C75D34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DFAT Aid Programming Book_01a.dotx</Template>
  <TotalTime>26</TotalTime>
  <Pages>21</Pages>
  <Words>7224</Words>
  <Characters>41180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Investment Quality Reporting Good Practice Note</vt:lpstr>
    </vt:vector>
  </TitlesOfParts>
  <Company>Department of Foreign Affairs and Trade</Company>
  <LinksUpToDate>false</LinksUpToDate>
  <CharactersWithSpaces>48308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Quality Reporting Good Practice Note</dc:title>
  <dc:creator>Department of Foreign Affairs and Trade</dc:creator>
  <dc:description>Typeset and accessibility compliance by Keep Creative, Canberra.</dc:description>
  <cp:lastModifiedBy>Jo Simpson</cp:lastModifiedBy>
  <cp:revision>6</cp:revision>
  <cp:lastPrinted>2019-12-18T23:34:00Z</cp:lastPrinted>
  <dcterms:created xsi:type="dcterms:W3CDTF">2019-12-17T05:07:00Z</dcterms:created>
  <dcterms:modified xsi:type="dcterms:W3CDTF">2020-02-11T02:18:00Z</dcterms:modified>
  <cp:contentStatus>Classification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00f79cee-0de4-4508-a447-53da0ee5795e</vt:lpwstr>
  </property>
  <property fmtid="{D5CDD505-2E9C-101B-9397-08002B2CF9AE}" pid="3" name="hptrimdataset">
    <vt:lpwstr>CH</vt:lpwstr>
  </property>
  <property fmtid="{D5CDD505-2E9C-101B-9397-08002B2CF9AE}" pid="4" name="hptrimfileref">
    <vt:lpwstr>16/8824#10</vt:lpwstr>
  </property>
  <property fmtid="{D5CDD505-2E9C-101B-9397-08002B2CF9AE}" pid="5" name="hptrimrecordref">
    <vt:lpwstr/>
  </property>
  <property fmtid="{D5CDD505-2E9C-101B-9397-08002B2CF9AE}" pid="6" name="ContentTypeId">
    <vt:lpwstr>0x010100CC3D8A8BE7399B49A5BB52669B330A50</vt:lpwstr>
  </property>
  <property fmtid="{D5CDD505-2E9C-101B-9397-08002B2CF9AE}" pid="7" name="SEC">
    <vt:lpwstr>UNCLASSIFIED</vt:lpwstr>
  </property>
  <property fmtid="{D5CDD505-2E9C-101B-9397-08002B2CF9AE}" pid="8" name="DLM">
    <vt:lpwstr>No DLM</vt:lpwstr>
  </property>
</Properties>
</file>