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5E9B49" w14:textId="75C04F5A" w:rsidR="005267EA" w:rsidRPr="00530B2E" w:rsidRDefault="003D4B44" w:rsidP="00187928">
      <w:pPr>
        <w:pStyle w:val="Title"/>
        <w:ind w:right="3515"/>
      </w:pPr>
      <w:bookmarkStart w:id="0" w:name="_Toc37923968"/>
      <w:r>
        <w:rPr>
          <w:noProof/>
        </w:rPr>
        <w:drawing>
          <wp:anchor distT="0" distB="0" distL="114300" distR="114300" simplePos="0" relativeHeight="251658240" behindDoc="1" locked="0" layoutInCell="1" allowOverlap="1" wp14:anchorId="76BF7A0E" wp14:editId="6DBE0BAB">
            <wp:simplePos x="0" y="0"/>
            <wp:positionH relativeFrom="margin">
              <wp:posOffset>-283845</wp:posOffset>
            </wp:positionH>
            <wp:positionV relativeFrom="paragraph">
              <wp:posOffset>-381635</wp:posOffset>
            </wp:positionV>
            <wp:extent cx="6762750" cy="9896152"/>
            <wp:effectExtent l="0" t="0" r="0" b="0"/>
            <wp:wrapNone/>
            <wp:docPr id="1084186675" name="Picture 6" descr="green trees on island surrounded by water during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n trees on island surrounded by water during daytime"/>
                    <pic:cNvPicPr>
                      <a:picLocks noChangeAspect="1" noChangeArrowheads="1"/>
                    </pic:cNvPicPr>
                  </pic:nvPicPr>
                  <pic:blipFill rotWithShape="1">
                    <a:blip r:embed="rId11">
                      <a:extLst>
                        <a:ext uri="{28A0092B-C50C-407E-A947-70E740481C1C}">
                          <a14:useLocalDpi xmlns:a14="http://schemas.microsoft.com/office/drawing/2010/main" val="0"/>
                        </a:ext>
                      </a:extLst>
                    </a:blip>
                    <a:srcRect l="1901" t="8922" r="1499" b="11568"/>
                    <a:stretch/>
                  </pic:blipFill>
                  <pic:spPr bwMode="auto">
                    <a:xfrm>
                      <a:off x="0" y="0"/>
                      <a:ext cx="6762750" cy="98961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sz w:val="44"/>
            <w:szCs w:val="48"/>
          </w:rPr>
          <w:alias w:val="Title"/>
          <w:tag w:val=""/>
          <w:id w:val="445966071"/>
          <w:placeholder>
            <w:docPart w:val="A014A9F48D329C4EBFE78981A6D74A18"/>
          </w:placeholder>
          <w:dataBinding w:prefixMappings="xmlns:ns0='http://purl.org/dc/elements/1.1/' xmlns:ns1='http://schemas.openxmlformats.org/package/2006/metadata/core-properties' " w:xpath="/ns1:coreProperties[1]/ns0:title[1]" w:storeItemID="{6C3C8BC8-F283-45AE-878A-BAB7291924A1}"/>
          <w:text/>
        </w:sdtPr>
        <w:sdtEndPr/>
        <w:sdtContent>
          <w:r w:rsidR="005D47D2" w:rsidRPr="007B36B4">
            <w:rPr>
              <w:sz w:val="44"/>
              <w:szCs w:val="48"/>
            </w:rPr>
            <w:t>The Pacific Recovery Economic Support (PRES) evaluation report</w:t>
          </w:r>
        </w:sdtContent>
      </w:sdt>
    </w:p>
    <w:p w14:paraId="07782846" w14:textId="1AF70465" w:rsidR="00533113" w:rsidRPr="00530B2E" w:rsidRDefault="00AE50D3" w:rsidP="00187928">
      <w:pPr>
        <w:pStyle w:val="CoverSubtitle"/>
        <w:ind w:right="3515"/>
      </w:pPr>
      <w:r w:rsidRPr="00530B2E">
        <w:t xml:space="preserve">Prepared for </w:t>
      </w:r>
      <w:sdt>
        <w:sdtPr>
          <w:alias w:val="Company"/>
          <w:tag w:val=""/>
          <w:id w:val="-517938563"/>
          <w:placeholder>
            <w:docPart w:val="1FC9BBE06091594B82ABAD5DD5F75010"/>
          </w:placeholder>
          <w:dataBinding w:prefixMappings="xmlns:ns0='http://schemas.openxmlformats.org/officeDocument/2006/extended-properties' " w:xpath="/ns0:Properties[1]/ns0:Company[1]" w:storeItemID="{6668398D-A668-4E3E-A5EB-62B293D839F1}"/>
          <w:text/>
        </w:sdtPr>
        <w:sdtEndPr/>
        <w:sdtContent>
          <w:r w:rsidR="001A57E2">
            <w:t>DFAT</w:t>
          </w:r>
        </w:sdtContent>
      </w:sdt>
      <w:r w:rsidR="007456EC">
        <w:t xml:space="preserve"> Economic Policy and Partnerships Section</w:t>
      </w:r>
      <w:r w:rsidR="0003277D">
        <w:t xml:space="preserve"> </w:t>
      </w:r>
    </w:p>
    <w:p w14:paraId="27ADB65C" w14:textId="572494CC" w:rsidR="005267EA" w:rsidRPr="00530B2E" w:rsidRDefault="005267EA" w:rsidP="00C86C27"/>
    <w:p w14:paraId="05B6EC9A" w14:textId="23C062DE" w:rsidR="00977275" w:rsidRPr="00977275" w:rsidRDefault="0064490E" w:rsidP="00977275">
      <w:pPr>
        <w:rPr>
          <w:rFonts w:cstheme="minorHAnsi"/>
        </w:rPr>
      </w:pPr>
      <w:r w:rsidRPr="00977275">
        <w:rPr>
          <w:rFonts w:cstheme="minorHAnsi"/>
          <w:noProof/>
        </w:rPr>
        <w:drawing>
          <wp:anchor distT="0" distB="0" distL="114300" distR="114300" simplePos="0" relativeHeight="251658243" behindDoc="0" locked="0" layoutInCell="1" allowOverlap="1" wp14:anchorId="36EEE43E" wp14:editId="77D4E4EC">
            <wp:simplePos x="0" y="0"/>
            <wp:positionH relativeFrom="column">
              <wp:posOffset>4259580</wp:posOffset>
            </wp:positionH>
            <wp:positionV relativeFrom="paragraph">
              <wp:posOffset>5397558</wp:posOffset>
            </wp:positionV>
            <wp:extent cx="1851660" cy="1115358"/>
            <wp:effectExtent l="0" t="0" r="2540" b="2540"/>
            <wp:wrapNone/>
            <wp:docPr id="912648620" name="Picture 10" descr="Equity Econom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648620" name="Picture 10" descr="Equity Economics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5821" cy="1117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C94">
        <w:rPr>
          <w:rFonts w:cstheme="minorHAnsi"/>
          <w:noProof/>
        </w:rPr>
        <w:drawing>
          <wp:anchor distT="0" distB="0" distL="114300" distR="114300" simplePos="0" relativeHeight="251658241" behindDoc="1" locked="0" layoutInCell="1" allowOverlap="1" wp14:anchorId="66D49497" wp14:editId="440040F7">
            <wp:simplePos x="0" y="0"/>
            <wp:positionH relativeFrom="column">
              <wp:posOffset>49530</wp:posOffset>
            </wp:positionH>
            <wp:positionV relativeFrom="paragraph">
              <wp:posOffset>6045200</wp:posOffset>
            </wp:positionV>
            <wp:extent cx="3054769" cy="381000"/>
            <wp:effectExtent l="0" t="0" r="0" b="0"/>
            <wp:wrapNone/>
            <wp:docPr id="318799491" name="Picture 11" descr="Clear Horizon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799491" name="Picture 11" descr="Clear Horizon logo">
                      <a:extLst>
                        <a:ext uri="{C183D7F6-B498-43B3-948B-1728B52AA6E4}">
                          <adec:decorative xmlns:adec="http://schemas.microsoft.com/office/drawing/2017/decorative" val="0"/>
                        </a:ext>
                      </a:extLst>
                    </pic:cNvPr>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0" y="0"/>
                      <a:ext cx="3054769" cy="381000"/>
                    </a:xfrm>
                    <a:prstGeom prst="rect">
                      <a:avLst/>
                    </a:prstGeom>
                  </pic:spPr>
                </pic:pic>
              </a:graphicData>
            </a:graphic>
            <wp14:sizeRelH relativeFrom="margin">
              <wp14:pctWidth>0</wp14:pctWidth>
            </wp14:sizeRelH>
            <wp14:sizeRelV relativeFrom="margin">
              <wp14:pctHeight>0</wp14:pctHeight>
            </wp14:sizeRelV>
          </wp:anchor>
        </w:drawing>
      </w:r>
      <w:r w:rsidR="005209F0" w:rsidRPr="00530B2E">
        <w:rPr>
          <w:rFonts w:cstheme="minorHAnsi"/>
        </w:rPr>
        <w:br w:type="page"/>
      </w:r>
    </w:p>
    <w:p w14:paraId="167BF2C0" w14:textId="050876E2" w:rsidR="0096564D" w:rsidRPr="00530B2E" w:rsidRDefault="0096564D" w:rsidP="00530B2E">
      <w:pPr>
        <w:pStyle w:val="Subheading"/>
      </w:pPr>
      <w:bookmarkStart w:id="1" w:name="_Toc123726783"/>
      <w:r w:rsidRPr="00530B2E">
        <w:lastRenderedPageBreak/>
        <w:t xml:space="preserve"> Details</w:t>
      </w:r>
      <w:bookmarkEnd w:id="1"/>
      <w:r w:rsidR="002342CE" w:rsidRPr="002342CE">
        <w:t xml:space="preserve"> </w:t>
      </w:r>
    </w:p>
    <w:tbl>
      <w:tblPr>
        <w:tblStyle w:val="TableGrid"/>
        <w:tblW w:w="0" w:type="auto"/>
        <w:tblLook w:val="0620" w:firstRow="1" w:lastRow="0" w:firstColumn="0" w:lastColumn="0" w:noHBand="1" w:noVBand="1"/>
      </w:tblPr>
      <w:tblGrid>
        <w:gridCol w:w="3250"/>
        <w:gridCol w:w="3251"/>
        <w:gridCol w:w="3251"/>
      </w:tblGrid>
      <w:tr w:rsidR="008A2949" w:rsidRPr="00530B2E" w14:paraId="2515A0F8" w14:textId="77777777" w:rsidTr="004B50A8">
        <w:trPr>
          <w:cnfStyle w:val="100000000000" w:firstRow="1" w:lastRow="0" w:firstColumn="0" w:lastColumn="0" w:oddVBand="0" w:evenVBand="0" w:oddHBand="0" w:evenHBand="0" w:firstRowFirstColumn="0" w:firstRowLastColumn="0" w:lastRowFirstColumn="0" w:lastRowLastColumn="0"/>
        </w:trPr>
        <w:tc>
          <w:tcPr>
            <w:tcW w:w="3250" w:type="dxa"/>
          </w:tcPr>
          <w:p w14:paraId="2C1C713D" w14:textId="77777777" w:rsidR="008A2949" w:rsidRPr="00530B2E" w:rsidRDefault="008A2949" w:rsidP="00530B2E">
            <w:r w:rsidRPr="00530B2E">
              <w:t>Clear Horizon Contact</w:t>
            </w:r>
          </w:p>
        </w:tc>
        <w:tc>
          <w:tcPr>
            <w:tcW w:w="3251" w:type="dxa"/>
          </w:tcPr>
          <w:p w14:paraId="73172097" w14:textId="1AA068B8" w:rsidR="004B50A8" w:rsidRDefault="004B50A8" w:rsidP="00530B2E">
            <w:r>
              <w:t>Equity Economics Contact</w:t>
            </w:r>
          </w:p>
        </w:tc>
        <w:tc>
          <w:tcPr>
            <w:tcW w:w="3251" w:type="dxa"/>
          </w:tcPr>
          <w:p w14:paraId="5A31018F" w14:textId="0F63649A" w:rsidR="008A2949" w:rsidRPr="00C305F7" w:rsidRDefault="008A2949" w:rsidP="00530B2E">
            <w:pPr>
              <w:rPr>
                <w:color w:val="CBC3BB" w:themeColor="text2"/>
              </w:rPr>
            </w:pPr>
            <w:r w:rsidRPr="00530B2E">
              <w:t>Client Contact</w:t>
            </w:r>
          </w:p>
        </w:tc>
      </w:tr>
      <w:tr w:rsidR="008A2949" w:rsidRPr="00530B2E" w14:paraId="1AA14935" w14:textId="77777777" w:rsidTr="00C504CB">
        <w:sdt>
          <w:sdtPr>
            <w:rPr>
              <w:rFonts w:ascii="Arial" w:hAnsi="Arial" w:cs="Arial"/>
              <w:color w:val="auto"/>
            </w:rPr>
            <w:alias w:val="CH Contact Name"/>
            <w:tag w:val="CH Contact Name"/>
            <w:id w:val="1063065298"/>
            <w:placeholder>
              <w:docPart w:val="8B54744ACDF9A7469ACD2F1AB59385D7"/>
            </w:placeholder>
          </w:sdtPr>
          <w:sdtEndPr/>
          <w:sdtContent>
            <w:tc>
              <w:tcPr>
                <w:tcW w:w="0" w:type="dxa"/>
              </w:tcPr>
              <w:p w14:paraId="49CD11A6" w14:textId="333329C0" w:rsidR="008A2949" w:rsidRPr="004B50A8" w:rsidRDefault="00F61D86" w:rsidP="000A5C4B">
                <w:pPr>
                  <w:rPr>
                    <w:rFonts w:ascii="Arial" w:hAnsi="Arial" w:cs="Arial"/>
                    <w:color w:val="auto"/>
                  </w:rPr>
                </w:pPr>
                <w:r>
                  <w:rPr>
                    <w:rFonts w:ascii="Arial" w:hAnsi="Arial" w:cs="Arial"/>
                    <w:color w:val="auto"/>
                  </w:rPr>
                  <w:t>So</w:t>
                </w:r>
                <w:r w:rsidR="008D32B0">
                  <w:rPr>
                    <w:rFonts w:ascii="Arial" w:hAnsi="Arial" w:cs="Arial"/>
                    <w:color w:val="auto"/>
                  </w:rPr>
                  <w:t>phie Pinwill</w:t>
                </w:r>
              </w:p>
            </w:tc>
          </w:sdtContent>
        </w:sdt>
        <w:tc>
          <w:tcPr>
            <w:tcW w:w="0" w:type="dxa"/>
          </w:tcPr>
          <w:p w14:paraId="5D5A9C38" w14:textId="26B54E89" w:rsidR="004B50A8" w:rsidRDefault="004B50A8" w:rsidP="009A0B29">
            <w:pPr>
              <w:rPr>
                <w:rFonts w:ascii="Arial" w:hAnsi="Arial" w:cs="Arial"/>
                <w:color w:val="auto"/>
              </w:rPr>
            </w:pPr>
            <w:r>
              <w:rPr>
                <w:rFonts w:ascii="Arial" w:hAnsi="Arial" w:cs="Arial"/>
                <w:color w:val="auto"/>
              </w:rPr>
              <w:t>Amanda Robbins</w:t>
            </w:r>
          </w:p>
        </w:tc>
        <w:sdt>
          <w:sdtPr>
            <w:rPr>
              <w:rFonts w:ascii="Arial" w:hAnsi="Arial" w:cs="Arial"/>
              <w:color w:val="auto"/>
            </w:rPr>
            <w:alias w:val="Client Contact Name"/>
            <w:tag w:val="Client Contact Name"/>
            <w:id w:val="1078630106"/>
            <w:placeholder>
              <w:docPart w:val="B92263D1871A3A49B5838EA44136678F"/>
            </w:placeholder>
          </w:sdtPr>
          <w:sdtEndPr/>
          <w:sdtContent>
            <w:tc>
              <w:tcPr>
                <w:tcW w:w="0" w:type="dxa"/>
              </w:tcPr>
              <w:p w14:paraId="5B2AF90D" w14:textId="30A5A293" w:rsidR="008A2949" w:rsidRPr="000F60E4" w:rsidRDefault="002A0977" w:rsidP="009A0B29">
                <w:pPr>
                  <w:rPr>
                    <w:rFonts w:ascii="Arial" w:hAnsi="Arial" w:cs="Arial"/>
                    <w:color w:val="auto"/>
                  </w:rPr>
                </w:pPr>
                <w:r w:rsidRPr="000F60E4">
                  <w:rPr>
                    <w:rFonts w:ascii="Arial" w:hAnsi="Arial" w:cs="Arial"/>
                    <w:color w:val="auto"/>
                  </w:rPr>
                  <w:t>Heather Randall</w:t>
                </w:r>
              </w:p>
            </w:tc>
          </w:sdtContent>
        </w:sdt>
      </w:tr>
      <w:tr w:rsidR="008A2949" w:rsidRPr="00530B2E" w14:paraId="70A3F818" w14:textId="77777777" w:rsidTr="00C504CB">
        <w:sdt>
          <w:sdtPr>
            <w:rPr>
              <w:rFonts w:ascii="Arial" w:hAnsi="Arial" w:cs="Arial"/>
              <w:color w:val="auto"/>
            </w:rPr>
            <w:alias w:val="CH Contact Job Title"/>
            <w:tag w:val="CH Contact Job Title"/>
            <w:id w:val="-2031946773"/>
            <w:placeholder>
              <w:docPart w:val="56641179E870B045A96251A12E082F0C"/>
            </w:placeholder>
          </w:sdtPr>
          <w:sdtEndPr/>
          <w:sdtContent>
            <w:tc>
              <w:tcPr>
                <w:tcW w:w="0" w:type="dxa"/>
              </w:tcPr>
              <w:p w14:paraId="388235CB" w14:textId="77777777" w:rsidR="008A2949" w:rsidRPr="004B50A8" w:rsidRDefault="000A5C4B" w:rsidP="000A5C4B">
                <w:pPr>
                  <w:rPr>
                    <w:rFonts w:ascii="Arial" w:hAnsi="Arial" w:cs="Arial"/>
                    <w:color w:val="auto"/>
                  </w:rPr>
                </w:pPr>
                <w:r w:rsidRPr="004B50A8">
                  <w:rPr>
                    <w:rFonts w:ascii="Arial" w:hAnsi="Arial" w:cs="Arial"/>
                    <w:color w:val="auto"/>
                  </w:rPr>
                  <w:t>Principal Lead Consultant</w:t>
                </w:r>
              </w:p>
            </w:tc>
          </w:sdtContent>
        </w:sdt>
        <w:tc>
          <w:tcPr>
            <w:tcW w:w="0" w:type="dxa"/>
          </w:tcPr>
          <w:p w14:paraId="7763B36B" w14:textId="49A8ED99" w:rsidR="004B50A8" w:rsidRDefault="004B50A8" w:rsidP="152412E2">
            <w:pPr>
              <w:rPr>
                <w:rFonts w:ascii="Arial" w:hAnsi="Arial" w:cs="Arial"/>
                <w:color w:val="auto"/>
              </w:rPr>
            </w:pPr>
            <w:r>
              <w:rPr>
                <w:rFonts w:ascii="Arial" w:hAnsi="Arial" w:cs="Arial"/>
                <w:color w:val="auto"/>
              </w:rPr>
              <w:t>Managing Director/Founder</w:t>
            </w:r>
          </w:p>
        </w:tc>
        <w:sdt>
          <w:sdtPr>
            <w:rPr>
              <w:rFonts w:ascii="Arial" w:hAnsi="Arial" w:cs="Arial"/>
              <w:color w:val="auto"/>
            </w:rPr>
            <w:alias w:val="Client Contact Job Title"/>
            <w:tag w:val="Client Contact Job Title"/>
            <w:id w:val="1015187297"/>
            <w:placeholder>
              <w:docPart w:val="5C04344B9296834B996F2837EBCD5EB4"/>
            </w:placeholder>
          </w:sdtPr>
          <w:sdtEndPr/>
          <w:sdtContent>
            <w:tc>
              <w:tcPr>
                <w:tcW w:w="0" w:type="dxa"/>
              </w:tcPr>
              <w:p w14:paraId="765687C8" w14:textId="71EB9FF0" w:rsidR="008A2949" w:rsidRPr="000F60E4" w:rsidRDefault="003B7EF5" w:rsidP="152412E2">
                <w:pPr>
                  <w:rPr>
                    <w:rFonts w:ascii="Arial" w:hAnsi="Arial" w:cs="Arial"/>
                  </w:rPr>
                </w:pPr>
                <w:r w:rsidRPr="152412E2">
                  <w:rPr>
                    <w:rFonts w:ascii="Arial" w:hAnsi="Arial" w:cs="Arial"/>
                  </w:rPr>
                  <w:t xml:space="preserve">A/g Director, </w:t>
                </w:r>
                <w:r w:rsidR="00240A5B" w:rsidRPr="152412E2">
                  <w:rPr>
                    <w:rFonts w:ascii="Arial" w:hAnsi="Arial" w:cs="Arial"/>
                  </w:rPr>
                  <w:t>Economic Policy and Partnerships Section</w:t>
                </w:r>
              </w:p>
            </w:tc>
          </w:sdtContent>
        </w:sdt>
      </w:tr>
      <w:tr w:rsidR="008A2949" w:rsidRPr="00530B2E" w14:paraId="017BB2B8" w14:textId="77777777" w:rsidTr="00C504CB">
        <w:tc>
          <w:tcPr>
            <w:tcW w:w="0" w:type="dxa"/>
          </w:tcPr>
          <w:p w14:paraId="5D71950C" w14:textId="77777777" w:rsidR="008A2949" w:rsidRPr="004B50A8" w:rsidRDefault="004D61A4" w:rsidP="00530B2E">
            <w:pPr>
              <w:rPr>
                <w:rFonts w:ascii="Arial" w:hAnsi="Arial" w:cs="Arial"/>
                <w:color w:val="auto"/>
              </w:rPr>
            </w:pPr>
            <w:r w:rsidRPr="004B50A8">
              <w:rPr>
                <w:rFonts w:ascii="Arial" w:hAnsi="Arial" w:cs="Arial"/>
                <w:color w:val="auto"/>
              </w:rPr>
              <w:t>Clear Horizon Consulting</w:t>
            </w:r>
          </w:p>
        </w:tc>
        <w:tc>
          <w:tcPr>
            <w:tcW w:w="0" w:type="dxa"/>
          </w:tcPr>
          <w:p w14:paraId="23AE8352" w14:textId="1B6D7FC7" w:rsidR="004B50A8" w:rsidRDefault="004B50A8" w:rsidP="009A0B29">
            <w:pPr>
              <w:rPr>
                <w:rFonts w:ascii="Arial" w:hAnsi="Arial" w:cs="Arial"/>
                <w:color w:val="auto"/>
              </w:rPr>
            </w:pPr>
            <w:r>
              <w:rPr>
                <w:rFonts w:ascii="Arial" w:hAnsi="Arial" w:cs="Arial"/>
                <w:color w:val="auto"/>
              </w:rPr>
              <w:t>Equity Economics</w:t>
            </w:r>
          </w:p>
        </w:tc>
        <w:sdt>
          <w:sdtPr>
            <w:rPr>
              <w:rFonts w:ascii="Arial" w:hAnsi="Arial" w:cs="Arial"/>
              <w:color w:val="auto"/>
            </w:rPr>
            <w:alias w:val="Client Company Name"/>
            <w:tag w:val="Client Company Name"/>
            <w:id w:val="772517273"/>
            <w:placeholder>
              <w:docPart w:val="C4A5F86C6D48DA46A3A0011749516258"/>
            </w:placeholder>
          </w:sdtPr>
          <w:sdtEndPr/>
          <w:sdtContent>
            <w:tc>
              <w:tcPr>
                <w:tcW w:w="0" w:type="dxa"/>
              </w:tcPr>
              <w:p w14:paraId="696FCF97" w14:textId="0F00905A" w:rsidR="008A2949" w:rsidRPr="000F60E4" w:rsidRDefault="009A0B29" w:rsidP="009A0B29">
                <w:pPr>
                  <w:rPr>
                    <w:rFonts w:ascii="Arial" w:hAnsi="Arial" w:cs="Arial"/>
                    <w:color w:val="auto"/>
                  </w:rPr>
                </w:pPr>
                <w:r w:rsidRPr="000F60E4">
                  <w:rPr>
                    <w:rFonts w:ascii="Arial" w:hAnsi="Arial" w:cs="Arial"/>
                    <w:color w:val="auto"/>
                  </w:rPr>
                  <w:t>Department of Foreign Affairs and Trade</w:t>
                </w:r>
              </w:p>
            </w:tc>
          </w:sdtContent>
        </w:sdt>
      </w:tr>
      <w:tr w:rsidR="008A2949" w:rsidRPr="00530B2E" w14:paraId="5BF9B929" w14:textId="77777777" w:rsidTr="00C504CB">
        <w:tc>
          <w:tcPr>
            <w:tcW w:w="0" w:type="dxa"/>
          </w:tcPr>
          <w:p w14:paraId="0183EEAD" w14:textId="77777777" w:rsidR="008A2949" w:rsidRPr="004B50A8" w:rsidRDefault="004D61A4" w:rsidP="00530B2E">
            <w:pPr>
              <w:rPr>
                <w:rFonts w:ascii="Arial" w:hAnsi="Arial" w:cs="Arial"/>
                <w:color w:val="auto"/>
              </w:rPr>
            </w:pPr>
            <w:r w:rsidRPr="004B50A8">
              <w:rPr>
                <w:rFonts w:ascii="Arial" w:hAnsi="Arial" w:cs="Arial"/>
                <w:color w:val="auto"/>
              </w:rPr>
              <w:t>132B Gwynne St, Cremorne VIC 3121</w:t>
            </w:r>
          </w:p>
        </w:tc>
        <w:tc>
          <w:tcPr>
            <w:tcW w:w="0" w:type="dxa"/>
          </w:tcPr>
          <w:p w14:paraId="5CB045ED" w14:textId="77777777" w:rsidR="004B50A8" w:rsidRPr="004B50A8" w:rsidRDefault="004B50A8" w:rsidP="004B50A8">
            <w:pPr>
              <w:rPr>
                <w:rFonts w:ascii="Arial" w:hAnsi="Arial" w:cs="Arial"/>
                <w:color w:val="auto"/>
              </w:rPr>
            </w:pPr>
            <w:r w:rsidRPr="004B50A8">
              <w:rPr>
                <w:rFonts w:ascii="Arial" w:hAnsi="Arial" w:cs="Arial"/>
                <w:color w:val="auto"/>
              </w:rPr>
              <w:t>18 - 26 Vista Ave</w:t>
            </w:r>
          </w:p>
          <w:p w14:paraId="4942DBFD" w14:textId="7177838A" w:rsidR="004B50A8" w:rsidRPr="004B50A8" w:rsidRDefault="004B50A8" w:rsidP="004B50A8">
            <w:pPr>
              <w:rPr>
                <w:rFonts w:ascii="Arial" w:hAnsi="Arial" w:cs="Arial"/>
                <w:color w:val="auto"/>
              </w:rPr>
            </w:pPr>
            <w:r w:rsidRPr="004B50A8">
              <w:rPr>
                <w:rFonts w:ascii="Arial" w:hAnsi="Arial" w:cs="Arial"/>
                <w:color w:val="auto"/>
              </w:rPr>
              <w:t>Skye South Australia 5072</w:t>
            </w:r>
          </w:p>
        </w:tc>
        <w:sdt>
          <w:sdtPr>
            <w:rPr>
              <w:rFonts w:ascii="Arial" w:hAnsi="Arial" w:cs="Arial"/>
              <w:color w:val="auto"/>
            </w:rPr>
            <w:alias w:val="Client Address"/>
            <w:tag w:val="Client Address"/>
            <w:id w:val="-1002738499"/>
            <w:placeholder>
              <w:docPart w:val="8B0D54CAD6C0DE4389BCF68962F5C3BC"/>
            </w:placeholder>
          </w:sdtPr>
          <w:sdtEndPr/>
          <w:sdtContent>
            <w:tc>
              <w:tcPr>
                <w:tcW w:w="0" w:type="dxa"/>
              </w:tcPr>
              <w:p w14:paraId="3D680E4F" w14:textId="1B81450E" w:rsidR="008A2949" w:rsidRPr="000F60E4" w:rsidRDefault="009A0B29" w:rsidP="009A0B29">
                <w:pPr>
                  <w:rPr>
                    <w:rFonts w:ascii="Arial" w:hAnsi="Arial" w:cs="Arial"/>
                    <w:color w:val="auto"/>
                  </w:rPr>
                </w:pPr>
                <w:r w:rsidRPr="000F60E4">
                  <w:rPr>
                    <w:rFonts w:ascii="Arial" w:hAnsi="Arial" w:cs="Arial"/>
                    <w:color w:val="auto"/>
                  </w:rPr>
                  <w:t>225 London Circuit, Canberra ACT 2602</w:t>
                </w:r>
              </w:p>
            </w:tc>
          </w:sdtContent>
        </w:sdt>
      </w:tr>
      <w:tr w:rsidR="008A2949" w:rsidRPr="00530B2E" w14:paraId="4CE4389D" w14:textId="77777777" w:rsidTr="00C504CB">
        <w:tc>
          <w:tcPr>
            <w:tcW w:w="0" w:type="dxa"/>
          </w:tcPr>
          <w:p w14:paraId="16413DED" w14:textId="77777777" w:rsidR="008A2949" w:rsidRPr="004B50A8" w:rsidRDefault="004D61A4" w:rsidP="00530B2E">
            <w:pPr>
              <w:rPr>
                <w:rFonts w:ascii="Arial" w:hAnsi="Arial" w:cs="Arial"/>
                <w:color w:val="auto"/>
              </w:rPr>
            </w:pPr>
            <w:r w:rsidRPr="004B50A8">
              <w:rPr>
                <w:rFonts w:ascii="Arial" w:hAnsi="Arial" w:cs="Arial"/>
                <w:color w:val="auto"/>
              </w:rPr>
              <w:t>P: (03) 9425 7777</w:t>
            </w:r>
          </w:p>
        </w:tc>
        <w:tc>
          <w:tcPr>
            <w:tcW w:w="0" w:type="dxa"/>
          </w:tcPr>
          <w:p w14:paraId="45DE7683" w14:textId="4DA7A722" w:rsidR="004B50A8" w:rsidRDefault="004B50A8" w:rsidP="009A0B29">
            <w:pPr>
              <w:rPr>
                <w:rFonts w:ascii="Arial" w:hAnsi="Arial" w:cs="Arial"/>
                <w:color w:val="auto"/>
              </w:rPr>
            </w:pPr>
            <w:r>
              <w:rPr>
                <w:rFonts w:ascii="Arial" w:hAnsi="Arial" w:cs="Arial"/>
                <w:color w:val="auto"/>
              </w:rPr>
              <w:t>P: 0</w:t>
            </w:r>
            <w:r w:rsidRPr="004B50A8">
              <w:rPr>
                <w:rFonts w:ascii="Arial" w:hAnsi="Arial" w:cs="Arial"/>
                <w:color w:val="auto"/>
              </w:rPr>
              <w:t>405 790 883</w:t>
            </w:r>
          </w:p>
        </w:tc>
        <w:tc>
          <w:tcPr>
            <w:tcW w:w="0" w:type="dxa"/>
          </w:tcPr>
          <w:p w14:paraId="5FF17361" w14:textId="1A017B28" w:rsidR="008A2949" w:rsidRPr="000F60E4" w:rsidRDefault="004D61A4" w:rsidP="009A0B29">
            <w:pPr>
              <w:rPr>
                <w:rFonts w:ascii="Arial" w:hAnsi="Arial" w:cs="Arial"/>
                <w:color w:val="auto"/>
              </w:rPr>
            </w:pPr>
            <w:r w:rsidRPr="000F60E4">
              <w:rPr>
                <w:rFonts w:ascii="Arial" w:hAnsi="Arial" w:cs="Arial"/>
                <w:color w:val="auto"/>
              </w:rPr>
              <w:t xml:space="preserve">P: </w:t>
            </w:r>
            <w:sdt>
              <w:sdtPr>
                <w:rPr>
                  <w:rFonts w:ascii="Arial" w:hAnsi="Arial" w:cs="Arial"/>
                  <w:color w:val="auto"/>
                </w:rPr>
                <w:alias w:val="Client Phone"/>
                <w:tag w:val="Client Phone"/>
                <w:id w:val="253560692"/>
                <w:placeholder>
                  <w:docPart w:val="BA50CE6F7ACDE444ADCF90FF845A34B6"/>
                </w:placeholder>
              </w:sdtPr>
              <w:sdtEndPr/>
              <w:sdtContent>
                <w:r w:rsidR="00973DAB" w:rsidRPr="00973DAB">
                  <w:rPr>
                    <w:rFonts w:ascii="Arial" w:hAnsi="Arial" w:cs="Arial"/>
                    <w:color w:val="auto"/>
                  </w:rPr>
                  <w:t>0403 180 450</w:t>
                </w:r>
              </w:sdtContent>
            </w:sdt>
          </w:p>
        </w:tc>
      </w:tr>
      <w:tr w:rsidR="004D61A4" w:rsidRPr="00530B2E" w14:paraId="35D27554" w14:textId="77777777" w:rsidTr="00C504CB">
        <w:tc>
          <w:tcPr>
            <w:tcW w:w="0" w:type="dxa"/>
          </w:tcPr>
          <w:p w14:paraId="6A5CB9D9" w14:textId="053F9951" w:rsidR="004D61A4" w:rsidRPr="004B50A8" w:rsidRDefault="004D61A4" w:rsidP="000A5C4B">
            <w:pPr>
              <w:rPr>
                <w:rFonts w:ascii="Arial" w:hAnsi="Arial" w:cs="Arial"/>
                <w:color w:val="auto"/>
              </w:rPr>
            </w:pPr>
            <w:r w:rsidRPr="004B50A8">
              <w:rPr>
                <w:rFonts w:ascii="Arial" w:hAnsi="Arial" w:cs="Arial"/>
                <w:color w:val="auto"/>
              </w:rPr>
              <w:t xml:space="preserve">E: </w:t>
            </w:r>
            <w:sdt>
              <w:sdtPr>
                <w:rPr>
                  <w:rFonts w:ascii="Arial" w:hAnsi="Arial" w:cs="Arial"/>
                  <w:color w:val="auto"/>
                </w:rPr>
                <w:id w:val="-1452019078"/>
                <w:placeholder>
                  <w:docPart w:val="156AE31524187F48AAEADFE517B15853"/>
                </w:placeholder>
              </w:sdtPr>
              <w:sdtEndPr/>
              <w:sdtContent>
                <w:r w:rsidR="008D32B0">
                  <w:rPr>
                    <w:rFonts w:ascii="Arial" w:hAnsi="Arial" w:cs="Arial"/>
                    <w:color w:val="auto"/>
                  </w:rPr>
                  <w:t>sophie</w:t>
                </w:r>
              </w:sdtContent>
            </w:sdt>
            <w:r w:rsidRPr="004B50A8">
              <w:rPr>
                <w:rFonts w:ascii="Arial" w:hAnsi="Arial" w:cs="Arial"/>
                <w:color w:val="auto"/>
              </w:rPr>
              <w:t>@clearhorizon.com.au</w:t>
            </w:r>
          </w:p>
        </w:tc>
        <w:tc>
          <w:tcPr>
            <w:tcW w:w="0" w:type="dxa"/>
          </w:tcPr>
          <w:p w14:paraId="637AD93C" w14:textId="1A780054" w:rsidR="004B50A8" w:rsidRDefault="004B50A8" w:rsidP="009A0B29">
            <w:r>
              <w:t xml:space="preserve">E: </w:t>
            </w:r>
            <w:hyperlink r:id="rId14" w:tgtFrame="_blank" w:history="1">
              <w:proofErr w:type="gramStart"/>
              <w:r w:rsidRPr="004B50A8">
                <w:rPr>
                  <w:rStyle w:val="Hyperlink"/>
                </w:rPr>
                <w:t>amanda.robbins</w:t>
              </w:r>
              <w:proofErr w:type="gramEnd"/>
              <w:r>
                <w:rPr>
                  <w:rStyle w:val="Hyperlink"/>
                </w:rPr>
                <w:t xml:space="preserve"> </w:t>
              </w:r>
              <w:r w:rsidRPr="004B50A8">
                <w:rPr>
                  <w:rStyle w:val="Hyperlink"/>
                </w:rPr>
                <w:t>@equityeconomics.com.au</w:t>
              </w:r>
            </w:hyperlink>
          </w:p>
        </w:tc>
        <w:tc>
          <w:tcPr>
            <w:tcW w:w="0" w:type="dxa"/>
          </w:tcPr>
          <w:p w14:paraId="0252995F" w14:textId="2E829AD6" w:rsidR="004D61A4" w:rsidRPr="000F60E4" w:rsidRDefault="004D61A4" w:rsidP="009A0B29">
            <w:pPr>
              <w:rPr>
                <w:rFonts w:ascii="Arial" w:hAnsi="Arial" w:cs="Arial"/>
                <w:color w:val="auto"/>
              </w:rPr>
            </w:pPr>
            <w:hyperlink r:id="rId15">
              <w:r w:rsidRPr="000F60E4">
                <w:rPr>
                  <w:rFonts w:ascii="Arial" w:hAnsi="Arial" w:cs="Arial"/>
                  <w:color w:val="auto"/>
                </w:rPr>
                <w:t>E:</w:t>
              </w:r>
            </w:hyperlink>
            <w:r w:rsidRPr="000F60E4">
              <w:rPr>
                <w:rFonts w:ascii="Arial" w:hAnsi="Arial" w:cs="Arial"/>
                <w:color w:val="auto"/>
              </w:rPr>
              <w:t xml:space="preserve"> </w:t>
            </w:r>
            <w:sdt>
              <w:sdtPr>
                <w:rPr>
                  <w:rFonts w:ascii="Arial" w:hAnsi="Arial" w:cs="Arial"/>
                  <w:color w:val="auto"/>
                </w:rPr>
                <w:alias w:val="Client Email"/>
                <w:tag w:val="Client Email"/>
                <w:id w:val="1160807810"/>
                <w:placeholder>
                  <w:docPart w:val="AADBFAAE75A17243A3A3FFD84475A9D8"/>
                </w:placeholder>
              </w:sdtPr>
              <w:sdtEndPr/>
              <w:sdtContent>
                <w:r w:rsidR="00813C8D" w:rsidRPr="000F60E4">
                  <w:rPr>
                    <w:rFonts w:ascii="Arial" w:hAnsi="Arial" w:cs="Arial"/>
                    <w:color w:val="auto"/>
                  </w:rPr>
                  <w:t>Heather</w:t>
                </w:r>
                <w:r w:rsidR="00584B8D" w:rsidRPr="000F60E4">
                  <w:rPr>
                    <w:rFonts w:ascii="Arial" w:hAnsi="Arial" w:cs="Arial"/>
                    <w:color w:val="auto"/>
                  </w:rPr>
                  <w:t>.</w:t>
                </w:r>
                <w:r w:rsidR="00813C8D" w:rsidRPr="000F60E4">
                  <w:rPr>
                    <w:rFonts w:ascii="Arial" w:hAnsi="Arial" w:cs="Arial"/>
                    <w:color w:val="auto"/>
                  </w:rPr>
                  <w:t>Randall</w:t>
                </w:r>
                <w:r w:rsidR="00584B8D" w:rsidRPr="000F60E4">
                  <w:rPr>
                    <w:rFonts w:ascii="Arial" w:hAnsi="Arial" w:cs="Arial"/>
                    <w:color w:val="auto"/>
                  </w:rPr>
                  <w:t>@dfat.gov.au</w:t>
                </w:r>
              </w:sdtContent>
            </w:sdt>
          </w:p>
        </w:tc>
      </w:tr>
    </w:tbl>
    <w:p w14:paraId="65EBEA9D" w14:textId="77777777" w:rsidR="0096564D" w:rsidRPr="00530B2E" w:rsidRDefault="0096564D" w:rsidP="00530B2E">
      <w:pPr>
        <w:rPr>
          <w:rFonts w:cstheme="minorHAnsi"/>
        </w:rPr>
      </w:pPr>
    </w:p>
    <w:p w14:paraId="26946460" w14:textId="77777777" w:rsidR="0096564D" w:rsidRPr="00530B2E" w:rsidRDefault="0096564D" w:rsidP="00530B2E">
      <w:pPr>
        <w:pStyle w:val="Subheading"/>
      </w:pPr>
      <w:r w:rsidRPr="00530B2E">
        <w:t>Document Review and Authorisation</w:t>
      </w:r>
    </w:p>
    <w:tbl>
      <w:tblPr>
        <w:tblStyle w:val="TableGrid"/>
        <w:tblW w:w="0" w:type="auto"/>
        <w:tblLook w:val="0620" w:firstRow="1" w:lastRow="0" w:firstColumn="0" w:lastColumn="0" w:noHBand="1" w:noVBand="1"/>
      </w:tblPr>
      <w:tblGrid>
        <w:gridCol w:w="1984"/>
        <w:gridCol w:w="2269"/>
        <w:gridCol w:w="1701"/>
        <w:gridCol w:w="3798"/>
      </w:tblGrid>
      <w:tr w:rsidR="008A2949" w:rsidRPr="00530B2E" w14:paraId="49953882" w14:textId="77777777" w:rsidTr="00FD09C0">
        <w:trPr>
          <w:cnfStyle w:val="100000000000" w:firstRow="1" w:lastRow="0" w:firstColumn="0" w:lastColumn="0" w:oddVBand="0" w:evenVBand="0" w:oddHBand="0" w:evenHBand="0" w:firstRowFirstColumn="0" w:firstRowLastColumn="0" w:lastRowFirstColumn="0" w:lastRowLastColumn="0"/>
        </w:trPr>
        <w:tc>
          <w:tcPr>
            <w:tcW w:w="1984" w:type="dxa"/>
          </w:tcPr>
          <w:p w14:paraId="25DB7A76" w14:textId="77777777" w:rsidR="008A2949" w:rsidRPr="00530B2E" w:rsidRDefault="008A2949" w:rsidP="00530B2E">
            <w:r w:rsidRPr="00530B2E">
              <w:t>Version</w:t>
            </w:r>
          </w:p>
        </w:tc>
        <w:tc>
          <w:tcPr>
            <w:tcW w:w="2269" w:type="dxa"/>
          </w:tcPr>
          <w:p w14:paraId="6FF5D48F" w14:textId="77777777" w:rsidR="008A2949" w:rsidRPr="00530B2E" w:rsidRDefault="008A2949" w:rsidP="00530B2E">
            <w:r w:rsidRPr="00530B2E">
              <w:t>Date Distributed</w:t>
            </w:r>
          </w:p>
        </w:tc>
        <w:tc>
          <w:tcPr>
            <w:tcW w:w="1701" w:type="dxa"/>
          </w:tcPr>
          <w:p w14:paraId="44E86E08" w14:textId="77777777" w:rsidR="008A2949" w:rsidRPr="00530B2E" w:rsidRDefault="008A2949" w:rsidP="00530B2E">
            <w:r w:rsidRPr="00530B2E">
              <w:t>Issued to</w:t>
            </w:r>
          </w:p>
        </w:tc>
        <w:tc>
          <w:tcPr>
            <w:tcW w:w="3798" w:type="dxa"/>
          </w:tcPr>
          <w:p w14:paraId="23D1FAF4" w14:textId="77777777" w:rsidR="008A2949" w:rsidRPr="00530B2E" w:rsidRDefault="008A2949" w:rsidP="00530B2E">
            <w:r w:rsidRPr="00530B2E">
              <w:t>Comments</w:t>
            </w:r>
          </w:p>
        </w:tc>
      </w:tr>
      <w:tr w:rsidR="008A2949" w:rsidRPr="00530B2E" w14:paraId="6E604CB4" w14:textId="77777777" w:rsidTr="00C504CB">
        <w:sdt>
          <w:sdtPr>
            <w:rPr>
              <w:rFonts w:ascii="Arial" w:hAnsi="Arial" w:cs="Arial"/>
              <w:color w:val="auto"/>
              <w:highlight w:val="yellow"/>
            </w:rPr>
            <w:id w:val="-1633475865"/>
            <w:placeholder>
              <w:docPart w:val="CAB51D376FB6D44DB6729240507D52D5"/>
            </w:placeholder>
          </w:sdtPr>
          <w:sdtEndPr/>
          <w:sdtContent>
            <w:tc>
              <w:tcPr>
                <w:tcW w:w="0" w:type="dxa"/>
              </w:tcPr>
              <w:p w14:paraId="7CA5B335" w14:textId="0FF86C47" w:rsidR="008A2949" w:rsidRPr="00584B8D" w:rsidRDefault="00795216" w:rsidP="00795216">
                <w:pPr>
                  <w:rPr>
                    <w:rFonts w:ascii="Arial" w:hAnsi="Arial" w:cs="Arial"/>
                    <w:color w:val="auto"/>
                    <w:highlight w:val="yellow"/>
                  </w:rPr>
                </w:pPr>
                <w:r w:rsidRPr="00D34181">
                  <w:rPr>
                    <w:rFonts w:ascii="Arial" w:hAnsi="Arial" w:cs="Arial"/>
                    <w:color w:val="auto"/>
                  </w:rPr>
                  <w:t>Version 1.0</w:t>
                </w:r>
              </w:p>
            </w:tc>
          </w:sdtContent>
        </w:sdt>
        <w:tc>
          <w:tcPr>
            <w:tcW w:w="0" w:type="dxa"/>
          </w:tcPr>
          <w:p w14:paraId="7BD8EC3D" w14:textId="24E8F41B" w:rsidR="008A2949" w:rsidRPr="00584B8D" w:rsidRDefault="00F61D86" w:rsidP="00A81AFB">
            <w:pPr>
              <w:rPr>
                <w:rFonts w:ascii="Arial" w:hAnsi="Arial" w:cs="Arial"/>
                <w:color w:val="auto"/>
                <w:highlight w:val="yellow"/>
              </w:rPr>
            </w:pPr>
            <w:r w:rsidRPr="00F61D86">
              <w:rPr>
                <w:rFonts w:ascii="Arial" w:hAnsi="Arial" w:cs="Arial"/>
                <w:color w:val="auto"/>
              </w:rPr>
              <w:t>10</w:t>
            </w:r>
            <w:r w:rsidR="00D34181" w:rsidRPr="00F61D86">
              <w:rPr>
                <w:rFonts w:ascii="Arial" w:hAnsi="Arial" w:cs="Arial"/>
                <w:color w:val="auto"/>
              </w:rPr>
              <w:t>/3/2025</w:t>
            </w:r>
          </w:p>
        </w:tc>
        <w:tc>
          <w:tcPr>
            <w:tcW w:w="0" w:type="dxa"/>
          </w:tcPr>
          <w:p w14:paraId="4BEBE741" w14:textId="03024BB5" w:rsidR="008A2949" w:rsidRPr="00584B8D" w:rsidRDefault="0014003C" w:rsidP="00530B2E">
            <w:pPr>
              <w:rPr>
                <w:rFonts w:ascii="Arial" w:hAnsi="Arial" w:cs="Arial"/>
                <w:color w:val="auto"/>
                <w:highlight w:val="yellow"/>
              </w:rPr>
            </w:pPr>
            <w:r w:rsidRPr="008D32B0">
              <w:rPr>
                <w:rFonts w:ascii="Arial" w:hAnsi="Arial" w:cs="Arial"/>
                <w:color w:val="auto"/>
              </w:rPr>
              <w:t>DFAT</w:t>
            </w:r>
          </w:p>
        </w:tc>
        <w:tc>
          <w:tcPr>
            <w:tcW w:w="0" w:type="dxa"/>
          </w:tcPr>
          <w:p w14:paraId="341395A3" w14:textId="0CA645FF" w:rsidR="008A2949" w:rsidRPr="00584B8D" w:rsidRDefault="00A81AFB" w:rsidP="00530B2E">
            <w:pPr>
              <w:rPr>
                <w:rFonts w:ascii="Arial" w:hAnsi="Arial" w:cs="Arial"/>
                <w:color w:val="auto"/>
                <w:highlight w:val="yellow"/>
              </w:rPr>
            </w:pPr>
            <w:r w:rsidRPr="008D32B0">
              <w:rPr>
                <w:rFonts w:ascii="Arial" w:hAnsi="Arial" w:cs="Arial"/>
                <w:color w:val="auto"/>
              </w:rPr>
              <w:t xml:space="preserve">Consolidated feedback to be provided by </w:t>
            </w:r>
            <w:r w:rsidR="00261C92">
              <w:rPr>
                <w:rFonts w:ascii="Arial" w:hAnsi="Arial" w:cs="Arial"/>
                <w:color w:val="auto"/>
              </w:rPr>
              <w:t>22</w:t>
            </w:r>
            <w:r w:rsidR="00D34181" w:rsidRPr="008D32B0">
              <w:rPr>
                <w:rFonts w:ascii="Arial" w:hAnsi="Arial" w:cs="Arial"/>
                <w:color w:val="auto"/>
              </w:rPr>
              <w:t>/3</w:t>
            </w:r>
            <w:r w:rsidR="00D34181" w:rsidRPr="00D34181">
              <w:rPr>
                <w:rFonts w:ascii="Arial" w:hAnsi="Arial" w:cs="Arial"/>
                <w:color w:val="auto"/>
              </w:rPr>
              <w:t>/2025</w:t>
            </w:r>
          </w:p>
        </w:tc>
      </w:tr>
      <w:tr w:rsidR="00F66AC9" w:rsidRPr="00B93DFD" w14:paraId="5B4F1056" w14:textId="77777777" w:rsidTr="00C504CB">
        <w:tc>
          <w:tcPr>
            <w:tcW w:w="0" w:type="dxa"/>
          </w:tcPr>
          <w:p w14:paraId="2A4FA55B" w14:textId="15BD7B03" w:rsidR="00BE5C3D" w:rsidRPr="00B93DFD" w:rsidRDefault="00BE5C3D" w:rsidP="00795216">
            <w:pPr>
              <w:rPr>
                <w:rFonts w:ascii="Arial" w:hAnsi="Arial" w:cs="Arial"/>
                <w:color w:val="auto"/>
              </w:rPr>
            </w:pPr>
            <w:r w:rsidRPr="00B93DFD">
              <w:rPr>
                <w:rFonts w:ascii="Arial" w:hAnsi="Arial" w:cs="Arial"/>
                <w:color w:val="auto"/>
              </w:rPr>
              <w:t>Version 2.0</w:t>
            </w:r>
          </w:p>
        </w:tc>
        <w:tc>
          <w:tcPr>
            <w:tcW w:w="0" w:type="dxa"/>
          </w:tcPr>
          <w:p w14:paraId="4C875000" w14:textId="2B7A79ED" w:rsidR="00F66AC9" w:rsidRPr="00B93DFD" w:rsidRDefault="00BE5C3D" w:rsidP="00A81AFB">
            <w:pPr>
              <w:rPr>
                <w:rFonts w:ascii="Arial" w:hAnsi="Arial" w:cs="Arial"/>
                <w:color w:val="auto"/>
              </w:rPr>
            </w:pPr>
            <w:r w:rsidRPr="00B93DFD">
              <w:t>17/4/2025</w:t>
            </w:r>
            <w:r w:rsidR="006C58BF" w:rsidRPr="00B93DFD">
              <w:fldChar w:fldCharType="begin"/>
            </w:r>
            <w:r w:rsidR="006C58BF" w:rsidRPr="00B93DFD">
              <w:instrText xml:space="preserve"> SAVEDATE  \@ "d/MM/yyyy h:mm am/pm"  \* MERGEFORMAT </w:instrText>
            </w:r>
            <w:r w:rsidR="006C58BF" w:rsidRPr="00B93DFD">
              <w:fldChar w:fldCharType="separate"/>
            </w:r>
            <w:r w:rsidR="00043731">
              <w:rPr>
                <w:noProof/>
              </w:rPr>
              <w:t>13/08/2025 3:52 PM</w:t>
            </w:r>
            <w:r w:rsidR="006C58BF" w:rsidRPr="00B93DFD">
              <w:fldChar w:fldCharType="end"/>
            </w:r>
          </w:p>
        </w:tc>
        <w:tc>
          <w:tcPr>
            <w:tcW w:w="0" w:type="dxa"/>
          </w:tcPr>
          <w:p w14:paraId="7E14F5D3" w14:textId="7F9F38A9" w:rsidR="00F66AC9" w:rsidRPr="00B93DFD" w:rsidRDefault="00BE5C3D" w:rsidP="00530B2E">
            <w:pPr>
              <w:rPr>
                <w:rFonts w:ascii="Arial" w:hAnsi="Arial" w:cs="Arial"/>
                <w:color w:val="auto"/>
              </w:rPr>
            </w:pPr>
            <w:r w:rsidRPr="00B93DFD">
              <w:rPr>
                <w:rFonts w:ascii="Arial" w:hAnsi="Arial" w:cs="Arial"/>
                <w:color w:val="auto"/>
              </w:rPr>
              <w:t>DFAT</w:t>
            </w:r>
          </w:p>
        </w:tc>
        <w:tc>
          <w:tcPr>
            <w:tcW w:w="0" w:type="dxa"/>
          </w:tcPr>
          <w:p w14:paraId="05279A17" w14:textId="708D0099" w:rsidR="00F66AC9" w:rsidRPr="00B93DFD" w:rsidRDefault="00A45158" w:rsidP="00530B2E">
            <w:pPr>
              <w:rPr>
                <w:rFonts w:ascii="Arial" w:hAnsi="Arial" w:cs="Arial"/>
                <w:color w:val="auto"/>
              </w:rPr>
            </w:pPr>
            <w:r w:rsidRPr="00B93DFD">
              <w:rPr>
                <w:rFonts w:ascii="Arial" w:hAnsi="Arial" w:cs="Arial"/>
                <w:color w:val="auto"/>
              </w:rPr>
              <w:t xml:space="preserve">Consolidated feedback provided </w:t>
            </w:r>
            <w:r w:rsidR="00F22EA1" w:rsidRPr="00B93DFD">
              <w:rPr>
                <w:rFonts w:ascii="Arial" w:hAnsi="Arial" w:cs="Arial"/>
                <w:color w:val="auto"/>
              </w:rPr>
              <w:t>9/5/2025</w:t>
            </w:r>
          </w:p>
        </w:tc>
      </w:tr>
      <w:tr w:rsidR="00F22EA1" w:rsidRPr="00530B2E" w14:paraId="58ACDFC7" w14:textId="77777777" w:rsidTr="00C504CB">
        <w:tc>
          <w:tcPr>
            <w:tcW w:w="0" w:type="dxa"/>
          </w:tcPr>
          <w:p w14:paraId="7B3616BA" w14:textId="2719D203" w:rsidR="00F22EA1" w:rsidRPr="00B93DFD" w:rsidRDefault="00F22EA1" w:rsidP="00795216">
            <w:pPr>
              <w:rPr>
                <w:rFonts w:ascii="Arial" w:hAnsi="Arial" w:cs="Arial"/>
                <w:color w:val="auto"/>
              </w:rPr>
            </w:pPr>
            <w:r w:rsidRPr="00B93DFD">
              <w:rPr>
                <w:rFonts w:ascii="Arial" w:hAnsi="Arial" w:cs="Arial"/>
                <w:color w:val="auto"/>
              </w:rPr>
              <w:t>Version 3.0</w:t>
            </w:r>
          </w:p>
        </w:tc>
        <w:tc>
          <w:tcPr>
            <w:tcW w:w="0" w:type="dxa"/>
          </w:tcPr>
          <w:p w14:paraId="6512CE09" w14:textId="6AB8C1CD" w:rsidR="00F22EA1" w:rsidRPr="00B93DFD" w:rsidRDefault="00F22EA1" w:rsidP="00A81AFB">
            <w:r w:rsidRPr="00B93DFD">
              <w:t>1</w:t>
            </w:r>
            <w:r w:rsidR="002B1A5B">
              <w:t>9</w:t>
            </w:r>
            <w:r w:rsidRPr="00B93DFD">
              <w:t>/5/2025</w:t>
            </w:r>
          </w:p>
        </w:tc>
        <w:tc>
          <w:tcPr>
            <w:tcW w:w="0" w:type="dxa"/>
          </w:tcPr>
          <w:p w14:paraId="1D7721D6" w14:textId="5AA116C0" w:rsidR="00F22EA1" w:rsidRPr="00B93DFD" w:rsidRDefault="00F22EA1" w:rsidP="00530B2E">
            <w:pPr>
              <w:rPr>
                <w:rFonts w:ascii="Arial" w:hAnsi="Arial" w:cs="Arial"/>
                <w:color w:val="auto"/>
              </w:rPr>
            </w:pPr>
            <w:r w:rsidRPr="00B93DFD">
              <w:rPr>
                <w:rFonts w:ascii="Arial" w:hAnsi="Arial" w:cs="Arial"/>
                <w:color w:val="auto"/>
              </w:rPr>
              <w:t>DFAT</w:t>
            </w:r>
          </w:p>
        </w:tc>
        <w:tc>
          <w:tcPr>
            <w:tcW w:w="0" w:type="dxa"/>
          </w:tcPr>
          <w:p w14:paraId="7E59DE2A" w14:textId="42034B4F" w:rsidR="00F22EA1" w:rsidRDefault="00F22EA1" w:rsidP="00530B2E">
            <w:pPr>
              <w:rPr>
                <w:rFonts w:ascii="Arial" w:hAnsi="Arial" w:cs="Arial"/>
                <w:color w:val="auto"/>
              </w:rPr>
            </w:pPr>
            <w:r w:rsidRPr="00B93DFD">
              <w:rPr>
                <w:rFonts w:ascii="Arial" w:hAnsi="Arial" w:cs="Arial"/>
                <w:color w:val="auto"/>
              </w:rPr>
              <w:t>Fina</w:t>
            </w:r>
            <w:r w:rsidR="004F4357" w:rsidRPr="00B93DFD">
              <w:rPr>
                <w:rFonts w:ascii="Arial" w:hAnsi="Arial" w:cs="Arial"/>
                <w:color w:val="auto"/>
              </w:rPr>
              <w:t>l</w:t>
            </w:r>
          </w:p>
        </w:tc>
      </w:tr>
    </w:tbl>
    <w:p w14:paraId="561E16DE" w14:textId="77777777" w:rsidR="008A2949" w:rsidRPr="00530B2E" w:rsidRDefault="008A2949" w:rsidP="00530B2E">
      <w:pPr>
        <w:rPr>
          <w:rFonts w:cstheme="minorHAnsi"/>
        </w:rPr>
      </w:pPr>
    </w:p>
    <w:p w14:paraId="5B6022DB" w14:textId="77777777" w:rsidR="0096564D" w:rsidRPr="00530B2E" w:rsidRDefault="0096564D" w:rsidP="00530B2E">
      <w:pPr>
        <w:pStyle w:val="Subheading"/>
      </w:pPr>
      <w:r w:rsidRPr="00530B2E">
        <w:t>Disclaimer</w:t>
      </w:r>
    </w:p>
    <w:p w14:paraId="12260E18" w14:textId="61EB3FBE" w:rsidR="0096564D" w:rsidRDefault="004F3D3F" w:rsidP="00530B2E">
      <w:pPr>
        <w:rPr>
          <w:rFonts w:cstheme="minorHAnsi"/>
        </w:rPr>
      </w:pPr>
      <w:r w:rsidRPr="00530B2E">
        <w:rPr>
          <w:rFonts w:cstheme="minorHAnsi"/>
        </w:rPr>
        <w:t xml:space="preserve">This document has been produced with information supplied to Clear Horizon </w:t>
      </w:r>
      <w:r w:rsidR="000060B3">
        <w:rPr>
          <w:rFonts w:cstheme="minorHAnsi"/>
        </w:rPr>
        <w:t xml:space="preserve">and Equity Economics </w:t>
      </w:r>
      <w:r w:rsidRPr="00530B2E">
        <w:rPr>
          <w:rFonts w:cstheme="minorHAnsi"/>
        </w:rPr>
        <w:t xml:space="preserve">by </w:t>
      </w:r>
      <w:sdt>
        <w:sdtPr>
          <w:rPr>
            <w:rFonts w:cstheme="minorHAnsi"/>
          </w:rPr>
          <w:alias w:val="Company"/>
          <w:tag w:val=""/>
          <w:id w:val="-782957983"/>
          <w:placeholder>
            <w:docPart w:val="E4D76F33B81938458E1DA6D096ED640C"/>
          </w:placeholder>
          <w:dataBinding w:prefixMappings="xmlns:ns0='http://schemas.openxmlformats.org/officeDocument/2006/extended-properties' " w:xpath="/ns0:Properties[1]/ns0:Company[1]" w:storeItemID="{6668398D-A668-4E3E-A5EB-62B293D839F1}"/>
          <w:text/>
        </w:sdtPr>
        <w:sdtEndPr/>
        <w:sdtContent>
          <w:r w:rsidR="001A57E2">
            <w:rPr>
              <w:rFonts w:cstheme="minorHAnsi"/>
            </w:rPr>
            <w:t>DFAT</w:t>
          </w:r>
        </w:sdtContent>
      </w:sdt>
      <w:r w:rsidRPr="00530B2E">
        <w:rPr>
          <w:rFonts w:cstheme="minorHAnsi"/>
        </w:rPr>
        <w:t xml:space="preserve">, including </w:t>
      </w:r>
      <w:sdt>
        <w:sdtPr>
          <w:rPr>
            <w:rFonts w:cstheme="minorHAnsi"/>
          </w:rPr>
          <w:id w:val="-34671083"/>
          <w:placeholder>
            <w:docPart w:val="8394A4BAB14D47EAB9674927FB5ED4B1"/>
          </w:placeholder>
          <w:text/>
        </w:sdtPr>
        <w:sdtEndPr/>
        <w:sdtContent>
          <w:r w:rsidR="009A0B29">
            <w:rPr>
              <w:rFonts w:cstheme="minorHAnsi"/>
            </w:rPr>
            <w:t xml:space="preserve">a document review and interviews with key </w:t>
          </w:r>
          <w:r w:rsidR="00860B4E">
            <w:rPr>
              <w:rFonts w:cstheme="minorHAnsi"/>
            </w:rPr>
            <w:t>p</w:t>
          </w:r>
          <w:r w:rsidR="009A0B29">
            <w:rPr>
              <w:rFonts w:cstheme="minorHAnsi"/>
            </w:rPr>
            <w:t>artnership stakeholders</w:t>
          </w:r>
        </w:sdtContent>
      </w:sdt>
      <w:r w:rsidRPr="00530B2E">
        <w:rPr>
          <w:rFonts w:cstheme="minorHAnsi"/>
        </w:rPr>
        <w:t>. While we make every effort to ensure the accuracy of the information contained in this report, any judgements as to suitability of the information for the client’s purposes are the client’s responsibility. Clear Horizon</w:t>
      </w:r>
      <w:r w:rsidR="0055228B">
        <w:rPr>
          <w:rFonts w:cstheme="minorHAnsi"/>
        </w:rPr>
        <w:t xml:space="preserve"> and Equity Economics</w:t>
      </w:r>
      <w:r w:rsidRPr="00530B2E">
        <w:rPr>
          <w:rFonts w:cstheme="minorHAnsi"/>
        </w:rPr>
        <w:t xml:space="preserve"> extends no warranties and assumes no responsibility as to the suitability of this information or for the consequences of its use.</w:t>
      </w:r>
    </w:p>
    <w:p w14:paraId="20888507" w14:textId="77777777" w:rsidR="00762DCC" w:rsidRPr="00530B2E" w:rsidRDefault="00762DCC" w:rsidP="00762DCC">
      <w:pPr>
        <w:pStyle w:val="Subheading"/>
      </w:pPr>
      <w:r w:rsidRPr="00530B2E">
        <w:t>Acknowledgements</w:t>
      </w:r>
    </w:p>
    <w:p w14:paraId="1E1B834B" w14:textId="32019366" w:rsidR="00762DCC" w:rsidRPr="00530B2E" w:rsidRDefault="00762DCC" w:rsidP="152412E2">
      <w:r w:rsidRPr="152412E2">
        <w:t xml:space="preserve">Clear Horizon Consulting </w:t>
      </w:r>
      <w:r w:rsidR="0055228B">
        <w:t xml:space="preserve">and Equity Economics </w:t>
      </w:r>
      <w:r w:rsidRPr="152412E2">
        <w:t xml:space="preserve">would like to thank all of those who contributed to this review. We would particularly like to thank </w:t>
      </w:r>
      <w:r w:rsidR="00553775">
        <w:t>OTP, PEB and the PRES team</w:t>
      </w:r>
      <w:r w:rsidRPr="152412E2">
        <w:t xml:space="preserve"> for their time, engagement, and openness throughout this review. We also extend gratitude for all those who participated in interviews making informed and valuable contributions.</w:t>
      </w:r>
    </w:p>
    <w:p w14:paraId="58F75CB9" w14:textId="77777777" w:rsidR="0096564D" w:rsidRPr="00530B2E" w:rsidRDefault="0096564D" w:rsidP="00530B2E">
      <w:pPr>
        <w:rPr>
          <w:rFonts w:cstheme="minorHAnsi"/>
        </w:rPr>
      </w:pPr>
      <w:r w:rsidRPr="00530B2E">
        <w:rPr>
          <w:rFonts w:cstheme="minorHAnsi"/>
        </w:rPr>
        <w:br w:type="page"/>
      </w:r>
    </w:p>
    <w:p w14:paraId="24AD1347" w14:textId="77777777" w:rsidR="005209F0" w:rsidRPr="00530B2E" w:rsidRDefault="005209F0" w:rsidP="0038492D">
      <w:pPr>
        <w:pStyle w:val="TOCHeading"/>
        <w:spacing w:after="0"/>
      </w:pPr>
      <w:r w:rsidRPr="00530B2E">
        <w:lastRenderedPageBreak/>
        <w:t>Contents</w:t>
      </w:r>
    </w:p>
    <w:p w14:paraId="2A70C1C8" w14:textId="761F1D55" w:rsidR="00DE2ADD" w:rsidRDefault="00111A6E">
      <w:pPr>
        <w:pStyle w:val="TOC1"/>
        <w:rPr>
          <w:rFonts w:asciiTheme="minorHAnsi" w:eastAsiaTheme="minorEastAsia" w:hAnsiTheme="minorHAnsi"/>
          <w:caps w:val="0"/>
          <w:noProof/>
          <w:color w:val="auto"/>
          <w:kern w:val="2"/>
          <w:szCs w:val="24"/>
          <w:lang w:val="en-US"/>
          <w14:ligatures w14:val="standardContextual"/>
        </w:rPr>
      </w:pPr>
      <w:r w:rsidRPr="00FB7C94">
        <w:fldChar w:fldCharType="begin"/>
      </w:r>
      <w:r w:rsidRPr="00FB7C94">
        <w:instrText xml:space="preserve"> TOC \o "1-2" \h \z \u \t "Heading 8,1,Heading 9,2" </w:instrText>
      </w:r>
      <w:r w:rsidRPr="00FB7C94">
        <w:fldChar w:fldCharType="separate"/>
      </w:r>
      <w:hyperlink w:anchor="_Toc205992543" w:history="1">
        <w:r w:rsidR="00DE2ADD" w:rsidRPr="00F5145B">
          <w:rPr>
            <w:rStyle w:val="Hyperlink"/>
            <w:noProof/>
          </w:rPr>
          <w:t>EXECUTIVE SUMMARY</w:t>
        </w:r>
        <w:r w:rsidR="00DE2ADD">
          <w:rPr>
            <w:noProof/>
            <w:webHidden/>
          </w:rPr>
          <w:tab/>
        </w:r>
        <w:r w:rsidR="00DE2ADD">
          <w:rPr>
            <w:noProof/>
            <w:webHidden/>
          </w:rPr>
          <w:fldChar w:fldCharType="begin"/>
        </w:r>
        <w:r w:rsidR="00DE2ADD">
          <w:rPr>
            <w:noProof/>
            <w:webHidden/>
          </w:rPr>
          <w:instrText xml:space="preserve"> PAGEREF _Toc205992543 \h </w:instrText>
        </w:r>
        <w:r w:rsidR="00DE2ADD">
          <w:rPr>
            <w:noProof/>
            <w:webHidden/>
          </w:rPr>
        </w:r>
        <w:r w:rsidR="00DE2ADD">
          <w:rPr>
            <w:noProof/>
            <w:webHidden/>
          </w:rPr>
          <w:fldChar w:fldCharType="separate"/>
        </w:r>
        <w:r w:rsidR="003640FB">
          <w:rPr>
            <w:noProof/>
            <w:webHidden/>
          </w:rPr>
          <w:t>5</w:t>
        </w:r>
        <w:r w:rsidR="00DE2ADD">
          <w:rPr>
            <w:noProof/>
            <w:webHidden/>
          </w:rPr>
          <w:fldChar w:fldCharType="end"/>
        </w:r>
      </w:hyperlink>
    </w:p>
    <w:p w14:paraId="42C6DD37" w14:textId="20AD159A" w:rsidR="00DE2ADD" w:rsidRDefault="00DE2ADD">
      <w:pPr>
        <w:pStyle w:val="TOC2"/>
        <w:tabs>
          <w:tab w:val="right" w:leader="dot" w:pos="9742"/>
        </w:tabs>
        <w:rPr>
          <w:rFonts w:asciiTheme="minorHAnsi" w:eastAsiaTheme="minorEastAsia" w:hAnsiTheme="minorHAnsi"/>
          <w:noProof/>
          <w:color w:val="auto"/>
          <w:kern w:val="2"/>
          <w:sz w:val="24"/>
          <w:szCs w:val="24"/>
          <w:lang w:val="en-US"/>
          <w14:ligatures w14:val="standardContextual"/>
        </w:rPr>
      </w:pPr>
      <w:hyperlink w:anchor="_Toc205992544" w:history="1">
        <w:r w:rsidRPr="00F5145B">
          <w:rPr>
            <w:rStyle w:val="Hyperlink"/>
            <w:noProof/>
          </w:rPr>
          <w:t>Recommendations</w:t>
        </w:r>
        <w:r>
          <w:rPr>
            <w:noProof/>
            <w:webHidden/>
          </w:rPr>
          <w:tab/>
        </w:r>
        <w:r>
          <w:rPr>
            <w:noProof/>
            <w:webHidden/>
          </w:rPr>
          <w:fldChar w:fldCharType="begin"/>
        </w:r>
        <w:r>
          <w:rPr>
            <w:noProof/>
            <w:webHidden/>
          </w:rPr>
          <w:instrText xml:space="preserve"> PAGEREF _Toc205992544 \h </w:instrText>
        </w:r>
        <w:r>
          <w:rPr>
            <w:noProof/>
            <w:webHidden/>
          </w:rPr>
        </w:r>
        <w:r>
          <w:rPr>
            <w:noProof/>
            <w:webHidden/>
          </w:rPr>
          <w:fldChar w:fldCharType="separate"/>
        </w:r>
        <w:r w:rsidR="003640FB">
          <w:rPr>
            <w:noProof/>
            <w:webHidden/>
          </w:rPr>
          <w:t>9</w:t>
        </w:r>
        <w:r>
          <w:rPr>
            <w:noProof/>
            <w:webHidden/>
          </w:rPr>
          <w:fldChar w:fldCharType="end"/>
        </w:r>
      </w:hyperlink>
    </w:p>
    <w:p w14:paraId="62214C5D" w14:textId="626BA4A3" w:rsidR="00DE2ADD" w:rsidRDefault="00DE2ADD">
      <w:pPr>
        <w:pStyle w:val="TOC1"/>
        <w:rPr>
          <w:rFonts w:asciiTheme="minorHAnsi" w:eastAsiaTheme="minorEastAsia" w:hAnsiTheme="minorHAnsi"/>
          <w:caps w:val="0"/>
          <w:noProof/>
          <w:color w:val="auto"/>
          <w:kern w:val="2"/>
          <w:szCs w:val="24"/>
          <w:lang w:val="en-US"/>
          <w14:ligatures w14:val="standardContextual"/>
        </w:rPr>
      </w:pPr>
      <w:hyperlink w:anchor="_Toc205992545" w:history="1">
        <w:r w:rsidRPr="00F5145B">
          <w:rPr>
            <w:rStyle w:val="Hyperlink"/>
            <w:noProof/>
          </w:rPr>
          <w:t>Introduction</w:t>
        </w:r>
        <w:r>
          <w:rPr>
            <w:noProof/>
            <w:webHidden/>
          </w:rPr>
          <w:tab/>
        </w:r>
        <w:r>
          <w:rPr>
            <w:noProof/>
            <w:webHidden/>
          </w:rPr>
          <w:fldChar w:fldCharType="begin"/>
        </w:r>
        <w:r>
          <w:rPr>
            <w:noProof/>
            <w:webHidden/>
          </w:rPr>
          <w:instrText xml:space="preserve"> PAGEREF _Toc205992545 \h </w:instrText>
        </w:r>
        <w:r>
          <w:rPr>
            <w:noProof/>
            <w:webHidden/>
          </w:rPr>
        </w:r>
        <w:r>
          <w:rPr>
            <w:noProof/>
            <w:webHidden/>
          </w:rPr>
          <w:fldChar w:fldCharType="separate"/>
        </w:r>
        <w:r w:rsidR="003640FB">
          <w:rPr>
            <w:noProof/>
            <w:webHidden/>
          </w:rPr>
          <w:t>11</w:t>
        </w:r>
        <w:r>
          <w:rPr>
            <w:noProof/>
            <w:webHidden/>
          </w:rPr>
          <w:fldChar w:fldCharType="end"/>
        </w:r>
      </w:hyperlink>
    </w:p>
    <w:p w14:paraId="327B6D45" w14:textId="1D47FC67" w:rsidR="00DE2ADD" w:rsidRDefault="00DE2ADD">
      <w:pPr>
        <w:pStyle w:val="TOC1"/>
        <w:rPr>
          <w:rFonts w:asciiTheme="minorHAnsi" w:eastAsiaTheme="minorEastAsia" w:hAnsiTheme="minorHAnsi"/>
          <w:caps w:val="0"/>
          <w:noProof/>
          <w:color w:val="auto"/>
          <w:kern w:val="2"/>
          <w:szCs w:val="24"/>
          <w:lang w:val="en-US"/>
          <w14:ligatures w14:val="standardContextual"/>
        </w:rPr>
      </w:pPr>
      <w:hyperlink w:anchor="_Toc205992546" w:history="1">
        <w:r w:rsidRPr="00F5145B">
          <w:rPr>
            <w:rStyle w:val="Hyperlink"/>
            <w:noProof/>
          </w:rPr>
          <w:t>PRES Structure, governance and deliverables</w:t>
        </w:r>
        <w:r>
          <w:rPr>
            <w:noProof/>
            <w:webHidden/>
          </w:rPr>
          <w:tab/>
        </w:r>
        <w:r>
          <w:rPr>
            <w:noProof/>
            <w:webHidden/>
          </w:rPr>
          <w:fldChar w:fldCharType="begin"/>
        </w:r>
        <w:r>
          <w:rPr>
            <w:noProof/>
            <w:webHidden/>
          </w:rPr>
          <w:instrText xml:space="preserve"> PAGEREF _Toc205992546 \h </w:instrText>
        </w:r>
        <w:r>
          <w:rPr>
            <w:noProof/>
            <w:webHidden/>
          </w:rPr>
        </w:r>
        <w:r>
          <w:rPr>
            <w:noProof/>
            <w:webHidden/>
          </w:rPr>
          <w:fldChar w:fldCharType="separate"/>
        </w:r>
        <w:r w:rsidR="003640FB">
          <w:rPr>
            <w:noProof/>
            <w:webHidden/>
          </w:rPr>
          <w:t>13</w:t>
        </w:r>
        <w:r>
          <w:rPr>
            <w:noProof/>
            <w:webHidden/>
          </w:rPr>
          <w:fldChar w:fldCharType="end"/>
        </w:r>
      </w:hyperlink>
    </w:p>
    <w:p w14:paraId="441BAF9B" w14:textId="4B7C90E7" w:rsidR="00DE2ADD" w:rsidRDefault="00DE2ADD">
      <w:pPr>
        <w:pStyle w:val="TOC1"/>
        <w:rPr>
          <w:rFonts w:asciiTheme="minorHAnsi" w:eastAsiaTheme="minorEastAsia" w:hAnsiTheme="minorHAnsi"/>
          <w:caps w:val="0"/>
          <w:noProof/>
          <w:color w:val="auto"/>
          <w:kern w:val="2"/>
          <w:szCs w:val="24"/>
          <w:lang w:val="en-US"/>
          <w14:ligatures w14:val="standardContextual"/>
        </w:rPr>
      </w:pPr>
      <w:hyperlink w:anchor="_Toc205992547" w:history="1">
        <w:r w:rsidRPr="00F5145B">
          <w:rPr>
            <w:rStyle w:val="Hyperlink"/>
            <w:noProof/>
          </w:rPr>
          <w:t>KRQ1. How effective is PRES and what are the opportunities to improve effectiveness?</w:t>
        </w:r>
        <w:r>
          <w:rPr>
            <w:noProof/>
            <w:webHidden/>
          </w:rPr>
          <w:tab/>
        </w:r>
        <w:r>
          <w:rPr>
            <w:noProof/>
            <w:webHidden/>
          </w:rPr>
          <w:fldChar w:fldCharType="begin"/>
        </w:r>
        <w:r>
          <w:rPr>
            <w:noProof/>
            <w:webHidden/>
          </w:rPr>
          <w:instrText xml:space="preserve"> PAGEREF _Toc205992547 \h </w:instrText>
        </w:r>
        <w:r>
          <w:rPr>
            <w:noProof/>
            <w:webHidden/>
          </w:rPr>
        </w:r>
        <w:r>
          <w:rPr>
            <w:noProof/>
            <w:webHidden/>
          </w:rPr>
          <w:fldChar w:fldCharType="separate"/>
        </w:r>
        <w:r w:rsidR="003640FB">
          <w:rPr>
            <w:noProof/>
            <w:webHidden/>
          </w:rPr>
          <w:t>18</w:t>
        </w:r>
        <w:r>
          <w:rPr>
            <w:noProof/>
            <w:webHidden/>
          </w:rPr>
          <w:fldChar w:fldCharType="end"/>
        </w:r>
      </w:hyperlink>
    </w:p>
    <w:p w14:paraId="752CA858" w14:textId="31043C99" w:rsidR="00DE2ADD" w:rsidRDefault="00DE2ADD">
      <w:pPr>
        <w:pStyle w:val="TOC1"/>
        <w:rPr>
          <w:rFonts w:asciiTheme="minorHAnsi" w:eastAsiaTheme="minorEastAsia" w:hAnsiTheme="minorHAnsi"/>
          <w:caps w:val="0"/>
          <w:noProof/>
          <w:color w:val="auto"/>
          <w:kern w:val="2"/>
          <w:szCs w:val="24"/>
          <w:lang w:val="en-US"/>
          <w14:ligatures w14:val="standardContextual"/>
        </w:rPr>
      </w:pPr>
      <w:hyperlink w:anchor="_Toc205992548" w:history="1">
        <w:r w:rsidRPr="00F5145B">
          <w:rPr>
            <w:rStyle w:val="Hyperlink"/>
            <w:noProof/>
          </w:rPr>
          <w:t>KRQ2. How efficient is PRES and what are the opportunities to improve efficiency?</w:t>
        </w:r>
        <w:r>
          <w:rPr>
            <w:noProof/>
            <w:webHidden/>
          </w:rPr>
          <w:tab/>
        </w:r>
        <w:r>
          <w:rPr>
            <w:noProof/>
            <w:webHidden/>
          </w:rPr>
          <w:fldChar w:fldCharType="begin"/>
        </w:r>
        <w:r>
          <w:rPr>
            <w:noProof/>
            <w:webHidden/>
          </w:rPr>
          <w:instrText xml:space="preserve"> PAGEREF _Toc205992548 \h </w:instrText>
        </w:r>
        <w:r>
          <w:rPr>
            <w:noProof/>
            <w:webHidden/>
          </w:rPr>
        </w:r>
        <w:r>
          <w:rPr>
            <w:noProof/>
            <w:webHidden/>
          </w:rPr>
          <w:fldChar w:fldCharType="separate"/>
        </w:r>
        <w:r w:rsidR="003640FB">
          <w:rPr>
            <w:noProof/>
            <w:webHidden/>
          </w:rPr>
          <w:t>26</w:t>
        </w:r>
        <w:r>
          <w:rPr>
            <w:noProof/>
            <w:webHidden/>
          </w:rPr>
          <w:fldChar w:fldCharType="end"/>
        </w:r>
      </w:hyperlink>
    </w:p>
    <w:p w14:paraId="4D432C68" w14:textId="28311D4E" w:rsidR="00DE2ADD" w:rsidRDefault="00DE2ADD">
      <w:pPr>
        <w:pStyle w:val="TOC1"/>
        <w:rPr>
          <w:rFonts w:asciiTheme="minorHAnsi" w:eastAsiaTheme="minorEastAsia" w:hAnsiTheme="minorHAnsi"/>
          <w:caps w:val="0"/>
          <w:noProof/>
          <w:color w:val="auto"/>
          <w:kern w:val="2"/>
          <w:szCs w:val="24"/>
          <w:lang w:val="en-US"/>
          <w14:ligatures w14:val="standardContextual"/>
        </w:rPr>
      </w:pPr>
      <w:hyperlink w:anchor="_Toc205992549" w:history="1">
        <w:r w:rsidRPr="00F5145B">
          <w:rPr>
            <w:rStyle w:val="Hyperlink"/>
            <w:noProof/>
          </w:rPr>
          <w:t>KRQ3. How relevant is PRES and what are the opportunities to improve relevance?</w:t>
        </w:r>
        <w:r>
          <w:rPr>
            <w:noProof/>
            <w:webHidden/>
          </w:rPr>
          <w:tab/>
        </w:r>
        <w:r>
          <w:rPr>
            <w:noProof/>
            <w:webHidden/>
          </w:rPr>
          <w:fldChar w:fldCharType="begin"/>
        </w:r>
        <w:r>
          <w:rPr>
            <w:noProof/>
            <w:webHidden/>
          </w:rPr>
          <w:instrText xml:space="preserve"> PAGEREF _Toc205992549 \h </w:instrText>
        </w:r>
        <w:r>
          <w:rPr>
            <w:noProof/>
            <w:webHidden/>
          </w:rPr>
        </w:r>
        <w:r>
          <w:rPr>
            <w:noProof/>
            <w:webHidden/>
          </w:rPr>
          <w:fldChar w:fldCharType="separate"/>
        </w:r>
        <w:r w:rsidR="003640FB">
          <w:rPr>
            <w:noProof/>
            <w:webHidden/>
          </w:rPr>
          <w:t>33</w:t>
        </w:r>
        <w:r>
          <w:rPr>
            <w:noProof/>
            <w:webHidden/>
          </w:rPr>
          <w:fldChar w:fldCharType="end"/>
        </w:r>
      </w:hyperlink>
    </w:p>
    <w:p w14:paraId="250B761D" w14:textId="06BB2D57" w:rsidR="00DE2ADD" w:rsidRDefault="00DE2ADD">
      <w:pPr>
        <w:pStyle w:val="TOC1"/>
        <w:rPr>
          <w:rFonts w:asciiTheme="minorHAnsi" w:eastAsiaTheme="minorEastAsia" w:hAnsiTheme="minorHAnsi"/>
          <w:caps w:val="0"/>
          <w:noProof/>
          <w:color w:val="auto"/>
          <w:kern w:val="2"/>
          <w:szCs w:val="24"/>
          <w:lang w:val="en-US"/>
          <w14:ligatures w14:val="standardContextual"/>
        </w:rPr>
      </w:pPr>
      <w:hyperlink w:anchor="_Toc205992550" w:history="1">
        <w:r w:rsidRPr="00F5145B">
          <w:rPr>
            <w:rStyle w:val="Hyperlink"/>
            <w:noProof/>
          </w:rPr>
          <w:t>KRQ4. To what extent did PRES promote GEDSI outcomes?</w:t>
        </w:r>
        <w:r>
          <w:rPr>
            <w:noProof/>
            <w:webHidden/>
          </w:rPr>
          <w:tab/>
        </w:r>
        <w:r>
          <w:rPr>
            <w:noProof/>
            <w:webHidden/>
          </w:rPr>
          <w:fldChar w:fldCharType="begin"/>
        </w:r>
        <w:r>
          <w:rPr>
            <w:noProof/>
            <w:webHidden/>
          </w:rPr>
          <w:instrText xml:space="preserve"> PAGEREF _Toc205992550 \h </w:instrText>
        </w:r>
        <w:r>
          <w:rPr>
            <w:noProof/>
            <w:webHidden/>
          </w:rPr>
        </w:r>
        <w:r>
          <w:rPr>
            <w:noProof/>
            <w:webHidden/>
          </w:rPr>
          <w:fldChar w:fldCharType="separate"/>
        </w:r>
        <w:r w:rsidR="003640FB">
          <w:rPr>
            <w:noProof/>
            <w:webHidden/>
          </w:rPr>
          <w:t>36</w:t>
        </w:r>
        <w:r>
          <w:rPr>
            <w:noProof/>
            <w:webHidden/>
          </w:rPr>
          <w:fldChar w:fldCharType="end"/>
        </w:r>
      </w:hyperlink>
    </w:p>
    <w:p w14:paraId="43BEF254" w14:textId="5247EE0F" w:rsidR="00DE2ADD" w:rsidRDefault="00DE2ADD">
      <w:pPr>
        <w:pStyle w:val="TOC1"/>
        <w:rPr>
          <w:rFonts w:asciiTheme="minorHAnsi" w:eastAsiaTheme="minorEastAsia" w:hAnsiTheme="minorHAnsi"/>
          <w:caps w:val="0"/>
          <w:noProof/>
          <w:color w:val="auto"/>
          <w:kern w:val="2"/>
          <w:szCs w:val="24"/>
          <w:lang w:val="en-US"/>
          <w14:ligatures w14:val="standardContextual"/>
        </w:rPr>
      </w:pPr>
      <w:hyperlink w:anchor="_Toc205992551" w:history="1">
        <w:r w:rsidRPr="00F5145B">
          <w:rPr>
            <w:rStyle w:val="Hyperlink"/>
            <w:noProof/>
          </w:rPr>
          <w:t>KRQ5. Did the program operationalise an effective MEL system that met key stakeholder needs?</w:t>
        </w:r>
        <w:r>
          <w:rPr>
            <w:noProof/>
            <w:webHidden/>
          </w:rPr>
          <w:tab/>
        </w:r>
        <w:r>
          <w:rPr>
            <w:noProof/>
            <w:webHidden/>
          </w:rPr>
          <w:fldChar w:fldCharType="begin"/>
        </w:r>
        <w:r>
          <w:rPr>
            <w:noProof/>
            <w:webHidden/>
          </w:rPr>
          <w:instrText xml:space="preserve"> PAGEREF _Toc205992551 \h </w:instrText>
        </w:r>
        <w:r>
          <w:rPr>
            <w:noProof/>
            <w:webHidden/>
          </w:rPr>
        </w:r>
        <w:r>
          <w:rPr>
            <w:noProof/>
            <w:webHidden/>
          </w:rPr>
          <w:fldChar w:fldCharType="separate"/>
        </w:r>
        <w:r w:rsidR="003640FB">
          <w:rPr>
            <w:noProof/>
            <w:webHidden/>
          </w:rPr>
          <w:t>40</w:t>
        </w:r>
        <w:r>
          <w:rPr>
            <w:noProof/>
            <w:webHidden/>
          </w:rPr>
          <w:fldChar w:fldCharType="end"/>
        </w:r>
      </w:hyperlink>
    </w:p>
    <w:p w14:paraId="0F635869" w14:textId="74519D5D" w:rsidR="00DE2ADD" w:rsidRDefault="00DE2ADD">
      <w:pPr>
        <w:pStyle w:val="TOC1"/>
        <w:rPr>
          <w:rFonts w:asciiTheme="minorHAnsi" w:eastAsiaTheme="minorEastAsia" w:hAnsiTheme="minorHAnsi"/>
          <w:caps w:val="0"/>
          <w:noProof/>
          <w:color w:val="auto"/>
          <w:kern w:val="2"/>
          <w:szCs w:val="24"/>
          <w:lang w:val="en-US"/>
          <w14:ligatures w14:val="standardContextual"/>
        </w:rPr>
      </w:pPr>
      <w:hyperlink w:anchor="_Toc205992552" w:history="1">
        <w:r w:rsidRPr="00F5145B">
          <w:rPr>
            <w:rStyle w:val="Hyperlink"/>
            <w:noProof/>
          </w:rPr>
          <w:t>KRQ6. What are the opportunities to enhance the sustainability of PRES results?</w:t>
        </w:r>
        <w:r>
          <w:rPr>
            <w:noProof/>
            <w:webHidden/>
          </w:rPr>
          <w:tab/>
        </w:r>
        <w:r>
          <w:rPr>
            <w:noProof/>
            <w:webHidden/>
          </w:rPr>
          <w:fldChar w:fldCharType="begin"/>
        </w:r>
        <w:r>
          <w:rPr>
            <w:noProof/>
            <w:webHidden/>
          </w:rPr>
          <w:instrText xml:space="preserve"> PAGEREF _Toc205992552 \h </w:instrText>
        </w:r>
        <w:r>
          <w:rPr>
            <w:noProof/>
            <w:webHidden/>
          </w:rPr>
        </w:r>
        <w:r>
          <w:rPr>
            <w:noProof/>
            <w:webHidden/>
          </w:rPr>
          <w:fldChar w:fldCharType="separate"/>
        </w:r>
        <w:r w:rsidR="003640FB">
          <w:rPr>
            <w:noProof/>
            <w:webHidden/>
          </w:rPr>
          <w:t>42</w:t>
        </w:r>
        <w:r>
          <w:rPr>
            <w:noProof/>
            <w:webHidden/>
          </w:rPr>
          <w:fldChar w:fldCharType="end"/>
        </w:r>
      </w:hyperlink>
    </w:p>
    <w:p w14:paraId="71436A17" w14:textId="28877549" w:rsidR="00DE2ADD" w:rsidRDefault="00DE2ADD">
      <w:pPr>
        <w:pStyle w:val="TOC1"/>
        <w:rPr>
          <w:rFonts w:asciiTheme="minorHAnsi" w:eastAsiaTheme="minorEastAsia" w:hAnsiTheme="minorHAnsi"/>
          <w:caps w:val="0"/>
          <w:noProof/>
          <w:color w:val="auto"/>
          <w:kern w:val="2"/>
          <w:szCs w:val="24"/>
          <w:lang w:val="en-US"/>
          <w14:ligatures w14:val="standardContextual"/>
        </w:rPr>
      </w:pPr>
      <w:hyperlink w:anchor="_Toc205992553" w:history="1">
        <w:r w:rsidRPr="00F5145B">
          <w:rPr>
            <w:rStyle w:val="Hyperlink"/>
            <w:noProof/>
          </w:rPr>
          <w:t>Appendix A Evaluation methodology</w:t>
        </w:r>
        <w:r>
          <w:rPr>
            <w:noProof/>
            <w:webHidden/>
          </w:rPr>
          <w:tab/>
        </w:r>
        <w:r>
          <w:rPr>
            <w:noProof/>
            <w:webHidden/>
          </w:rPr>
          <w:fldChar w:fldCharType="begin"/>
        </w:r>
        <w:r>
          <w:rPr>
            <w:noProof/>
            <w:webHidden/>
          </w:rPr>
          <w:instrText xml:space="preserve"> PAGEREF _Toc205992553 \h </w:instrText>
        </w:r>
        <w:r>
          <w:rPr>
            <w:noProof/>
            <w:webHidden/>
          </w:rPr>
        </w:r>
        <w:r>
          <w:rPr>
            <w:noProof/>
            <w:webHidden/>
          </w:rPr>
          <w:fldChar w:fldCharType="separate"/>
        </w:r>
        <w:r w:rsidR="003640FB">
          <w:rPr>
            <w:noProof/>
            <w:webHidden/>
          </w:rPr>
          <w:t>44</w:t>
        </w:r>
        <w:r>
          <w:rPr>
            <w:noProof/>
            <w:webHidden/>
          </w:rPr>
          <w:fldChar w:fldCharType="end"/>
        </w:r>
      </w:hyperlink>
    </w:p>
    <w:p w14:paraId="5E689764" w14:textId="144C9596" w:rsidR="00DE2ADD" w:rsidRDefault="00DE2ADD">
      <w:pPr>
        <w:pStyle w:val="TOC1"/>
        <w:rPr>
          <w:rFonts w:asciiTheme="minorHAnsi" w:eastAsiaTheme="minorEastAsia" w:hAnsiTheme="minorHAnsi"/>
          <w:caps w:val="0"/>
          <w:noProof/>
          <w:color w:val="auto"/>
          <w:kern w:val="2"/>
          <w:szCs w:val="24"/>
          <w:lang w:val="en-US"/>
          <w14:ligatures w14:val="standardContextual"/>
        </w:rPr>
      </w:pPr>
      <w:hyperlink w:anchor="_Toc205992558" w:history="1">
        <w:r w:rsidRPr="00F5145B">
          <w:rPr>
            <w:rStyle w:val="Hyperlink"/>
            <w:noProof/>
          </w:rPr>
          <w:t>Appendix A1: Work Plan</w:t>
        </w:r>
        <w:r>
          <w:rPr>
            <w:noProof/>
            <w:webHidden/>
          </w:rPr>
          <w:tab/>
        </w:r>
        <w:r>
          <w:rPr>
            <w:noProof/>
            <w:webHidden/>
          </w:rPr>
          <w:fldChar w:fldCharType="begin"/>
        </w:r>
        <w:r>
          <w:rPr>
            <w:noProof/>
            <w:webHidden/>
          </w:rPr>
          <w:instrText xml:space="preserve"> PAGEREF _Toc205992558 \h </w:instrText>
        </w:r>
        <w:r>
          <w:rPr>
            <w:noProof/>
            <w:webHidden/>
          </w:rPr>
        </w:r>
        <w:r>
          <w:rPr>
            <w:noProof/>
            <w:webHidden/>
          </w:rPr>
          <w:fldChar w:fldCharType="separate"/>
        </w:r>
        <w:r w:rsidR="003640FB">
          <w:rPr>
            <w:noProof/>
            <w:webHidden/>
          </w:rPr>
          <w:t>54</w:t>
        </w:r>
        <w:r>
          <w:rPr>
            <w:noProof/>
            <w:webHidden/>
          </w:rPr>
          <w:fldChar w:fldCharType="end"/>
        </w:r>
      </w:hyperlink>
    </w:p>
    <w:p w14:paraId="6D84D31B" w14:textId="571F36DD" w:rsidR="00DE2ADD" w:rsidRDefault="00DE2ADD">
      <w:pPr>
        <w:pStyle w:val="TOC1"/>
        <w:rPr>
          <w:rFonts w:asciiTheme="minorHAnsi" w:eastAsiaTheme="minorEastAsia" w:hAnsiTheme="minorHAnsi"/>
          <w:caps w:val="0"/>
          <w:noProof/>
          <w:color w:val="auto"/>
          <w:kern w:val="2"/>
          <w:szCs w:val="24"/>
          <w:lang w:val="en-US"/>
          <w14:ligatures w14:val="standardContextual"/>
        </w:rPr>
      </w:pPr>
      <w:hyperlink w:anchor="_Toc205992559" w:history="1">
        <w:r w:rsidRPr="00F5145B">
          <w:rPr>
            <w:rStyle w:val="Hyperlink"/>
            <w:noProof/>
          </w:rPr>
          <w:t>Appendix A2: Data Collection Tools</w:t>
        </w:r>
        <w:r>
          <w:rPr>
            <w:noProof/>
            <w:webHidden/>
          </w:rPr>
          <w:tab/>
        </w:r>
        <w:r>
          <w:rPr>
            <w:noProof/>
            <w:webHidden/>
          </w:rPr>
          <w:fldChar w:fldCharType="begin"/>
        </w:r>
        <w:r>
          <w:rPr>
            <w:noProof/>
            <w:webHidden/>
          </w:rPr>
          <w:instrText xml:space="preserve"> PAGEREF _Toc205992559 \h </w:instrText>
        </w:r>
        <w:r>
          <w:rPr>
            <w:noProof/>
            <w:webHidden/>
          </w:rPr>
        </w:r>
        <w:r>
          <w:rPr>
            <w:noProof/>
            <w:webHidden/>
          </w:rPr>
          <w:fldChar w:fldCharType="separate"/>
        </w:r>
        <w:r w:rsidR="003640FB">
          <w:rPr>
            <w:noProof/>
            <w:webHidden/>
          </w:rPr>
          <w:t>56</w:t>
        </w:r>
        <w:r>
          <w:rPr>
            <w:noProof/>
            <w:webHidden/>
          </w:rPr>
          <w:fldChar w:fldCharType="end"/>
        </w:r>
      </w:hyperlink>
    </w:p>
    <w:p w14:paraId="1BA3B5B6" w14:textId="0DA8B09F" w:rsidR="00DE2ADD" w:rsidRDefault="00DE2ADD">
      <w:pPr>
        <w:pStyle w:val="TOC1"/>
        <w:rPr>
          <w:rFonts w:asciiTheme="minorHAnsi" w:eastAsiaTheme="minorEastAsia" w:hAnsiTheme="minorHAnsi"/>
          <w:caps w:val="0"/>
          <w:noProof/>
          <w:color w:val="auto"/>
          <w:kern w:val="2"/>
          <w:szCs w:val="24"/>
          <w:lang w:val="en-US"/>
          <w14:ligatures w14:val="standardContextual"/>
        </w:rPr>
      </w:pPr>
      <w:hyperlink w:anchor="_Toc205992560" w:history="1">
        <w:r w:rsidRPr="00F5145B">
          <w:rPr>
            <w:rStyle w:val="Hyperlink"/>
            <w:noProof/>
          </w:rPr>
          <w:t>Appendix A3: Data sources</w:t>
        </w:r>
        <w:r>
          <w:rPr>
            <w:noProof/>
            <w:webHidden/>
          </w:rPr>
          <w:tab/>
        </w:r>
        <w:r>
          <w:rPr>
            <w:noProof/>
            <w:webHidden/>
          </w:rPr>
          <w:fldChar w:fldCharType="begin"/>
        </w:r>
        <w:r>
          <w:rPr>
            <w:noProof/>
            <w:webHidden/>
          </w:rPr>
          <w:instrText xml:space="preserve"> PAGEREF _Toc205992560 \h </w:instrText>
        </w:r>
        <w:r>
          <w:rPr>
            <w:noProof/>
            <w:webHidden/>
          </w:rPr>
        </w:r>
        <w:r>
          <w:rPr>
            <w:noProof/>
            <w:webHidden/>
          </w:rPr>
          <w:fldChar w:fldCharType="separate"/>
        </w:r>
        <w:r w:rsidR="003640FB">
          <w:rPr>
            <w:noProof/>
            <w:webHidden/>
          </w:rPr>
          <w:t>60</w:t>
        </w:r>
        <w:r>
          <w:rPr>
            <w:noProof/>
            <w:webHidden/>
          </w:rPr>
          <w:fldChar w:fldCharType="end"/>
        </w:r>
      </w:hyperlink>
    </w:p>
    <w:p w14:paraId="727EC72E" w14:textId="79E08D23" w:rsidR="00DE2ADD" w:rsidRDefault="00DE2ADD">
      <w:pPr>
        <w:pStyle w:val="TOC1"/>
        <w:rPr>
          <w:rFonts w:asciiTheme="minorHAnsi" w:eastAsiaTheme="minorEastAsia" w:hAnsiTheme="minorHAnsi"/>
          <w:caps w:val="0"/>
          <w:noProof/>
          <w:color w:val="auto"/>
          <w:kern w:val="2"/>
          <w:szCs w:val="24"/>
          <w:lang w:val="en-US"/>
          <w14:ligatures w14:val="standardContextual"/>
        </w:rPr>
      </w:pPr>
      <w:hyperlink w:anchor="_Toc205992561" w:history="1">
        <w:r w:rsidRPr="00F5145B">
          <w:rPr>
            <w:rStyle w:val="Hyperlink"/>
            <w:noProof/>
          </w:rPr>
          <w:t>Appendix A4: Data Collection Matrix</w:t>
        </w:r>
        <w:r>
          <w:rPr>
            <w:noProof/>
            <w:webHidden/>
          </w:rPr>
          <w:tab/>
        </w:r>
        <w:r>
          <w:rPr>
            <w:noProof/>
            <w:webHidden/>
          </w:rPr>
          <w:fldChar w:fldCharType="begin"/>
        </w:r>
        <w:r>
          <w:rPr>
            <w:noProof/>
            <w:webHidden/>
          </w:rPr>
          <w:instrText xml:space="preserve"> PAGEREF _Toc205992561 \h </w:instrText>
        </w:r>
        <w:r>
          <w:rPr>
            <w:noProof/>
            <w:webHidden/>
          </w:rPr>
        </w:r>
        <w:r>
          <w:rPr>
            <w:noProof/>
            <w:webHidden/>
          </w:rPr>
          <w:fldChar w:fldCharType="separate"/>
        </w:r>
        <w:r w:rsidR="003640FB">
          <w:rPr>
            <w:noProof/>
            <w:webHidden/>
          </w:rPr>
          <w:t>62</w:t>
        </w:r>
        <w:r>
          <w:rPr>
            <w:noProof/>
            <w:webHidden/>
          </w:rPr>
          <w:fldChar w:fldCharType="end"/>
        </w:r>
      </w:hyperlink>
    </w:p>
    <w:p w14:paraId="04AC152B" w14:textId="4EA0AFD4" w:rsidR="00DE2ADD" w:rsidRDefault="00DE2ADD">
      <w:pPr>
        <w:pStyle w:val="TOC1"/>
        <w:rPr>
          <w:rFonts w:asciiTheme="minorHAnsi" w:eastAsiaTheme="minorEastAsia" w:hAnsiTheme="minorHAnsi"/>
          <w:caps w:val="0"/>
          <w:noProof/>
          <w:color w:val="auto"/>
          <w:kern w:val="2"/>
          <w:szCs w:val="24"/>
          <w:lang w:val="en-US"/>
          <w14:ligatures w14:val="standardContextual"/>
        </w:rPr>
      </w:pPr>
      <w:hyperlink w:anchor="_Toc205992562" w:history="1">
        <w:r w:rsidRPr="00F5145B">
          <w:rPr>
            <w:rStyle w:val="Hyperlink"/>
            <w:noProof/>
          </w:rPr>
          <w:t>Appendix B: April 2025 Program LogiC</w:t>
        </w:r>
        <w:r>
          <w:rPr>
            <w:noProof/>
            <w:webHidden/>
          </w:rPr>
          <w:tab/>
        </w:r>
        <w:r>
          <w:rPr>
            <w:noProof/>
            <w:webHidden/>
          </w:rPr>
          <w:fldChar w:fldCharType="begin"/>
        </w:r>
        <w:r>
          <w:rPr>
            <w:noProof/>
            <w:webHidden/>
          </w:rPr>
          <w:instrText xml:space="preserve"> PAGEREF _Toc205992562 \h </w:instrText>
        </w:r>
        <w:r>
          <w:rPr>
            <w:noProof/>
            <w:webHidden/>
          </w:rPr>
        </w:r>
        <w:r>
          <w:rPr>
            <w:noProof/>
            <w:webHidden/>
          </w:rPr>
          <w:fldChar w:fldCharType="separate"/>
        </w:r>
        <w:r w:rsidR="003640FB">
          <w:rPr>
            <w:noProof/>
            <w:webHidden/>
          </w:rPr>
          <w:t>64</w:t>
        </w:r>
        <w:r>
          <w:rPr>
            <w:noProof/>
            <w:webHidden/>
          </w:rPr>
          <w:fldChar w:fldCharType="end"/>
        </w:r>
      </w:hyperlink>
    </w:p>
    <w:p w14:paraId="20628096" w14:textId="58B4C3FF" w:rsidR="00A0579A" w:rsidRDefault="00111A6E" w:rsidP="00D93E5B">
      <w:pPr>
        <w:pStyle w:val="TOC1"/>
        <w:spacing w:after="0" w:line="240" w:lineRule="auto"/>
        <w:rPr>
          <w:rFonts w:cstheme="minorHAnsi"/>
        </w:rPr>
      </w:pPr>
      <w:r w:rsidRPr="00FB7C94">
        <w:rPr>
          <w:rFonts w:cstheme="minorHAnsi"/>
        </w:rPr>
        <w:fldChar w:fldCharType="end"/>
      </w:r>
    </w:p>
    <w:p w14:paraId="29E53FD9" w14:textId="77777777" w:rsidR="00A0579A" w:rsidRPr="00530B2E" w:rsidRDefault="00A0579A" w:rsidP="00530B2E">
      <w:pPr>
        <w:rPr>
          <w:rFonts w:cstheme="minorHAnsi"/>
        </w:rPr>
      </w:pPr>
    </w:p>
    <w:p w14:paraId="4A7BF896" w14:textId="2C73037A" w:rsidR="00111A6E" w:rsidRPr="00530B2E" w:rsidRDefault="00111A6E" w:rsidP="00A0579A">
      <w:pPr>
        <w:rPr>
          <w:rFonts w:cstheme="minorHAnsi"/>
        </w:rPr>
      </w:pPr>
      <w:r w:rsidRPr="00530B2E">
        <w:rPr>
          <w:rFonts w:cstheme="minorHAnsi"/>
        </w:rPr>
        <w:br w:type="page"/>
      </w:r>
    </w:p>
    <w:p w14:paraId="151D147D" w14:textId="5AD8B174" w:rsidR="00F1412B" w:rsidRPr="00530B2E" w:rsidRDefault="002B6A6C" w:rsidP="00530B2E">
      <w:pPr>
        <w:pStyle w:val="Subheading"/>
      </w:pPr>
      <w:r>
        <w:lastRenderedPageBreak/>
        <w:t>Acronyms</w:t>
      </w:r>
    </w:p>
    <w:tbl>
      <w:tblPr>
        <w:tblStyle w:val="TableGrid"/>
        <w:tblW w:w="0" w:type="auto"/>
        <w:tblLook w:val="06A0" w:firstRow="1" w:lastRow="0" w:firstColumn="1" w:lastColumn="0" w:noHBand="1" w:noVBand="1"/>
      </w:tblPr>
      <w:tblGrid>
        <w:gridCol w:w="1809"/>
        <w:gridCol w:w="7797"/>
      </w:tblGrid>
      <w:tr w:rsidR="00F1412B" w:rsidRPr="00530B2E" w14:paraId="2F69F400" w14:textId="77777777" w:rsidTr="152412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17A7BC8E" w14:textId="77777777" w:rsidR="00F1412B" w:rsidRPr="00530B2E" w:rsidRDefault="00235B7B" w:rsidP="00FB747D">
            <w:r w:rsidRPr="00530B2E">
              <w:t>Acronyms</w:t>
            </w:r>
          </w:p>
        </w:tc>
        <w:tc>
          <w:tcPr>
            <w:tcW w:w="7797" w:type="dxa"/>
          </w:tcPr>
          <w:p w14:paraId="18F94F75" w14:textId="77777777" w:rsidR="00F1412B" w:rsidRPr="00530B2E" w:rsidRDefault="00235B7B" w:rsidP="00FB747D">
            <w:pPr>
              <w:cnfStyle w:val="100000000000" w:firstRow="1" w:lastRow="0" w:firstColumn="0" w:lastColumn="0" w:oddVBand="0" w:evenVBand="0" w:oddHBand="0" w:evenHBand="0" w:firstRowFirstColumn="0" w:firstRowLastColumn="0" w:lastRowFirstColumn="0" w:lastRowLastColumn="0"/>
            </w:pPr>
            <w:r w:rsidRPr="00530B2E">
              <w:t>Description</w:t>
            </w:r>
          </w:p>
        </w:tc>
      </w:tr>
      <w:tr w:rsidR="001E0633" w:rsidRPr="00530B2E" w14:paraId="6E461022" w14:textId="77777777" w:rsidTr="152412E2">
        <w:tc>
          <w:tcPr>
            <w:cnfStyle w:val="001000000000" w:firstRow="0" w:lastRow="0" w:firstColumn="1" w:lastColumn="0" w:oddVBand="0" w:evenVBand="0" w:oddHBand="0" w:evenHBand="0" w:firstRowFirstColumn="0" w:firstRowLastColumn="0" w:lastRowFirstColumn="0" w:lastRowLastColumn="0"/>
            <w:tcW w:w="1809" w:type="dxa"/>
          </w:tcPr>
          <w:p w14:paraId="242F165A" w14:textId="28BE88C6" w:rsidR="001E0633" w:rsidRPr="001E0633" w:rsidRDefault="001E0633" w:rsidP="00FB747D">
            <w:pPr>
              <w:rPr>
                <w:b w:val="0"/>
                <w:bCs/>
              </w:rPr>
            </w:pPr>
            <w:r w:rsidRPr="001E0633">
              <w:rPr>
                <w:b w:val="0"/>
                <w:bCs/>
              </w:rPr>
              <w:t>ASO</w:t>
            </w:r>
          </w:p>
        </w:tc>
        <w:tc>
          <w:tcPr>
            <w:tcW w:w="7797" w:type="dxa"/>
          </w:tcPr>
          <w:p w14:paraId="3D79372A" w14:textId="18265393" w:rsidR="001E0633" w:rsidRPr="00530B2E" w:rsidRDefault="001E0633" w:rsidP="00FB747D">
            <w:pPr>
              <w:cnfStyle w:val="000000000000" w:firstRow="0" w:lastRow="0" w:firstColumn="0" w:lastColumn="0" w:oddVBand="0" w:evenVBand="0" w:oddHBand="0" w:evenHBand="0" w:firstRowFirstColumn="0" w:firstRowLastColumn="0" w:lastRowFirstColumn="0" w:lastRowLastColumn="0"/>
            </w:pPr>
            <w:r>
              <w:t>Additional Service Order</w:t>
            </w:r>
          </w:p>
        </w:tc>
      </w:tr>
      <w:tr w:rsidR="00F63475" w:rsidRPr="00530B2E" w14:paraId="1FCCFC17" w14:textId="77777777" w:rsidTr="152412E2">
        <w:tc>
          <w:tcPr>
            <w:cnfStyle w:val="001000000000" w:firstRow="0" w:lastRow="0" w:firstColumn="1" w:lastColumn="0" w:oddVBand="0" w:evenVBand="0" w:oddHBand="0" w:evenHBand="0" w:firstRowFirstColumn="0" w:firstRowLastColumn="0" w:lastRowFirstColumn="0" w:lastRowLastColumn="0"/>
            <w:tcW w:w="1809" w:type="dxa"/>
          </w:tcPr>
          <w:p w14:paraId="0EC27C32" w14:textId="46EBF714" w:rsidR="00F63475" w:rsidRPr="00C079B6" w:rsidRDefault="00F63475" w:rsidP="00FB747D">
            <w:pPr>
              <w:rPr>
                <w:rFonts w:ascii="Arial" w:hAnsi="Arial" w:cs="Arial"/>
                <w:b w:val="0"/>
                <w:bCs/>
                <w:color w:val="auto"/>
              </w:rPr>
            </w:pPr>
            <w:r w:rsidRPr="00C079B6">
              <w:rPr>
                <w:rFonts w:ascii="Arial" w:hAnsi="Arial" w:cs="Arial"/>
                <w:b w:val="0"/>
                <w:bCs/>
                <w:color w:val="auto"/>
              </w:rPr>
              <w:t>DFAT</w:t>
            </w:r>
          </w:p>
        </w:tc>
        <w:tc>
          <w:tcPr>
            <w:tcW w:w="7797" w:type="dxa"/>
          </w:tcPr>
          <w:p w14:paraId="5623359F" w14:textId="1E3929F5" w:rsidR="00F63475" w:rsidRPr="00AC73E9" w:rsidRDefault="00F63475" w:rsidP="00FB747D">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C73E9">
              <w:rPr>
                <w:rFonts w:ascii="Arial" w:hAnsi="Arial" w:cs="Arial"/>
                <w:color w:val="auto"/>
              </w:rPr>
              <w:t>Australia’s Department of Foreign Affairs and Trade</w:t>
            </w:r>
          </w:p>
        </w:tc>
      </w:tr>
      <w:tr w:rsidR="007A4FC3" w:rsidRPr="00530B2E" w14:paraId="53ED9A52" w14:textId="77777777" w:rsidTr="152412E2">
        <w:tc>
          <w:tcPr>
            <w:cnfStyle w:val="001000000000" w:firstRow="0" w:lastRow="0" w:firstColumn="1" w:lastColumn="0" w:oddVBand="0" w:evenVBand="0" w:oddHBand="0" w:evenHBand="0" w:firstRowFirstColumn="0" w:firstRowLastColumn="0" w:lastRowFirstColumn="0" w:lastRowLastColumn="0"/>
            <w:tcW w:w="1809" w:type="dxa"/>
          </w:tcPr>
          <w:p w14:paraId="65D00563" w14:textId="5F3EDE3B" w:rsidR="007A4FC3" w:rsidRPr="00C079B6" w:rsidRDefault="007A4FC3" w:rsidP="00FB747D">
            <w:pPr>
              <w:rPr>
                <w:rFonts w:ascii="Arial" w:hAnsi="Arial" w:cs="Arial"/>
                <w:b w:val="0"/>
                <w:bCs/>
                <w:color w:val="auto"/>
              </w:rPr>
            </w:pPr>
            <w:r w:rsidRPr="00C079B6">
              <w:rPr>
                <w:rFonts w:cstheme="minorHAnsi"/>
                <w:b w:val="0"/>
                <w:bCs/>
              </w:rPr>
              <w:t>EOPO</w:t>
            </w:r>
          </w:p>
        </w:tc>
        <w:tc>
          <w:tcPr>
            <w:tcW w:w="7797" w:type="dxa"/>
          </w:tcPr>
          <w:p w14:paraId="786BA032" w14:textId="6A99742B" w:rsidR="007A4FC3" w:rsidRPr="00AC73E9" w:rsidRDefault="007A4FC3" w:rsidP="00FB747D">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End</w:t>
            </w:r>
            <w:r w:rsidR="00C079B6">
              <w:rPr>
                <w:rFonts w:ascii="Arial" w:hAnsi="Arial" w:cs="Arial"/>
                <w:color w:val="auto"/>
              </w:rPr>
              <w:t>-</w:t>
            </w:r>
            <w:r w:rsidR="00AA0026">
              <w:rPr>
                <w:rFonts w:ascii="Arial" w:hAnsi="Arial" w:cs="Arial"/>
                <w:color w:val="auto"/>
              </w:rPr>
              <w:t>o</w:t>
            </w:r>
            <w:r>
              <w:rPr>
                <w:rFonts w:ascii="Arial" w:hAnsi="Arial" w:cs="Arial"/>
                <w:color w:val="auto"/>
              </w:rPr>
              <w:t>f</w:t>
            </w:r>
            <w:r w:rsidR="00C079B6">
              <w:rPr>
                <w:rFonts w:ascii="Arial" w:hAnsi="Arial" w:cs="Arial"/>
                <w:color w:val="auto"/>
              </w:rPr>
              <w:t>-</w:t>
            </w:r>
            <w:r w:rsidR="00AA0026">
              <w:rPr>
                <w:rFonts w:ascii="Arial" w:hAnsi="Arial" w:cs="Arial"/>
                <w:color w:val="auto"/>
              </w:rPr>
              <w:t>p</w:t>
            </w:r>
            <w:r>
              <w:rPr>
                <w:rFonts w:ascii="Arial" w:hAnsi="Arial" w:cs="Arial"/>
                <w:color w:val="auto"/>
              </w:rPr>
              <w:t xml:space="preserve">rogram </w:t>
            </w:r>
            <w:r w:rsidR="00AA0026">
              <w:rPr>
                <w:rFonts w:ascii="Arial" w:hAnsi="Arial" w:cs="Arial"/>
                <w:color w:val="auto"/>
              </w:rPr>
              <w:t>o</w:t>
            </w:r>
            <w:r>
              <w:rPr>
                <w:rFonts w:ascii="Arial" w:hAnsi="Arial" w:cs="Arial"/>
                <w:color w:val="auto"/>
              </w:rPr>
              <w:t>utcome</w:t>
            </w:r>
          </w:p>
        </w:tc>
      </w:tr>
      <w:tr w:rsidR="00D835FD" w:rsidRPr="00530B2E" w14:paraId="12C55211" w14:textId="77777777" w:rsidTr="152412E2">
        <w:tc>
          <w:tcPr>
            <w:cnfStyle w:val="001000000000" w:firstRow="0" w:lastRow="0" w:firstColumn="1" w:lastColumn="0" w:oddVBand="0" w:evenVBand="0" w:oddHBand="0" w:evenHBand="0" w:firstRowFirstColumn="0" w:firstRowLastColumn="0" w:lastRowFirstColumn="0" w:lastRowLastColumn="0"/>
            <w:tcW w:w="1809" w:type="dxa"/>
          </w:tcPr>
          <w:p w14:paraId="3CE5BE9E" w14:textId="0CEA593C" w:rsidR="00D835FD" w:rsidRPr="00C079B6" w:rsidRDefault="00D835FD" w:rsidP="00FB747D">
            <w:pPr>
              <w:rPr>
                <w:rFonts w:cstheme="minorHAnsi"/>
                <w:b w:val="0"/>
                <w:bCs/>
              </w:rPr>
            </w:pPr>
            <w:r w:rsidRPr="00C079B6">
              <w:rPr>
                <w:b w:val="0"/>
                <w:bCs/>
              </w:rPr>
              <w:t>EOIO</w:t>
            </w:r>
          </w:p>
        </w:tc>
        <w:tc>
          <w:tcPr>
            <w:tcW w:w="7797" w:type="dxa"/>
          </w:tcPr>
          <w:p w14:paraId="54CE8B5D" w14:textId="67198981" w:rsidR="00D835FD" w:rsidRDefault="00D835FD" w:rsidP="00FB747D">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End</w:t>
            </w:r>
            <w:r w:rsidR="00C079B6">
              <w:rPr>
                <w:rFonts w:ascii="Arial" w:hAnsi="Arial" w:cs="Arial"/>
                <w:color w:val="auto"/>
              </w:rPr>
              <w:t>-</w:t>
            </w:r>
            <w:r w:rsidR="00AA0026">
              <w:rPr>
                <w:rFonts w:ascii="Arial" w:hAnsi="Arial" w:cs="Arial"/>
                <w:color w:val="auto"/>
              </w:rPr>
              <w:t>o</w:t>
            </w:r>
            <w:r>
              <w:rPr>
                <w:rFonts w:ascii="Arial" w:hAnsi="Arial" w:cs="Arial"/>
                <w:color w:val="auto"/>
              </w:rPr>
              <w:t>f</w:t>
            </w:r>
            <w:r w:rsidR="00C079B6">
              <w:rPr>
                <w:rFonts w:ascii="Arial" w:hAnsi="Arial" w:cs="Arial"/>
                <w:color w:val="auto"/>
              </w:rPr>
              <w:t>-</w:t>
            </w:r>
            <w:r w:rsidR="00AA0026">
              <w:rPr>
                <w:rFonts w:ascii="Arial" w:hAnsi="Arial" w:cs="Arial"/>
                <w:color w:val="auto"/>
              </w:rPr>
              <w:t>i</w:t>
            </w:r>
            <w:r>
              <w:rPr>
                <w:rFonts w:ascii="Arial" w:hAnsi="Arial" w:cs="Arial"/>
                <w:color w:val="auto"/>
              </w:rPr>
              <w:t xml:space="preserve">nvestment </w:t>
            </w:r>
            <w:r w:rsidR="00AA0026">
              <w:rPr>
                <w:rFonts w:ascii="Arial" w:hAnsi="Arial" w:cs="Arial"/>
                <w:color w:val="auto"/>
              </w:rPr>
              <w:t>o</w:t>
            </w:r>
            <w:r>
              <w:rPr>
                <w:rFonts w:ascii="Arial" w:hAnsi="Arial" w:cs="Arial"/>
                <w:color w:val="auto"/>
              </w:rPr>
              <w:t>utcome</w:t>
            </w:r>
          </w:p>
        </w:tc>
      </w:tr>
      <w:tr w:rsidR="001B5A3C" w:rsidRPr="00530B2E" w14:paraId="3FA2A4E0" w14:textId="77777777" w:rsidTr="152412E2">
        <w:tc>
          <w:tcPr>
            <w:cnfStyle w:val="001000000000" w:firstRow="0" w:lastRow="0" w:firstColumn="1" w:lastColumn="0" w:oddVBand="0" w:evenVBand="0" w:oddHBand="0" w:evenHBand="0" w:firstRowFirstColumn="0" w:firstRowLastColumn="0" w:lastRowFirstColumn="0" w:lastRowLastColumn="0"/>
            <w:tcW w:w="1809" w:type="dxa"/>
          </w:tcPr>
          <w:p w14:paraId="6C7B9C03" w14:textId="2F238442" w:rsidR="001B5A3C" w:rsidRPr="001B5A3C" w:rsidRDefault="001B5A3C" w:rsidP="00FB747D">
            <w:pPr>
              <w:rPr>
                <w:b w:val="0"/>
              </w:rPr>
            </w:pPr>
            <w:r w:rsidRPr="001B5A3C">
              <w:rPr>
                <w:b w:val="0"/>
              </w:rPr>
              <w:t>EGS</w:t>
            </w:r>
          </w:p>
        </w:tc>
        <w:tc>
          <w:tcPr>
            <w:tcW w:w="7797" w:type="dxa"/>
          </w:tcPr>
          <w:p w14:paraId="5D1D145A" w14:textId="3694BBD0" w:rsidR="001B5A3C" w:rsidRDefault="009F4FF5" w:rsidP="00FB747D">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cs="Arial"/>
              </w:rPr>
              <w:t xml:space="preserve">Regional Trade and Private Sector </w:t>
            </w:r>
            <w:r w:rsidR="001B5A3C">
              <w:rPr>
                <w:rFonts w:cs="Arial"/>
              </w:rPr>
              <w:t>Section</w:t>
            </w:r>
          </w:p>
        </w:tc>
      </w:tr>
      <w:tr w:rsidR="001B5A3C" w:rsidRPr="00530B2E" w14:paraId="29475EB9" w14:textId="77777777" w:rsidTr="152412E2">
        <w:tc>
          <w:tcPr>
            <w:cnfStyle w:val="001000000000" w:firstRow="0" w:lastRow="0" w:firstColumn="1" w:lastColumn="0" w:oddVBand="0" w:evenVBand="0" w:oddHBand="0" w:evenHBand="0" w:firstRowFirstColumn="0" w:firstRowLastColumn="0" w:lastRowFirstColumn="0" w:lastRowLastColumn="0"/>
            <w:tcW w:w="1809" w:type="dxa"/>
          </w:tcPr>
          <w:p w14:paraId="310A78B5" w14:textId="7765D117" w:rsidR="001B5A3C" w:rsidRPr="001B5A3C" w:rsidRDefault="001B5A3C" w:rsidP="00FB747D">
            <w:pPr>
              <w:rPr>
                <w:b w:val="0"/>
              </w:rPr>
            </w:pPr>
            <w:r w:rsidRPr="001B5A3C">
              <w:rPr>
                <w:b w:val="0"/>
              </w:rPr>
              <w:t>EPS</w:t>
            </w:r>
          </w:p>
        </w:tc>
        <w:tc>
          <w:tcPr>
            <w:tcW w:w="7797" w:type="dxa"/>
          </w:tcPr>
          <w:p w14:paraId="79C58334" w14:textId="47492D3B" w:rsidR="001B5A3C" w:rsidRDefault="001B5A3C" w:rsidP="00FB747D">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C2F51">
              <w:rPr>
                <w:rFonts w:cs="Arial"/>
              </w:rPr>
              <w:t xml:space="preserve">Economic Policy </w:t>
            </w:r>
            <w:r w:rsidR="00067E93">
              <w:rPr>
                <w:rFonts w:cs="Arial"/>
              </w:rPr>
              <w:t>and</w:t>
            </w:r>
            <w:r w:rsidRPr="004C2F51">
              <w:rPr>
                <w:rFonts w:cs="Arial"/>
              </w:rPr>
              <w:t xml:space="preserve"> Partnerships </w:t>
            </w:r>
            <w:r>
              <w:rPr>
                <w:rFonts w:cs="Arial"/>
              </w:rPr>
              <w:t xml:space="preserve">Section </w:t>
            </w:r>
          </w:p>
        </w:tc>
      </w:tr>
      <w:tr w:rsidR="009D1E6E" w:rsidRPr="00530B2E" w14:paraId="2DA8DC5A" w14:textId="77777777" w:rsidTr="152412E2">
        <w:tc>
          <w:tcPr>
            <w:cnfStyle w:val="001000000000" w:firstRow="0" w:lastRow="0" w:firstColumn="1" w:lastColumn="0" w:oddVBand="0" w:evenVBand="0" w:oddHBand="0" w:evenHBand="0" w:firstRowFirstColumn="0" w:firstRowLastColumn="0" w:lastRowFirstColumn="0" w:lastRowLastColumn="0"/>
            <w:tcW w:w="1809" w:type="dxa"/>
          </w:tcPr>
          <w:p w14:paraId="073AA950" w14:textId="5A3032FB" w:rsidR="009D1E6E" w:rsidRPr="009D1E6E" w:rsidRDefault="009D1E6E" w:rsidP="00FB747D">
            <w:pPr>
              <w:rPr>
                <w:rFonts w:ascii="Arial" w:hAnsi="Arial" w:cs="Arial"/>
                <w:b w:val="0"/>
                <w:color w:val="auto"/>
              </w:rPr>
            </w:pPr>
            <w:r w:rsidRPr="009D1E6E">
              <w:rPr>
                <w:rFonts w:ascii="Arial" w:hAnsi="Arial" w:cs="Arial"/>
                <w:b w:val="0"/>
                <w:color w:val="auto"/>
              </w:rPr>
              <w:t>FIMR</w:t>
            </w:r>
          </w:p>
        </w:tc>
        <w:tc>
          <w:tcPr>
            <w:tcW w:w="7797" w:type="dxa"/>
          </w:tcPr>
          <w:p w14:paraId="707E0593" w14:textId="6CDF2BC2" w:rsidR="009D1E6E" w:rsidRPr="152412E2" w:rsidRDefault="009D1E6E" w:rsidP="152412E2">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Final Investment Monitoring Report </w:t>
            </w:r>
          </w:p>
        </w:tc>
      </w:tr>
      <w:tr w:rsidR="00B41372" w:rsidRPr="00530B2E" w14:paraId="7196C9D3" w14:textId="77777777" w:rsidTr="152412E2">
        <w:tc>
          <w:tcPr>
            <w:cnfStyle w:val="001000000000" w:firstRow="0" w:lastRow="0" w:firstColumn="1" w:lastColumn="0" w:oddVBand="0" w:evenVBand="0" w:oddHBand="0" w:evenHBand="0" w:firstRowFirstColumn="0" w:firstRowLastColumn="0" w:lastRowFirstColumn="0" w:lastRowLastColumn="0"/>
            <w:tcW w:w="1809" w:type="dxa"/>
          </w:tcPr>
          <w:p w14:paraId="541D6237" w14:textId="2EBD32D0" w:rsidR="00B41372" w:rsidRPr="000401E2" w:rsidRDefault="00B41372" w:rsidP="00FB747D">
            <w:pPr>
              <w:rPr>
                <w:rFonts w:ascii="Arial" w:hAnsi="Arial" w:cs="Arial"/>
                <w:b w:val="0"/>
                <w:color w:val="auto"/>
              </w:rPr>
            </w:pPr>
            <w:r>
              <w:rPr>
                <w:rFonts w:ascii="Arial" w:hAnsi="Arial" w:cs="Arial"/>
                <w:b w:val="0"/>
                <w:color w:val="auto"/>
              </w:rPr>
              <w:t>GEB</w:t>
            </w:r>
          </w:p>
        </w:tc>
        <w:tc>
          <w:tcPr>
            <w:tcW w:w="7797" w:type="dxa"/>
          </w:tcPr>
          <w:p w14:paraId="064DCBF9" w14:textId="531B69C1" w:rsidR="00B41372" w:rsidRPr="152412E2" w:rsidRDefault="00B41372" w:rsidP="152412E2">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Gender Equality Disability and Social Inclusion Branch </w:t>
            </w:r>
          </w:p>
        </w:tc>
      </w:tr>
      <w:tr w:rsidR="00F63475" w:rsidRPr="00530B2E" w14:paraId="56F94D87" w14:textId="77777777" w:rsidTr="152412E2">
        <w:tc>
          <w:tcPr>
            <w:cnfStyle w:val="001000000000" w:firstRow="0" w:lastRow="0" w:firstColumn="1" w:lastColumn="0" w:oddVBand="0" w:evenVBand="0" w:oddHBand="0" w:evenHBand="0" w:firstRowFirstColumn="0" w:firstRowLastColumn="0" w:lastRowFirstColumn="0" w:lastRowLastColumn="0"/>
            <w:tcW w:w="1809" w:type="dxa"/>
          </w:tcPr>
          <w:p w14:paraId="2C6DDCAD" w14:textId="35201F44" w:rsidR="00F63475" w:rsidRPr="00C079B6" w:rsidRDefault="00F63475" w:rsidP="00FB747D">
            <w:pPr>
              <w:rPr>
                <w:rFonts w:ascii="Arial" w:hAnsi="Arial" w:cs="Arial"/>
                <w:b w:val="0"/>
                <w:bCs/>
                <w:color w:val="auto"/>
              </w:rPr>
            </w:pPr>
            <w:r w:rsidRPr="00C079B6">
              <w:rPr>
                <w:rFonts w:ascii="Arial" w:hAnsi="Arial" w:cs="Arial"/>
                <w:b w:val="0"/>
                <w:bCs/>
                <w:color w:val="auto"/>
              </w:rPr>
              <w:t>GEDSI</w:t>
            </w:r>
          </w:p>
        </w:tc>
        <w:tc>
          <w:tcPr>
            <w:tcW w:w="7797" w:type="dxa"/>
          </w:tcPr>
          <w:p w14:paraId="0DB795C5" w14:textId="49D28236" w:rsidR="00F63475" w:rsidRPr="00AC73E9" w:rsidRDefault="00F63475" w:rsidP="152412E2">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152412E2">
              <w:rPr>
                <w:rFonts w:ascii="Arial" w:hAnsi="Arial" w:cs="Arial"/>
                <w:color w:val="auto"/>
              </w:rPr>
              <w:t xml:space="preserve">Gender </w:t>
            </w:r>
            <w:r w:rsidR="00AA0026" w:rsidRPr="152412E2">
              <w:rPr>
                <w:rFonts w:ascii="Arial" w:hAnsi="Arial" w:cs="Arial"/>
                <w:color w:val="auto"/>
              </w:rPr>
              <w:t>e</w:t>
            </w:r>
            <w:r w:rsidRPr="152412E2">
              <w:rPr>
                <w:rFonts w:ascii="Arial" w:hAnsi="Arial" w:cs="Arial"/>
                <w:color w:val="auto"/>
              </w:rPr>
              <w:t xml:space="preserve">quality, </w:t>
            </w:r>
            <w:r w:rsidR="00AA0026" w:rsidRPr="152412E2">
              <w:rPr>
                <w:rFonts w:ascii="Arial" w:hAnsi="Arial" w:cs="Arial"/>
                <w:color w:val="auto"/>
              </w:rPr>
              <w:t>d</w:t>
            </w:r>
            <w:r w:rsidRPr="152412E2">
              <w:rPr>
                <w:rFonts w:ascii="Arial" w:hAnsi="Arial" w:cs="Arial"/>
                <w:color w:val="auto"/>
              </w:rPr>
              <w:t xml:space="preserve">isability and </w:t>
            </w:r>
            <w:r w:rsidR="00AA0026" w:rsidRPr="152412E2">
              <w:rPr>
                <w:rFonts w:ascii="Arial" w:hAnsi="Arial" w:cs="Arial"/>
                <w:color w:val="auto"/>
              </w:rPr>
              <w:t>s</w:t>
            </w:r>
            <w:r w:rsidRPr="152412E2">
              <w:rPr>
                <w:rFonts w:ascii="Arial" w:hAnsi="Arial" w:cs="Arial"/>
                <w:color w:val="auto"/>
              </w:rPr>
              <w:t xml:space="preserve">ocial </w:t>
            </w:r>
            <w:r w:rsidR="00AA0026" w:rsidRPr="152412E2">
              <w:rPr>
                <w:rFonts w:ascii="Arial" w:hAnsi="Arial" w:cs="Arial"/>
                <w:color w:val="auto"/>
              </w:rPr>
              <w:t>i</w:t>
            </w:r>
            <w:r w:rsidRPr="152412E2">
              <w:rPr>
                <w:rFonts w:ascii="Arial" w:hAnsi="Arial" w:cs="Arial"/>
                <w:color w:val="auto"/>
              </w:rPr>
              <w:t xml:space="preserve">nclusion </w:t>
            </w:r>
          </w:p>
        </w:tc>
      </w:tr>
      <w:tr w:rsidR="00A968BF" w:rsidRPr="00530B2E" w14:paraId="759E43D4" w14:textId="77777777" w:rsidTr="152412E2">
        <w:tc>
          <w:tcPr>
            <w:cnfStyle w:val="001000000000" w:firstRow="0" w:lastRow="0" w:firstColumn="1" w:lastColumn="0" w:oddVBand="0" w:evenVBand="0" w:oddHBand="0" w:evenHBand="0" w:firstRowFirstColumn="0" w:firstRowLastColumn="0" w:lastRowFirstColumn="0" w:lastRowLastColumn="0"/>
            <w:tcW w:w="1809" w:type="dxa"/>
          </w:tcPr>
          <w:p w14:paraId="163846C5" w14:textId="7AC81E4A" w:rsidR="00A968BF" w:rsidRPr="00A968BF" w:rsidRDefault="00A968BF" w:rsidP="00FB747D">
            <w:pPr>
              <w:rPr>
                <w:rFonts w:ascii="Arial" w:hAnsi="Arial" w:cs="Arial"/>
                <w:b w:val="0"/>
                <w:color w:val="auto"/>
              </w:rPr>
            </w:pPr>
            <w:r>
              <w:rPr>
                <w:rFonts w:ascii="Arial" w:hAnsi="Arial" w:cs="Arial"/>
                <w:b w:val="0"/>
                <w:color w:val="auto"/>
              </w:rPr>
              <w:t>IMR</w:t>
            </w:r>
          </w:p>
        </w:tc>
        <w:tc>
          <w:tcPr>
            <w:tcW w:w="7797" w:type="dxa"/>
          </w:tcPr>
          <w:p w14:paraId="07FFA65F" w14:textId="6FC82774" w:rsidR="00A968BF" w:rsidRPr="152412E2" w:rsidRDefault="00A968BF" w:rsidP="152412E2">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Investment monitoring report</w:t>
            </w:r>
          </w:p>
        </w:tc>
      </w:tr>
      <w:tr w:rsidR="002419B3" w:rsidRPr="00530B2E" w14:paraId="632F86DF" w14:textId="77777777" w:rsidTr="152412E2">
        <w:tc>
          <w:tcPr>
            <w:cnfStyle w:val="001000000000" w:firstRow="0" w:lastRow="0" w:firstColumn="1" w:lastColumn="0" w:oddVBand="0" w:evenVBand="0" w:oddHBand="0" w:evenHBand="0" w:firstRowFirstColumn="0" w:firstRowLastColumn="0" w:lastRowFirstColumn="0" w:lastRowLastColumn="0"/>
            <w:tcW w:w="1809" w:type="dxa"/>
          </w:tcPr>
          <w:p w14:paraId="72DD6544" w14:textId="696E79FD" w:rsidR="002419B3" w:rsidRDefault="002419B3" w:rsidP="00FB747D">
            <w:pPr>
              <w:rPr>
                <w:rFonts w:ascii="Arial" w:hAnsi="Arial" w:cs="Arial"/>
                <w:b w:val="0"/>
                <w:color w:val="auto"/>
              </w:rPr>
            </w:pPr>
            <w:r>
              <w:rPr>
                <w:rFonts w:ascii="Arial" w:hAnsi="Arial" w:cs="Arial"/>
                <w:b w:val="0"/>
                <w:color w:val="auto"/>
              </w:rPr>
              <w:t>IMS</w:t>
            </w:r>
          </w:p>
        </w:tc>
        <w:tc>
          <w:tcPr>
            <w:tcW w:w="7797" w:type="dxa"/>
          </w:tcPr>
          <w:p w14:paraId="3282E8F3" w14:textId="4A99059D" w:rsidR="002419B3" w:rsidRDefault="002419B3" w:rsidP="152412E2">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Information Management System</w:t>
            </w:r>
          </w:p>
        </w:tc>
      </w:tr>
      <w:tr w:rsidR="000F2F67" w:rsidRPr="00530B2E" w14:paraId="7539FACE" w14:textId="77777777" w:rsidTr="152412E2">
        <w:tc>
          <w:tcPr>
            <w:cnfStyle w:val="001000000000" w:firstRow="0" w:lastRow="0" w:firstColumn="1" w:lastColumn="0" w:oddVBand="0" w:evenVBand="0" w:oddHBand="0" w:evenHBand="0" w:firstRowFirstColumn="0" w:firstRowLastColumn="0" w:lastRowFirstColumn="0" w:lastRowLastColumn="0"/>
            <w:tcW w:w="1809" w:type="dxa"/>
          </w:tcPr>
          <w:p w14:paraId="72E61753" w14:textId="429AFDE8" w:rsidR="000F2F67" w:rsidRPr="00C079B6" w:rsidRDefault="000F2F67" w:rsidP="00FB747D">
            <w:pPr>
              <w:rPr>
                <w:rFonts w:ascii="Arial" w:hAnsi="Arial" w:cs="Arial"/>
                <w:b w:val="0"/>
                <w:bCs/>
                <w:color w:val="auto"/>
              </w:rPr>
            </w:pPr>
            <w:r w:rsidRPr="00C079B6">
              <w:rPr>
                <w:rFonts w:ascii="Arial" w:hAnsi="Arial" w:cs="Arial"/>
                <w:b w:val="0"/>
                <w:bCs/>
                <w:color w:val="auto"/>
              </w:rPr>
              <w:t>IO</w:t>
            </w:r>
          </w:p>
        </w:tc>
        <w:tc>
          <w:tcPr>
            <w:tcW w:w="7797" w:type="dxa"/>
          </w:tcPr>
          <w:p w14:paraId="0019B4CE" w14:textId="5C7A3FF7" w:rsidR="000F2F67" w:rsidRPr="00AC73E9" w:rsidRDefault="000F2F67" w:rsidP="00FB747D">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Intermediate </w:t>
            </w:r>
            <w:r w:rsidR="00AA0026">
              <w:rPr>
                <w:rFonts w:ascii="Arial" w:hAnsi="Arial" w:cs="Arial"/>
                <w:color w:val="auto"/>
              </w:rPr>
              <w:t>o</w:t>
            </w:r>
            <w:r>
              <w:rPr>
                <w:rFonts w:ascii="Arial" w:hAnsi="Arial" w:cs="Arial"/>
                <w:color w:val="auto"/>
              </w:rPr>
              <w:t>utcome</w:t>
            </w:r>
          </w:p>
        </w:tc>
      </w:tr>
      <w:tr w:rsidR="00FE63C2" w:rsidRPr="00530B2E" w14:paraId="34563276" w14:textId="77777777" w:rsidTr="152412E2">
        <w:tc>
          <w:tcPr>
            <w:cnfStyle w:val="001000000000" w:firstRow="0" w:lastRow="0" w:firstColumn="1" w:lastColumn="0" w:oddVBand="0" w:evenVBand="0" w:oddHBand="0" w:evenHBand="0" w:firstRowFirstColumn="0" w:firstRowLastColumn="0" w:lastRowFirstColumn="0" w:lastRowLastColumn="0"/>
            <w:tcW w:w="1809" w:type="dxa"/>
          </w:tcPr>
          <w:p w14:paraId="167024CD" w14:textId="642FC7F0" w:rsidR="00FE63C2" w:rsidRPr="00C079B6" w:rsidRDefault="00FE63C2" w:rsidP="00FB747D">
            <w:pPr>
              <w:rPr>
                <w:rFonts w:ascii="Arial" w:hAnsi="Arial" w:cs="Arial"/>
                <w:b w:val="0"/>
                <w:bCs/>
                <w:color w:val="auto"/>
              </w:rPr>
            </w:pPr>
            <w:r w:rsidRPr="00C079B6">
              <w:rPr>
                <w:rFonts w:ascii="Arial" w:hAnsi="Arial" w:cs="Arial"/>
                <w:b w:val="0"/>
                <w:bCs/>
                <w:color w:val="auto"/>
              </w:rPr>
              <w:t>KRQ</w:t>
            </w:r>
          </w:p>
        </w:tc>
        <w:tc>
          <w:tcPr>
            <w:tcW w:w="7797" w:type="dxa"/>
          </w:tcPr>
          <w:p w14:paraId="674099B9" w14:textId="0580D8BD" w:rsidR="00FE63C2" w:rsidRPr="00AC73E9" w:rsidRDefault="00FE63C2" w:rsidP="00FB747D">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Key </w:t>
            </w:r>
            <w:r w:rsidR="00AA0026">
              <w:rPr>
                <w:rFonts w:ascii="Arial" w:hAnsi="Arial" w:cs="Arial"/>
                <w:color w:val="auto"/>
              </w:rPr>
              <w:t>r</w:t>
            </w:r>
            <w:r>
              <w:rPr>
                <w:rFonts w:ascii="Arial" w:hAnsi="Arial" w:cs="Arial"/>
                <w:color w:val="auto"/>
              </w:rPr>
              <w:t xml:space="preserve">eview </w:t>
            </w:r>
            <w:r w:rsidR="00AA0026">
              <w:rPr>
                <w:rFonts w:ascii="Arial" w:hAnsi="Arial" w:cs="Arial"/>
                <w:color w:val="auto"/>
              </w:rPr>
              <w:t>q</w:t>
            </w:r>
            <w:r>
              <w:rPr>
                <w:rFonts w:ascii="Arial" w:hAnsi="Arial" w:cs="Arial"/>
                <w:color w:val="auto"/>
              </w:rPr>
              <w:t>uestion</w:t>
            </w:r>
          </w:p>
        </w:tc>
      </w:tr>
      <w:tr w:rsidR="004D0AEC" w:rsidRPr="004D0AEC" w14:paraId="329C37F3" w14:textId="77777777" w:rsidTr="152412E2">
        <w:tc>
          <w:tcPr>
            <w:cnfStyle w:val="001000000000" w:firstRow="0" w:lastRow="0" w:firstColumn="1" w:lastColumn="0" w:oddVBand="0" w:evenVBand="0" w:oddHBand="0" w:evenHBand="0" w:firstRowFirstColumn="0" w:firstRowLastColumn="0" w:lastRowFirstColumn="0" w:lastRowLastColumn="0"/>
            <w:tcW w:w="1809" w:type="dxa"/>
          </w:tcPr>
          <w:p w14:paraId="2259108F" w14:textId="0070E89C" w:rsidR="004D0AEC" w:rsidRPr="004D0AEC" w:rsidRDefault="004D0AEC" w:rsidP="00FB747D">
            <w:pPr>
              <w:rPr>
                <w:rFonts w:ascii="Arial" w:hAnsi="Arial" w:cs="Arial"/>
                <w:b w:val="0"/>
                <w:color w:val="auto"/>
              </w:rPr>
            </w:pPr>
            <w:r w:rsidRPr="004D0AEC">
              <w:rPr>
                <w:rFonts w:ascii="Arial" w:hAnsi="Arial" w:cs="Arial"/>
                <w:b w:val="0"/>
                <w:color w:val="auto"/>
              </w:rPr>
              <w:t>M&amp;E</w:t>
            </w:r>
          </w:p>
        </w:tc>
        <w:tc>
          <w:tcPr>
            <w:tcW w:w="7797" w:type="dxa"/>
          </w:tcPr>
          <w:p w14:paraId="4DDD01D5" w14:textId="264AA4E3" w:rsidR="004D0AEC" w:rsidRPr="004D0AEC" w:rsidRDefault="004D0AEC" w:rsidP="00FB747D">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D0AEC">
              <w:rPr>
                <w:rFonts w:ascii="Arial" w:hAnsi="Arial" w:cs="Arial"/>
                <w:color w:val="auto"/>
              </w:rPr>
              <w:t>Monitoring and Evaluation</w:t>
            </w:r>
          </w:p>
        </w:tc>
      </w:tr>
      <w:tr w:rsidR="00F63475" w:rsidRPr="00530B2E" w14:paraId="1862BEFE" w14:textId="77777777" w:rsidTr="152412E2">
        <w:tc>
          <w:tcPr>
            <w:cnfStyle w:val="001000000000" w:firstRow="0" w:lastRow="0" w:firstColumn="1" w:lastColumn="0" w:oddVBand="0" w:evenVBand="0" w:oddHBand="0" w:evenHBand="0" w:firstRowFirstColumn="0" w:firstRowLastColumn="0" w:lastRowFirstColumn="0" w:lastRowLastColumn="0"/>
            <w:tcW w:w="1809" w:type="dxa"/>
          </w:tcPr>
          <w:p w14:paraId="3AF65561" w14:textId="3B370183" w:rsidR="00F63475" w:rsidRPr="00C079B6" w:rsidRDefault="00F63475" w:rsidP="00FB747D">
            <w:pPr>
              <w:rPr>
                <w:rFonts w:ascii="Arial" w:hAnsi="Arial" w:cs="Arial"/>
                <w:b w:val="0"/>
                <w:bCs/>
                <w:color w:val="auto"/>
              </w:rPr>
            </w:pPr>
            <w:r w:rsidRPr="00C079B6">
              <w:rPr>
                <w:rFonts w:ascii="Arial" w:hAnsi="Arial" w:cs="Arial"/>
                <w:b w:val="0"/>
                <w:bCs/>
                <w:color w:val="auto"/>
              </w:rPr>
              <w:t>MEL</w:t>
            </w:r>
          </w:p>
        </w:tc>
        <w:tc>
          <w:tcPr>
            <w:tcW w:w="7797" w:type="dxa"/>
          </w:tcPr>
          <w:p w14:paraId="17364787" w14:textId="66823211" w:rsidR="00F63475" w:rsidRPr="00FE63C2" w:rsidRDefault="00F63475" w:rsidP="152412E2">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152412E2">
              <w:rPr>
                <w:rFonts w:ascii="Arial" w:hAnsi="Arial" w:cs="Arial"/>
                <w:color w:val="auto"/>
              </w:rPr>
              <w:t>Monitoring, evaluation and learning</w:t>
            </w:r>
          </w:p>
        </w:tc>
      </w:tr>
      <w:tr w:rsidR="00B030CB" w:rsidRPr="00530B2E" w14:paraId="0E6A7EF1" w14:textId="77777777" w:rsidTr="152412E2">
        <w:tc>
          <w:tcPr>
            <w:cnfStyle w:val="001000000000" w:firstRow="0" w:lastRow="0" w:firstColumn="1" w:lastColumn="0" w:oddVBand="0" w:evenVBand="0" w:oddHBand="0" w:evenHBand="0" w:firstRowFirstColumn="0" w:firstRowLastColumn="0" w:lastRowFirstColumn="0" w:lastRowLastColumn="0"/>
            <w:tcW w:w="1809" w:type="dxa"/>
          </w:tcPr>
          <w:p w14:paraId="5DCFCDE7" w14:textId="7D7AE398" w:rsidR="00B030CB" w:rsidRPr="00C079B6" w:rsidRDefault="00B030CB" w:rsidP="00FB747D">
            <w:pPr>
              <w:rPr>
                <w:rFonts w:ascii="Arial" w:hAnsi="Arial" w:cs="Arial"/>
                <w:b w:val="0"/>
                <w:bCs/>
                <w:color w:val="auto"/>
              </w:rPr>
            </w:pPr>
            <w:r w:rsidRPr="00C079B6">
              <w:rPr>
                <w:rFonts w:ascii="Arial" w:hAnsi="Arial" w:cs="Arial"/>
                <w:b w:val="0"/>
                <w:bCs/>
                <w:color w:val="auto"/>
              </w:rPr>
              <w:t>OTP</w:t>
            </w:r>
          </w:p>
        </w:tc>
        <w:tc>
          <w:tcPr>
            <w:tcW w:w="7797" w:type="dxa"/>
          </w:tcPr>
          <w:p w14:paraId="081AFD0D" w14:textId="338AB556" w:rsidR="00B030CB" w:rsidRPr="00AC73E9" w:rsidRDefault="00B030CB" w:rsidP="00FB747D">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C73E9">
              <w:rPr>
                <w:rFonts w:ascii="Arial" w:hAnsi="Arial" w:cs="Arial"/>
                <w:color w:val="auto"/>
              </w:rPr>
              <w:t>Office of the Pacific</w:t>
            </w:r>
          </w:p>
        </w:tc>
      </w:tr>
      <w:tr w:rsidR="00A8616D" w:rsidRPr="00530B2E" w14:paraId="47B7D10B" w14:textId="77777777" w:rsidTr="152412E2">
        <w:tc>
          <w:tcPr>
            <w:cnfStyle w:val="001000000000" w:firstRow="0" w:lastRow="0" w:firstColumn="1" w:lastColumn="0" w:oddVBand="0" w:evenVBand="0" w:oddHBand="0" w:evenHBand="0" w:firstRowFirstColumn="0" w:firstRowLastColumn="0" w:lastRowFirstColumn="0" w:lastRowLastColumn="0"/>
            <w:tcW w:w="1809" w:type="dxa"/>
          </w:tcPr>
          <w:p w14:paraId="6ACB8A3C" w14:textId="0D9D387E" w:rsidR="00A8616D" w:rsidRPr="0071382D" w:rsidRDefault="00A8616D" w:rsidP="00FB747D">
            <w:pPr>
              <w:rPr>
                <w:rFonts w:ascii="Arial" w:hAnsi="Arial" w:cs="Arial"/>
                <w:b w:val="0"/>
                <w:color w:val="auto"/>
              </w:rPr>
            </w:pPr>
            <w:r w:rsidRPr="0071382D">
              <w:rPr>
                <w:rFonts w:ascii="Arial" w:hAnsi="Arial" w:cs="Arial"/>
                <w:b w:val="0"/>
                <w:color w:val="auto"/>
              </w:rPr>
              <w:t>PAF</w:t>
            </w:r>
          </w:p>
        </w:tc>
        <w:tc>
          <w:tcPr>
            <w:tcW w:w="7797" w:type="dxa"/>
          </w:tcPr>
          <w:p w14:paraId="1D830DDE" w14:textId="23C082EF" w:rsidR="00A8616D" w:rsidRPr="00AC73E9" w:rsidRDefault="00B5041C" w:rsidP="00FB747D">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Performance</w:t>
            </w:r>
            <w:r w:rsidR="00A8616D">
              <w:rPr>
                <w:rFonts w:ascii="Arial" w:hAnsi="Arial" w:cs="Arial"/>
                <w:color w:val="auto"/>
              </w:rPr>
              <w:t xml:space="preserve"> Assessment Framework</w:t>
            </w:r>
          </w:p>
        </w:tc>
      </w:tr>
      <w:tr w:rsidR="00982B7D" w:rsidRPr="00530B2E" w14:paraId="6DCB3AA2" w14:textId="77777777" w:rsidTr="152412E2">
        <w:tc>
          <w:tcPr>
            <w:cnfStyle w:val="001000000000" w:firstRow="0" w:lastRow="0" w:firstColumn="1" w:lastColumn="0" w:oddVBand="0" w:evenVBand="0" w:oddHBand="0" w:evenHBand="0" w:firstRowFirstColumn="0" w:firstRowLastColumn="0" w:lastRowFirstColumn="0" w:lastRowLastColumn="0"/>
            <w:tcW w:w="1809" w:type="dxa"/>
          </w:tcPr>
          <w:p w14:paraId="13DD746E" w14:textId="5D211C31" w:rsidR="00982B7D" w:rsidRPr="00982B7D" w:rsidRDefault="00982B7D" w:rsidP="00FB747D">
            <w:pPr>
              <w:rPr>
                <w:rFonts w:ascii="Arial" w:hAnsi="Arial" w:cs="Arial"/>
                <w:b w:val="0"/>
                <w:color w:val="auto"/>
              </w:rPr>
            </w:pPr>
            <w:r w:rsidRPr="00982B7D">
              <w:rPr>
                <w:rFonts w:ascii="Arial" w:hAnsi="Arial" w:cs="Arial"/>
                <w:b w:val="0"/>
                <w:color w:val="auto"/>
              </w:rPr>
              <w:t>PAG</w:t>
            </w:r>
          </w:p>
        </w:tc>
        <w:tc>
          <w:tcPr>
            <w:tcW w:w="7797" w:type="dxa"/>
          </w:tcPr>
          <w:p w14:paraId="31C85756" w14:textId="0815DB91" w:rsidR="00982B7D" w:rsidRPr="00AC73E9" w:rsidRDefault="005251D3" w:rsidP="00FB747D">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PRES </w:t>
            </w:r>
            <w:r w:rsidR="00982B7D">
              <w:rPr>
                <w:rFonts w:ascii="Arial" w:hAnsi="Arial" w:cs="Arial"/>
                <w:color w:val="auto"/>
              </w:rPr>
              <w:t>Advisory Group</w:t>
            </w:r>
          </w:p>
        </w:tc>
      </w:tr>
      <w:tr w:rsidR="009B7435" w:rsidRPr="00530B2E" w14:paraId="34C3E3AF" w14:textId="77777777" w:rsidTr="152412E2">
        <w:tc>
          <w:tcPr>
            <w:cnfStyle w:val="001000000000" w:firstRow="0" w:lastRow="0" w:firstColumn="1" w:lastColumn="0" w:oddVBand="0" w:evenVBand="0" w:oddHBand="0" w:evenHBand="0" w:firstRowFirstColumn="0" w:firstRowLastColumn="0" w:lastRowFirstColumn="0" w:lastRowLastColumn="0"/>
            <w:tcW w:w="1809" w:type="dxa"/>
          </w:tcPr>
          <w:p w14:paraId="7173E7C2" w14:textId="0CCB2B68" w:rsidR="009B7435" w:rsidRPr="00B515EE" w:rsidRDefault="009B7435" w:rsidP="00FB747D">
            <w:pPr>
              <w:rPr>
                <w:rFonts w:ascii="Arial" w:hAnsi="Arial" w:cs="Arial"/>
                <w:b w:val="0"/>
                <w:bCs/>
                <w:color w:val="auto"/>
              </w:rPr>
            </w:pPr>
            <w:r w:rsidRPr="00B515EE">
              <w:rPr>
                <w:rFonts w:ascii="Arial" w:hAnsi="Arial" w:cs="Arial"/>
                <w:b w:val="0"/>
                <w:bCs/>
                <w:color w:val="auto"/>
              </w:rPr>
              <w:t>PDFF</w:t>
            </w:r>
          </w:p>
        </w:tc>
        <w:tc>
          <w:tcPr>
            <w:tcW w:w="7797" w:type="dxa"/>
          </w:tcPr>
          <w:p w14:paraId="068EF118" w14:textId="472D54CE" w:rsidR="009B7435" w:rsidRDefault="009B7435" w:rsidP="00FB747D">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Pacific Direct Financing Fund</w:t>
            </w:r>
          </w:p>
        </w:tc>
      </w:tr>
      <w:tr w:rsidR="00DC767C" w:rsidRPr="00530B2E" w14:paraId="1F8B9DED" w14:textId="77777777" w:rsidTr="152412E2">
        <w:tc>
          <w:tcPr>
            <w:cnfStyle w:val="001000000000" w:firstRow="0" w:lastRow="0" w:firstColumn="1" w:lastColumn="0" w:oddVBand="0" w:evenVBand="0" w:oddHBand="0" w:evenHBand="0" w:firstRowFirstColumn="0" w:firstRowLastColumn="0" w:lastRowFirstColumn="0" w:lastRowLastColumn="0"/>
            <w:tcW w:w="1809" w:type="dxa"/>
          </w:tcPr>
          <w:p w14:paraId="28BB9828" w14:textId="49B293FE" w:rsidR="00DC767C" w:rsidRPr="00C079B6" w:rsidRDefault="00DC767C" w:rsidP="00FB747D">
            <w:pPr>
              <w:rPr>
                <w:rFonts w:ascii="Arial" w:hAnsi="Arial" w:cs="Arial"/>
                <w:b w:val="0"/>
                <w:bCs/>
                <w:color w:val="auto"/>
              </w:rPr>
            </w:pPr>
            <w:r w:rsidRPr="00C079B6">
              <w:rPr>
                <w:rFonts w:ascii="Arial" w:hAnsi="Arial" w:cs="Arial"/>
                <w:b w:val="0"/>
                <w:bCs/>
                <w:color w:val="auto"/>
              </w:rPr>
              <w:t>PEB</w:t>
            </w:r>
          </w:p>
        </w:tc>
        <w:tc>
          <w:tcPr>
            <w:tcW w:w="7797" w:type="dxa"/>
          </w:tcPr>
          <w:p w14:paraId="3FC91085" w14:textId="2F5341A3" w:rsidR="00DC767C" w:rsidRPr="00AC73E9" w:rsidRDefault="00DC767C" w:rsidP="00FB747D">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C73E9">
              <w:rPr>
                <w:rFonts w:ascii="Arial" w:hAnsi="Arial" w:cs="Arial"/>
                <w:color w:val="auto"/>
              </w:rPr>
              <w:t>Pacific Economic and Trade Branch</w:t>
            </w:r>
          </w:p>
        </w:tc>
      </w:tr>
      <w:tr w:rsidR="00DC767C" w:rsidRPr="00530B2E" w14:paraId="47AB2CE7" w14:textId="77777777" w:rsidTr="152412E2">
        <w:tc>
          <w:tcPr>
            <w:cnfStyle w:val="001000000000" w:firstRow="0" w:lastRow="0" w:firstColumn="1" w:lastColumn="0" w:oddVBand="0" w:evenVBand="0" w:oddHBand="0" w:evenHBand="0" w:firstRowFirstColumn="0" w:firstRowLastColumn="0" w:lastRowFirstColumn="0" w:lastRowLastColumn="0"/>
            <w:tcW w:w="1809" w:type="dxa"/>
          </w:tcPr>
          <w:p w14:paraId="32C9DEC4" w14:textId="0594AC63" w:rsidR="00DC767C" w:rsidRPr="00C079B6" w:rsidRDefault="00DC767C" w:rsidP="00FB747D">
            <w:pPr>
              <w:rPr>
                <w:rFonts w:ascii="Arial" w:hAnsi="Arial" w:cs="Arial"/>
                <w:b w:val="0"/>
                <w:bCs/>
                <w:color w:val="auto"/>
              </w:rPr>
            </w:pPr>
            <w:r w:rsidRPr="00C079B6">
              <w:rPr>
                <w:rFonts w:ascii="Arial" w:hAnsi="Arial" w:cs="Arial"/>
                <w:b w:val="0"/>
                <w:bCs/>
                <w:color w:val="auto"/>
              </w:rPr>
              <w:t>PRES</w:t>
            </w:r>
          </w:p>
        </w:tc>
        <w:tc>
          <w:tcPr>
            <w:tcW w:w="7797" w:type="dxa"/>
          </w:tcPr>
          <w:p w14:paraId="0573D47B" w14:textId="7B12DCB1" w:rsidR="00DC767C" w:rsidRPr="00AC73E9" w:rsidRDefault="00DC767C" w:rsidP="00FB747D">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C73E9">
              <w:rPr>
                <w:rFonts w:ascii="Arial" w:hAnsi="Arial" w:cs="Arial"/>
                <w:color w:val="auto"/>
              </w:rPr>
              <w:t xml:space="preserve">Pacific Recovery Economic Support </w:t>
            </w:r>
            <w:r w:rsidR="00AA0026">
              <w:rPr>
                <w:rFonts w:ascii="Arial" w:hAnsi="Arial" w:cs="Arial"/>
                <w:color w:val="auto"/>
              </w:rPr>
              <w:t>p</w:t>
            </w:r>
            <w:r w:rsidRPr="00AC73E9">
              <w:rPr>
                <w:rFonts w:ascii="Arial" w:hAnsi="Arial" w:cs="Arial"/>
                <w:color w:val="auto"/>
              </w:rPr>
              <w:t>rogram</w:t>
            </w:r>
          </w:p>
        </w:tc>
      </w:tr>
      <w:tr w:rsidR="001E0633" w:rsidRPr="00530B2E" w14:paraId="1CA5AB26" w14:textId="77777777" w:rsidTr="152412E2">
        <w:tc>
          <w:tcPr>
            <w:cnfStyle w:val="001000000000" w:firstRow="0" w:lastRow="0" w:firstColumn="1" w:lastColumn="0" w:oddVBand="0" w:evenVBand="0" w:oddHBand="0" w:evenHBand="0" w:firstRowFirstColumn="0" w:firstRowLastColumn="0" w:lastRowFirstColumn="0" w:lastRowLastColumn="0"/>
            <w:tcW w:w="1809" w:type="dxa"/>
          </w:tcPr>
          <w:p w14:paraId="0A15DB95" w14:textId="3633DC58" w:rsidR="001E0633" w:rsidRPr="001E0633" w:rsidRDefault="001E0633" w:rsidP="00FB747D">
            <w:pPr>
              <w:rPr>
                <w:rFonts w:ascii="Arial" w:hAnsi="Arial" w:cs="Arial"/>
                <w:b w:val="0"/>
                <w:color w:val="auto"/>
              </w:rPr>
            </w:pPr>
            <w:r w:rsidRPr="001E0633">
              <w:rPr>
                <w:rFonts w:ascii="Arial" w:hAnsi="Arial" w:cs="Arial"/>
                <w:b w:val="0"/>
                <w:color w:val="auto"/>
              </w:rPr>
              <w:t>TN</w:t>
            </w:r>
          </w:p>
        </w:tc>
        <w:tc>
          <w:tcPr>
            <w:tcW w:w="7797" w:type="dxa"/>
          </w:tcPr>
          <w:p w14:paraId="039595EF" w14:textId="13F4F757" w:rsidR="001E0633" w:rsidRPr="152412E2" w:rsidRDefault="001E0633" w:rsidP="152412E2">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Tasking Note</w:t>
            </w:r>
          </w:p>
        </w:tc>
      </w:tr>
      <w:tr w:rsidR="00575805" w:rsidRPr="00530B2E" w14:paraId="5B2DF317" w14:textId="77777777" w:rsidTr="152412E2">
        <w:tc>
          <w:tcPr>
            <w:cnfStyle w:val="001000000000" w:firstRow="0" w:lastRow="0" w:firstColumn="1" w:lastColumn="0" w:oddVBand="0" w:evenVBand="0" w:oddHBand="0" w:evenHBand="0" w:firstRowFirstColumn="0" w:firstRowLastColumn="0" w:lastRowFirstColumn="0" w:lastRowLastColumn="0"/>
            <w:tcW w:w="1809" w:type="dxa"/>
          </w:tcPr>
          <w:p w14:paraId="61109275" w14:textId="2C4EBF5F" w:rsidR="00575805" w:rsidRPr="003A553E" w:rsidRDefault="00575805" w:rsidP="00FB747D">
            <w:pPr>
              <w:rPr>
                <w:rFonts w:ascii="Arial" w:hAnsi="Arial" w:cs="Arial"/>
                <w:b w:val="0"/>
                <w:color w:val="auto"/>
              </w:rPr>
            </w:pPr>
            <w:r w:rsidRPr="003A553E">
              <w:rPr>
                <w:rFonts w:ascii="Arial" w:hAnsi="Arial" w:cs="Arial"/>
                <w:b w:val="0"/>
                <w:color w:val="auto"/>
              </w:rPr>
              <w:t>TNA</w:t>
            </w:r>
          </w:p>
        </w:tc>
        <w:tc>
          <w:tcPr>
            <w:tcW w:w="7797" w:type="dxa"/>
          </w:tcPr>
          <w:p w14:paraId="53CF84FE" w14:textId="287C4951" w:rsidR="00575805" w:rsidRDefault="00575805" w:rsidP="152412E2">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Tasking Note Assessment</w:t>
            </w:r>
          </w:p>
        </w:tc>
      </w:tr>
      <w:tr w:rsidR="00575805" w:rsidRPr="00530B2E" w14:paraId="595595DB" w14:textId="77777777" w:rsidTr="152412E2">
        <w:tc>
          <w:tcPr>
            <w:cnfStyle w:val="001000000000" w:firstRow="0" w:lastRow="0" w:firstColumn="1" w:lastColumn="0" w:oddVBand="0" w:evenVBand="0" w:oddHBand="0" w:evenHBand="0" w:firstRowFirstColumn="0" w:firstRowLastColumn="0" w:lastRowFirstColumn="0" w:lastRowLastColumn="0"/>
            <w:tcW w:w="1809" w:type="dxa"/>
          </w:tcPr>
          <w:p w14:paraId="4FA55BF5" w14:textId="1C59C3FA" w:rsidR="00575805" w:rsidRPr="003A553E" w:rsidRDefault="00575805" w:rsidP="00FB747D">
            <w:pPr>
              <w:rPr>
                <w:rFonts w:ascii="Arial" w:hAnsi="Arial" w:cs="Arial"/>
                <w:b w:val="0"/>
                <w:bCs/>
                <w:color w:val="auto"/>
              </w:rPr>
            </w:pPr>
            <w:r>
              <w:rPr>
                <w:rFonts w:ascii="Arial" w:hAnsi="Arial" w:cs="Arial"/>
                <w:b w:val="0"/>
                <w:bCs/>
                <w:color w:val="auto"/>
              </w:rPr>
              <w:t>VfM</w:t>
            </w:r>
          </w:p>
        </w:tc>
        <w:tc>
          <w:tcPr>
            <w:tcW w:w="7797" w:type="dxa"/>
          </w:tcPr>
          <w:p w14:paraId="15C59E46" w14:textId="436DDE00" w:rsidR="00575805" w:rsidRDefault="00575805" w:rsidP="00FB747D">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Value for Money </w:t>
            </w:r>
          </w:p>
        </w:tc>
      </w:tr>
    </w:tbl>
    <w:p w14:paraId="2A94FB4A" w14:textId="77777777" w:rsidR="00DA60EA" w:rsidRPr="00DA60EA" w:rsidRDefault="00DA60EA" w:rsidP="00AA1B5A">
      <w:pPr>
        <w:pStyle w:val="Heading1nonumber"/>
        <w:spacing w:after="120"/>
      </w:pPr>
      <w:bookmarkStart w:id="2" w:name="_Toc195808956"/>
      <w:bookmarkStart w:id="3" w:name="_Toc205992456"/>
      <w:bookmarkStart w:id="4" w:name="_Toc205992543"/>
      <w:bookmarkStart w:id="5" w:name="_Toc41468172"/>
      <w:bookmarkStart w:id="6" w:name="_Toc41507066"/>
      <w:bookmarkStart w:id="7" w:name="_Toc41565028"/>
      <w:bookmarkStart w:id="8" w:name="_Toc41664819"/>
      <w:r w:rsidRPr="00DA60EA">
        <w:lastRenderedPageBreak/>
        <w:t>EXECUTIVE SUMMARY</w:t>
      </w:r>
      <w:bookmarkEnd w:id="2"/>
      <w:bookmarkEnd w:id="3"/>
      <w:bookmarkEnd w:id="4"/>
    </w:p>
    <w:p w14:paraId="307908A5" w14:textId="77777777" w:rsidR="00DA60EA" w:rsidRPr="00DA60EA" w:rsidRDefault="00DA60EA" w:rsidP="00D93E5B">
      <w:pPr>
        <w:pStyle w:val="Heading3nonumber"/>
      </w:pPr>
      <w:bookmarkStart w:id="9" w:name="_Toc169790081"/>
      <w:bookmarkStart w:id="10" w:name="_Toc173244364"/>
      <w:bookmarkStart w:id="11" w:name="_Toc173318133"/>
      <w:r w:rsidRPr="00DA60EA">
        <w:t>Introduction</w:t>
      </w:r>
      <w:bookmarkEnd w:id="9"/>
      <w:bookmarkEnd w:id="10"/>
      <w:bookmarkEnd w:id="11"/>
    </w:p>
    <w:p w14:paraId="65D74621" w14:textId="4DB8AAC7" w:rsidR="006419D1" w:rsidRDefault="006419D1" w:rsidP="00B63BAA">
      <w:pPr>
        <w:rPr>
          <w:rFonts w:ascii="Arial" w:eastAsiaTheme="minorEastAsia" w:hAnsi="Arial" w:cs="Arial"/>
          <w:szCs w:val="21"/>
        </w:rPr>
      </w:pPr>
      <w:r w:rsidRPr="006036DF">
        <w:rPr>
          <w:rFonts w:ascii="Arial" w:eastAsiaTheme="minorEastAsia" w:hAnsi="Arial" w:cs="Arial"/>
          <w:szCs w:val="21"/>
        </w:rPr>
        <w:t xml:space="preserve">The Pacific Recovery Economic Support (PRES) </w:t>
      </w:r>
      <w:r w:rsidR="00D86DF3" w:rsidRPr="006036DF">
        <w:rPr>
          <w:rFonts w:ascii="Arial" w:eastAsiaTheme="minorEastAsia" w:hAnsi="Arial" w:cs="Arial"/>
          <w:szCs w:val="21"/>
        </w:rPr>
        <w:t>p</w:t>
      </w:r>
      <w:r w:rsidRPr="006036DF">
        <w:rPr>
          <w:rFonts w:ascii="Arial" w:eastAsiaTheme="minorEastAsia" w:hAnsi="Arial" w:cs="Arial"/>
          <w:szCs w:val="21"/>
        </w:rPr>
        <w:t>rogram provides technical advisory services to DFAT’s Pacific Economic and Trade Branch</w:t>
      </w:r>
      <w:r w:rsidR="003E537F" w:rsidRPr="006036DF">
        <w:rPr>
          <w:rFonts w:ascii="Arial" w:eastAsiaTheme="minorEastAsia" w:hAnsi="Arial" w:cs="Arial"/>
          <w:szCs w:val="21"/>
        </w:rPr>
        <w:t xml:space="preserve"> (PEB)</w:t>
      </w:r>
      <w:r w:rsidRPr="006036DF">
        <w:rPr>
          <w:rFonts w:ascii="Arial" w:eastAsiaTheme="minorEastAsia" w:hAnsi="Arial" w:cs="Arial"/>
          <w:szCs w:val="21"/>
        </w:rPr>
        <w:t xml:space="preserve"> within the Office of the Pacific (OTP) and contributes to economic analysis, policy and program development, program implementation and monitoring, evaluation and learning</w:t>
      </w:r>
      <w:r w:rsidR="001202D3" w:rsidRPr="006036DF">
        <w:rPr>
          <w:rFonts w:ascii="Arial" w:eastAsiaTheme="minorEastAsia" w:hAnsi="Arial" w:cs="Arial"/>
          <w:szCs w:val="21"/>
        </w:rPr>
        <w:t xml:space="preserve"> (MEL)</w:t>
      </w:r>
      <w:r w:rsidRPr="006036DF">
        <w:rPr>
          <w:rFonts w:ascii="Arial" w:eastAsiaTheme="minorEastAsia" w:hAnsi="Arial" w:cs="Arial"/>
          <w:szCs w:val="21"/>
        </w:rPr>
        <w:t xml:space="preserve">. </w:t>
      </w:r>
      <w:r w:rsidR="001E0909" w:rsidRPr="006036DF">
        <w:rPr>
          <w:rFonts w:ascii="Arial" w:eastAsiaTheme="minorEastAsia" w:hAnsi="Arial" w:cs="Arial"/>
          <w:szCs w:val="21"/>
        </w:rPr>
        <w:t>This four-year program</w:t>
      </w:r>
      <w:r w:rsidRPr="006036DF">
        <w:rPr>
          <w:rFonts w:ascii="Arial" w:eastAsiaTheme="minorEastAsia" w:hAnsi="Arial" w:cs="Arial"/>
          <w:szCs w:val="21"/>
        </w:rPr>
        <w:t xml:space="preserve"> commenced on 19 November 2021 and will </w:t>
      </w:r>
      <w:r w:rsidR="00FB0315" w:rsidRPr="006036DF">
        <w:rPr>
          <w:rFonts w:ascii="Arial" w:eastAsiaTheme="minorEastAsia" w:hAnsi="Arial" w:cs="Arial"/>
          <w:szCs w:val="21"/>
        </w:rPr>
        <w:t>conclude</w:t>
      </w:r>
      <w:r w:rsidRPr="006036DF">
        <w:rPr>
          <w:rFonts w:ascii="Arial" w:eastAsiaTheme="minorEastAsia" w:hAnsi="Arial" w:cs="Arial"/>
          <w:szCs w:val="21"/>
        </w:rPr>
        <w:t xml:space="preserve"> on 31 December 2025</w:t>
      </w:r>
      <w:r w:rsidR="001E0909" w:rsidRPr="006036DF">
        <w:rPr>
          <w:rFonts w:ascii="Arial" w:eastAsiaTheme="minorEastAsia" w:hAnsi="Arial" w:cs="Arial"/>
          <w:szCs w:val="21"/>
        </w:rPr>
        <w:t>,</w:t>
      </w:r>
      <w:r w:rsidRPr="006036DF">
        <w:rPr>
          <w:rFonts w:ascii="Arial" w:eastAsiaTheme="minorEastAsia" w:hAnsi="Arial" w:cs="Arial"/>
          <w:szCs w:val="21"/>
        </w:rPr>
        <w:t xml:space="preserve"> with a total contracted value of </w:t>
      </w:r>
      <w:r w:rsidRPr="00122CBC">
        <w:rPr>
          <w:rFonts w:ascii="Arial" w:eastAsiaTheme="minorEastAsia" w:hAnsi="Arial" w:cs="Arial"/>
          <w:szCs w:val="21"/>
        </w:rPr>
        <w:t>$16.4</w:t>
      </w:r>
      <w:r w:rsidR="001202D3" w:rsidRPr="00122CBC">
        <w:rPr>
          <w:rFonts w:ascii="Arial" w:eastAsiaTheme="minorEastAsia" w:hAnsi="Arial" w:cs="Arial"/>
          <w:szCs w:val="21"/>
        </w:rPr>
        <w:t xml:space="preserve"> </w:t>
      </w:r>
      <w:r w:rsidRPr="00122CBC">
        <w:rPr>
          <w:rFonts w:ascii="Arial" w:eastAsiaTheme="minorEastAsia" w:hAnsi="Arial" w:cs="Arial"/>
          <w:szCs w:val="21"/>
        </w:rPr>
        <w:t>m</w:t>
      </w:r>
      <w:r w:rsidR="001202D3" w:rsidRPr="00122CBC">
        <w:rPr>
          <w:rFonts w:ascii="Arial" w:eastAsiaTheme="minorEastAsia" w:hAnsi="Arial" w:cs="Arial"/>
          <w:szCs w:val="21"/>
        </w:rPr>
        <w:t>illion</w:t>
      </w:r>
      <w:r w:rsidRPr="00122CBC">
        <w:rPr>
          <w:rFonts w:ascii="Arial" w:eastAsiaTheme="minorEastAsia" w:hAnsi="Arial" w:cs="Arial"/>
          <w:szCs w:val="21"/>
        </w:rPr>
        <w:t xml:space="preserve"> for PEB activities</w:t>
      </w:r>
      <w:r w:rsidR="001E0909" w:rsidRPr="00122CBC">
        <w:rPr>
          <w:rFonts w:ascii="Arial" w:eastAsiaTheme="minorEastAsia" w:hAnsi="Arial" w:cs="Arial"/>
          <w:szCs w:val="21"/>
        </w:rPr>
        <w:t xml:space="preserve"> </w:t>
      </w:r>
      <w:r w:rsidRPr="00122CBC">
        <w:rPr>
          <w:rFonts w:ascii="Arial" w:eastAsiaTheme="minorEastAsia" w:hAnsi="Arial" w:cs="Arial"/>
          <w:szCs w:val="21"/>
        </w:rPr>
        <w:t>and $</w:t>
      </w:r>
      <w:r w:rsidR="006277E6" w:rsidRPr="00122CBC">
        <w:rPr>
          <w:rFonts w:ascii="Arial" w:eastAsiaTheme="minorEastAsia" w:hAnsi="Arial" w:cs="Arial"/>
          <w:szCs w:val="21"/>
        </w:rPr>
        <w:t>6.2</w:t>
      </w:r>
      <w:r w:rsidR="001202D3" w:rsidRPr="00122CBC">
        <w:rPr>
          <w:rFonts w:ascii="Arial" w:eastAsiaTheme="minorEastAsia" w:hAnsi="Arial" w:cs="Arial"/>
          <w:szCs w:val="21"/>
        </w:rPr>
        <w:t xml:space="preserve"> million</w:t>
      </w:r>
      <w:r w:rsidR="00FD09C0" w:rsidRPr="00122CBC">
        <w:rPr>
          <w:rFonts w:ascii="Arial" w:eastAsiaTheme="minorEastAsia" w:hAnsi="Arial" w:cs="Arial"/>
          <w:szCs w:val="21"/>
        </w:rPr>
        <w:t xml:space="preserve"> </w:t>
      </w:r>
      <w:r w:rsidRPr="00122CBC">
        <w:rPr>
          <w:rFonts w:ascii="Arial" w:eastAsiaTheme="minorEastAsia" w:hAnsi="Arial" w:cs="Arial"/>
          <w:szCs w:val="21"/>
        </w:rPr>
        <w:t>i</w:t>
      </w:r>
      <w:r w:rsidRPr="006277E6">
        <w:rPr>
          <w:rFonts w:ascii="Arial" w:eastAsiaTheme="minorEastAsia" w:hAnsi="Arial" w:cs="Arial"/>
          <w:szCs w:val="21"/>
        </w:rPr>
        <w:t>n</w:t>
      </w:r>
      <w:r w:rsidRPr="006036DF">
        <w:rPr>
          <w:rFonts w:ascii="Arial" w:eastAsiaTheme="minorEastAsia" w:hAnsi="Arial" w:cs="Arial"/>
          <w:szCs w:val="21"/>
        </w:rPr>
        <w:t xml:space="preserve"> </w:t>
      </w:r>
      <w:r w:rsidR="00FB0315" w:rsidRPr="006036DF">
        <w:rPr>
          <w:rFonts w:ascii="Arial" w:eastAsiaTheme="minorEastAsia" w:hAnsi="Arial" w:cs="Arial"/>
          <w:szCs w:val="21"/>
        </w:rPr>
        <w:t>a</w:t>
      </w:r>
      <w:r w:rsidRPr="006036DF">
        <w:rPr>
          <w:rFonts w:ascii="Arial" w:eastAsiaTheme="minorEastAsia" w:hAnsi="Arial" w:cs="Arial"/>
          <w:szCs w:val="21"/>
        </w:rPr>
        <w:t xml:space="preserve">dditional </w:t>
      </w:r>
      <w:r w:rsidR="00FB0315" w:rsidRPr="006036DF">
        <w:rPr>
          <w:rFonts w:ascii="Arial" w:eastAsiaTheme="minorEastAsia" w:hAnsi="Arial" w:cs="Arial"/>
          <w:szCs w:val="21"/>
        </w:rPr>
        <w:t>s</w:t>
      </w:r>
      <w:r w:rsidRPr="006036DF">
        <w:rPr>
          <w:rFonts w:ascii="Arial" w:eastAsiaTheme="minorEastAsia" w:hAnsi="Arial" w:cs="Arial"/>
          <w:szCs w:val="21"/>
        </w:rPr>
        <w:t xml:space="preserve">ervice </w:t>
      </w:r>
      <w:r w:rsidR="00FB0315" w:rsidRPr="006036DF">
        <w:rPr>
          <w:rFonts w:ascii="Arial" w:eastAsiaTheme="minorEastAsia" w:hAnsi="Arial" w:cs="Arial"/>
          <w:szCs w:val="21"/>
        </w:rPr>
        <w:t>o</w:t>
      </w:r>
      <w:r w:rsidRPr="006036DF">
        <w:rPr>
          <w:rFonts w:ascii="Arial" w:eastAsiaTheme="minorEastAsia" w:hAnsi="Arial" w:cs="Arial"/>
          <w:szCs w:val="21"/>
        </w:rPr>
        <w:t xml:space="preserve">rders </w:t>
      </w:r>
      <w:r w:rsidR="009F4FF5">
        <w:rPr>
          <w:rFonts w:ascii="Arial" w:eastAsiaTheme="minorEastAsia" w:hAnsi="Arial" w:cs="Arial"/>
          <w:szCs w:val="21"/>
        </w:rPr>
        <w:t xml:space="preserve">(ASOs) </w:t>
      </w:r>
      <w:r w:rsidRPr="006036DF">
        <w:rPr>
          <w:rFonts w:ascii="Arial" w:eastAsiaTheme="minorEastAsia" w:hAnsi="Arial" w:cs="Arial"/>
          <w:szCs w:val="21"/>
        </w:rPr>
        <w:t>for specific activities undertaken within OTP and Pacific posts.</w:t>
      </w:r>
      <w:r w:rsidR="00FB0315" w:rsidRPr="006036DF">
        <w:rPr>
          <w:rFonts w:ascii="Arial" w:eastAsiaTheme="minorEastAsia" w:hAnsi="Arial" w:cs="Arial"/>
          <w:szCs w:val="21"/>
        </w:rPr>
        <w:t xml:space="preserve"> PRES is delivered by Adam Smith International</w:t>
      </w:r>
      <w:r w:rsidR="00E62936">
        <w:rPr>
          <w:rFonts w:ascii="Arial" w:eastAsiaTheme="minorEastAsia" w:hAnsi="Arial" w:cs="Arial"/>
          <w:szCs w:val="21"/>
        </w:rPr>
        <w:t xml:space="preserve"> (ASI)</w:t>
      </w:r>
      <w:r w:rsidR="00FB0315" w:rsidRPr="006036DF">
        <w:rPr>
          <w:rFonts w:ascii="Arial" w:eastAsiaTheme="minorEastAsia" w:hAnsi="Arial" w:cs="Arial"/>
          <w:szCs w:val="21"/>
        </w:rPr>
        <w:t>.</w:t>
      </w:r>
    </w:p>
    <w:p w14:paraId="69128DAD" w14:textId="0798B0F9" w:rsidR="00E872AB" w:rsidRPr="003815EB" w:rsidRDefault="00E872AB" w:rsidP="00B63BAA">
      <w:r w:rsidRPr="47303FC7">
        <w:t xml:space="preserve">PRES aims to achieve two </w:t>
      </w:r>
      <w:r>
        <w:t>e</w:t>
      </w:r>
      <w:r w:rsidRPr="47303FC7">
        <w:t>nd</w:t>
      </w:r>
      <w:r>
        <w:t>-</w:t>
      </w:r>
      <w:r w:rsidRPr="47303FC7">
        <w:t>of</w:t>
      </w:r>
      <w:r>
        <w:t>-investment</w:t>
      </w:r>
      <w:r w:rsidRPr="47303FC7">
        <w:t xml:space="preserve"> </w:t>
      </w:r>
      <w:r>
        <w:t>o</w:t>
      </w:r>
      <w:r w:rsidRPr="47303FC7">
        <w:t>utcomes (EO</w:t>
      </w:r>
      <w:r>
        <w:t>I</w:t>
      </w:r>
      <w:r w:rsidRPr="47303FC7">
        <w:t>Os)</w:t>
      </w:r>
      <w:r>
        <w:t>:</w:t>
      </w:r>
      <w:r w:rsidRPr="47303FC7">
        <w:t xml:space="preserve"> </w:t>
      </w:r>
    </w:p>
    <w:p w14:paraId="07D20E9A" w14:textId="77777777" w:rsidR="00E872AB" w:rsidRPr="007C1F52" w:rsidRDefault="00E872AB" w:rsidP="00B63BAA">
      <w:pPr>
        <w:pStyle w:val="ListNumber"/>
        <w:spacing w:before="120"/>
        <w:ind w:left="641" w:hanging="357"/>
      </w:pPr>
      <w:r w:rsidRPr="007C1F52">
        <w:t>EOIO1 - Use of technical advice and support: DFAT staff use the technical advice, products or services accessed through PRES to support evidence-based policy, strategy, program coherence and enhanced investment design, management and performance.</w:t>
      </w:r>
    </w:p>
    <w:p w14:paraId="7E7F6D89" w14:textId="2315772B" w:rsidR="00E872AB" w:rsidRDefault="00E872AB" w:rsidP="00B63BAA">
      <w:pPr>
        <w:pStyle w:val="ListNumber"/>
        <w:spacing w:before="120"/>
        <w:ind w:left="641" w:hanging="357"/>
      </w:pPr>
      <w:r w:rsidRPr="007C1F52">
        <w:t>EOIO2 - Learning within PEB: PRES contributes to improving knowledge management and learning within PEB.</w:t>
      </w:r>
    </w:p>
    <w:p w14:paraId="59E4625C" w14:textId="3DFB1D2A" w:rsidR="00B435FE" w:rsidRDefault="006419D1" w:rsidP="00B63BAA">
      <w:pPr>
        <w:rPr>
          <w:rFonts w:ascii="Arial" w:eastAsiaTheme="minorEastAsia" w:hAnsi="Arial" w:cs="Arial"/>
          <w:szCs w:val="21"/>
        </w:rPr>
      </w:pPr>
      <w:r w:rsidRPr="006036DF">
        <w:rPr>
          <w:rFonts w:ascii="Arial" w:eastAsiaTheme="minorEastAsia" w:hAnsi="Arial" w:cs="Arial"/>
          <w:szCs w:val="21"/>
        </w:rPr>
        <w:t>DFAT commission</w:t>
      </w:r>
      <w:r w:rsidR="00C159AD" w:rsidRPr="006036DF">
        <w:rPr>
          <w:rFonts w:ascii="Arial" w:eastAsiaTheme="minorEastAsia" w:hAnsi="Arial" w:cs="Arial"/>
          <w:szCs w:val="21"/>
        </w:rPr>
        <w:t>ed this</w:t>
      </w:r>
      <w:r w:rsidRPr="006036DF">
        <w:rPr>
          <w:rFonts w:ascii="Arial" w:eastAsiaTheme="minorEastAsia" w:hAnsi="Arial" w:cs="Arial"/>
          <w:szCs w:val="21"/>
        </w:rPr>
        <w:t xml:space="preserve"> evaluation of PRES </w:t>
      </w:r>
      <w:r w:rsidR="00AF2003" w:rsidRPr="006036DF">
        <w:rPr>
          <w:rFonts w:ascii="Arial" w:eastAsiaTheme="minorEastAsia" w:hAnsi="Arial" w:cs="Arial"/>
          <w:szCs w:val="21"/>
        </w:rPr>
        <w:t>for the purposes of accountability, improvement and informing any future designs</w:t>
      </w:r>
      <w:r w:rsidRPr="006036DF">
        <w:rPr>
          <w:rFonts w:ascii="Arial" w:eastAsiaTheme="minorEastAsia" w:hAnsi="Arial" w:cs="Arial"/>
          <w:szCs w:val="21"/>
        </w:rPr>
        <w:t xml:space="preserve">. </w:t>
      </w:r>
    </w:p>
    <w:p w14:paraId="133610AC" w14:textId="3097901F" w:rsidR="006B27DA" w:rsidRDefault="006B27DA" w:rsidP="00B63BAA">
      <w:pPr>
        <w:rPr>
          <w:rFonts w:ascii="Arial" w:eastAsiaTheme="minorEastAsia" w:hAnsi="Arial" w:cs="Arial"/>
          <w:szCs w:val="21"/>
        </w:rPr>
      </w:pPr>
      <w:r>
        <w:rPr>
          <w:rFonts w:ascii="Arial" w:eastAsiaTheme="minorEastAsia" w:hAnsi="Arial" w:cs="Arial"/>
          <w:szCs w:val="21"/>
        </w:rPr>
        <w:t>This</w:t>
      </w:r>
      <w:r w:rsidR="008701AB">
        <w:rPr>
          <w:rFonts w:ascii="Arial" w:eastAsiaTheme="minorEastAsia" w:hAnsi="Arial" w:cs="Arial"/>
          <w:szCs w:val="21"/>
        </w:rPr>
        <w:t xml:space="preserve"> evaluation </w:t>
      </w:r>
      <w:r w:rsidR="00DA3684">
        <w:rPr>
          <w:rFonts w:ascii="Arial" w:eastAsiaTheme="minorEastAsia" w:hAnsi="Arial" w:cs="Arial"/>
          <w:szCs w:val="21"/>
        </w:rPr>
        <w:t xml:space="preserve">uses two main </w:t>
      </w:r>
      <w:r w:rsidR="00B70FAF">
        <w:rPr>
          <w:rFonts w:ascii="Arial" w:eastAsiaTheme="minorEastAsia" w:hAnsi="Arial" w:cs="Arial"/>
          <w:szCs w:val="21"/>
        </w:rPr>
        <w:t>methods of review:</w:t>
      </w:r>
    </w:p>
    <w:p w14:paraId="0AD16DD1" w14:textId="659AA4CE" w:rsidR="00B70FAF" w:rsidRPr="00B515EE" w:rsidRDefault="005034C7" w:rsidP="004D0AEC">
      <w:pPr>
        <w:pStyle w:val="ListBullet"/>
        <w:spacing w:before="120"/>
        <w:ind w:hanging="357"/>
        <w:contextualSpacing w:val="0"/>
      </w:pPr>
      <w:r>
        <w:t>d</w:t>
      </w:r>
      <w:r w:rsidRPr="00B515EE">
        <w:t xml:space="preserve">ocument </w:t>
      </w:r>
      <w:r w:rsidR="00B70FAF" w:rsidRPr="00B515EE">
        <w:t>review</w:t>
      </w:r>
    </w:p>
    <w:p w14:paraId="49166881" w14:textId="78B156CA" w:rsidR="005034C7" w:rsidRDefault="005034C7" w:rsidP="004D0AEC">
      <w:pPr>
        <w:pStyle w:val="ListBullet"/>
        <w:spacing w:before="120"/>
        <w:ind w:hanging="357"/>
        <w:contextualSpacing w:val="0"/>
      </w:pPr>
      <w:r>
        <w:t xml:space="preserve">consultations </w:t>
      </w:r>
      <w:r w:rsidR="0077230C">
        <w:t xml:space="preserve">with key informants. </w:t>
      </w:r>
    </w:p>
    <w:p w14:paraId="58E95823" w14:textId="0483A325" w:rsidR="00B70FAF" w:rsidRPr="00301C1D" w:rsidRDefault="0077230C" w:rsidP="004D0AEC">
      <w:pPr>
        <w:pStyle w:val="ListBullet"/>
        <w:numPr>
          <w:ilvl w:val="0"/>
          <w:numId w:val="0"/>
        </w:numPr>
        <w:spacing w:after="210"/>
        <w:contextualSpacing w:val="0"/>
      </w:pPr>
      <w:r>
        <w:t xml:space="preserve">See Appendix A for details. </w:t>
      </w:r>
    </w:p>
    <w:p w14:paraId="155F3DB2" w14:textId="465B690F" w:rsidR="00791813" w:rsidRPr="006E5C3D" w:rsidRDefault="00791813" w:rsidP="00B63BAA">
      <w:pPr>
        <w:rPr>
          <w:rFonts w:cstheme="minorHAnsi"/>
        </w:rPr>
      </w:pPr>
      <w:r w:rsidRPr="006E5C3D">
        <w:rPr>
          <w:rFonts w:cstheme="minorHAnsi"/>
        </w:rPr>
        <w:t>Key limitations affecting the evaluation are:</w:t>
      </w:r>
    </w:p>
    <w:p w14:paraId="01CEA325" w14:textId="77777777" w:rsidR="00791813" w:rsidRPr="006E5C3D" w:rsidRDefault="00791813" w:rsidP="004D0AEC">
      <w:pPr>
        <w:pStyle w:val="ListBullet"/>
        <w:spacing w:before="120"/>
        <w:ind w:hanging="357"/>
        <w:contextualSpacing w:val="0"/>
      </w:pPr>
      <w:r w:rsidRPr="006E5C3D">
        <w:t>The absence of a design document creates evaluability challenges, particularly when attempting to judge the extent to which program achievements reflected DFAT’s original intent.</w:t>
      </w:r>
    </w:p>
    <w:p w14:paraId="71FF25FE" w14:textId="7CA4110D" w:rsidR="00F168B5" w:rsidRDefault="00791813" w:rsidP="004D0AEC">
      <w:pPr>
        <w:pStyle w:val="ListBullet"/>
        <w:spacing w:before="120"/>
        <w:ind w:hanging="357"/>
        <w:contextualSpacing w:val="0"/>
      </w:pPr>
      <w:r w:rsidRPr="006E5C3D">
        <w:t xml:space="preserve">The evaluation did </w:t>
      </w:r>
      <w:r>
        <w:t xml:space="preserve">not </w:t>
      </w:r>
      <w:r w:rsidRPr="006E5C3D">
        <w:t>benefit from interviews with end-users or counterparts of PRES services outside DFAT</w:t>
      </w:r>
      <w:r w:rsidR="00A53360">
        <w:t>,</w:t>
      </w:r>
      <w:r w:rsidRPr="006E5C3D">
        <w:t xml:space="preserve"> e.g. partner government officials</w:t>
      </w:r>
      <w:r>
        <w:t>.</w:t>
      </w:r>
    </w:p>
    <w:p w14:paraId="2A655248" w14:textId="10257FA5" w:rsidR="00F168B5" w:rsidRPr="006E5C3D" w:rsidRDefault="00A00580" w:rsidP="00B63BAA">
      <w:pPr>
        <w:pStyle w:val="ListBullet"/>
        <w:numPr>
          <w:ilvl w:val="0"/>
          <w:numId w:val="0"/>
        </w:numPr>
        <w:spacing w:after="210"/>
        <w:contextualSpacing w:val="0"/>
      </w:pPr>
      <w:r w:rsidRPr="00A00580">
        <w:t xml:space="preserve">This evaluation </w:t>
      </w:r>
      <w:r>
        <w:t>covers</w:t>
      </w:r>
      <w:r w:rsidRPr="00A00580">
        <w:t xml:space="preserve"> the period from November 2021 to December 2024. However, </w:t>
      </w:r>
      <w:r w:rsidR="00401076">
        <w:t xml:space="preserve">some </w:t>
      </w:r>
      <w:r w:rsidR="00546BD9">
        <w:t xml:space="preserve">activities </w:t>
      </w:r>
      <w:r w:rsidR="00401076">
        <w:t xml:space="preserve">since </w:t>
      </w:r>
      <w:r w:rsidRPr="00A00580">
        <w:t>this period</w:t>
      </w:r>
      <w:r w:rsidR="00401076">
        <w:t xml:space="preserve"> </w:t>
      </w:r>
      <w:r w:rsidRPr="00A00580">
        <w:t xml:space="preserve">are referenced </w:t>
      </w:r>
      <w:r w:rsidR="00401076">
        <w:t>where they are relevant to the findings</w:t>
      </w:r>
      <w:r w:rsidRPr="00A00580">
        <w:t>.</w:t>
      </w:r>
    </w:p>
    <w:p w14:paraId="303FE78F" w14:textId="30473E31" w:rsidR="00ED2B74" w:rsidRPr="00DA60EA" w:rsidRDefault="00B32A6B" w:rsidP="00D93E5B">
      <w:pPr>
        <w:pStyle w:val="Heading3nonumber"/>
      </w:pPr>
      <w:r>
        <w:t>Summary of</w:t>
      </w:r>
      <w:r w:rsidR="003E00EB">
        <w:t xml:space="preserve"> findings</w:t>
      </w:r>
    </w:p>
    <w:p w14:paraId="0BACE190" w14:textId="5CB33874" w:rsidR="007C1F52" w:rsidRPr="006036DF" w:rsidRDefault="007C1F52" w:rsidP="00B63BAA">
      <w:pPr>
        <w:rPr>
          <w:rFonts w:ascii="Arial" w:eastAsiaTheme="minorEastAsia" w:hAnsi="Arial" w:cs="Arial"/>
          <w:szCs w:val="21"/>
        </w:rPr>
      </w:pPr>
      <w:r w:rsidRPr="006036DF">
        <w:rPr>
          <w:rFonts w:ascii="Arial" w:eastAsiaTheme="minorEastAsia" w:hAnsi="Arial" w:cs="Arial"/>
          <w:szCs w:val="21"/>
        </w:rPr>
        <w:t xml:space="preserve">The evaluation has found there has been </w:t>
      </w:r>
      <w:r w:rsidRPr="006036DF">
        <w:rPr>
          <w:rFonts w:ascii="Arial" w:eastAsiaTheme="minorEastAsia" w:hAnsi="Arial" w:cs="Arial"/>
          <w:b/>
          <w:bCs/>
          <w:szCs w:val="21"/>
        </w:rPr>
        <w:t>significant achievement towards EOIOs,</w:t>
      </w:r>
      <w:r w:rsidRPr="006036DF">
        <w:rPr>
          <w:rFonts w:ascii="Arial" w:eastAsiaTheme="minorEastAsia" w:hAnsi="Arial" w:cs="Arial"/>
          <w:szCs w:val="21"/>
        </w:rPr>
        <w:t xml:space="preserve"> particularly EOIO1. </w:t>
      </w:r>
    </w:p>
    <w:p w14:paraId="0C3FF18E" w14:textId="39A1C10D" w:rsidR="007C1F52" w:rsidRPr="006036DF" w:rsidRDefault="007C1F52" w:rsidP="00B63BAA">
      <w:pPr>
        <w:numPr>
          <w:ilvl w:val="0"/>
          <w:numId w:val="12"/>
        </w:numPr>
        <w:spacing w:before="120" w:after="120"/>
        <w:ind w:hanging="357"/>
        <w:rPr>
          <w:rFonts w:ascii="Arial" w:eastAsiaTheme="minorEastAsia" w:hAnsi="Arial" w:cs="Arial"/>
          <w:szCs w:val="21"/>
        </w:rPr>
      </w:pPr>
      <w:r w:rsidRPr="006036DF">
        <w:rPr>
          <w:rFonts w:cstheme="minorHAnsi"/>
          <w:b/>
          <w:bCs/>
          <w:szCs w:val="21"/>
        </w:rPr>
        <w:t>EOIO 1 is being achieved</w:t>
      </w:r>
      <w:r w:rsidRPr="006036DF">
        <w:rPr>
          <w:rFonts w:cstheme="minorHAnsi"/>
          <w:szCs w:val="21"/>
        </w:rPr>
        <w:t xml:space="preserve">: It is clear from the evidence that PRES’ strength lies in the ability for DFAT to </w:t>
      </w:r>
      <w:r w:rsidR="00716963">
        <w:rPr>
          <w:rFonts w:cstheme="minorHAnsi"/>
          <w:szCs w:val="21"/>
        </w:rPr>
        <w:t>draw in specialist technical expertise to inform policy and programming activities</w:t>
      </w:r>
      <w:r w:rsidR="001315EF" w:rsidRPr="006036DF">
        <w:rPr>
          <w:rFonts w:cstheme="minorHAnsi"/>
          <w:szCs w:val="21"/>
        </w:rPr>
        <w:t>.</w:t>
      </w:r>
      <w:r w:rsidR="00F2577D">
        <w:rPr>
          <w:rFonts w:cstheme="minorHAnsi"/>
          <w:szCs w:val="21"/>
        </w:rPr>
        <w:t xml:space="preserve"> The PRES Core Team is </w:t>
      </w:r>
      <w:r w:rsidR="00D86A7C">
        <w:rPr>
          <w:rFonts w:cstheme="minorHAnsi"/>
          <w:szCs w:val="21"/>
        </w:rPr>
        <w:t>also providing valuable support and improving program coherence.</w:t>
      </w:r>
    </w:p>
    <w:p w14:paraId="269DBDB1" w14:textId="0EF27C7D" w:rsidR="00382BA7" w:rsidRPr="004D0AEC" w:rsidRDefault="00093076" w:rsidP="004D0AEC">
      <w:pPr>
        <w:numPr>
          <w:ilvl w:val="0"/>
          <w:numId w:val="12"/>
        </w:numPr>
        <w:spacing w:before="120" w:after="120"/>
        <w:ind w:hanging="357"/>
        <w:rPr>
          <w:rFonts w:ascii="Arial" w:eastAsiaTheme="minorEastAsia" w:hAnsi="Arial" w:cs="Arial"/>
          <w:szCs w:val="21"/>
        </w:rPr>
      </w:pPr>
      <w:r w:rsidRPr="00CF0D4D">
        <w:rPr>
          <w:rFonts w:cstheme="minorHAnsi"/>
          <w:b/>
          <w:bCs/>
          <w:szCs w:val="21"/>
        </w:rPr>
        <w:t xml:space="preserve">EOIO 2 is </w:t>
      </w:r>
      <w:r w:rsidR="00202092">
        <w:rPr>
          <w:rFonts w:cstheme="minorHAnsi"/>
          <w:b/>
          <w:bCs/>
          <w:szCs w:val="21"/>
        </w:rPr>
        <w:t>broadly</w:t>
      </w:r>
      <w:r w:rsidRPr="00CF0D4D">
        <w:rPr>
          <w:rFonts w:cstheme="minorHAnsi"/>
          <w:b/>
          <w:bCs/>
          <w:szCs w:val="21"/>
        </w:rPr>
        <w:t xml:space="preserve"> achieved: </w:t>
      </w:r>
      <w:r w:rsidR="00861AB4" w:rsidRPr="00861AB4">
        <w:rPr>
          <w:rFonts w:cstheme="minorHAnsi"/>
          <w:szCs w:val="21"/>
        </w:rPr>
        <w:t>PRES has implemented various learning and knowledge management initiatives, such as a knowledge management system, seminars,</w:t>
      </w:r>
      <w:r w:rsidR="00FE6789">
        <w:rPr>
          <w:rFonts w:cstheme="minorHAnsi"/>
          <w:szCs w:val="21"/>
        </w:rPr>
        <w:t xml:space="preserve"> and learning through </w:t>
      </w:r>
      <w:r w:rsidR="0020429A">
        <w:rPr>
          <w:rFonts w:cstheme="minorHAnsi"/>
          <w:szCs w:val="21"/>
        </w:rPr>
        <w:t>tasking notes (TNs)</w:t>
      </w:r>
      <w:r w:rsidR="00FE6789">
        <w:rPr>
          <w:rFonts w:cstheme="minorHAnsi"/>
          <w:szCs w:val="21"/>
        </w:rPr>
        <w:t xml:space="preserve"> and observation. </w:t>
      </w:r>
      <w:r w:rsidR="007C7EE6">
        <w:rPr>
          <w:rFonts w:cstheme="minorHAnsi"/>
          <w:szCs w:val="21"/>
        </w:rPr>
        <w:t xml:space="preserve">However, </w:t>
      </w:r>
      <w:r w:rsidR="00B619C5" w:rsidRPr="00B619C5">
        <w:t>t</w:t>
      </w:r>
      <w:r w:rsidR="001528AE" w:rsidRPr="00B619C5">
        <w:t>here</w:t>
      </w:r>
      <w:r w:rsidR="001528AE">
        <w:t xml:space="preserve"> is </w:t>
      </w:r>
      <w:r w:rsidR="007C7EE6">
        <w:t xml:space="preserve">a </w:t>
      </w:r>
      <w:r w:rsidR="001528AE" w:rsidRPr="00B515EE">
        <w:t xml:space="preserve">lack of clarity on the intent of </w:t>
      </w:r>
      <w:proofErr w:type="gramStart"/>
      <w:r w:rsidR="001528AE" w:rsidRPr="00B515EE">
        <w:t>EOIO2</w:t>
      </w:r>
      <w:proofErr w:type="gramEnd"/>
      <w:r w:rsidR="001528AE">
        <w:t xml:space="preserve"> </w:t>
      </w:r>
      <w:r w:rsidR="007C7EE6">
        <w:t>and</w:t>
      </w:r>
      <w:r w:rsidR="001528AE">
        <w:t xml:space="preserve"> focus </w:t>
      </w:r>
      <w:r w:rsidR="007C7EE6">
        <w:t>has</w:t>
      </w:r>
      <w:r w:rsidR="00D0152E">
        <w:t xml:space="preserve"> tended to be</w:t>
      </w:r>
      <w:r w:rsidR="007C7EE6">
        <w:t xml:space="preserve"> </w:t>
      </w:r>
      <w:r w:rsidR="001528AE">
        <w:t>on meeting DFAT’s high</w:t>
      </w:r>
      <w:r w:rsidR="001528AE" w:rsidRPr="00B515EE">
        <w:t xml:space="preserve"> demand for activities under EOIO1.</w:t>
      </w:r>
    </w:p>
    <w:p w14:paraId="35C84582" w14:textId="05E122EE" w:rsidR="00D41958" w:rsidRDefault="00C97476" w:rsidP="00B93DFD">
      <w:pPr>
        <w:pStyle w:val="Heading3nonumber"/>
        <w:spacing w:before="0"/>
        <w:rPr>
          <w:caps/>
        </w:rPr>
      </w:pPr>
      <w:r>
        <w:rPr>
          <w:caps/>
        </w:rPr>
        <w:lastRenderedPageBreak/>
        <w:t>Key REview Question 1 (</w:t>
      </w:r>
      <w:r w:rsidR="000B7D18">
        <w:rPr>
          <w:caps/>
        </w:rPr>
        <w:t>KRQ1</w:t>
      </w:r>
      <w:r>
        <w:rPr>
          <w:caps/>
        </w:rPr>
        <w:t>)</w:t>
      </w:r>
      <w:r w:rsidR="00A56B13">
        <w:rPr>
          <w:caps/>
        </w:rPr>
        <w:t>.</w:t>
      </w:r>
      <w:r w:rsidR="000B7D18">
        <w:rPr>
          <w:caps/>
        </w:rPr>
        <w:t xml:space="preserve"> </w:t>
      </w:r>
      <w:r w:rsidR="00D41958" w:rsidRPr="00CF0D4D">
        <w:rPr>
          <w:caps/>
        </w:rPr>
        <w:t>How effective is PRES and what are the opportunities to improve effectiveness?</w:t>
      </w:r>
    </w:p>
    <w:p w14:paraId="27170714" w14:textId="365C0276" w:rsidR="00B00C4A" w:rsidRPr="00047A5B" w:rsidRDefault="00B00C4A" w:rsidP="00B63BAA">
      <w:pPr>
        <w:pStyle w:val="Orangeblocktext"/>
      </w:pPr>
      <w:r>
        <w:rPr>
          <w:b/>
          <w:bCs/>
        </w:rPr>
        <w:t xml:space="preserve">How effective is PRES? </w:t>
      </w:r>
      <w:r w:rsidR="00C1398D" w:rsidRPr="00B93DFD">
        <w:t xml:space="preserve">The evidence </w:t>
      </w:r>
      <w:r w:rsidR="00C1398D">
        <w:t xml:space="preserve">available to the review confirmed </w:t>
      </w:r>
      <w:r>
        <w:t xml:space="preserve">PRES </w:t>
      </w:r>
      <w:r w:rsidR="00C1398D">
        <w:t xml:space="preserve">is highly effective in its provision of </w:t>
      </w:r>
      <w:r>
        <w:t xml:space="preserve">technical advice, particularly </w:t>
      </w:r>
      <w:r w:rsidR="00AA0A6E">
        <w:t xml:space="preserve">the </w:t>
      </w:r>
      <w:r w:rsidR="00C1398D">
        <w:t xml:space="preserve">high </w:t>
      </w:r>
      <w:r w:rsidR="00AA0A6E">
        <w:t xml:space="preserve">quality of </w:t>
      </w:r>
      <w:r>
        <w:t xml:space="preserve">output, flexibility, and responsiveness. It has been found to meet DFAT’s needs and has achieved EOIO1. </w:t>
      </w:r>
      <w:r w:rsidRPr="00C12630">
        <w:t xml:space="preserve">EOIO2 has been </w:t>
      </w:r>
      <w:r w:rsidR="00202092">
        <w:t>broadly</w:t>
      </w:r>
      <w:r w:rsidRPr="00C12630">
        <w:t xml:space="preserve"> a</w:t>
      </w:r>
      <w:r>
        <w:t>chieved</w:t>
      </w:r>
      <w:r w:rsidRPr="00C12630">
        <w:t xml:space="preserve">, with a need for greater clarity from DFAT regarding </w:t>
      </w:r>
      <w:r w:rsidR="00562086">
        <w:t>this</w:t>
      </w:r>
      <w:r w:rsidRPr="00C12630">
        <w:t xml:space="preserve"> intended outcome.</w:t>
      </w:r>
    </w:p>
    <w:p w14:paraId="3977483B" w14:textId="5F664800" w:rsidR="00B00C4A" w:rsidRPr="008E4473" w:rsidRDefault="00B00C4A" w:rsidP="00B63BAA">
      <w:pPr>
        <w:pStyle w:val="Orangeblocktext"/>
      </w:pPr>
      <w:r>
        <w:rPr>
          <w:b/>
          <w:bCs/>
        </w:rPr>
        <w:t xml:space="preserve">Opportunities to improve effectiveness: </w:t>
      </w:r>
      <w:r w:rsidRPr="00C12630">
        <w:t xml:space="preserve">Potential areas for improvement include </w:t>
      </w:r>
      <w:r w:rsidR="00852FF0">
        <w:t>clarifying the role of the</w:t>
      </w:r>
      <w:r w:rsidR="00E83CA8">
        <w:t xml:space="preserve"> </w:t>
      </w:r>
      <w:r>
        <w:t>PRES’</w:t>
      </w:r>
      <w:r w:rsidRPr="00C12630">
        <w:t xml:space="preserve"> </w:t>
      </w:r>
      <w:r w:rsidR="0098008F">
        <w:t>C</w:t>
      </w:r>
      <w:r w:rsidR="00E83CA8">
        <w:t xml:space="preserve">ore </w:t>
      </w:r>
      <w:r w:rsidR="0098008F">
        <w:t>T</w:t>
      </w:r>
      <w:r w:rsidR="00E83CA8">
        <w:t>eam</w:t>
      </w:r>
      <w:r w:rsidR="00852FF0">
        <w:t xml:space="preserve"> in </w:t>
      </w:r>
      <w:r w:rsidR="00965110">
        <w:t xml:space="preserve">supporting </w:t>
      </w:r>
      <w:r w:rsidR="00A3111E">
        <w:t xml:space="preserve">strategy and knowledge management, with a </w:t>
      </w:r>
      <w:r w:rsidRPr="00C12630">
        <w:t>clearer articulation of DFAT's intent for EOIO2</w:t>
      </w:r>
      <w:r w:rsidR="00755A44">
        <w:t>.</w:t>
      </w:r>
    </w:p>
    <w:p w14:paraId="6639001D" w14:textId="1B0D02D0" w:rsidR="00343E76" w:rsidRDefault="007C1F52" w:rsidP="00B63BAA">
      <w:r w:rsidRPr="006036DF">
        <w:rPr>
          <w:rFonts w:ascii="Arial" w:eastAsiaTheme="minorEastAsia" w:hAnsi="Arial" w:cs="Arial"/>
          <w:b/>
          <w:bCs/>
          <w:szCs w:val="21"/>
        </w:rPr>
        <w:t>PRES has been found to be effectively responding to DFAT needs,</w:t>
      </w:r>
      <w:r w:rsidRPr="006036DF">
        <w:rPr>
          <w:rFonts w:ascii="Arial" w:eastAsiaTheme="minorEastAsia" w:hAnsi="Arial" w:cs="Arial"/>
          <w:szCs w:val="21"/>
        </w:rPr>
        <w:t xml:space="preserve"> with </w:t>
      </w:r>
      <w:r w:rsidR="00755A44">
        <w:rPr>
          <w:rFonts w:ascii="Arial" w:eastAsiaTheme="minorEastAsia" w:hAnsi="Arial" w:cs="Arial"/>
          <w:szCs w:val="21"/>
        </w:rPr>
        <w:t xml:space="preserve">overwhelmingly positive </w:t>
      </w:r>
      <w:r w:rsidRPr="006036DF">
        <w:rPr>
          <w:rFonts w:ascii="Arial" w:eastAsiaTheme="minorEastAsia" w:hAnsi="Arial" w:cs="Arial"/>
          <w:szCs w:val="21"/>
        </w:rPr>
        <w:t xml:space="preserve">feedback from consultations. </w:t>
      </w:r>
    </w:p>
    <w:p w14:paraId="7F8E69DD" w14:textId="2F7BCAF6" w:rsidR="009F411B" w:rsidRDefault="00E57155" w:rsidP="00B63BAA">
      <w:r>
        <w:t>Key</w:t>
      </w:r>
      <w:r w:rsidR="009F411B">
        <w:t xml:space="preserve"> </w:t>
      </w:r>
      <w:r w:rsidR="00EE4D5D">
        <w:t>areas of effectiveness include</w:t>
      </w:r>
      <w:r w:rsidR="00432425">
        <w:rPr>
          <w:rStyle w:val="FootnoteReference"/>
        </w:rPr>
        <w:footnoteReference w:id="2"/>
      </w:r>
      <w:r w:rsidR="00EE4D5D">
        <w:t>:</w:t>
      </w:r>
    </w:p>
    <w:p w14:paraId="158048F6" w14:textId="5A71660A" w:rsidR="009F411B" w:rsidRDefault="009F411B" w:rsidP="00B63BAA">
      <w:pPr>
        <w:pStyle w:val="ListParagraph"/>
        <w:numPr>
          <w:ilvl w:val="0"/>
          <w:numId w:val="13"/>
        </w:numPr>
        <w:spacing w:before="120"/>
        <w:ind w:left="714" w:hanging="357"/>
        <w:contextualSpacing w:val="0"/>
      </w:pPr>
      <w:r w:rsidRPr="00EE4D5D">
        <w:rPr>
          <w:b/>
          <w:bCs/>
        </w:rPr>
        <w:t>Quality of output.</w:t>
      </w:r>
      <w:r w:rsidRPr="152412E2">
        <w:t xml:space="preserve"> Users of PRES </w:t>
      </w:r>
      <w:r w:rsidR="00B61B3E">
        <w:t>consistently noted the high</w:t>
      </w:r>
      <w:r w:rsidRPr="152412E2">
        <w:t xml:space="preserve"> quality of work that was provided</w:t>
      </w:r>
      <w:r w:rsidR="00EE4D5D">
        <w:t>.</w:t>
      </w:r>
    </w:p>
    <w:p w14:paraId="64B007F9" w14:textId="3FC9CD9E" w:rsidR="00206BC9" w:rsidRDefault="009F411B" w:rsidP="00B63BAA">
      <w:pPr>
        <w:pStyle w:val="ListParagraph"/>
        <w:numPr>
          <w:ilvl w:val="0"/>
          <w:numId w:val="13"/>
        </w:numPr>
        <w:spacing w:before="120"/>
        <w:ind w:left="714" w:hanging="357"/>
        <w:contextualSpacing w:val="0"/>
      </w:pPr>
      <w:r w:rsidRPr="00206BC9">
        <w:rPr>
          <w:b/>
          <w:bCs/>
        </w:rPr>
        <w:t>Streamlining.</w:t>
      </w:r>
      <w:r w:rsidRPr="152412E2">
        <w:t xml:space="preserve"> </w:t>
      </w:r>
      <w:r w:rsidR="00607907">
        <w:t>PRES provides a less time-consuming</w:t>
      </w:r>
      <w:r w:rsidR="00206BC9">
        <w:t xml:space="preserve"> mechanis</w:t>
      </w:r>
      <w:r w:rsidR="00945942">
        <w:t>m</w:t>
      </w:r>
      <w:r w:rsidR="00206BC9">
        <w:t xml:space="preserve"> for contracting technical advis</w:t>
      </w:r>
      <w:r w:rsidR="00AA6F74">
        <w:t>e</w:t>
      </w:r>
      <w:r w:rsidR="00206BC9">
        <w:t xml:space="preserve">rs, removing significant administrative burden. </w:t>
      </w:r>
    </w:p>
    <w:p w14:paraId="26B4050A" w14:textId="564339FC" w:rsidR="009F411B" w:rsidRPr="00BE6337" w:rsidRDefault="009F411B" w:rsidP="00B63BAA">
      <w:pPr>
        <w:pStyle w:val="ListParagraph"/>
        <w:numPr>
          <w:ilvl w:val="0"/>
          <w:numId w:val="13"/>
        </w:numPr>
        <w:spacing w:before="120"/>
        <w:ind w:left="714" w:hanging="357"/>
        <w:contextualSpacing w:val="0"/>
      </w:pPr>
      <w:r w:rsidRPr="00206BC9">
        <w:rPr>
          <w:b/>
          <w:bCs/>
        </w:rPr>
        <w:t>Responsiveness.</w:t>
      </w:r>
      <w:r w:rsidRPr="152412E2">
        <w:t xml:space="preserve"> </w:t>
      </w:r>
      <w:r w:rsidR="00206BC9">
        <w:t>PRES provides a</w:t>
      </w:r>
      <w:r w:rsidRPr="152412E2">
        <w:t xml:space="preserve"> mechanism to deliver products and services more quickly than what may be possible through other mechanisms. </w:t>
      </w:r>
    </w:p>
    <w:p w14:paraId="633213FE" w14:textId="2762BF1E" w:rsidR="009F411B" w:rsidRDefault="009F411B" w:rsidP="00B63BAA">
      <w:pPr>
        <w:pStyle w:val="ListParagraph"/>
        <w:numPr>
          <w:ilvl w:val="0"/>
          <w:numId w:val="13"/>
        </w:numPr>
        <w:spacing w:before="120"/>
        <w:ind w:left="714" w:hanging="357"/>
        <w:contextualSpacing w:val="0"/>
      </w:pPr>
      <w:r w:rsidRPr="00EE4D5D">
        <w:rPr>
          <w:b/>
          <w:bCs/>
        </w:rPr>
        <w:t>Flexibility of service.</w:t>
      </w:r>
      <w:r w:rsidRPr="152412E2">
        <w:t xml:space="preserve"> The flexibility of PRES was </w:t>
      </w:r>
      <w:r w:rsidR="004D1D09">
        <w:t xml:space="preserve">consistently </w:t>
      </w:r>
      <w:r w:rsidRPr="152412E2">
        <w:t xml:space="preserve">raised as a </w:t>
      </w:r>
      <w:r w:rsidR="004D1D09">
        <w:t xml:space="preserve">key </w:t>
      </w:r>
      <w:r w:rsidRPr="152412E2">
        <w:t>benefit. This inclu</w:t>
      </w:r>
      <w:r w:rsidR="00206BC9">
        <w:t>des</w:t>
      </w:r>
      <w:r w:rsidRPr="152412E2">
        <w:t xml:space="preserve"> flexibility in the choice of technical experts, the type and length of engagements, adaptability in </w:t>
      </w:r>
      <w:r w:rsidR="001D3FC0">
        <w:t xml:space="preserve">terms </w:t>
      </w:r>
      <w:r w:rsidR="009F4FF5">
        <w:t xml:space="preserve">of </w:t>
      </w:r>
      <w:r w:rsidR="001D3FC0">
        <w:t xml:space="preserve">reference </w:t>
      </w:r>
      <w:r w:rsidRPr="152412E2">
        <w:t>and timeline amendments</w:t>
      </w:r>
      <w:r w:rsidR="009F4FF5">
        <w:t>.</w:t>
      </w:r>
    </w:p>
    <w:p w14:paraId="71A84165" w14:textId="5B58A824" w:rsidR="009E5393" w:rsidRPr="00B515EE" w:rsidRDefault="009E5393" w:rsidP="00B63BAA">
      <w:pPr>
        <w:rPr>
          <w:rFonts w:ascii="Arial" w:eastAsiaTheme="minorEastAsia" w:hAnsi="Arial" w:cs="Arial"/>
          <w:b/>
          <w:bCs/>
          <w:szCs w:val="21"/>
        </w:rPr>
      </w:pPr>
      <w:r w:rsidRPr="00B515EE">
        <w:rPr>
          <w:rFonts w:ascii="Arial" w:eastAsiaTheme="minorEastAsia" w:hAnsi="Arial" w:cs="Arial"/>
          <w:b/>
          <w:bCs/>
          <w:szCs w:val="21"/>
        </w:rPr>
        <w:t xml:space="preserve">Through a process of continuous improvement, PRES has evolved and progressed over time, </w:t>
      </w:r>
      <w:r w:rsidRPr="00B515EE">
        <w:rPr>
          <w:rFonts w:ascii="Arial" w:eastAsiaTheme="minorEastAsia" w:hAnsi="Arial" w:cs="Arial"/>
          <w:szCs w:val="21"/>
        </w:rPr>
        <w:t xml:space="preserve">overcoming initial challenges related to alignment of the original consortium with the role and functions required of PRES by DFAT. Having </w:t>
      </w:r>
      <w:r w:rsidR="00B961C4">
        <w:rPr>
          <w:rFonts w:ascii="Arial" w:eastAsiaTheme="minorEastAsia" w:hAnsi="Arial" w:cs="Arial"/>
          <w:szCs w:val="21"/>
        </w:rPr>
        <w:t xml:space="preserve">initially focused on </w:t>
      </w:r>
      <w:r w:rsidR="00C6355B">
        <w:rPr>
          <w:rFonts w:ascii="Arial" w:eastAsiaTheme="minorEastAsia" w:hAnsi="Arial" w:cs="Arial"/>
          <w:szCs w:val="21"/>
        </w:rPr>
        <w:t xml:space="preserve">the inception phase, </w:t>
      </w:r>
      <w:r w:rsidR="00983AF3">
        <w:rPr>
          <w:rFonts w:ascii="Arial" w:eastAsiaTheme="minorEastAsia" w:hAnsi="Arial" w:cs="Arial"/>
          <w:szCs w:val="21"/>
        </w:rPr>
        <w:t xml:space="preserve">including </w:t>
      </w:r>
      <w:r w:rsidRPr="00B515EE">
        <w:rPr>
          <w:rFonts w:ascii="Arial" w:eastAsiaTheme="minorEastAsia" w:hAnsi="Arial" w:cs="Arial"/>
          <w:szCs w:val="21"/>
        </w:rPr>
        <w:t>establish</w:t>
      </w:r>
      <w:r w:rsidR="00B961C4">
        <w:rPr>
          <w:rFonts w:ascii="Arial" w:eastAsiaTheme="minorEastAsia" w:hAnsi="Arial" w:cs="Arial"/>
          <w:szCs w:val="21"/>
        </w:rPr>
        <w:t>ing</w:t>
      </w:r>
      <w:r w:rsidRPr="00B515EE">
        <w:rPr>
          <w:rFonts w:ascii="Arial" w:eastAsiaTheme="minorEastAsia" w:hAnsi="Arial" w:cs="Arial"/>
          <w:szCs w:val="21"/>
        </w:rPr>
        <w:t xml:space="preserve"> documentation</w:t>
      </w:r>
      <w:r w:rsidR="00983AF3">
        <w:rPr>
          <w:rFonts w:ascii="Arial" w:eastAsiaTheme="minorEastAsia" w:hAnsi="Arial" w:cs="Arial"/>
          <w:szCs w:val="21"/>
        </w:rPr>
        <w:t xml:space="preserve"> (</w:t>
      </w:r>
      <w:r w:rsidR="00B961C4">
        <w:rPr>
          <w:rFonts w:ascii="Arial" w:eastAsiaTheme="minorEastAsia" w:hAnsi="Arial" w:cs="Arial"/>
          <w:szCs w:val="21"/>
        </w:rPr>
        <w:t>such as</w:t>
      </w:r>
      <w:r w:rsidRPr="00B515EE">
        <w:rPr>
          <w:rFonts w:ascii="Arial" w:eastAsiaTheme="minorEastAsia" w:hAnsi="Arial" w:cs="Arial"/>
          <w:szCs w:val="21"/>
        </w:rPr>
        <w:t xml:space="preserve"> the </w:t>
      </w:r>
      <w:r w:rsidR="00740BED">
        <w:rPr>
          <w:rFonts w:ascii="Arial" w:eastAsiaTheme="minorEastAsia" w:hAnsi="Arial" w:cs="Arial"/>
          <w:szCs w:val="21"/>
        </w:rPr>
        <w:t>o</w:t>
      </w:r>
      <w:r w:rsidR="00740BED" w:rsidRPr="00B515EE">
        <w:rPr>
          <w:rFonts w:ascii="Arial" w:eastAsiaTheme="minorEastAsia" w:hAnsi="Arial" w:cs="Arial"/>
          <w:szCs w:val="21"/>
        </w:rPr>
        <w:t xml:space="preserve">perations </w:t>
      </w:r>
      <w:r w:rsidR="00740BED">
        <w:rPr>
          <w:rFonts w:ascii="Arial" w:eastAsiaTheme="minorEastAsia" w:hAnsi="Arial" w:cs="Arial"/>
          <w:szCs w:val="21"/>
        </w:rPr>
        <w:t>m</w:t>
      </w:r>
      <w:r w:rsidR="00740BED" w:rsidRPr="00B515EE">
        <w:rPr>
          <w:rFonts w:ascii="Arial" w:eastAsiaTheme="minorEastAsia" w:hAnsi="Arial" w:cs="Arial"/>
          <w:szCs w:val="21"/>
        </w:rPr>
        <w:t xml:space="preserve">anual </w:t>
      </w:r>
      <w:r w:rsidRPr="00B515EE">
        <w:rPr>
          <w:rFonts w:ascii="Arial" w:eastAsiaTheme="minorEastAsia" w:hAnsi="Arial" w:cs="Arial"/>
          <w:szCs w:val="21"/>
        </w:rPr>
        <w:t>and M</w:t>
      </w:r>
      <w:r w:rsidR="004060BA">
        <w:rPr>
          <w:rFonts w:ascii="Arial" w:eastAsiaTheme="minorEastAsia" w:hAnsi="Arial" w:cs="Arial"/>
          <w:szCs w:val="21"/>
        </w:rPr>
        <w:t>&amp;</w:t>
      </w:r>
      <w:r w:rsidRPr="00B515EE">
        <w:rPr>
          <w:rFonts w:ascii="Arial" w:eastAsiaTheme="minorEastAsia" w:hAnsi="Arial" w:cs="Arial"/>
          <w:szCs w:val="21"/>
        </w:rPr>
        <w:t xml:space="preserve">E </w:t>
      </w:r>
      <w:r w:rsidR="00740BED">
        <w:rPr>
          <w:rFonts w:ascii="Arial" w:eastAsiaTheme="minorEastAsia" w:hAnsi="Arial" w:cs="Arial"/>
          <w:szCs w:val="21"/>
        </w:rPr>
        <w:t>f</w:t>
      </w:r>
      <w:r w:rsidR="00740BED" w:rsidRPr="00B515EE">
        <w:rPr>
          <w:rFonts w:ascii="Arial" w:eastAsiaTheme="minorEastAsia" w:hAnsi="Arial" w:cs="Arial"/>
          <w:szCs w:val="21"/>
        </w:rPr>
        <w:t>ramework</w:t>
      </w:r>
      <w:r w:rsidR="00983AF3">
        <w:rPr>
          <w:rFonts w:ascii="Arial" w:eastAsiaTheme="minorEastAsia" w:hAnsi="Arial" w:cs="Arial"/>
          <w:szCs w:val="21"/>
        </w:rPr>
        <w:t>)</w:t>
      </w:r>
      <w:r w:rsidRPr="00B515EE">
        <w:rPr>
          <w:rFonts w:ascii="Arial" w:eastAsiaTheme="minorEastAsia" w:hAnsi="Arial" w:cs="Arial"/>
          <w:szCs w:val="21"/>
        </w:rPr>
        <w:t xml:space="preserve">, PRES </w:t>
      </w:r>
      <w:r w:rsidR="00F54B73">
        <w:rPr>
          <w:rFonts w:ascii="Arial" w:eastAsiaTheme="minorEastAsia" w:hAnsi="Arial" w:cs="Arial"/>
          <w:szCs w:val="21"/>
        </w:rPr>
        <w:t xml:space="preserve">has </w:t>
      </w:r>
      <w:r w:rsidR="004B4C02">
        <w:rPr>
          <w:rFonts w:ascii="Arial" w:eastAsiaTheme="minorEastAsia" w:hAnsi="Arial" w:cs="Arial"/>
          <w:szCs w:val="21"/>
        </w:rPr>
        <w:t xml:space="preserve">since demonstrated its </w:t>
      </w:r>
      <w:r w:rsidRPr="00B515EE">
        <w:rPr>
          <w:rFonts w:ascii="Arial" w:eastAsiaTheme="minorEastAsia" w:hAnsi="Arial" w:cs="Arial"/>
          <w:szCs w:val="21"/>
        </w:rPr>
        <w:t>effective</w:t>
      </w:r>
      <w:r w:rsidR="004B4C02">
        <w:rPr>
          <w:rFonts w:ascii="Arial" w:eastAsiaTheme="minorEastAsia" w:hAnsi="Arial" w:cs="Arial"/>
          <w:szCs w:val="21"/>
        </w:rPr>
        <w:t>ness</w:t>
      </w:r>
      <w:r w:rsidRPr="00B515EE">
        <w:rPr>
          <w:rFonts w:ascii="Arial" w:eastAsiaTheme="minorEastAsia" w:hAnsi="Arial" w:cs="Arial"/>
          <w:szCs w:val="21"/>
        </w:rPr>
        <w:t xml:space="preserve"> </w:t>
      </w:r>
      <w:r w:rsidR="004B4C02">
        <w:rPr>
          <w:rFonts w:ascii="Arial" w:eastAsiaTheme="minorEastAsia" w:hAnsi="Arial" w:cs="Arial"/>
          <w:szCs w:val="21"/>
        </w:rPr>
        <w:t>in the</w:t>
      </w:r>
      <w:r w:rsidRPr="00B515EE">
        <w:rPr>
          <w:rFonts w:ascii="Arial" w:eastAsiaTheme="minorEastAsia" w:hAnsi="Arial" w:cs="Arial"/>
          <w:szCs w:val="21"/>
        </w:rPr>
        <w:t xml:space="preserve"> provision of technical advice and support.</w:t>
      </w:r>
    </w:p>
    <w:p w14:paraId="4DD316EF" w14:textId="35958EFA" w:rsidR="007C1F52" w:rsidRPr="006036DF" w:rsidRDefault="00EB75AE" w:rsidP="00B63BAA">
      <w:pPr>
        <w:rPr>
          <w:rFonts w:ascii="Arial" w:eastAsiaTheme="minorEastAsia" w:hAnsi="Arial" w:cs="Arial"/>
        </w:rPr>
      </w:pPr>
      <w:r w:rsidRPr="5A579D0C">
        <w:rPr>
          <w:rFonts w:ascii="Arial" w:eastAsiaTheme="minorEastAsia" w:hAnsi="Arial" w:cs="Arial"/>
          <w:b/>
        </w:rPr>
        <w:t>The</w:t>
      </w:r>
      <w:r w:rsidR="007C1F52" w:rsidRPr="5A579D0C">
        <w:rPr>
          <w:rFonts w:ascii="Arial" w:eastAsiaTheme="minorEastAsia" w:hAnsi="Arial" w:cs="Arial"/>
          <w:b/>
        </w:rPr>
        <w:t xml:space="preserve"> role of PRES in providing strategic </w:t>
      </w:r>
      <w:r w:rsidR="00036865" w:rsidRPr="5A579D0C">
        <w:rPr>
          <w:rFonts w:ascii="Arial" w:eastAsiaTheme="minorEastAsia" w:hAnsi="Arial" w:cs="Arial"/>
          <w:b/>
        </w:rPr>
        <w:t>support to DFAT</w:t>
      </w:r>
      <w:r w:rsidRPr="5A579D0C">
        <w:rPr>
          <w:rFonts w:ascii="Arial" w:eastAsiaTheme="minorEastAsia" w:hAnsi="Arial" w:cs="Arial"/>
          <w:b/>
        </w:rPr>
        <w:t xml:space="preserve"> is evolving</w:t>
      </w:r>
      <w:r w:rsidR="00D5151D" w:rsidRPr="5A579D0C">
        <w:rPr>
          <w:rFonts w:ascii="Arial" w:eastAsiaTheme="minorEastAsia" w:hAnsi="Arial" w:cs="Arial"/>
          <w:b/>
        </w:rPr>
        <w:t xml:space="preserve"> and increasingly important</w:t>
      </w:r>
      <w:r w:rsidR="007C1F52" w:rsidRPr="5A579D0C">
        <w:rPr>
          <w:rFonts w:ascii="Arial" w:eastAsiaTheme="minorEastAsia" w:hAnsi="Arial" w:cs="Arial"/>
          <w:b/>
        </w:rPr>
        <w:t xml:space="preserve">. </w:t>
      </w:r>
      <w:r w:rsidR="007575B3" w:rsidRPr="5A579D0C">
        <w:rPr>
          <w:rFonts w:ascii="Arial" w:eastAsiaTheme="minorEastAsia" w:hAnsi="Arial" w:cs="Arial"/>
        </w:rPr>
        <w:t xml:space="preserve">While the original concept of PRES included a strategic role, integrated within DFAT, a range </w:t>
      </w:r>
      <w:r w:rsidR="007575B3" w:rsidRPr="5C485EC5">
        <w:rPr>
          <w:rFonts w:ascii="Arial" w:eastAsiaTheme="minorEastAsia" w:hAnsi="Arial" w:cs="Arial"/>
        </w:rPr>
        <w:t>o</w:t>
      </w:r>
      <w:r w:rsidR="00BD7EC9">
        <w:rPr>
          <w:rFonts w:ascii="Arial" w:eastAsiaTheme="minorEastAsia" w:hAnsi="Arial" w:cs="Arial"/>
        </w:rPr>
        <w:t>f</w:t>
      </w:r>
      <w:r w:rsidR="007575B3" w:rsidRPr="5A579D0C">
        <w:rPr>
          <w:rFonts w:ascii="Arial" w:eastAsiaTheme="minorEastAsia" w:hAnsi="Arial" w:cs="Arial"/>
        </w:rPr>
        <w:t xml:space="preserve"> b</w:t>
      </w:r>
      <w:r w:rsidR="007C1F52" w:rsidRPr="5A579D0C">
        <w:rPr>
          <w:rFonts w:ascii="Arial" w:eastAsiaTheme="minorEastAsia" w:hAnsi="Arial" w:cs="Arial"/>
        </w:rPr>
        <w:t xml:space="preserve">arriers </w:t>
      </w:r>
      <w:r w:rsidR="0000143B" w:rsidRPr="5A579D0C">
        <w:rPr>
          <w:rFonts w:ascii="Arial" w:eastAsiaTheme="minorEastAsia" w:hAnsi="Arial" w:cs="Arial"/>
        </w:rPr>
        <w:t>emerged</w:t>
      </w:r>
      <w:r w:rsidR="00D42E67" w:rsidRPr="5A579D0C">
        <w:rPr>
          <w:rFonts w:ascii="Arial" w:eastAsiaTheme="minorEastAsia" w:hAnsi="Arial" w:cs="Arial"/>
        </w:rPr>
        <w:t xml:space="preserve"> in the early years of PRES. These</w:t>
      </w:r>
      <w:r w:rsidR="007C1F52" w:rsidRPr="5A579D0C">
        <w:rPr>
          <w:rFonts w:ascii="Arial" w:eastAsiaTheme="minorEastAsia" w:hAnsi="Arial" w:cs="Arial"/>
        </w:rPr>
        <w:t xml:space="preserve"> includ</w:t>
      </w:r>
      <w:r w:rsidR="00D42E67" w:rsidRPr="5A579D0C">
        <w:rPr>
          <w:rFonts w:ascii="Arial" w:eastAsiaTheme="minorEastAsia" w:hAnsi="Arial" w:cs="Arial"/>
        </w:rPr>
        <w:t>ed:</w:t>
      </w:r>
      <w:r w:rsidR="007C1F52" w:rsidRPr="5A579D0C">
        <w:rPr>
          <w:rFonts w:ascii="Arial" w:eastAsiaTheme="minorEastAsia" w:hAnsi="Arial" w:cs="Arial"/>
        </w:rPr>
        <w:t xml:space="preserve"> 1) PRES staff not being embedded in DFAT and difficulties surrounding security clearance</w:t>
      </w:r>
      <w:r w:rsidR="00740BED">
        <w:rPr>
          <w:rFonts w:ascii="Arial" w:eastAsiaTheme="minorEastAsia" w:hAnsi="Arial" w:cs="Arial"/>
        </w:rPr>
        <w:t>;</w:t>
      </w:r>
      <w:r w:rsidR="007C1F52" w:rsidRPr="5A579D0C">
        <w:rPr>
          <w:rFonts w:ascii="Arial" w:eastAsiaTheme="minorEastAsia" w:hAnsi="Arial" w:cs="Arial"/>
        </w:rPr>
        <w:t xml:space="preserve"> 2) limited access to information necessary for comprehensive strategic support stemming from </w:t>
      </w:r>
      <w:r w:rsidR="00740BED">
        <w:rPr>
          <w:rFonts w:ascii="Arial" w:eastAsiaTheme="minorEastAsia" w:hAnsi="Arial" w:cs="Arial"/>
        </w:rPr>
        <w:t>PRES staff’s</w:t>
      </w:r>
      <w:r w:rsidR="00740BED" w:rsidRPr="5A579D0C">
        <w:rPr>
          <w:rFonts w:ascii="Arial" w:eastAsiaTheme="minorEastAsia" w:hAnsi="Arial" w:cs="Arial"/>
        </w:rPr>
        <w:t xml:space="preserve"> </w:t>
      </w:r>
      <w:r w:rsidR="007C1F52" w:rsidRPr="5A579D0C">
        <w:rPr>
          <w:rFonts w:ascii="Arial" w:eastAsiaTheme="minorEastAsia" w:hAnsi="Arial" w:cs="Arial"/>
        </w:rPr>
        <w:t>external position</w:t>
      </w:r>
      <w:r w:rsidR="00740BED">
        <w:rPr>
          <w:rFonts w:ascii="Arial" w:eastAsiaTheme="minorEastAsia" w:hAnsi="Arial" w:cs="Arial"/>
        </w:rPr>
        <w:t>;</w:t>
      </w:r>
      <w:r w:rsidR="007C1F52" w:rsidRPr="5A579D0C">
        <w:rPr>
          <w:rFonts w:ascii="Arial" w:eastAsiaTheme="minorEastAsia" w:hAnsi="Arial" w:cs="Arial"/>
        </w:rPr>
        <w:t xml:space="preserve"> </w:t>
      </w:r>
      <w:r w:rsidR="00C72B9D" w:rsidRPr="5A579D0C">
        <w:rPr>
          <w:rFonts w:ascii="Arial" w:eastAsiaTheme="minorEastAsia" w:hAnsi="Arial" w:cs="Arial"/>
        </w:rPr>
        <w:t>3)</w:t>
      </w:r>
      <w:r w:rsidR="007C1F52" w:rsidRPr="5A579D0C">
        <w:rPr>
          <w:rFonts w:ascii="Arial" w:eastAsiaTheme="minorEastAsia" w:hAnsi="Arial" w:cs="Arial"/>
        </w:rPr>
        <w:t xml:space="preserve"> </w:t>
      </w:r>
      <w:r w:rsidR="00F3523A" w:rsidRPr="5A579D0C">
        <w:rPr>
          <w:rFonts w:ascii="Arial" w:eastAsiaTheme="minorEastAsia" w:hAnsi="Arial" w:cs="Arial"/>
        </w:rPr>
        <w:t xml:space="preserve">concerns about </w:t>
      </w:r>
      <w:r w:rsidR="007C1F52" w:rsidRPr="5A579D0C">
        <w:rPr>
          <w:rFonts w:ascii="Arial" w:eastAsiaTheme="minorEastAsia" w:hAnsi="Arial" w:cs="Arial"/>
        </w:rPr>
        <w:t xml:space="preserve">the appropriateness of strategic capability being outsourced </w:t>
      </w:r>
      <w:r w:rsidR="00F3523A" w:rsidRPr="5A579D0C">
        <w:rPr>
          <w:rFonts w:ascii="Arial" w:eastAsiaTheme="minorEastAsia" w:hAnsi="Arial" w:cs="Arial"/>
        </w:rPr>
        <w:t>and</w:t>
      </w:r>
      <w:r w:rsidR="007C1F52" w:rsidRPr="5A579D0C">
        <w:rPr>
          <w:rFonts w:ascii="Arial" w:eastAsiaTheme="minorEastAsia" w:hAnsi="Arial" w:cs="Arial"/>
        </w:rPr>
        <w:t xml:space="preserve"> </w:t>
      </w:r>
      <w:r w:rsidR="00C72B9D" w:rsidRPr="5A579D0C">
        <w:rPr>
          <w:rFonts w:ascii="Arial" w:eastAsiaTheme="minorEastAsia" w:hAnsi="Arial" w:cs="Arial"/>
        </w:rPr>
        <w:t>4</w:t>
      </w:r>
      <w:r w:rsidR="007C1F52" w:rsidRPr="5A579D0C">
        <w:rPr>
          <w:rFonts w:ascii="Arial" w:eastAsiaTheme="minorEastAsia" w:hAnsi="Arial" w:cs="Arial"/>
        </w:rPr>
        <w:t xml:space="preserve">) a lack of </w:t>
      </w:r>
      <w:r w:rsidR="00D42E67" w:rsidRPr="5A579D0C">
        <w:rPr>
          <w:rFonts w:ascii="Arial" w:eastAsiaTheme="minorEastAsia" w:hAnsi="Arial" w:cs="Arial"/>
        </w:rPr>
        <w:t>c</w:t>
      </w:r>
      <w:r w:rsidR="00905DF6" w:rsidRPr="5A579D0C">
        <w:rPr>
          <w:rFonts w:ascii="Arial" w:eastAsiaTheme="minorEastAsia" w:hAnsi="Arial" w:cs="Arial"/>
        </w:rPr>
        <w:t>lari</w:t>
      </w:r>
      <w:r w:rsidR="00D42E67" w:rsidRPr="5A579D0C">
        <w:rPr>
          <w:rFonts w:ascii="Arial" w:eastAsiaTheme="minorEastAsia" w:hAnsi="Arial" w:cs="Arial"/>
        </w:rPr>
        <w:t>t</w:t>
      </w:r>
      <w:r w:rsidR="00905DF6" w:rsidRPr="5A579D0C">
        <w:rPr>
          <w:rFonts w:ascii="Arial" w:eastAsiaTheme="minorEastAsia" w:hAnsi="Arial" w:cs="Arial"/>
        </w:rPr>
        <w:t xml:space="preserve">y </w:t>
      </w:r>
      <w:r w:rsidR="007C1F52" w:rsidRPr="5A579D0C">
        <w:rPr>
          <w:rFonts w:ascii="Arial" w:eastAsiaTheme="minorEastAsia" w:hAnsi="Arial" w:cs="Arial"/>
        </w:rPr>
        <w:t xml:space="preserve">around the specific strategic support that DFAT needs from PRES.  </w:t>
      </w:r>
      <w:r w:rsidR="0031467B" w:rsidRPr="5A579D0C">
        <w:rPr>
          <w:rFonts w:ascii="Arial" w:eastAsiaTheme="minorEastAsia" w:hAnsi="Arial" w:cs="Arial"/>
        </w:rPr>
        <w:t xml:space="preserve">Nevertheless, PRES Core Team technical expertise demonstrably provides valuable input into </w:t>
      </w:r>
      <w:r w:rsidR="00A73F32">
        <w:rPr>
          <w:rFonts w:ascii="Arial" w:eastAsiaTheme="minorEastAsia" w:hAnsi="Arial" w:cs="Arial"/>
        </w:rPr>
        <w:t>economic</w:t>
      </w:r>
      <w:r w:rsidR="00A73F32" w:rsidRPr="5A579D0C">
        <w:rPr>
          <w:rFonts w:ascii="Arial" w:eastAsiaTheme="minorEastAsia" w:hAnsi="Arial" w:cs="Arial"/>
        </w:rPr>
        <w:t xml:space="preserve"> </w:t>
      </w:r>
      <w:r w:rsidR="0031467B" w:rsidRPr="5A579D0C">
        <w:rPr>
          <w:rFonts w:ascii="Arial" w:eastAsiaTheme="minorEastAsia" w:hAnsi="Arial" w:cs="Arial"/>
        </w:rPr>
        <w:t>development</w:t>
      </w:r>
      <w:r w:rsidR="00A73F32">
        <w:rPr>
          <w:rFonts w:ascii="Arial" w:eastAsiaTheme="minorEastAsia" w:hAnsi="Arial" w:cs="Arial"/>
        </w:rPr>
        <w:t xml:space="preserve"> strategy and programming</w:t>
      </w:r>
      <w:r w:rsidR="0031467B" w:rsidRPr="5A579D0C">
        <w:rPr>
          <w:rFonts w:ascii="Arial" w:eastAsiaTheme="minorEastAsia" w:hAnsi="Arial" w:cs="Arial"/>
        </w:rPr>
        <w:t>, enriching organisational knowledge and fostering cohesion across DFAT</w:t>
      </w:r>
      <w:r w:rsidR="00A73F32">
        <w:rPr>
          <w:rFonts w:ascii="Arial" w:eastAsiaTheme="minorEastAsia" w:hAnsi="Arial" w:cs="Arial"/>
        </w:rPr>
        <w:t>’s Pacific economic investments</w:t>
      </w:r>
      <w:r w:rsidR="005C30C3" w:rsidRPr="5A579D0C">
        <w:rPr>
          <w:rFonts w:ascii="Arial" w:eastAsiaTheme="minorEastAsia" w:hAnsi="Arial" w:cs="Arial"/>
        </w:rPr>
        <w:t xml:space="preserve">. </w:t>
      </w:r>
    </w:p>
    <w:p w14:paraId="77E08282" w14:textId="05DA5BDD" w:rsidR="00430FD5" w:rsidRPr="00430FD5" w:rsidRDefault="007C1F52" w:rsidP="00B63BAA">
      <w:pPr>
        <w:rPr>
          <w:rFonts w:ascii="Arial" w:eastAsiaTheme="minorEastAsia" w:hAnsi="Arial" w:cs="Arial"/>
        </w:rPr>
      </w:pPr>
      <w:r w:rsidRPr="00430FD5">
        <w:rPr>
          <w:rFonts w:ascii="Arial" w:eastAsiaTheme="minorEastAsia" w:hAnsi="Arial" w:cs="Arial"/>
          <w:b/>
          <w:bCs/>
        </w:rPr>
        <w:t xml:space="preserve">The available evidence suggests that while PRES is making </w:t>
      </w:r>
      <w:r w:rsidR="009F50C8">
        <w:rPr>
          <w:rFonts w:ascii="Arial" w:eastAsiaTheme="minorEastAsia" w:hAnsi="Arial" w:cs="Arial"/>
          <w:b/>
          <w:bCs/>
        </w:rPr>
        <w:t xml:space="preserve">a </w:t>
      </w:r>
      <w:r w:rsidRPr="00430FD5">
        <w:rPr>
          <w:rFonts w:ascii="Arial" w:eastAsiaTheme="minorEastAsia" w:hAnsi="Arial" w:cs="Arial"/>
          <w:b/>
          <w:bCs/>
        </w:rPr>
        <w:t xml:space="preserve">significant effort to achieve EOIO2, progress has been </w:t>
      </w:r>
      <w:r w:rsidR="004A7246">
        <w:rPr>
          <w:rFonts w:ascii="Arial" w:eastAsiaTheme="minorEastAsia" w:hAnsi="Arial" w:cs="Arial"/>
          <w:b/>
          <w:bCs/>
        </w:rPr>
        <w:t xml:space="preserve">relatively </w:t>
      </w:r>
      <w:r w:rsidRPr="00430FD5">
        <w:rPr>
          <w:rFonts w:ascii="Arial" w:eastAsiaTheme="minorEastAsia" w:hAnsi="Arial" w:cs="Arial"/>
          <w:b/>
          <w:bCs/>
        </w:rPr>
        <w:t>slow</w:t>
      </w:r>
      <w:r w:rsidRPr="004D0AEC">
        <w:rPr>
          <w:rFonts w:ascii="Arial" w:eastAsiaTheme="minorEastAsia" w:hAnsi="Arial" w:cs="Arial"/>
          <w:b/>
          <w:bCs/>
        </w:rPr>
        <w:t xml:space="preserve">. </w:t>
      </w:r>
      <w:r w:rsidRPr="48347A15">
        <w:rPr>
          <w:rFonts w:ascii="Arial" w:eastAsiaTheme="minorEastAsia" w:hAnsi="Arial" w:cs="Arial"/>
        </w:rPr>
        <w:t xml:space="preserve">The evaluation identified a need for greater clarity </w:t>
      </w:r>
      <w:r w:rsidR="00A356F4">
        <w:rPr>
          <w:rFonts w:ascii="Arial" w:eastAsiaTheme="minorEastAsia" w:hAnsi="Arial" w:cs="Arial"/>
        </w:rPr>
        <w:t xml:space="preserve">from DFAT on </w:t>
      </w:r>
      <w:r w:rsidRPr="48347A15">
        <w:rPr>
          <w:rFonts w:ascii="Arial" w:eastAsiaTheme="minorEastAsia" w:hAnsi="Arial" w:cs="Arial"/>
        </w:rPr>
        <w:t>what success looked like for EOIO2 and its ongoing suitability</w:t>
      </w:r>
      <w:r w:rsidR="00A44F4F" w:rsidRPr="48347A15">
        <w:rPr>
          <w:rFonts w:ascii="Arial" w:eastAsiaTheme="minorEastAsia" w:hAnsi="Arial" w:cs="Arial"/>
        </w:rPr>
        <w:t xml:space="preserve"> and relevance</w:t>
      </w:r>
      <w:r w:rsidRPr="48347A15">
        <w:rPr>
          <w:rFonts w:ascii="Arial" w:eastAsiaTheme="minorEastAsia" w:hAnsi="Arial" w:cs="Arial"/>
        </w:rPr>
        <w:t xml:space="preserve">. </w:t>
      </w:r>
      <w:r w:rsidR="00E369DA" w:rsidRPr="48347A15">
        <w:rPr>
          <w:rFonts w:ascii="Arial" w:eastAsiaTheme="minorEastAsia" w:hAnsi="Arial" w:cs="Arial"/>
        </w:rPr>
        <w:t xml:space="preserve">Despite efforts to achieve EOIO2 through the </w:t>
      </w:r>
      <w:r w:rsidR="00A356F4">
        <w:rPr>
          <w:rFonts w:ascii="Arial" w:eastAsiaTheme="minorEastAsia" w:hAnsi="Arial" w:cs="Arial"/>
        </w:rPr>
        <w:t>Information Management System (</w:t>
      </w:r>
      <w:r w:rsidR="00E369DA" w:rsidRPr="48347A15">
        <w:rPr>
          <w:rFonts w:ascii="Arial" w:eastAsiaTheme="minorEastAsia" w:hAnsi="Arial" w:cs="Arial"/>
        </w:rPr>
        <w:t>IMS</w:t>
      </w:r>
      <w:r w:rsidR="00A356F4">
        <w:rPr>
          <w:rFonts w:ascii="Arial" w:eastAsiaTheme="minorEastAsia" w:hAnsi="Arial" w:cs="Arial"/>
        </w:rPr>
        <w:t>)</w:t>
      </w:r>
      <w:r w:rsidR="00E369DA" w:rsidRPr="48347A15">
        <w:rPr>
          <w:rFonts w:ascii="Arial" w:eastAsiaTheme="minorEastAsia" w:hAnsi="Arial" w:cs="Arial"/>
        </w:rPr>
        <w:t xml:space="preserve">, initially a SharePoint platform and later a </w:t>
      </w:r>
      <w:r w:rsidR="00E244DE">
        <w:rPr>
          <w:rFonts w:ascii="Arial" w:eastAsiaTheme="minorEastAsia" w:hAnsi="Arial" w:cs="Arial"/>
        </w:rPr>
        <w:t>h</w:t>
      </w:r>
      <w:r w:rsidR="00E369DA" w:rsidRPr="48347A15">
        <w:rPr>
          <w:rFonts w:ascii="Arial" w:eastAsiaTheme="minorEastAsia" w:hAnsi="Arial" w:cs="Arial"/>
        </w:rPr>
        <w:t xml:space="preserve">ub, </w:t>
      </w:r>
      <w:r w:rsidR="00624AB6" w:rsidRPr="48347A15">
        <w:rPr>
          <w:rFonts w:ascii="Arial" w:eastAsiaTheme="minorEastAsia" w:hAnsi="Arial" w:cs="Arial"/>
        </w:rPr>
        <w:t>significant usage is yet to be demonstrated</w:t>
      </w:r>
      <w:r w:rsidR="00942B66" w:rsidRPr="48347A15">
        <w:rPr>
          <w:rFonts w:ascii="Arial" w:eastAsiaTheme="minorEastAsia" w:hAnsi="Arial" w:cs="Arial"/>
        </w:rPr>
        <w:t xml:space="preserve">. </w:t>
      </w:r>
      <w:r w:rsidR="00A817F3" w:rsidRPr="48347A15">
        <w:rPr>
          <w:rFonts w:ascii="Arial" w:eastAsiaTheme="minorEastAsia" w:hAnsi="Arial" w:cs="Arial"/>
        </w:rPr>
        <w:t xml:space="preserve">For example, results of the 2024 PEB staff survey </w:t>
      </w:r>
      <w:r w:rsidR="00A817F3" w:rsidRPr="48347A15">
        <w:rPr>
          <w:rFonts w:ascii="Arial" w:eastAsiaTheme="minorEastAsia" w:hAnsi="Arial" w:cs="Arial"/>
        </w:rPr>
        <w:lastRenderedPageBreak/>
        <w:t xml:space="preserve">found that although most respondents (67%) were aware of the PRES IMS, less than half (42%) </w:t>
      </w:r>
      <w:r w:rsidR="09C20173" w:rsidRPr="48347A15">
        <w:rPr>
          <w:rFonts w:ascii="Arial" w:eastAsiaTheme="minorEastAsia" w:hAnsi="Arial" w:cs="Arial"/>
        </w:rPr>
        <w:t xml:space="preserve">reported </w:t>
      </w:r>
      <w:r w:rsidR="00A817F3" w:rsidRPr="48347A15">
        <w:rPr>
          <w:rFonts w:ascii="Arial" w:eastAsiaTheme="minorEastAsia" w:hAnsi="Arial" w:cs="Arial"/>
        </w:rPr>
        <w:t xml:space="preserve">using it. However, </w:t>
      </w:r>
      <w:r w:rsidR="002D6C3B" w:rsidRPr="48347A15">
        <w:rPr>
          <w:rFonts w:ascii="Arial" w:eastAsiaTheme="minorEastAsia" w:hAnsi="Arial" w:cs="Arial"/>
        </w:rPr>
        <w:t>as the survey was conducted shortly after launch</w:t>
      </w:r>
      <w:r w:rsidR="006712F2">
        <w:rPr>
          <w:rFonts w:ascii="Arial" w:eastAsiaTheme="minorEastAsia" w:hAnsi="Arial" w:cs="Arial"/>
        </w:rPr>
        <w:t>,</w:t>
      </w:r>
      <w:r w:rsidR="002D6C3B" w:rsidRPr="48347A15">
        <w:rPr>
          <w:rFonts w:ascii="Arial" w:eastAsiaTheme="minorEastAsia" w:hAnsi="Arial" w:cs="Arial"/>
        </w:rPr>
        <w:t xml:space="preserve"> this likely reflects a lag in usage.</w:t>
      </w:r>
      <w:r w:rsidR="00545A96" w:rsidRPr="004D0AEC">
        <w:rPr>
          <w:vertAlign w:val="superscript"/>
        </w:rPr>
        <w:footnoteReference w:id="3"/>
      </w:r>
      <w:r w:rsidR="00A817F3" w:rsidRPr="48347A15">
        <w:rPr>
          <w:rFonts w:ascii="Arial" w:eastAsiaTheme="minorEastAsia" w:hAnsi="Arial" w:cs="Arial"/>
        </w:rPr>
        <w:t xml:space="preserve"> </w:t>
      </w:r>
      <w:r w:rsidR="00A356F4" w:rsidRPr="48347A15">
        <w:rPr>
          <w:rFonts w:ascii="Arial" w:eastAsiaTheme="minorEastAsia" w:hAnsi="Arial" w:cs="Arial"/>
        </w:rPr>
        <w:t xml:space="preserve"> </w:t>
      </w:r>
    </w:p>
    <w:p w14:paraId="6CD466E7" w14:textId="336CC9F2" w:rsidR="009842FC" w:rsidRDefault="006D1145" w:rsidP="003C1F09">
      <w:pPr>
        <w:pStyle w:val="Heading3nonumber"/>
        <w:rPr>
          <w:caps/>
        </w:rPr>
      </w:pPr>
      <w:r>
        <w:t>KRQ</w:t>
      </w:r>
      <w:r w:rsidR="00A56B13">
        <w:t xml:space="preserve">2. </w:t>
      </w:r>
      <w:r w:rsidR="0070558F" w:rsidRPr="00CF0D4D">
        <w:rPr>
          <w:caps/>
        </w:rPr>
        <w:t>How efficient is PRES and what are the opportunities to improve efficiency?</w:t>
      </w:r>
    </w:p>
    <w:p w14:paraId="1C62E16D" w14:textId="2502E509" w:rsidR="00984F3A" w:rsidRDefault="00984F3A" w:rsidP="00B63BAA">
      <w:pPr>
        <w:pStyle w:val="Orangeblocktext"/>
      </w:pPr>
      <w:r>
        <w:rPr>
          <w:b/>
          <w:bCs/>
        </w:rPr>
        <w:t>How efficient is PRES?</w:t>
      </w:r>
      <w:r w:rsidRPr="009D5FEE">
        <w:rPr>
          <w:b/>
          <w:bCs/>
        </w:rPr>
        <w:t xml:space="preserve"> </w:t>
      </w:r>
      <w:r>
        <w:t>PRES is highly efficient. There is</w:t>
      </w:r>
      <w:r w:rsidR="003565C3">
        <w:t xml:space="preserve"> strong</w:t>
      </w:r>
      <w:r>
        <w:t xml:space="preserve"> evidence that PRES provides good value for money. </w:t>
      </w:r>
      <w:r w:rsidRPr="00A43FAE">
        <w:t>PRES' efficiency stems from its flexibility and capacity to deliver quality outputs while minimi</w:t>
      </w:r>
      <w:r>
        <w:t>s</w:t>
      </w:r>
      <w:r w:rsidRPr="00A43FAE">
        <w:t>ing the time and cost associated with identifying, engaging, and managing contracted technical specialists.</w:t>
      </w:r>
      <w:r w:rsidR="003864E6">
        <w:t xml:space="preserve"> </w:t>
      </w:r>
      <w:r w:rsidR="008A2FEC">
        <w:t>Having a</w:t>
      </w:r>
      <w:r w:rsidR="00A02B28">
        <w:t xml:space="preserve">ccess to </w:t>
      </w:r>
      <w:r w:rsidR="008A2FEC">
        <w:t>a small but extremely r</w:t>
      </w:r>
      <w:r w:rsidR="00367547">
        <w:t>esponsive</w:t>
      </w:r>
      <w:r w:rsidR="008A2FEC">
        <w:t xml:space="preserve"> PRES Core Team </w:t>
      </w:r>
      <w:r w:rsidR="003864E6">
        <w:t xml:space="preserve">also </w:t>
      </w:r>
      <w:r w:rsidR="00A02B28">
        <w:t>presents value for money</w:t>
      </w:r>
      <w:r w:rsidR="006712F2">
        <w:t>,</w:t>
      </w:r>
      <w:r w:rsidR="003C62E8">
        <w:t xml:space="preserve"> given the breadth of teams requesting PRES support and the range of topics </w:t>
      </w:r>
      <w:r w:rsidR="007210F3">
        <w:t>and capabilities sought from PRES</w:t>
      </w:r>
      <w:r w:rsidR="00367547">
        <w:t>.</w:t>
      </w:r>
    </w:p>
    <w:p w14:paraId="186EC986" w14:textId="4F61827C" w:rsidR="00984F3A" w:rsidRPr="008E4473" w:rsidRDefault="00984F3A" w:rsidP="00B63BAA">
      <w:pPr>
        <w:pStyle w:val="Orangeblocktext"/>
      </w:pPr>
      <w:r>
        <w:rPr>
          <w:b/>
          <w:bCs/>
        </w:rPr>
        <w:t>Opportunities to improve efficiency:</w:t>
      </w:r>
      <w:r w:rsidRPr="00021FE2">
        <w:t xml:space="preserve"> </w:t>
      </w:r>
      <w:r w:rsidRPr="00C12630">
        <w:t>Potential areas for improvement include</w:t>
      </w:r>
      <w:r w:rsidR="009479A2">
        <w:t xml:space="preserve"> </w:t>
      </w:r>
      <w:r w:rsidR="007312D0">
        <w:t xml:space="preserve">ensuring </w:t>
      </w:r>
      <w:r w:rsidR="00A033D1">
        <w:t>DFAT’s</w:t>
      </w:r>
      <w:r>
        <w:t xml:space="preserve"> </w:t>
      </w:r>
      <w:r w:rsidR="006063F8">
        <w:t>engagement in</w:t>
      </w:r>
      <w:r w:rsidR="00965110">
        <w:t xml:space="preserve"> </w:t>
      </w:r>
      <w:r w:rsidR="007312D0">
        <w:t>final approval of all</w:t>
      </w:r>
      <w:r>
        <w:t xml:space="preserve"> TNs, </w:t>
      </w:r>
      <w:r w:rsidR="003565C3">
        <w:t xml:space="preserve">ensuring </w:t>
      </w:r>
      <w:r w:rsidR="00965110">
        <w:t xml:space="preserve">the </w:t>
      </w:r>
      <w:r>
        <w:t xml:space="preserve">resourcing of the </w:t>
      </w:r>
      <w:r w:rsidR="00D156CA">
        <w:t>PRES C</w:t>
      </w:r>
      <w:r>
        <w:t xml:space="preserve">ore </w:t>
      </w:r>
      <w:r w:rsidR="00D156CA">
        <w:t>T</w:t>
      </w:r>
      <w:r>
        <w:t>eam</w:t>
      </w:r>
      <w:r w:rsidR="003565C3">
        <w:t xml:space="preserve"> reflects </w:t>
      </w:r>
      <w:r w:rsidR="00965110">
        <w:t xml:space="preserve">the high level of </w:t>
      </w:r>
      <w:r w:rsidR="003565C3">
        <w:t xml:space="preserve">demand for </w:t>
      </w:r>
      <w:r w:rsidR="00965110">
        <w:t>technical support</w:t>
      </w:r>
      <w:r>
        <w:t xml:space="preserve">, clarity on PRES’ role </w:t>
      </w:r>
      <w:r w:rsidR="003565C3">
        <w:t xml:space="preserve">in </w:t>
      </w:r>
      <w:r>
        <w:t>strengthen</w:t>
      </w:r>
      <w:r w:rsidR="00725AD3">
        <w:t>ing</w:t>
      </w:r>
      <w:r>
        <w:t xml:space="preserve"> PEB linkages</w:t>
      </w:r>
      <w:r w:rsidR="003565C3">
        <w:t xml:space="preserve"> and coherence of strategy and investments</w:t>
      </w:r>
      <w:r>
        <w:t xml:space="preserve">, and </w:t>
      </w:r>
      <w:r w:rsidR="00051DC6">
        <w:t xml:space="preserve">strengthening </w:t>
      </w:r>
      <w:r w:rsidR="00111A2A">
        <w:t>the PRES Advisory Group</w:t>
      </w:r>
      <w:r>
        <w:t xml:space="preserve"> </w:t>
      </w:r>
      <w:r w:rsidR="0040371E">
        <w:t xml:space="preserve">(PAG) </w:t>
      </w:r>
      <w:r w:rsidR="00051DC6">
        <w:t>role</w:t>
      </w:r>
      <w:r>
        <w:t xml:space="preserve"> in prioritisation and strategic planning</w:t>
      </w:r>
      <w:r w:rsidR="00051DC6">
        <w:t xml:space="preserve"> of PRES</w:t>
      </w:r>
      <w:r>
        <w:t>.</w:t>
      </w:r>
    </w:p>
    <w:p w14:paraId="38659959" w14:textId="37207684" w:rsidR="00A415B8" w:rsidRDefault="007C1F52" w:rsidP="00B63BAA">
      <w:r w:rsidRPr="006036DF">
        <w:rPr>
          <w:rFonts w:ascii="Arial" w:eastAsiaTheme="minorEastAsia" w:hAnsi="Arial" w:cs="Arial"/>
          <w:b/>
          <w:bCs/>
          <w:szCs w:val="21"/>
        </w:rPr>
        <w:t>PRES is achieving efficiency, particularly against EOPO1</w:t>
      </w:r>
      <w:r w:rsidRPr="006036DF">
        <w:rPr>
          <w:rFonts w:ascii="Arial" w:eastAsiaTheme="minorEastAsia" w:hAnsi="Arial" w:cs="Arial"/>
          <w:szCs w:val="21"/>
        </w:rPr>
        <w:t>. Evidence from consultations and documentation is that PRES is providing value for money</w:t>
      </w:r>
      <w:r w:rsidR="00D35981">
        <w:rPr>
          <w:rFonts w:ascii="Arial" w:eastAsiaTheme="minorEastAsia" w:hAnsi="Arial" w:cs="Arial"/>
          <w:szCs w:val="21"/>
        </w:rPr>
        <w:t xml:space="preserve"> to DFAT</w:t>
      </w:r>
      <w:r w:rsidRPr="006036DF">
        <w:rPr>
          <w:rFonts w:ascii="Arial" w:eastAsiaTheme="minorEastAsia" w:hAnsi="Arial" w:cs="Arial"/>
          <w:szCs w:val="21"/>
        </w:rPr>
        <w:t>. Primarily, this is achieved through reduced costs (both monetary and time) associated with the reduced burden of identifying, engaging and managing technical specialist consultations compared with other mechanisms</w:t>
      </w:r>
      <w:r w:rsidR="00B47A84">
        <w:rPr>
          <w:rFonts w:ascii="Arial" w:eastAsiaTheme="minorEastAsia" w:hAnsi="Arial" w:cs="Arial"/>
          <w:szCs w:val="21"/>
        </w:rPr>
        <w:t xml:space="preserve"> and provision of efficient and effective technical expertise from the PRES Core Team</w:t>
      </w:r>
      <w:r w:rsidRPr="006036DF">
        <w:rPr>
          <w:rFonts w:ascii="Arial" w:eastAsiaTheme="minorEastAsia" w:hAnsi="Arial" w:cs="Arial"/>
          <w:szCs w:val="21"/>
        </w:rPr>
        <w:t>. Consultation feedback indicates that PRES’ current success is rooted in two key factors: the cultivation of strong trust dynamics and the consistent delivery of high-quality performance by specific PRES individuals.</w:t>
      </w:r>
      <w:r w:rsidR="00A44F4F" w:rsidRPr="006036DF">
        <w:rPr>
          <w:rFonts w:ascii="Arial" w:eastAsiaTheme="minorEastAsia" w:hAnsi="Arial" w:cs="Arial"/>
          <w:szCs w:val="21"/>
        </w:rPr>
        <w:t xml:space="preserve"> There are some areas where PRES could improve value for money and efficiency</w:t>
      </w:r>
      <w:r w:rsidR="00BD51F2">
        <w:rPr>
          <w:rFonts w:ascii="Arial" w:eastAsiaTheme="minorEastAsia" w:hAnsi="Arial" w:cs="Arial"/>
          <w:szCs w:val="21"/>
        </w:rPr>
        <w:t xml:space="preserve">, </w:t>
      </w:r>
      <w:r w:rsidR="00E708AD">
        <w:rPr>
          <w:rFonts w:ascii="Arial" w:eastAsiaTheme="minorEastAsia" w:hAnsi="Arial" w:cs="Arial"/>
          <w:szCs w:val="21"/>
        </w:rPr>
        <w:t xml:space="preserve">including addressing </w:t>
      </w:r>
      <w:r w:rsidR="008E5FD5">
        <w:rPr>
          <w:rFonts w:ascii="Arial" w:eastAsiaTheme="minorEastAsia" w:hAnsi="Arial" w:cs="Arial"/>
          <w:szCs w:val="21"/>
        </w:rPr>
        <w:t xml:space="preserve">a </w:t>
      </w:r>
      <w:r w:rsidR="00A415B8">
        <w:rPr>
          <w:rFonts w:ascii="Arial" w:eastAsiaTheme="minorEastAsia" w:hAnsi="Arial" w:cs="Arial"/>
          <w:szCs w:val="21"/>
        </w:rPr>
        <w:t xml:space="preserve">potential </w:t>
      </w:r>
      <w:r w:rsidR="004812A4">
        <w:rPr>
          <w:rFonts w:ascii="Arial" w:eastAsiaTheme="minorEastAsia" w:hAnsi="Arial" w:cs="Arial"/>
          <w:szCs w:val="21"/>
        </w:rPr>
        <w:t xml:space="preserve">risk of </w:t>
      </w:r>
      <w:r w:rsidR="00A415B8">
        <w:rPr>
          <w:rFonts w:ascii="Arial" w:eastAsiaTheme="minorEastAsia" w:hAnsi="Arial" w:cs="Arial"/>
          <w:szCs w:val="21"/>
        </w:rPr>
        <w:t xml:space="preserve">reliance on preferred consultants. While PRES is </w:t>
      </w:r>
      <w:r w:rsidR="00A415B8" w:rsidRPr="00E4153D">
        <w:t>demonstrat</w:t>
      </w:r>
      <w:r w:rsidR="00A415B8">
        <w:t>ing</w:t>
      </w:r>
      <w:r w:rsidR="00A415B8" w:rsidRPr="00E4153D">
        <w:t xml:space="preserve"> efforts to mitigate </w:t>
      </w:r>
      <w:r w:rsidR="00AC3751">
        <w:t>the risk of</w:t>
      </w:r>
      <w:r w:rsidR="00A415B8">
        <w:t xml:space="preserve"> </w:t>
      </w:r>
      <w:r w:rsidR="00A415B8" w:rsidRPr="00E4153D">
        <w:t>bias</w:t>
      </w:r>
      <w:r w:rsidR="008E5FD5">
        <w:t>, they do not have authority over the final recruitment decisions and</w:t>
      </w:r>
      <w:r w:rsidR="000D6061">
        <w:t>,</w:t>
      </w:r>
      <w:r w:rsidR="008E5FD5">
        <w:t xml:space="preserve"> as such</w:t>
      </w:r>
      <w:r w:rsidR="000D6061">
        <w:t>,</w:t>
      </w:r>
      <w:r w:rsidR="008E5FD5">
        <w:t xml:space="preserve"> </w:t>
      </w:r>
      <w:r w:rsidR="00AC3751">
        <w:t xml:space="preserve">the </w:t>
      </w:r>
      <w:r w:rsidR="008E5FD5">
        <w:t xml:space="preserve">potential risk remains. </w:t>
      </w:r>
    </w:p>
    <w:p w14:paraId="0DC1BCFC" w14:textId="378A2D77" w:rsidR="003C1F09" w:rsidRDefault="005D0C6A" w:rsidP="003C1F09">
      <w:pPr>
        <w:pStyle w:val="Heading3nonumber"/>
        <w:rPr>
          <w:caps/>
        </w:rPr>
      </w:pPr>
      <w:r>
        <w:t>KR</w:t>
      </w:r>
      <w:r w:rsidR="00D9172F">
        <w:t xml:space="preserve">Q3. </w:t>
      </w:r>
      <w:r w:rsidR="00DA65AB" w:rsidRPr="00CF0D4D">
        <w:rPr>
          <w:caps/>
        </w:rPr>
        <w:t>How relevant is PRES and what are the opportunities to improve relevance?</w:t>
      </w:r>
    </w:p>
    <w:p w14:paraId="1D80B199" w14:textId="71793B7A" w:rsidR="00DB3E82" w:rsidRDefault="00DB3E82" w:rsidP="00B63BAA">
      <w:pPr>
        <w:pStyle w:val="Orangeblocktext"/>
      </w:pPr>
      <w:r>
        <w:rPr>
          <w:b/>
          <w:bCs/>
        </w:rPr>
        <w:t xml:space="preserve">How relevant is PRES? </w:t>
      </w:r>
      <w:r w:rsidRPr="004F78E4">
        <w:t>PRES is and remains highly relevant</w:t>
      </w:r>
      <w:r w:rsidR="00653CD8">
        <w:t xml:space="preserve">. </w:t>
      </w:r>
      <w:proofErr w:type="gramStart"/>
      <w:r w:rsidR="00653CD8">
        <w:t xml:space="preserve">The </w:t>
      </w:r>
      <w:r w:rsidR="004812A4">
        <w:t xml:space="preserve">provision of </w:t>
      </w:r>
      <w:r w:rsidRPr="009029BE">
        <w:t>technical support and services (EOIO1)</w:t>
      </w:r>
      <w:r w:rsidR="00997C39">
        <w:t>,</w:t>
      </w:r>
      <w:proofErr w:type="gramEnd"/>
      <w:r w:rsidRPr="009029BE">
        <w:t xml:space="preserve"> </w:t>
      </w:r>
      <w:r w:rsidR="00653CD8">
        <w:t xml:space="preserve">remains relevant to both the </w:t>
      </w:r>
      <w:r w:rsidRPr="009029BE">
        <w:t xml:space="preserve">Pacific context and </w:t>
      </w:r>
      <w:r w:rsidR="00997C39">
        <w:t xml:space="preserve">the </w:t>
      </w:r>
      <w:r w:rsidRPr="009029BE">
        <w:t xml:space="preserve">DFAT </w:t>
      </w:r>
      <w:r>
        <w:t xml:space="preserve">strategic and </w:t>
      </w:r>
      <w:r w:rsidRPr="009029BE">
        <w:t>organisational context.</w:t>
      </w:r>
    </w:p>
    <w:p w14:paraId="177CD561" w14:textId="54411861" w:rsidR="00DB3E82" w:rsidRDefault="00DB3E82" w:rsidP="00B63BAA">
      <w:pPr>
        <w:pStyle w:val="Orangeblocktext"/>
      </w:pPr>
      <w:r w:rsidRPr="00CF0D4D">
        <w:rPr>
          <w:b/>
          <w:bCs/>
        </w:rPr>
        <w:t>Opportunities to improve relevance</w:t>
      </w:r>
      <w:r w:rsidRPr="00DB3E82">
        <w:t xml:space="preserve">: </w:t>
      </w:r>
      <w:r w:rsidR="002F3300">
        <w:t xml:space="preserve">As DFAT </w:t>
      </w:r>
      <w:r w:rsidR="00653CD8">
        <w:t xml:space="preserve">priorities </w:t>
      </w:r>
      <w:r w:rsidR="002F3300">
        <w:t xml:space="preserve">change and </w:t>
      </w:r>
      <w:r w:rsidR="001C4475">
        <w:t>demand for technical expertise continues to grow</w:t>
      </w:r>
      <w:r w:rsidR="003565C3">
        <w:t xml:space="preserve"> and/or broaden</w:t>
      </w:r>
      <w:r w:rsidR="002F3300">
        <w:t xml:space="preserve">, ensuring </w:t>
      </w:r>
      <w:r w:rsidRPr="00DB3E82">
        <w:t xml:space="preserve">PRES </w:t>
      </w:r>
      <w:proofErr w:type="gramStart"/>
      <w:r w:rsidR="002F3300">
        <w:t>is able to</w:t>
      </w:r>
      <w:proofErr w:type="gramEnd"/>
      <w:r w:rsidR="002F3300">
        <w:t xml:space="preserve"> remain responsive and flexible while maintaining its focus on </w:t>
      </w:r>
      <w:r w:rsidR="001C4475">
        <w:t xml:space="preserve">Pacific </w:t>
      </w:r>
      <w:r w:rsidR="002F3300">
        <w:t>economic expertise will be important to continued relevance</w:t>
      </w:r>
      <w:r w:rsidR="003565C3">
        <w:t xml:space="preserve"> and unique value</w:t>
      </w:r>
      <w:r>
        <w:t>.</w:t>
      </w:r>
    </w:p>
    <w:p w14:paraId="6A2D412B" w14:textId="04061BA2" w:rsidR="00FF0878" w:rsidRDefault="007C1F52" w:rsidP="00B63BAA">
      <w:r w:rsidRPr="006036DF">
        <w:rPr>
          <w:rFonts w:ascii="Arial" w:eastAsiaTheme="minorEastAsia" w:hAnsi="Arial" w:cs="Arial"/>
          <w:b/>
          <w:bCs/>
          <w:szCs w:val="21"/>
        </w:rPr>
        <w:t xml:space="preserve">PRES </w:t>
      </w:r>
      <w:r w:rsidR="00B46AAB">
        <w:rPr>
          <w:rFonts w:ascii="Arial" w:eastAsiaTheme="minorEastAsia" w:hAnsi="Arial" w:cs="Arial"/>
          <w:b/>
          <w:bCs/>
          <w:szCs w:val="21"/>
        </w:rPr>
        <w:t xml:space="preserve">is and </w:t>
      </w:r>
      <w:r w:rsidRPr="006036DF">
        <w:rPr>
          <w:rFonts w:ascii="Arial" w:eastAsiaTheme="minorEastAsia" w:hAnsi="Arial" w:cs="Arial"/>
          <w:b/>
          <w:bCs/>
          <w:szCs w:val="21"/>
        </w:rPr>
        <w:t>remains</w:t>
      </w:r>
      <w:r w:rsidR="003D0495">
        <w:rPr>
          <w:rFonts w:ascii="Arial" w:eastAsiaTheme="minorEastAsia" w:hAnsi="Arial" w:cs="Arial"/>
          <w:b/>
          <w:bCs/>
          <w:szCs w:val="21"/>
        </w:rPr>
        <w:t xml:space="preserve"> highly</w:t>
      </w:r>
      <w:r w:rsidRPr="006036DF">
        <w:rPr>
          <w:rFonts w:ascii="Arial" w:eastAsiaTheme="minorEastAsia" w:hAnsi="Arial" w:cs="Arial"/>
          <w:b/>
          <w:bCs/>
          <w:szCs w:val="21"/>
        </w:rPr>
        <w:t xml:space="preserve"> relevant in terms of its technical support and services (EOIO1) both in terms of the Pacific context and </w:t>
      </w:r>
      <w:r w:rsidR="00CE6077">
        <w:rPr>
          <w:rFonts w:ascii="Arial" w:eastAsiaTheme="minorEastAsia" w:hAnsi="Arial" w:cs="Arial"/>
          <w:b/>
          <w:bCs/>
          <w:szCs w:val="21"/>
        </w:rPr>
        <w:t xml:space="preserve">the </w:t>
      </w:r>
      <w:r w:rsidRPr="006036DF">
        <w:rPr>
          <w:rFonts w:ascii="Arial" w:eastAsiaTheme="minorEastAsia" w:hAnsi="Arial" w:cs="Arial"/>
          <w:b/>
          <w:bCs/>
          <w:szCs w:val="21"/>
        </w:rPr>
        <w:t xml:space="preserve">DFAT organisational context. </w:t>
      </w:r>
      <w:r w:rsidR="00723EC6" w:rsidRPr="006036DF">
        <w:rPr>
          <w:rFonts w:ascii="Arial" w:eastAsiaTheme="minorEastAsia" w:hAnsi="Arial" w:cs="Arial"/>
          <w:szCs w:val="21"/>
        </w:rPr>
        <w:t xml:space="preserve">Even as the immediate health crisis of the COVID-19 pandemic recedes, the need for specialist technical skills in the Pacific remains critical, particularly for economic recovery and growth. </w:t>
      </w:r>
      <w:r w:rsidR="00723EC6">
        <w:rPr>
          <w:rFonts w:ascii="Arial" w:eastAsiaTheme="minorEastAsia" w:hAnsi="Arial" w:cs="Arial"/>
          <w:szCs w:val="21"/>
        </w:rPr>
        <w:t xml:space="preserve">As such, PRES continues to be relevant in the context of the </w:t>
      </w:r>
      <w:r w:rsidR="00723EC6" w:rsidRPr="00B058DE">
        <w:rPr>
          <w:rFonts w:ascii="Arial" w:eastAsiaTheme="minorEastAsia" w:hAnsi="Arial" w:cs="Arial"/>
          <w:szCs w:val="21"/>
        </w:rPr>
        <w:t>Australia-Pacific Regional Development Partnership Plan 2025-2029</w:t>
      </w:r>
      <w:r w:rsidR="00723EC6">
        <w:rPr>
          <w:rFonts w:ascii="Arial" w:eastAsiaTheme="minorEastAsia" w:hAnsi="Arial" w:cs="Arial"/>
          <w:szCs w:val="21"/>
        </w:rPr>
        <w:t xml:space="preserve">. </w:t>
      </w:r>
      <w:r w:rsidR="00723EC6" w:rsidRPr="006036DF">
        <w:rPr>
          <w:rFonts w:ascii="Arial" w:eastAsiaTheme="minorEastAsia" w:hAnsi="Arial" w:cs="Arial"/>
          <w:szCs w:val="21"/>
        </w:rPr>
        <w:t xml:space="preserve">The high demand for PRES services is driven both externally by counterpart governments and partners seeking Australia’s </w:t>
      </w:r>
      <w:r w:rsidR="00723EC6" w:rsidRPr="006036DF">
        <w:rPr>
          <w:rFonts w:ascii="Arial" w:eastAsiaTheme="minorEastAsia" w:hAnsi="Arial" w:cs="Arial"/>
          <w:szCs w:val="21"/>
        </w:rPr>
        <w:lastRenderedPageBreak/>
        <w:t>support and expertise, and internally.</w:t>
      </w:r>
      <w:r w:rsidR="00723EC6">
        <w:rPr>
          <w:rFonts w:ascii="Arial" w:eastAsiaTheme="minorEastAsia" w:hAnsi="Arial" w:cs="Arial"/>
          <w:szCs w:val="21"/>
        </w:rPr>
        <w:t xml:space="preserve"> </w:t>
      </w:r>
      <w:r w:rsidR="00547E1B">
        <w:t>For example, in 2021-</w:t>
      </w:r>
      <w:r w:rsidR="00FF0878">
        <w:t>20</w:t>
      </w:r>
      <w:r w:rsidR="00547E1B">
        <w:t>22</w:t>
      </w:r>
      <w:r w:rsidR="00FF0878">
        <w:t>,</w:t>
      </w:r>
      <w:r w:rsidR="00547E1B">
        <w:t xml:space="preserve"> PRES commenced 12 TNs across </w:t>
      </w:r>
      <w:r w:rsidR="00FF0878">
        <w:t>five</w:t>
      </w:r>
      <w:r w:rsidR="00547E1B">
        <w:t xml:space="preserve"> areas of work</w:t>
      </w:r>
      <w:r w:rsidR="00FF0878">
        <w:t>;</w:t>
      </w:r>
      <w:r w:rsidR="00547E1B">
        <w:t xml:space="preserve"> by 2023-2024</w:t>
      </w:r>
      <w:r w:rsidR="00FF0878">
        <w:t>,</w:t>
      </w:r>
      <w:r w:rsidR="00547E1B">
        <w:t xml:space="preserve"> this had increased to 65 TNs across 12 areas of work. </w:t>
      </w:r>
    </w:p>
    <w:p w14:paraId="7AB7B614" w14:textId="2315799A" w:rsidR="00723EC6" w:rsidRPr="006036DF" w:rsidRDefault="00130BFE" w:rsidP="00B63BAA">
      <w:pPr>
        <w:rPr>
          <w:rFonts w:ascii="Arial" w:eastAsiaTheme="minorEastAsia" w:hAnsi="Arial" w:cs="Arial"/>
          <w:szCs w:val="21"/>
        </w:rPr>
      </w:pPr>
      <w:r>
        <w:rPr>
          <w:rFonts w:ascii="Arial" w:eastAsiaTheme="minorEastAsia" w:hAnsi="Arial" w:cs="Arial"/>
          <w:szCs w:val="21"/>
        </w:rPr>
        <w:t>T</w:t>
      </w:r>
      <w:r w:rsidRPr="006036DF">
        <w:rPr>
          <w:rFonts w:ascii="Arial" w:eastAsiaTheme="minorEastAsia" w:hAnsi="Arial" w:cs="Arial"/>
          <w:szCs w:val="21"/>
        </w:rPr>
        <w:t xml:space="preserve">here </w:t>
      </w:r>
      <w:r>
        <w:rPr>
          <w:rFonts w:ascii="Arial" w:eastAsiaTheme="minorEastAsia" w:hAnsi="Arial" w:cs="Arial"/>
          <w:szCs w:val="21"/>
        </w:rPr>
        <w:t xml:space="preserve">may be </w:t>
      </w:r>
      <w:r w:rsidR="00723EC6" w:rsidRPr="006036DF">
        <w:rPr>
          <w:rFonts w:ascii="Arial" w:eastAsiaTheme="minorEastAsia" w:hAnsi="Arial" w:cs="Arial"/>
          <w:szCs w:val="21"/>
        </w:rPr>
        <w:t xml:space="preserve">opportunities to adjust the scope of </w:t>
      </w:r>
      <w:r w:rsidR="00CD013E">
        <w:rPr>
          <w:rFonts w:ascii="Arial" w:eastAsiaTheme="minorEastAsia" w:hAnsi="Arial" w:cs="Arial"/>
          <w:szCs w:val="21"/>
        </w:rPr>
        <w:t xml:space="preserve">any future </w:t>
      </w:r>
      <w:r w:rsidR="00723EC6" w:rsidRPr="006036DF">
        <w:rPr>
          <w:rFonts w:ascii="Arial" w:eastAsiaTheme="minorEastAsia" w:hAnsi="Arial" w:cs="Arial"/>
          <w:szCs w:val="21"/>
        </w:rPr>
        <w:t>program to strengthen its relevance in terms of breadth of access and potential narrowing of technical scope</w:t>
      </w:r>
      <w:r>
        <w:rPr>
          <w:rFonts w:ascii="Arial" w:eastAsiaTheme="minorEastAsia" w:hAnsi="Arial" w:cs="Arial"/>
          <w:szCs w:val="21"/>
        </w:rPr>
        <w:t>, subject to DFAT’s future priorities</w:t>
      </w:r>
      <w:r w:rsidR="00723EC6" w:rsidRPr="006036DF">
        <w:rPr>
          <w:rFonts w:ascii="Arial" w:eastAsiaTheme="minorEastAsia" w:hAnsi="Arial" w:cs="Arial"/>
          <w:szCs w:val="21"/>
        </w:rPr>
        <w:t>.</w:t>
      </w:r>
    </w:p>
    <w:p w14:paraId="224FA232" w14:textId="7857BBA2" w:rsidR="003C1F09" w:rsidRDefault="00493D37" w:rsidP="003C1F09">
      <w:pPr>
        <w:pStyle w:val="Heading3nonumber"/>
        <w:rPr>
          <w:caps/>
        </w:rPr>
      </w:pPr>
      <w:r>
        <w:t xml:space="preserve">KRQ4. </w:t>
      </w:r>
      <w:r w:rsidR="000A770E" w:rsidRPr="00CF0D4D">
        <w:rPr>
          <w:caps/>
        </w:rPr>
        <w:t xml:space="preserve">To what </w:t>
      </w:r>
      <w:r w:rsidR="009F334B" w:rsidRPr="00CF0D4D">
        <w:rPr>
          <w:caps/>
        </w:rPr>
        <w:t>extent did PRES promote GEDSI outcomes?</w:t>
      </w:r>
    </w:p>
    <w:p w14:paraId="3E48CB9A" w14:textId="3D1F1034" w:rsidR="00FC04BE" w:rsidRDefault="00FC04BE" w:rsidP="00B63BAA">
      <w:pPr>
        <w:pStyle w:val="Orangeblocktext"/>
      </w:pPr>
      <w:r w:rsidRPr="00F96008">
        <w:t>PRES has made notable progress in promoting GEDSI outcomes</w:t>
      </w:r>
      <w:r w:rsidR="004A1331">
        <w:t>.</w:t>
      </w:r>
      <w:r w:rsidR="003565C3">
        <w:t xml:space="preserve"> </w:t>
      </w:r>
      <w:r w:rsidR="00513E48">
        <w:t>T</w:t>
      </w:r>
      <w:r w:rsidRPr="00F96008">
        <w:t>here is evidence of strengthened identification of GEDSI dimensions in TNs</w:t>
      </w:r>
      <w:r w:rsidR="004519AC">
        <w:t xml:space="preserve"> and </w:t>
      </w:r>
      <w:r w:rsidRPr="00F96008">
        <w:t>ASOs and increased gender, disability and diversity sensitivity in PRES activities</w:t>
      </w:r>
      <w:r w:rsidR="003565C3">
        <w:t>. GEDSI IOs</w:t>
      </w:r>
      <w:r w:rsidR="003565C3" w:rsidRPr="00F96008">
        <w:t xml:space="preserve"> </w:t>
      </w:r>
      <w:r w:rsidR="00513E48">
        <w:t xml:space="preserve">were developed as part of the PRES GEDSI strategy, and while outside of this evaluation timeframe, </w:t>
      </w:r>
      <w:r w:rsidR="00965110">
        <w:t>were</w:t>
      </w:r>
      <w:r w:rsidR="00513E48">
        <w:t xml:space="preserve"> </w:t>
      </w:r>
      <w:r w:rsidR="003565C3" w:rsidRPr="00F96008">
        <w:t xml:space="preserve">integrated into the program logic </w:t>
      </w:r>
      <w:r w:rsidR="003565C3">
        <w:t xml:space="preserve">in </w:t>
      </w:r>
      <w:r w:rsidR="005B42D4">
        <w:t>April</w:t>
      </w:r>
      <w:r w:rsidR="003565C3">
        <w:t xml:space="preserve"> 202</w:t>
      </w:r>
      <w:r w:rsidR="00513E48">
        <w:t>5.</w:t>
      </w:r>
    </w:p>
    <w:p w14:paraId="5D220304" w14:textId="23BD0971" w:rsidR="005278C9" w:rsidRDefault="007C1F52" w:rsidP="00B63BAA">
      <w:pPr>
        <w:rPr>
          <w:rFonts w:ascii="Arial" w:eastAsiaTheme="minorEastAsia" w:hAnsi="Arial" w:cs="Arial"/>
          <w:b/>
          <w:bCs/>
        </w:rPr>
      </w:pPr>
      <w:r w:rsidRPr="48347A15">
        <w:rPr>
          <w:rFonts w:ascii="Arial" w:eastAsiaTheme="minorEastAsia" w:hAnsi="Arial" w:cs="Arial"/>
          <w:b/>
          <w:bCs/>
        </w:rPr>
        <w:t xml:space="preserve">PRES has made significant </w:t>
      </w:r>
      <w:r w:rsidR="00653CD8">
        <w:rPr>
          <w:rFonts w:ascii="Arial" w:eastAsiaTheme="minorEastAsia" w:hAnsi="Arial" w:cs="Arial"/>
          <w:b/>
          <w:bCs/>
        </w:rPr>
        <w:t>progress</w:t>
      </w:r>
      <w:r w:rsidR="00653CD8" w:rsidRPr="48347A15">
        <w:rPr>
          <w:rFonts w:ascii="Arial" w:eastAsiaTheme="minorEastAsia" w:hAnsi="Arial" w:cs="Arial"/>
          <w:b/>
          <w:bCs/>
        </w:rPr>
        <w:t xml:space="preserve"> </w:t>
      </w:r>
      <w:r w:rsidRPr="48347A15">
        <w:rPr>
          <w:rFonts w:ascii="Arial" w:eastAsiaTheme="minorEastAsia" w:hAnsi="Arial" w:cs="Arial"/>
          <w:b/>
          <w:bCs/>
        </w:rPr>
        <w:t>towards improving GEDSI components of the program</w:t>
      </w:r>
      <w:r w:rsidR="00BE528E">
        <w:rPr>
          <w:rFonts w:ascii="Arial" w:eastAsiaTheme="minorEastAsia" w:hAnsi="Arial" w:cs="Arial"/>
          <w:b/>
          <w:bCs/>
        </w:rPr>
        <w:t>.</w:t>
      </w:r>
      <w:r w:rsidR="00357A5E">
        <w:rPr>
          <w:rFonts w:ascii="Arial" w:eastAsiaTheme="minorEastAsia" w:hAnsi="Arial" w:cs="Arial"/>
          <w:b/>
          <w:bCs/>
        </w:rPr>
        <w:t xml:space="preserve"> </w:t>
      </w:r>
      <w:r w:rsidR="00357A5E">
        <w:rPr>
          <w:szCs w:val="21"/>
        </w:rPr>
        <w:t xml:space="preserve">Data indicates that PRES has been successful on GEDSI IO1 and making progress towards GEDSI IO2. PRES is increasingly reviewing TNs, identifying GEDSI entry points and making suggestions for improved consideration of GEDSI dimensions. </w:t>
      </w:r>
      <w:r w:rsidR="00AF2003" w:rsidRPr="48347A15">
        <w:rPr>
          <w:rFonts w:ascii="Arial" w:eastAsiaTheme="minorEastAsia" w:hAnsi="Arial" w:cs="Arial"/>
        </w:rPr>
        <w:t>In terms of practical implementation of GEDSI principles and practice, improvements could be made in understanding gender pay equity among PRES advis</w:t>
      </w:r>
      <w:r w:rsidR="00AA6F74" w:rsidRPr="48347A15">
        <w:rPr>
          <w:rFonts w:ascii="Arial" w:eastAsiaTheme="minorEastAsia" w:hAnsi="Arial" w:cs="Arial"/>
        </w:rPr>
        <w:t>e</w:t>
      </w:r>
      <w:r w:rsidR="00AF2003" w:rsidRPr="48347A15">
        <w:rPr>
          <w:rFonts w:ascii="Arial" w:eastAsiaTheme="minorEastAsia" w:hAnsi="Arial" w:cs="Arial"/>
        </w:rPr>
        <w:t>rs and providing the GEDSI advis</w:t>
      </w:r>
      <w:r w:rsidR="00AA6F74" w:rsidRPr="48347A15">
        <w:rPr>
          <w:rFonts w:ascii="Arial" w:eastAsiaTheme="minorEastAsia" w:hAnsi="Arial" w:cs="Arial"/>
        </w:rPr>
        <w:t>e</w:t>
      </w:r>
      <w:r w:rsidR="00AF2003" w:rsidRPr="48347A15">
        <w:rPr>
          <w:rFonts w:ascii="Arial" w:eastAsiaTheme="minorEastAsia" w:hAnsi="Arial" w:cs="Arial"/>
        </w:rPr>
        <w:t xml:space="preserve">r with more access to strategic </w:t>
      </w:r>
      <w:r w:rsidR="00513E48">
        <w:rPr>
          <w:rFonts w:ascii="Arial" w:eastAsiaTheme="minorEastAsia" w:hAnsi="Arial" w:cs="Arial"/>
        </w:rPr>
        <w:t xml:space="preserve">DFAT </w:t>
      </w:r>
      <w:r w:rsidR="00AF2003" w:rsidRPr="48347A15">
        <w:rPr>
          <w:rFonts w:ascii="Arial" w:eastAsiaTheme="minorEastAsia" w:hAnsi="Arial" w:cs="Arial"/>
        </w:rPr>
        <w:t>forums</w:t>
      </w:r>
      <w:r w:rsidR="00EF49FB" w:rsidRPr="48347A15">
        <w:rPr>
          <w:rFonts w:ascii="Arial" w:eastAsiaTheme="minorEastAsia" w:hAnsi="Arial" w:cs="Arial"/>
        </w:rPr>
        <w:t>. Though outside the evaluation period, there is evidence of p</w:t>
      </w:r>
      <w:r w:rsidR="00F14D08" w:rsidRPr="48347A15">
        <w:rPr>
          <w:rFonts w:ascii="Arial" w:eastAsiaTheme="minorEastAsia" w:hAnsi="Arial" w:cs="Arial"/>
        </w:rPr>
        <w:t>rogress being made on this</w:t>
      </w:r>
      <w:r w:rsidR="00A541DE" w:rsidRPr="48347A15">
        <w:rPr>
          <w:rFonts w:ascii="Arial" w:eastAsiaTheme="minorEastAsia" w:hAnsi="Arial" w:cs="Arial"/>
        </w:rPr>
        <w:t xml:space="preserve">, with </w:t>
      </w:r>
      <w:r w:rsidR="003F19EE" w:rsidRPr="48347A15">
        <w:rPr>
          <w:rFonts w:ascii="Arial" w:eastAsiaTheme="minorEastAsia" w:hAnsi="Arial" w:cs="Arial"/>
        </w:rPr>
        <w:t>the GEDSI advis</w:t>
      </w:r>
      <w:r w:rsidR="00AF01F7" w:rsidRPr="48347A15">
        <w:rPr>
          <w:rFonts w:ascii="Arial" w:eastAsiaTheme="minorEastAsia" w:hAnsi="Arial" w:cs="Arial"/>
        </w:rPr>
        <w:t xml:space="preserve">er attending </w:t>
      </w:r>
      <w:r w:rsidR="003B5007" w:rsidRPr="48347A15">
        <w:rPr>
          <w:rFonts w:ascii="Arial" w:eastAsiaTheme="minorEastAsia" w:hAnsi="Arial" w:cs="Arial"/>
        </w:rPr>
        <w:t>PAG</w:t>
      </w:r>
      <w:r w:rsidR="00652AB7">
        <w:rPr>
          <w:rFonts w:ascii="Arial" w:eastAsiaTheme="minorEastAsia" w:hAnsi="Arial" w:cs="Arial"/>
        </w:rPr>
        <w:t xml:space="preserve"> meetings</w:t>
      </w:r>
      <w:r w:rsidR="003B5007" w:rsidRPr="48347A15">
        <w:rPr>
          <w:rFonts w:ascii="Arial" w:eastAsiaTheme="minorEastAsia" w:hAnsi="Arial" w:cs="Arial"/>
        </w:rPr>
        <w:t xml:space="preserve">, </w:t>
      </w:r>
      <w:r w:rsidR="00652AB7">
        <w:rPr>
          <w:rFonts w:ascii="Arial" w:eastAsiaTheme="minorEastAsia" w:hAnsi="Arial" w:cs="Arial"/>
        </w:rPr>
        <w:t>w</w:t>
      </w:r>
      <w:r w:rsidR="006B6C85" w:rsidRPr="48347A15">
        <w:rPr>
          <w:rFonts w:ascii="Arial" w:eastAsiaTheme="minorEastAsia" w:hAnsi="Arial" w:cs="Arial"/>
        </w:rPr>
        <w:t xml:space="preserve">orking </w:t>
      </w:r>
      <w:r w:rsidR="00652AB7">
        <w:rPr>
          <w:rFonts w:ascii="Arial" w:eastAsiaTheme="minorEastAsia" w:hAnsi="Arial" w:cs="Arial"/>
        </w:rPr>
        <w:t>g</w:t>
      </w:r>
      <w:r w:rsidR="006B6C85" w:rsidRPr="48347A15">
        <w:rPr>
          <w:rFonts w:ascii="Arial" w:eastAsiaTheme="minorEastAsia" w:hAnsi="Arial" w:cs="Arial"/>
        </w:rPr>
        <w:t xml:space="preserve">roup meetings </w:t>
      </w:r>
      <w:r w:rsidR="00F87BF3" w:rsidRPr="48347A15">
        <w:rPr>
          <w:rFonts w:ascii="Arial" w:eastAsiaTheme="minorEastAsia" w:hAnsi="Arial" w:cs="Arial"/>
        </w:rPr>
        <w:t xml:space="preserve">and </w:t>
      </w:r>
      <w:r w:rsidR="041255E2" w:rsidRPr="48347A15">
        <w:rPr>
          <w:rFonts w:ascii="Arial" w:eastAsiaTheme="minorEastAsia" w:hAnsi="Arial" w:cs="Arial"/>
        </w:rPr>
        <w:t>s</w:t>
      </w:r>
      <w:r w:rsidR="00F87BF3" w:rsidRPr="48347A15">
        <w:rPr>
          <w:rFonts w:ascii="Arial" w:eastAsiaTheme="minorEastAsia" w:hAnsi="Arial" w:cs="Arial"/>
        </w:rPr>
        <w:t>ection m</w:t>
      </w:r>
      <w:r w:rsidR="00682758" w:rsidRPr="48347A15">
        <w:rPr>
          <w:rFonts w:ascii="Arial" w:eastAsiaTheme="minorEastAsia" w:hAnsi="Arial" w:cs="Arial"/>
        </w:rPr>
        <w:t>eetings in 2025</w:t>
      </w:r>
      <w:r w:rsidR="00AF2003" w:rsidRPr="48347A15">
        <w:rPr>
          <w:rFonts w:ascii="Arial" w:eastAsiaTheme="minorEastAsia" w:hAnsi="Arial" w:cs="Arial"/>
        </w:rPr>
        <w:t>.</w:t>
      </w:r>
      <w:r w:rsidR="0079385B">
        <w:t xml:space="preserve"> </w:t>
      </w:r>
      <w:r w:rsidR="00653CD8">
        <w:t xml:space="preserve">Any </w:t>
      </w:r>
      <w:r w:rsidR="00653CD8">
        <w:rPr>
          <w:lang w:eastAsia="en-GB"/>
        </w:rPr>
        <w:t>f</w:t>
      </w:r>
      <w:r w:rsidR="00F06902" w:rsidRPr="48347A15">
        <w:rPr>
          <w:lang w:eastAsia="en-GB"/>
        </w:rPr>
        <w:t>uture design should</w:t>
      </w:r>
      <w:r w:rsidR="009C5FC5" w:rsidRPr="48347A15">
        <w:rPr>
          <w:lang w:eastAsia="en-GB"/>
        </w:rPr>
        <w:t xml:space="preserve"> also</w:t>
      </w:r>
      <w:r w:rsidR="00F06902" w:rsidRPr="48347A15">
        <w:rPr>
          <w:lang w:eastAsia="en-GB"/>
        </w:rPr>
        <w:t xml:space="preserve"> explore opportunities for</w:t>
      </w:r>
      <w:r w:rsidR="006A0CAE" w:rsidRPr="48347A15">
        <w:rPr>
          <w:lang w:eastAsia="en-GB"/>
        </w:rPr>
        <w:t xml:space="preserve"> further engagement of</w:t>
      </w:r>
      <w:r w:rsidR="00F06902" w:rsidRPr="48347A15">
        <w:rPr>
          <w:lang w:eastAsia="en-GB"/>
        </w:rPr>
        <w:t xml:space="preserve"> Pacific Islander expertise for relevant TNs</w:t>
      </w:r>
      <w:r w:rsidR="00A011AA">
        <w:rPr>
          <w:lang w:eastAsia="en-GB"/>
        </w:rPr>
        <w:t xml:space="preserve"> </w:t>
      </w:r>
      <w:r w:rsidR="00F06902" w:rsidRPr="48347A15">
        <w:rPr>
          <w:lang w:eastAsia="en-GB"/>
        </w:rPr>
        <w:t>/</w:t>
      </w:r>
      <w:r w:rsidR="00A011AA">
        <w:rPr>
          <w:lang w:eastAsia="en-GB"/>
        </w:rPr>
        <w:t xml:space="preserve"> </w:t>
      </w:r>
      <w:r w:rsidR="00F06902" w:rsidRPr="48347A15">
        <w:rPr>
          <w:lang w:eastAsia="en-GB"/>
        </w:rPr>
        <w:t>deliverables, acknowledging much of PRES' work is Canberra-based.</w:t>
      </w:r>
    </w:p>
    <w:p w14:paraId="1DEFC1F7" w14:textId="262005F3" w:rsidR="003C1F09" w:rsidRDefault="001818B4" w:rsidP="003C1F09">
      <w:pPr>
        <w:pStyle w:val="Heading3nonumber"/>
        <w:rPr>
          <w:caps/>
        </w:rPr>
      </w:pPr>
      <w:r>
        <w:t>KRQ</w:t>
      </w:r>
      <w:r w:rsidR="0046428A">
        <w:t>5</w:t>
      </w:r>
      <w:r>
        <w:t xml:space="preserve">. </w:t>
      </w:r>
      <w:r w:rsidR="00AA4ED4" w:rsidRPr="00CF0D4D">
        <w:rPr>
          <w:caps/>
        </w:rPr>
        <w:t>Did the program operationalise an effective MEL system that met key stakeholder needs?</w:t>
      </w:r>
    </w:p>
    <w:p w14:paraId="2F1E286F" w14:textId="64127CFC" w:rsidR="00AA4ED4" w:rsidRPr="00FB1F71" w:rsidRDefault="000534B0" w:rsidP="00B63BAA">
      <w:pPr>
        <w:pStyle w:val="Orangeblocktext"/>
      </w:pPr>
      <w:r w:rsidRPr="00FB1F71">
        <w:t xml:space="preserve">PRES </w:t>
      </w:r>
      <w:r w:rsidR="0095715B" w:rsidRPr="00FB1F71">
        <w:t xml:space="preserve">has adopted and delivered an effective MEL system, </w:t>
      </w:r>
      <w:r w:rsidR="00AB0903" w:rsidRPr="00FB1F71">
        <w:t xml:space="preserve">widely </w:t>
      </w:r>
      <w:r w:rsidR="00C43DDB" w:rsidRPr="00FB1F71">
        <w:t>acknowledged</w:t>
      </w:r>
      <w:r w:rsidR="00AB0903" w:rsidRPr="00FB1F71">
        <w:t xml:space="preserve"> as useful</w:t>
      </w:r>
      <w:r w:rsidR="0065633A" w:rsidRPr="00FB1F71">
        <w:t xml:space="preserve"> in assessing and improving the quality of </w:t>
      </w:r>
      <w:r w:rsidR="00E10396" w:rsidRPr="00FB1F71">
        <w:t>work and</w:t>
      </w:r>
      <w:r w:rsidR="0065633A" w:rsidRPr="00FB1F71">
        <w:t xml:space="preserve"> strengthening PRES performance. </w:t>
      </w:r>
    </w:p>
    <w:p w14:paraId="59DC6421" w14:textId="0DDC8D01" w:rsidR="007C1F52" w:rsidRPr="006036DF" w:rsidRDefault="007C1F52" w:rsidP="00B63BAA">
      <w:pPr>
        <w:rPr>
          <w:rFonts w:ascii="Arial" w:eastAsiaTheme="minorEastAsia" w:hAnsi="Arial" w:cs="Arial"/>
          <w:szCs w:val="21"/>
        </w:rPr>
      </w:pPr>
      <w:r w:rsidRPr="006036DF">
        <w:rPr>
          <w:rFonts w:ascii="Arial" w:eastAsiaTheme="minorEastAsia" w:hAnsi="Arial" w:cs="Arial"/>
          <w:b/>
          <w:bCs/>
          <w:szCs w:val="21"/>
        </w:rPr>
        <w:t xml:space="preserve">The PRES monitoring and evaluation (M&amp;E) framework is concise and well-aligned to DFAT </w:t>
      </w:r>
      <w:r w:rsidR="005278C9">
        <w:rPr>
          <w:rFonts w:ascii="Arial" w:eastAsiaTheme="minorEastAsia" w:hAnsi="Arial" w:cs="Arial"/>
          <w:b/>
          <w:bCs/>
          <w:szCs w:val="21"/>
        </w:rPr>
        <w:t>s</w:t>
      </w:r>
      <w:r w:rsidRPr="006036DF">
        <w:rPr>
          <w:rFonts w:ascii="Arial" w:eastAsiaTheme="minorEastAsia" w:hAnsi="Arial" w:cs="Arial"/>
          <w:b/>
          <w:bCs/>
          <w:szCs w:val="21"/>
        </w:rPr>
        <w:t>tandard</w:t>
      </w:r>
      <w:r w:rsidR="00255B17" w:rsidRPr="006036DF">
        <w:rPr>
          <w:rFonts w:ascii="Arial" w:eastAsiaTheme="minorEastAsia" w:hAnsi="Arial" w:cs="Arial"/>
          <w:b/>
          <w:bCs/>
          <w:szCs w:val="21"/>
        </w:rPr>
        <w:t>s</w:t>
      </w:r>
      <w:r w:rsidRPr="006036DF">
        <w:rPr>
          <w:rFonts w:ascii="Arial" w:eastAsiaTheme="minorEastAsia" w:hAnsi="Arial" w:cs="Arial"/>
          <w:szCs w:val="21"/>
        </w:rPr>
        <w:t xml:space="preserve">. </w:t>
      </w:r>
      <w:r w:rsidR="005278C9">
        <w:rPr>
          <w:rFonts w:ascii="Arial" w:eastAsiaTheme="minorEastAsia" w:hAnsi="Arial" w:cs="Arial"/>
          <w:szCs w:val="21"/>
        </w:rPr>
        <w:t>The framework</w:t>
      </w:r>
      <w:r w:rsidR="005278C9" w:rsidRPr="006036DF">
        <w:rPr>
          <w:rFonts w:ascii="Arial" w:eastAsiaTheme="minorEastAsia" w:hAnsi="Arial" w:cs="Arial"/>
          <w:szCs w:val="21"/>
        </w:rPr>
        <w:t xml:space="preserve"> </w:t>
      </w:r>
      <w:r w:rsidRPr="006036DF">
        <w:rPr>
          <w:rFonts w:ascii="Arial" w:eastAsiaTheme="minorEastAsia" w:hAnsi="Arial" w:cs="Arial"/>
          <w:szCs w:val="21"/>
        </w:rPr>
        <w:t xml:space="preserve">explains the PRES program logic and details a </w:t>
      </w:r>
      <w:r w:rsidR="005278C9">
        <w:rPr>
          <w:rFonts w:ascii="Arial" w:eastAsiaTheme="minorEastAsia" w:hAnsi="Arial" w:cs="Arial"/>
          <w:szCs w:val="21"/>
        </w:rPr>
        <w:t>P</w:t>
      </w:r>
      <w:r w:rsidRPr="006036DF">
        <w:rPr>
          <w:rFonts w:ascii="Arial" w:eastAsiaTheme="minorEastAsia" w:hAnsi="Arial" w:cs="Arial"/>
          <w:szCs w:val="21"/>
        </w:rPr>
        <w:t xml:space="preserve">erformance </w:t>
      </w:r>
      <w:r w:rsidR="005278C9">
        <w:rPr>
          <w:rFonts w:ascii="Arial" w:eastAsiaTheme="minorEastAsia" w:hAnsi="Arial" w:cs="Arial"/>
          <w:szCs w:val="21"/>
        </w:rPr>
        <w:t>A</w:t>
      </w:r>
      <w:r w:rsidRPr="006036DF">
        <w:rPr>
          <w:rFonts w:ascii="Arial" w:eastAsiaTheme="minorEastAsia" w:hAnsi="Arial" w:cs="Arial"/>
          <w:szCs w:val="21"/>
        </w:rPr>
        <w:t xml:space="preserve">ssessment </w:t>
      </w:r>
      <w:r w:rsidR="005278C9">
        <w:rPr>
          <w:rFonts w:ascii="Arial" w:eastAsiaTheme="minorEastAsia" w:hAnsi="Arial" w:cs="Arial"/>
          <w:szCs w:val="21"/>
        </w:rPr>
        <w:t>F</w:t>
      </w:r>
      <w:r w:rsidRPr="006036DF">
        <w:rPr>
          <w:rFonts w:ascii="Arial" w:eastAsiaTheme="minorEastAsia" w:hAnsi="Arial" w:cs="Arial"/>
          <w:szCs w:val="21"/>
        </w:rPr>
        <w:t xml:space="preserve">ramework (PAF) showing how progress against the PRES logic will be measured, by whom, and when. DFAT interviewees consistently reported satisfaction with the credibility and usefulness of PRES performance reporting for their contractual oversight of PRES overall and of individual </w:t>
      </w:r>
      <w:r w:rsidR="00E73FBB">
        <w:rPr>
          <w:rFonts w:ascii="Arial" w:eastAsiaTheme="minorEastAsia" w:hAnsi="Arial" w:cs="Arial"/>
          <w:szCs w:val="21"/>
        </w:rPr>
        <w:t>TNs</w:t>
      </w:r>
      <w:r w:rsidR="00AF2003" w:rsidRPr="006036DF">
        <w:rPr>
          <w:rFonts w:ascii="Arial" w:eastAsiaTheme="minorEastAsia" w:hAnsi="Arial" w:cs="Arial"/>
          <w:szCs w:val="21"/>
        </w:rPr>
        <w:t xml:space="preserve">. </w:t>
      </w:r>
      <w:r w:rsidR="00C43DDB">
        <w:rPr>
          <w:rFonts w:ascii="Arial" w:eastAsiaTheme="minorEastAsia" w:hAnsi="Arial" w:cs="Arial"/>
          <w:szCs w:val="21"/>
        </w:rPr>
        <w:t>At the same time, t</w:t>
      </w:r>
      <w:r w:rsidR="00C43DDB" w:rsidRPr="006036DF">
        <w:rPr>
          <w:rFonts w:ascii="Arial" w:eastAsiaTheme="minorEastAsia" w:hAnsi="Arial" w:cs="Arial"/>
          <w:szCs w:val="21"/>
        </w:rPr>
        <w:t xml:space="preserve">he </w:t>
      </w:r>
      <w:r w:rsidR="00AF2003" w:rsidRPr="006036DF">
        <w:rPr>
          <w:rFonts w:ascii="Arial" w:eastAsiaTheme="minorEastAsia" w:hAnsi="Arial" w:cs="Arial"/>
          <w:szCs w:val="21"/>
        </w:rPr>
        <w:t>evaluation found</w:t>
      </w:r>
      <w:r w:rsidR="00C43DDB">
        <w:rPr>
          <w:rFonts w:ascii="Arial" w:eastAsiaTheme="minorEastAsia" w:hAnsi="Arial" w:cs="Arial"/>
          <w:szCs w:val="21"/>
        </w:rPr>
        <w:t xml:space="preserve"> opportunities to </w:t>
      </w:r>
      <w:r w:rsidR="009C1085">
        <w:rPr>
          <w:rFonts w:ascii="Arial" w:eastAsiaTheme="minorEastAsia" w:hAnsi="Arial" w:cs="Arial"/>
          <w:szCs w:val="21"/>
        </w:rPr>
        <w:t>adjust</w:t>
      </w:r>
      <w:r w:rsidR="009C1085" w:rsidRPr="006036DF">
        <w:rPr>
          <w:rFonts w:ascii="Arial" w:eastAsiaTheme="minorEastAsia" w:hAnsi="Arial" w:cs="Arial"/>
          <w:szCs w:val="21"/>
        </w:rPr>
        <w:t xml:space="preserve"> </w:t>
      </w:r>
      <w:r w:rsidR="0046428A">
        <w:rPr>
          <w:rFonts w:ascii="Arial" w:eastAsiaTheme="minorEastAsia" w:hAnsi="Arial" w:cs="Arial"/>
          <w:szCs w:val="21"/>
        </w:rPr>
        <w:t xml:space="preserve">the frequency of reporting and </w:t>
      </w:r>
      <w:r w:rsidR="00AF2003" w:rsidRPr="006036DF">
        <w:rPr>
          <w:rFonts w:ascii="Arial" w:eastAsiaTheme="minorEastAsia" w:hAnsi="Arial" w:cs="Arial"/>
          <w:szCs w:val="21"/>
        </w:rPr>
        <w:t>reporting templates</w:t>
      </w:r>
      <w:r w:rsidR="0046428A">
        <w:rPr>
          <w:rFonts w:ascii="Arial" w:eastAsiaTheme="minorEastAsia" w:hAnsi="Arial" w:cs="Arial"/>
          <w:szCs w:val="21"/>
        </w:rPr>
        <w:t xml:space="preserve">. </w:t>
      </w:r>
    </w:p>
    <w:p w14:paraId="3BCD1C60" w14:textId="533A5E5F" w:rsidR="003C1F09" w:rsidRDefault="00334C6A" w:rsidP="003C1F09">
      <w:pPr>
        <w:pStyle w:val="Heading3nonumber"/>
        <w:rPr>
          <w:caps/>
        </w:rPr>
      </w:pPr>
      <w:r>
        <w:t xml:space="preserve">KRQ6. </w:t>
      </w:r>
      <w:r w:rsidRPr="00CF0D4D">
        <w:rPr>
          <w:caps/>
        </w:rPr>
        <w:t xml:space="preserve">What are </w:t>
      </w:r>
      <w:r w:rsidR="008B776C" w:rsidRPr="00CF0D4D">
        <w:rPr>
          <w:caps/>
        </w:rPr>
        <w:t>the opportunities to enhance the sustainability of PRES results?</w:t>
      </w:r>
    </w:p>
    <w:p w14:paraId="429862BA" w14:textId="3CE480BD" w:rsidR="0095477A" w:rsidRPr="00BD3486" w:rsidRDefault="0060107E" w:rsidP="00B63BAA">
      <w:pPr>
        <w:pStyle w:val="Orangeblocktext"/>
      </w:pPr>
      <w:r>
        <w:t xml:space="preserve">PRES </w:t>
      </w:r>
      <w:r w:rsidR="00CE4A9B">
        <w:t xml:space="preserve">enhances </w:t>
      </w:r>
      <w:r w:rsidR="00BB3865">
        <w:t xml:space="preserve">and sustains </w:t>
      </w:r>
      <w:r w:rsidR="00CE4A9B">
        <w:t>DFAT’s capability</w:t>
      </w:r>
      <w:r w:rsidR="00D674D2">
        <w:t xml:space="preserve"> through </w:t>
      </w:r>
      <w:r w:rsidR="00CE4A9B">
        <w:t>the provision of technical expertise on Pacific economic development</w:t>
      </w:r>
      <w:r w:rsidR="00BB3865">
        <w:t>.</w:t>
      </w:r>
      <w:r w:rsidR="00CE4A9B">
        <w:t xml:space="preserve"> </w:t>
      </w:r>
      <w:r w:rsidR="00B34BE9">
        <w:t xml:space="preserve">Should a future program be supported, there is an opportunity to develop a </w:t>
      </w:r>
      <w:r w:rsidR="0095477A" w:rsidRPr="009158EC">
        <w:t xml:space="preserve">sustainability strategy </w:t>
      </w:r>
      <w:r w:rsidR="00B34BE9">
        <w:t>that</w:t>
      </w:r>
      <w:r w:rsidR="0095477A" w:rsidRPr="009158EC">
        <w:t xml:space="preserve"> </w:t>
      </w:r>
      <w:r w:rsidR="00B34BE9">
        <w:t xml:space="preserve">continues to </w:t>
      </w:r>
      <w:r w:rsidR="0095477A" w:rsidRPr="009158EC">
        <w:t xml:space="preserve">embed </w:t>
      </w:r>
      <w:r w:rsidR="002269DA">
        <w:t xml:space="preserve">the programs </w:t>
      </w:r>
      <w:r w:rsidR="0095477A" w:rsidRPr="009158EC">
        <w:t>lasting benefits</w:t>
      </w:r>
      <w:r w:rsidR="002269DA">
        <w:t>.</w:t>
      </w:r>
    </w:p>
    <w:p w14:paraId="2862625C" w14:textId="4DB8BA3F" w:rsidR="00EC11E8" w:rsidRPr="006036DF" w:rsidRDefault="007C1F52" w:rsidP="00B63BAA">
      <w:pPr>
        <w:rPr>
          <w:rFonts w:ascii="Arial" w:eastAsiaTheme="minorEastAsia" w:hAnsi="Arial" w:cs="Arial"/>
        </w:rPr>
      </w:pPr>
      <w:r w:rsidRPr="48347A15">
        <w:rPr>
          <w:rFonts w:ascii="Arial" w:eastAsiaTheme="minorEastAsia" w:hAnsi="Arial" w:cs="Arial"/>
          <w:b/>
          <w:bCs/>
        </w:rPr>
        <w:t xml:space="preserve">PRES offers a unique form of sustainability. </w:t>
      </w:r>
      <w:r w:rsidRPr="48347A15">
        <w:rPr>
          <w:rFonts w:ascii="Arial" w:eastAsiaTheme="minorEastAsia" w:hAnsi="Arial" w:cs="Arial"/>
        </w:rPr>
        <w:t xml:space="preserve">By providing technical specialists, </w:t>
      </w:r>
      <w:r w:rsidR="00255B17" w:rsidRPr="48347A15">
        <w:rPr>
          <w:rFonts w:ascii="Arial" w:eastAsiaTheme="minorEastAsia" w:hAnsi="Arial" w:cs="Arial"/>
        </w:rPr>
        <w:t>PRES</w:t>
      </w:r>
      <w:r w:rsidRPr="48347A15">
        <w:rPr>
          <w:rFonts w:ascii="Arial" w:eastAsiaTheme="minorEastAsia" w:hAnsi="Arial" w:cs="Arial"/>
        </w:rPr>
        <w:t xml:space="preserve"> </w:t>
      </w:r>
      <w:r w:rsidR="0046428A">
        <w:rPr>
          <w:rFonts w:ascii="Arial" w:eastAsiaTheme="minorEastAsia" w:hAnsi="Arial" w:cs="Arial"/>
        </w:rPr>
        <w:t>enables</w:t>
      </w:r>
      <w:r w:rsidR="0046428A" w:rsidRPr="48347A15">
        <w:rPr>
          <w:rFonts w:ascii="Arial" w:eastAsiaTheme="minorEastAsia" w:hAnsi="Arial" w:cs="Arial"/>
        </w:rPr>
        <w:t xml:space="preserve"> </w:t>
      </w:r>
      <w:r w:rsidRPr="48347A15">
        <w:rPr>
          <w:rFonts w:ascii="Arial" w:eastAsiaTheme="minorEastAsia" w:hAnsi="Arial" w:cs="Arial"/>
        </w:rPr>
        <w:t xml:space="preserve">DFAT to effectively and efficiently </w:t>
      </w:r>
      <w:r w:rsidR="005813D9">
        <w:rPr>
          <w:rFonts w:ascii="Arial" w:eastAsiaTheme="minorEastAsia" w:hAnsi="Arial" w:cs="Arial"/>
        </w:rPr>
        <w:t xml:space="preserve">draw in expertise to </w:t>
      </w:r>
      <w:r w:rsidRPr="48347A15">
        <w:rPr>
          <w:rFonts w:ascii="Arial" w:eastAsiaTheme="minorEastAsia" w:hAnsi="Arial" w:cs="Arial"/>
        </w:rPr>
        <w:t>complete activities that may not be able to be completed in</w:t>
      </w:r>
      <w:r w:rsidR="00C72B9D" w:rsidRPr="48347A15">
        <w:rPr>
          <w:rFonts w:ascii="Arial" w:eastAsiaTheme="minorEastAsia" w:hAnsi="Arial" w:cs="Arial"/>
        </w:rPr>
        <w:t>-</w:t>
      </w:r>
      <w:r w:rsidRPr="48347A15">
        <w:rPr>
          <w:rFonts w:ascii="Arial" w:eastAsiaTheme="minorEastAsia" w:hAnsi="Arial" w:cs="Arial"/>
        </w:rPr>
        <w:t xml:space="preserve">house and increases the capacity of internal DFAT staff to focus on core work – effectively, it sustains DFAT’s capability under its current operating model. </w:t>
      </w:r>
      <w:r w:rsidR="00235F0F" w:rsidRPr="48347A15">
        <w:rPr>
          <w:rFonts w:ascii="Arial" w:eastAsiaTheme="minorEastAsia" w:hAnsi="Arial" w:cs="Arial"/>
        </w:rPr>
        <w:t>In addition, PRES contributes to the sustainability of dow</w:t>
      </w:r>
      <w:r w:rsidR="00634116" w:rsidRPr="48347A15">
        <w:rPr>
          <w:rFonts w:ascii="Arial" w:eastAsiaTheme="minorEastAsia" w:hAnsi="Arial" w:cs="Arial"/>
        </w:rPr>
        <w:t xml:space="preserve">nstream programs through the provision of technical advice. </w:t>
      </w:r>
      <w:r w:rsidR="08B833A5" w:rsidRPr="48347A15">
        <w:rPr>
          <w:rFonts w:ascii="Arial" w:eastAsiaTheme="minorEastAsia" w:hAnsi="Arial" w:cs="Arial"/>
        </w:rPr>
        <w:t>A</w:t>
      </w:r>
      <w:r w:rsidR="3399E86E" w:rsidRPr="48347A15">
        <w:rPr>
          <w:rFonts w:ascii="Arial" w:eastAsiaTheme="minorEastAsia" w:hAnsi="Arial" w:cs="Arial"/>
        </w:rPr>
        <w:t>ny</w:t>
      </w:r>
      <w:r w:rsidR="08B833A5" w:rsidRPr="48347A15">
        <w:rPr>
          <w:rFonts w:ascii="Arial" w:eastAsiaTheme="minorEastAsia" w:hAnsi="Arial" w:cs="Arial"/>
        </w:rPr>
        <w:t xml:space="preserve"> future version of PRES may present </w:t>
      </w:r>
      <w:r w:rsidR="002269DA">
        <w:rPr>
          <w:rFonts w:ascii="Arial" w:eastAsiaTheme="minorEastAsia" w:hAnsi="Arial" w:cs="Arial"/>
        </w:rPr>
        <w:t>an</w:t>
      </w:r>
      <w:r w:rsidR="08B833A5" w:rsidRPr="48347A15">
        <w:rPr>
          <w:rFonts w:ascii="Arial" w:eastAsiaTheme="minorEastAsia" w:hAnsi="Arial" w:cs="Arial"/>
        </w:rPr>
        <w:t xml:space="preserve"> opportunity to</w:t>
      </w:r>
      <w:r w:rsidR="002269DA">
        <w:rPr>
          <w:rFonts w:ascii="Arial" w:eastAsiaTheme="minorEastAsia" w:hAnsi="Arial" w:cs="Arial"/>
        </w:rPr>
        <w:t xml:space="preserve"> further</w:t>
      </w:r>
      <w:r w:rsidR="08B833A5" w:rsidRPr="48347A15">
        <w:rPr>
          <w:rFonts w:ascii="Arial" w:eastAsiaTheme="minorEastAsia" w:hAnsi="Arial" w:cs="Arial"/>
        </w:rPr>
        <w:t xml:space="preserve"> capture impact through the development of a sustainability strategy. </w:t>
      </w:r>
    </w:p>
    <w:p w14:paraId="4C7AB710" w14:textId="6F079688" w:rsidR="00B302ED" w:rsidRDefault="00B302ED" w:rsidP="00545B9A">
      <w:pPr>
        <w:pStyle w:val="Heading2nonumber"/>
      </w:pPr>
      <w:bookmarkStart w:id="12" w:name="_Toc195808957"/>
      <w:bookmarkStart w:id="13" w:name="_Toc205992457"/>
      <w:bookmarkStart w:id="14" w:name="_Toc205992544"/>
      <w:r>
        <w:lastRenderedPageBreak/>
        <w:t>Recommendations</w:t>
      </w:r>
      <w:bookmarkEnd w:id="12"/>
      <w:bookmarkEnd w:id="13"/>
      <w:bookmarkEnd w:id="14"/>
    </w:p>
    <w:p w14:paraId="12D54BCF" w14:textId="27C0B9E6" w:rsidR="002E3C75" w:rsidRDefault="006036DF" w:rsidP="005A6862">
      <w:pPr>
        <w:pStyle w:val="Tealblockheading"/>
      </w:pPr>
      <w:r w:rsidRPr="006036DF">
        <w:t>Effectiveness</w:t>
      </w:r>
    </w:p>
    <w:p w14:paraId="176DBC8F" w14:textId="175E28D1" w:rsidR="006036DF" w:rsidRPr="000745F4" w:rsidRDefault="006036DF" w:rsidP="00B63BAA">
      <w:pPr>
        <w:pStyle w:val="Tealblocktext"/>
        <w:rPr>
          <w:lang w:eastAsia="en-GB"/>
        </w:rPr>
      </w:pPr>
      <w:r w:rsidRPr="00B515EE">
        <w:rPr>
          <w:i/>
          <w:iCs/>
          <w:lang w:eastAsia="en-GB"/>
        </w:rPr>
        <w:t>Recommendation 1 (Next phase</w:t>
      </w:r>
      <w:r w:rsidR="00FE5E93">
        <w:rPr>
          <w:i/>
          <w:iCs/>
          <w:lang w:eastAsia="en-GB"/>
        </w:rPr>
        <w:t xml:space="preserve"> </w:t>
      </w:r>
      <w:r w:rsidRPr="00B515EE">
        <w:rPr>
          <w:i/>
          <w:iCs/>
          <w:lang w:eastAsia="en-GB"/>
        </w:rPr>
        <w:t>/</w:t>
      </w:r>
      <w:r w:rsidR="00FE5E93">
        <w:rPr>
          <w:i/>
          <w:iCs/>
          <w:lang w:eastAsia="en-GB"/>
        </w:rPr>
        <w:t xml:space="preserve"> </w:t>
      </w:r>
      <w:r w:rsidRPr="00B515EE">
        <w:rPr>
          <w:i/>
          <w:iCs/>
          <w:lang w:eastAsia="en-GB"/>
        </w:rPr>
        <w:t>Strategic)</w:t>
      </w:r>
      <w:r w:rsidRPr="006036DF">
        <w:rPr>
          <w:b/>
          <w:bCs/>
          <w:lang w:eastAsia="en-GB"/>
        </w:rPr>
        <w:t xml:space="preserve"> </w:t>
      </w:r>
      <w:r w:rsidR="007A3B29" w:rsidRPr="00B045BE">
        <w:rPr>
          <w:lang w:eastAsia="en-GB"/>
        </w:rPr>
        <w:t xml:space="preserve">PRES should be continued, recognising the critical role it plays in </w:t>
      </w:r>
      <w:r w:rsidR="007A3B29">
        <w:rPr>
          <w:lang w:eastAsia="en-GB"/>
        </w:rPr>
        <w:t xml:space="preserve">providing DFAT </w:t>
      </w:r>
      <w:r w:rsidR="00FE5E93">
        <w:rPr>
          <w:lang w:eastAsia="en-GB"/>
        </w:rPr>
        <w:t xml:space="preserve">with </w:t>
      </w:r>
      <w:r w:rsidR="007A3B29">
        <w:rPr>
          <w:lang w:eastAsia="en-GB"/>
        </w:rPr>
        <w:t xml:space="preserve">access to technical </w:t>
      </w:r>
      <w:r w:rsidR="00F71E7F">
        <w:rPr>
          <w:lang w:eastAsia="en-GB"/>
        </w:rPr>
        <w:t>expertise and enhanced capabilities</w:t>
      </w:r>
      <w:r w:rsidR="007A3B29" w:rsidRPr="00B045BE">
        <w:rPr>
          <w:lang w:eastAsia="en-GB"/>
        </w:rPr>
        <w:t>.</w:t>
      </w:r>
      <w:r w:rsidR="007A3B29" w:rsidRPr="00B515EE">
        <w:rPr>
          <w:lang w:eastAsia="en-GB"/>
        </w:rPr>
        <w:t xml:space="preserve"> </w:t>
      </w:r>
      <w:r w:rsidR="007A3B29" w:rsidRPr="00B045BE">
        <w:rPr>
          <w:lang w:eastAsia="en-GB"/>
        </w:rPr>
        <w:t xml:space="preserve">PRES EOIOs should be reviewed in any subsequent design, </w:t>
      </w:r>
      <w:proofErr w:type="gramStart"/>
      <w:r w:rsidR="007A3B29" w:rsidRPr="00B045BE">
        <w:rPr>
          <w:lang w:eastAsia="en-GB"/>
        </w:rPr>
        <w:t>in particular</w:t>
      </w:r>
      <w:proofErr w:type="gramEnd"/>
      <w:r w:rsidR="007A3B29" w:rsidRPr="00B045BE">
        <w:rPr>
          <w:lang w:eastAsia="en-GB"/>
        </w:rPr>
        <w:t xml:space="preserve"> EOIO2</w:t>
      </w:r>
      <w:r w:rsidR="00070323">
        <w:rPr>
          <w:lang w:eastAsia="en-GB"/>
        </w:rPr>
        <w:t>.</w:t>
      </w:r>
    </w:p>
    <w:p w14:paraId="6B33FB78" w14:textId="77777777" w:rsidR="00B045BE" w:rsidRDefault="00B045BE" w:rsidP="006036DF">
      <w:pPr>
        <w:spacing w:after="0"/>
        <w:rPr>
          <w:rFonts w:ascii="Arial" w:eastAsia="Arial" w:hAnsi="Arial" w:cs="Arial"/>
          <w:b/>
          <w:bCs/>
          <w:color w:val="222222"/>
          <w:szCs w:val="21"/>
        </w:rPr>
      </w:pPr>
    </w:p>
    <w:p w14:paraId="67E7760A" w14:textId="6BB71F2D" w:rsidR="006036DF" w:rsidRPr="000745F4" w:rsidRDefault="006036DF" w:rsidP="005A6862">
      <w:pPr>
        <w:pStyle w:val="Tealblockheading"/>
      </w:pPr>
      <w:r w:rsidRPr="006036DF">
        <w:t>Efficiency</w:t>
      </w:r>
    </w:p>
    <w:p w14:paraId="51A1DAAB" w14:textId="25381F1F" w:rsidR="00F569A4" w:rsidRDefault="004B4F6E" w:rsidP="00B63BAA">
      <w:pPr>
        <w:pStyle w:val="Tealblocktext"/>
        <w:rPr>
          <w:lang w:eastAsia="en-GB"/>
        </w:rPr>
      </w:pPr>
      <w:r w:rsidRPr="00CF0D4D">
        <w:rPr>
          <w:i/>
          <w:iCs/>
          <w:lang w:eastAsia="en-GB"/>
        </w:rPr>
        <w:t>Recommendation 2.1 (</w:t>
      </w:r>
      <w:r w:rsidR="00F569A4">
        <w:rPr>
          <w:i/>
          <w:iCs/>
          <w:lang w:eastAsia="en-GB"/>
        </w:rPr>
        <w:t>Long</w:t>
      </w:r>
      <w:r w:rsidR="00F569A4" w:rsidRPr="00CF0D4D">
        <w:rPr>
          <w:i/>
          <w:iCs/>
          <w:lang w:eastAsia="en-GB"/>
        </w:rPr>
        <w:t xml:space="preserve"> </w:t>
      </w:r>
      <w:r w:rsidRPr="00CF0D4D">
        <w:rPr>
          <w:i/>
          <w:iCs/>
          <w:lang w:eastAsia="en-GB"/>
        </w:rPr>
        <w:t>term</w:t>
      </w:r>
      <w:r w:rsidR="0048004D">
        <w:rPr>
          <w:i/>
          <w:iCs/>
          <w:lang w:eastAsia="en-GB"/>
        </w:rPr>
        <w:t xml:space="preserve"> </w:t>
      </w:r>
      <w:r w:rsidRPr="00CF0D4D">
        <w:rPr>
          <w:i/>
          <w:iCs/>
          <w:lang w:eastAsia="en-GB"/>
        </w:rPr>
        <w:t>/</w:t>
      </w:r>
      <w:r w:rsidR="0048004D">
        <w:rPr>
          <w:i/>
          <w:iCs/>
          <w:lang w:eastAsia="en-GB"/>
        </w:rPr>
        <w:t xml:space="preserve"> </w:t>
      </w:r>
      <w:r w:rsidRPr="00CF0D4D">
        <w:rPr>
          <w:i/>
          <w:iCs/>
          <w:lang w:eastAsia="en-GB"/>
        </w:rPr>
        <w:t>Operational)</w:t>
      </w:r>
      <w:r w:rsidRPr="00B515EE">
        <w:rPr>
          <w:b/>
          <w:bCs/>
          <w:lang w:eastAsia="en-GB"/>
        </w:rPr>
        <w:t xml:space="preserve"> </w:t>
      </w:r>
      <w:r w:rsidR="00C051D4" w:rsidRPr="002C3AEB">
        <w:rPr>
          <w:lang w:eastAsia="en-GB"/>
        </w:rPr>
        <w:t xml:space="preserve">To ensure </w:t>
      </w:r>
      <w:r w:rsidR="00C2175B">
        <w:rPr>
          <w:lang w:eastAsia="en-GB"/>
        </w:rPr>
        <w:t xml:space="preserve">alignment </w:t>
      </w:r>
      <w:r w:rsidR="0046428A">
        <w:rPr>
          <w:lang w:eastAsia="en-GB"/>
        </w:rPr>
        <w:t xml:space="preserve">with </w:t>
      </w:r>
      <w:r w:rsidR="00C2175B">
        <w:rPr>
          <w:lang w:eastAsia="en-GB"/>
        </w:rPr>
        <w:t>DFAT’s needs</w:t>
      </w:r>
      <w:r w:rsidR="0048004D">
        <w:rPr>
          <w:lang w:eastAsia="en-GB"/>
        </w:rPr>
        <w:t>,</w:t>
      </w:r>
      <w:r w:rsidR="00C2175B">
        <w:rPr>
          <w:lang w:eastAsia="en-GB"/>
        </w:rPr>
        <w:t xml:space="preserve"> </w:t>
      </w:r>
      <w:r w:rsidR="00C051D4" w:rsidRPr="002C3AEB">
        <w:rPr>
          <w:lang w:eastAsia="en-GB"/>
        </w:rPr>
        <w:t xml:space="preserve">DFAT should </w:t>
      </w:r>
      <w:r w:rsidR="00C2175B">
        <w:rPr>
          <w:lang w:eastAsia="en-GB"/>
        </w:rPr>
        <w:t xml:space="preserve">work closely with </w:t>
      </w:r>
      <w:r w:rsidR="00C051D4" w:rsidRPr="002C3AEB">
        <w:rPr>
          <w:lang w:eastAsia="en-GB"/>
        </w:rPr>
        <w:t xml:space="preserve">PRES </w:t>
      </w:r>
      <w:r w:rsidR="00C2175B">
        <w:rPr>
          <w:lang w:eastAsia="en-GB"/>
        </w:rPr>
        <w:t xml:space="preserve">in the </w:t>
      </w:r>
      <w:r w:rsidR="009D3503">
        <w:rPr>
          <w:lang w:eastAsia="en-GB"/>
        </w:rPr>
        <w:t>drafting</w:t>
      </w:r>
      <w:r w:rsidR="00C2175B">
        <w:rPr>
          <w:lang w:eastAsia="en-GB"/>
        </w:rPr>
        <w:t xml:space="preserve"> of TNs </w:t>
      </w:r>
      <w:r w:rsidR="00C051D4" w:rsidRPr="002C3AEB">
        <w:rPr>
          <w:lang w:eastAsia="en-GB"/>
        </w:rPr>
        <w:t>and leverag</w:t>
      </w:r>
      <w:r w:rsidR="009D3503">
        <w:rPr>
          <w:lang w:eastAsia="en-GB"/>
        </w:rPr>
        <w:t>e</w:t>
      </w:r>
      <w:r w:rsidR="00C051D4" w:rsidRPr="002C3AEB">
        <w:rPr>
          <w:lang w:eastAsia="en-GB"/>
        </w:rPr>
        <w:t xml:space="preserve"> the</w:t>
      </w:r>
      <w:r w:rsidR="009D3503">
        <w:rPr>
          <w:lang w:eastAsia="en-GB"/>
        </w:rPr>
        <w:t xml:space="preserve"> </w:t>
      </w:r>
      <w:r w:rsidR="00C051D4" w:rsidRPr="002C3AEB">
        <w:rPr>
          <w:lang w:eastAsia="en-GB"/>
        </w:rPr>
        <w:t xml:space="preserve">expertise </w:t>
      </w:r>
      <w:r w:rsidR="009D3503">
        <w:rPr>
          <w:lang w:eastAsia="en-GB"/>
        </w:rPr>
        <w:t xml:space="preserve">of the PRES Core Team, </w:t>
      </w:r>
      <w:r w:rsidR="00C051D4" w:rsidRPr="002C3AEB">
        <w:rPr>
          <w:lang w:eastAsia="en-GB"/>
        </w:rPr>
        <w:t xml:space="preserve">where relevant. </w:t>
      </w:r>
      <w:r w:rsidR="000B775E">
        <w:rPr>
          <w:lang w:eastAsia="en-GB"/>
        </w:rPr>
        <w:t xml:space="preserve">DFAT should </w:t>
      </w:r>
      <w:r w:rsidR="00AE74C5">
        <w:rPr>
          <w:lang w:eastAsia="en-GB"/>
        </w:rPr>
        <w:t xml:space="preserve">continue to </w:t>
      </w:r>
      <w:r w:rsidR="000B775E">
        <w:rPr>
          <w:lang w:eastAsia="en-GB"/>
        </w:rPr>
        <w:t>retain responsibility for final approval of all TNs</w:t>
      </w:r>
      <w:r w:rsidR="008E56D2">
        <w:rPr>
          <w:lang w:eastAsia="en-GB"/>
        </w:rPr>
        <w:t xml:space="preserve"> in any future design</w:t>
      </w:r>
      <w:r w:rsidR="000B775E">
        <w:rPr>
          <w:lang w:eastAsia="en-GB"/>
        </w:rPr>
        <w:t>.</w:t>
      </w:r>
    </w:p>
    <w:p w14:paraId="1BF78216" w14:textId="62C3F062" w:rsidR="00231E9A" w:rsidRDefault="00231E9A" w:rsidP="00B63BAA">
      <w:pPr>
        <w:pStyle w:val="Tealblocktext"/>
        <w:rPr>
          <w:i/>
          <w:iCs/>
          <w:lang w:eastAsia="en-GB"/>
        </w:rPr>
      </w:pPr>
      <w:r>
        <w:rPr>
          <w:i/>
          <w:iCs/>
          <w:lang w:eastAsia="en-GB"/>
        </w:rPr>
        <w:t>Recommendation 2.</w:t>
      </w:r>
      <w:r w:rsidR="007A6808">
        <w:rPr>
          <w:i/>
          <w:iCs/>
          <w:lang w:eastAsia="en-GB"/>
        </w:rPr>
        <w:t>2</w:t>
      </w:r>
      <w:r>
        <w:rPr>
          <w:i/>
          <w:iCs/>
          <w:lang w:eastAsia="en-GB"/>
        </w:rPr>
        <w:t xml:space="preserve"> (Next phase</w:t>
      </w:r>
      <w:r w:rsidR="0048004D">
        <w:rPr>
          <w:i/>
          <w:iCs/>
          <w:lang w:eastAsia="en-GB"/>
        </w:rPr>
        <w:t xml:space="preserve"> </w:t>
      </w:r>
      <w:r>
        <w:rPr>
          <w:i/>
          <w:iCs/>
          <w:lang w:eastAsia="en-GB"/>
        </w:rPr>
        <w:t>/</w:t>
      </w:r>
      <w:r w:rsidR="0048004D">
        <w:rPr>
          <w:i/>
          <w:iCs/>
          <w:lang w:eastAsia="en-GB"/>
        </w:rPr>
        <w:t xml:space="preserve"> </w:t>
      </w:r>
      <w:r w:rsidR="007A6808">
        <w:rPr>
          <w:i/>
          <w:iCs/>
          <w:lang w:eastAsia="en-GB"/>
        </w:rPr>
        <w:t xml:space="preserve">Operational) </w:t>
      </w:r>
      <w:r w:rsidRPr="004F78E4">
        <w:rPr>
          <w:lang w:eastAsia="en-GB"/>
        </w:rPr>
        <w:t xml:space="preserve">Any future design must </w:t>
      </w:r>
      <w:r w:rsidRPr="00231E9A">
        <w:rPr>
          <w:lang w:eastAsia="en-GB"/>
        </w:rPr>
        <w:t>consider the resourcing needs of the</w:t>
      </w:r>
      <w:r>
        <w:rPr>
          <w:lang w:eastAsia="en-GB"/>
        </w:rPr>
        <w:t xml:space="preserve"> PRES</w:t>
      </w:r>
      <w:r w:rsidRPr="00231E9A">
        <w:rPr>
          <w:lang w:eastAsia="en-GB"/>
        </w:rPr>
        <w:t xml:space="preserve"> </w:t>
      </w:r>
      <w:r w:rsidR="0048004D">
        <w:rPr>
          <w:lang w:eastAsia="en-GB"/>
        </w:rPr>
        <w:t>C</w:t>
      </w:r>
      <w:r w:rsidRPr="00231E9A">
        <w:rPr>
          <w:lang w:eastAsia="en-GB"/>
        </w:rPr>
        <w:t xml:space="preserve">ore </w:t>
      </w:r>
      <w:r w:rsidR="0048004D">
        <w:rPr>
          <w:lang w:eastAsia="en-GB"/>
        </w:rPr>
        <w:t>T</w:t>
      </w:r>
      <w:r w:rsidRPr="00231E9A">
        <w:rPr>
          <w:lang w:eastAsia="en-GB"/>
        </w:rPr>
        <w:t>eam</w:t>
      </w:r>
      <w:r w:rsidR="0048004D">
        <w:rPr>
          <w:lang w:eastAsia="en-GB"/>
        </w:rPr>
        <w:t>,</w:t>
      </w:r>
      <w:r w:rsidR="00F50DDA">
        <w:rPr>
          <w:lang w:eastAsia="en-GB"/>
        </w:rPr>
        <w:t xml:space="preserve"> </w:t>
      </w:r>
      <w:r w:rsidR="004A0505">
        <w:rPr>
          <w:lang w:eastAsia="en-GB"/>
        </w:rPr>
        <w:t xml:space="preserve">to ensure </w:t>
      </w:r>
      <w:r w:rsidR="00965110">
        <w:rPr>
          <w:lang w:eastAsia="en-GB"/>
        </w:rPr>
        <w:t xml:space="preserve">they are </w:t>
      </w:r>
      <w:r w:rsidR="004A0505">
        <w:rPr>
          <w:lang w:eastAsia="en-GB"/>
        </w:rPr>
        <w:t>adequate to respond to</w:t>
      </w:r>
      <w:r w:rsidR="00965110">
        <w:rPr>
          <w:lang w:eastAsia="en-GB"/>
        </w:rPr>
        <w:t xml:space="preserve"> the high demand for support and maximise the value of PRES.</w:t>
      </w:r>
    </w:p>
    <w:p w14:paraId="35A85166" w14:textId="5E0AC473" w:rsidR="006036DF" w:rsidRPr="00B045BE" w:rsidRDefault="006036DF" w:rsidP="00B63BAA">
      <w:pPr>
        <w:pStyle w:val="Tealblocktext"/>
        <w:rPr>
          <w:lang w:eastAsia="en-GB"/>
        </w:rPr>
      </w:pPr>
      <w:r w:rsidRPr="4E4D3734">
        <w:rPr>
          <w:i/>
          <w:iCs/>
          <w:lang w:eastAsia="en-GB"/>
        </w:rPr>
        <w:t>Recommendation 2.</w:t>
      </w:r>
      <w:r w:rsidR="007A6808" w:rsidRPr="4E4D3734">
        <w:rPr>
          <w:i/>
          <w:iCs/>
          <w:lang w:eastAsia="en-GB"/>
        </w:rPr>
        <w:t>3</w:t>
      </w:r>
      <w:r w:rsidRPr="4E4D3734">
        <w:rPr>
          <w:i/>
          <w:iCs/>
          <w:lang w:eastAsia="en-GB"/>
        </w:rPr>
        <w:t xml:space="preserve"> (Short term</w:t>
      </w:r>
      <w:r w:rsidR="004975C8">
        <w:rPr>
          <w:i/>
          <w:iCs/>
          <w:lang w:eastAsia="en-GB"/>
        </w:rPr>
        <w:t xml:space="preserve"> </w:t>
      </w:r>
      <w:r w:rsidRPr="4E4D3734">
        <w:rPr>
          <w:i/>
          <w:iCs/>
          <w:lang w:eastAsia="en-GB"/>
        </w:rPr>
        <w:t>/</w:t>
      </w:r>
      <w:r w:rsidR="004975C8">
        <w:rPr>
          <w:i/>
          <w:iCs/>
          <w:lang w:eastAsia="en-GB"/>
        </w:rPr>
        <w:t xml:space="preserve"> </w:t>
      </w:r>
      <w:r w:rsidRPr="4E4D3734">
        <w:rPr>
          <w:i/>
          <w:iCs/>
          <w:lang w:eastAsia="en-GB"/>
        </w:rPr>
        <w:t>Operational)</w:t>
      </w:r>
      <w:r w:rsidRPr="4E4D3734">
        <w:rPr>
          <w:lang w:eastAsia="en-GB"/>
        </w:rPr>
        <w:t xml:space="preserve"> </w:t>
      </w:r>
      <w:r w:rsidR="00680D82" w:rsidRPr="4E4D3734">
        <w:rPr>
          <w:lang w:eastAsia="en-GB"/>
        </w:rPr>
        <w:t xml:space="preserve">Acknowledging </w:t>
      </w:r>
      <w:r w:rsidR="0095477A" w:rsidRPr="4E4D3734">
        <w:rPr>
          <w:lang w:eastAsia="en-GB"/>
        </w:rPr>
        <w:t>PRES’</w:t>
      </w:r>
      <w:r w:rsidR="00680D82" w:rsidRPr="4E4D3734">
        <w:rPr>
          <w:lang w:eastAsia="en-GB"/>
        </w:rPr>
        <w:t xml:space="preserve"> ongoing efforts to </w:t>
      </w:r>
      <w:r w:rsidR="007E6A95" w:rsidRPr="4E4D3734">
        <w:rPr>
          <w:lang w:eastAsia="en-GB"/>
        </w:rPr>
        <w:t>deliver value for money</w:t>
      </w:r>
      <w:r w:rsidR="00680D82" w:rsidRPr="4E4D3734">
        <w:rPr>
          <w:lang w:eastAsia="en-GB"/>
        </w:rPr>
        <w:t xml:space="preserve">, </w:t>
      </w:r>
      <w:r w:rsidR="00604916" w:rsidRPr="4E4D3734">
        <w:rPr>
          <w:lang w:eastAsia="en-GB"/>
        </w:rPr>
        <w:t xml:space="preserve">DFAT </w:t>
      </w:r>
      <w:r w:rsidR="007E6A95" w:rsidRPr="4E4D3734">
        <w:rPr>
          <w:lang w:eastAsia="en-GB"/>
        </w:rPr>
        <w:t>should</w:t>
      </w:r>
      <w:r w:rsidR="00604916" w:rsidRPr="4E4D3734">
        <w:rPr>
          <w:lang w:eastAsia="en-GB"/>
        </w:rPr>
        <w:t xml:space="preserve"> </w:t>
      </w:r>
      <w:r w:rsidR="00D50F7B">
        <w:rPr>
          <w:lang w:eastAsia="en-GB"/>
        </w:rPr>
        <w:t xml:space="preserve">continue to </w:t>
      </w:r>
      <w:r w:rsidR="00604916" w:rsidRPr="4E4D3734">
        <w:rPr>
          <w:lang w:eastAsia="en-GB"/>
        </w:rPr>
        <w:t>enhanc</w:t>
      </w:r>
      <w:r w:rsidR="007E6A95" w:rsidRPr="4E4D3734">
        <w:rPr>
          <w:lang w:eastAsia="en-GB"/>
        </w:rPr>
        <w:t>e</w:t>
      </w:r>
      <w:r w:rsidR="00604916" w:rsidRPr="4E4D3734">
        <w:rPr>
          <w:lang w:eastAsia="en-GB"/>
        </w:rPr>
        <w:t xml:space="preserve"> transparency in its advis</w:t>
      </w:r>
      <w:r w:rsidR="00CE6650" w:rsidRPr="4E4D3734">
        <w:rPr>
          <w:lang w:eastAsia="en-GB"/>
        </w:rPr>
        <w:t>e</w:t>
      </w:r>
      <w:r w:rsidR="00604916" w:rsidRPr="4E4D3734">
        <w:rPr>
          <w:lang w:eastAsia="en-GB"/>
        </w:rPr>
        <w:t>r selection process by providing clear justification</w:t>
      </w:r>
      <w:r w:rsidR="00CE6650" w:rsidRPr="4E4D3734">
        <w:rPr>
          <w:lang w:eastAsia="en-GB"/>
        </w:rPr>
        <w:t xml:space="preserve"> for the selection of advisers, </w:t>
      </w:r>
      <w:r w:rsidR="00680D82" w:rsidRPr="4E4D3734">
        <w:rPr>
          <w:lang w:eastAsia="en-GB"/>
        </w:rPr>
        <w:t>with the aim of achieving value for money, equitable consultant pay, and ongoing progress in advis</w:t>
      </w:r>
      <w:r w:rsidR="004975C8">
        <w:rPr>
          <w:lang w:eastAsia="en-GB"/>
        </w:rPr>
        <w:t>e</w:t>
      </w:r>
      <w:r w:rsidR="00680D82" w:rsidRPr="4E4D3734">
        <w:rPr>
          <w:lang w:eastAsia="en-GB"/>
        </w:rPr>
        <w:t>r diversity.</w:t>
      </w:r>
    </w:p>
    <w:p w14:paraId="2C55F1F0" w14:textId="7DFF4BC5" w:rsidR="00C92588" w:rsidRPr="00CF0D4D" w:rsidRDefault="00C92588" w:rsidP="00B63BAA">
      <w:pPr>
        <w:pStyle w:val="Tealblocktext"/>
        <w:rPr>
          <w:lang w:eastAsia="en-GB"/>
        </w:rPr>
      </w:pPr>
      <w:r>
        <w:rPr>
          <w:i/>
          <w:iCs/>
          <w:lang w:eastAsia="en-GB"/>
        </w:rPr>
        <w:t>Recommendation 2.</w:t>
      </w:r>
      <w:r w:rsidR="007A6808">
        <w:rPr>
          <w:i/>
          <w:iCs/>
          <w:lang w:eastAsia="en-GB"/>
        </w:rPr>
        <w:t>4</w:t>
      </w:r>
      <w:r>
        <w:rPr>
          <w:i/>
          <w:iCs/>
          <w:lang w:eastAsia="en-GB"/>
        </w:rPr>
        <w:t xml:space="preserve"> (Next phase</w:t>
      </w:r>
      <w:r w:rsidR="00101A22">
        <w:rPr>
          <w:i/>
          <w:iCs/>
          <w:lang w:eastAsia="en-GB"/>
        </w:rPr>
        <w:t xml:space="preserve"> </w:t>
      </w:r>
      <w:r>
        <w:rPr>
          <w:i/>
          <w:iCs/>
          <w:lang w:eastAsia="en-GB"/>
        </w:rPr>
        <w:t>/</w:t>
      </w:r>
      <w:r w:rsidR="00101A22">
        <w:rPr>
          <w:i/>
          <w:iCs/>
          <w:lang w:eastAsia="en-GB"/>
        </w:rPr>
        <w:t xml:space="preserve"> </w:t>
      </w:r>
      <w:r>
        <w:rPr>
          <w:i/>
          <w:iCs/>
          <w:lang w:eastAsia="en-GB"/>
        </w:rPr>
        <w:t>Strategic)</w:t>
      </w:r>
      <w:r>
        <w:rPr>
          <w:lang w:eastAsia="en-GB"/>
        </w:rPr>
        <w:t xml:space="preserve"> </w:t>
      </w:r>
      <w:r w:rsidR="00670581">
        <w:rPr>
          <w:lang w:eastAsia="en-GB"/>
        </w:rPr>
        <w:t>Any f</w:t>
      </w:r>
      <w:r w:rsidR="00670581" w:rsidRPr="00670581">
        <w:rPr>
          <w:lang w:eastAsia="en-GB"/>
        </w:rPr>
        <w:t xml:space="preserve">uture design (including any </w:t>
      </w:r>
      <w:r w:rsidR="00101A22">
        <w:rPr>
          <w:lang w:eastAsia="en-GB"/>
        </w:rPr>
        <w:t>Value for Money</w:t>
      </w:r>
      <w:r w:rsidR="00670581" w:rsidRPr="00670581">
        <w:rPr>
          <w:lang w:eastAsia="en-GB"/>
        </w:rPr>
        <w:t xml:space="preserve"> </w:t>
      </w:r>
      <w:r w:rsidR="00101A22">
        <w:rPr>
          <w:lang w:eastAsia="en-GB"/>
        </w:rPr>
        <w:t>F</w:t>
      </w:r>
      <w:r w:rsidR="00670581" w:rsidRPr="00670581">
        <w:rPr>
          <w:lang w:eastAsia="en-GB"/>
        </w:rPr>
        <w:t xml:space="preserve">ramework refresh) should consider </w:t>
      </w:r>
      <w:r w:rsidR="00DC2B56">
        <w:rPr>
          <w:lang w:eastAsia="en-GB"/>
        </w:rPr>
        <w:t>PRES’</w:t>
      </w:r>
      <w:r w:rsidR="00670581" w:rsidRPr="00670581">
        <w:rPr>
          <w:lang w:eastAsia="en-GB"/>
        </w:rPr>
        <w:t xml:space="preserve"> role and capacity to strengthen PEB linkages.</w:t>
      </w:r>
    </w:p>
    <w:p w14:paraId="734E8E0B" w14:textId="07C3D219" w:rsidR="006036DF" w:rsidRPr="00B045BE" w:rsidRDefault="006036DF" w:rsidP="00B63BAA">
      <w:pPr>
        <w:pStyle w:val="Tealblocktext"/>
        <w:rPr>
          <w:lang w:eastAsia="en-GB"/>
        </w:rPr>
      </w:pPr>
      <w:r w:rsidRPr="00B515EE">
        <w:rPr>
          <w:i/>
          <w:iCs/>
          <w:lang w:eastAsia="en-GB"/>
        </w:rPr>
        <w:t>Recommendation 2.</w:t>
      </w:r>
      <w:r w:rsidR="007A6808">
        <w:rPr>
          <w:i/>
          <w:iCs/>
          <w:lang w:eastAsia="en-GB"/>
        </w:rPr>
        <w:t>5</w:t>
      </w:r>
      <w:r w:rsidRPr="00B515EE">
        <w:rPr>
          <w:i/>
          <w:iCs/>
          <w:lang w:eastAsia="en-GB"/>
        </w:rPr>
        <w:t xml:space="preserve"> (Short term</w:t>
      </w:r>
      <w:r w:rsidR="00101A22">
        <w:rPr>
          <w:i/>
          <w:iCs/>
          <w:lang w:eastAsia="en-GB"/>
        </w:rPr>
        <w:t xml:space="preserve"> </w:t>
      </w:r>
      <w:r w:rsidRPr="00B515EE">
        <w:rPr>
          <w:i/>
          <w:iCs/>
          <w:lang w:eastAsia="en-GB"/>
        </w:rPr>
        <w:t>/</w:t>
      </w:r>
      <w:r w:rsidR="00101A22">
        <w:rPr>
          <w:i/>
          <w:iCs/>
          <w:lang w:eastAsia="en-GB"/>
        </w:rPr>
        <w:t xml:space="preserve"> </w:t>
      </w:r>
      <w:r w:rsidRPr="00B515EE">
        <w:rPr>
          <w:i/>
          <w:iCs/>
          <w:lang w:eastAsia="en-GB"/>
        </w:rPr>
        <w:t>Operational)</w:t>
      </w:r>
      <w:r w:rsidRPr="00B515EE">
        <w:rPr>
          <w:lang w:eastAsia="en-GB"/>
        </w:rPr>
        <w:t xml:space="preserve"> </w:t>
      </w:r>
      <w:r w:rsidR="001F3528" w:rsidRPr="00B515EE">
        <w:rPr>
          <w:lang w:eastAsia="en-GB"/>
        </w:rPr>
        <w:t>DFAT should ensure tha</w:t>
      </w:r>
      <w:r w:rsidR="004076E0">
        <w:rPr>
          <w:lang w:eastAsia="en-GB"/>
        </w:rPr>
        <w:t>t</w:t>
      </w:r>
      <w:r w:rsidR="001F3528" w:rsidRPr="00B515EE">
        <w:rPr>
          <w:lang w:eastAsia="en-GB"/>
        </w:rPr>
        <w:t xml:space="preserve"> all deliverables are </w:t>
      </w:r>
      <w:r w:rsidR="00414C7C" w:rsidRPr="00B515EE">
        <w:rPr>
          <w:lang w:eastAsia="en-GB"/>
        </w:rPr>
        <w:t xml:space="preserve">quality assured </w:t>
      </w:r>
      <w:r w:rsidR="00EE0F11">
        <w:rPr>
          <w:lang w:eastAsia="en-GB"/>
        </w:rPr>
        <w:t xml:space="preserve">by </w:t>
      </w:r>
      <w:r w:rsidR="00B57A5F">
        <w:rPr>
          <w:lang w:eastAsia="en-GB"/>
        </w:rPr>
        <w:t>PRES</w:t>
      </w:r>
      <w:r w:rsidR="00EE0F11">
        <w:rPr>
          <w:lang w:eastAsia="en-GB"/>
        </w:rPr>
        <w:t xml:space="preserve"> </w:t>
      </w:r>
      <w:r w:rsidR="00414C7C" w:rsidRPr="00B045BE">
        <w:rPr>
          <w:lang w:eastAsia="en-GB"/>
        </w:rPr>
        <w:t xml:space="preserve">and support </w:t>
      </w:r>
      <w:r w:rsidR="00585813" w:rsidRPr="00B045BE">
        <w:rPr>
          <w:lang w:eastAsia="en-GB"/>
        </w:rPr>
        <w:t>the</w:t>
      </w:r>
      <w:r w:rsidR="00414C7C" w:rsidRPr="00B045BE">
        <w:rPr>
          <w:lang w:eastAsia="en-GB"/>
        </w:rPr>
        <w:t xml:space="preserve"> </w:t>
      </w:r>
      <w:r w:rsidR="001E74B8">
        <w:rPr>
          <w:lang w:eastAsia="en-GB"/>
        </w:rPr>
        <w:t xml:space="preserve">PRES </w:t>
      </w:r>
      <w:r w:rsidR="00D126BE" w:rsidRPr="00B045BE">
        <w:rPr>
          <w:lang w:eastAsia="en-GB"/>
        </w:rPr>
        <w:t xml:space="preserve">managing contractor </w:t>
      </w:r>
      <w:r w:rsidR="00585813" w:rsidRPr="00B045BE">
        <w:rPr>
          <w:lang w:eastAsia="en-GB"/>
        </w:rPr>
        <w:t>in this process.</w:t>
      </w:r>
    </w:p>
    <w:p w14:paraId="27AC3F1F" w14:textId="6D772A24" w:rsidR="006036DF" w:rsidRPr="00B515EE" w:rsidRDefault="006036DF" w:rsidP="00B63BAA">
      <w:pPr>
        <w:pStyle w:val="Tealblocktext"/>
        <w:rPr>
          <w:b/>
          <w:bCs/>
          <w:lang w:eastAsia="en-GB"/>
        </w:rPr>
      </w:pPr>
      <w:r w:rsidRPr="00B515EE">
        <w:rPr>
          <w:i/>
          <w:iCs/>
          <w:lang w:eastAsia="en-GB"/>
        </w:rPr>
        <w:t>Recommendation 2.</w:t>
      </w:r>
      <w:r w:rsidR="007A6808">
        <w:rPr>
          <w:i/>
          <w:iCs/>
          <w:lang w:eastAsia="en-GB"/>
        </w:rPr>
        <w:t>6</w:t>
      </w:r>
      <w:r w:rsidRPr="00B515EE">
        <w:rPr>
          <w:i/>
          <w:iCs/>
          <w:lang w:eastAsia="en-GB"/>
        </w:rPr>
        <w:t xml:space="preserve"> (Short term</w:t>
      </w:r>
      <w:r w:rsidR="00101A22">
        <w:rPr>
          <w:i/>
          <w:iCs/>
          <w:lang w:eastAsia="en-GB"/>
        </w:rPr>
        <w:t xml:space="preserve"> </w:t>
      </w:r>
      <w:r w:rsidRPr="00B515EE">
        <w:rPr>
          <w:i/>
          <w:iCs/>
          <w:lang w:eastAsia="en-GB"/>
        </w:rPr>
        <w:t>/</w:t>
      </w:r>
      <w:r w:rsidR="00101A22">
        <w:rPr>
          <w:i/>
          <w:iCs/>
          <w:lang w:eastAsia="en-GB"/>
        </w:rPr>
        <w:t xml:space="preserve"> </w:t>
      </w:r>
      <w:r w:rsidRPr="00B515EE">
        <w:rPr>
          <w:i/>
          <w:iCs/>
          <w:lang w:eastAsia="en-GB"/>
        </w:rPr>
        <w:t>Operational)</w:t>
      </w:r>
      <w:r w:rsidRPr="00B515EE">
        <w:rPr>
          <w:lang w:eastAsia="en-GB"/>
        </w:rPr>
        <w:t xml:space="preserve"> </w:t>
      </w:r>
      <w:r w:rsidR="00101A22">
        <w:rPr>
          <w:lang w:eastAsia="en-GB"/>
        </w:rPr>
        <w:t xml:space="preserve">The </w:t>
      </w:r>
      <w:r w:rsidR="00CB3275" w:rsidRPr="00B045BE">
        <w:rPr>
          <w:lang w:eastAsia="en-GB"/>
        </w:rPr>
        <w:t>PAG</w:t>
      </w:r>
      <w:r w:rsidRPr="00B045BE">
        <w:rPr>
          <w:lang w:eastAsia="en-GB"/>
        </w:rPr>
        <w:t xml:space="preserve"> should actively participate in prioritisation and strategic planning.</w:t>
      </w:r>
    </w:p>
    <w:p w14:paraId="1FE177FB" w14:textId="77777777" w:rsidR="00B045BE" w:rsidRDefault="00B045BE" w:rsidP="006036DF">
      <w:pPr>
        <w:spacing w:after="0"/>
        <w:rPr>
          <w:rFonts w:ascii="Arial" w:eastAsia="Arial" w:hAnsi="Arial" w:cs="Arial"/>
          <w:b/>
          <w:bCs/>
          <w:color w:val="222222"/>
          <w:szCs w:val="21"/>
        </w:rPr>
      </w:pPr>
    </w:p>
    <w:p w14:paraId="15FE5D4F" w14:textId="2FF33267" w:rsidR="006036DF" w:rsidRPr="006036DF" w:rsidRDefault="006036DF" w:rsidP="005A6862">
      <w:pPr>
        <w:pStyle w:val="Tealblockheading"/>
      </w:pPr>
      <w:r w:rsidRPr="006036DF">
        <w:t>Relevance</w:t>
      </w:r>
    </w:p>
    <w:p w14:paraId="5A4E5965" w14:textId="0220CCE0" w:rsidR="006036DF" w:rsidRPr="000745F4" w:rsidRDefault="006036DF" w:rsidP="00B63BAA">
      <w:pPr>
        <w:pStyle w:val="Tealblocktext"/>
        <w:rPr>
          <w:lang w:eastAsia="en-GB"/>
        </w:rPr>
      </w:pPr>
      <w:r w:rsidRPr="00B515EE">
        <w:rPr>
          <w:i/>
          <w:iCs/>
          <w:lang w:eastAsia="en-GB"/>
        </w:rPr>
        <w:t>Recommendation 3 (Next phase/Strategic)</w:t>
      </w:r>
      <w:r w:rsidRPr="00B515EE">
        <w:rPr>
          <w:lang w:eastAsia="en-GB"/>
        </w:rPr>
        <w:t xml:space="preserve"> Any future design should consider </w:t>
      </w:r>
      <w:r w:rsidR="004A1C92">
        <w:rPr>
          <w:lang w:eastAsia="en-GB"/>
        </w:rPr>
        <w:t xml:space="preserve">continued </w:t>
      </w:r>
      <w:r w:rsidRPr="00B515EE">
        <w:rPr>
          <w:lang w:eastAsia="en-GB"/>
        </w:rPr>
        <w:t xml:space="preserve">alignment of PRES’ scope with </w:t>
      </w:r>
      <w:r w:rsidR="00775085">
        <w:rPr>
          <w:lang w:eastAsia="en-GB"/>
        </w:rPr>
        <w:t xml:space="preserve">DFAT’s </w:t>
      </w:r>
      <w:r w:rsidRPr="00B515EE">
        <w:rPr>
          <w:lang w:eastAsia="en-GB"/>
        </w:rPr>
        <w:t>strategic priorities and contextual needs.</w:t>
      </w:r>
      <w:r w:rsidR="00C72B9D" w:rsidRPr="00B515EE">
        <w:rPr>
          <w:lang w:eastAsia="en-GB"/>
        </w:rPr>
        <w:t xml:space="preserve"> Any future design should re-name the program to reflect its new operating context. </w:t>
      </w:r>
    </w:p>
    <w:p w14:paraId="7F5F3FD3" w14:textId="77777777" w:rsidR="00B045BE" w:rsidRDefault="00B045BE" w:rsidP="006036DF">
      <w:pPr>
        <w:spacing w:after="0"/>
        <w:rPr>
          <w:rFonts w:ascii="Arial" w:eastAsia="Arial" w:hAnsi="Arial" w:cs="Arial"/>
          <w:b/>
          <w:bCs/>
          <w:color w:val="222222"/>
          <w:szCs w:val="21"/>
        </w:rPr>
      </w:pPr>
    </w:p>
    <w:p w14:paraId="0AC84C4A" w14:textId="426D8A4B" w:rsidR="006036DF" w:rsidRPr="006036DF" w:rsidRDefault="006036DF" w:rsidP="005A6862">
      <w:pPr>
        <w:pStyle w:val="Tealblockheading"/>
      </w:pPr>
      <w:r w:rsidRPr="006036DF">
        <w:t>GEDSI</w:t>
      </w:r>
    </w:p>
    <w:p w14:paraId="41236922" w14:textId="7DADCE69" w:rsidR="006036DF" w:rsidRPr="006036DF" w:rsidRDefault="006036DF" w:rsidP="00B63BAA">
      <w:pPr>
        <w:pStyle w:val="Tealblocktext"/>
        <w:rPr>
          <w:lang w:eastAsia="en-GB"/>
        </w:rPr>
      </w:pPr>
      <w:r w:rsidRPr="00B515EE">
        <w:rPr>
          <w:i/>
          <w:iCs/>
          <w:lang w:eastAsia="en-GB"/>
        </w:rPr>
        <w:t>Recommendation 4.1</w:t>
      </w:r>
      <w:r w:rsidRPr="006036DF">
        <w:rPr>
          <w:lang w:eastAsia="en-GB"/>
        </w:rPr>
        <w:t xml:space="preserve"> </w:t>
      </w:r>
      <w:r w:rsidRPr="00B515EE">
        <w:rPr>
          <w:i/>
          <w:iCs/>
          <w:lang w:eastAsia="en-GB"/>
        </w:rPr>
        <w:t>(Short term</w:t>
      </w:r>
      <w:r w:rsidR="00101A22">
        <w:rPr>
          <w:i/>
          <w:iCs/>
          <w:lang w:eastAsia="en-GB"/>
        </w:rPr>
        <w:t xml:space="preserve"> </w:t>
      </w:r>
      <w:r w:rsidRPr="00B515EE">
        <w:rPr>
          <w:i/>
          <w:iCs/>
          <w:lang w:eastAsia="en-GB"/>
        </w:rPr>
        <w:t>/</w:t>
      </w:r>
      <w:r w:rsidR="00101A22">
        <w:rPr>
          <w:i/>
          <w:iCs/>
          <w:lang w:eastAsia="en-GB"/>
        </w:rPr>
        <w:t xml:space="preserve"> </w:t>
      </w:r>
      <w:r w:rsidRPr="00B515EE">
        <w:rPr>
          <w:i/>
          <w:iCs/>
          <w:lang w:eastAsia="en-GB"/>
        </w:rPr>
        <w:t>Operational)</w:t>
      </w:r>
      <w:r w:rsidRPr="00B515EE">
        <w:rPr>
          <w:lang w:eastAsia="en-GB"/>
        </w:rPr>
        <w:t xml:space="preserve"> </w:t>
      </w:r>
      <w:r w:rsidR="009D047D" w:rsidRPr="009D047D">
        <w:rPr>
          <w:lang w:eastAsia="en-GB"/>
        </w:rPr>
        <w:t xml:space="preserve">To ensure equitable compensation practices, it is recommended that PRES undertake a GEDSI analysis to examine pay equity among </w:t>
      </w:r>
      <w:r w:rsidR="009D047D">
        <w:rPr>
          <w:lang w:eastAsia="en-GB"/>
        </w:rPr>
        <w:t>advisers.</w:t>
      </w:r>
    </w:p>
    <w:p w14:paraId="620B21FF" w14:textId="774351A6" w:rsidR="009B371D" w:rsidRPr="00B515EE" w:rsidRDefault="006036DF" w:rsidP="00B63BAA">
      <w:pPr>
        <w:pStyle w:val="Tealblocktext"/>
        <w:rPr>
          <w:lang w:eastAsia="en-GB"/>
        </w:rPr>
      </w:pPr>
      <w:r w:rsidRPr="00B515EE">
        <w:rPr>
          <w:i/>
          <w:iCs/>
          <w:lang w:eastAsia="en-GB"/>
        </w:rPr>
        <w:t>Recommendation 4.2 (Short term</w:t>
      </w:r>
      <w:r w:rsidR="00101A22">
        <w:rPr>
          <w:i/>
          <w:iCs/>
          <w:lang w:eastAsia="en-GB"/>
        </w:rPr>
        <w:t xml:space="preserve"> </w:t>
      </w:r>
      <w:r w:rsidRPr="00B515EE">
        <w:rPr>
          <w:i/>
          <w:iCs/>
          <w:lang w:eastAsia="en-GB"/>
        </w:rPr>
        <w:t>/</w:t>
      </w:r>
      <w:r w:rsidR="00101A22">
        <w:rPr>
          <w:i/>
          <w:iCs/>
          <w:lang w:eastAsia="en-GB"/>
        </w:rPr>
        <w:t xml:space="preserve"> </w:t>
      </w:r>
      <w:r w:rsidRPr="00B515EE">
        <w:rPr>
          <w:i/>
          <w:iCs/>
          <w:lang w:eastAsia="en-GB"/>
        </w:rPr>
        <w:t xml:space="preserve">Operational) </w:t>
      </w:r>
      <w:r w:rsidRPr="00B515EE">
        <w:rPr>
          <w:lang w:eastAsia="en-GB"/>
        </w:rPr>
        <w:t>To increase visibility of strateg</w:t>
      </w:r>
      <w:r w:rsidR="00C72B9D" w:rsidRPr="00B515EE">
        <w:rPr>
          <w:lang w:eastAsia="en-GB"/>
        </w:rPr>
        <w:t>ic</w:t>
      </w:r>
      <w:r w:rsidRPr="00B515EE">
        <w:rPr>
          <w:lang w:eastAsia="en-GB"/>
        </w:rPr>
        <w:t xml:space="preserve"> entry points for GEDSI work, the PRES GEDSI advis</w:t>
      </w:r>
      <w:r w:rsidR="001F6E51" w:rsidRPr="00B515EE">
        <w:rPr>
          <w:lang w:eastAsia="en-GB"/>
        </w:rPr>
        <w:t>e</w:t>
      </w:r>
      <w:r w:rsidRPr="00B515EE">
        <w:rPr>
          <w:lang w:eastAsia="en-GB"/>
        </w:rPr>
        <w:t>r should be included in PRES governance meetings.</w:t>
      </w:r>
      <w:r w:rsidR="00FB030F">
        <w:rPr>
          <w:lang w:eastAsia="en-GB"/>
        </w:rPr>
        <w:t xml:space="preserve"> </w:t>
      </w:r>
    </w:p>
    <w:p w14:paraId="6BB1B2E6" w14:textId="247EBB9B" w:rsidR="006036DF" w:rsidRPr="00B045BE" w:rsidRDefault="006036DF" w:rsidP="00B63BAA">
      <w:pPr>
        <w:pStyle w:val="Tealblocktext"/>
        <w:rPr>
          <w:lang w:eastAsia="en-GB"/>
        </w:rPr>
      </w:pPr>
      <w:r w:rsidRPr="00EB32FD">
        <w:rPr>
          <w:i/>
          <w:iCs/>
          <w:lang w:eastAsia="en-GB"/>
        </w:rPr>
        <w:lastRenderedPageBreak/>
        <w:t>Recommendation 4.</w:t>
      </w:r>
      <w:r w:rsidR="0030750F">
        <w:rPr>
          <w:i/>
          <w:iCs/>
          <w:lang w:eastAsia="en-GB"/>
        </w:rPr>
        <w:t>3</w:t>
      </w:r>
      <w:r w:rsidRPr="00FB1F71">
        <w:rPr>
          <w:i/>
          <w:iCs/>
          <w:lang w:eastAsia="en-GB"/>
        </w:rPr>
        <w:t xml:space="preserve"> (Next phase</w:t>
      </w:r>
      <w:r w:rsidR="00A37018">
        <w:rPr>
          <w:i/>
          <w:iCs/>
          <w:lang w:eastAsia="en-GB"/>
        </w:rPr>
        <w:t xml:space="preserve"> </w:t>
      </w:r>
      <w:r w:rsidRPr="00FB1F71">
        <w:rPr>
          <w:i/>
          <w:iCs/>
          <w:lang w:eastAsia="en-GB"/>
        </w:rPr>
        <w:t>/</w:t>
      </w:r>
      <w:r w:rsidR="00A37018">
        <w:rPr>
          <w:i/>
          <w:iCs/>
          <w:lang w:eastAsia="en-GB"/>
        </w:rPr>
        <w:t xml:space="preserve"> </w:t>
      </w:r>
      <w:r w:rsidRPr="00FB1F71">
        <w:rPr>
          <w:i/>
          <w:iCs/>
          <w:lang w:eastAsia="en-GB"/>
        </w:rPr>
        <w:t>Strategic)</w:t>
      </w:r>
      <w:r w:rsidRPr="00B045BE">
        <w:rPr>
          <w:lang w:eastAsia="en-GB"/>
        </w:rPr>
        <w:t xml:space="preserve"> </w:t>
      </w:r>
      <w:r w:rsidR="005F3671">
        <w:rPr>
          <w:lang w:eastAsia="en-GB"/>
        </w:rPr>
        <w:t xml:space="preserve">In any future program, </w:t>
      </w:r>
      <w:r w:rsidR="00EB32FD">
        <w:rPr>
          <w:lang w:eastAsia="en-GB"/>
        </w:rPr>
        <w:t xml:space="preserve">opportunities for, and suitability of, </w:t>
      </w:r>
      <w:r w:rsidR="00EB32FD" w:rsidRPr="00814DDC">
        <w:rPr>
          <w:lang w:eastAsia="en-GB"/>
        </w:rPr>
        <w:t>engaging Pacific Islander expertise for relevant</w:t>
      </w:r>
      <w:r w:rsidR="00EB32FD">
        <w:rPr>
          <w:lang w:eastAsia="en-GB"/>
        </w:rPr>
        <w:t xml:space="preserve"> </w:t>
      </w:r>
      <w:r w:rsidR="00EB32FD" w:rsidRPr="00814DDC">
        <w:rPr>
          <w:lang w:eastAsia="en-GB"/>
        </w:rPr>
        <w:t>TNs</w:t>
      </w:r>
      <w:r w:rsidR="00A37018">
        <w:rPr>
          <w:lang w:eastAsia="en-GB"/>
        </w:rPr>
        <w:t xml:space="preserve"> </w:t>
      </w:r>
      <w:r w:rsidR="00EB32FD" w:rsidRPr="00814DDC">
        <w:rPr>
          <w:lang w:eastAsia="en-GB"/>
        </w:rPr>
        <w:t>/</w:t>
      </w:r>
      <w:r w:rsidR="00A37018">
        <w:rPr>
          <w:lang w:eastAsia="en-GB"/>
        </w:rPr>
        <w:t xml:space="preserve"> </w:t>
      </w:r>
      <w:r w:rsidR="00EB32FD" w:rsidRPr="00814DDC">
        <w:rPr>
          <w:lang w:eastAsia="en-GB"/>
        </w:rPr>
        <w:t>deliverables</w:t>
      </w:r>
      <w:r w:rsidR="005F3671">
        <w:rPr>
          <w:lang w:eastAsia="en-GB"/>
        </w:rPr>
        <w:t xml:space="preserve"> should</w:t>
      </w:r>
      <w:r w:rsidR="00EE0F11">
        <w:rPr>
          <w:lang w:eastAsia="en-GB"/>
        </w:rPr>
        <w:t xml:space="preserve"> continue to</w:t>
      </w:r>
      <w:r w:rsidR="005F3671">
        <w:rPr>
          <w:lang w:eastAsia="en-GB"/>
        </w:rPr>
        <w:t xml:space="preserve"> be explored</w:t>
      </w:r>
      <w:r w:rsidR="00EB32FD" w:rsidRPr="00814DDC">
        <w:rPr>
          <w:lang w:eastAsia="en-GB"/>
        </w:rPr>
        <w:t>, acknowledging much of PRES' work is Canberra-based.</w:t>
      </w:r>
    </w:p>
    <w:p w14:paraId="052A9C82" w14:textId="77777777" w:rsidR="00B045BE" w:rsidRDefault="00B045BE" w:rsidP="006036DF">
      <w:pPr>
        <w:spacing w:after="0"/>
        <w:rPr>
          <w:rFonts w:ascii="Arial" w:eastAsia="Arial" w:hAnsi="Arial" w:cs="Arial"/>
          <w:b/>
          <w:bCs/>
          <w:color w:val="222222"/>
          <w:szCs w:val="21"/>
        </w:rPr>
      </w:pPr>
    </w:p>
    <w:p w14:paraId="1B290476" w14:textId="7BB90CBD" w:rsidR="006036DF" w:rsidRPr="006036DF" w:rsidRDefault="006036DF" w:rsidP="005A6862">
      <w:pPr>
        <w:pStyle w:val="Tealblockheading"/>
      </w:pPr>
      <w:r w:rsidRPr="006036DF">
        <w:t>M</w:t>
      </w:r>
      <w:r>
        <w:t>onitoring, Evaluation and Learning</w:t>
      </w:r>
    </w:p>
    <w:p w14:paraId="0F9CF3B8" w14:textId="6F014F3E" w:rsidR="006036DF" w:rsidRPr="00B045BE" w:rsidRDefault="006036DF" w:rsidP="00B63BAA">
      <w:pPr>
        <w:pStyle w:val="Tealblocktext"/>
        <w:rPr>
          <w:lang w:eastAsia="en-GB"/>
        </w:rPr>
      </w:pPr>
      <w:r w:rsidRPr="00B515EE">
        <w:rPr>
          <w:i/>
          <w:iCs/>
          <w:lang w:eastAsia="en-GB"/>
        </w:rPr>
        <w:t>Recommendation 5.1 (Short term</w:t>
      </w:r>
      <w:r w:rsidR="00A37018">
        <w:rPr>
          <w:i/>
          <w:iCs/>
          <w:lang w:eastAsia="en-GB"/>
        </w:rPr>
        <w:t xml:space="preserve"> </w:t>
      </w:r>
      <w:r w:rsidRPr="00B515EE">
        <w:rPr>
          <w:i/>
          <w:iCs/>
          <w:lang w:eastAsia="en-GB"/>
        </w:rPr>
        <w:t>/</w:t>
      </w:r>
      <w:r w:rsidR="00A37018">
        <w:rPr>
          <w:i/>
          <w:iCs/>
          <w:lang w:eastAsia="en-GB"/>
        </w:rPr>
        <w:t xml:space="preserve"> </w:t>
      </w:r>
      <w:r w:rsidRPr="00B515EE">
        <w:rPr>
          <w:i/>
          <w:iCs/>
          <w:lang w:eastAsia="en-GB"/>
        </w:rPr>
        <w:t>Operational)</w:t>
      </w:r>
      <w:r w:rsidRPr="00B045BE">
        <w:rPr>
          <w:lang w:eastAsia="en-GB"/>
        </w:rPr>
        <w:t xml:space="preserve"> PRES </w:t>
      </w:r>
      <w:r w:rsidR="00C14400">
        <w:rPr>
          <w:lang w:eastAsia="en-GB"/>
        </w:rPr>
        <w:t>should</w:t>
      </w:r>
      <w:r w:rsidR="00C14400" w:rsidRPr="00B045BE">
        <w:rPr>
          <w:lang w:eastAsia="en-GB"/>
        </w:rPr>
        <w:t xml:space="preserve"> </w:t>
      </w:r>
      <w:r w:rsidRPr="00B045BE">
        <w:rPr>
          <w:lang w:eastAsia="en-GB"/>
        </w:rPr>
        <w:t>conduct a small number of case studies</w:t>
      </w:r>
      <w:r w:rsidR="00C14400">
        <w:rPr>
          <w:lang w:eastAsia="en-GB"/>
        </w:rPr>
        <w:t>,</w:t>
      </w:r>
      <w:r w:rsidRPr="00B045BE">
        <w:rPr>
          <w:lang w:eastAsia="en-GB"/>
        </w:rPr>
        <w:t xml:space="preserve"> exploring the collective influence of multiple </w:t>
      </w:r>
      <w:r w:rsidR="00E73FBB" w:rsidRPr="00B045BE">
        <w:rPr>
          <w:lang w:eastAsia="en-GB"/>
        </w:rPr>
        <w:t>TNs</w:t>
      </w:r>
      <w:r w:rsidRPr="00B045BE">
        <w:rPr>
          <w:lang w:eastAsia="en-GB"/>
        </w:rPr>
        <w:t xml:space="preserve"> in key thematic areas, with reference to EOIO1 and EOIO2; the factors influencing PRES effectiveness; and the appropriateness of PRES’ responsive, tasking-based modality for optimising its thematic contribution.</w:t>
      </w:r>
    </w:p>
    <w:p w14:paraId="133E8CF3" w14:textId="5554B7AC" w:rsidR="006036DF" w:rsidRPr="00B045BE" w:rsidRDefault="006036DF" w:rsidP="00B63BAA">
      <w:pPr>
        <w:pStyle w:val="Tealblocktext"/>
        <w:rPr>
          <w:lang w:eastAsia="en-GB"/>
        </w:rPr>
      </w:pPr>
      <w:r w:rsidRPr="00B515EE">
        <w:rPr>
          <w:i/>
          <w:iCs/>
          <w:lang w:eastAsia="en-GB"/>
        </w:rPr>
        <w:t>Recommendation 5.2 (</w:t>
      </w:r>
      <w:r w:rsidR="00DC2AE8">
        <w:rPr>
          <w:i/>
          <w:iCs/>
          <w:lang w:eastAsia="en-GB"/>
        </w:rPr>
        <w:t>Next phase</w:t>
      </w:r>
      <w:r w:rsidR="00C14400">
        <w:rPr>
          <w:i/>
          <w:iCs/>
          <w:lang w:eastAsia="en-GB"/>
        </w:rPr>
        <w:t xml:space="preserve"> </w:t>
      </w:r>
      <w:r w:rsidR="00DC2AE8">
        <w:rPr>
          <w:i/>
          <w:iCs/>
          <w:lang w:eastAsia="en-GB"/>
        </w:rPr>
        <w:t>/</w:t>
      </w:r>
      <w:r w:rsidR="00C14400">
        <w:rPr>
          <w:i/>
          <w:iCs/>
          <w:lang w:eastAsia="en-GB"/>
        </w:rPr>
        <w:t xml:space="preserve"> </w:t>
      </w:r>
      <w:r w:rsidR="00DC2AE8">
        <w:rPr>
          <w:i/>
          <w:iCs/>
          <w:lang w:eastAsia="en-GB"/>
        </w:rPr>
        <w:t>Operational</w:t>
      </w:r>
      <w:r w:rsidRPr="00B515EE">
        <w:rPr>
          <w:i/>
          <w:iCs/>
          <w:lang w:eastAsia="en-GB"/>
        </w:rPr>
        <w:t>)</w:t>
      </w:r>
      <w:r w:rsidRPr="00B045BE">
        <w:rPr>
          <w:lang w:eastAsia="en-GB"/>
        </w:rPr>
        <w:t xml:space="preserve"> </w:t>
      </w:r>
      <w:r w:rsidR="009E7A5A">
        <w:rPr>
          <w:lang w:eastAsia="en-GB"/>
        </w:rPr>
        <w:t xml:space="preserve">In any future </w:t>
      </w:r>
      <w:r w:rsidR="008B0210">
        <w:rPr>
          <w:lang w:eastAsia="en-GB"/>
        </w:rPr>
        <w:t>program</w:t>
      </w:r>
      <w:r w:rsidR="009E7A5A">
        <w:rPr>
          <w:lang w:eastAsia="en-GB"/>
        </w:rPr>
        <w:t xml:space="preserve">, </w:t>
      </w:r>
      <w:r w:rsidRPr="00B045BE">
        <w:rPr>
          <w:lang w:eastAsia="en-GB"/>
        </w:rPr>
        <w:t>PRES and DFAT</w:t>
      </w:r>
      <w:r w:rsidR="009E7A5A">
        <w:rPr>
          <w:lang w:eastAsia="en-GB"/>
        </w:rPr>
        <w:t xml:space="preserve"> should</w:t>
      </w:r>
      <w:r w:rsidRPr="00B045BE">
        <w:rPr>
          <w:lang w:eastAsia="en-GB"/>
        </w:rPr>
        <w:t xml:space="preserve"> revise reporting templates </w:t>
      </w:r>
      <w:r w:rsidR="00F50DDA">
        <w:rPr>
          <w:lang w:eastAsia="en-GB"/>
        </w:rPr>
        <w:t xml:space="preserve">and timeframes </w:t>
      </w:r>
      <w:r w:rsidRPr="00B045BE">
        <w:rPr>
          <w:lang w:eastAsia="en-GB"/>
        </w:rPr>
        <w:t xml:space="preserve">so that quarterly reports provide concise operational </w:t>
      </w:r>
      <w:r w:rsidR="00C72B9D" w:rsidRPr="00B045BE">
        <w:rPr>
          <w:lang w:eastAsia="en-GB"/>
        </w:rPr>
        <w:t>updates</w:t>
      </w:r>
      <w:r w:rsidRPr="00B045BE">
        <w:rPr>
          <w:lang w:eastAsia="en-GB"/>
        </w:rPr>
        <w:t xml:space="preserve"> and annual reports provide more in-depth exploration of strategic issues. The rating scales used in both reports should also be </w:t>
      </w:r>
      <w:r w:rsidR="00BD1FE5">
        <w:rPr>
          <w:lang w:eastAsia="en-GB"/>
        </w:rPr>
        <w:t>more closely aligned</w:t>
      </w:r>
      <w:r w:rsidRPr="00B045BE">
        <w:rPr>
          <w:lang w:eastAsia="en-GB"/>
        </w:rPr>
        <w:t xml:space="preserve"> to DFAT </w:t>
      </w:r>
      <w:r w:rsidR="005B41CC">
        <w:rPr>
          <w:lang w:eastAsia="en-GB"/>
        </w:rPr>
        <w:t>Performance Assessment Framework (</w:t>
      </w:r>
      <w:r w:rsidRPr="00B045BE">
        <w:rPr>
          <w:lang w:eastAsia="en-GB"/>
        </w:rPr>
        <w:t>PAF</w:t>
      </w:r>
      <w:r w:rsidR="005B41CC">
        <w:rPr>
          <w:lang w:eastAsia="en-GB"/>
        </w:rPr>
        <w:t>)</w:t>
      </w:r>
      <w:r w:rsidRPr="00B045BE">
        <w:rPr>
          <w:lang w:eastAsia="en-GB"/>
        </w:rPr>
        <w:t xml:space="preserve"> or </w:t>
      </w:r>
      <w:r w:rsidR="005B41CC">
        <w:rPr>
          <w:rFonts w:ascii="Arial" w:hAnsi="Arial" w:cs="Arial"/>
          <w:color w:val="auto"/>
        </w:rPr>
        <w:t>I</w:t>
      </w:r>
      <w:r w:rsidR="00C14400">
        <w:rPr>
          <w:rFonts w:ascii="Arial" w:hAnsi="Arial" w:cs="Arial"/>
          <w:color w:val="auto"/>
        </w:rPr>
        <w:t xml:space="preserve">nvestment </w:t>
      </w:r>
      <w:r w:rsidR="005B41CC">
        <w:rPr>
          <w:rFonts w:ascii="Arial" w:hAnsi="Arial" w:cs="Arial"/>
          <w:color w:val="auto"/>
        </w:rPr>
        <w:t>M</w:t>
      </w:r>
      <w:r w:rsidR="00C14400">
        <w:rPr>
          <w:rFonts w:ascii="Arial" w:hAnsi="Arial" w:cs="Arial"/>
          <w:color w:val="auto"/>
        </w:rPr>
        <w:t xml:space="preserve">onitoring </w:t>
      </w:r>
      <w:r w:rsidR="005B41CC">
        <w:rPr>
          <w:rFonts w:ascii="Arial" w:hAnsi="Arial" w:cs="Arial"/>
          <w:color w:val="auto"/>
        </w:rPr>
        <w:t>R</w:t>
      </w:r>
      <w:r w:rsidR="00C14400">
        <w:rPr>
          <w:rFonts w:ascii="Arial" w:hAnsi="Arial" w:cs="Arial"/>
          <w:color w:val="auto"/>
        </w:rPr>
        <w:t>eport</w:t>
      </w:r>
      <w:r w:rsidR="00C14400" w:rsidRPr="00B045BE" w:rsidDel="00C14400">
        <w:rPr>
          <w:lang w:eastAsia="en-GB"/>
        </w:rPr>
        <w:t xml:space="preserve"> </w:t>
      </w:r>
      <w:r w:rsidR="00C14400">
        <w:rPr>
          <w:lang w:eastAsia="en-GB"/>
        </w:rPr>
        <w:t>(IMR)</w:t>
      </w:r>
      <w:r w:rsidRPr="00B045BE">
        <w:rPr>
          <w:lang w:eastAsia="en-GB"/>
        </w:rPr>
        <w:t xml:space="preserve"> rating scales.</w:t>
      </w:r>
    </w:p>
    <w:p w14:paraId="3F051CD2" w14:textId="77777777" w:rsidR="00B045BE" w:rsidRDefault="00B045BE" w:rsidP="006036DF">
      <w:pPr>
        <w:spacing w:after="0"/>
        <w:rPr>
          <w:rFonts w:ascii="Arial" w:eastAsia="Arial" w:hAnsi="Arial" w:cs="Arial"/>
          <w:b/>
          <w:bCs/>
          <w:color w:val="222222"/>
          <w:szCs w:val="21"/>
        </w:rPr>
      </w:pPr>
    </w:p>
    <w:p w14:paraId="61B1F51B" w14:textId="176CABBD" w:rsidR="006036DF" w:rsidRPr="006036DF" w:rsidRDefault="006036DF" w:rsidP="005A6862">
      <w:pPr>
        <w:pStyle w:val="Tealblockheading"/>
      </w:pPr>
      <w:r w:rsidRPr="006036DF">
        <w:t xml:space="preserve">Sustainability </w:t>
      </w:r>
    </w:p>
    <w:p w14:paraId="0314FACF" w14:textId="060221F3" w:rsidR="006036DF" w:rsidRPr="00B045BE" w:rsidRDefault="006036DF" w:rsidP="00B63BAA">
      <w:pPr>
        <w:pStyle w:val="Tealblocktext"/>
        <w:rPr>
          <w:lang w:eastAsia="en-GB"/>
        </w:rPr>
      </w:pPr>
      <w:r w:rsidRPr="00B515EE">
        <w:rPr>
          <w:i/>
          <w:iCs/>
          <w:lang w:eastAsia="en-GB"/>
        </w:rPr>
        <w:t>Recommendation 6 (</w:t>
      </w:r>
      <w:r w:rsidR="007A46CC">
        <w:rPr>
          <w:i/>
          <w:iCs/>
          <w:lang w:eastAsia="en-GB"/>
        </w:rPr>
        <w:t>Next phase</w:t>
      </w:r>
      <w:r w:rsidR="00C14400">
        <w:rPr>
          <w:i/>
          <w:iCs/>
          <w:lang w:eastAsia="en-GB"/>
        </w:rPr>
        <w:t xml:space="preserve"> </w:t>
      </w:r>
      <w:r w:rsidRPr="00B515EE">
        <w:rPr>
          <w:i/>
          <w:iCs/>
          <w:lang w:eastAsia="en-GB"/>
        </w:rPr>
        <w:t>/</w:t>
      </w:r>
      <w:r w:rsidR="00C14400">
        <w:rPr>
          <w:i/>
          <w:iCs/>
          <w:lang w:eastAsia="en-GB"/>
        </w:rPr>
        <w:t xml:space="preserve"> </w:t>
      </w:r>
      <w:r w:rsidRPr="00B515EE">
        <w:rPr>
          <w:i/>
          <w:iCs/>
          <w:lang w:eastAsia="en-GB"/>
        </w:rPr>
        <w:t>Strategic)</w:t>
      </w:r>
      <w:r w:rsidRPr="00B515EE">
        <w:rPr>
          <w:lang w:eastAsia="en-GB"/>
        </w:rPr>
        <w:t xml:space="preserve"> </w:t>
      </w:r>
      <w:r w:rsidR="002F43D7">
        <w:rPr>
          <w:lang w:eastAsia="en-GB"/>
        </w:rPr>
        <w:t xml:space="preserve">In any future </w:t>
      </w:r>
      <w:r w:rsidR="008B0210">
        <w:rPr>
          <w:lang w:eastAsia="en-GB"/>
        </w:rPr>
        <w:t>program</w:t>
      </w:r>
      <w:r w:rsidR="002F43D7">
        <w:rPr>
          <w:lang w:eastAsia="en-GB"/>
        </w:rPr>
        <w:t xml:space="preserve">, </w:t>
      </w:r>
      <w:r w:rsidRPr="00B515EE">
        <w:rPr>
          <w:lang w:eastAsia="en-GB"/>
        </w:rPr>
        <w:t xml:space="preserve">DFAT and PRES </w:t>
      </w:r>
      <w:r w:rsidR="002F43D7">
        <w:rPr>
          <w:lang w:eastAsia="en-GB"/>
        </w:rPr>
        <w:t xml:space="preserve">should </w:t>
      </w:r>
      <w:r w:rsidRPr="00B515EE">
        <w:rPr>
          <w:lang w:eastAsia="en-GB"/>
        </w:rPr>
        <w:t xml:space="preserve">develop a written sustainability strategy to </w:t>
      </w:r>
      <w:r w:rsidR="004A6701">
        <w:rPr>
          <w:lang w:eastAsia="en-GB"/>
        </w:rPr>
        <w:t>capture</w:t>
      </w:r>
      <w:r w:rsidRPr="00B515EE">
        <w:rPr>
          <w:lang w:eastAsia="en-GB"/>
        </w:rPr>
        <w:t xml:space="preserve"> sustainability in the PRES context. In developing a sustainability strategy, factors</w:t>
      </w:r>
      <w:r w:rsidR="00C14400">
        <w:rPr>
          <w:lang w:eastAsia="en-GB"/>
        </w:rPr>
        <w:t xml:space="preserve"> to consider</w:t>
      </w:r>
      <w:r w:rsidRPr="00B515EE">
        <w:rPr>
          <w:lang w:eastAsia="en-GB"/>
        </w:rPr>
        <w:t xml:space="preserve"> </w:t>
      </w:r>
      <w:r w:rsidR="00C14400" w:rsidRPr="00B515EE">
        <w:rPr>
          <w:lang w:eastAsia="en-GB"/>
        </w:rPr>
        <w:t>includ</w:t>
      </w:r>
      <w:r w:rsidR="00C14400">
        <w:rPr>
          <w:lang w:eastAsia="en-GB"/>
        </w:rPr>
        <w:t>e</w:t>
      </w:r>
      <w:r w:rsidR="00C14400" w:rsidRPr="00B515EE">
        <w:rPr>
          <w:lang w:eastAsia="en-GB"/>
        </w:rPr>
        <w:t xml:space="preserve"> </w:t>
      </w:r>
      <w:r w:rsidRPr="00B515EE">
        <w:rPr>
          <w:lang w:eastAsia="en-GB"/>
        </w:rPr>
        <w:t>how TNs can be used to enhance sustainability, enhanc</w:t>
      </w:r>
      <w:r w:rsidR="00C14400">
        <w:rPr>
          <w:lang w:eastAsia="en-GB"/>
        </w:rPr>
        <w:t>e</w:t>
      </w:r>
      <w:r w:rsidRPr="00B515EE">
        <w:rPr>
          <w:lang w:eastAsia="en-GB"/>
        </w:rPr>
        <w:t xml:space="preserve"> linkages, mitigat</w:t>
      </w:r>
      <w:r w:rsidR="00C14400">
        <w:rPr>
          <w:lang w:eastAsia="en-GB"/>
        </w:rPr>
        <w:t>e</w:t>
      </w:r>
      <w:r w:rsidRPr="00B515EE">
        <w:rPr>
          <w:lang w:eastAsia="en-GB"/>
        </w:rPr>
        <w:t xml:space="preserve"> key person risk</w:t>
      </w:r>
      <w:r w:rsidR="00C14400">
        <w:rPr>
          <w:lang w:eastAsia="en-GB"/>
        </w:rPr>
        <w:t>,</w:t>
      </w:r>
      <w:r w:rsidRPr="00B515EE">
        <w:rPr>
          <w:lang w:eastAsia="en-GB"/>
        </w:rPr>
        <w:t xml:space="preserve"> and increas</w:t>
      </w:r>
      <w:r w:rsidR="00C14400">
        <w:rPr>
          <w:lang w:eastAsia="en-GB"/>
        </w:rPr>
        <w:t>e</w:t>
      </w:r>
      <w:r w:rsidRPr="00B515EE">
        <w:rPr>
          <w:lang w:eastAsia="en-GB"/>
        </w:rPr>
        <w:t xml:space="preserve"> the pool of expertise (particularly</w:t>
      </w:r>
      <w:r w:rsidR="00625961">
        <w:rPr>
          <w:lang w:eastAsia="en-GB"/>
        </w:rPr>
        <w:t xml:space="preserve"> Pacific Islands</w:t>
      </w:r>
      <w:r w:rsidRPr="00B515EE">
        <w:rPr>
          <w:lang w:eastAsia="en-GB"/>
        </w:rPr>
        <w:t xml:space="preserve"> expertise).</w:t>
      </w:r>
      <w:r w:rsidR="007A46CC">
        <w:rPr>
          <w:lang w:eastAsia="en-GB"/>
        </w:rPr>
        <w:t xml:space="preserve"> </w:t>
      </w:r>
    </w:p>
    <w:p w14:paraId="56E67D30" w14:textId="77777777" w:rsidR="006036DF" w:rsidRPr="006036DF" w:rsidRDefault="006036DF" w:rsidP="006036DF">
      <w:pPr>
        <w:rPr>
          <w:rFonts w:ascii="Arial" w:hAnsi="Arial" w:cs="Arial"/>
          <w:szCs w:val="21"/>
        </w:rPr>
      </w:pPr>
    </w:p>
    <w:p w14:paraId="641C0923" w14:textId="77777777" w:rsidR="00B302ED" w:rsidRPr="006036DF" w:rsidRDefault="00B302ED" w:rsidP="00B302ED">
      <w:pPr>
        <w:rPr>
          <w:b/>
          <w:bCs/>
          <w:szCs w:val="21"/>
        </w:rPr>
      </w:pPr>
    </w:p>
    <w:p w14:paraId="39D31A49" w14:textId="333262CE" w:rsidR="0013285E" w:rsidRDefault="0013285E" w:rsidP="00795216">
      <w:pPr>
        <w:pStyle w:val="Heading1nonumber"/>
      </w:pPr>
      <w:bookmarkStart w:id="15" w:name="_Toc113443761"/>
      <w:bookmarkStart w:id="16" w:name="_Toc195808958"/>
      <w:bookmarkStart w:id="17" w:name="_Toc205992458"/>
      <w:bookmarkStart w:id="18" w:name="_Toc205992545"/>
      <w:bookmarkEnd w:id="0"/>
      <w:bookmarkEnd w:id="5"/>
      <w:bookmarkEnd w:id="6"/>
      <w:bookmarkEnd w:id="7"/>
      <w:bookmarkEnd w:id="8"/>
      <w:r w:rsidRPr="00530B2E">
        <w:lastRenderedPageBreak/>
        <w:t>Introduction</w:t>
      </w:r>
      <w:bookmarkEnd w:id="15"/>
      <w:bookmarkEnd w:id="16"/>
      <w:bookmarkEnd w:id="17"/>
      <w:bookmarkEnd w:id="18"/>
    </w:p>
    <w:p w14:paraId="10C07045" w14:textId="26B98289" w:rsidR="00BC6503" w:rsidRPr="005808D4" w:rsidRDefault="00BC6503" w:rsidP="00B63BAA">
      <w:r w:rsidRPr="005808D4">
        <w:t xml:space="preserve">The Pacific Recovery Economic Support (PRES) </w:t>
      </w:r>
      <w:r w:rsidR="00116B46">
        <w:t>p</w:t>
      </w:r>
      <w:r w:rsidR="00116B46" w:rsidRPr="005808D4">
        <w:t xml:space="preserve">rogram </w:t>
      </w:r>
      <w:r w:rsidRPr="005808D4">
        <w:t xml:space="preserve">aims to provide technical advisory services to DFAT’s Pacific Economic and Trade Branch (PEB) within the Office of the Pacific (OTP). With a total budget of </w:t>
      </w:r>
      <w:r w:rsidRPr="00FB1F71">
        <w:t xml:space="preserve">$16.4 million and a </w:t>
      </w:r>
      <w:r w:rsidR="00836B1B" w:rsidRPr="00FB1F71">
        <w:t xml:space="preserve">further </w:t>
      </w:r>
      <w:r w:rsidRPr="00FB1F71">
        <w:t>$</w:t>
      </w:r>
      <w:r w:rsidR="00FE01AA" w:rsidRPr="00FB1F71">
        <w:t>6.2</w:t>
      </w:r>
      <w:r w:rsidRPr="00FB1F71">
        <w:t xml:space="preserve"> million</w:t>
      </w:r>
      <w:r w:rsidRPr="005808D4">
        <w:t xml:space="preserve"> for </w:t>
      </w:r>
      <w:r w:rsidR="00836B1B">
        <w:t>additional</w:t>
      </w:r>
      <w:r w:rsidR="00836B1B" w:rsidRPr="005808D4">
        <w:t xml:space="preserve"> </w:t>
      </w:r>
      <w:r w:rsidRPr="005808D4">
        <w:t>service orders</w:t>
      </w:r>
      <w:r w:rsidR="00836B1B">
        <w:t xml:space="preserve"> (ASOs)</w:t>
      </w:r>
      <w:r w:rsidRPr="005808D4">
        <w:t xml:space="preserve">, it focuses on economic analysis, policy development, program implementation, and performance monitoring. PRES commenced in November 2021 and is set to conclude </w:t>
      </w:r>
      <w:r w:rsidR="0046428A">
        <w:t xml:space="preserve">on </w:t>
      </w:r>
      <w:r w:rsidRPr="005808D4">
        <w:t xml:space="preserve">31 December 2025. </w:t>
      </w:r>
    </w:p>
    <w:p w14:paraId="419FD18C" w14:textId="730FCA18" w:rsidR="00BC6503" w:rsidRPr="005808D4" w:rsidRDefault="00BC6503" w:rsidP="00B63BAA">
      <w:r w:rsidRPr="005808D4">
        <w:t xml:space="preserve">PRES was designed to help the Pacific region recover from the economic impacts of COVID-19 by </w:t>
      </w:r>
      <w:r w:rsidR="00D562B3">
        <w:t xml:space="preserve">providing access to technical specialists to support </w:t>
      </w:r>
      <w:r w:rsidRPr="005808D4">
        <w:t xml:space="preserve">DFAT’s </w:t>
      </w:r>
      <w:r w:rsidR="00791F47">
        <w:t xml:space="preserve">policy and </w:t>
      </w:r>
      <w:r w:rsidRPr="005808D4">
        <w:t xml:space="preserve">programming in economic recovery and growth </w:t>
      </w:r>
      <w:r w:rsidR="00A83258">
        <w:t>d</w:t>
      </w:r>
      <w:r w:rsidRPr="005808D4">
        <w:t xml:space="preserve">elivered by Adam Smith International, the program provides advisory services in areas such as fiscal governance, private sector development, trade, labour mobility, and thematic expertise, including gender equality, disability and social inclusion (GEDSI) and climate resilience. PRES operates with a core team </w:t>
      </w:r>
      <w:r w:rsidR="00D024D8">
        <w:t>that works closely with</w:t>
      </w:r>
      <w:r w:rsidRPr="005808D4">
        <w:t xml:space="preserve"> PEB, </w:t>
      </w:r>
      <w:r w:rsidR="00791F47">
        <w:t xml:space="preserve">facilitating the engagement of specialist technical assistance, providing </w:t>
      </w:r>
      <w:r w:rsidRPr="005808D4">
        <w:t>logistical support, quality assurance, and a hub for coordinating advisory needs.</w:t>
      </w:r>
    </w:p>
    <w:p w14:paraId="37618904" w14:textId="7E6B1AED" w:rsidR="00D155BC" w:rsidRPr="003815EB" w:rsidRDefault="00D155BC" w:rsidP="00B63BAA">
      <w:r w:rsidRPr="47303FC7">
        <w:t xml:space="preserve">PRES aims to achieve two </w:t>
      </w:r>
      <w:r w:rsidR="00523386">
        <w:t>e</w:t>
      </w:r>
      <w:r w:rsidRPr="47303FC7">
        <w:t>nd</w:t>
      </w:r>
      <w:r w:rsidR="00523386">
        <w:t>-</w:t>
      </w:r>
      <w:r w:rsidRPr="47303FC7">
        <w:t>of</w:t>
      </w:r>
      <w:r w:rsidR="00523386">
        <w:t>-i</w:t>
      </w:r>
      <w:r w:rsidR="00200566">
        <w:t>nvestment</w:t>
      </w:r>
      <w:r w:rsidRPr="47303FC7">
        <w:t xml:space="preserve"> </w:t>
      </w:r>
      <w:r w:rsidR="00523386">
        <w:t>o</w:t>
      </w:r>
      <w:r w:rsidRPr="47303FC7">
        <w:t>utcomes (EO</w:t>
      </w:r>
      <w:r w:rsidR="00D835FD">
        <w:t>I</w:t>
      </w:r>
      <w:r w:rsidRPr="47303FC7">
        <w:t>Os)</w:t>
      </w:r>
      <w:r w:rsidR="00523386">
        <w:t>:</w:t>
      </w:r>
      <w:r w:rsidRPr="47303FC7">
        <w:t xml:space="preserve"> </w:t>
      </w:r>
    </w:p>
    <w:p w14:paraId="03AB25A5" w14:textId="645B271B" w:rsidR="00163385" w:rsidRPr="007C1F52" w:rsidRDefault="00163385" w:rsidP="00B63BAA">
      <w:pPr>
        <w:numPr>
          <w:ilvl w:val="0"/>
          <w:numId w:val="16"/>
        </w:numPr>
        <w:spacing w:before="120" w:after="120"/>
        <w:rPr>
          <w:rFonts w:cstheme="minorHAnsi"/>
        </w:rPr>
      </w:pPr>
      <w:r w:rsidRPr="007C1F52">
        <w:rPr>
          <w:rFonts w:cstheme="minorHAnsi"/>
        </w:rPr>
        <w:t xml:space="preserve">EOIO1 </w:t>
      </w:r>
      <w:r w:rsidR="0071417E">
        <w:rPr>
          <w:rFonts w:cstheme="minorHAnsi"/>
        </w:rPr>
        <w:t>–</w:t>
      </w:r>
      <w:r w:rsidRPr="007C1F52">
        <w:rPr>
          <w:rFonts w:cstheme="minorHAnsi"/>
        </w:rPr>
        <w:t xml:space="preserve"> Use of </w:t>
      </w:r>
      <w:r w:rsidR="00D05A8B" w:rsidRPr="007C1F52">
        <w:rPr>
          <w:rFonts w:cstheme="minorHAnsi"/>
        </w:rPr>
        <w:t>t</w:t>
      </w:r>
      <w:r w:rsidRPr="007C1F52">
        <w:rPr>
          <w:rFonts w:cstheme="minorHAnsi"/>
        </w:rPr>
        <w:t xml:space="preserve">echnical </w:t>
      </w:r>
      <w:r w:rsidR="00D05A8B" w:rsidRPr="007C1F52">
        <w:rPr>
          <w:rFonts w:cstheme="minorHAnsi"/>
        </w:rPr>
        <w:t>a</w:t>
      </w:r>
      <w:r w:rsidRPr="007C1F52">
        <w:rPr>
          <w:rFonts w:cstheme="minorHAnsi"/>
        </w:rPr>
        <w:t xml:space="preserve">dvice and </w:t>
      </w:r>
      <w:r w:rsidR="00D05A8B" w:rsidRPr="007C1F52">
        <w:rPr>
          <w:rFonts w:cstheme="minorHAnsi"/>
        </w:rPr>
        <w:t>s</w:t>
      </w:r>
      <w:r w:rsidRPr="007C1F52">
        <w:rPr>
          <w:rFonts w:cstheme="minorHAnsi"/>
        </w:rPr>
        <w:t>upport: DFAT staff use the technical advice, products or services accessed through PRES to support evidence-based policy, strategy, program coherence and enhanced investment design, management and performance.</w:t>
      </w:r>
    </w:p>
    <w:p w14:paraId="5D4C7844" w14:textId="17F81C57" w:rsidR="00163385" w:rsidRPr="007C1F52" w:rsidRDefault="00771BF4" w:rsidP="00B63BAA">
      <w:pPr>
        <w:numPr>
          <w:ilvl w:val="0"/>
          <w:numId w:val="16"/>
        </w:numPr>
        <w:spacing w:before="120" w:after="120"/>
        <w:rPr>
          <w:rFonts w:cstheme="minorHAnsi"/>
        </w:rPr>
      </w:pPr>
      <w:r w:rsidRPr="007C1F52">
        <w:rPr>
          <w:rFonts w:cstheme="minorHAnsi"/>
        </w:rPr>
        <w:t>EOIO2</w:t>
      </w:r>
      <w:r w:rsidR="00D05A8B" w:rsidRPr="007C1F52">
        <w:rPr>
          <w:rFonts w:cstheme="minorHAnsi"/>
        </w:rPr>
        <w:t xml:space="preserve"> </w:t>
      </w:r>
      <w:r w:rsidR="0071417E">
        <w:rPr>
          <w:rFonts w:cstheme="minorHAnsi"/>
        </w:rPr>
        <w:t>–</w:t>
      </w:r>
      <w:r w:rsidRPr="007C1F52">
        <w:rPr>
          <w:rFonts w:cstheme="minorHAnsi"/>
        </w:rPr>
        <w:t xml:space="preserve"> Learning within PEB: PRES contributes to improving knowledge management and learning within PEB.</w:t>
      </w:r>
    </w:p>
    <w:p w14:paraId="190E6DFA" w14:textId="314B4BD6" w:rsidR="00571003" w:rsidRDefault="00D835FD" w:rsidP="00B63BAA">
      <w:r w:rsidRPr="00D835FD">
        <w:t xml:space="preserve">To contribute to achievement of the EOIOs, PRES </w:t>
      </w:r>
      <w:r w:rsidR="00353BA4">
        <w:t xml:space="preserve">initially aimed </w:t>
      </w:r>
      <w:r>
        <w:t>to d</w:t>
      </w:r>
      <w:r w:rsidRPr="00D835FD">
        <w:t xml:space="preserve">eliver against the following four </w:t>
      </w:r>
      <w:r w:rsidR="00D05A8B">
        <w:t>i</w:t>
      </w:r>
      <w:r>
        <w:t xml:space="preserve">ntermediate </w:t>
      </w:r>
      <w:r w:rsidR="00D05A8B">
        <w:t>o</w:t>
      </w:r>
      <w:r>
        <w:t xml:space="preserve">utcomes (IOs): </w:t>
      </w:r>
    </w:p>
    <w:p w14:paraId="2DBE43AA" w14:textId="2463EDCE" w:rsidR="00766227" w:rsidRPr="007C1F52" w:rsidRDefault="00766227" w:rsidP="00B63BAA">
      <w:pPr>
        <w:pStyle w:val="ListNumber"/>
        <w:numPr>
          <w:ilvl w:val="0"/>
          <w:numId w:val="17"/>
        </w:numPr>
        <w:spacing w:before="120"/>
      </w:pPr>
      <w:r w:rsidRPr="007C1F52">
        <w:t>IO1</w:t>
      </w:r>
      <w:r w:rsidR="00F135A0" w:rsidRPr="007C1F52">
        <w:t xml:space="preserve"> </w:t>
      </w:r>
      <w:r w:rsidR="0071417E">
        <w:rPr>
          <w:rFonts w:cstheme="minorHAnsi"/>
        </w:rPr>
        <w:t>–</w:t>
      </w:r>
      <w:r w:rsidRPr="007C1F52">
        <w:t xml:space="preserve"> PRES (technical advice, </w:t>
      </w:r>
      <w:r w:rsidR="00DC7245" w:rsidRPr="007C1F52">
        <w:t>t</w:t>
      </w:r>
      <w:r w:rsidRPr="007C1F52">
        <w:t xml:space="preserve">asking </w:t>
      </w:r>
      <w:r w:rsidR="00DC7245" w:rsidRPr="007C1F52">
        <w:t>o</w:t>
      </w:r>
      <w:r w:rsidRPr="007C1F52">
        <w:t>rder process and products, cross-cutting support) meets DFAT staff needs.</w:t>
      </w:r>
    </w:p>
    <w:p w14:paraId="67DF986B" w14:textId="28A6B428" w:rsidR="00766227" w:rsidRPr="007C1F52" w:rsidRDefault="0067628D" w:rsidP="00B63BAA">
      <w:pPr>
        <w:pStyle w:val="ListNumber"/>
        <w:spacing w:before="120"/>
      </w:pPr>
      <w:r w:rsidRPr="007C1F52">
        <w:t>IO2</w:t>
      </w:r>
      <w:r w:rsidR="00F135A0" w:rsidRPr="007C1F52">
        <w:t xml:space="preserve"> </w:t>
      </w:r>
      <w:r w:rsidR="0071417E">
        <w:rPr>
          <w:rFonts w:cstheme="minorHAnsi"/>
        </w:rPr>
        <w:t>–</w:t>
      </w:r>
      <w:r w:rsidRPr="007C1F52">
        <w:t xml:space="preserve"> PEB</w:t>
      </w:r>
      <w:r w:rsidR="00F135A0" w:rsidRPr="007C1F52">
        <w:t xml:space="preserve"> </w:t>
      </w:r>
      <w:r w:rsidRPr="007C1F52">
        <w:t>/</w:t>
      </w:r>
      <w:r w:rsidR="00F135A0" w:rsidRPr="007C1F52">
        <w:t xml:space="preserve"> </w:t>
      </w:r>
      <w:r w:rsidRPr="007C1F52">
        <w:t>OTP staff are familiar with PRES.</w:t>
      </w:r>
    </w:p>
    <w:p w14:paraId="49C7100D" w14:textId="1E5A1E7A" w:rsidR="0067628D" w:rsidRPr="007C1F52" w:rsidRDefault="00F415D1" w:rsidP="00B63BAA">
      <w:pPr>
        <w:pStyle w:val="ListNumber"/>
        <w:spacing w:before="120"/>
      </w:pPr>
      <w:r w:rsidRPr="007C1F52">
        <w:t>IO3</w:t>
      </w:r>
      <w:r w:rsidR="00F135A0" w:rsidRPr="007C1F52">
        <w:t xml:space="preserve"> </w:t>
      </w:r>
      <w:r w:rsidR="0071417E">
        <w:rPr>
          <w:rFonts w:cstheme="minorHAnsi"/>
        </w:rPr>
        <w:t>–</w:t>
      </w:r>
      <w:r w:rsidRPr="007C1F52">
        <w:t xml:space="preserve"> PEB staff engage with PRES information</w:t>
      </w:r>
      <w:r w:rsidR="00F135A0" w:rsidRPr="007C1F52">
        <w:t>-</w:t>
      </w:r>
      <w:r w:rsidRPr="007C1F52">
        <w:t>sharing and learning events and processes.</w:t>
      </w:r>
    </w:p>
    <w:p w14:paraId="5B4BEFB5" w14:textId="0A35017C" w:rsidR="00353BA4" w:rsidRDefault="00F43D5C" w:rsidP="00353BA4">
      <w:pPr>
        <w:pStyle w:val="ListNumber"/>
        <w:spacing w:before="120"/>
      </w:pPr>
      <w:r w:rsidRPr="007C1F52">
        <w:t>IO4</w:t>
      </w:r>
      <w:r w:rsidR="00F135A0" w:rsidRPr="007C1F52">
        <w:t xml:space="preserve"> </w:t>
      </w:r>
      <w:r w:rsidR="0071417E">
        <w:rPr>
          <w:rFonts w:cstheme="minorHAnsi"/>
        </w:rPr>
        <w:t>–</w:t>
      </w:r>
      <w:r w:rsidRPr="007C1F52">
        <w:t xml:space="preserve"> PEB staff are aware of and access the knowledge repository</w:t>
      </w:r>
      <w:r w:rsidR="00F135A0" w:rsidRPr="007C1F52">
        <w:t xml:space="preserve"> </w:t>
      </w:r>
      <w:r w:rsidRPr="007C1F52">
        <w:t>/</w:t>
      </w:r>
      <w:r w:rsidR="00F135A0" w:rsidRPr="007C1F52">
        <w:t xml:space="preserve"> i</w:t>
      </w:r>
      <w:r w:rsidRPr="007C1F52">
        <w:t xml:space="preserve">nformation </w:t>
      </w:r>
      <w:r w:rsidR="00F135A0" w:rsidRPr="007C1F52">
        <w:t>m</w:t>
      </w:r>
      <w:r w:rsidRPr="007C1F52">
        <w:t xml:space="preserve">anagement </w:t>
      </w:r>
      <w:r w:rsidR="00F135A0" w:rsidRPr="007C1F52">
        <w:t>s</w:t>
      </w:r>
      <w:r w:rsidRPr="007C1F52">
        <w:t>ystem.</w:t>
      </w:r>
    </w:p>
    <w:p w14:paraId="20B6DBFC" w14:textId="580F7F1D" w:rsidR="00543BE0" w:rsidRDefault="000B4DD2" w:rsidP="00543BE0">
      <w:r>
        <w:t xml:space="preserve">In mid-2024, </w:t>
      </w:r>
      <w:r w:rsidR="003B7F27">
        <w:t>a</w:t>
      </w:r>
      <w:r>
        <w:t xml:space="preserve"> PRES GEDSI strategy was approved. This strategy aligns with the program’s broader goals of inclusive and sustainable economic recovery. </w:t>
      </w:r>
      <w:r w:rsidR="00543BE0">
        <w:t>The GEDSI Strategy included a discrete GEDSI EOIO and two GEDSI IOs. Following finalisation of the GEDSI Strategy, the two new GEDSI IOs were added to the Performance Assessment Framework (PAF) in Quarter 4 of 2023-2024 and included in an updated Program logic in April 2025</w:t>
      </w:r>
      <w:r w:rsidR="00E26E41">
        <w:t xml:space="preserve"> (outside this evaluation period)</w:t>
      </w:r>
      <w:r w:rsidR="00543BE0">
        <w:t xml:space="preserve">. The updated Program Logic is </w:t>
      </w:r>
      <w:r w:rsidR="00990198">
        <w:t>provided for ease of reference in</w:t>
      </w:r>
      <w:r w:rsidR="00B65A7F">
        <w:t xml:space="preserve"> </w:t>
      </w:r>
      <w:r w:rsidR="00E26E41">
        <w:t>A</w:t>
      </w:r>
      <w:r w:rsidR="00990198">
        <w:t>ppendix</w:t>
      </w:r>
      <w:r w:rsidR="00B65A7F">
        <w:t xml:space="preserve"> B.</w:t>
      </w:r>
    </w:p>
    <w:p w14:paraId="5479A6A7" w14:textId="37C25EF6" w:rsidR="00353BA4" w:rsidRDefault="00B65A7F" w:rsidP="000B4DD2">
      <w:pPr>
        <w:pStyle w:val="ListNumber"/>
        <w:numPr>
          <w:ilvl w:val="0"/>
          <w:numId w:val="0"/>
        </w:numPr>
        <w:spacing w:before="120"/>
      </w:pPr>
      <w:r>
        <w:t xml:space="preserve">The two GEDSI IOs incorporated into the program logic included: </w:t>
      </w:r>
    </w:p>
    <w:p w14:paraId="7C8E6F58" w14:textId="721841F7" w:rsidR="00B65A7F" w:rsidRDefault="00B65A7F" w:rsidP="00B65A7F">
      <w:pPr>
        <w:numPr>
          <w:ilvl w:val="0"/>
          <w:numId w:val="16"/>
        </w:numPr>
        <w:spacing w:before="120" w:after="120"/>
        <w:rPr>
          <w:rFonts w:cstheme="minorHAnsi"/>
        </w:rPr>
      </w:pPr>
      <w:r>
        <w:rPr>
          <w:rFonts w:cstheme="minorHAnsi"/>
        </w:rPr>
        <w:t xml:space="preserve">GEDSI IO1: </w:t>
      </w:r>
      <w:r w:rsidR="00794C87">
        <w:rPr>
          <w:rFonts w:cstheme="minorHAnsi"/>
        </w:rPr>
        <w:t xml:space="preserve">TN </w:t>
      </w:r>
      <w:r>
        <w:rPr>
          <w:rFonts w:cstheme="minorHAnsi"/>
        </w:rPr>
        <w:t>identification of GEDSI dimensions is improved.</w:t>
      </w:r>
    </w:p>
    <w:p w14:paraId="7F5283C4" w14:textId="27A79253" w:rsidR="00B65A7F" w:rsidRDefault="00B65A7F" w:rsidP="00B65A7F">
      <w:pPr>
        <w:numPr>
          <w:ilvl w:val="0"/>
          <w:numId w:val="16"/>
        </w:numPr>
        <w:spacing w:before="120" w:after="120"/>
        <w:rPr>
          <w:rFonts w:cstheme="minorHAnsi"/>
        </w:rPr>
      </w:pPr>
      <w:r>
        <w:rPr>
          <w:rFonts w:cstheme="minorHAnsi"/>
        </w:rPr>
        <w:t>GEDSI IO2: PRES activities are gender sensitive and disability inclusive.</w:t>
      </w:r>
    </w:p>
    <w:p w14:paraId="626254C2" w14:textId="7E6F3EEB" w:rsidR="008225F7" w:rsidRPr="008225F7" w:rsidRDefault="005A1F31" w:rsidP="00B63BAA">
      <w:r w:rsidRPr="152412E2">
        <w:t xml:space="preserve">Three additional </w:t>
      </w:r>
      <w:r w:rsidR="008225F7" w:rsidRPr="152412E2">
        <w:t>process-oriented outcomes were intended to support effective and efficient implementation:</w:t>
      </w:r>
    </w:p>
    <w:p w14:paraId="35ECC117" w14:textId="4F620C17" w:rsidR="008225F7" w:rsidRPr="007C1F52" w:rsidRDefault="008225F7" w:rsidP="00B63BAA">
      <w:pPr>
        <w:pStyle w:val="ListNumber"/>
        <w:numPr>
          <w:ilvl w:val="0"/>
          <w:numId w:val="18"/>
        </w:numPr>
        <w:spacing w:before="120"/>
      </w:pPr>
      <w:r w:rsidRPr="007C1F52">
        <w:t>Process 1</w:t>
      </w:r>
      <w:r w:rsidR="00927091" w:rsidRPr="007C1F52">
        <w:t xml:space="preserve"> </w:t>
      </w:r>
      <w:r w:rsidR="0071417E">
        <w:rPr>
          <w:rFonts w:cstheme="minorHAnsi"/>
        </w:rPr>
        <w:t>–</w:t>
      </w:r>
      <w:r w:rsidRPr="007C1F52">
        <w:t xml:space="preserve"> PRES operates as an integrated program in DFAT in accordance with the PRES partnership and </w:t>
      </w:r>
      <w:r w:rsidR="00927091" w:rsidRPr="007C1F52">
        <w:t>o</w:t>
      </w:r>
      <w:r w:rsidRPr="007C1F52">
        <w:t>ne-</w:t>
      </w:r>
      <w:r w:rsidR="00927091" w:rsidRPr="007C1F52">
        <w:t>t</w:t>
      </w:r>
      <w:r w:rsidRPr="007C1F52">
        <w:t>eam approach.</w:t>
      </w:r>
    </w:p>
    <w:p w14:paraId="56B85C28" w14:textId="7F76A08D" w:rsidR="008225F7" w:rsidRPr="007C1F52" w:rsidRDefault="008225F7" w:rsidP="00B63BAA">
      <w:pPr>
        <w:pStyle w:val="ListNumber"/>
        <w:spacing w:before="120"/>
      </w:pPr>
      <w:r w:rsidRPr="007C1F52">
        <w:lastRenderedPageBreak/>
        <w:t>Process 2</w:t>
      </w:r>
      <w:r w:rsidR="00927091" w:rsidRPr="007C1F52">
        <w:t xml:space="preserve"> </w:t>
      </w:r>
      <w:r w:rsidR="0071417E">
        <w:rPr>
          <w:rFonts w:cstheme="minorHAnsi"/>
        </w:rPr>
        <w:t>–</w:t>
      </w:r>
      <w:r w:rsidRPr="007C1F52">
        <w:t xml:space="preserve"> One-team partnership in place that supports efficient, collaborative management.</w:t>
      </w:r>
    </w:p>
    <w:p w14:paraId="0FFA8D86" w14:textId="04FA3C09" w:rsidR="005A1F31" w:rsidRPr="007C1F52" w:rsidRDefault="008225F7" w:rsidP="00B63BAA">
      <w:pPr>
        <w:pStyle w:val="ListNumber"/>
        <w:spacing w:before="120"/>
      </w:pPr>
      <w:r w:rsidRPr="007C1F52">
        <w:t>Progress 3</w:t>
      </w:r>
      <w:r w:rsidR="00927091" w:rsidRPr="007C1F52">
        <w:t xml:space="preserve"> </w:t>
      </w:r>
      <w:r w:rsidR="0071417E">
        <w:rPr>
          <w:rFonts w:cstheme="minorHAnsi"/>
        </w:rPr>
        <w:t>–</w:t>
      </w:r>
      <w:r w:rsidRPr="007C1F52">
        <w:t xml:space="preserve"> PRES is efficient and offers value for money in delivery of technical analysis and expertise.</w:t>
      </w:r>
    </w:p>
    <w:p w14:paraId="341F1373" w14:textId="255C637C" w:rsidR="00A02DCB" w:rsidRDefault="00136CE6" w:rsidP="00C768A7">
      <w:pPr>
        <w:pStyle w:val="Heading3nonumber"/>
      </w:pPr>
      <w:bookmarkStart w:id="19" w:name="_Toc195808959"/>
      <w:r w:rsidRPr="0405A2AF">
        <w:t>This</w:t>
      </w:r>
      <w:r w:rsidR="00A02DCB" w:rsidRPr="0405A2AF">
        <w:t xml:space="preserve"> </w:t>
      </w:r>
      <w:r w:rsidR="00F32CA4" w:rsidRPr="0071382D">
        <w:t>evaluation</w:t>
      </w:r>
      <w:bookmarkEnd w:id="19"/>
    </w:p>
    <w:p w14:paraId="7345104F" w14:textId="467AB064" w:rsidR="009D2A23" w:rsidRDefault="009D2A23" w:rsidP="00B63BAA">
      <w:pPr>
        <w:rPr>
          <w:rFonts w:cstheme="minorHAnsi"/>
        </w:rPr>
      </w:pPr>
      <w:r>
        <w:rPr>
          <w:rFonts w:cstheme="minorHAnsi"/>
        </w:rPr>
        <w:t xml:space="preserve">The evaluation </w:t>
      </w:r>
      <w:r w:rsidR="00B711CB">
        <w:rPr>
          <w:rFonts w:cstheme="minorHAnsi"/>
        </w:rPr>
        <w:t xml:space="preserve">is </w:t>
      </w:r>
      <w:r w:rsidR="00D307EC">
        <w:rPr>
          <w:rFonts w:cstheme="minorHAnsi"/>
        </w:rPr>
        <w:t>intended</w:t>
      </w:r>
      <w:r w:rsidR="00B711CB">
        <w:rPr>
          <w:rFonts w:cstheme="minorHAnsi"/>
        </w:rPr>
        <w:t xml:space="preserve"> to serve</w:t>
      </w:r>
      <w:r>
        <w:rPr>
          <w:rFonts w:cstheme="minorHAnsi"/>
        </w:rPr>
        <w:t xml:space="preserve"> three main purposes:</w:t>
      </w:r>
    </w:p>
    <w:p w14:paraId="3B8FACD2" w14:textId="2A7D3EA1" w:rsidR="009D2A23" w:rsidRPr="00B435FE" w:rsidRDefault="009D2A23" w:rsidP="00B63BAA">
      <w:pPr>
        <w:pStyle w:val="ListNumber"/>
        <w:numPr>
          <w:ilvl w:val="0"/>
          <w:numId w:val="19"/>
        </w:numPr>
        <w:spacing w:before="120"/>
      </w:pPr>
      <w:r w:rsidRPr="00B435FE">
        <w:t xml:space="preserve">Ensure </w:t>
      </w:r>
      <w:r w:rsidRPr="006B6171">
        <w:rPr>
          <w:b/>
          <w:bCs/>
        </w:rPr>
        <w:t>accountability</w:t>
      </w:r>
      <w:r w:rsidRPr="00B435FE">
        <w:t xml:space="preserve"> by independently assessing PRES performance to inform the DFAT Final Investment Monitoring Report (FIMR).</w:t>
      </w:r>
    </w:p>
    <w:p w14:paraId="11E5D387" w14:textId="21D8783D" w:rsidR="009D2A23" w:rsidRPr="00B435FE" w:rsidRDefault="009D2A23" w:rsidP="00B63BAA">
      <w:pPr>
        <w:pStyle w:val="ListNumber"/>
        <w:spacing w:before="120"/>
      </w:pPr>
      <w:r w:rsidRPr="152412E2">
        <w:t xml:space="preserve">Support </w:t>
      </w:r>
      <w:r w:rsidRPr="152412E2">
        <w:rPr>
          <w:b/>
          <w:bCs/>
        </w:rPr>
        <w:t>program improvement</w:t>
      </w:r>
      <w:r w:rsidRPr="152412E2">
        <w:t xml:space="preserve"> within the current phase by identifying opportunities to improve implementation of PRES in its final year</w:t>
      </w:r>
      <w:r w:rsidR="00D307EC">
        <w:t>.</w:t>
      </w:r>
    </w:p>
    <w:p w14:paraId="755A7620" w14:textId="08897629" w:rsidR="00A2535E" w:rsidRPr="00A303C4" w:rsidRDefault="009D2A23" w:rsidP="00B63BAA">
      <w:pPr>
        <w:pStyle w:val="ListNumber"/>
        <w:spacing w:before="120"/>
      </w:pPr>
      <w:r w:rsidRPr="152412E2">
        <w:t xml:space="preserve">Inform </w:t>
      </w:r>
      <w:r w:rsidR="00B407A9">
        <w:t>any</w:t>
      </w:r>
      <w:r w:rsidR="00B407A9" w:rsidRPr="152412E2">
        <w:t xml:space="preserve"> </w:t>
      </w:r>
      <w:r w:rsidRPr="152412E2">
        <w:rPr>
          <w:b/>
          <w:bCs/>
        </w:rPr>
        <w:t>design</w:t>
      </w:r>
      <w:r w:rsidRPr="152412E2">
        <w:t xml:space="preserve"> of </w:t>
      </w:r>
      <w:r w:rsidR="00D307EC">
        <w:t>a successor to PRES</w:t>
      </w:r>
      <w:r w:rsidRPr="152412E2">
        <w:t xml:space="preserve"> by identifying lessons learned from the current phase and related strategic issues or questions for further consideration in the design phase.</w:t>
      </w:r>
    </w:p>
    <w:p w14:paraId="6437AEAF" w14:textId="05238BCC" w:rsidR="00794C65" w:rsidRPr="00FB75BC" w:rsidRDefault="00794C65" w:rsidP="006B6171">
      <w:pPr>
        <w:pStyle w:val="Heading3nonumber"/>
      </w:pPr>
      <w:r w:rsidRPr="00FB75BC">
        <w:t>Summary of methods</w:t>
      </w:r>
    </w:p>
    <w:p w14:paraId="2346D581" w14:textId="113EACC2" w:rsidR="006E5C3D" w:rsidRDefault="006E5C3D" w:rsidP="00B63BAA">
      <w:pPr>
        <w:pStyle w:val="ListBullet"/>
        <w:numPr>
          <w:ilvl w:val="0"/>
          <w:numId w:val="0"/>
        </w:numPr>
        <w:spacing w:after="210"/>
        <w:contextualSpacing w:val="0"/>
      </w:pPr>
      <w:r>
        <w:t xml:space="preserve">Two main methods were employed by this </w:t>
      </w:r>
      <w:r w:rsidR="004525F0">
        <w:t>evaluation</w:t>
      </w:r>
      <w:r>
        <w:t>:</w:t>
      </w:r>
    </w:p>
    <w:p w14:paraId="61A087CD" w14:textId="4FD59EED" w:rsidR="006E5C3D" w:rsidRDefault="004525F0" w:rsidP="004D0AEC">
      <w:pPr>
        <w:pStyle w:val="ListNumber"/>
        <w:numPr>
          <w:ilvl w:val="0"/>
          <w:numId w:val="40"/>
        </w:numPr>
        <w:spacing w:before="120"/>
      </w:pPr>
      <w:r>
        <w:t xml:space="preserve">document </w:t>
      </w:r>
      <w:r w:rsidR="006E5C3D">
        <w:t xml:space="preserve">review </w:t>
      </w:r>
    </w:p>
    <w:p w14:paraId="797BB308" w14:textId="513EB720" w:rsidR="004525F0" w:rsidRDefault="004525F0" w:rsidP="00B63BAA">
      <w:pPr>
        <w:pStyle w:val="ListNumber"/>
        <w:spacing w:before="120"/>
      </w:pPr>
      <w:r>
        <w:t xml:space="preserve">consultations </w:t>
      </w:r>
      <w:r w:rsidR="006E5C3D">
        <w:t xml:space="preserve">with key informants. </w:t>
      </w:r>
    </w:p>
    <w:p w14:paraId="46F6B066" w14:textId="79A2E6C3" w:rsidR="00794C65" w:rsidRDefault="006E5C3D" w:rsidP="004D0AEC">
      <w:pPr>
        <w:pStyle w:val="ListNumber"/>
        <w:numPr>
          <w:ilvl w:val="0"/>
          <w:numId w:val="0"/>
        </w:numPr>
        <w:spacing w:after="210"/>
      </w:pPr>
      <w:r>
        <w:t xml:space="preserve">See </w:t>
      </w:r>
      <w:r w:rsidR="00FB75BC">
        <w:t>Appendix A</w:t>
      </w:r>
      <w:r>
        <w:t xml:space="preserve"> for details. </w:t>
      </w:r>
    </w:p>
    <w:p w14:paraId="07DA3BAE" w14:textId="74FB6567" w:rsidR="00794C65" w:rsidRPr="00FB75BC" w:rsidRDefault="00794C65" w:rsidP="006B6171">
      <w:pPr>
        <w:pStyle w:val="Heading3nonumber"/>
      </w:pPr>
      <w:r w:rsidRPr="00FB75BC">
        <w:t>Key limitations</w:t>
      </w:r>
    </w:p>
    <w:p w14:paraId="4364F6C0" w14:textId="6E0415F9" w:rsidR="006E5C3D" w:rsidRPr="006E5C3D" w:rsidRDefault="006E5C3D" w:rsidP="00B63BAA">
      <w:pPr>
        <w:rPr>
          <w:rFonts w:cstheme="minorHAnsi"/>
        </w:rPr>
      </w:pPr>
      <w:r w:rsidRPr="006E5C3D">
        <w:rPr>
          <w:rFonts w:cstheme="minorHAnsi"/>
        </w:rPr>
        <w:t>Key limitations affecting the evaluation are:</w:t>
      </w:r>
    </w:p>
    <w:p w14:paraId="135AEB9C" w14:textId="77777777" w:rsidR="006E5C3D" w:rsidRPr="006E5C3D" w:rsidRDefault="006E5C3D" w:rsidP="004D0AEC">
      <w:pPr>
        <w:numPr>
          <w:ilvl w:val="0"/>
          <w:numId w:val="16"/>
        </w:numPr>
        <w:spacing w:before="120" w:after="120"/>
      </w:pPr>
      <w:r w:rsidRPr="006E5C3D">
        <w:t>The absence of a design document creates evaluability challenges, particularly when attempting to judge the extent to which program achievements reflected DFAT’s original intent.</w:t>
      </w:r>
    </w:p>
    <w:p w14:paraId="220D7A91" w14:textId="2DCBD902" w:rsidR="006E5C3D" w:rsidRDefault="006E5C3D" w:rsidP="004D0AEC">
      <w:pPr>
        <w:numPr>
          <w:ilvl w:val="0"/>
          <w:numId w:val="16"/>
        </w:numPr>
        <w:spacing w:before="120" w:after="120"/>
      </w:pPr>
      <w:r w:rsidRPr="006E5C3D">
        <w:t xml:space="preserve">The evaluation did </w:t>
      </w:r>
      <w:r>
        <w:t xml:space="preserve">not </w:t>
      </w:r>
      <w:r w:rsidRPr="006E5C3D">
        <w:t>benefit from interviews with end-users or counterparts of PRES services outside DFAT</w:t>
      </w:r>
      <w:r w:rsidR="004525F0">
        <w:t xml:space="preserve">, for example, </w:t>
      </w:r>
      <w:r w:rsidRPr="006E5C3D">
        <w:t>partner government officials</w:t>
      </w:r>
      <w:r>
        <w:t>.</w:t>
      </w:r>
    </w:p>
    <w:p w14:paraId="3979076F" w14:textId="7890B81E" w:rsidR="006F625B" w:rsidRPr="006E5C3D" w:rsidRDefault="00E12832" w:rsidP="004D0AEC">
      <w:pPr>
        <w:numPr>
          <w:ilvl w:val="0"/>
          <w:numId w:val="16"/>
        </w:numPr>
        <w:spacing w:before="120" w:after="120"/>
      </w:pPr>
      <w:r>
        <w:t xml:space="preserve">Substantial </w:t>
      </w:r>
      <w:r w:rsidRPr="00E12832">
        <w:t xml:space="preserve">changes </w:t>
      </w:r>
      <w:r>
        <w:t>(including to</w:t>
      </w:r>
      <w:r w:rsidRPr="00E12832">
        <w:t xml:space="preserve"> the GEDSI strategy, MEL </w:t>
      </w:r>
      <w:r>
        <w:t>f</w:t>
      </w:r>
      <w:r w:rsidRPr="00E12832">
        <w:t xml:space="preserve">ramework, and </w:t>
      </w:r>
      <w:r>
        <w:t>P</w:t>
      </w:r>
      <w:r w:rsidRPr="00E12832">
        <w:t xml:space="preserve">rogram </w:t>
      </w:r>
      <w:r>
        <w:t>L</w:t>
      </w:r>
      <w:r w:rsidRPr="00E12832">
        <w:t>ogic</w:t>
      </w:r>
      <w:r>
        <w:t xml:space="preserve">) have occurred </w:t>
      </w:r>
      <w:r w:rsidRPr="00E12832">
        <w:t>outside th</w:t>
      </w:r>
      <w:r>
        <w:t>e timeframe of this</w:t>
      </w:r>
      <w:r w:rsidRPr="00E12832">
        <w:t xml:space="preserve"> evaluation</w:t>
      </w:r>
      <w:r>
        <w:t>. The evaluation</w:t>
      </w:r>
      <w:r w:rsidRPr="00E12832">
        <w:t xml:space="preserve"> team has, where relevant, acknowledged key updates</w:t>
      </w:r>
      <w:r>
        <w:t xml:space="preserve"> where possible. </w:t>
      </w:r>
    </w:p>
    <w:p w14:paraId="7A23DDAC" w14:textId="0050FCC5" w:rsidR="006E5C3D" w:rsidRPr="006E5C3D" w:rsidRDefault="006E5C3D" w:rsidP="00B63BAA">
      <w:pPr>
        <w:rPr>
          <w:rFonts w:cstheme="minorHAnsi"/>
        </w:rPr>
      </w:pPr>
      <w:r>
        <w:rPr>
          <w:rFonts w:cstheme="minorHAnsi"/>
        </w:rPr>
        <w:t>T</w:t>
      </w:r>
      <w:r w:rsidRPr="006E5C3D">
        <w:rPr>
          <w:rFonts w:cstheme="minorHAnsi"/>
        </w:rPr>
        <w:t xml:space="preserve">he </w:t>
      </w:r>
      <w:r w:rsidR="004525F0">
        <w:rPr>
          <w:rFonts w:cstheme="minorHAnsi"/>
        </w:rPr>
        <w:t>evaluation</w:t>
      </w:r>
      <w:r w:rsidR="004525F0" w:rsidRPr="006E5C3D">
        <w:rPr>
          <w:rFonts w:cstheme="minorHAnsi"/>
        </w:rPr>
        <w:t xml:space="preserve"> </w:t>
      </w:r>
      <w:r w:rsidRPr="006E5C3D">
        <w:rPr>
          <w:rFonts w:cstheme="minorHAnsi"/>
        </w:rPr>
        <w:t xml:space="preserve">team </w:t>
      </w:r>
      <w:r>
        <w:rPr>
          <w:rFonts w:cstheme="minorHAnsi"/>
        </w:rPr>
        <w:t>found the absence of a design document problematic, especially with regard</w:t>
      </w:r>
      <w:r w:rsidR="004525F0">
        <w:rPr>
          <w:rFonts w:cstheme="minorHAnsi"/>
        </w:rPr>
        <w:t>s</w:t>
      </w:r>
      <w:r>
        <w:rPr>
          <w:rFonts w:cstheme="minorHAnsi"/>
        </w:rPr>
        <w:t xml:space="preserve"> to understanding the intent and scope of EOIO2. </w:t>
      </w:r>
    </w:p>
    <w:p w14:paraId="69B67404" w14:textId="6DFED0F9" w:rsidR="00794C65" w:rsidRDefault="00770947" w:rsidP="006B6171">
      <w:pPr>
        <w:pStyle w:val="Heading3nonumber"/>
      </w:pPr>
      <w:r>
        <w:t>Scope</w:t>
      </w:r>
    </w:p>
    <w:p w14:paraId="0E811014" w14:textId="58B31842" w:rsidR="00897D98" w:rsidRDefault="00897D98" w:rsidP="00B63BAA">
      <w:pPr>
        <w:pStyle w:val="ListBullet"/>
        <w:numPr>
          <w:ilvl w:val="0"/>
          <w:numId w:val="0"/>
        </w:numPr>
        <w:spacing w:after="210"/>
        <w:contextualSpacing w:val="0"/>
      </w:pPr>
      <w:r w:rsidRPr="00897D98">
        <w:t xml:space="preserve">The boundaries of this evaluation </w:t>
      </w:r>
      <w:r>
        <w:t>are:</w:t>
      </w:r>
    </w:p>
    <w:p w14:paraId="3E59F747" w14:textId="0E52833A" w:rsidR="00AF1BC6" w:rsidRPr="000233DC" w:rsidRDefault="00AF1BC6" w:rsidP="004D0AEC">
      <w:pPr>
        <w:numPr>
          <w:ilvl w:val="0"/>
          <w:numId w:val="16"/>
        </w:numPr>
        <w:spacing w:before="120" w:after="120"/>
      </w:pPr>
      <w:r w:rsidRPr="000233DC">
        <w:t>It covers the period November 2021 to December 2024.</w:t>
      </w:r>
    </w:p>
    <w:p w14:paraId="1EC4F676" w14:textId="367E6427" w:rsidR="0005572F" w:rsidRDefault="00AF1BC6" w:rsidP="004D0AEC">
      <w:pPr>
        <w:numPr>
          <w:ilvl w:val="0"/>
          <w:numId w:val="16"/>
        </w:numPr>
        <w:spacing w:before="120" w:after="120"/>
      </w:pPr>
      <w:r w:rsidRPr="152412E2">
        <w:t xml:space="preserve">It focuses on the effectiveness of PRES as a mechanism, including the relevance, quality and usefulness of </w:t>
      </w:r>
      <w:r w:rsidR="004525F0">
        <w:t>PRES</w:t>
      </w:r>
      <w:r w:rsidR="004525F0" w:rsidRPr="152412E2">
        <w:t xml:space="preserve"> </w:t>
      </w:r>
      <w:r w:rsidRPr="152412E2">
        <w:t>services; as distinct from the effectiveness of the DFAT investments to which PRES contributes</w:t>
      </w:r>
      <w:r w:rsidR="004525F0">
        <w:t>, for example, the</w:t>
      </w:r>
      <w:r w:rsidRPr="152412E2">
        <w:t xml:space="preserve"> </w:t>
      </w:r>
      <w:r w:rsidR="00636B72" w:rsidRPr="152412E2">
        <w:t>a</w:t>
      </w:r>
      <w:r w:rsidRPr="152412E2">
        <w:t>viation program</w:t>
      </w:r>
      <w:r w:rsidR="006539D1">
        <w:t xml:space="preserve"> and the</w:t>
      </w:r>
      <w:r w:rsidRPr="152412E2">
        <w:t xml:space="preserve"> </w:t>
      </w:r>
      <w:r w:rsidR="00636B72" w:rsidRPr="152412E2">
        <w:t>f</w:t>
      </w:r>
      <w:r w:rsidRPr="152412E2">
        <w:t xml:space="preserve">iscal budget support package (some of which have been or will be evaluated separately).  </w:t>
      </w:r>
    </w:p>
    <w:p w14:paraId="481CD54A" w14:textId="1A2BD632" w:rsidR="00EE7F72" w:rsidRDefault="0005572F" w:rsidP="004D0AEC">
      <w:pPr>
        <w:numPr>
          <w:ilvl w:val="0"/>
          <w:numId w:val="16"/>
        </w:numPr>
        <w:spacing w:before="120" w:after="120"/>
      </w:pPr>
      <w:r>
        <w:t>I</w:t>
      </w:r>
      <w:r w:rsidR="00AF1BC6">
        <w:t>t is not a contractual performance assessment of the PRES managing contractor.</w:t>
      </w:r>
    </w:p>
    <w:p w14:paraId="6F24EBB1" w14:textId="3369FB9D" w:rsidR="7E9BA201" w:rsidRDefault="00E3461C" w:rsidP="47303FC7">
      <w:pPr>
        <w:pStyle w:val="Heading1"/>
        <w:numPr>
          <w:ilvl w:val="0"/>
          <w:numId w:val="0"/>
        </w:numPr>
        <w:pBdr>
          <w:top w:val="single" w:sz="8" w:space="10" w:color="CC6600"/>
        </w:pBdr>
      </w:pPr>
      <w:bookmarkStart w:id="20" w:name="_Toc195808960"/>
      <w:bookmarkStart w:id="21" w:name="_Toc205992459"/>
      <w:bookmarkStart w:id="22" w:name="_Toc205992546"/>
      <w:r>
        <w:lastRenderedPageBreak/>
        <w:t xml:space="preserve">PRES </w:t>
      </w:r>
      <w:r w:rsidR="00167318">
        <w:t>Structure, governance and deliverables</w:t>
      </w:r>
      <w:bookmarkEnd w:id="20"/>
      <w:bookmarkEnd w:id="21"/>
      <w:bookmarkEnd w:id="22"/>
    </w:p>
    <w:p w14:paraId="51452993" w14:textId="29D4EFD4" w:rsidR="00EE7F72" w:rsidRPr="007C1F52" w:rsidRDefault="3A3609B1" w:rsidP="00D93E5B">
      <w:pPr>
        <w:pStyle w:val="Heading3nonumber"/>
      </w:pPr>
      <w:bookmarkStart w:id="23" w:name="_Toc195808961"/>
      <w:r w:rsidRPr="007C1F52">
        <w:t xml:space="preserve">PRES </w:t>
      </w:r>
      <w:r w:rsidR="00F32CA4">
        <w:t>s</w:t>
      </w:r>
      <w:r w:rsidR="00F32CA4" w:rsidRPr="007C1F52">
        <w:t>tructure</w:t>
      </w:r>
      <w:bookmarkEnd w:id="23"/>
    </w:p>
    <w:p w14:paraId="0C16C146" w14:textId="7EEB2A74" w:rsidR="00096FF0" w:rsidRDefault="001D7701" w:rsidP="00B63BAA">
      <w:r>
        <w:t xml:space="preserve">The PRES partnership includes </w:t>
      </w:r>
      <w:r w:rsidR="009853FE" w:rsidRPr="005808D4">
        <w:t>Adam Smith International</w:t>
      </w:r>
      <w:r>
        <w:t xml:space="preserve">, as the </w:t>
      </w:r>
      <w:r w:rsidR="006539D1">
        <w:t>managing contractor</w:t>
      </w:r>
      <w:r>
        <w:t xml:space="preserve">, working closely with OTP to deliver technical advisory services through a </w:t>
      </w:r>
      <w:r w:rsidR="00F90F81">
        <w:t>one</w:t>
      </w:r>
      <w:r>
        <w:t>-</w:t>
      </w:r>
      <w:r w:rsidR="00F90F81">
        <w:t xml:space="preserve">team </w:t>
      </w:r>
      <w:r>
        <w:t xml:space="preserve">approach. </w:t>
      </w:r>
      <w:r w:rsidR="00096FF0">
        <w:t>OTP provides PRES with strategic guidance, including key priorities and objectives and necessary documents.</w:t>
      </w:r>
      <w:r w:rsidR="00096FF0" w:rsidRPr="009853FE">
        <w:t xml:space="preserve"> </w:t>
      </w:r>
      <w:r w:rsidR="00096FF0" w:rsidRPr="005808D4">
        <w:t>Adam Smith International</w:t>
      </w:r>
      <w:r w:rsidR="00096FF0">
        <w:t xml:space="preserve"> provides the PRES Core Team, leadership, central management, strategy, technical expertise and cross-cutting functions to the PRES program.</w:t>
      </w:r>
    </w:p>
    <w:p w14:paraId="380E0310" w14:textId="6091D437" w:rsidR="002E2427" w:rsidRDefault="002E2427" w:rsidP="00B63BAA">
      <w:r>
        <w:t xml:space="preserve">Originally, </w:t>
      </w:r>
      <w:r w:rsidR="008B6654">
        <w:t xml:space="preserve">PRES </w:t>
      </w:r>
      <w:r w:rsidR="00735DAB">
        <w:t xml:space="preserve">worked </w:t>
      </w:r>
      <w:r w:rsidR="00A43029">
        <w:t xml:space="preserve">as a partnership between OTP, </w:t>
      </w:r>
      <w:r w:rsidR="009853FE" w:rsidRPr="005808D4">
        <w:t>Adam Smith International</w:t>
      </w:r>
      <w:r w:rsidR="009853FE" w:rsidDel="009853FE">
        <w:t xml:space="preserve"> </w:t>
      </w:r>
      <w:r w:rsidR="00A43029">
        <w:t xml:space="preserve">and </w:t>
      </w:r>
      <w:r w:rsidR="00735DAB">
        <w:t>consortium partner</w:t>
      </w:r>
      <w:r w:rsidR="009853FE">
        <w:t>,</w:t>
      </w:r>
      <w:r w:rsidR="00735DAB">
        <w:t xml:space="preserve"> Deloitte</w:t>
      </w:r>
      <w:r w:rsidR="00E00312">
        <w:t>. In</w:t>
      </w:r>
      <w:r w:rsidR="005D0F83">
        <w:t xml:space="preserve"> May 2024</w:t>
      </w:r>
      <w:r w:rsidR="00F90F81">
        <w:t>,</w:t>
      </w:r>
      <w:r w:rsidR="00F7043F">
        <w:t xml:space="preserve"> Deloitte </w:t>
      </w:r>
      <w:r w:rsidR="00F7043F" w:rsidRPr="00F7043F">
        <w:t>closed its international development practice and withdrew from its role as a</w:t>
      </w:r>
      <w:r w:rsidR="00E00312">
        <w:t xml:space="preserve"> consortium</w:t>
      </w:r>
      <w:r w:rsidR="00F7043F" w:rsidRPr="00F7043F">
        <w:t xml:space="preserve"> partner </w:t>
      </w:r>
      <w:r w:rsidR="00096FF0">
        <w:t>to</w:t>
      </w:r>
      <w:r w:rsidR="00096FF0" w:rsidRPr="00F7043F">
        <w:t xml:space="preserve"> </w:t>
      </w:r>
      <w:r w:rsidR="00F7043F" w:rsidRPr="00F7043F">
        <w:t>PRES.</w:t>
      </w:r>
    </w:p>
    <w:p w14:paraId="30B164F9" w14:textId="4812EBAC" w:rsidR="00CD5145" w:rsidRDefault="00CD5145" w:rsidP="00B63BAA">
      <w:r>
        <w:t xml:space="preserve">The PRES Core Team </w:t>
      </w:r>
      <w:r w:rsidR="00C5420E">
        <w:t xml:space="preserve">leads on program delivery and </w:t>
      </w:r>
      <w:r w:rsidR="00D12AFD">
        <w:t xml:space="preserve">at inception was </w:t>
      </w:r>
      <w:r w:rsidR="00C5420E">
        <w:t xml:space="preserve">intended to </w:t>
      </w:r>
      <w:r>
        <w:t>comprise</w:t>
      </w:r>
      <w:r w:rsidR="00A823D6">
        <w:t xml:space="preserve"> </w:t>
      </w:r>
      <w:r w:rsidR="00E21043">
        <w:t>the roles of:</w:t>
      </w:r>
      <w:r w:rsidR="00A823D6">
        <w:t xml:space="preserve"> </w:t>
      </w:r>
      <w:r w:rsidR="00C5420E">
        <w:t xml:space="preserve">Team Leader, Advisory Services </w:t>
      </w:r>
      <w:r w:rsidR="0005572F">
        <w:t>Coordinator</w:t>
      </w:r>
      <w:r>
        <w:t xml:space="preserve">, GEDSI </w:t>
      </w:r>
      <w:r w:rsidR="00E21043">
        <w:t>Adviser</w:t>
      </w:r>
      <w:r w:rsidR="00C5420E">
        <w:t xml:space="preserve">, MEL </w:t>
      </w:r>
      <w:r w:rsidR="00E21043">
        <w:t xml:space="preserve">Adviser, </w:t>
      </w:r>
      <w:r w:rsidR="00C5420E">
        <w:t>and Program Coordinator</w:t>
      </w:r>
      <w:r w:rsidR="00CE501A">
        <w:t>.</w:t>
      </w:r>
      <w:r>
        <w:t xml:space="preserve"> </w:t>
      </w:r>
      <w:r w:rsidR="00D04FAB">
        <w:t xml:space="preserve">A Deputy Team Leader role </w:t>
      </w:r>
      <w:r w:rsidR="00336060">
        <w:t xml:space="preserve">was introduced in December 2023. </w:t>
      </w:r>
    </w:p>
    <w:p w14:paraId="264B6B4F" w14:textId="694625F6" w:rsidR="00750F17" w:rsidRDefault="00750F17" w:rsidP="0080015D">
      <w:pPr>
        <w:jc w:val="center"/>
        <w:rPr>
          <w:b/>
          <w:bCs/>
        </w:rPr>
      </w:pPr>
      <w:r w:rsidRPr="0029785A">
        <w:rPr>
          <w:b/>
          <w:bCs/>
        </w:rPr>
        <w:t xml:space="preserve">Figure </w:t>
      </w:r>
      <w:r>
        <w:rPr>
          <w:b/>
          <w:bCs/>
        </w:rPr>
        <w:t>1</w:t>
      </w:r>
      <w:r w:rsidRPr="0029785A">
        <w:rPr>
          <w:b/>
          <w:bCs/>
        </w:rPr>
        <w:t xml:space="preserve">. </w:t>
      </w:r>
      <w:r>
        <w:rPr>
          <w:b/>
          <w:bCs/>
        </w:rPr>
        <w:t>PRES Core Team structure</w:t>
      </w:r>
    </w:p>
    <w:p w14:paraId="004A3763" w14:textId="217AC6E5" w:rsidR="00CF29DA" w:rsidRDefault="00CF29DA" w:rsidP="0080015D">
      <w:pPr>
        <w:jc w:val="center"/>
        <w:rPr>
          <w:b/>
          <w:bCs/>
        </w:rPr>
      </w:pPr>
      <w:r>
        <w:rPr>
          <w:noProof/>
        </w:rPr>
        <w:drawing>
          <wp:inline distT="0" distB="0" distL="0" distR="0" wp14:anchorId="7E2D00AD" wp14:editId="510E3F84">
            <wp:extent cx="3284220" cy="1821180"/>
            <wp:effectExtent l="0" t="0" r="0" b="7620"/>
            <wp:docPr id="1705044655" name="Picture 5" descr="Chart showing the 6 roles of the PRES core team:  Team leader, Deputy team leader, GEDSI advisor and MEL advisor, Advisory services coordinator, and program coordin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044655" name="Picture 5" descr="Chart showing the 6 roles of the PRES core team:  Team leader, Deputy team leader, GEDSI advisor and MEL advisor, Advisory services coordinator, and program coordinat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4220" cy="1821180"/>
                    </a:xfrm>
                    <a:prstGeom prst="rect">
                      <a:avLst/>
                    </a:prstGeom>
                    <a:noFill/>
                  </pic:spPr>
                </pic:pic>
              </a:graphicData>
            </a:graphic>
          </wp:inline>
        </w:drawing>
      </w:r>
    </w:p>
    <w:p w14:paraId="3F547F00" w14:textId="64641319" w:rsidR="00735565" w:rsidRPr="001D7701" w:rsidRDefault="00735565" w:rsidP="0080015D">
      <w:pPr>
        <w:spacing w:after="0"/>
        <w:jc w:val="center"/>
      </w:pPr>
      <w:r>
        <w:t>Source: PRES</w:t>
      </w:r>
    </w:p>
    <w:p w14:paraId="33DC3981" w14:textId="12CA2765" w:rsidR="00F03F75" w:rsidRDefault="00F03F75" w:rsidP="005A6CCB">
      <w:pPr>
        <w:pStyle w:val="Heading3nonumber"/>
      </w:pPr>
      <w:r w:rsidRPr="00B515EE">
        <w:t>Evolution of PRES structure</w:t>
      </w:r>
    </w:p>
    <w:p w14:paraId="40CBA750" w14:textId="4180379F" w:rsidR="005A4403" w:rsidRDefault="00200487" w:rsidP="00B63BAA">
      <w:pPr>
        <w:keepNext/>
      </w:pPr>
      <w:r>
        <w:t>In it</w:t>
      </w:r>
      <w:r w:rsidR="002265A9">
        <w:t>s</w:t>
      </w:r>
      <w:r>
        <w:t xml:space="preserve"> initial phase</w:t>
      </w:r>
      <w:r w:rsidR="00D063A6">
        <w:t>,</w:t>
      </w:r>
      <w:r>
        <w:t xml:space="preserve"> the PRES team included</w:t>
      </w:r>
      <w:r w:rsidR="00C8451C">
        <w:t>:</w:t>
      </w:r>
      <w:r w:rsidR="003C66A4">
        <w:t xml:space="preserve"> Team </w:t>
      </w:r>
      <w:r w:rsidR="001C4C38">
        <w:t>L</w:t>
      </w:r>
      <w:r w:rsidR="003C66A4">
        <w:t xml:space="preserve">eader </w:t>
      </w:r>
      <w:r w:rsidR="0057413A">
        <w:t>(full-time)</w:t>
      </w:r>
      <w:r w:rsidR="00C8451C">
        <w:t>;</w:t>
      </w:r>
      <w:r w:rsidR="0057413A">
        <w:t xml:space="preserve"> Advisory </w:t>
      </w:r>
      <w:r w:rsidR="00155AE3">
        <w:t xml:space="preserve">Services Coordinator </w:t>
      </w:r>
      <w:r w:rsidR="002C5308">
        <w:t>(80 days</w:t>
      </w:r>
      <w:r w:rsidR="00C8451C">
        <w:t xml:space="preserve"> </w:t>
      </w:r>
      <w:r w:rsidR="00B33DFD">
        <w:t>/</w:t>
      </w:r>
      <w:r w:rsidR="00C8451C">
        <w:t xml:space="preserve"> Year </w:t>
      </w:r>
      <w:r w:rsidR="002C5308">
        <w:t xml:space="preserve">1, </w:t>
      </w:r>
      <w:r w:rsidR="002F3939">
        <w:t>100 days</w:t>
      </w:r>
      <w:r w:rsidR="00C8451C">
        <w:t xml:space="preserve"> </w:t>
      </w:r>
      <w:r w:rsidR="00B33DFD">
        <w:t>/</w:t>
      </w:r>
      <w:r w:rsidR="00C8451C">
        <w:t xml:space="preserve"> </w:t>
      </w:r>
      <w:r w:rsidR="002F3939">
        <w:t xml:space="preserve">year </w:t>
      </w:r>
      <w:r w:rsidR="00C8451C">
        <w:t xml:space="preserve">post-Year </w:t>
      </w:r>
      <w:r w:rsidR="002F3939">
        <w:t>1)</w:t>
      </w:r>
      <w:r w:rsidR="00C8451C">
        <w:t>;</w:t>
      </w:r>
      <w:r w:rsidR="002F3939">
        <w:t xml:space="preserve"> </w:t>
      </w:r>
      <w:r w:rsidR="00C8451C">
        <w:t>P</w:t>
      </w:r>
      <w:r w:rsidR="00B645BC">
        <w:t xml:space="preserve">rogram </w:t>
      </w:r>
      <w:r w:rsidR="00C8451C">
        <w:t xml:space="preserve">Coordinator </w:t>
      </w:r>
      <w:r w:rsidR="00B645BC">
        <w:t>(</w:t>
      </w:r>
      <w:r w:rsidR="00B33DFD">
        <w:t>130 days</w:t>
      </w:r>
      <w:r w:rsidR="00C8451C">
        <w:t xml:space="preserve"> </w:t>
      </w:r>
      <w:r w:rsidR="00B33DFD">
        <w:t>/</w:t>
      </w:r>
      <w:r w:rsidR="00C8451C">
        <w:t xml:space="preserve"> </w:t>
      </w:r>
      <w:r w:rsidR="00B33DFD">
        <w:t>year)</w:t>
      </w:r>
      <w:r w:rsidR="00C8451C">
        <w:t xml:space="preserve">; </w:t>
      </w:r>
      <w:r w:rsidR="00F626EE">
        <w:t xml:space="preserve">MEL </w:t>
      </w:r>
      <w:r w:rsidR="009914DA">
        <w:t xml:space="preserve">Adviser </w:t>
      </w:r>
      <w:r w:rsidR="00F626EE">
        <w:t>(</w:t>
      </w:r>
      <w:r w:rsidR="00353C41">
        <w:t>100 days</w:t>
      </w:r>
      <w:r w:rsidR="00C8451C">
        <w:t xml:space="preserve"> </w:t>
      </w:r>
      <w:r w:rsidR="00353C41">
        <w:t>/</w:t>
      </w:r>
      <w:r w:rsidR="00C8451C">
        <w:t xml:space="preserve"> </w:t>
      </w:r>
      <w:r w:rsidR="00353C41">
        <w:t>year)</w:t>
      </w:r>
      <w:r w:rsidR="00C8451C">
        <w:t>;</w:t>
      </w:r>
      <w:r w:rsidR="00353C41">
        <w:t xml:space="preserve"> and GEDSI </w:t>
      </w:r>
      <w:r w:rsidR="009914DA">
        <w:t xml:space="preserve">Adviser </w:t>
      </w:r>
      <w:r w:rsidR="00353C41">
        <w:t>(</w:t>
      </w:r>
      <w:r w:rsidR="004520FC">
        <w:t>100 days</w:t>
      </w:r>
      <w:r w:rsidR="00C8451C">
        <w:t xml:space="preserve"> </w:t>
      </w:r>
      <w:r w:rsidR="004520FC">
        <w:t>/</w:t>
      </w:r>
      <w:r w:rsidR="00C8451C">
        <w:t xml:space="preserve"> </w:t>
      </w:r>
      <w:r w:rsidR="004520FC">
        <w:t>year).</w:t>
      </w:r>
    </w:p>
    <w:p w14:paraId="3B28B0DD" w14:textId="09ACDF23" w:rsidR="006C411B" w:rsidRDefault="00066952" w:rsidP="00B63BAA">
      <w:pPr>
        <w:keepNext/>
      </w:pPr>
      <w:r>
        <w:t xml:space="preserve">From its start, PRES experienced significant structural evolution, marked by adjustments to role definitions and project day allocations. </w:t>
      </w:r>
      <w:r w:rsidR="006C411B">
        <w:t>Over</w:t>
      </w:r>
      <w:r w:rsidR="4A5F99E3">
        <w:t xml:space="preserve"> </w:t>
      </w:r>
      <w:r w:rsidR="006C411B">
        <w:t xml:space="preserve">time, </w:t>
      </w:r>
      <w:r w:rsidR="02DEEF44">
        <w:t>t</w:t>
      </w:r>
      <w:r w:rsidR="00CD2AF8">
        <w:t>he PRES Core Team's structure evolved as demand led to its expansion.</w:t>
      </w:r>
    </w:p>
    <w:p w14:paraId="14BF657D" w14:textId="318199FB" w:rsidR="00726D32" w:rsidRDefault="00CD00FF" w:rsidP="00B63BAA">
      <w:pPr>
        <w:keepNext/>
      </w:pPr>
      <w:r w:rsidRPr="00CD00FF">
        <w:t>Changes in role definitions and difficulties in recruitment</w:t>
      </w:r>
      <w:r>
        <w:t>, including key leadership positions,</w:t>
      </w:r>
      <w:r w:rsidRPr="00CD00FF">
        <w:t xml:space="preserve"> initially hindered project delivery.</w:t>
      </w:r>
      <w:r w:rsidR="00066952" w:rsidRPr="00066952">
        <w:t xml:space="preserve"> The first proposed </w:t>
      </w:r>
      <w:r w:rsidR="00B63BAA">
        <w:t>t</w:t>
      </w:r>
      <w:r w:rsidR="00B63BAA" w:rsidRPr="00066952">
        <w:t xml:space="preserve">eam </w:t>
      </w:r>
      <w:r w:rsidR="00B63BAA">
        <w:t>l</w:t>
      </w:r>
      <w:r w:rsidR="00B63BAA" w:rsidRPr="00066952">
        <w:t>eader</w:t>
      </w:r>
      <w:r w:rsidR="00B63BAA" w:rsidRPr="0024045A">
        <w:t xml:space="preserve"> </w:t>
      </w:r>
      <w:r w:rsidR="0024045A">
        <w:t>pursued another</w:t>
      </w:r>
      <w:r w:rsidR="0024045A" w:rsidRPr="00066952">
        <w:t xml:space="preserve"> DFAT role</w:t>
      </w:r>
      <w:r w:rsidR="00066952" w:rsidRPr="00066952">
        <w:t xml:space="preserve">, necessitating the recruitment of a new leader. This </w:t>
      </w:r>
      <w:r w:rsidR="00B63BAA">
        <w:t>t</w:t>
      </w:r>
      <w:r w:rsidR="00C8451C">
        <w:t xml:space="preserve">eam </w:t>
      </w:r>
      <w:r w:rsidR="00B63BAA">
        <w:t>l</w:t>
      </w:r>
      <w:r w:rsidR="00C8451C" w:rsidRPr="00066952">
        <w:t xml:space="preserve">eader's </w:t>
      </w:r>
      <w:r w:rsidR="00066952" w:rsidRPr="00066952">
        <w:t xml:space="preserve">brief three-month tenure led to an interim DFAT </w:t>
      </w:r>
      <w:r w:rsidR="000D0B82">
        <w:t>s</w:t>
      </w:r>
      <w:r w:rsidR="000D0B82" w:rsidRPr="00066952">
        <w:t xml:space="preserve">enior </w:t>
      </w:r>
      <w:r w:rsidR="000D0B82">
        <w:t>a</w:t>
      </w:r>
      <w:r w:rsidR="000D0B82" w:rsidRPr="00066952">
        <w:t xml:space="preserve">dviser </w:t>
      </w:r>
      <w:r w:rsidR="00066952" w:rsidRPr="00066952">
        <w:t xml:space="preserve">appointment until a permanent </w:t>
      </w:r>
      <w:r w:rsidR="0039403C">
        <w:t>t</w:t>
      </w:r>
      <w:r w:rsidR="0039403C" w:rsidRPr="00066952">
        <w:t xml:space="preserve">eam </w:t>
      </w:r>
      <w:r w:rsidR="0039403C">
        <w:t>l</w:t>
      </w:r>
      <w:r w:rsidR="0039403C" w:rsidRPr="00066952">
        <w:t xml:space="preserve">eader </w:t>
      </w:r>
      <w:r w:rsidR="00066952" w:rsidRPr="00066952">
        <w:t xml:space="preserve">was secured in December 2022. </w:t>
      </w:r>
      <w:r w:rsidR="0039403C">
        <w:t>A</w:t>
      </w:r>
      <w:r w:rsidR="00066952" w:rsidRPr="00066952">
        <w:t>nother leadership transition occurred in December 2024</w:t>
      </w:r>
      <w:r w:rsidR="000D0B82">
        <w:t>,</w:t>
      </w:r>
      <w:r w:rsidR="00066952" w:rsidRPr="00066952">
        <w:t xml:space="preserve"> with the appointment of a new </w:t>
      </w:r>
      <w:r w:rsidR="0039403C">
        <w:t>t</w:t>
      </w:r>
      <w:r w:rsidR="0039403C" w:rsidRPr="00066952">
        <w:t xml:space="preserve">eam </w:t>
      </w:r>
      <w:r w:rsidR="0039403C">
        <w:t>l</w:t>
      </w:r>
      <w:r w:rsidR="0039403C" w:rsidRPr="00066952">
        <w:t>eader</w:t>
      </w:r>
      <w:r w:rsidR="0039403C">
        <w:t xml:space="preserve">, </w:t>
      </w:r>
      <w:r w:rsidR="00302CD2">
        <w:t>after</w:t>
      </w:r>
      <w:r w:rsidR="00066952">
        <w:t xml:space="preserve"> finalisation of the </w:t>
      </w:r>
      <w:r w:rsidR="00066952">
        <w:lastRenderedPageBreak/>
        <w:t>previ</w:t>
      </w:r>
      <w:r w:rsidR="00604B9E">
        <w:t xml:space="preserve">ous </w:t>
      </w:r>
      <w:r w:rsidR="00B63BAA">
        <w:t xml:space="preserve">team leader’s </w:t>
      </w:r>
      <w:r w:rsidR="00604B9E">
        <w:t xml:space="preserve">contract. </w:t>
      </w:r>
      <w:r w:rsidR="00187CFD" w:rsidRPr="00187CFD">
        <w:t xml:space="preserve">Gaps in </w:t>
      </w:r>
      <w:r w:rsidR="0039403C">
        <w:t>t</w:t>
      </w:r>
      <w:r w:rsidR="00187CFD" w:rsidRPr="00187CFD">
        <w:t xml:space="preserve">eam </w:t>
      </w:r>
      <w:r w:rsidR="0039403C">
        <w:t>l</w:t>
      </w:r>
      <w:r w:rsidR="00187CFD" w:rsidRPr="00187CFD">
        <w:t xml:space="preserve">eader appointments resulted in the </w:t>
      </w:r>
      <w:r w:rsidR="00B63BAA">
        <w:t>p</w:t>
      </w:r>
      <w:r w:rsidR="00187CFD" w:rsidRPr="00187CFD">
        <w:t xml:space="preserve">rogram </w:t>
      </w:r>
      <w:r w:rsidR="00B63BAA">
        <w:t>c</w:t>
      </w:r>
      <w:r w:rsidR="00187CFD" w:rsidRPr="00187CFD">
        <w:t xml:space="preserve">oordinator temporarily fulfilling that role for several months, leaving the PRES Core Team </w:t>
      </w:r>
      <w:r w:rsidR="00285054">
        <w:t xml:space="preserve">with limited </w:t>
      </w:r>
      <w:r w:rsidR="00187CFD">
        <w:t xml:space="preserve">resources. </w:t>
      </w:r>
    </w:p>
    <w:p w14:paraId="7199E0A4" w14:textId="77777777" w:rsidR="00B63BAA" w:rsidRDefault="000C3213" w:rsidP="00B63BAA">
      <w:pPr>
        <w:keepNext/>
      </w:pPr>
      <w:r w:rsidRPr="000C3213">
        <w:t>Numerous staff transitions occurred within the core team, affecting positions such as Program Coordinator (three changes), Deputy Program Director (two changes), MEL Advis</w:t>
      </w:r>
      <w:r w:rsidR="003B434B">
        <w:t>e</w:t>
      </w:r>
      <w:r w:rsidRPr="000C3213">
        <w:t>r (two changes), and GEDSI Advis</w:t>
      </w:r>
      <w:r w:rsidR="003B434B">
        <w:t>e</w:t>
      </w:r>
      <w:r w:rsidRPr="000C3213">
        <w:t xml:space="preserve">r (two changes). </w:t>
      </w:r>
    </w:p>
    <w:p w14:paraId="77900E98" w14:textId="153B3B4A" w:rsidR="00E323C2" w:rsidRDefault="000C3213" w:rsidP="00B63BAA">
      <w:pPr>
        <w:keepNext/>
      </w:pPr>
      <w:r w:rsidRPr="000C3213">
        <w:t>Importantly, some of these changes represented internal advancements, ensuring continued involvement within the program</w:t>
      </w:r>
      <w:r w:rsidR="00D848C1">
        <w:t xml:space="preserve"> and did not necessarily result in </w:t>
      </w:r>
      <w:r w:rsidR="00AC47E3">
        <w:t>program instability.</w:t>
      </w:r>
      <w:r w:rsidR="00693F31">
        <w:t xml:space="preserve"> </w:t>
      </w:r>
      <w:r w:rsidR="00B601B5">
        <w:t xml:space="preserve">For example, </w:t>
      </w:r>
      <w:r w:rsidR="007B5747">
        <w:t xml:space="preserve">the </w:t>
      </w:r>
      <w:r w:rsidR="007859BE">
        <w:t>P</w:t>
      </w:r>
      <w:r w:rsidR="007B5747">
        <w:t xml:space="preserve">rogram </w:t>
      </w:r>
      <w:r w:rsidR="007859BE">
        <w:t>C</w:t>
      </w:r>
      <w:r w:rsidR="007B5747">
        <w:t xml:space="preserve">oordinator </w:t>
      </w:r>
      <w:r w:rsidR="00E32E31">
        <w:t xml:space="preserve">was promoted </w:t>
      </w:r>
      <w:r w:rsidR="00BD26F3">
        <w:t xml:space="preserve">to </w:t>
      </w:r>
      <w:r w:rsidR="00113670">
        <w:t xml:space="preserve">Deputy Team Leader and subsequently </w:t>
      </w:r>
      <w:r w:rsidR="00BD26F3">
        <w:t xml:space="preserve">Team Leader, and </w:t>
      </w:r>
      <w:r w:rsidR="005E1D68">
        <w:t>DFAT request</w:t>
      </w:r>
      <w:r w:rsidR="00E32E31">
        <w:t>ed that</w:t>
      </w:r>
      <w:r w:rsidR="005E1D68">
        <w:t xml:space="preserve"> the </w:t>
      </w:r>
      <w:r w:rsidR="003B434B">
        <w:t>first GEDSI Adviser</w:t>
      </w:r>
      <w:r w:rsidR="00E25AC9">
        <w:t xml:space="preserve"> focus on </w:t>
      </w:r>
      <w:r w:rsidR="00E32E31">
        <w:t>f</w:t>
      </w:r>
      <w:r w:rsidR="0043469F">
        <w:t xml:space="preserve">iscal </w:t>
      </w:r>
      <w:r w:rsidR="00E32E31">
        <w:t>b</w:t>
      </w:r>
      <w:r w:rsidR="0043469F">
        <w:t xml:space="preserve">udget </w:t>
      </w:r>
      <w:r w:rsidR="00E32E31">
        <w:t>s</w:t>
      </w:r>
      <w:r w:rsidR="0043469F">
        <w:t xml:space="preserve">upport, </w:t>
      </w:r>
      <w:r w:rsidR="00E32E31">
        <w:t xml:space="preserve">which </w:t>
      </w:r>
      <w:r w:rsidR="0043469F">
        <w:t>necessitat</w:t>
      </w:r>
      <w:r w:rsidR="00B63BAA">
        <w:t>ed</w:t>
      </w:r>
      <w:r w:rsidR="0043469F">
        <w:t xml:space="preserve"> </w:t>
      </w:r>
      <w:r w:rsidR="00E323C2">
        <w:t>recruitment of a replacement</w:t>
      </w:r>
      <w:r w:rsidR="00727EB3">
        <w:t xml:space="preserve"> GEDSI Adviser</w:t>
      </w:r>
      <w:r w:rsidR="00E323C2">
        <w:t xml:space="preserve">. </w:t>
      </w:r>
    </w:p>
    <w:p w14:paraId="63122E6F" w14:textId="369EEA37" w:rsidR="006A6BF2" w:rsidRDefault="00302CD2" w:rsidP="00B63BAA">
      <w:pPr>
        <w:keepNext/>
      </w:pPr>
      <w:r>
        <w:t>There ha</w:t>
      </w:r>
      <w:r w:rsidR="005848BE">
        <w:t>ve</w:t>
      </w:r>
      <w:r>
        <w:t xml:space="preserve"> also been changes in </w:t>
      </w:r>
      <w:r w:rsidR="00A2499D">
        <w:t xml:space="preserve">the Advisory </w:t>
      </w:r>
      <w:r w:rsidR="00907EEB">
        <w:t>Services Coordinator</w:t>
      </w:r>
      <w:r>
        <w:t xml:space="preserve"> role</w:t>
      </w:r>
      <w:r w:rsidR="00907EEB">
        <w:t xml:space="preserve">, </w:t>
      </w:r>
      <w:r>
        <w:t>which</w:t>
      </w:r>
      <w:r w:rsidR="003C2842">
        <w:t xml:space="preserve"> was originally intended to be the link between </w:t>
      </w:r>
      <w:r w:rsidR="00B9655D">
        <w:t>PRES and Deloitte</w:t>
      </w:r>
      <w:r>
        <w:t>. H</w:t>
      </w:r>
      <w:r w:rsidR="00935933">
        <w:t xml:space="preserve">owever, Deloitte was less involved with PRES than originally intended, </w:t>
      </w:r>
      <w:r w:rsidR="00002C7C">
        <w:t>and when Deloitte withdrew from PRES in 2024</w:t>
      </w:r>
      <w:r w:rsidR="0033044C">
        <w:t xml:space="preserve"> the </w:t>
      </w:r>
      <w:r w:rsidR="00BA6FFC">
        <w:t xml:space="preserve">role become vacant. </w:t>
      </w:r>
      <w:r w:rsidR="00754CB2">
        <w:t xml:space="preserve">In December 2024, the </w:t>
      </w:r>
      <w:r w:rsidR="0083208D">
        <w:t xml:space="preserve">role was repurposed to </w:t>
      </w:r>
      <w:r w:rsidR="00AE1CB4">
        <w:t xml:space="preserve">a </w:t>
      </w:r>
      <w:r w:rsidR="0016311B">
        <w:t>long</w:t>
      </w:r>
      <w:r w:rsidR="009628C2">
        <w:t>-</w:t>
      </w:r>
      <w:r w:rsidR="00AE1CB4">
        <w:t xml:space="preserve">term </w:t>
      </w:r>
      <w:r w:rsidR="0016311B">
        <w:t xml:space="preserve">adviser </w:t>
      </w:r>
      <w:r w:rsidR="00D109B5">
        <w:t>role</w:t>
      </w:r>
      <w:r w:rsidR="0014680B">
        <w:t xml:space="preserve"> b</w:t>
      </w:r>
      <w:r w:rsidR="00B32C67">
        <w:t>r</w:t>
      </w:r>
      <w:r w:rsidR="0014680B">
        <w:t>ought into the PRES Core Team</w:t>
      </w:r>
      <w:r w:rsidR="000715E5">
        <w:t xml:space="preserve"> to reflect </w:t>
      </w:r>
      <w:r w:rsidR="00CB6328">
        <w:t xml:space="preserve">the significant change </w:t>
      </w:r>
      <w:r w:rsidR="00DA3A15">
        <w:t xml:space="preserve">in the value and </w:t>
      </w:r>
      <w:r w:rsidR="009A7522">
        <w:t xml:space="preserve">scope of PRES </w:t>
      </w:r>
      <w:r w:rsidR="00FC6F23">
        <w:t xml:space="preserve">over the life of the program. </w:t>
      </w:r>
    </w:p>
    <w:p w14:paraId="56AE5263" w14:textId="4D2B2E27" w:rsidR="00285327" w:rsidRDefault="00285327" w:rsidP="00B63BAA">
      <w:pPr>
        <w:keepNext/>
      </w:pPr>
      <w:r w:rsidRPr="00285327">
        <w:t>While PRES saw substantial role changes, particularly in its early stages, the composition of the Core Team, in terms of the people involved, has been</w:t>
      </w:r>
      <w:r w:rsidR="009D049B">
        <w:t xml:space="preserve"> relatively</w:t>
      </w:r>
      <w:r w:rsidRPr="00285327">
        <w:t xml:space="preserve"> stable since late 2023.</w:t>
      </w:r>
    </w:p>
    <w:p w14:paraId="31B30A2E" w14:textId="77777777" w:rsidR="009B5A07" w:rsidRDefault="008151D9" w:rsidP="00B63BAA">
      <w:pPr>
        <w:keepNext/>
        <w:sectPr w:rsidR="009B5A07" w:rsidSect="00B77CF6">
          <w:footerReference w:type="default" r:id="rId17"/>
          <w:type w:val="continuous"/>
          <w:pgSz w:w="11906" w:h="16838"/>
          <w:pgMar w:top="1276" w:right="1077" w:bottom="993" w:left="1077" w:header="567" w:footer="567" w:gutter="0"/>
          <w:cols w:space="708"/>
          <w:docGrid w:linePitch="360"/>
        </w:sectPr>
      </w:pPr>
      <w:r>
        <w:t xml:space="preserve">A full outline of the evaluation of the PRES Core Team is given in Figure 2. </w:t>
      </w:r>
      <w:r w:rsidR="009B5A07">
        <w:t xml:space="preserve"> </w:t>
      </w:r>
    </w:p>
    <w:p w14:paraId="7C6E19B5" w14:textId="46C20B01" w:rsidR="003C0842" w:rsidRDefault="006E15F9" w:rsidP="0080015D">
      <w:pPr>
        <w:keepNext/>
        <w:spacing w:before="240" w:after="120"/>
        <w:jc w:val="center"/>
        <w:rPr>
          <w:b/>
          <w:bCs/>
        </w:rPr>
      </w:pPr>
      <w:r>
        <w:rPr>
          <w:b/>
          <w:bCs/>
        </w:rPr>
        <w:lastRenderedPageBreak/>
        <w:t>Figure 2. Evolution of PRES Core team</w:t>
      </w:r>
    </w:p>
    <w:p w14:paraId="4C6DED93" w14:textId="4174EB9C" w:rsidR="006E15F9" w:rsidRDefault="0087061A" w:rsidP="0080015D">
      <w:pPr>
        <w:keepNext/>
        <w:spacing w:before="240" w:after="120"/>
        <w:jc w:val="center"/>
        <w:sectPr w:rsidR="006E15F9" w:rsidSect="00B85CF8">
          <w:pgSz w:w="16838" w:h="11906" w:orient="landscape"/>
          <w:pgMar w:top="1077" w:right="1276" w:bottom="1077" w:left="993" w:header="567" w:footer="567" w:gutter="0"/>
          <w:cols w:space="708"/>
          <w:docGrid w:linePitch="360"/>
        </w:sectPr>
      </w:pPr>
      <w:r w:rsidRPr="0087061A">
        <w:rPr>
          <w:noProof/>
        </w:rPr>
        <w:drawing>
          <wp:inline distT="0" distB="0" distL="0" distR="0" wp14:anchorId="3D7F88E1" wp14:editId="1CF20D94">
            <wp:extent cx="9251315" cy="5483860"/>
            <wp:effectExtent l="0" t="0" r="0" b="0"/>
            <wp:docPr id="1514270006" name="Picture 1" descr="The inception core team (2021) had a full time Team Leader and part time program coordinator, advisory services coordinator, MEL adviser and GEDSI adviser. In 2022 after resignations new TL and MEL adviser were appointed. In 2023 a new program coordinator and GEDSI adviser were appointed, along with a new position of Deputy Team Leader. There were also adjustments made to the number of days allocated for various positions to reflect actual need. In 2024, a new TL, DTL and Program Coordinator were appointed and in 2025 a new DTL and Advisory services coordinator were appointed.  ">
              <a:extLst xmlns:a="http://schemas.openxmlformats.org/drawingml/2006/main">
                <a:ext uri="{FF2B5EF4-FFF2-40B4-BE49-F238E27FC236}">
                  <a16:creationId xmlns:a16="http://schemas.microsoft.com/office/drawing/2014/main" id="{30C55B18-3A58-8C1E-D103-D26993CC1B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270006" name="Picture 1" descr="The inception core team (2021) had a full time Team Leader and part time program coordinator, advisory services coordinator, MEL adviser and GEDSI adviser. In 2022 after resignations new TL and MEL adviser were appointed. In 2023 a new program coordinator and GEDSI adviser were appointed, along with a new position of Deputy Team Leader. There were also adjustments made to the number of days allocated for various positions to reflect actual need. In 2024, a new TL, DTL and Program Coordinator were appointed and in 2025 a new DTL and Advisory services coordinator were appointed.  ">
                      <a:extLst>
                        <a:ext uri="{FF2B5EF4-FFF2-40B4-BE49-F238E27FC236}">
                          <a16:creationId xmlns:a16="http://schemas.microsoft.com/office/drawing/2014/main" id="{30C55B18-3A58-8C1E-D103-D26993CC1BAA}"/>
                        </a:ext>
                      </a:extLst>
                    </pic:cNvPr>
                    <pic:cNvPicPr>
                      <a:picLocks noChangeAspect="1"/>
                    </pic:cNvPicPr>
                  </pic:nvPicPr>
                  <pic:blipFill>
                    <a:blip r:embed="rId18"/>
                    <a:stretch>
                      <a:fillRect/>
                    </a:stretch>
                  </pic:blipFill>
                  <pic:spPr>
                    <a:xfrm>
                      <a:off x="0" y="0"/>
                      <a:ext cx="9251315" cy="5483860"/>
                    </a:xfrm>
                    <a:prstGeom prst="rect">
                      <a:avLst/>
                    </a:prstGeom>
                  </pic:spPr>
                </pic:pic>
              </a:graphicData>
            </a:graphic>
          </wp:inline>
        </w:drawing>
      </w:r>
      <w:r w:rsidR="003C0842">
        <w:br/>
      </w:r>
    </w:p>
    <w:p w14:paraId="7490EF14" w14:textId="6652AE72" w:rsidR="00EA5257" w:rsidRDefault="006E15F9" w:rsidP="00D93E5B">
      <w:pPr>
        <w:pStyle w:val="Heading3nonumber"/>
      </w:pPr>
      <w:bookmarkStart w:id="24" w:name="_Toc195808962"/>
      <w:r w:rsidRPr="00843E6C">
        <w:lastRenderedPageBreak/>
        <w:t xml:space="preserve">PRES </w:t>
      </w:r>
      <w:r w:rsidR="00F32CA4">
        <w:t>g</w:t>
      </w:r>
      <w:r w:rsidR="00F32CA4" w:rsidRPr="00843E6C">
        <w:t>overnance</w:t>
      </w:r>
      <w:bookmarkEnd w:id="24"/>
    </w:p>
    <w:p w14:paraId="6272D28A" w14:textId="162994EE" w:rsidR="001D7701" w:rsidRDefault="00CD5145" w:rsidP="001D7701">
      <w:r>
        <w:t xml:space="preserve">Governance of PRES comprises the PRES Advisory Group </w:t>
      </w:r>
      <w:r w:rsidR="00F56ED6">
        <w:t xml:space="preserve">(PAG) </w:t>
      </w:r>
      <w:r>
        <w:t xml:space="preserve">and the PRES Working Group. </w:t>
      </w:r>
    </w:p>
    <w:p w14:paraId="72FAF728" w14:textId="3FA91543" w:rsidR="00CD5145" w:rsidRDefault="00CD5145" w:rsidP="00CD5145">
      <w:r w:rsidRPr="00CD5145">
        <w:rPr>
          <w:b/>
          <w:bCs/>
        </w:rPr>
        <w:t xml:space="preserve">The PRES Advisory Group (PAG) </w:t>
      </w:r>
      <w:r w:rsidRPr="00CD5145">
        <w:t xml:space="preserve">is </w:t>
      </w:r>
      <w:r>
        <w:t xml:space="preserve">the mechanism that drives coordination between the PRES Core Team and </w:t>
      </w:r>
      <w:r w:rsidR="009F40BF">
        <w:t>PEB</w:t>
      </w:r>
      <w:r>
        <w:t xml:space="preserve">. It </w:t>
      </w:r>
      <w:r w:rsidR="00F17ECE">
        <w:t>comprises</w:t>
      </w:r>
      <w:r>
        <w:t xml:space="preserve"> the PRES Team </w:t>
      </w:r>
      <w:r w:rsidR="008F0585">
        <w:t>L</w:t>
      </w:r>
      <w:r>
        <w:t xml:space="preserve">eader, </w:t>
      </w:r>
      <w:r w:rsidRPr="00CD5145">
        <w:t>Deputy-Team Leader,</w:t>
      </w:r>
      <w:r w:rsidR="009853FE" w:rsidRPr="009853FE">
        <w:t xml:space="preserve"> </w:t>
      </w:r>
      <w:r w:rsidR="009853FE" w:rsidRPr="005808D4">
        <w:t>Adam Smith International</w:t>
      </w:r>
      <w:r w:rsidRPr="00CD5145">
        <w:t xml:space="preserve">’s Contractor Representative, </w:t>
      </w:r>
      <w:r w:rsidR="009F40BF">
        <w:t>PEB</w:t>
      </w:r>
      <w:r w:rsidR="0098716B">
        <w:t xml:space="preserve"> Assistant Secretary</w:t>
      </w:r>
      <w:r w:rsidRPr="00CD5145">
        <w:t xml:space="preserve">, and </w:t>
      </w:r>
      <w:r w:rsidR="002D38FD" w:rsidRPr="00CD5145">
        <w:t xml:space="preserve">PEB </w:t>
      </w:r>
      <w:r w:rsidRPr="00CD5145">
        <w:t>section heads.</w:t>
      </w:r>
      <w:r w:rsidR="00750F17">
        <w:t xml:space="preserve"> </w:t>
      </w:r>
      <w:r w:rsidR="00F56ED6">
        <w:t xml:space="preserve">The </w:t>
      </w:r>
      <w:r>
        <w:t>PAG provides strategic guidance to PRES, reviews PRES performance and effectiveness, monitors and manages key risks for PRES</w:t>
      </w:r>
      <w:r w:rsidR="00F56ED6">
        <w:t>,</w:t>
      </w:r>
      <w:r>
        <w:t xml:space="preserve"> and </w:t>
      </w:r>
      <w:r w:rsidRPr="00CD5145">
        <w:t>review</w:t>
      </w:r>
      <w:r>
        <w:t>s</w:t>
      </w:r>
      <w:r w:rsidRPr="00CD5145">
        <w:t xml:space="preserve"> and endorse</w:t>
      </w:r>
      <w:r>
        <w:t>s</w:t>
      </w:r>
      <w:r w:rsidRPr="00CD5145">
        <w:t xml:space="preserve"> the annual priorities and budget allocations, including to PEB</w:t>
      </w:r>
      <w:r>
        <w:t xml:space="preserve"> </w:t>
      </w:r>
      <w:r w:rsidR="00D45DB2">
        <w:t>s</w:t>
      </w:r>
      <w:r w:rsidR="00D45DB2" w:rsidRPr="00CD5145">
        <w:t>ections</w:t>
      </w:r>
      <w:r w:rsidRPr="00CD5145">
        <w:t>.</w:t>
      </w:r>
      <w:r w:rsidR="00D45DB2">
        <w:t xml:space="preserve"> The</w:t>
      </w:r>
      <w:r w:rsidR="00750F17">
        <w:t xml:space="preserve"> </w:t>
      </w:r>
      <w:r>
        <w:t>PAG meets quarterly</w:t>
      </w:r>
      <w:r w:rsidR="00D45DB2">
        <w:t>,</w:t>
      </w:r>
      <w:r>
        <w:t xml:space="preserve"> to discuss progress </w:t>
      </w:r>
      <w:r w:rsidRPr="00CD5145">
        <w:t>and provide strategic governance, high</w:t>
      </w:r>
      <w:r>
        <w:t>-</w:t>
      </w:r>
      <w:r w:rsidRPr="00CD5145">
        <w:t>level</w:t>
      </w:r>
      <w:r>
        <w:t xml:space="preserve"> </w:t>
      </w:r>
      <w:r w:rsidRPr="00CD5145">
        <w:t xml:space="preserve">direction, leadership, guidance, and oversight </w:t>
      </w:r>
      <w:r w:rsidR="00D45DB2">
        <w:t>of</w:t>
      </w:r>
      <w:r w:rsidRPr="00CD5145">
        <w:t xml:space="preserve"> PRES.</w:t>
      </w:r>
      <w:r>
        <w:t xml:space="preserve"> </w:t>
      </w:r>
      <w:r w:rsidR="00B101EC">
        <w:t xml:space="preserve">It reviews </w:t>
      </w:r>
      <w:r w:rsidR="00547314">
        <w:t>the annual health check of the PRES partnership and</w:t>
      </w:r>
      <w:r w:rsidR="000808F5">
        <w:t xml:space="preserve"> the PRES </w:t>
      </w:r>
      <w:r w:rsidR="00B101EC">
        <w:t>quarterly and annual reports, approves PRES workplans</w:t>
      </w:r>
      <w:r w:rsidR="000808F5">
        <w:t>,</w:t>
      </w:r>
      <w:r w:rsidR="00B101EC">
        <w:t xml:space="preserve"> and holds PRES accountable for performance.</w:t>
      </w:r>
    </w:p>
    <w:p w14:paraId="6DBC3727" w14:textId="207A97F9" w:rsidR="00072F93" w:rsidRDefault="00CD5145" w:rsidP="00072F93">
      <w:r>
        <w:rPr>
          <w:b/>
          <w:bCs/>
        </w:rPr>
        <w:t>The PRES Working Group</w:t>
      </w:r>
      <w:r>
        <w:t xml:space="preserve"> guides the development and implementation of key PRES policies and strategies, including GEDSI and climate change</w:t>
      </w:r>
      <w:r w:rsidR="000808F5">
        <w:t>,</w:t>
      </w:r>
      <w:r>
        <w:t xml:space="preserve"> and the achievement of</w:t>
      </w:r>
      <w:r w:rsidR="000808F5">
        <w:t xml:space="preserve"> the</w:t>
      </w:r>
      <w:r>
        <w:t xml:space="preserve"> EOIOs. It provides guidance on the development and implementation of PRES policies and supports achievement of PRES knowledge management and learning outcomes. </w:t>
      </w:r>
      <w:r w:rsidR="00C5420E">
        <w:t xml:space="preserve">The Working Group </w:t>
      </w:r>
      <w:r w:rsidR="00F17ECE">
        <w:t>meets</w:t>
      </w:r>
      <w:r w:rsidR="00C5420E">
        <w:t xml:space="preserve"> monthly, with attendance by </w:t>
      </w:r>
      <w:r w:rsidR="00C5420E" w:rsidRPr="00C5420E">
        <w:t>at least one</w:t>
      </w:r>
      <w:r w:rsidR="00C5420E">
        <w:t xml:space="preserve"> </w:t>
      </w:r>
      <w:r w:rsidR="00C5420E" w:rsidRPr="00C5420E">
        <w:t xml:space="preserve">representative from each PEB </w:t>
      </w:r>
      <w:r w:rsidR="00C32A66">
        <w:t>s</w:t>
      </w:r>
      <w:r w:rsidR="00C32A66" w:rsidRPr="00C5420E">
        <w:t xml:space="preserve">ection </w:t>
      </w:r>
      <w:r w:rsidR="00C5420E" w:rsidRPr="00C5420E">
        <w:t>and the PRES Core</w:t>
      </w:r>
      <w:r w:rsidR="00C5420E">
        <w:t xml:space="preserve"> </w:t>
      </w:r>
      <w:r w:rsidR="00C5420E" w:rsidRPr="00C5420E">
        <w:t>Team.</w:t>
      </w:r>
      <w:r w:rsidR="00C5420E">
        <w:t xml:space="preserve"> </w:t>
      </w:r>
    </w:p>
    <w:p w14:paraId="3AB9ADFF" w14:textId="14AE7B4F" w:rsidR="3A3609B1" w:rsidRPr="007C1F52" w:rsidRDefault="3A3609B1" w:rsidP="00D93E5B">
      <w:pPr>
        <w:pStyle w:val="Heading3nonumber"/>
      </w:pPr>
      <w:bookmarkStart w:id="25" w:name="_Toc195808963"/>
      <w:r w:rsidRPr="007C1F52">
        <w:t xml:space="preserve">PRES </w:t>
      </w:r>
      <w:r w:rsidR="00F32CA4">
        <w:t>d</w:t>
      </w:r>
      <w:r w:rsidR="00F32CA4" w:rsidRPr="007C1F52">
        <w:t>eliverables</w:t>
      </w:r>
      <w:bookmarkEnd w:id="25"/>
    </w:p>
    <w:p w14:paraId="030D04ED" w14:textId="16C5E2A6" w:rsidR="0039424C" w:rsidRDefault="00C5420E" w:rsidP="00C5420E">
      <w:r>
        <w:t>PRES is engaged to provide technical advisory support, primarily through the engagement of technical advis</w:t>
      </w:r>
      <w:r w:rsidR="00575A2F">
        <w:t>e</w:t>
      </w:r>
      <w:r>
        <w:t>rs to OTP across a range of economic sectors. The PRES Core Team is also available to support</w:t>
      </w:r>
      <w:r w:rsidRPr="00C5420E">
        <w:t xml:space="preserve"> OTP to deliver the</w:t>
      </w:r>
      <w:r>
        <w:t xml:space="preserve"> </w:t>
      </w:r>
      <w:r w:rsidRPr="00C5420E">
        <w:t>strategy</w:t>
      </w:r>
      <w:r w:rsidR="00ED06AA">
        <w:t xml:space="preserve"> development</w:t>
      </w:r>
      <w:r w:rsidRPr="00C5420E">
        <w:t>, design, and evaluation of aid activities in the portfolio.</w:t>
      </w:r>
      <w:r w:rsidR="00783B77" w:rsidRPr="00783B77">
        <w:t xml:space="preserve"> </w:t>
      </w:r>
      <w:r w:rsidR="00783B77">
        <w:t xml:space="preserve">PRES is engaged through </w:t>
      </w:r>
      <w:r w:rsidR="0055063C">
        <w:t xml:space="preserve">a </w:t>
      </w:r>
      <w:r w:rsidR="00E54FC5">
        <w:t xml:space="preserve">Tasking Note (TN) </w:t>
      </w:r>
      <w:r w:rsidR="00783B77">
        <w:t>process</w:t>
      </w:r>
      <w:r w:rsidR="00664E19">
        <w:t xml:space="preserve"> and can also be engaged to support teams beyond </w:t>
      </w:r>
      <w:r w:rsidR="00664E19" w:rsidDel="00742412">
        <w:t>PEB</w:t>
      </w:r>
      <w:r w:rsidR="00664E19">
        <w:t xml:space="preserve"> or provide additional services to teams </w:t>
      </w:r>
      <w:r w:rsidR="00B46061">
        <w:t>in</w:t>
      </w:r>
      <w:r w:rsidR="00664E19">
        <w:t xml:space="preserve"> </w:t>
      </w:r>
      <w:r w:rsidR="00B46061">
        <w:t xml:space="preserve">OTP </w:t>
      </w:r>
      <w:r w:rsidR="00664E19">
        <w:t>through ASO</w:t>
      </w:r>
      <w:r w:rsidR="00B46061">
        <w:t>s</w:t>
      </w:r>
      <w:r w:rsidR="00664E19">
        <w:t xml:space="preserve">. </w:t>
      </w:r>
    </w:p>
    <w:p w14:paraId="4A395B86" w14:textId="18ACD05A" w:rsidR="009D25F2" w:rsidRDefault="00E13483" w:rsidP="009D25F2">
      <w:r>
        <w:t xml:space="preserve">In its operations manual, </w:t>
      </w:r>
      <w:r w:rsidR="00C441C1">
        <w:t>PRES is intended to support</w:t>
      </w:r>
      <w:r w:rsidR="00C441C1" w:rsidRPr="00C441C1">
        <w:t xml:space="preserve"> the development, strategy, design, and evaluation of aid</w:t>
      </w:r>
      <w:r w:rsidR="00C441C1">
        <w:t xml:space="preserve"> </w:t>
      </w:r>
      <w:r w:rsidR="00C441C1" w:rsidRPr="00C441C1">
        <w:t>activities across a range of disciplines in the Pacific region</w:t>
      </w:r>
      <w:r w:rsidR="00F03A45">
        <w:t>,</w:t>
      </w:r>
      <w:r w:rsidR="00C441C1" w:rsidRPr="00C441C1">
        <w:t xml:space="preserve"> including</w:t>
      </w:r>
      <w:r w:rsidR="009D25F2" w:rsidRPr="009D25F2">
        <w:t xml:space="preserve"> </w:t>
      </w:r>
      <w:r w:rsidR="009D25F2">
        <w:t xml:space="preserve">economic and fiscal governance, financial sector, private sector development, trade and labour mobility and education. PRES also provides access to cross-cutting expertise in social protection; gender; </w:t>
      </w:r>
      <w:r w:rsidR="006D3DDC">
        <w:t>monitoring, evaluation and learning (MEL)</w:t>
      </w:r>
      <w:r w:rsidR="009D25F2">
        <w:t xml:space="preserve">; climate change, disaster management and impact on economics; political economy; and child protection, risk and safeguarding. </w:t>
      </w:r>
    </w:p>
    <w:p w14:paraId="3AE16EED" w14:textId="42B3C596" w:rsidR="0039424C" w:rsidRDefault="007063C4" w:rsidP="00C5420E">
      <w:r>
        <w:t>PRES</w:t>
      </w:r>
      <w:r w:rsidR="0039424C">
        <w:t xml:space="preserve"> currently </w:t>
      </w:r>
      <w:r w:rsidR="0039424C" w:rsidRPr="152412E2">
        <w:t xml:space="preserve">delivers a range of activities, </w:t>
      </w:r>
      <w:r w:rsidR="0039424C">
        <w:t>ranging from</w:t>
      </w:r>
      <w:r w:rsidR="0039424C" w:rsidRPr="152412E2">
        <w:t xml:space="preserve"> </w:t>
      </w:r>
      <w:r w:rsidR="00ED06AA" w:rsidRPr="152412E2">
        <w:t xml:space="preserve">technical advisory support for Pacific aviation and budget </w:t>
      </w:r>
      <w:r w:rsidR="00ED06AA">
        <w:t xml:space="preserve">support </w:t>
      </w:r>
      <w:r w:rsidR="00ED06AA" w:rsidRPr="152412E2">
        <w:t>activities</w:t>
      </w:r>
      <w:r w:rsidR="00ED06AA">
        <w:t>,</w:t>
      </w:r>
      <w:r w:rsidR="00ED06AA" w:rsidRPr="152412E2">
        <w:t xml:space="preserve"> </w:t>
      </w:r>
      <w:r w:rsidR="00ED06AA">
        <w:t xml:space="preserve">economic </w:t>
      </w:r>
      <w:r w:rsidR="0039424C" w:rsidRPr="152412E2">
        <w:t>program-level evaluations</w:t>
      </w:r>
      <w:r w:rsidR="00ED06AA">
        <w:t xml:space="preserve"> and designs</w:t>
      </w:r>
      <w:r w:rsidR="0039424C" w:rsidRPr="152412E2">
        <w:t xml:space="preserve">, and thematic advice on banking and trade. </w:t>
      </w:r>
      <w:r w:rsidR="0039424C">
        <w:t xml:space="preserve">It </w:t>
      </w:r>
      <w:r w:rsidR="0039424C" w:rsidRPr="152412E2">
        <w:t>supports DFAT’s Pacific desks, posts and Pacific Island countries</w:t>
      </w:r>
      <w:r w:rsidR="006D3DDC">
        <w:t>,</w:t>
      </w:r>
      <w:r w:rsidR="00EB61F9">
        <w:t xml:space="preserve"> </w:t>
      </w:r>
      <w:r w:rsidR="0039424C" w:rsidRPr="152412E2">
        <w:t>maintain</w:t>
      </w:r>
      <w:r w:rsidR="00B11CCA">
        <w:t>s</w:t>
      </w:r>
      <w:r w:rsidR="0039424C" w:rsidRPr="152412E2">
        <w:t xml:space="preserve"> a knowledge repository</w:t>
      </w:r>
      <w:r w:rsidR="00B11CCA">
        <w:t xml:space="preserve"> for PEB</w:t>
      </w:r>
      <w:r w:rsidR="0039424C" w:rsidRPr="152412E2">
        <w:t>, facilitating information-sharing events, offer</w:t>
      </w:r>
      <w:r w:rsidR="00C36379">
        <w:t>s</w:t>
      </w:r>
      <w:r w:rsidR="0039424C" w:rsidRPr="152412E2">
        <w:t xml:space="preserve"> logistical</w:t>
      </w:r>
      <w:r w:rsidR="00ED06AA">
        <w:t xml:space="preserve"> </w:t>
      </w:r>
      <w:r w:rsidR="00BC6FDC">
        <w:t xml:space="preserve">support for advisers </w:t>
      </w:r>
      <w:r w:rsidR="0039424C" w:rsidRPr="152412E2">
        <w:t xml:space="preserve">and </w:t>
      </w:r>
      <w:r w:rsidR="00C36379">
        <w:t xml:space="preserve">provides </w:t>
      </w:r>
      <w:r w:rsidR="0039424C" w:rsidRPr="152412E2">
        <w:t>performance management support for advisers. </w:t>
      </w:r>
    </w:p>
    <w:p w14:paraId="1B3A60A6" w14:textId="4AABCAB0" w:rsidR="005F34F5" w:rsidRDefault="00853EAA" w:rsidP="00944227">
      <w:r>
        <w:t xml:space="preserve">Demand for PRES services has been increasing. </w:t>
      </w:r>
      <w:r w:rsidR="007063C4">
        <w:t>B</w:t>
      </w:r>
      <w:r w:rsidR="00944227">
        <w:t xml:space="preserve">etween the </w:t>
      </w:r>
      <w:r w:rsidR="005F34F5">
        <w:t>October</w:t>
      </w:r>
      <w:r w:rsidR="00944227">
        <w:t xml:space="preserve"> 2</w:t>
      </w:r>
      <w:r w:rsidR="0055063C">
        <w:t>02</w:t>
      </w:r>
      <w:r w:rsidR="005F34F5">
        <w:t>1</w:t>
      </w:r>
      <w:r w:rsidR="00944227">
        <w:t xml:space="preserve"> quarter and </w:t>
      </w:r>
      <w:r w:rsidR="005F34F5">
        <w:t>January</w:t>
      </w:r>
      <w:r w:rsidR="00944227">
        <w:t xml:space="preserve"> 202</w:t>
      </w:r>
      <w:r w:rsidR="005F34F5">
        <w:t xml:space="preserve">5 quarter, the number of </w:t>
      </w:r>
      <w:r w:rsidR="004866FE">
        <w:t xml:space="preserve">TN commencements </w:t>
      </w:r>
      <w:r w:rsidR="006E3462">
        <w:t xml:space="preserve">per quarter </w:t>
      </w:r>
      <w:r w:rsidR="004866FE">
        <w:t xml:space="preserve">rose from </w:t>
      </w:r>
      <w:r w:rsidR="00A36AED">
        <w:t>one</w:t>
      </w:r>
      <w:r w:rsidR="005606CD">
        <w:t xml:space="preserve"> to </w:t>
      </w:r>
      <w:r w:rsidR="00A36AED">
        <w:t>nine</w:t>
      </w:r>
      <w:r w:rsidR="005606CD">
        <w:t xml:space="preserve"> (with a peak of 31 in the July </w:t>
      </w:r>
      <w:r w:rsidR="00A36AED">
        <w:t xml:space="preserve">2024 </w:t>
      </w:r>
      <w:r w:rsidR="005606CD">
        <w:t xml:space="preserve">quarter). The number of TNs in progress </w:t>
      </w:r>
      <w:r w:rsidR="006E3462">
        <w:t xml:space="preserve">per quarter </w:t>
      </w:r>
      <w:r w:rsidR="005606CD">
        <w:t xml:space="preserve">also rose from </w:t>
      </w:r>
      <w:r w:rsidR="00A36AED">
        <w:t>one</w:t>
      </w:r>
      <w:r w:rsidR="005606CD">
        <w:t xml:space="preserve"> to 37 </w:t>
      </w:r>
      <w:r w:rsidR="006E3462">
        <w:t xml:space="preserve">(with a peak of 56 in the July </w:t>
      </w:r>
      <w:r w:rsidR="00A36AED">
        <w:t xml:space="preserve">2024 </w:t>
      </w:r>
      <w:r w:rsidR="006E3462">
        <w:t xml:space="preserve">quarter). </w:t>
      </w:r>
      <w:r w:rsidR="00791526">
        <w:t>While the number of TNs in progress can give an indication of demand for PRES services, it is important to note that TNs can vary in size</w:t>
      </w:r>
      <w:r w:rsidR="00636E96">
        <w:t xml:space="preserve"> (</w:t>
      </w:r>
      <w:r w:rsidR="0074321B">
        <w:t>such that fewer TNs does not necessarily indicate a lower workload</w:t>
      </w:r>
      <w:r w:rsidR="00636E96">
        <w:t>)</w:t>
      </w:r>
      <w:r w:rsidR="0074321B">
        <w:t xml:space="preserve"> and that</w:t>
      </w:r>
      <w:r w:rsidR="00636E96">
        <w:t>,</w:t>
      </w:r>
      <w:r w:rsidR="0074321B">
        <w:t xml:space="preserve"> at full capacity</w:t>
      </w:r>
      <w:r w:rsidR="00636E96">
        <w:t>,</w:t>
      </w:r>
      <w:r w:rsidR="0074321B">
        <w:t xml:space="preserve"> PRES is unable to take on more TNs even where demand exists. </w:t>
      </w:r>
    </w:p>
    <w:p w14:paraId="4457B957" w14:textId="77777777" w:rsidR="00C86C27" w:rsidRDefault="00C86C27" w:rsidP="00944227"/>
    <w:p w14:paraId="660B67C4" w14:textId="56682304" w:rsidR="00054DC1" w:rsidRDefault="00944227" w:rsidP="006217E2">
      <w:pPr>
        <w:jc w:val="center"/>
        <w:rPr>
          <w:b/>
          <w:bCs/>
        </w:rPr>
      </w:pPr>
      <w:r w:rsidRPr="0029785A">
        <w:rPr>
          <w:b/>
          <w:bCs/>
        </w:rPr>
        <w:lastRenderedPageBreak/>
        <w:t xml:space="preserve">Figure </w:t>
      </w:r>
      <w:r w:rsidR="00E52DE3">
        <w:rPr>
          <w:b/>
          <w:bCs/>
        </w:rPr>
        <w:t>3</w:t>
      </w:r>
      <w:r w:rsidRPr="0029785A">
        <w:rPr>
          <w:b/>
          <w:bCs/>
        </w:rPr>
        <w:t xml:space="preserve">. </w:t>
      </w:r>
      <w:r w:rsidR="001D01C2">
        <w:rPr>
          <w:b/>
          <w:bCs/>
        </w:rPr>
        <w:t>TN</w:t>
      </w:r>
      <w:r w:rsidR="00475743">
        <w:rPr>
          <w:b/>
          <w:bCs/>
        </w:rPr>
        <w:t xml:space="preserve"> commencements, completions and </w:t>
      </w:r>
      <w:r w:rsidR="004866FE">
        <w:rPr>
          <w:b/>
          <w:bCs/>
        </w:rPr>
        <w:t>in</w:t>
      </w:r>
      <w:r w:rsidR="00237438">
        <w:rPr>
          <w:b/>
          <w:bCs/>
        </w:rPr>
        <w:t xml:space="preserve"> </w:t>
      </w:r>
      <w:r w:rsidR="004866FE">
        <w:rPr>
          <w:b/>
          <w:bCs/>
        </w:rPr>
        <w:t>progress by quarter</w:t>
      </w:r>
      <w:r w:rsidRPr="0029785A">
        <w:rPr>
          <w:b/>
          <w:bCs/>
        </w:rPr>
        <w:t xml:space="preserve"> </w:t>
      </w:r>
      <w:r w:rsidR="00237438">
        <w:rPr>
          <w:b/>
          <w:bCs/>
        </w:rPr>
        <w:br/>
      </w:r>
      <w:r w:rsidRPr="0029785A">
        <w:rPr>
          <w:b/>
          <w:bCs/>
        </w:rPr>
        <w:t>(</w:t>
      </w:r>
      <w:r w:rsidR="005F34F5">
        <w:rPr>
          <w:b/>
          <w:bCs/>
        </w:rPr>
        <w:t xml:space="preserve">October </w:t>
      </w:r>
      <w:r w:rsidR="008F40C7">
        <w:rPr>
          <w:b/>
          <w:bCs/>
        </w:rPr>
        <w:t>20</w:t>
      </w:r>
      <w:r w:rsidR="005F34F5">
        <w:rPr>
          <w:b/>
          <w:bCs/>
        </w:rPr>
        <w:t xml:space="preserve">21 </w:t>
      </w:r>
      <w:r w:rsidR="00492846">
        <w:rPr>
          <w:b/>
          <w:bCs/>
        </w:rPr>
        <w:t xml:space="preserve">quarter </w:t>
      </w:r>
      <w:r w:rsidR="005F34F5">
        <w:rPr>
          <w:b/>
          <w:bCs/>
        </w:rPr>
        <w:t>to Jan</w:t>
      </w:r>
      <w:r w:rsidR="008F40C7">
        <w:rPr>
          <w:b/>
          <w:bCs/>
        </w:rPr>
        <w:t>uary</w:t>
      </w:r>
      <w:r w:rsidR="005F34F5">
        <w:rPr>
          <w:b/>
          <w:bCs/>
        </w:rPr>
        <w:t xml:space="preserve"> 2025</w:t>
      </w:r>
      <w:r w:rsidR="00492846">
        <w:rPr>
          <w:b/>
          <w:bCs/>
        </w:rPr>
        <w:t xml:space="preserve"> quarter</w:t>
      </w:r>
      <w:r w:rsidRPr="0029785A">
        <w:rPr>
          <w:b/>
          <w:bCs/>
        </w:rPr>
        <w:t>)</w:t>
      </w:r>
    </w:p>
    <w:p w14:paraId="0CF78DCE" w14:textId="5E6A09B0" w:rsidR="00944227" w:rsidRDefault="00054DC1" w:rsidP="006217E2">
      <w:pPr>
        <w:jc w:val="center"/>
      </w:pPr>
      <w:r>
        <w:rPr>
          <w:b/>
          <w:bCs/>
          <w:noProof/>
        </w:rPr>
        <w:drawing>
          <wp:inline distT="0" distB="0" distL="0" distR="0" wp14:anchorId="77BA9851" wp14:editId="6F7AC0E0">
            <wp:extent cx="4572635" cy="2749550"/>
            <wp:effectExtent l="0" t="0" r="0" b="0"/>
            <wp:docPr id="1311620129" name="Picture 2" descr="Chart showing TN commencements, completions and in progress TNs by quarter. TNs in progress begins at 1 in the October 21 quarter, increasing to 37 in the December 2024 quarter with a peak of 56 in the July 2024 quar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620129" name="Picture 2" descr="Chart showing TN commencements, completions and in progress TNs by quarter. TNs in progress begins at 1 in the October 21 quarter, increasing to 37 in the December 2024 quarter with a peak of 56 in the July 2024 quarter.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635" cy="2749550"/>
                    </a:xfrm>
                    <a:prstGeom prst="rect">
                      <a:avLst/>
                    </a:prstGeom>
                    <a:noFill/>
                  </pic:spPr>
                </pic:pic>
              </a:graphicData>
            </a:graphic>
          </wp:inline>
        </w:drawing>
      </w:r>
      <w:r w:rsidR="00E53D78">
        <w:rPr>
          <w:b/>
          <w:bCs/>
        </w:rPr>
        <w:br/>
      </w:r>
      <w:r w:rsidR="00944227">
        <w:t xml:space="preserve">Source: PRES </w:t>
      </w:r>
      <w:r w:rsidR="0083281C">
        <w:t>supplied TN data</w:t>
      </w:r>
    </w:p>
    <w:p w14:paraId="23594A53" w14:textId="3E7BB7E2" w:rsidR="008D4D01" w:rsidRDefault="0085414D">
      <w:r>
        <w:t xml:space="preserve">PRES has also experienced an increase in </w:t>
      </w:r>
      <w:r w:rsidR="00843E6C">
        <w:t>the sectors</w:t>
      </w:r>
      <w:r w:rsidR="00492846">
        <w:t xml:space="preserve"> that</w:t>
      </w:r>
      <w:r w:rsidR="00843E6C">
        <w:t xml:space="preserve"> </w:t>
      </w:r>
      <w:r>
        <w:t>i</w:t>
      </w:r>
      <w:r w:rsidR="002D6389">
        <w:t>t</w:t>
      </w:r>
      <w:r>
        <w:t xml:space="preserve"> supports, attributed to its growing reputation for positive outcomes</w:t>
      </w:r>
      <w:r w:rsidR="006576DA">
        <w:t>.</w:t>
      </w:r>
      <w:r w:rsidR="003B6CEF">
        <w:t xml:space="preserve"> For example, in </w:t>
      </w:r>
      <w:r w:rsidR="00C21D9A">
        <w:t>20</w:t>
      </w:r>
      <w:r w:rsidR="004E35B7">
        <w:t>21-</w:t>
      </w:r>
      <w:r w:rsidR="00492846">
        <w:t>20</w:t>
      </w:r>
      <w:r w:rsidR="003B1A75">
        <w:t>22</w:t>
      </w:r>
      <w:r w:rsidR="00492846">
        <w:t>,</w:t>
      </w:r>
      <w:r w:rsidR="003B1A75">
        <w:t xml:space="preserve"> PRES </w:t>
      </w:r>
      <w:r w:rsidR="00564E3B">
        <w:t xml:space="preserve">commenced </w:t>
      </w:r>
      <w:r w:rsidR="004E35B7">
        <w:t xml:space="preserve">12 </w:t>
      </w:r>
      <w:r w:rsidR="00564E3B">
        <w:t xml:space="preserve">TNs </w:t>
      </w:r>
      <w:r w:rsidR="003B1A75">
        <w:t xml:space="preserve">across </w:t>
      </w:r>
      <w:r w:rsidR="00492846">
        <w:t>five</w:t>
      </w:r>
      <w:r w:rsidR="003B1A75">
        <w:t xml:space="preserve"> </w:t>
      </w:r>
      <w:r w:rsidR="00F64427">
        <w:t>areas</w:t>
      </w:r>
      <w:r w:rsidR="0049384C">
        <w:t xml:space="preserve"> of work</w:t>
      </w:r>
      <w:r w:rsidR="00F42735">
        <w:t xml:space="preserve">; </w:t>
      </w:r>
      <w:r w:rsidR="003B1A75">
        <w:t xml:space="preserve">by </w:t>
      </w:r>
      <w:r w:rsidR="004E35B7">
        <w:t>2023-</w:t>
      </w:r>
      <w:r w:rsidR="003B1A75">
        <w:t>2024</w:t>
      </w:r>
      <w:r w:rsidR="00F42735">
        <w:t>,</w:t>
      </w:r>
      <w:r w:rsidR="003B1A75">
        <w:t xml:space="preserve"> this had increased </w:t>
      </w:r>
      <w:r w:rsidR="002F67FE">
        <w:t xml:space="preserve">to </w:t>
      </w:r>
      <w:r w:rsidR="004E35B7">
        <w:t xml:space="preserve">65 </w:t>
      </w:r>
      <w:r w:rsidR="00564E3B">
        <w:t>TNs across</w:t>
      </w:r>
      <w:r w:rsidR="003B1A75">
        <w:t xml:space="preserve"> 1</w:t>
      </w:r>
      <w:r w:rsidR="00E55763">
        <w:t>2</w:t>
      </w:r>
      <w:r w:rsidR="00564E3B">
        <w:t xml:space="preserve"> areas of work</w:t>
      </w:r>
      <w:r w:rsidR="0049384C">
        <w:t xml:space="preserve"> (see Figure 4). </w:t>
      </w:r>
      <w:r w:rsidR="00A56E73">
        <w:t xml:space="preserve">The most common sector for TNs </w:t>
      </w:r>
      <w:r w:rsidR="00881F0E">
        <w:t>has been</w:t>
      </w:r>
      <w:r w:rsidR="00A56E73">
        <w:t xml:space="preserve"> </w:t>
      </w:r>
      <w:r w:rsidR="001F685D">
        <w:t>aviation</w:t>
      </w:r>
      <w:r w:rsidR="008A6F21">
        <w:t xml:space="preserve"> (</w:t>
      </w:r>
      <w:r w:rsidR="00EF3BC2">
        <w:t>39</w:t>
      </w:r>
      <w:r w:rsidR="00C3459D">
        <w:t>% of all TNs)</w:t>
      </w:r>
      <w:r w:rsidR="00F42735">
        <w:t>;</w:t>
      </w:r>
      <w:r w:rsidR="001F685D">
        <w:t xml:space="preserve"> however</w:t>
      </w:r>
      <w:r w:rsidR="00F42735">
        <w:t>,</w:t>
      </w:r>
      <w:r w:rsidR="001F685D">
        <w:t xml:space="preserve"> that is expected to drop off with </w:t>
      </w:r>
      <w:r w:rsidR="000E4496">
        <w:t xml:space="preserve">most </w:t>
      </w:r>
      <w:r w:rsidR="001F685D">
        <w:t>activities</w:t>
      </w:r>
      <w:r w:rsidR="00150107">
        <w:t xml:space="preserve"> for this sector</w:t>
      </w:r>
      <w:r w:rsidR="001F685D">
        <w:t xml:space="preserve"> hav</w:t>
      </w:r>
      <w:r w:rsidR="000E4496">
        <w:t>ing</w:t>
      </w:r>
      <w:r w:rsidR="001F685D">
        <w:t xml:space="preserve"> transition</w:t>
      </w:r>
      <w:r w:rsidR="000E4496">
        <w:t>ed</w:t>
      </w:r>
      <w:r w:rsidR="001F685D">
        <w:t xml:space="preserve"> to the </w:t>
      </w:r>
      <w:r w:rsidR="001F685D" w:rsidRPr="4E4D3734">
        <w:rPr>
          <w:rFonts w:ascii="Arial" w:hAnsi="Arial" w:cs="Arial"/>
          <w:color w:val="auto"/>
        </w:rPr>
        <w:t>Australia-Pacific Partnerships for Aviation program</w:t>
      </w:r>
      <w:r w:rsidR="00BE007A">
        <w:t xml:space="preserve">. </w:t>
      </w:r>
      <w:r w:rsidR="001A1E5A">
        <w:t>The second most common sector for TNs is Economic</w:t>
      </w:r>
      <w:r w:rsidR="008D4D01">
        <w:t xml:space="preserve"> </w:t>
      </w:r>
      <w:r w:rsidR="001A1E5A">
        <w:t>/</w:t>
      </w:r>
      <w:r w:rsidR="008D4D01">
        <w:t xml:space="preserve"> </w:t>
      </w:r>
      <w:r w:rsidR="001A1E5A">
        <w:t>Fiscal Governance</w:t>
      </w:r>
      <w:r w:rsidR="008A6F21">
        <w:t xml:space="preserve"> </w:t>
      </w:r>
      <w:r w:rsidR="00C3459D">
        <w:t>(2</w:t>
      </w:r>
      <w:r w:rsidR="00881F0E">
        <w:t>5</w:t>
      </w:r>
      <w:r w:rsidR="00C3459D">
        <w:t>% of TNs)</w:t>
      </w:r>
      <w:r w:rsidR="008A6F21">
        <w:t>.</w:t>
      </w:r>
      <w:r w:rsidR="00C3459D">
        <w:t xml:space="preserve"> </w:t>
      </w:r>
    </w:p>
    <w:p w14:paraId="05C5E191" w14:textId="2B4A3A23" w:rsidR="00F01634" w:rsidRDefault="00C3459D">
      <w:r>
        <w:t>Figure 4 depicts TN</w:t>
      </w:r>
      <w:r w:rsidR="003165B1">
        <w:t xml:space="preserve"> </w:t>
      </w:r>
      <w:r w:rsidR="5E7089BF">
        <w:t>commencements</w:t>
      </w:r>
      <w:r>
        <w:t xml:space="preserve"> by sector </w:t>
      </w:r>
      <w:r w:rsidR="00B17132">
        <w:t>for 2021 to 202</w:t>
      </w:r>
      <w:r w:rsidR="00AF3683">
        <w:t>5</w:t>
      </w:r>
      <w:r w:rsidR="00B17132">
        <w:t xml:space="preserve">. </w:t>
      </w:r>
    </w:p>
    <w:p w14:paraId="53E2152A" w14:textId="2DF45710" w:rsidR="00CB6ACC" w:rsidRDefault="00CB6ACC" w:rsidP="006217E2">
      <w:pPr>
        <w:jc w:val="center"/>
        <w:rPr>
          <w:b/>
          <w:bCs/>
        </w:rPr>
      </w:pPr>
      <w:r w:rsidRPr="0029785A">
        <w:rPr>
          <w:b/>
          <w:bCs/>
        </w:rPr>
        <w:t xml:space="preserve">Figure </w:t>
      </w:r>
      <w:r w:rsidR="00E52DE3">
        <w:rPr>
          <w:b/>
          <w:bCs/>
        </w:rPr>
        <w:t>4</w:t>
      </w:r>
      <w:r w:rsidRPr="0029785A">
        <w:rPr>
          <w:b/>
          <w:bCs/>
        </w:rPr>
        <w:t xml:space="preserve">. </w:t>
      </w:r>
      <w:r w:rsidR="008F40C7">
        <w:rPr>
          <w:b/>
          <w:bCs/>
        </w:rPr>
        <w:t>TNs</w:t>
      </w:r>
      <w:r w:rsidR="000649AB">
        <w:rPr>
          <w:b/>
          <w:bCs/>
        </w:rPr>
        <w:t xml:space="preserve"> by </w:t>
      </w:r>
      <w:r w:rsidR="00F2288F">
        <w:rPr>
          <w:b/>
          <w:bCs/>
        </w:rPr>
        <w:t>s</w:t>
      </w:r>
      <w:r w:rsidR="000649AB">
        <w:rPr>
          <w:b/>
          <w:bCs/>
        </w:rPr>
        <w:t xml:space="preserve">ector and </w:t>
      </w:r>
      <w:r w:rsidR="00293D2F">
        <w:rPr>
          <w:b/>
          <w:bCs/>
        </w:rPr>
        <w:t xml:space="preserve">financial </w:t>
      </w:r>
      <w:r w:rsidR="00F2288F">
        <w:rPr>
          <w:b/>
          <w:bCs/>
        </w:rPr>
        <w:t>y</w:t>
      </w:r>
      <w:r w:rsidR="000649AB">
        <w:rPr>
          <w:b/>
          <w:bCs/>
        </w:rPr>
        <w:t>ear</w:t>
      </w:r>
      <w:r w:rsidR="000A61E7">
        <w:rPr>
          <w:b/>
          <w:bCs/>
        </w:rPr>
        <w:t xml:space="preserve"> of commencement</w:t>
      </w:r>
    </w:p>
    <w:p w14:paraId="5A6D63CD" w14:textId="53B6B0B4" w:rsidR="007653B7" w:rsidRDefault="00DD029F" w:rsidP="00CB6ACC">
      <w:pPr>
        <w:rPr>
          <w:b/>
          <w:bCs/>
        </w:rPr>
      </w:pPr>
      <w:r>
        <w:rPr>
          <w:b/>
          <w:bCs/>
          <w:noProof/>
        </w:rPr>
        <w:drawing>
          <wp:inline distT="0" distB="0" distL="0" distR="0" wp14:anchorId="6583A855" wp14:editId="298F4670">
            <wp:extent cx="5938701" cy="2886215"/>
            <wp:effectExtent l="0" t="0" r="5080" b="9525"/>
            <wp:docPr id="786806376" name="Picture 5" descr="Bar chart showing the number of TNs by sector for 2021, 2022, 2023, 2024 and 2025.  Aviation is the most common sector followed by Economic/Fiscal Govern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806376" name="Picture 5" descr="Bar chart showing the number of TNs by sector for 2021, 2022, 2023, 2024 and 2025.  Aviation is the most common sector followed by Economic/Fiscal Governanc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4304" cy="2888938"/>
                    </a:xfrm>
                    <a:prstGeom prst="rect">
                      <a:avLst/>
                    </a:prstGeom>
                    <a:noFill/>
                  </pic:spPr>
                </pic:pic>
              </a:graphicData>
            </a:graphic>
          </wp:inline>
        </w:drawing>
      </w:r>
    </w:p>
    <w:p w14:paraId="295F27F4" w14:textId="02FE3A13" w:rsidR="00F2288F" w:rsidRPr="00A26A20" w:rsidRDefault="00F2288F" w:rsidP="00AB4AD8">
      <w:pPr>
        <w:spacing w:after="0" w:line="240" w:lineRule="auto"/>
        <w:rPr>
          <w:sz w:val="16"/>
          <w:szCs w:val="16"/>
        </w:rPr>
      </w:pPr>
      <w:r w:rsidRPr="00A26A20">
        <w:rPr>
          <w:sz w:val="16"/>
          <w:szCs w:val="16"/>
        </w:rPr>
        <w:t xml:space="preserve">Note: </w:t>
      </w:r>
      <w:r w:rsidR="009050E2" w:rsidRPr="00A26A20">
        <w:rPr>
          <w:sz w:val="16"/>
          <w:szCs w:val="16"/>
        </w:rPr>
        <w:t xml:space="preserve">There were 167 </w:t>
      </w:r>
      <w:r w:rsidR="00B40EF0" w:rsidRPr="00A26A20">
        <w:rPr>
          <w:sz w:val="16"/>
          <w:szCs w:val="16"/>
        </w:rPr>
        <w:t>TN commencements</w:t>
      </w:r>
      <w:r w:rsidR="009050E2" w:rsidRPr="00A26A20">
        <w:rPr>
          <w:sz w:val="16"/>
          <w:szCs w:val="16"/>
        </w:rPr>
        <w:t xml:space="preserve"> since </w:t>
      </w:r>
      <w:r w:rsidR="001E0D88" w:rsidRPr="00A26A20">
        <w:rPr>
          <w:sz w:val="16"/>
          <w:szCs w:val="16"/>
        </w:rPr>
        <w:t xml:space="preserve">December </w:t>
      </w:r>
      <w:r w:rsidR="009050E2" w:rsidRPr="00A26A20">
        <w:rPr>
          <w:sz w:val="16"/>
          <w:szCs w:val="16"/>
        </w:rPr>
        <w:t>202</w:t>
      </w:r>
      <w:r w:rsidR="000B6284" w:rsidRPr="00A26A20">
        <w:rPr>
          <w:sz w:val="16"/>
          <w:szCs w:val="16"/>
        </w:rPr>
        <w:t>1</w:t>
      </w:r>
      <w:r w:rsidR="009050E2" w:rsidRPr="00A26A20">
        <w:rPr>
          <w:sz w:val="16"/>
          <w:szCs w:val="16"/>
        </w:rPr>
        <w:t>.</w:t>
      </w:r>
      <w:r w:rsidR="002E0F3D" w:rsidRPr="00A26A20">
        <w:rPr>
          <w:sz w:val="16"/>
          <w:szCs w:val="16"/>
        </w:rPr>
        <w:t xml:space="preserve"> </w:t>
      </w:r>
      <w:r w:rsidR="009050E2" w:rsidRPr="00A26A20">
        <w:rPr>
          <w:sz w:val="16"/>
          <w:szCs w:val="16"/>
        </w:rPr>
        <w:t xml:space="preserve">Two </w:t>
      </w:r>
      <w:r w:rsidR="008D4D01">
        <w:rPr>
          <w:sz w:val="16"/>
          <w:szCs w:val="16"/>
        </w:rPr>
        <w:t>TNs</w:t>
      </w:r>
      <w:r w:rsidR="009050E2" w:rsidRPr="00A26A20">
        <w:rPr>
          <w:sz w:val="16"/>
          <w:szCs w:val="16"/>
        </w:rPr>
        <w:t xml:space="preserve"> are excluded </w:t>
      </w:r>
      <w:r w:rsidR="00767971" w:rsidRPr="00A26A20">
        <w:rPr>
          <w:sz w:val="16"/>
          <w:szCs w:val="16"/>
        </w:rPr>
        <w:t xml:space="preserve">for Covid-19 response and recovery and </w:t>
      </w:r>
      <w:r w:rsidR="004D0AEC">
        <w:rPr>
          <w:sz w:val="16"/>
          <w:szCs w:val="16"/>
        </w:rPr>
        <w:t>one</w:t>
      </w:r>
      <w:r w:rsidR="004D0AEC" w:rsidRPr="00A26A20">
        <w:rPr>
          <w:sz w:val="16"/>
          <w:szCs w:val="16"/>
        </w:rPr>
        <w:t xml:space="preserve"> </w:t>
      </w:r>
      <w:r w:rsidR="00767971" w:rsidRPr="00A26A20">
        <w:rPr>
          <w:sz w:val="16"/>
          <w:szCs w:val="16"/>
        </w:rPr>
        <w:t>for Economic</w:t>
      </w:r>
      <w:r w:rsidR="004D0AEC">
        <w:rPr>
          <w:sz w:val="16"/>
          <w:szCs w:val="16"/>
        </w:rPr>
        <w:t xml:space="preserve"> </w:t>
      </w:r>
      <w:r w:rsidR="00767971" w:rsidRPr="00A26A20">
        <w:rPr>
          <w:sz w:val="16"/>
          <w:szCs w:val="16"/>
        </w:rPr>
        <w:t>/</w:t>
      </w:r>
      <w:r w:rsidR="004D0AEC">
        <w:rPr>
          <w:sz w:val="16"/>
          <w:szCs w:val="16"/>
        </w:rPr>
        <w:t xml:space="preserve"> </w:t>
      </w:r>
      <w:r w:rsidR="00767971" w:rsidRPr="00A26A20">
        <w:rPr>
          <w:sz w:val="16"/>
          <w:szCs w:val="16"/>
        </w:rPr>
        <w:t>Fiscal Governance due to the commencement year being unknown</w:t>
      </w:r>
      <w:r w:rsidR="00E626E0" w:rsidRPr="00A26A20">
        <w:rPr>
          <w:sz w:val="16"/>
          <w:szCs w:val="16"/>
        </w:rPr>
        <w:t xml:space="preserve">. </w:t>
      </w:r>
      <w:r w:rsidR="00C21D9A" w:rsidRPr="00A26A20">
        <w:rPr>
          <w:sz w:val="16"/>
          <w:szCs w:val="16"/>
        </w:rPr>
        <w:t>*</w:t>
      </w:r>
      <w:r w:rsidR="001E0D88" w:rsidRPr="00A26A20">
        <w:rPr>
          <w:sz w:val="16"/>
          <w:szCs w:val="16"/>
        </w:rPr>
        <w:t>2024-</w:t>
      </w:r>
      <w:r w:rsidR="004D0AEC">
        <w:rPr>
          <w:sz w:val="16"/>
          <w:szCs w:val="16"/>
        </w:rPr>
        <w:t>20</w:t>
      </w:r>
      <w:r w:rsidR="001E0D88" w:rsidRPr="00A26A20">
        <w:rPr>
          <w:sz w:val="16"/>
          <w:szCs w:val="16"/>
        </w:rPr>
        <w:t xml:space="preserve">25 contains data up until </w:t>
      </w:r>
      <w:r w:rsidR="00C21D9A" w:rsidRPr="00A26A20">
        <w:rPr>
          <w:sz w:val="16"/>
          <w:szCs w:val="16"/>
        </w:rPr>
        <w:t>1 March 2025</w:t>
      </w:r>
      <w:r w:rsidR="000D125E" w:rsidRPr="00A26A20">
        <w:rPr>
          <w:sz w:val="16"/>
          <w:szCs w:val="16"/>
        </w:rPr>
        <w:t xml:space="preserve">. </w:t>
      </w:r>
    </w:p>
    <w:p w14:paraId="0598A35C" w14:textId="114F4B90" w:rsidR="00CB6ACC" w:rsidRPr="00A26A20" w:rsidRDefault="00CB6ACC" w:rsidP="00CB6ACC">
      <w:pPr>
        <w:rPr>
          <w:sz w:val="16"/>
          <w:szCs w:val="16"/>
        </w:rPr>
      </w:pPr>
      <w:r w:rsidRPr="00A26A20">
        <w:rPr>
          <w:sz w:val="16"/>
          <w:szCs w:val="16"/>
        </w:rPr>
        <w:t xml:space="preserve">Source: PRES </w:t>
      </w:r>
      <w:r w:rsidR="0083281C" w:rsidRPr="00A26A20">
        <w:rPr>
          <w:sz w:val="16"/>
          <w:szCs w:val="16"/>
        </w:rPr>
        <w:t>supplied TN data</w:t>
      </w:r>
      <w:r w:rsidR="004D0AEC">
        <w:rPr>
          <w:sz w:val="16"/>
          <w:szCs w:val="16"/>
        </w:rPr>
        <w:t>.</w:t>
      </w:r>
    </w:p>
    <w:p w14:paraId="56C2E725" w14:textId="46BB2BBE" w:rsidR="008F32FA" w:rsidRDefault="00785D4F" w:rsidP="001D0700">
      <w:pPr>
        <w:pStyle w:val="Heading1nonumber"/>
      </w:pPr>
      <w:bookmarkStart w:id="26" w:name="_Toc39916587"/>
      <w:bookmarkStart w:id="27" w:name="_Toc195808964"/>
      <w:bookmarkStart w:id="28" w:name="_Toc205992460"/>
      <w:bookmarkStart w:id="29" w:name="_Toc205992547"/>
      <w:r>
        <w:rPr>
          <w:noProof/>
        </w:rPr>
        <w:lastRenderedPageBreak/>
        <w:drawing>
          <wp:anchor distT="0" distB="0" distL="114300" distR="114300" simplePos="0" relativeHeight="251658242" behindDoc="1" locked="0" layoutInCell="1" allowOverlap="1" wp14:anchorId="6266AF86" wp14:editId="19FD9D10">
            <wp:simplePos x="0" y="0"/>
            <wp:positionH relativeFrom="margin">
              <wp:posOffset>5631180</wp:posOffset>
            </wp:positionH>
            <wp:positionV relativeFrom="paragraph">
              <wp:posOffset>151765</wp:posOffset>
            </wp:positionV>
            <wp:extent cx="664845" cy="664845"/>
            <wp:effectExtent l="0" t="0" r="1905" b="1905"/>
            <wp:wrapSquare wrapText="bothSides"/>
            <wp:docPr id="104145667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456675" name="Picture 5">
                      <a:extLst>
                        <a:ext uri="{C183D7F6-B498-43B3-948B-1728B52AA6E4}">
                          <adec:decorative xmlns:adec="http://schemas.microsoft.com/office/drawing/2017/decorative" val="1"/>
                        </a:ext>
                      </a:extLst>
                    </pic:cNvPr>
                    <pic:cNvPicPr/>
                  </pic:nvPicPr>
                  <pic:blipFill>
                    <a:blip r:embed="rId21"/>
                    <a:stretch>
                      <a:fillRect/>
                    </a:stretch>
                  </pic:blipFill>
                  <pic:spPr>
                    <a:xfrm>
                      <a:off x="0" y="0"/>
                      <a:ext cx="664845" cy="664845"/>
                    </a:xfrm>
                    <a:prstGeom prst="rect">
                      <a:avLst/>
                    </a:prstGeom>
                  </pic:spPr>
                </pic:pic>
              </a:graphicData>
            </a:graphic>
            <wp14:sizeRelH relativeFrom="page">
              <wp14:pctWidth>0</wp14:pctWidth>
            </wp14:sizeRelH>
            <wp14:sizeRelV relativeFrom="page">
              <wp14:pctHeight>0</wp14:pctHeight>
            </wp14:sizeRelV>
          </wp:anchor>
        </w:drawing>
      </w:r>
      <w:r w:rsidR="008F32FA" w:rsidRPr="008F253E">
        <w:t xml:space="preserve">KRQ1. </w:t>
      </w:r>
      <w:bookmarkEnd w:id="26"/>
      <w:r w:rsidR="009D2A23" w:rsidRPr="4B8AE8E7">
        <w:t>How effective is PRES and what are the opportunities to improve effectiveness?</w:t>
      </w:r>
      <w:bookmarkEnd w:id="27"/>
      <w:bookmarkEnd w:id="28"/>
      <w:bookmarkEnd w:id="29"/>
    </w:p>
    <w:p w14:paraId="481F8DD9" w14:textId="743866FD" w:rsidR="007D2697" w:rsidRPr="00047A5B" w:rsidRDefault="00272E71" w:rsidP="007D2697">
      <w:pPr>
        <w:pStyle w:val="Orangeblocktext"/>
      </w:pPr>
      <w:r>
        <w:rPr>
          <w:b/>
          <w:bCs/>
        </w:rPr>
        <w:t xml:space="preserve">How effective is PRES? </w:t>
      </w:r>
      <w:r w:rsidR="007D2697">
        <w:t>Triangulated evidence from the evaluation team's consultations and document review confirms the high effectiveness of DFAT's use of PRES for technical advice, particularly regarding the quality of output, flexibility, and responsiveness. It has been found to meet PEB</w:t>
      </w:r>
      <w:r w:rsidR="00130F00">
        <w:t xml:space="preserve"> </w:t>
      </w:r>
      <w:r w:rsidR="007D2697">
        <w:t>/</w:t>
      </w:r>
      <w:r w:rsidR="00130F00">
        <w:t xml:space="preserve"> </w:t>
      </w:r>
      <w:r w:rsidR="007D2697">
        <w:t xml:space="preserve">DFAT’s needs and has achieved EOIO1. </w:t>
      </w:r>
      <w:r w:rsidR="007D2697" w:rsidRPr="00C12630">
        <w:t xml:space="preserve">EOIO2 has been </w:t>
      </w:r>
      <w:r w:rsidR="00202092">
        <w:t>broadly</w:t>
      </w:r>
      <w:r w:rsidR="007D2697" w:rsidRPr="00C12630">
        <w:t xml:space="preserve"> a</w:t>
      </w:r>
      <w:r w:rsidR="007D2697">
        <w:t>chieved</w:t>
      </w:r>
      <w:r w:rsidR="007D2697" w:rsidRPr="00C12630">
        <w:t>, with a need for greater clarity from DFAT regarding its intended outcomes.</w:t>
      </w:r>
    </w:p>
    <w:p w14:paraId="7D9186E2" w14:textId="7E00A32D" w:rsidR="007D2697" w:rsidRPr="008E4473" w:rsidRDefault="007D2697" w:rsidP="007D2697">
      <w:pPr>
        <w:pStyle w:val="Orangeblocktext"/>
      </w:pPr>
      <w:r>
        <w:rPr>
          <w:b/>
          <w:bCs/>
        </w:rPr>
        <w:t xml:space="preserve">Opportunities to improve effectiveness: </w:t>
      </w:r>
      <w:r w:rsidRPr="00C12630">
        <w:t xml:space="preserve">Potential areas for improvement include </w:t>
      </w:r>
      <w:r>
        <w:t>continuing to utilise the capabilities of PRES’</w:t>
      </w:r>
      <w:r w:rsidRPr="00C12630">
        <w:t xml:space="preserve"> </w:t>
      </w:r>
      <w:r w:rsidR="007C6B66">
        <w:t>C</w:t>
      </w:r>
      <w:r>
        <w:t xml:space="preserve">ore </w:t>
      </w:r>
      <w:r w:rsidR="007C6B66">
        <w:t>T</w:t>
      </w:r>
      <w:r>
        <w:t>eam to build knowledge within DFAT</w:t>
      </w:r>
      <w:r w:rsidR="00DD3643">
        <w:t>;</w:t>
      </w:r>
      <w:r>
        <w:t xml:space="preserve"> and</w:t>
      </w:r>
      <w:r w:rsidRPr="00C12630">
        <w:t xml:space="preserve"> clearer articulation of DFAT's intent for EOIO2</w:t>
      </w:r>
      <w:r>
        <w:t>.</w:t>
      </w:r>
    </w:p>
    <w:p w14:paraId="7A4A2468" w14:textId="5F066D2B" w:rsidR="00F36A3C" w:rsidRDefault="004179FF" w:rsidP="00D93E5B">
      <w:pPr>
        <w:pStyle w:val="Heading3nonumber"/>
      </w:pPr>
      <w:bookmarkStart w:id="30" w:name="_Toc195808965"/>
      <w:r>
        <w:t>1</w:t>
      </w:r>
      <w:r w:rsidR="00F36A3C" w:rsidRPr="00F36A3C">
        <w:t xml:space="preserve">.1 </w:t>
      </w:r>
      <w:r w:rsidR="00F36A3C">
        <w:t>Achievement of EOIO 1</w:t>
      </w:r>
      <w:bookmarkEnd w:id="30"/>
    </w:p>
    <w:p w14:paraId="35F44A13" w14:textId="70BA3362" w:rsidR="003B7F09" w:rsidRPr="003B7F09" w:rsidRDefault="003B7F09" w:rsidP="00941B78">
      <w:pPr>
        <w:pStyle w:val="Orangeblocktext"/>
        <w:rPr>
          <w:b/>
          <w:bCs/>
        </w:rPr>
      </w:pPr>
      <w:r w:rsidRPr="003B7F09">
        <w:rPr>
          <w:b/>
          <w:bCs/>
        </w:rPr>
        <w:t xml:space="preserve">EOIO 1: </w:t>
      </w:r>
      <w:r w:rsidRPr="00941B78">
        <w:rPr>
          <w:i/>
        </w:rPr>
        <w:t xml:space="preserve">Use of technical advice and support: DFAT staff use the technical advice, products or services accessed through PRES to support evidence-based policy, strategy, program coherence and enhanced investment design, management and </w:t>
      </w:r>
      <w:r w:rsidR="00904417" w:rsidRPr="00941B78">
        <w:rPr>
          <w:i/>
        </w:rPr>
        <w:t>performance.</w:t>
      </w:r>
    </w:p>
    <w:p w14:paraId="488E3820" w14:textId="48F4D63E" w:rsidR="006F7E5A" w:rsidRPr="008E4473" w:rsidRDefault="003B7F09" w:rsidP="00941B78">
      <w:pPr>
        <w:pStyle w:val="Orangeblocktext"/>
      </w:pPr>
      <w:bookmarkStart w:id="31" w:name="_Hlk191972665"/>
      <w:r w:rsidRPr="152412E2">
        <w:rPr>
          <w:b/>
          <w:bCs/>
        </w:rPr>
        <w:t>EOIO 1 is</w:t>
      </w:r>
      <w:r w:rsidR="00EF67C8" w:rsidRPr="152412E2">
        <w:rPr>
          <w:b/>
          <w:bCs/>
        </w:rPr>
        <w:t xml:space="preserve"> </w:t>
      </w:r>
      <w:r w:rsidRPr="152412E2">
        <w:rPr>
          <w:b/>
          <w:bCs/>
        </w:rPr>
        <w:t xml:space="preserve">achieved: </w:t>
      </w:r>
      <w:r w:rsidR="00C717AE" w:rsidRPr="006036DF">
        <w:rPr>
          <w:rFonts w:cstheme="minorHAnsi"/>
          <w:szCs w:val="21"/>
        </w:rPr>
        <w:t xml:space="preserve">It is clear from the evidence that PRES’ strength lies in the ability for DFAT to </w:t>
      </w:r>
      <w:r w:rsidR="00C717AE">
        <w:rPr>
          <w:rFonts w:cstheme="minorHAnsi"/>
          <w:szCs w:val="21"/>
        </w:rPr>
        <w:t>draw in specialist technical expertise to inform policy and programming activities</w:t>
      </w:r>
      <w:r w:rsidR="00817AD0">
        <w:rPr>
          <w:rFonts w:cstheme="minorHAnsi"/>
          <w:szCs w:val="21"/>
        </w:rPr>
        <w:t>.</w:t>
      </w:r>
      <w:r w:rsidRPr="152412E2">
        <w:t xml:space="preserve">, </w:t>
      </w:r>
    </w:p>
    <w:bookmarkEnd w:id="31"/>
    <w:p w14:paraId="7C47E641" w14:textId="3EAFEF87" w:rsidR="00631292" w:rsidRDefault="00A94CB8" w:rsidP="00A94CB8">
      <w:r w:rsidRPr="00FB7C94">
        <w:t xml:space="preserve">The available evidence indicates that the EOIO1 is being achieved. Feedback from consultations regarding the use of PRES for technical advice has been overwhelmingly positive, with </w:t>
      </w:r>
      <w:r w:rsidR="006E4F81" w:rsidRPr="00FB7C94">
        <w:t>respondents</w:t>
      </w:r>
      <w:r w:rsidRPr="00FB7C94">
        <w:t xml:space="preserve"> highlighting the quality, flexibility and timeliness of </w:t>
      </w:r>
      <w:r w:rsidR="004F781C" w:rsidRPr="00FB7C94">
        <w:t>advice provided</w:t>
      </w:r>
      <w:r w:rsidR="00776E5A">
        <w:t xml:space="preserve"> – </w:t>
      </w:r>
      <w:r w:rsidR="005474F3" w:rsidRPr="005474F3">
        <w:t xml:space="preserve">both </w:t>
      </w:r>
      <w:r w:rsidR="005474F3">
        <w:t xml:space="preserve">from </w:t>
      </w:r>
      <w:r w:rsidR="005474F3" w:rsidRPr="005474F3">
        <w:t>the technical consultants engaged through PRES and the PRES Core Team directly.</w:t>
      </w:r>
      <w:r w:rsidR="00631292">
        <w:t xml:space="preserve"> </w:t>
      </w:r>
      <w:r w:rsidR="00A00BF2">
        <w:t>It was also revealed that PRES outcomes have improved over tim</w:t>
      </w:r>
      <w:r w:rsidR="0046789A">
        <w:t xml:space="preserve">e, with initial teething issues around recruitment </w:t>
      </w:r>
      <w:r w:rsidR="007526A1">
        <w:t xml:space="preserve">and retention </w:t>
      </w:r>
      <w:r w:rsidR="0046789A">
        <w:t>in the Core Team</w:t>
      </w:r>
      <w:r w:rsidR="003375B9">
        <w:t xml:space="preserve"> </w:t>
      </w:r>
      <w:r w:rsidR="00484392">
        <w:t>and</w:t>
      </w:r>
      <w:r w:rsidR="00D62B94">
        <w:t xml:space="preserve"> external factors such as </w:t>
      </w:r>
      <w:r w:rsidR="00392B0A">
        <w:t xml:space="preserve">2022 being an election year. </w:t>
      </w:r>
    </w:p>
    <w:p w14:paraId="44B53F3E" w14:textId="13FEA098" w:rsidR="00F713BA" w:rsidRDefault="008155B2" w:rsidP="00A94CB8">
      <w:r w:rsidRPr="008155B2">
        <w:t>With its commencement in late 2021, PRES prioriti</w:t>
      </w:r>
      <w:r w:rsidR="00E94604">
        <w:t>s</w:t>
      </w:r>
      <w:r w:rsidRPr="008155B2">
        <w:t xml:space="preserve">ed the development of foundational documents, including the </w:t>
      </w:r>
      <w:r w:rsidR="00484392">
        <w:t>o</w:t>
      </w:r>
      <w:r w:rsidRPr="008155B2">
        <w:t xml:space="preserve">perations </w:t>
      </w:r>
      <w:r w:rsidR="00484392">
        <w:t>m</w:t>
      </w:r>
      <w:r w:rsidRPr="008155B2">
        <w:t xml:space="preserve">anual and </w:t>
      </w:r>
      <w:r w:rsidR="00484392">
        <w:t>M&amp;E</w:t>
      </w:r>
      <w:r w:rsidRPr="008155B2">
        <w:t xml:space="preserve"> framework. Consequently, the initial period spanning late 2021</w:t>
      </w:r>
      <w:r w:rsidR="00484392">
        <w:rPr>
          <w:rFonts w:cstheme="minorHAnsi"/>
        </w:rPr>
        <w:t>–</w:t>
      </w:r>
      <w:r w:rsidRPr="008155B2">
        <w:t>early 2022, saw a lower output of TNs.</w:t>
      </w:r>
      <w:r>
        <w:t xml:space="preserve"> </w:t>
      </w:r>
      <w:r w:rsidR="00380D22">
        <w:t>T</w:t>
      </w:r>
      <w:r w:rsidR="00077B74">
        <w:t>he number of TNs have</w:t>
      </w:r>
      <w:r w:rsidR="004F781C" w:rsidRPr="00FB7C94">
        <w:t xml:space="preserve"> steadily increased </w:t>
      </w:r>
      <w:r w:rsidR="00380D22">
        <w:t>in 2022-23 and 2023-24</w:t>
      </w:r>
      <w:r w:rsidR="002D7E3E">
        <w:t xml:space="preserve"> reflecting growing recognition of the value of PRES</w:t>
      </w:r>
      <w:r w:rsidR="004F781C" w:rsidRPr="00FB7C94">
        <w:t xml:space="preserve">. </w:t>
      </w:r>
      <w:r w:rsidR="002D7E3E">
        <w:t xml:space="preserve">While a full </w:t>
      </w:r>
      <w:proofErr w:type="gramStart"/>
      <w:r w:rsidR="002D7E3E">
        <w:t>years</w:t>
      </w:r>
      <w:proofErr w:type="gramEnd"/>
      <w:r w:rsidR="002D7E3E">
        <w:t xml:space="preserve"> data for 2024-25 is not yet available, </w:t>
      </w:r>
      <w:r w:rsidR="007B761C">
        <w:t xml:space="preserve">the transition of </w:t>
      </w:r>
      <w:r w:rsidR="00C36451">
        <w:t xml:space="preserve">some program activities to the </w:t>
      </w:r>
      <w:r w:rsidR="007B761C" w:rsidRPr="4E4D3734">
        <w:rPr>
          <w:rFonts w:ascii="Arial" w:hAnsi="Arial" w:cs="Arial"/>
          <w:color w:val="auto"/>
        </w:rPr>
        <w:t xml:space="preserve">Australia-Pacific Partnerships for Aviation </w:t>
      </w:r>
      <w:r w:rsidR="007B761C" w:rsidRPr="00F1384F">
        <w:t>program</w:t>
      </w:r>
      <w:r w:rsidR="00C36451">
        <w:t xml:space="preserve"> may potentially see a drop in activities in 2024-25</w:t>
      </w:r>
      <w:r w:rsidR="00CD0156">
        <w:t xml:space="preserve">. </w:t>
      </w:r>
      <w:r w:rsidR="00CD0156" w:rsidRPr="00CD0156">
        <w:t>Current quarterly data indicates that the number of "in progress" TNs decreased after reaching a peak in July 2024. However, the figures for October 2024 and January 2025 remained higher than levels observed before July 2024.</w:t>
      </w:r>
    </w:p>
    <w:p w14:paraId="73B9A857" w14:textId="468A7C05" w:rsidR="000B6E18" w:rsidRDefault="005662FB" w:rsidP="00A94CB8">
      <w:r w:rsidRPr="00A47068">
        <w:t xml:space="preserve">Given that EOIO1 focuses on </w:t>
      </w:r>
      <w:r w:rsidR="00765464">
        <w:t>the provision of</w:t>
      </w:r>
      <w:r w:rsidRPr="00A47068">
        <w:t xml:space="preserve"> technical advice and support, evaluating its effectiveness inherently involves</w:t>
      </w:r>
      <w:r w:rsidR="006A48E5">
        <w:t xml:space="preserve"> some crossover and</w:t>
      </w:r>
      <w:r w:rsidRPr="00A47068">
        <w:t xml:space="preserve"> consider</w:t>
      </w:r>
      <w:r w:rsidR="006A48E5">
        <w:t>ation of</w:t>
      </w:r>
      <w:r w:rsidRPr="00A47068">
        <w:t xml:space="preserve"> the efficiency of its delivery, which is further analy</w:t>
      </w:r>
      <w:r>
        <w:t>s</w:t>
      </w:r>
      <w:r w:rsidRPr="00A47068">
        <w:t xml:space="preserve">ed in </w:t>
      </w:r>
      <w:r w:rsidR="00904417" w:rsidRPr="00A47068">
        <w:t>KRQ2.</w:t>
      </w:r>
    </w:p>
    <w:p w14:paraId="34A6FA1B" w14:textId="746E1825" w:rsidR="004F781C" w:rsidRDefault="004F781C" w:rsidP="00A94CB8">
      <w:r>
        <w:t>Consultations revealed key highlights of effectiveness of PRES as:</w:t>
      </w:r>
    </w:p>
    <w:p w14:paraId="709F91B1" w14:textId="22509C72" w:rsidR="006E4F81" w:rsidRDefault="004F781C" w:rsidP="00602BA4">
      <w:pPr>
        <w:pStyle w:val="ListParagraph"/>
        <w:numPr>
          <w:ilvl w:val="0"/>
          <w:numId w:val="13"/>
        </w:numPr>
        <w:spacing w:before="120"/>
        <w:ind w:left="714" w:hanging="357"/>
        <w:contextualSpacing w:val="0"/>
      </w:pPr>
      <w:r w:rsidRPr="00602BA4">
        <w:rPr>
          <w:b/>
          <w:bCs/>
        </w:rPr>
        <w:t>Quality of output</w:t>
      </w:r>
      <w:r w:rsidRPr="152412E2">
        <w:t xml:space="preserve">. Users of PRES </w:t>
      </w:r>
      <w:r w:rsidR="00890BF4">
        <w:t xml:space="preserve">are </w:t>
      </w:r>
      <w:r w:rsidRPr="152412E2">
        <w:t xml:space="preserve">happy with the quality of work that </w:t>
      </w:r>
      <w:r w:rsidR="00890BF4">
        <w:t>is</w:t>
      </w:r>
      <w:r w:rsidRPr="152412E2">
        <w:t xml:space="preserve"> provided, indicating that services provided by PRES met DFAT needs.</w:t>
      </w:r>
    </w:p>
    <w:p w14:paraId="10AA18B6" w14:textId="49C4B863" w:rsidR="006604A0" w:rsidRDefault="006604A0" w:rsidP="004F254A">
      <w:pPr>
        <w:pStyle w:val="ListParagraph"/>
        <w:numPr>
          <w:ilvl w:val="0"/>
          <w:numId w:val="13"/>
        </w:numPr>
        <w:spacing w:before="120"/>
        <w:ind w:left="714" w:hanging="357"/>
        <w:contextualSpacing w:val="0"/>
      </w:pPr>
      <w:r w:rsidRPr="00602BA4">
        <w:rPr>
          <w:b/>
          <w:bCs/>
        </w:rPr>
        <w:lastRenderedPageBreak/>
        <w:t>Flexibility of service</w:t>
      </w:r>
      <w:r w:rsidRPr="152412E2">
        <w:t xml:space="preserve">. The flexibility of PRES was raised as a benefit numerous times by stakeholders. This included flexibility in the choice of technical experts, the type and length of engagements, adaptability in </w:t>
      </w:r>
      <w:r w:rsidR="00612329">
        <w:t>terms of reference</w:t>
      </w:r>
      <w:r w:rsidR="00612329" w:rsidRPr="152412E2">
        <w:t xml:space="preserve"> </w:t>
      </w:r>
      <w:r w:rsidRPr="152412E2">
        <w:t>and timeline amendments, and the level of involvement of PRES (e.g. direct relationship with consultant and DFAT with administrative support from PRES, high level of PRES involvement)</w:t>
      </w:r>
      <w:r w:rsidR="00602BA4">
        <w:t>.</w:t>
      </w:r>
    </w:p>
    <w:p w14:paraId="739BDAC5" w14:textId="2A63A496" w:rsidR="005422C9" w:rsidRDefault="005422C9" w:rsidP="004F254A">
      <w:pPr>
        <w:pStyle w:val="ListParagraph"/>
        <w:numPr>
          <w:ilvl w:val="0"/>
          <w:numId w:val="13"/>
        </w:numPr>
        <w:spacing w:before="120"/>
        <w:ind w:left="714" w:hanging="357"/>
        <w:contextualSpacing w:val="0"/>
      </w:pPr>
      <w:r w:rsidRPr="004F254A">
        <w:rPr>
          <w:b/>
          <w:bCs/>
        </w:rPr>
        <w:t>Streamlining</w:t>
      </w:r>
      <w:r w:rsidRPr="152412E2">
        <w:t xml:space="preserve">. Stakeholders are happy with the ease with which </w:t>
      </w:r>
      <w:r w:rsidR="00110403">
        <w:t xml:space="preserve">the managing contractor </w:t>
      </w:r>
      <w:r w:rsidRPr="152412E2">
        <w:t xml:space="preserve">simplifies the process from </w:t>
      </w:r>
      <w:r w:rsidR="008D0E86">
        <w:t xml:space="preserve">developing the </w:t>
      </w:r>
      <w:r w:rsidR="00E36E74">
        <w:t>TN</w:t>
      </w:r>
      <w:r w:rsidR="008D0E86">
        <w:t>,</w:t>
      </w:r>
      <w:r w:rsidRPr="152412E2">
        <w:t xml:space="preserve"> to contracting</w:t>
      </w:r>
      <w:r w:rsidR="008D0E86">
        <w:t>,</w:t>
      </w:r>
      <w:r w:rsidRPr="152412E2">
        <w:t xml:space="preserve"> to deliverables</w:t>
      </w:r>
      <w:r w:rsidR="008D172C" w:rsidRPr="152412E2">
        <w:t xml:space="preserve"> and provides a less </w:t>
      </w:r>
      <w:r w:rsidR="004179FF" w:rsidRPr="152412E2">
        <w:t>time-consuming</w:t>
      </w:r>
      <w:r w:rsidR="008D172C" w:rsidRPr="152412E2">
        <w:t xml:space="preserve"> mechanism for contracting technical advis</w:t>
      </w:r>
      <w:r w:rsidR="00AA6F74">
        <w:t>e</w:t>
      </w:r>
      <w:r w:rsidR="008D172C" w:rsidRPr="152412E2">
        <w:t>rs</w:t>
      </w:r>
      <w:r w:rsidRPr="152412E2">
        <w:t xml:space="preserve">. PRES actively removes much of </w:t>
      </w:r>
      <w:r w:rsidR="00ED06AA">
        <w:t>DFAT’s</w:t>
      </w:r>
      <w:r w:rsidR="00ED06AA" w:rsidRPr="152412E2">
        <w:t xml:space="preserve"> </w:t>
      </w:r>
      <w:r w:rsidRPr="152412E2">
        <w:t xml:space="preserve">administrative burden of identifying, engaging with and managing </w:t>
      </w:r>
      <w:r w:rsidR="008D0E86" w:rsidRPr="152412E2">
        <w:t>high</w:t>
      </w:r>
      <w:r w:rsidR="008D0E86">
        <w:t>-</w:t>
      </w:r>
      <w:r w:rsidRPr="152412E2">
        <w:t xml:space="preserve">quality </w:t>
      </w:r>
      <w:r w:rsidR="00476593">
        <w:t>advisers</w:t>
      </w:r>
      <w:r w:rsidRPr="152412E2">
        <w:t xml:space="preserve">. </w:t>
      </w:r>
    </w:p>
    <w:p w14:paraId="3542048B" w14:textId="0A6E0A94" w:rsidR="006E4F81" w:rsidRPr="00BE6337" w:rsidRDefault="006E4F81" w:rsidP="004F254A">
      <w:pPr>
        <w:pStyle w:val="ListParagraph"/>
        <w:numPr>
          <w:ilvl w:val="0"/>
          <w:numId w:val="13"/>
        </w:numPr>
        <w:spacing w:before="120"/>
        <w:ind w:left="714" w:hanging="357"/>
        <w:contextualSpacing w:val="0"/>
      </w:pPr>
      <w:r w:rsidRPr="004F254A">
        <w:rPr>
          <w:b/>
          <w:bCs/>
        </w:rPr>
        <w:t>Responsiveness</w:t>
      </w:r>
      <w:r w:rsidRPr="152412E2">
        <w:t xml:space="preserve">. Stakeholders revealed that PRES provided a mechanism to deliver products and services </w:t>
      </w:r>
      <w:r w:rsidR="00476593">
        <w:t>faster</w:t>
      </w:r>
      <w:r w:rsidRPr="152412E2">
        <w:t xml:space="preserve"> than what may be possible through other mechanisms. </w:t>
      </w:r>
      <w:r w:rsidR="006604A0">
        <w:t xml:space="preserve">More detail on the efficiency </w:t>
      </w:r>
      <w:r w:rsidR="006604A0" w:rsidRPr="152412E2">
        <w:t>in the delivery of technical analysis and expertise</w:t>
      </w:r>
      <w:r w:rsidR="006604A0">
        <w:t xml:space="preserve"> is given in Section KRQ2.</w:t>
      </w:r>
    </w:p>
    <w:p w14:paraId="7F70C166" w14:textId="582635A9" w:rsidR="004179FF" w:rsidRPr="007A5F19" w:rsidRDefault="00A94CB8" w:rsidP="004179FF">
      <w:r w:rsidRPr="152412E2">
        <w:t>This is consistent with findings in the documentation</w:t>
      </w:r>
      <w:r w:rsidR="00476593">
        <w:t>,</w:t>
      </w:r>
      <w:r w:rsidRPr="152412E2">
        <w:t xml:space="preserve"> including the </w:t>
      </w:r>
      <w:r w:rsidR="00476593">
        <w:t>a</w:t>
      </w:r>
      <w:r w:rsidR="00476593" w:rsidRPr="152412E2">
        <w:t xml:space="preserve">nnual </w:t>
      </w:r>
      <w:r w:rsidR="00476593">
        <w:t>r</w:t>
      </w:r>
      <w:r w:rsidR="00476593" w:rsidRPr="152412E2">
        <w:t xml:space="preserve">eports </w:t>
      </w:r>
      <w:r w:rsidRPr="152412E2">
        <w:t xml:space="preserve">and </w:t>
      </w:r>
      <w:r w:rsidR="00476593">
        <w:rPr>
          <w:rFonts w:ascii="Arial" w:hAnsi="Arial" w:cs="Arial"/>
          <w:color w:val="auto"/>
        </w:rPr>
        <w:t>investment monitoring report</w:t>
      </w:r>
      <w:r w:rsidR="00476593" w:rsidRPr="00B045BE" w:rsidDel="00C14400">
        <w:rPr>
          <w:lang w:eastAsia="en-GB"/>
        </w:rPr>
        <w:t xml:space="preserve"> </w:t>
      </w:r>
      <w:r w:rsidR="004F254A">
        <w:rPr>
          <w:lang w:eastAsia="en-GB"/>
        </w:rPr>
        <w:t>(</w:t>
      </w:r>
      <w:r w:rsidR="00CE552C">
        <w:t>IMRs</w:t>
      </w:r>
      <w:r w:rsidR="004F254A">
        <w:t>)</w:t>
      </w:r>
      <w:r w:rsidRPr="152412E2">
        <w:t>.</w:t>
      </w:r>
      <w:r w:rsidR="006E4F81" w:rsidRPr="152412E2">
        <w:t xml:space="preserve"> </w:t>
      </w:r>
      <w:r w:rsidR="0027085E">
        <w:t>Ra</w:t>
      </w:r>
      <w:r w:rsidR="006E4F81" w:rsidRPr="152412E2">
        <w:t xml:space="preserve">tings for effectiveness were </w:t>
      </w:r>
      <w:r w:rsidR="004F254A">
        <w:t>‘</w:t>
      </w:r>
      <w:r w:rsidR="006E4F81" w:rsidRPr="152412E2">
        <w:t xml:space="preserve">4 </w:t>
      </w:r>
      <w:r w:rsidR="004F254A">
        <w:rPr>
          <w:rFonts w:cstheme="minorHAnsi"/>
        </w:rPr>
        <w:t>–</w:t>
      </w:r>
      <w:r w:rsidR="004F254A">
        <w:t xml:space="preserve"> </w:t>
      </w:r>
      <w:r w:rsidR="00CE552C">
        <w:t>adequate</w:t>
      </w:r>
      <w:r w:rsidR="004F254A">
        <w:t>’</w:t>
      </w:r>
      <w:r w:rsidR="00CE552C">
        <w:t xml:space="preserve"> </w:t>
      </w:r>
      <w:r w:rsidR="006E4F81" w:rsidRPr="152412E2">
        <w:t xml:space="preserve">in both 2023 and 2024 </w:t>
      </w:r>
      <w:r w:rsidR="00CE552C">
        <w:t>IMR</w:t>
      </w:r>
      <w:r w:rsidR="004F254A">
        <w:t>s</w:t>
      </w:r>
      <w:r w:rsidR="006E4F81" w:rsidRPr="152412E2">
        <w:t xml:space="preserve">. The </w:t>
      </w:r>
      <w:r w:rsidR="004F254A">
        <w:t>a</w:t>
      </w:r>
      <w:r w:rsidR="004F254A" w:rsidRPr="152412E2">
        <w:t xml:space="preserve">nnual </w:t>
      </w:r>
      <w:r w:rsidR="004F254A">
        <w:t>r</w:t>
      </w:r>
      <w:r w:rsidR="004F254A" w:rsidRPr="152412E2">
        <w:t xml:space="preserve">eports </w:t>
      </w:r>
      <w:r w:rsidR="006E4F81" w:rsidRPr="152412E2">
        <w:t xml:space="preserve">also indicated strong progress against EOIO1, including </w:t>
      </w:r>
      <w:r w:rsidR="004F254A">
        <w:t>‘</w:t>
      </w:r>
      <w:r w:rsidR="006E4F81" w:rsidRPr="152412E2">
        <w:t>evidence of high rates of use of completed TN deliverables, and high levels of contribution to various aspects of DFAT programming</w:t>
      </w:r>
      <w:r w:rsidR="004F254A">
        <w:t>’</w:t>
      </w:r>
      <w:r w:rsidR="006E4F81" w:rsidRPr="152412E2">
        <w:t xml:space="preserve">. </w:t>
      </w:r>
    </w:p>
    <w:p w14:paraId="79F65C24" w14:textId="4CE5762D" w:rsidR="008D172C" w:rsidRPr="007A5F19" w:rsidRDefault="004179FF" w:rsidP="004179FF">
      <w:r w:rsidRPr="152412E2">
        <w:t>It is clear from the evidence that PRES’ strength lies in the ability for DFAT to leverage specialist technical expertise to fill specific capability or capacity gaps, allowing DFAT to focus on its core competencies</w:t>
      </w:r>
      <w:r w:rsidR="00C93897">
        <w:t>.</w:t>
      </w:r>
      <w:r w:rsidR="00CC17EA">
        <w:t xml:space="preserve"> </w:t>
      </w:r>
      <w:r w:rsidR="00580148" w:rsidRPr="001B5DF4">
        <w:t>PRES provides technical advice both by connecting DFAT with consultant technical advis</w:t>
      </w:r>
      <w:r w:rsidR="00580148">
        <w:t>e</w:t>
      </w:r>
      <w:r w:rsidR="00580148" w:rsidRPr="001B5DF4">
        <w:t xml:space="preserve">rs and through the </w:t>
      </w:r>
      <w:r w:rsidR="00580148">
        <w:t xml:space="preserve">technical </w:t>
      </w:r>
      <w:r w:rsidR="00580148" w:rsidRPr="001B5DF4">
        <w:t>expertise of its own Core Team.</w:t>
      </w:r>
    </w:p>
    <w:p w14:paraId="426B2273" w14:textId="7B169ECB" w:rsidR="00FC7C93" w:rsidRDefault="00FC7C93" w:rsidP="00FC7C93">
      <w:r w:rsidRPr="152412E2">
        <w:t xml:space="preserve">Consultations suggested that, in many instances, the capability gaps being filled by </w:t>
      </w:r>
      <w:r w:rsidR="0097525D">
        <w:t>PRES</w:t>
      </w:r>
      <w:r w:rsidR="0097525D" w:rsidRPr="152412E2">
        <w:t xml:space="preserve"> </w:t>
      </w:r>
      <w:r w:rsidRPr="152412E2">
        <w:t>are those where it would not be practical for DFAT to develop or maintain highly specialised technical skills in-house. Reasons for this include: 1) access to capability due to the small pool of highly skilled specialists</w:t>
      </w:r>
      <w:r w:rsidR="007A5ED6">
        <w:t>;</w:t>
      </w:r>
      <w:r w:rsidRPr="152412E2">
        <w:t xml:space="preserve"> 2) inefficient use of resources as </w:t>
      </w:r>
      <w:r w:rsidR="007A5ED6" w:rsidRPr="152412E2">
        <w:t xml:space="preserve">permanently </w:t>
      </w:r>
      <w:r w:rsidRPr="152412E2">
        <w:t xml:space="preserve">hiring niche specialists would ultimately require </w:t>
      </w:r>
      <w:r w:rsidR="007A5ED6">
        <w:t>these specialists</w:t>
      </w:r>
      <w:r w:rsidR="007A5ED6" w:rsidRPr="152412E2">
        <w:t xml:space="preserve"> </w:t>
      </w:r>
      <w:r w:rsidRPr="152412E2">
        <w:t>to perform generalist tasks, potentially diminishing their specialist skills and expertise</w:t>
      </w:r>
      <w:r w:rsidR="007A5ED6">
        <w:t>;</w:t>
      </w:r>
      <w:r w:rsidRPr="152412E2">
        <w:t xml:space="preserve"> </w:t>
      </w:r>
      <w:r w:rsidR="007A5ED6">
        <w:t xml:space="preserve">and </w:t>
      </w:r>
      <w:r w:rsidRPr="152412E2">
        <w:t xml:space="preserve">3) engaging a range of technical specialists in specific areas provides internal specialists and generalists with access to expert new ideas, support and guidance. </w:t>
      </w:r>
    </w:p>
    <w:p w14:paraId="5134B2BA" w14:textId="44B26BFA" w:rsidR="00F1384F" w:rsidRPr="00B515EE" w:rsidRDefault="00F1384F" w:rsidP="00941B78">
      <w:pPr>
        <w:pStyle w:val="Blueblockheading"/>
      </w:pPr>
      <w:r w:rsidRPr="00FC25FE">
        <w:t>Case Study</w:t>
      </w:r>
      <w:r w:rsidR="00FA5B56" w:rsidRPr="00FC25FE">
        <w:t xml:space="preserve"> 1</w:t>
      </w:r>
      <w:r w:rsidRPr="00FC25FE">
        <w:t>: PRES support to the Pacific Aviation Section</w:t>
      </w:r>
    </w:p>
    <w:p w14:paraId="6DB9776A" w14:textId="730E4ABD" w:rsidR="00F1384F" w:rsidRPr="00B515EE" w:rsidRDefault="00F1384F" w:rsidP="00941B78">
      <w:pPr>
        <w:pStyle w:val="Blueblocktext"/>
      </w:pPr>
      <w:r w:rsidRPr="00F1384F">
        <w:t xml:space="preserve">PRES has provided a range of surge support to </w:t>
      </w:r>
      <w:r w:rsidR="007A5ED6">
        <w:t xml:space="preserve">DFAT’s </w:t>
      </w:r>
      <w:r w:rsidRPr="00F1384F">
        <w:t>Pacific Aviation Section (VNS)</w:t>
      </w:r>
      <w:r w:rsidR="00007050">
        <w:t>,</w:t>
      </w:r>
      <w:r w:rsidRPr="00F1384F">
        <w:t xml:space="preserve"> including program design, communications, MEL and GEDSI support</w:t>
      </w:r>
      <w:r w:rsidR="00007050">
        <w:t>,</w:t>
      </w:r>
      <w:r w:rsidRPr="00F1384F">
        <w:t xml:space="preserve"> </w:t>
      </w:r>
      <w:r w:rsidR="00007050">
        <w:t>and</w:t>
      </w:r>
      <w:r w:rsidRPr="00F1384F">
        <w:t xml:space="preserve"> specialist technical support</w:t>
      </w:r>
      <w:r w:rsidR="00315068" w:rsidRPr="00F1384F">
        <w:t xml:space="preserve">. </w:t>
      </w:r>
      <w:r w:rsidR="00F37BC7">
        <w:t xml:space="preserve">In terms of sectors, </w:t>
      </w:r>
      <w:r w:rsidR="0097503E">
        <w:t xml:space="preserve">aviation </w:t>
      </w:r>
      <w:r w:rsidR="004F12E8">
        <w:t>has had the highest number of TNs since commencement of PRES</w:t>
      </w:r>
      <w:r w:rsidR="004E3961">
        <w:t xml:space="preserve"> (</w:t>
      </w:r>
      <w:r w:rsidR="00202C66">
        <w:t>64</w:t>
      </w:r>
      <w:r w:rsidR="00BF36E9">
        <w:t xml:space="preserve"> TNs</w:t>
      </w:r>
      <w:r w:rsidR="00DB3F75">
        <w:t>,</w:t>
      </w:r>
      <w:r w:rsidR="004E3961">
        <w:t xml:space="preserve"> </w:t>
      </w:r>
      <w:r w:rsidR="00DB3F75">
        <w:t>representing 39</w:t>
      </w:r>
      <w:r w:rsidR="008C4EF4">
        <w:t xml:space="preserve">% </w:t>
      </w:r>
      <w:r w:rsidR="00DB3F75">
        <w:t>of total PRES TNs since commencement)</w:t>
      </w:r>
      <w:r w:rsidR="00F92F34">
        <w:t>.</w:t>
      </w:r>
    </w:p>
    <w:p w14:paraId="7F270248" w14:textId="4E64A1A7" w:rsidR="00F1384F" w:rsidRPr="00B515EE" w:rsidRDefault="005A3CD5" w:rsidP="00941B78">
      <w:pPr>
        <w:pStyle w:val="Blueblocktext"/>
      </w:pPr>
      <w:r>
        <w:t>PRES has added significant value through its enabling work and</w:t>
      </w:r>
      <w:r w:rsidR="008E3CCA">
        <w:t>,</w:t>
      </w:r>
      <w:r>
        <w:t xml:space="preserve"> i</w:t>
      </w:r>
      <w:r w:rsidR="007B145D">
        <w:t>n addition to a range of one-off TNs, i</w:t>
      </w:r>
      <w:r w:rsidR="00F1384F" w:rsidRPr="00F1384F">
        <w:t xml:space="preserve">t has supported </w:t>
      </w:r>
      <w:r w:rsidR="000D7CC3">
        <w:t>long-term</w:t>
      </w:r>
      <w:r w:rsidR="00F1384F" w:rsidRPr="00F1384F">
        <w:t xml:space="preserve"> project goals to:</w:t>
      </w:r>
    </w:p>
    <w:p w14:paraId="658C239E" w14:textId="0EF94AC8" w:rsidR="00642694" w:rsidRDefault="00940DF8" w:rsidP="004F254A">
      <w:pPr>
        <w:pStyle w:val="Listblueblockbullet"/>
        <w:spacing w:before="120" w:after="120"/>
        <w:rPr>
          <w:strike/>
        </w:rPr>
      </w:pPr>
      <w:r>
        <w:t>s</w:t>
      </w:r>
      <w:r w:rsidR="00642694">
        <w:t xml:space="preserve">upport airlines in their efforts to improve </w:t>
      </w:r>
      <w:r w:rsidR="00642694">
        <w:rPr>
          <w:color w:val="000000"/>
        </w:rPr>
        <w:t xml:space="preserve">safety, profitability and </w:t>
      </w:r>
      <w:r w:rsidR="00904417">
        <w:rPr>
          <w:color w:val="000000"/>
        </w:rPr>
        <w:t>sustainability</w:t>
      </w:r>
      <w:r w:rsidR="00642694">
        <w:rPr>
          <w:color w:val="000000"/>
        </w:rPr>
        <w:t xml:space="preserve"> </w:t>
      </w:r>
    </w:p>
    <w:p w14:paraId="1C9BBABD" w14:textId="51079094" w:rsidR="00F1384F" w:rsidRPr="00B515EE" w:rsidRDefault="00940DF8" w:rsidP="004F254A">
      <w:pPr>
        <w:pStyle w:val="Listblueblockbullet"/>
        <w:spacing w:before="120" w:after="120"/>
      </w:pPr>
      <w:r>
        <w:t>i</w:t>
      </w:r>
      <w:r w:rsidR="00642694" w:rsidRPr="00642694">
        <w:t>mprove governance and decision-making processes within aviation boards</w:t>
      </w:r>
      <w:r w:rsidR="00D42CE3">
        <w:t xml:space="preserve"> </w:t>
      </w:r>
    </w:p>
    <w:p w14:paraId="4D08F5F3" w14:textId="2962573A" w:rsidR="00594AC5" w:rsidRDefault="00940DF8" w:rsidP="004F254A">
      <w:pPr>
        <w:pStyle w:val="Listblueblockbullet"/>
        <w:spacing w:before="120" w:after="120"/>
      </w:pPr>
      <w:r>
        <w:t>t</w:t>
      </w:r>
      <w:r w:rsidRPr="00F1384F">
        <w:t xml:space="preserve">rack </w:t>
      </w:r>
      <w:r w:rsidR="00F1384F" w:rsidRPr="00F1384F">
        <w:t xml:space="preserve">the achievements of the </w:t>
      </w:r>
      <w:r w:rsidR="00091A33">
        <w:t>a</w:t>
      </w:r>
      <w:r w:rsidR="00091A33" w:rsidRPr="00F1384F">
        <w:t xml:space="preserve">viation </w:t>
      </w:r>
      <w:r w:rsidR="00091A33">
        <w:t>p</w:t>
      </w:r>
      <w:r w:rsidR="00091A33" w:rsidRPr="00F1384F">
        <w:t>rogram</w:t>
      </w:r>
      <w:r>
        <w:t>.</w:t>
      </w:r>
    </w:p>
    <w:p w14:paraId="2BF19DC1" w14:textId="179F7F46" w:rsidR="00D42CE3" w:rsidRDefault="00D42CE3" w:rsidP="00941B78">
      <w:pPr>
        <w:pStyle w:val="Blueblocktext"/>
      </w:pPr>
      <w:r>
        <w:t xml:space="preserve">For example, </w:t>
      </w:r>
      <w:r w:rsidR="00E577C0">
        <w:t xml:space="preserve">governance training piloted through PRES </w:t>
      </w:r>
      <w:r w:rsidR="00A54A95">
        <w:t xml:space="preserve">has been very well received by stakeholders and is now up to its fourth iteration. </w:t>
      </w:r>
    </w:p>
    <w:p w14:paraId="3DD19E50" w14:textId="08CA9C1A" w:rsidR="00F1384F" w:rsidRPr="00B515EE" w:rsidRDefault="00F1384F" w:rsidP="00941B78">
      <w:pPr>
        <w:pStyle w:val="Blueblocktext"/>
      </w:pPr>
      <w:r w:rsidRPr="00F1384F">
        <w:lastRenderedPageBreak/>
        <w:t xml:space="preserve">The </w:t>
      </w:r>
      <w:r w:rsidR="00683178">
        <w:t>a</w:t>
      </w:r>
      <w:r w:rsidR="003C3C15">
        <w:t xml:space="preserve">viation </w:t>
      </w:r>
      <w:r w:rsidRPr="00F1384F">
        <w:t>MEL adviser</w:t>
      </w:r>
      <w:r w:rsidR="00685195">
        <w:t xml:space="preserve">, </w:t>
      </w:r>
      <w:r w:rsidR="0042577D">
        <w:t xml:space="preserve">a PRES </w:t>
      </w:r>
      <w:r w:rsidR="00CF493F">
        <w:t>MEL team advis</w:t>
      </w:r>
      <w:r w:rsidR="00091A33">
        <w:t>e</w:t>
      </w:r>
      <w:r w:rsidR="00CF493F">
        <w:t>r,</w:t>
      </w:r>
      <w:r w:rsidRPr="00F1384F">
        <w:t xml:space="preserve"> </w:t>
      </w:r>
      <w:r w:rsidR="00A54A95">
        <w:t xml:space="preserve">has </w:t>
      </w:r>
      <w:r w:rsidRPr="00F1384F">
        <w:t xml:space="preserve">assisted with a range of activities including mapping of available planning and monitoring documentation, </w:t>
      </w:r>
      <w:r w:rsidR="00B9271B">
        <w:t xml:space="preserve">the </w:t>
      </w:r>
      <w:r w:rsidRPr="00F1384F">
        <w:t xml:space="preserve">development of a </w:t>
      </w:r>
      <w:r w:rsidR="00683178">
        <w:t>s</w:t>
      </w:r>
      <w:r w:rsidR="00683178" w:rsidRPr="00F1384F">
        <w:t xml:space="preserve">ection </w:t>
      </w:r>
      <w:r w:rsidR="00683178">
        <w:t>a</w:t>
      </w:r>
      <w:r w:rsidR="00683178" w:rsidRPr="00F1384F">
        <w:t xml:space="preserve">ctivity </w:t>
      </w:r>
      <w:r w:rsidR="00683178">
        <w:t>t</w:t>
      </w:r>
      <w:r w:rsidR="00683178" w:rsidRPr="00F1384F">
        <w:t>racker</w:t>
      </w:r>
      <w:r w:rsidRPr="00F1384F">
        <w:t xml:space="preserve">, technical assistance for baseline and reporting templates, review and update of the </w:t>
      </w:r>
      <w:r w:rsidR="00683178">
        <w:t>a</w:t>
      </w:r>
      <w:r w:rsidR="00683178" w:rsidRPr="00F1384F">
        <w:t xml:space="preserve">viation </w:t>
      </w:r>
      <w:r w:rsidRPr="00F1384F">
        <w:t>program</w:t>
      </w:r>
      <w:r w:rsidR="00683178">
        <w:t>’s</w:t>
      </w:r>
      <w:r w:rsidRPr="00F1384F">
        <w:t xml:space="preserve"> MEL plan, M&amp;E input </w:t>
      </w:r>
      <w:r w:rsidR="00FD7161">
        <w:t>into</w:t>
      </w:r>
      <w:r w:rsidRPr="00F1384F">
        <w:t xml:space="preserve"> </w:t>
      </w:r>
      <w:r w:rsidR="00066B90">
        <w:t>aviation</w:t>
      </w:r>
      <w:r w:rsidRPr="00F1384F">
        <w:t xml:space="preserve"> </w:t>
      </w:r>
      <w:r w:rsidR="00683178">
        <w:t>p</w:t>
      </w:r>
      <w:r w:rsidR="00683178" w:rsidRPr="00F1384F">
        <w:t xml:space="preserve">rogram </w:t>
      </w:r>
      <w:r w:rsidRPr="00F1384F">
        <w:t xml:space="preserve">design, among others. </w:t>
      </w:r>
      <w:r w:rsidR="008F3B1B">
        <w:t xml:space="preserve">The </w:t>
      </w:r>
      <w:r w:rsidR="008F3B1B" w:rsidRPr="00F1384F">
        <w:t xml:space="preserve">Pacific Aviation Section </w:t>
      </w:r>
      <w:r w:rsidRPr="00F1384F">
        <w:t>also received GEDSI support</w:t>
      </w:r>
      <w:r w:rsidR="00AC024F">
        <w:t>,</w:t>
      </w:r>
      <w:r w:rsidRPr="00F1384F">
        <w:t xml:space="preserve"> including GEDSI input </w:t>
      </w:r>
      <w:r w:rsidR="00AC024F">
        <w:t>in</w:t>
      </w:r>
      <w:r w:rsidRPr="00F1384F">
        <w:t xml:space="preserve">to </w:t>
      </w:r>
      <w:r w:rsidR="00066B90">
        <w:t>aviation program</w:t>
      </w:r>
      <w:r w:rsidRPr="00F1384F">
        <w:t xml:space="preserve"> and </w:t>
      </w:r>
      <w:r w:rsidR="0002203D">
        <w:t>multiple</w:t>
      </w:r>
      <w:r w:rsidRPr="00F1384F">
        <w:t xml:space="preserve"> briefing</w:t>
      </w:r>
      <w:r w:rsidR="0002203D">
        <w:t>s</w:t>
      </w:r>
      <w:r w:rsidRPr="00F1384F">
        <w:t xml:space="preserve"> from the PRES GEDSI adviser</w:t>
      </w:r>
      <w:r w:rsidR="00AC024F">
        <w:t>,</w:t>
      </w:r>
      <w:r w:rsidR="00AC024F" w:rsidRPr="00F1384F">
        <w:t xml:space="preserve"> </w:t>
      </w:r>
      <w:r w:rsidRPr="00F1384F">
        <w:t xml:space="preserve">which resulted in a GEDSI lens filtering through to adviser reports – including one adviser changing his reporting to include GEDSI considerations / analysis. </w:t>
      </w:r>
    </w:p>
    <w:p w14:paraId="2DB330C4" w14:textId="22D5EE5E" w:rsidR="00F1384F" w:rsidRPr="00B515EE" w:rsidRDefault="00F1384F" w:rsidP="00941B78">
      <w:pPr>
        <w:pStyle w:val="Blueblocktext"/>
      </w:pPr>
      <w:r w:rsidRPr="00F1384F">
        <w:t>In 2023-</w:t>
      </w:r>
      <w:r w:rsidR="003D62BD">
        <w:t>20</w:t>
      </w:r>
      <w:r w:rsidRPr="00F1384F">
        <w:t xml:space="preserve">24, following PRES’ successful contributions to </w:t>
      </w:r>
      <w:r w:rsidR="008F3B1B">
        <w:t xml:space="preserve">the </w:t>
      </w:r>
      <w:r w:rsidR="008F3B1B" w:rsidRPr="00F1384F">
        <w:t>Pacific Aviation Section</w:t>
      </w:r>
      <w:r w:rsidRPr="00F1384F">
        <w:t xml:space="preserve">, the new five-year </w:t>
      </w:r>
      <w:r w:rsidR="00F42735" w:rsidRPr="4E4D3734">
        <w:rPr>
          <w:rFonts w:ascii="Arial" w:hAnsi="Arial" w:cs="Arial"/>
          <w:color w:val="auto"/>
        </w:rPr>
        <w:t xml:space="preserve">Australia-Pacific Partnerships for Aviation </w:t>
      </w:r>
      <w:r w:rsidRPr="00F1384F">
        <w:t xml:space="preserve">program commenced, working with Pacific countries to build a safer, more resilient and sustainable aviation sector. PRES has continued to be engaged to support the </w:t>
      </w:r>
      <w:r w:rsidR="00B9271B">
        <w:t>aviation program activities</w:t>
      </w:r>
      <w:r w:rsidRPr="00F1384F">
        <w:t xml:space="preserve">, including developing an announcement package for the program </w:t>
      </w:r>
      <w:r w:rsidR="00B9271B">
        <w:t>launch and commissioning an independent evaluation</w:t>
      </w:r>
      <w:r w:rsidRPr="00F1384F">
        <w:t>.</w:t>
      </w:r>
    </w:p>
    <w:p w14:paraId="4E62908A" w14:textId="41E1B0D7" w:rsidR="00F1384F" w:rsidRPr="00F1384F" w:rsidRDefault="00F1384F" w:rsidP="00941B78">
      <w:pPr>
        <w:pStyle w:val="Blueblocktext"/>
      </w:pPr>
      <w:r w:rsidRPr="00F1384F">
        <w:t xml:space="preserve">Accordingly, aviation program activities have transitioned to the </w:t>
      </w:r>
      <w:r w:rsidR="00F42735" w:rsidRPr="4E4D3734">
        <w:rPr>
          <w:rFonts w:ascii="Arial" w:hAnsi="Arial" w:cs="Arial"/>
          <w:color w:val="auto"/>
        </w:rPr>
        <w:t xml:space="preserve">Australia-Pacific Partnerships for Aviation </w:t>
      </w:r>
      <w:r w:rsidRPr="00F1384F">
        <w:t>program, and</w:t>
      </w:r>
      <w:r w:rsidR="00B93F93">
        <w:t xml:space="preserve"> some of the</w:t>
      </w:r>
      <w:r w:rsidRPr="00F1384F">
        <w:t xml:space="preserve"> aviation advisers were novated across accordingly. In the second quarter of 2024-</w:t>
      </w:r>
      <w:r w:rsidR="00F42735">
        <w:t>20</w:t>
      </w:r>
      <w:r w:rsidRPr="00F1384F">
        <w:t xml:space="preserve">25, </w:t>
      </w:r>
      <w:r w:rsidR="004335A7">
        <w:t xml:space="preserve">the quarterly report noted that </w:t>
      </w:r>
      <w:r w:rsidR="008F3B1B">
        <w:t xml:space="preserve">the </w:t>
      </w:r>
      <w:r w:rsidR="008F3B1B" w:rsidRPr="00F1384F">
        <w:t xml:space="preserve">Pacific Aviation Section </w:t>
      </w:r>
      <w:r w:rsidRPr="00F1384F">
        <w:t xml:space="preserve">had the highest number of taskings at 19; 15 of which were completed due to the transition over to the </w:t>
      </w:r>
      <w:r w:rsidR="00F42735" w:rsidRPr="4E4D3734">
        <w:rPr>
          <w:rFonts w:ascii="Arial" w:hAnsi="Arial" w:cs="Arial"/>
          <w:color w:val="auto"/>
        </w:rPr>
        <w:t>Australia-Pacific Partnerships for Aviation</w:t>
      </w:r>
      <w:r w:rsidRPr="00F1384F">
        <w:t xml:space="preserve"> program and </w:t>
      </w:r>
      <w:r w:rsidR="00F42735">
        <w:t>four</w:t>
      </w:r>
      <w:r w:rsidR="00F42735" w:rsidRPr="00F1384F">
        <w:t xml:space="preserve"> </w:t>
      </w:r>
      <w:r w:rsidR="004E5EA5">
        <w:t xml:space="preserve">of </w:t>
      </w:r>
      <w:r w:rsidRPr="00F1384F">
        <w:t xml:space="preserve">which were still active.  </w:t>
      </w:r>
    </w:p>
    <w:p w14:paraId="4CDA5718" w14:textId="4951932B" w:rsidR="00F1384F" w:rsidRPr="00F1384F" w:rsidRDefault="00F1384F" w:rsidP="00941B78">
      <w:pPr>
        <w:pStyle w:val="Blueblocktext"/>
      </w:pPr>
      <w:r w:rsidRPr="00F1384F">
        <w:t>The case study highlights how PRES has been able to provide holistic support to a sector</w:t>
      </w:r>
      <w:r w:rsidR="00B9271B">
        <w:t xml:space="preserve"> and incubate a strategic new program</w:t>
      </w:r>
      <w:r w:rsidR="001C25DF">
        <w:t>. T</w:t>
      </w:r>
      <w:r w:rsidRPr="00F1384F">
        <w:t>his illustrates PRES’ ability to provide adaptable and comprehensive sector support, particularly surge support</w:t>
      </w:r>
      <w:r w:rsidR="00C205FC">
        <w:t>,</w:t>
      </w:r>
      <w:r w:rsidRPr="00F1384F">
        <w:t xml:space="preserve"> and to support transition to other sustainable delivery models. This evolution underscores </w:t>
      </w:r>
      <w:r w:rsidR="00DC2B56">
        <w:t>PRES’</w:t>
      </w:r>
      <w:r w:rsidRPr="00F1384F">
        <w:t xml:space="preserve"> flexible approach. The transfer of technical advisers further highlights PRES’ ability to ensur</w:t>
      </w:r>
      <w:r w:rsidR="00C205FC">
        <w:t>e</w:t>
      </w:r>
      <w:r w:rsidRPr="00F1384F">
        <w:t xml:space="preserve"> continuity and foster sustainable growth.</w:t>
      </w:r>
    </w:p>
    <w:p w14:paraId="511D88B9" w14:textId="07B9884A" w:rsidR="00B248B9" w:rsidRDefault="0010785E" w:rsidP="00941B78">
      <w:pPr>
        <w:pStyle w:val="Heading3nonumber"/>
      </w:pPr>
      <w:r w:rsidRPr="00BE6337">
        <w:t xml:space="preserve">To what extent has </w:t>
      </w:r>
      <w:r w:rsidR="00BD2CF4">
        <w:t xml:space="preserve">PRES </w:t>
      </w:r>
      <w:r w:rsidRPr="00BE6337">
        <w:t>supported enhanced investment design and performance</w:t>
      </w:r>
      <w:r w:rsidR="00B73B20" w:rsidRPr="00FB7C94">
        <w:t xml:space="preserve"> and strategic policy and program coherence</w:t>
      </w:r>
      <w:r w:rsidRPr="00BE6337">
        <w:t xml:space="preserve"> across its scope of work?</w:t>
      </w:r>
    </w:p>
    <w:p w14:paraId="2A114A1E" w14:textId="5987C69D" w:rsidR="00544F89" w:rsidRPr="00FB7C94" w:rsidRDefault="006E4F81" w:rsidP="00B73B20">
      <w:r w:rsidRPr="00FB7C94">
        <w:t xml:space="preserve">PRES has completed a range of TN deliverables that are effectively contributing to a </w:t>
      </w:r>
      <w:r w:rsidR="005422C9" w:rsidRPr="00FB7C94">
        <w:t xml:space="preserve">range of diverse elements of DFAT areas, programs and activities. Consultations indicate that PRES has been most </w:t>
      </w:r>
      <w:r w:rsidR="00777859" w:rsidRPr="00FB7C94">
        <w:t xml:space="preserve">frequently utilised </w:t>
      </w:r>
      <w:r w:rsidR="00152023" w:rsidRPr="00FB7C94">
        <w:t>for</w:t>
      </w:r>
      <w:r w:rsidR="005422C9" w:rsidRPr="00FB7C94">
        <w:t xml:space="preserve"> the delivery of specialist technical advice across a range of areas where internal DFAT capabilities may not be available or have limited capacity</w:t>
      </w:r>
      <w:r w:rsidR="00B73B20" w:rsidRPr="00FB7C94">
        <w:t>. T</w:t>
      </w:r>
      <w:r w:rsidR="00777859" w:rsidRPr="00FB7C94">
        <w:t xml:space="preserve">he 2024 </w:t>
      </w:r>
      <w:r w:rsidR="00F46201">
        <w:t xml:space="preserve">PEB </w:t>
      </w:r>
      <w:r w:rsidR="00777859" w:rsidRPr="00FB7C94">
        <w:t>staff survey identified policy (9</w:t>
      </w:r>
      <w:r w:rsidR="00FA27EF">
        <w:t xml:space="preserve"> of </w:t>
      </w:r>
      <w:r w:rsidR="00777859" w:rsidRPr="00FB7C94">
        <w:t>1</w:t>
      </w:r>
      <w:r w:rsidR="00EC53F5">
        <w:t>1</w:t>
      </w:r>
      <w:r w:rsidR="00777859" w:rsidRPr="00FB7C94">
        <w:t xml:space="preserve"> respondents) and M&amp;E (8</w:t>
      </w:r>
      <w:r w:rsidR="00FA27EF">
        <w:t xml:space="preserve"> of </w:t>
      </w:r>
      <w:r w:rsidR="00777859" w:rsidRPr="00FB7C94">
        <w:t>1</w:t>
      </w:r>
      <w:r w:rsidR="00EC53F5">
        <w:t>1</w:t>
      </w:r>
      <w:r w:rsidR="00777859" w:rsidRPr="00FB7C94">
        <w:t xml:space="preserve"> respondents) as key areas of PRES support, with least cited areas being investment</w:t>
      </w:r>
      <w:r w:rsidR="00FA27EF">
        <w:t xml:space="preserve"> </w:t>
      </w:r>
      <w:r w:rsidR="00777859" w:rsidRPr="00FB7C94">
        <w:t>/</w:t>
      </w:r>
      <w:r w:rsidR="00FA27EF">
        <w:t xml:space="preserve"> </w:t>
      </w:r>
      <w:r w:rsidR="00777859" w:rsidRPr="00FB7C94">
        <w:t>program design and investment performance (3</w:t>
      </w:r>
      <w:r w:rsidR="00FA27EF">
        <w:t xml:space="preserve"> of </w:t>
      </w:r>
      <w:r w:rsidR="00777859" w:rsidRPr="00FB7C94">
        <w:t>1</w:t>
      </w:r>
      <w:r w:rsidR="00EC53F5">
        <w:t>1</w:t>
      </w:r>
      <w:r w:rsidR="00777859" w:rsidRPr="00FB7C94">
        <w:t xml:space="preserve"> respondents).</w:t>
      </w:r>
      <w:r w:rsidR="00F46201">
        <w:t xml:space="preserve"> T</w:t>
      </w:r>
      <w:r w:rsidR="00D348E4">
        <w:t>welve people responded to the survey (r</w:t>
      </w:r>
      <w:r w:rsidR="007966C5">
        <w:t xml:space="preserve">esponse rate </w:t>
      </w:r>
      <w:r w:rsidR="00573D21">
        <w:t xml:space="preserve">was </w:t>
      </w:r>
      <w:r w:rsidR="00DD47D7">
        <w:t>57</w:t>
      </w:r>
      <w:r w:rsidR="008C4EF4">
        <w:t>%</w:t>
      </w:r>
      <w:r w:rsidR="00D348E4">
        <w:t>).</w:t>
      </w:r>
      <w:r w:rsidR="007141CF">
        <w:rPr>
          <w:rStyle w:val="FootnoteReference"/>
        </w:rPr>
        <w:footnoteReference w:id="4"/>
      </w:r>
      <w:r w:rsidR="00DD47D7">
        <w:t xml:space="preserve"> </w:t>
      </w:r>
    </w:p>
    <w:p w14:paraId="5A6410B2" w14:textId="48DB67C0" w:rsidR="00070373" w:rsidRPr="00777859" w:rsidRDefault="008E6B57" w:rsidP="002C1175">
      <w:pPr>
        <w:rPr>
          <w:i/>
          <w:szCs w:val="21"/>
        </w:rPr>
      </w:pPr>
      <w:r>
        <w:rPr>
          <w:bCs/>
          <w:iCs/>
          <w:szCs w:val="21"/>
        </w:rPr>
        <w:t>C</w:t>
      </w:r>
      <w:r w:rsidR="00777859">
        <w:rPr>
          <w:bCs/>
          <w:iCs/>
          <w:szCs w:val="21"/>
        </w:rPr>
        <w:t xml:space="preserve">onsultation findings were </w:t>
      </w:r>
      <w:r w:rsidR="00FC7C93">
        <w:rPr>
          <w:bCs/>
          <w:iCs/>
          <w:szCs w:val="21"/>
        </w:rPr>
        <w:t xml:space="preserve">consistent with the findings of the </w:t>
      </w:r>
      <w:r w:rsidR="0093423C">
        <w:rPr>
          <w:bCs/>
          <w:iCs/>
          <w:szCs w:val="21"/>
        </w:rPr>
        <w:t xml:space="preserve">annual reports </w:t>
      </w:r>
      <w:r w:rsidR="00FC7C93">
        <w:rPr>
          <w:bCs/>
          <w:iCs/>
          <w:szCs w:val="21"/>
        </w:rPr>
        <w:t xml:space="preserve">and </w:t>
      </w:r>
      <w:r w:rsidR="0093423C">
        <w:rPr>
          <w:bCs/>
          <w:iCs/>
          <w:szCs w:val="21"/>
        </w:rPr>
        <w:t xml:space="preserve">annual </w:t>
      </w:r>
      <w:r w:rsidR="00FC7C93">
        <w:rPr>
          <w:bCs/>
          <w:iCs/>
          <w:szCs w:val="21"/>
        </w:rPr>
        <w:t>I</w:t>
      </w:r>
      <w:r w:rsidR="00BD2CF4">
        <w:rPr>
          <w:bCs/>
          <w:iCs/>
          <w:szCs w:val="21"/>
        </w:rPr>
        <w:t>MRs</w:t>
      </w:r>
      <w:r w:rsidR="0032797B">
        <w:rPr>
          <w:bCs/>
          <w:iCs/>
          <w:szCs w:val="21"/>
        </w:rPr>
        <w:t>, which</w:t>
      </w:r>
      <w:r w:rsidR="00B01D17">
        <w:rPr>
          <w:bCs/>
          <w:iCs/>
          <w:szCs w:val="21"/>
        </w:rPr>
        <w:t xml:space="preserve"> </w:t>
      </w:r>
      <w:r w:rsidR="0093423C">
        <w:rPr>
          <w:bCs/>
          <w:iCs/>
          <w:szCs w:val="21"/>
        </w:rPr>
        <w:t xml:space="preserve">report </w:t>
      </w:r>
      <w:r w:rsidR="0032797B">
        <w:rPr>
          <w:bCs/>
          <w:iCs/>
          <w:szCs w:val="21"/>
        </w:rPr>
        <w:t xml:space="preserve">that </w:t>
      </w:r>
      <w:r w:rsidR="00B01D17">
        <w:rPr>
          <w:bCs/>
          <w:iCs/>
          <w:szCs w:val="21"/>
        </w:rPr>
        <w:t xml:space="preserve">PRES has become </w:t>
      </w:r>
      <w:r w:rsidR="0093423C">
        <w:rPr>
          <w:bCs/>
          <w:iCs/>
          <w:szCs w:val="21"/>
        </w:rPr>
        <w:t>‘</w:t>
      </w:r>
      <w:r w:rsidR="00B01D17">
        <w:rPr>
          <w:bCs/>
          <w:iCs/>
          <w:szCs w:val="21"/>
        </w:rPr>
        <w:t xml:space="preserve">increasingly influential and aligned with other DFAT </w:t>
      </w:r>
      <w:proofErr w:type="gramStart"/>
      <w:r w:rsidR="00B01D17">
        <w:rPr>
          <w:bCs/>
          <w:iCs/>
          <w:szCs w:val="21"/>
        </w:rPr>
        <w:t>investments</w:t>
      </w:r>
      <w:r w:rsidR="0093423C">
        <w:rPr>
          <w:bCs/>
          <w:iCs/>
          <w:szCs w:val="21"/>
        </w:rPr>
        <w:t>’</w:t>
      </w:r>
      <w:proofErr w:type="gramEnd"/>
      <w:r w:rsidR="0032797B">
        <w:rPr>
          <w:bCs/>
          <w:iCs/>
          <w:szCs w:val="21"/>
        </w:rPr>
        <w:t>. They also align with</w:t>
      </w:r>
      <w:r w:rsidR="001D1287">
        <w:rPr>
          <w:bCs/>
          <w:iCs/>
          <w:szCs w:val="21"/>
        </w:rPr>
        <w:t xml:space="preserve"> discussions with </w:t>
      </w:r>
      <w:r w:rsidR="0093423C">
        <w:rPr>
          <w:bCs/>
          <w:iCs/>
          <w:szCs w:val="21"/>
        </w:rPr>
        <w:t>DFAT</w:t>
      </w:r>
      <w:r w:rsidR="0032797B">
        <w:rPr>
          <w:bCs/>
          <w:iCs/>
          <w:szCs w:val="21"/>
        </w:rPr>
        <w:t>’s</w:t>
      </w:r>
      <w:r w:rsidR="0093423C">
        <w:rPr>
          <w:bCs/>
          <w:iCs/>
          <w:szCs w:val="21"/>
        </w:rPr>
        <w:t xml:space="preserve"> </w:t>
      </w:r>
      <w:r w:rsidR="001B5A3C" w:rsidRPr="004C2F51">
        <w:rPr>
          <w:rFonts w:cs="Arial"/>
        </w:rPr>
        <w:t xml:space="preserve">Economic Policy </w:t>
      </w:r>
      <w:r w:rsidR="00067E93">
        <w:rPr>
          <w:rFonts w:cs="Arial"/>
        </w:rPr>
        <w:t>and</w:t>
      </w:r>
      <w:r w:rsidR="001B5A3C" w:rsidRPr="004C2F51">
        <w:rPr>
          <w:rFonts w:cs="Arial"/>
        </w:rPr>
        <w:t xml:space="preserve"> Partnerships </w:t>
      </w:r>
      <w:r w:rsidR="001B5A3C">
        <w:rPr>
          <w:rFonts w:cs="Arial"/>
        </w:rPr>
        <w:t xml:space="preserve">Section </w:t>
      </w:r>
      <w:r w:rsidR="001B5A3C" w:rsidRPr="004C2F51">
        <w:rPr>
          <w:rFonts w:cs="Arial"/>
        </w:rPr>
        <w:t>(EPS)</w:t>
      </w:r>
      <w:r w:rsidR="0093423C">
        <w:rPr>
          <w:rFonts w:cs="Arial"/>
        </w:rPr>
        <w:t xml:space="preserve"> and Regional Trade and Private Sector Section</w:t>
      </w:r>
      <w:r w:rsidR="001B5A3C" w:rsidRPr="004C2F51">
        <w:rPr>
          <w:rFonts w:cs="Arial"/>
        </w:rPr>
        <w:t xml:space="preserve"> </w:t>
      </w:r>
      <w:r w:rsidR="0093423C">
        <w:rPr>
          <w:rFonts w:cs="Arial"/>
        </w:rPr>
        <w:t>(</w:t>
      </w:r>
      <w:r w:rsidR="001B5A3C" w:rsidRPr="004C2F51">
        <w:rPr>
          <w:rFonts w:cs="Arial"/>
        </w:rPr>
        <w:t>EGS</w:t>
      </w:r>
      <w:r w:rsidR="0093423C">
        <w:rPr>
          <w:rFonts w:cs="Arial"/>
        </w:rPr>
        <w:t>)</w:t>
      </w:r>
      <w:r w:rsidR="0032797B">
        <w:rPr>
          <w:rFonts w:cs="Arial"/>
        </w:rPr>
        <w:t>, where discussions</w:t>
      </w:r>
      <w:r w:rsidR="001B5A3C">
        <w:rPr>
          <w:rFonts w:cs="Arial"/>
        </w:rPr>
        <w:t xml:space="preserve"> </w:t>
      </w:r>
      <w:r w:rsidR="00C514E8">
        <w:rPr>
          <w:bCs/>
          <w:iCs/>
          <w:szCs w:val="21"/>
        </w:rPr>
        <w:t xml:space="preserve">highlighted </w:t>
      </w:r>
      <w:r w:rsidR="001D1287">
        <w:rPr>
          <w:bCs/>
          <w:iCs/>
          <w:szCs w:val="21"/>
        </w:rPr>
        <w:t xml:space="preserve">that </w:t>
      </w:r>
      <w:r w:rsidR="0032797B">
        <w:rPr>
          <w:bCs/>
          <w:iCs/>
          <w:szCs w:val="21"/>
        </w:rPr>
        <w:t>‘</w:t>
      </w:r>
      <w:r w:rsidR="001D1287">
        <w:rPr>
          <w:bCs/>
          <w:iCs/>
          <w:szCs w:val="21"/>
        </w:rPr>
        <w:t>key areas of work and programming would not have been delivered without PRES</w:t>
      </w:r>
      <w:r w:rsidR="0032797B">
        <w:rPr>
          <w:bCs/>
          <w:iCs/>
          <w:szCs w:val="21"/>
        </w:rPr>
        <w:t xml:space="preserve">’. </w:t>
      </w:r>
      <w:r w:rsidR="00777859">
        <w:rPr>
          <w:bCs/>
          <w:iCs/>
          <w:szCs w:val="21"/>
        </w:rPr>
        <w:t xml:space="preserve">It is also consistent with the 2024 </w:t>
      </w:r>
      <w:r w:rsidR="006E3FAE">
        <w:rPr>
          <w:bCs/>
          <w:iCs/>
          <w:szCs w:val="21"/>
        </w:rPr>
        <w:t xml:space="preserve">PEB </w:t>
      </w:r>
      <w:r w:rsidR="00777859">
        <w:rPr>
          <w:bCs/>
          <w:iCs/>
          <w:szCs w:val="21"/>
        </w:rPr>
        <w:t xml:space="preserve">staff survey where almost </w:t>
      </w:r>
      <w:r w:rsidR="00777859" w:rsidRPr="00FB7C94">
        <w:rPr>
          <w:szCs w:val="21"/>
        </w:rPr>
        <w:t>all respondents (91</w:t>
      </w:r>
      <w:r w:rsidR="008C4EF4">
        <w:rPr>
          <w:szCs w:val="21"/>
        </w:rPr>
        <w:t>%</w:t>
      </w:r>
      <w:r w:rsidR="00777859" w:rsidRPr="00FB7C94">
        <w:rPr>
          <w:szCs w:val="21"/>
        </w:rPr>
        <w:t xml:space="preserve">, 10 of 11) reported either </w:t>
      </w:r>
      <w:r w:rsidR="00C514E8">
        <w:rPr>
          <w:szCs w:val="21"/>
        </w:rPr>
        <w:t>‘</w:t>
      </w:r>
      <w:r w:rsidR="00777859" w:rsidRPr="00B85CF8">
        <w:rPr>
          <w:i/>
          <w:iCs/>
          <w:szCs w:val="21"/>
        </w:rPr>
        <w:t>moderate to high</w:t>
      </w:r>
      <w:r w:rsidR="00C514E8">
        <w:rPr>
          <w:szCs w:val="21"/>
        </w:rPr>
        <w:t>’</w:t>
      </w:r>
      <w:r w:rsidR="00777859" w:rsidRPr="00FB7C94">
        <w:rPr>
          <w:szCs w:val="21"/>
        </w:rPr>
        <w:t xml:space="preserve"> or </w:t>
      </w:r>
      <w:r w:rsidR="00C514E8">
        <w:rPr>
          <w:szCs w:val="21"/>
        </w:rPr>
        <w:t>‘</w:t>
      </w:r>
      <w:r w:rsidR="00777859" w:rsidRPr="00B85CF8">
        <w:rPr>
          <w:i/>
          <w:iCs/>
          <w:szCs w:val="21"/>
        </w:rPr>
        <w:t>high</w:t>
      </w:r>
      <w:r w:rsidR="00C514E8">
        <w:rPr>
          <w:szCs w:val="21"/>
        </w:rPr>
        <w:t>’</w:t>
      </w:r>
      <w:r w:rsidR="00C514E8" w:rsidRPr="00FB7C94">
        <w:rPr>
          <w:szCs w:val="21"/>
        </w:rPr>
        <w:t xml:space="preserve"> </w:t>
      </w:r>
      <w:r w:rsidR="00777859" w:rsidRPr="00FB7C94">
        <w:rPr>
          <w:szCs w:val="21"/>
        </w:rPr>
        <w:t>levels of contribution.</w:t>
      </w:r>
    </w:p>
    <w:p w14:paraId="61415190" w14:textId="129CEF67" w:rsidR="007A6721" w:rsidRPr="00FB7C94" w:rsidRDefault="00C6481A" w:rsidP="002F12E4">
      <w:bookmarkStart w:id="32" w:name="_Hlk191972835"/>
      <w:bookmarkStart w:id="33" w:name="_Hlk191631049"/>
      <w:r w:rsidRPr="00F8241C">
        <w:t>The PRES concept</w:t>
      </w:r>
      <w:r w:rsidR="00BF3A7B">
        <w:t xml:space="preserve"> </w:t>
      </w:r>
      <w:r w:rsidR="00264099">
        <w:t>note</w:t>
      </w:r>
      <w:r w:rsidR="00BF3A7B">
        <w:t xml:space="preserve"> </w:t>
      </w:r>
      <w:r w:rsidR="00F8241C" w:rsidRPr="00F8241C">
        <w:t>outlines that PRES will provide information and analysis to support strategic planning and review</w:t>
      </w:r>
      <w:r w:rsidR="00817F10">
        <w:t>s</w:t>
      </w:r>
      <w:r w:rsidR="00F8241C" w:rsidRPr="00F8241C">
        <w:rPr>
          <w:rFonts w:eastAsia="Times New Roman" w:cs="Times New Roman"/>
        </w:rPr>
        <w:t xml:space="preserve"> </w:t>
      </w:r>
      <w:r w:rsidR="00817F10">
        <w:rPr>
          <w:rFonts w:eastAsia="Times New Roman" w:cs="Times New Roman"/>
        </w:rPr>
        <w:t xml:space="preserve">of </w:t>
      </w:r>
      <w:r w:rsidR="00F8241C" w:rsidRPr="00F8241C">
        <w:rPr>
          <w:rFonts w:eastAsia="Times New Roman" w:cs="Times New Roman"/>
        </w:rPr>
        <w:t>economic</w:t>
      </w:r>
      <w:r w:rsidR="00F8241C" w:rsidRPr="00A8387C">
        <w:rPr>
          <w:rFonts w:eastAsia="Times New Roman" w:cs="Times New Roman"/>
        </w:rPr>
        <w:t xml:space="preserve"> diplomacy, partner dialogue and private sector engagement</w:t>
      </w:r>
      <w:r w:rsidR="00F8241C">
        <w:rPr>
          <w:rFonts w:eastAsia="Times New Roman" w:cs="Times New Roman"/>
        </w:rPr>
        <w:t xml:space="preserve">. </w:t>
      </w:r>
      <w:r w:rsidR="00067E93">
        <w:lastRenderedPageBreak/>
        <w:t>C</w:t>
      </w:r>
      <w:r w:rsidR="002F12E4" w:rsidRPr="00FB7C94">
        <w:t xml:space="preserve">onsultations </w:t>
      </w:r>
      <w:r w:rsidR="00F8241C">
        <w:t xml:space="preserve">also </w:t>
      </w:r>
      <w:r w:rsidR="002F12E4" w:rsidRPr="00FB7C94">
        <w:t>indicate that the initial intention was for PRES to also support higher</w:t>
      </w:r>
      <w:r w:rsidR="00817F10">
        <w:t>-</w:t>
      </w:r>
      <w:r w:rsidR="002F12E4" w:rsidRPr="00FB7C94">
        <w:t>level strategy support and expertise</w:t>
      </w:r>
      <w:r w:rsidR="00BC455B">
        <w:t>.</w:t>
      </w:r>
      <w:bookmarkEnd w:id="32"/>
    </w:p>
    <w:p w14:paraId="7129B05D" w14:textId="2551E601" w:rsidR="002E00B3" w:rsidRDefault="007A6721" w:rsidP="007A6721">
      <w:r w:rsidRPr="00FB7C94">
        <w:t xml:space="preserve">PRES has provided strategic support </w:t>
      </w:r>
      <w:r w:rsidR="007E6436">
        <w:t>to</w:t>
      </w:r>
      <w:r w:rsidR="007E6436" w:rsidRPr="00FB7C94">
        <w:t xml:space="preserve"> </w:t>
      </w:r>
      <w:r w:rsidRPr="00FB7C94">
        <w:t>DFAT</w:t>
      </w:r>
      <w:r w:rsidR="007E5BFD">
        <w:t xml:space="preserve">, </w:t>
      </w:r>
      <w:r w:rsidR="00075476" w:rsidRPr="00075476">
        <w:t>most notably through the PRES Core Team's expertise,</w:t>
      </w:r>
      <w:r w:rsidR="00B9271B">
        <w:t xml:space="preserve"> and through adviser inputs,</w:t>
      </w:r>
      <w:r w:rsidR="00075476" w:rsidRPr="00075476">
        <w:t xml:space="preserve"> which has effectively contributed to </w:t>
      </w:r>
      <w:r w:rsidR="005C7746">
        <w:t xml:space="preserve">thematic </w:t>
      </w:r>
      <w:r w:rsidR="00075476" w:rsidRPr="00075476">
        <w:t>strategy development</w:t>
      </w:r>
      <w:r w:rsidR="00F327B7">
        <w:t xml:space="preserve"> and increased cohesion across DFAT</w:t>
      </w:r>
      <w:r w:rsidR="00075476" w:rsidRPr="00075476">
        <w:t>.</w:t>
      </w:r>
      <w:r w:rsidR="00075476">
        <w:t xml:space="preserve"> </w:t>
      </w:r>
      <w:r w:rsidR="00E63C9C" w:rsidRPr="00FB7C94">
        <w:t xml:space="preserve">The 2024 </w:t>
      </w:r>
      <w:r w:rsidR="006E3FAE">
        <w:t xml:space="preserve">PEB </w:t>
      </w:r>
      <w:r w:rsidR="00E63C9C" w:rsidRPr="00FB7C94">
        <w:t xml:space="preserve">staff survey indicated that </w:t>
      </w:r>
      <w:r w:rsidR="00386EB7">
        <w:t>six</w:t>
      </w:r>
      <w:r w:rsidR="00386EB7" w:rsidRPr="00FB7C94">
        <w:t xml:space="preserve"> </w:t>
      </w:r>
      <w:r w:rsidR="00E63C9C" w:rsidRPr="00FB7C94">
        <w:t xml:space="preserve">out of 11 respondents indicated that PRES had contributed to DFAT strategy (including strategy implementation). </w:t>
      </w:r>
      <w:bookmarkStart w:id="34" w:name="_Hlk191631322"/>
      <w:r w:rsidR="00C45C58" w:rsidRPr="00C45C58">
        <w:t xml:space="preserve">Consultations revealed that while there were mixed opinions on </w:t>
      </w:r>
      <w:r w:rsidR="00C45C58">
        <w:t>PRES</w:t>
      </w:r>
      <w:r w:rsidR="00C45C58" w:rsidRPr="00C45C58">
        <w:t xml:space="preserve">' role in direct strategy development, </w:t>
      </w:r>
      <w:r w:rsidR="003D4BAA">
        <w:t>PRES</w:t>
      </w:r>
      <w:r w:rsidR="003D4BAA" w:rsidRPr="00C45C58">
        <w:t xml:space="preserve"> </w:t>
      </w:r>
      <w:r w:rsidR="00C45C58" w:rsidRPr="00C45C58">
        <w:t>is generally seen as effective in supporting strategic policy implementation through speciali</w:t>
      </w:r>
      <w:r w:rsidR="00C45C58">
        <w:t>s</w:t>
      </w:r>
      <w:r w:rsidR="00C45C58" w:rsidRPr="00C45C58">
        <w:t>ed technical advice to programs and activities</w:t>
      </w:r>
      <w:r w:rsidR="00DA66DD">
        <w:t xml:space="preserve"> – both in terms of the provision of external consultants and the PRES Core Team’s direct expertise</w:t>
      </w:r>
      <w:r w:rsidR="00C45C58" w:rsidRPr="00C45C58">
        <w:t>.</w:t>
      </w:r>
      <w:r w:rsidR="00C45C58">
        <w:t xml:space="preserve"> </w:t>
      </w:r>
    </w:p>
    <w:p w14:paraId="13725272" w14:textId="3BAA869D" w:rsidR="00B95D55" w:rsidRDefault="002E00B3" w:rsidP="007A6721">
      <w:r>
        <w:t>However, th</w:t>
      </w:r>
      <w:r w:rsidR="002F12E4" w:rsidRPr="00FB7C94">
        <w:t xml:space="preserve">ere are intrinsic factors </w:t>
      </w:r>
      <w:bookmarkStart w:id="35" w:name="_Hlk191974280"/>
      <w:r w:rsidR="002F12E4" w:rsidRPr="00FB7C94">
        <w:t>that hinder PRES</w:t>
      </w:r>
      <w:r w:rsidR="00386EB7">
        <w:t>’</w:t>
      </w:r>
      <w:r w:rsidR="002F12E4" w:rsidRPr="00FB7C94">
        <w:t xml:space="preserve"> ability to </w:t>
      </w:r>
      <w:r w:rsidR="00386EB7" w:rsidRPr="00FB7C94">
        <w:t xml:space="preserve">holistically </w:t>
      </w:r>
      <w:r w:rsidR="002F12E4" w:rsidRPr="00FB7C94">
        <w:t>contribute to DFAT strategy</w:t>
      </w:r>
      <w:r w:rsidR="00AD7764" w:rsidRPr="00FB7C94">
        <w:t>,</w:t>
      </w:r>
      <w:r w:rsidR="002F12E4" w:rsidRPr="00FB7C94">
        <w:t xml:space="preserve"> including</w:t>
      </w:r>
      <w:r w:rsidR="00B95D55">
        <w:t>:</w:t>
      </w:r>
    </w:p>
    <w:p w14:paraId="5BD8DD95" w14:textId="64B605E3" w:rsidR="00B95D55" w:rsidRDefault="002F12E4" w:rsidP="00B95D55">
      <w:pPr>
        <w:pStyle w:val="ListNumber"/>
        <w:numPr>
          <w:ilvl w:val="0"/>
          <w:numId w:val="43"/>
        </w:numPr>
        <w:spacing w:before="120"/>
      </w:pPr>
      <w:r w:rsidRPr="00FB7C94">
        <w:t xml:space="preserve">PRES </w:t>
      </w:r>
      <w:r w:rsidR="00AD7764" w:rsidRPr="00FB7C94">
        <w:t xml:space="preserve">staff </w:t>
      </w:r>
      <w:r w:rsidR="00386EB7">
        <w:t xml:space="preserve">are </w:t>
      </w:r>
      <w:r w:rsidR="00AD7764" w:rsidRPr="00FB7C94">
        <w:t xml:space="preserve">not </w:t>
      </w:r>
      <w:r w:rsidR="005C7746">
        <w:t xml:space="preserve">physically </w:t>
      </w:r>
      <w:r w:rsidR="00AD7764" w:rsidRPr="00FB7C94">
        <w:t xml:space="preserve">embedded in DFAT </w:t>
      </w:r>
      <w:r w:rsidR="005C7746">
        <w:t xml:space="preserve">due to logistical </w:t>
      </w:r>
      <w:r w:rsidR="00AD7764" w:rsidRPr="00FB7C94">
        <w:t xml:space="preserve">difficulties </w:t>
      </w:r>
      <w:r w:rsidR="005C7746">
        <w:t xml:space="preserve">and DFAT requirements (including the need for </w:t>
      </w:r>
      <w:r w:rsidR="00AD7764" w:rsidRPr="00FB7C94">
        <w:t>security clearance</w:t>
      </w:r>
      <w:r w:rsidR="005C7746">
        <w:t>s)</w:t>
      </w:r>
    </w:p>
    <w:p w14:paraId="4D717829" w14:textId="170624AA" w:rsidR="00B95D55" w:rsidRDefault="00386EB7" w:rsidP="00B95D55">
      <w:pPr>
        <w:pStyle w:val="ListNumber"/>
        <w:numPr>
          <w:ilvl w:val="0"/>
          <w:numId w:val="43"/>
        </w:numPr>
        <w:spacing w:before="120"/>
      </w:pPr>
      <w:r>
        <w:t xml:space="preserve">PRES staff have </w:t>
      </w:r>
      <w:r w:rsidR="006B77BC" w:rsidRPr="00FB7C94">
        <w:t xml:space="preserve">limited access to </w:t>
      </w:r>
      <w:r>
        <w:t xml:space="preserve">the </w:t>
      </w:r>
      <w:r w:rsidR="006B77BC" w:rsidRPr="00FB7C94">
        <w:t>information necessary for comprehensive strategic support, stemming from their external position</w:t>
      </w:r>
    </w:p>
    <w:p w14:paraId="2B613876" w14:textId="0451712B" w:rsidR="00B17EA2" w:rsidRDefault="00B95D55" w:rsidP="00B95D55">
      <w:pPr>
        <w:pStyle w:val="ListNumber"/>
        <w:numPr>
          <w:ilvl w:val="0"/>
          <w:numId w:val="43"/>
        </w:numPr>
        <w:spacing w:before="120"/>
      </w:pPr>
      <w:r>
        <w:t xml:space="preserve">there are </w:t>
      </w:r>
      <w:r w:rsidR="00FB5D1F">
        <w:t xml:space="preserve">concerns about </w:t>
      </w:r>
      <w:r w:rsidR="002F12E4" w:rsidRPr="00FB7C94">
        <w:t xml:space="preserve">the </w:t>
      </w:r>
      <w:r w:rsidR="00AD7764" w:rsidRPr="00FB7C94">
        <w:t xml:space="preserve">appropriateness of strategic capability being outsourced and the </w:t>
      </w:r>
      <w:r w:rsidR="002F12E4" w:rsidRPr="00FB7C94">
        <w:t>view that additional strategic input can hinder efficiency and progress</w:t>
      </w:r>
      <w:r>
        <w:t xml:space="preserve"> </w:t>
      </w:r>
    </w:p>
    <w:p w14:paraId="5D124B4D" w14:textId="7ED8E6A3" w:rsidR="002F12E4" w:rsidRPr="00FB7C94" w:rsidRDefault="00B17EA2" w:rsidP="006358B4">
      <w:pPr>
        <w:pStyle w:val="ListNumber"/>
        <w:numPr>
          <w:ilvl w:val="0"/>
          <w:numId w:val="43"/>
        </w:numPr>
        <w:spacing w:before="120"/>
      </w:pPr>
      <w:r>
        <w:t xml:space="preserve">there is </w:t>
      </w:r>
      <w:r w:rsidR="002F12E4" w:rsidRPr="00FB7C94">
        <w:t>a lack of c</w:t>
      </w:r>
      <w:r w:rsidR="00C45C58">
        <w:t>larity</w:t>
      </w:r>
      <w:r w:rsidR="002F12E4" w:rsidRPr="00FB7C94">
        <w:t xml:space="preserve"> around the specific strategic support that DFAT needs from PRES.  </w:t>
      </w:r>
      <w:bookmarkEnd w:id="34"/>
    </w:p>
    <w:bookmarkEnd w:id="33"/>
    <w:bookmarkEnd w:id="35"/>
    <w:p w14:paraId="120184F0" w14:textId="2E0DFE07" w:rsidR="00B17EA2" w:rsidRDefault="00B17EA2" w:rsidP="00B17EA2">
      <w:r w:rsidRPr="152412E2">
        <w:t>This is consistent with findings from the annual survey of PEB staff</w:t>
      </w:r>
      <w:r w:rsidR="00CB49F9">
        <w:t>,</w:t>
      </w:r>
      <w:r w:rsidRPr="152412E2">
        <w:t xml:space="preserve"> presented in the </w:t>
      </w:r>
      <w:r w:rsidR="00CC1539">
        <w:t>a</w:t>
      </w:r>
      <w:r w:rsidRPr="152412E2">
        <w:t xml:space="preserve">nnual </w:t>
      </w:r>
      <w:r w:rsidR="00CC1539">
        <w:t>r</w:t>
      </w:r>
      <w:r w:rsidRPr="152412E2">
        <w:t>eport</w:t>
      </w:r>
      <w:r w:rsidR="00CB49F9">
        <w:t>,</w:t>
      </w:r>
      <w:r w:rsidRPr="152412E2">
        <w:t xml:space="preserve"> that </w:t>
      </w:r>
      <w:r w:rsidR="00CC1539">
        <w:t xml:space="preserve">said </w:t>
      </w:r>
      <w:r w:rsidRPr="152412E2">
        <w:t xml:space="preserve">although PRES is viewed as </w:t>
      </w:r>
      <w:r w:rsidR="00B15B34">
        <w:t>‘</w:t>
      </w:r>
      <w:r w:rsidRPr="152412E2">
        <w:t>important and valuable</w:t>
      </w:r>
      <w:r w:rsidR="00B15B34">
        <w:t>’</w:t>
      </w:r>
      <w:r w:rsidRPr="152412E2">
        <w:t xml:space="preserve">, higher-level strategy was an area of need that </w:t>
      </w:r>
      <w:r w:rsidR="00B15B34">
        <w:t>‘</w:t>
      </w:r>
      <w:r w:rsidRPr="152412E2">
        <w:t>had not been met by PRES or met to a lesser degree</w:t>
      </w:r>
      <w:r w:rsidR="00B15B34">
        <w:t>’</w:t>
      </w:r>
      <w:r w:rsidRPr="152412E2">
        <w:t xml:space="preserve">. </w:t>
      </w:r>
    </w:p>
    <w:p w14:paraId="4F9663A9" w14:textId="0F27C71B" w:rsidR="00A71DEC" w:rsidRDefault="00B17EA2" w:rsidP="00B17EA2">
      <w:r w:rsidRPr="00FB7C94">
        <w:t>Despite inherent factors limiting PRES' direct involvement in strategy development,</w:t>
      </w:r>
      <w:r>
        <w:t xml:space="preserve"> the</w:t>
      </w:r>
      <w:r w:rsidRPr="00FB7C94">
        <w:t xml:space="preserve"> </w:t>
      </w:r>
      <w:r>
        <w:t>PRES Core Team has the capability to provide specialist technical input into DFAT thinking, build cohesion across DFAT</w:t>
      </w:r>
      <w:r w:rsidR="005C7746">
        <w:t>’s economic activities</w:t>
      </w:r>
      <w:r>
        <w:t xml:space="preserve"> and to </w:t>
      </w:r>
      <w:r w:rsidR="005C7746">
        <w:t xml:space="preserve">enhance </w:t>
      </w:r>
      <w:r>
        <w:t>DFAT</w:t>
      </w:r>
      <w:r w:rsidR="005C7746">
        <w:t>’s</w:t>
      </w:r>
      <w:r>
        <w:t xml:space="preserve"> </w:t>
      </w:r>
      <w:r w:rsidR="005C7746">
        <w:t xml:space="preserve">capability </w:t>
      </w:r>
      <w:r>
        <w:t>more broadly (</w:t>
      </w:r>
      <w:r w:rsidR="00B15B34">
        <w:t xml:space="preserve">for example, </w:t>
      </w:r>
      <w:r>
        <w:t xml:space="preserve">in international development best practice, GEDSI and economic </w:t>
      </w:r>
      <w:r w:rsidR="005C7746">
        <w:t xml:space="preserve">and trade </w:t>
      </w:r>
      <w:r>
        <w:t>capability).</w:t>
      </w:r>
      <w:r w:rsidRPr="003C1DE9">
        <w:t xml:space="preserve"> </w:t>
      </w:r>
      <w:r w:rsidRPr="00EE6B51">
        <w:t xml:space="preserve">The expertise of </w:t>
      </w:r>
      <w:r>
        <w:t>PRES</w:t>
      </w:r>
      <w:r w:rsidRPr="00EE6B51">
        <w:t xml:space="preserve"> could </w:t>
      </w:r>
      <w:r>
        <w:t xml:space="preserve">also </w:t>
      </w:r>
      <w:r w:rsidRPr="00EE6B51">
        <w:t>be leveraged to synthesi</w:t>
      </w:r>
      <w:r>
        <w:t>s</w:t>
      </w:r>
      <w:r w:rsidRPr="00EE6B51">
        <w:t xml:space="preserve">e prevailing </w:t>
      </w:r>
      <w:r>
        <w:t xml:space="preserve">TN </w:t>
      </w:r>
      <w:r w:rsidRPr="00EE6B51">
        <w:t xml:space="preserve">themes into actionable knowledge resources and provide guidance to </w:t>
      </w:r>
      <w:r>
        <w:t>DFAT</w:t>
      </w:r>
      <w:r w:rsidRPr="00EE6B51">
        <w:t xml:space="preserve"> regarding tasking priorities.</w:t>
      </w:r>
      <w:r>
        <w:t xml:space="preserve"> </w:t>
      </w:r>
    </w:p>
    <w:p w14:paraId="5068C4CC" w14:textId="1AF357C0" w:rsidR="002C4289" w:rsidRDefault="00B17EA2" w:rsidP="00B17EA2">
      <w:r>
        <w:t>Any f</w:t>
      </w:r>
      <w:r w:rsidRPr="00DD1FFB">
        <w:t xml:space="preserve">uture design should </w:t>
      </w:r>
      <w:r>
        <w:t>consider</w:t>
      </w:r>
      <w:r w:rsidRPr="00DD1FFB">
        <w:t xml:space="preserve"> the</w:t>
      </w:r>
      <w:r w:rsidR="00CD3EB7">
        <w:t xml:space="preserve"> role of PRES in providing support</w:t>
      </w:r>
      <w:r w:rsidR="008F38FF">
        <w:t xml:space="preserve"> for strategy development</w:t>
      </w:r>
      <w:r w:rsidR="00CD3EB7">
        <w:t>, and the</w:t>
      </w:r>
      <w:r w:rsidRPr="00DD1FFB">
        <w:t xml:space="preserve"> most effective </w:t>
      </w:r>
      <w:r w:rsidR="00CD3EB7">
        <w:t xml:space="preserve">mechanism to do </w:t>
      </w:r>
      <w:r w:rsidR="008F38FF">
        <w:t>so, if relevant</w:t>
      </w:r>
      <w:r w:rsidR="00CD3EB7">
        <w:t>.</w:t>
      </w:r>
      <w:r w:rsidR="00A71DEC">
        <w:t xml:space="preserve"> This</w:t>
      </w:r>
      <w:r w:rsidRPr="00DD1FFB">
        <w:t xml:space="preserve"> may include leveraging existing </w:t>
      </w:r>
      <w:r>
        <w:t>TN</w:t>
      </w:r>
      <w:r w:rsidRPr="00DD1FFB">
        <w:t xml:space="preserve"> processes</w:t>
      </w:r>
      <w:r w:rsidR="00A71DEC">
        <w:t xml:space="preserve">; </w:t>
      </w:r>
      <w:r w:rsidR="00B15B34">
        <w:t xml:space="preserve">for example, </w:t>
      </w:r>
      <w:r w:rsidRPr="00DD1FFB">
        <w:t xml:space="preserve">for GEDSI </w:t>
      </w:r>
      <w:r>
        <w:t xml:space="preserve">input into </w:t>
      </w:r>
      <w:r w:rsidRPr="00DD1FFB">
        <w:t xml:space="preserve">strategy or international development best practice expertise, such as </w:t>
      </w:r>
      <w:r>
        <w:t>specialist knowledge of aid modalities and their suitability for different contexts and development goals</w:t>
      </w:r>
      <w:r w:rsidR="00A71DEC">
        <w:t>. It may also include</w:t>
      </w:r>
      <w:r w:rsidRPr="00DD1FFB">
        <w:t xml:space="preserve"> exploring alternative capability-building approaches</w:t>
      </w:r>
      <w:r w:rsidR="00A71DEC">
        <w:t>.</w:t>
      </w:r>
    </w:p>
    <w:p w14:paraId="0095B871" w14:textId="7A760F52" w:rsidR="00FA5B56" w:rsidRPr="009D5FEE" w:rsidRDefault="00FA5B56" w:rsidP="007907C3">
      <w:pPr>
        <w:pStyle w:val="Blueblockheading"/>
      </w:pPr>
      <w:r>
        <w:t xml:space="preserve">Case Study 2: </w:t>
      </w:r>
      <w:r w:rsidR="009A6205">
        <w:t>The PRES Core Team i</w:t>
      </w:r>
      <w:r>
        <w:t xml:space="preserve">ncreasing coherence across </w:t>
      </w:r>
      <w:r w:rsidR="3D6F1847">
        <w:t xml:space="preserve">the Pacific Direct Financing Fund </w:t>
      </w:r>
      <w:r w:rsidR="001E3782">
        <w:t xml:space="preserve">and </w:t>
      </w:r>
      <w:r>
        <w:t>budget support</w:t>
      </w:r>
    </w:p>
    <w:p w14:paraId="0AD18099" w14:textId="72221817" w:rsidR="00FA5B56" w:rsidRDefault="006562A4" w:rsidP="007907C3">
      <w:pPr>
        <w:pStyle w:val="Blueblocktext"/>
      </w:pPr>
      <w:r w:rsidRPr="006562A4">
        <w:t xml:space="preserve">The </w:t>
      </w:r>
      <w:r w:rsidR="00685D73">
        <w:t xml:space="preserve">COVID-19 </w:t>
      </w:r>
      <w:r w:rsidRPr="006562A4">
        <w:t>pandemic's prolonged and severe economic impact on Pacific nations, coupled with escalating climate change effects, has necessitated a shift in Australia</w:t>
      </w:r>
      <w:r w:rsidR="005C7746">
        <w:t>’s development assistance</w:t>
      </w:r>
      <w:r w:rsidRPr="006562A4">
        <w:t xml:space="preserve">, including </w:t>
      </w:r>
      <w:r w:rsidR="009C3382" w:rsidRPr="006562A4">
        <w:t>increas</w:t>
      </w:r>
      <w:r w:rsidR="009C3382">
        <w:t>ing</w:t>
      </w:r>
      <w:r w:rsidR="009C3382" w:rsidRPr="006562A4">
        <w:t xml:space="preserve"> </w:t>
      </w:r>
      <w:r w:rsidRPr="006562A4">
        <w:t>direct budget support to address new recovery and growth demands.</w:t>
      </w:r>
      <w:r>
        <w:t xml:space="preserve"> </w:t>
      </w:r>
      <w:r w:rsidR="005C7746">
        <w:t xml:space="preserve">To support this, </w:t>
      </w:r>
      <w:r w:rsidR="00FA5B56" w:rsidRPr="00F1384F">
        <w:t xml:space="preserve">PRES </w:t>
      </w:r>
      <w:r w:rsidR="00D705DC" w:rsidRPr="00D705DC">
        <w:t xml:space="preserve">has delivered technical advice </w:t>
      </w:r>
      <w:r w:rsidR="003D24A5">
        <w:t xml:space="preserve">on budget support </w:t>
      </w:r>
      <w:r w:rsidR="00D705DC" w:rsidRPr="00D705DC">
        <w:t xml:space="preserve">across multiple </w:t>
      </w:r>
      <w:r w:rsidR="005C7746">
        <w:t>activities</w:t>
      </w:r>
      <w:r w:rsidR="00D705DC" w:rsidRPr="00D705DC">
        <w:t>, strengthening program coherence</w:t>
      </w:r>
      <w:r w:rsidR="001D173E">
        <w:t xml:space="preserve"> and </w:t>
      </w:r>
      <w:r w:rsidR="00FD4124">
        <w:t xml:space="preserve">ensuring direct budget support </w:t>
      </w:r>
      <w:r w:rsidR="005C7746">
        <w:t xml:space="preserve">delivers for </w:t>
      </w:r>
      <w:proofErr w:type="gramStart"/>
      <w:r w:rsidR="005C7746">
        <w:t>Pacific island</w:t>
      </w:r>
      <w:proofErr w:type="gramEnd"/>
      <w:r w:rsidR="005C7746">
        <w:t xml:space="preserve"> countries. </w:t>
      </w:r>
    </w:p>
    <w:p w14:paraId="57791E4B" w14:textId="662D7951" w:rsidR="00E72250" w:rsidRDefault="00EF5491" w:rsidP="007907C3">
      <w:pPr>
        <w:pStyle w:val="Blueblocktext"/>
      </w:pPr>
      <w:r>
        <w:lastRenderedPageBreak/>
        <w:t xml:space="preserve">For example, </w:t>
      </w:r>
      <w:r w:rsidR="00F611B4">
        <w:t xml:space="preserve">the </w:t>
      </w:r>
      <w:r w:rsidR="009B224A">
        <w:t xml:space="preserve">PRES </w:t>
      </w:r>
      <w:r w:rsidR="00F611B4">
        <w:t xml:space="preserve">Core Team </w:t>
      </w:r>
      <w:r w:rsidR="007A2949">
        <w:t xml:space="preserve">has </w:t>
      </w:r>
      <w:r w:rsidR="009B224A">
        <w:t xml:space="preserve">provided </w:t>
      </w:r>
      <w:r w:rsidR="007A2949">
        <w:t xml:space="preserve">extensive </w:t>
      </w:r>
      <w:r w:rsidR="00663717">
        <w:t xml:space="preserve">technical advice and </w:t>
      </w:r>
      <w:r w:rsidR="004C0CF2">
        <w:t xml:space="preserve">implementation </w:t>
      </w:r>
      <w:r w:rsidR="009B224A">
        <w:t xml:space="preserve">support </w:t>
      </w:r>
      <w:r w:rsidR="007A2949">
        <w:t>to</w:t>
      </w:r>
      <w:r w:rsidR="00D23BF4">
        <w:t xml:space="preserve"> the Fiscal </w:t>
      </w:r>
      <w:r w:rsidR="003C54ED">
        <w:t xml:space="preserve">Budget Support </w:t>
      </w:r>
      <w:r w:rsidR="00AD3EDF">
        <w:t>program</w:t>
      </w:r>
      <w:r w:rsidR="005C7746">
        <w:t xml:space="preserve"> (2020-2023)</w:t>
      </w:r>
      <w:r w:rsidR="00B56DC0">
        <w:t>, and subsequently the</w:t>
      </w:r>
      <w:r w:rsidR="00AD3EDF">
        <w:t xml:space="preserve"> Pacific Direct Financing Fund</w:t>
      </w:r>
      <w:r w:rsidR="00B56DC0">
        <w:t xml:space="preserve"> </w:t>
      </w:r>
      <w:r w:rsidR="00AD3EDF">
        <w:t>(</w:t>
      </w:r>
      <w:r w:rsidR="00B56DC0">
        <w:t>PDFF</w:t>
      </w:r>
      <w:r w:rsidR="00AD3EDF">
        <w:t>)</w:t>
      </w:r>
      <w:r w:rsidR="00EB3B23">
        <w:t xml:space="preserve">. This has included </w:t>
      </w:r>
      <w:r w:rsidR="00AD3EDF">
        <w:t xml:space="preserve">a </w:t>
      </w:r>
      <w:r w:rsidR="00EB7A60">
        <w:t>GEDSI assessment to inform delivery of the Pacific COVID-19 response package</w:t>
      </w:r>
      <w:r w:rsidR="004B7819">
        <w:t xml:space="preserve"> fiscal and</w:t>
      </w:r>
      <w:r w:rsidR="00EB7A60">
        <w:t xml:space="preserve"> budget support extension</w:t>
      </w:r>
      <w:r w:rsidR="00B51A0A">
        <w:t>, GEDSI snapshots</w:t>
      </w:r>
      <w:r w:rsidR="00EB7A60">
        <w:t xml:space="preserve"> </w:t>
      </w:r>
      <w:r w:rsidR="00B51A0A">
        <w:t xml:space="preserve">for </w:t>
      </w:r>
      <w:r w:rsidR="00EB7A60">
        <w:t xml:space="preserve">various </w:t>
      </w:r>
      <w:r w:rsidR="00010A90">
        <w:t>P</w:t>
      </w:r>
      <w:r w:rsidR="00EB7A60">
        <w:t xml:space="preserve">acific </w:t>
      </w:r>
      <w:r w:rsidR="002B0C21">
        <w:t xml:space="preserve">Island </w:t>
      </w:r>
      <w:r w:rsidR="00F9364F">
        <w:t>countries</w:t>
      </w:r>
      <w:r w:rsidR="002B0C21">
        <w:t>,</w:t>
      </w:r>
      <w:r w:rsidR="00CD25AC">
        <w:t xml:space="preserve"> and </w:t>
      </w:r>
      <w:r w:rsidR="009C6559">
        <w:t>increasing awareness of gender equality in budget support programming</w:t>
      </w:r>
      <w:r w:rsidR="002B0C21">
        <w:t>. It has also included</w:t>
      </w:r>
      <w:r w:rsidR="00F9364F">
        <w:t xml:space="preserve"> </w:t>
      </w:r>
      <w:r w:rsidR="009C6559">
        <w:t>M&amp;E</w:t>
      </w:r>
      <w:r w:rsidR="00C549D0">
        <w:t xml:space="preserve"> </w:t>
      </w:r>
      <w:r w:rsidR="00F15890">
        <w:t xml:space="preserve">support to the Fiscal Budget Support final </w:t>
      </w:r>
      <w:r w:rsidR="00AB4AD8">
        <w:t>evaluation, contributions</w:t>
      </w:r>
      <w:r w:rsidR="000450AD">
        <w:t xml:space="preserve"> to the</w:t>
      </w:r>
      <w:r w:rsidR="00EB7A60">
        <w:t xml:space="preserve"> Fiscal Budget Support </w:t>
      </w:r>
      <w:r w:rsidR="002B0C21">
        <w:t xml:space="preserve">program’s </w:t>
      </w:r>
      <w:r w:rsidR="00EB7A60">
        <w:t>FIMR</w:t>
      </w:r>
      <w:r w:rsidR="00934939">
        <w:t xml:space="preserve">, and support to the 2024-2027 Solomon Islands Budget Support </w:t>
      </w:r>
      <w:r w:rsidR="002B0C21">
        <w:t>p</w:t>
      </w:r>
      <w:r w:rsidR="00934939">
        <w:t>rogram</w:t>
      </w:r>
      <w:r w:rsidR="005C7746">
        <w:t xml:space="preserve"> design</w:t>
      </w:r>
      <w:r w:rsidR="002B0C21">
        <w:t>,</w:t>
      </w:r>
      <w:r w:rsidR="00934939">
        <w:t xml:space="preserve"> ensuring alignment with the overarching PDFF regional framework.  </w:t>
      </w:r>
      <w:r w:rsidR="00901E28">
        <w:t xml:space="preserve"> </w:t>
      </w:r>
    </w:p>
    <w:p w14:paraId="30068836" w14:textId="694F5A77" w:rsidR="00047803" w:rsidRDefault="00611A2C" w:rsidP="007907C3">
      <w:pPr>
        <w:pStyle w:val="Blueblocktext"/>
      </w:pPr>
      <w:r>
        <w:t>PRES</w:t>
      </w:r>
      <w:r w:rsidR="00047803">
        <w:t xml:space="preserve"> has</w:t>
      </w:r>
      <w:r w:rsidR="002911F4">
        <w:t xml:space="preserve"> provided specialist </w:t>
      </w:r>
      <w:r w:rsidR="001D1347">
        <w:t>advice for the design, delivery and evaluation of the</w:t>
      </w:r>
      <w:r w:rsidR="007A2949">
        <w:t xml:space="preserve"> </w:t>
      </w:r>
      <w:r w:rsidR="009B7435">
        <w:t>PDFF</w:t>
      </w:r>
      <w:r w:rsidR="007A2949">
        <w:t xml:space="preserve">, </w:t>
      </w:r>
      <w:r w:rsidR="00D616B9">
        <w:t>including</w:t>
      </w:r>
      <w:r w:rsidR="00EC61C2">
        <w:t xml:space="preserve"> the development of</w:t>
      </w:r>
      <w:r w:rsidR="00B00A63">
        <w:t xml:space="preserve"> </w:t>
      </w:r>
      <w:r w:rsidR="007F3C9D">
        <w:t>the</w:t>
      </w:r>
      <w:r w:rsidR="005F5704">
        <w:t xml:space="preserve"> terms of reference </w:t>
      </w:r>
      <w:r w:rsidR="006417BE">
        <w:t>for the PDFF advisory panel. T</w:t>
      </w:r>
      <w:r w:rsidR="00F72690">
        <w:t xml:space="preserve">he </w:t>
      </w:r>
      <w:r w:rsidR="00B306EC">
        <w:t xml:space="preserve">PRES </w:t>
      </w:r>
      <w:r w:rsidR="00F85DFD">
        <w:t>Team Leader</w:t>
      </w:r>
      <w:r w:rsidR="0012362A">
        <w:t xml:space="preserve"> </w:t>
      </w:r>
      <w:r w:rsidR="00B306EC">
        <w:t>is</w:t>
      </w:r>
      <w:r w:rsidR="00EB2071">
        <w:t xml:space="preserve"> the Chair of the P</w:t>
      </w:r>
      <w:r w:rsidR="000A3956">
        <w:t>D</w:t>
      </w:r>
      <w:r w:rsidR="00EB2071">
        <w:t xml:space="preserve">FF Advisory </w:t>
      </w:r>
      <w:r w:rsidR="008A70ED">
        <w:t>Panel and</w:t>
      </w:r>
      <w:r w:rsidR="006065B3">
        <w:t xml:space="preserve"> has led</w:t>
      </w:r>
      <w:r w:rsidR="00EB2071">
        <w:t xml:space="preserve"> the assessment of PDFF proposals and subsequent advisory panel reporting.</w:t>
      </w:r>
    </w:p>
    <w:p w14:paraId="468EA4FE" w14:textId="7180D815" w:rsidR="002911F4" w:rsidRDefault="0036051F" w:rsidP="001E3782">
      <w:pPr>
        <w:pStyle w:val="Blueblocktext"/>
      </w:pPr>
      <w:r>
        <w:t>I</w:t>
      </w:r>
      <w:r w:rsidR="0005109A">
        <w:t>n addition,</w:t>
      </w:r>
      <w:r w:rsidR="00D00890">
        <w:t xml:space="preserve"> PRES</w:t>
      </w:r>
      <w:r>
        <w:t xml:space="preserve"> has</w:t>
      </w:r>
      <w:r w:rsidR="001E3782">
        <w:t xml:space="preserve"> supported the </w:t>
      </w:r>
      <w:r w:rsidR="001E3782" w:rsidRPr="001E3782">
        <w:t xml:space="preserve">recruitment of an MEL team (two advisers) to develop </w:t>
      </w:r>
      <w:r w:rsidR="003A659C">
        <w:t xml:space="preserve">and </w:t>
      </w:r>
      <w:r w:rsidR="001E3782">
        <w:t>i</w:t>
      </w:r>
      <w:r w:rsidR="001E3782" w:rsidRPr="001E3782">
        <w:t xml:space="preserve">mplement the PDFF MEL </w:t>
      </w:r>
      <w:r w:rsidR="003B0D2A">
        <w:t>p</w:t>
      </w:r>
      <w:r w:rsidR="001E3782" w:rsidRPr="001E3782">
        <w:t>lan and system (identification of candidates, mapping</w:t>
      </w:r>
      <w:r w:rsidR="001E3782">
        <w:t xml:space="preserve"> </w:t>
      </w:r>
      <w:r w:rsidR="001E3782" w:rsidRPr="001E3782">
        <w:t>inputs, and support to TN development)</w:t>
      </w:r>
      <w:r w:rsidR="00015C1C">
        <w:t>. It has also supported</w:t>
      </w:r>
      <w:r w:rsidR="00047803">
        <w:t xml:space="preserve"> </w:t>
      </w:r>
      <w:r w:rsidR="00D63B18">
        <w:t>deliver</w:t>
      </w:r>
      <w:r w:rsidR="00015C1C">
        <w:t>y of</w:t>
      </w:r>
      <w:r w:rsidR="00D63B18">
        <w:t xml:space="preserve"> </w:t>
      </w:r>
      <w:r w:rsidR="00047803">
        <w:t xml:space="preserve">an options paper for budget support in </w:t>
      </w:r>
      <w:r w:rsidR="004D0AEC">
        <w:t>Papua New Guinea</w:t>
      </w:r>
      <w:r w:rsidR="00047803">
        <w:t xml:space="preserve">, case studies on how budget support contributed to private </w:t>
      </w:r>
      <w:r w:rsidR="00047803" w:rsidRPr="003E714A">
        <w:t>sector resilience during</w:t>
      </w:r>
      <w:r w:rsidR="003B0D2A">
        <w:t xml:space="preserve"> </w:t>
      </w:r>
      <w:r w:rsidR="00047803" w:rsidRPr="003E714A">
        <w:t>/</w:t>
      </w:r>
      <w:r w:rsidR="003B0D2A">
        <w:t xml:space="preserve"> </w:t>
      </w:r>
      <w:r w:rsidR="00047803" w:rsidRPr="003E714A">
        <w:t xml:space="preserve">after the </w:t>
      </w:r>
      <w:r w:rsidR="003B0D2A">
        <w:t xml:space="preserve">COVID-19 </w:t>
      </w:r>
      <w:r w:rsidR="00047803" w:rsidRPr="003E714A">
        <w:t>pandemic</w:t>
      </w:r>
      <w:r w:rsidR="00047803">
        <w:t xml:space="preserve"> in Fiji and </w:t>
      </w:r>
      <w:proofErr w:type="gramStart"/>
      <w:r w:rsidR="00047803">
        <w:t>Vanuatu</w:t>
      </w:r>
      <w:r w:rsidR="00D63B18">
        <w:t xml:space="preserve">, </w:t>
      </w:r>
      <w:r w:rsidR="00E16460">
        <w:t>and</w:t>
      </w:r>
      <w:proofErr w:type="gramEnd"/>
      <w:r w:rsidR="00E16460">
        <w:t xml:space="preserve"> </w:t>
      </w:r>
      <w:r w:rsidR="004C0CF2">
        <w:t>provided s</w:t>
      </w:r>
      <w:r w:rsidR="008C1DAF">
        <w:t xml:space="preserve">upport to Vanuatu Post </w:t>
      </w:r>
      <w:r w:rsidR="00A02986">
        <w:t xml:space="preserve">in relation to their </w:t>
      </w:r>
      <w:r w:rsidR="00C74662">
        <w:t>PDFF allocation</w:t>
      </w:r>
      <w:r w:rsidR="002238CC">
        <w:t xml:space="preserve"> (including</w:t>
      </w:r>
      <w:r w:rsidR="00703815">
        <w:t xml:space="preserve"> contribution to the</w:t>
      </w:r>
      <w:r w:rsidR="002238CC">
        <w:t xml:space="preserve"> </w:t>
      </w:r>
      <w:r w:rsidR="005D0A0E">
        <w:t xml:space="preserve">consultative design and initial drafting </w:t>
      </w:r>
      <w:r w:rsidR="00703815">
        <w:t xml:space="preserve">of the </w:t>
      </w:r>
      <w:r w:rsidR="003B0D2A">
        <w:t>i</w:t>
      </w:r>
      <w:r w:rsidR="00703815">
        <w:t xml:space="preserve">nvestment </w:t>
      </w:r>
      <w:r w:rsidR="003B0D2A">
        <w:t>d</w:t>
      </w:r>
      <w:r w:rsidR="00703815">
        <w:t xml:space="preserve">esign </w:t>
      </w:r>
      <w:r w:rsidR="003B0D2A">
        <w:t>s</w:t>
      </w:r>
      <w:r w:rsidR="00703815">
        <w:t>ummary)</w:t>
      </w:r>
      <w:r w:rsidR="00E16460">
        <w:t>.</w:t>
      </w:r>
      <w:r w:rsidR="00C74662">
        <w:t xml:space="preserve"> </w:t>
      </w:r>
    </w:p>
    <w:p w14:paraId="3DFBAFE7" w14:textId="76EE973C" w:rsidR="00D23BF4" w:rsidRDefault="004E0FC3" w:rsidP="007907C3">
      <w:pPr>
        <w:pStyle w:val="Blueblocktext"/>
      </w:pPr>
      <w:r>
        <w:rPr>
          <w:rFonts w:cstheme="minorHAnsi"/>
        </w:rPr>
        <w:t xml:space="preserve">Further, </w:t>
      </w:r>
      <w:r w:rsidR="008213D3">
        <w:rPr>
          <w:rFonts w:cstheme="minorHAnsi"/>
        </w:rPr>
        <w:t xml:space="preserve">PRES has contributed to </w:t>
      </w:r>
      <w:r w:rsidR="0036051F" w:rsidRPr="007C1F52">
        <w:rPr>
          <w:rFonts w:cstheme="minorHAnsi"/>
        </w:rPr>
        <w:t>improving</w:t>
      </w:r>
      <w:r w:rsidR="008213D3">
        <w:rPr>
          <w:rFonts w:cstheme="minorHAnsi"/>
        </w:rPr>
        <w:t xml:space="preserve"> budget support</w:t>
      </w:r>
      <w:r w:rsidR="0036051F" w:rsidRPr="007C1F52">
        <w:rPr>
          <w:rFonts w:cstheme="minorHAnsi"/>
        </w:rPr>
        <w:t xml:space="preserve"> knowledge management and learning</w:t>
      </w:r>
      <w:r w:rsidR="008213D3">
        <w:t xml:space="preserve"> within PEB, having</w:t>
      </w:r>
      <w:r w:rsidR="002163EE">
        <w:t xml:space="preserve"> facilitated a budget support panel discussion</w:t>
      </w:r>
      <w:r w:rsidR="00C27B9C">
        <w:t xml:space="preserve"> and </w:t>
      </w:r>
      <w:r w:rsidR="00BD18A6">
        <w:t>support</w:t>
      </w:r>
      <w:r w:rsidR="00F9292F">
        <w:t>ed</w:t>
      </w:r>
      <w:r w:rsidR="00BD18A6">
        <w:t xml:space="preserve"> </w:t>
      </w:r>
      <w:r w:rsidR="006A084F">
        <w:t xml:space="preserve">the development </w:t>
      </w:r>
      <w:r w:rsidR="00045313">
        <w:t xml:space="preserve">of </w:t>
      </w:r>
      <w:r w:rsidR="00B306EC">
        <w:t xml:space="preserve">DFAT’s Pacific </w:t>
      </w:r>
      <w:r w:rsidR="00045313">
        <w:t xml:space="preserve">Budget </w:t>
      </w:r>
      <w:r w:rsidR="008112B1">
        <w:t xml:space="preserve">Support Community of Practice. </w:t>
      </w:r>
    </w:p>
    <w:p w14:paraId="63CA45E3" w14:textId="1BA20C1D" w:rsidR="0010785E" w:rsidRPr="0010785E" w:rsidRDefault="0010785E" w:rsidP="007907C3">
      <w:pPr>
        <w:pStyle w:val="Heading3nonumber"/>
      </w:pPr>
      <w:r w:rsidRPr="0010785E">
        <w:t>To what extent has PRES responded to and met PEB</w:t>
      </w:r>
      <w:r w:rsidR="00DC129A">
        <w:t xml:space="preserve"> </w:t>
      </w:r>
      <w:r w:rsidRPr="009C5342">
        <w:t>/</w:t>
      </w:r>
      <w:r w:rsidR="00DC129A">
        <w:t xml:space="preserve"> </w:t>
      </w:r>
      <w:r w:rsidRPr="0010785E">
        <w:t>DFAT needs</w:t>
      </w:r>
      <w:r w:rsidR="00DF5E2B">
        <w:t>?</w:t>
      </w:r>
    </w:p>
    <w:p w14:paraId="784B2E41" w14:textId="367C0967" w:rsidR="004762EC" w:rsidRDefault="00331112" w:rsidP="004762EC">
      <w:bookmarkStart w:id="36" w:name="_Hlk191972909"/>
      <w:r>
        <w:t>Evidence suggests that PRES is effectively responding to DFAT needs</w:t>
      </w:r>
      <w:r w:rsidR="00AD662C">
        <w:t>.</w:t>
      </w:r>
      <w:r>
        <w:t xml:space="preserve"> </w:t>
      </w:r>
      <w:r w:rsidR="008A4790">
        <w:t xml:space="preserve">Feedback from consultations </w:t>
      </w:r>
      <w:r w:rsidR="00C4298E">
        <w:t xml:space="preserve">finds that staff </w:t>
      </w:r>
      <w:r w:rsidR="00434470">
        <w:t xml:space="preserve">are </w:t>
      </w:r>
      <w:r w:rsidR="00DF5E2B">
        <w:t>overwhelmingly</w:t>
      </w:r>
      <w:r w:rsidR="00434470">
        <w:t xml:space="preserve"> </w:t>
      </w:r>
      <w:r w:rsidR="003D4BAA">
        <w:t xml:space="preserve">satisfied </w:t>
      </w:r>
      <w:r w:rsidR="00434470">
        <w:t xml:space="preserve">with PRES and that its services </w:t>
      </w:r>
      <w:r w:rsidR="00434470" w:rsidRPr="009C5342">
        <w:t>meet</w:t>
      </w:r>
      <w:r w:rsidR="00434470">
        <w:t xml:space="preserve"> their needs</w:t>
      </w:r>
      <w:r w:rsidR="003F6673">
        <w:t xml:space="preserve">. </w:t>
      </w:r>
      <w:r w:rsidR="003F6673" w:rsidRPr="003F6673">
        <w:t xml:space="preserve">PRES has received positive feedback regarding both the quality of consultants </w:t>
      </w:r>
      <w:r w:rsidR="00F9292F">
        <w:t xml:space="preserve">that </w:t>
      </w:r>
      <w:r w:rsidR="003F6673" w:rsidRPr="003F6673">
        <w:t>it provides and the effectiveness of the PRES Core Team as a managing contractor and direct technical advis</w:t>
      </w:r>
      <w:r w:rsidR="00985102">
        <w:t>e</w:t>
      </w:r>
      <w:r w:rsidR="003F6673" w:rsidRPr="003F6673">
        <w:t>r.</w:t>
      </w:r>
    </w:p>
    <w:bookmarkEnd w:id="36"/>
    <w:p w14:paraId="66931948" w14:textId="72C170AD" w:rsidR="004762EC" w:rsidRDefault="004762EC" w:rsidP="004762EC">
      <w:r w:rsidRPr="152412E2">
        <w:t>This is consistent with reporting</w:t>
      </w:r>
      <w:r w:rsidR="008D7DDD">
        <w:t>;</w:t>
      </w:r>
      <w:r w:rsidRPr="152412E2">
        <w:t xml:space="preserve"> for example</w:t>
      </w:r>
      <w:r w:rsidR="008D7DDD">
        <w:t>,</w:t>
      </w:r>
      <w:r w:rsidRPr="152412E2">
        <w:t xml:space="preserve"> the 2024 </w:t>
      </w:r>
      <w:r w:rsidR="008D7DDD">
        <w:t xml:space="preserve">PEB </w:t>
      </w:r>
      <w:r w:rsidRPr="152412E2">
        <w:t>staff survey found that PRES is overwhelmingly reported as meeting the needs of DFAT staff</w:t>
      </w:r>
      <w:r w:rsidR="008D7DDD">
        <w:t>,</w:t>
      </w:r>
      <w:r w:rsidRPr="152412E2">
        <w:t xml:space="preserve"> with all respondents indicating </w:t>
      </w:r>
      <w:r w:rsidR="008D7DDD">
        <w:t xml:space="preserve">that </w:t>
      </w:r>
      <w:r w:rsidRPr="152412E2">
        <w:t>they were either satisfied (64%) or very satisfied (36%)</w:t>
      </w:r>
      <w:r w:rsidR="006E3FAE">
        <w:t>, and</w:t>
      </w:r>
      <w:r w:rsidRPr="152412E2">
        <w:t xml:space="preserve"> that PRES has met their needs. Monitoring data captured through Tasking Note Assessments (TNAs), as presented in the 2024 </w:t>
      </w:r>
      <w:r w:rsidR="00051DB7">
        <w:t>A</w:t>
      </w:r>
      <w:r w:rsidR="00051DB7" w:rsidRPr="152412E2">
        <w:t xml:space="preserve">nnual </w:t>
      </w:r>
      <w:r w:rsidR="00051DB7">
        <w:t>R</w:t>
      </w:r>
      <w:r w:rsidR="00051DB7" w:rsidRPr="152412E2">
        <w:t>eport</w:t>
      </w:r>
      <w:r w:rsidRPr="152412E2">
        <w:t>, also found 96</w:t>
      </w:r>
      <w:r w:rsidR="008C4EF4">
        <w:t>%</w:t>
      </w:r>
      <w:r w:rsidRPr="152412E2">
        <w:t xml:space="preserve"> (154</w:t>
      </w:r>
      <w:r w:rsidR="00B9557F">
        <w:t xml:space="preserve"> out </w:t>
      </w:r>
      <w:r w:rsidRPr="152412E2">
        <w:t>160) of ratings were adequate</w:t>
      </w:r>
      <w:r w:rsidR="00B9557F">
        <w:t xml:space="preserve"> </w:t>
      </w:r>
      <w:r w:rsidRPr="152412E2">
        <w:t>/</w:t>
      </w:r>
      <w:r w:rsidR="00B9557F">
        <w:t xml:space="preserve"> </w:t>
      </w:r>
      <w:r w:rsidRPr="152412E2">
        <w:t>satisfactory or above</w:t>
      </w:r>
      <w:r w:rsidR="00B9557F">
        <w:t>,</w:t>
      </w:r>
      <w:r w:rsidRPr="152412E2">
        <w:t xml:space="preserve"> and 79</w:t>
      </w:r>
      <w:r w:rsidR="008C4EF4">
        <w:t xml:space="preserve">% </w:t>
      </w:r>
      <w:r w:rsidRPr="152412E2">
        <w:t xml:space="preserve">were good or very good. Specifically, TNAs revealed </w:t>
      </w:r>
      <w:r w:rsidR="00B9557F">
        <w:t xml:space="preserve">that </w:t>
      </w:r>
      <w:r w:rsidRPr="152412E2">
        <w:t xml:space="preserve">the median response was 5 or higher (good+) across all indicators: Quality, Timeliness, Value for Money, Communication, and Ease of Engaging. </w:t>
      </w:r>
    </w:p>
    <w:p w14:paraId="7BA09CFB" w14:textId="5AE4D4B5" w:rsidR="00DF5E2B" w:rsidRDefault="00DF5E2B" w:rsidP="00331112">
      <w:r w:rsidRPr="152412E2">
        <w:t xml:space="preserve">Consultations raised that there </w:t>
      </w:r>
      <w:r w:rsidR="00D13ABC">
        <w:t>were</w:t>
      </w:r>
      <w:r w:rsidRPr="152412E2">
        <w:t xml:space="preserve"> a few initial teething challenges regarding deliverables </w:t>
      </w:r>
      <w:r w:rsidR="00A41F19">
        <w:rPr>
          <w:rFonts w:cstheme="minorHAnsi"/>
        </w:rPr>
        <w:t>–</w:t>
      </w:r>
      <w:r w:rsidRPr="152412E2">
        <w:t xml:space="preserve"> primarily related to how needs have been expressed by DFAT in </w:t>
      </w:r>
      <w:r w:rsidR="00CE1154">
        <w:t>TNs</w:t>
      </w:r>
      <w:r w:rsidRPr="152412E2">
        <w:t xml:space="preserve">, and </w:t>
      </w:r>
      <w:r w:rsidR="00B9557F">
        <w:t xml:space="preserve">the </w:t>
      </w:r>
      <w:r w:rsidRPr="152412E2">
        <w:t xml:space="preserve">initial program </w:t>
      </w:r>
      <w:r w:rsidR="00A41F19" w:rsidRPr="152412E2">
        <w:t xml:space="preserve">structure </w:t>
      </w:r>
      <w:r w:rsidRPr="152412E2">
        <w:t xml:space="preserve">where Deloitte had delivered </w:t>
      </w:r>
      <w:r w:rsidR="00E41B43">
        <w:t xml:space="preserve">some </w:t>
      </w:r>
      <w:r w:rsidR="004762EC" w:rsidRPr="152412E2">
        <w:t xml:space="preserve">PRES </w:t>
      </w:r>
      <w:r w:rsidRPr="152412E2">
        <w:t xml:space="preserve">services. These challenges </w:t>
      </w:r>
      <w:r w:rsidR="00A41F19">
        <w:t>appear</w:t>
      </w:r>
      <w:r w:rsidR="00A41F19" w:rsidRPr="152412E2">
        <w:t xml:space="preserve"> </w:t>
      </w:r>
      <w:r w:rsidRPr="152412E2">
        <w:t xml:space="preserve">to have been largely resolved. </w:t>
      </w:r>
    </w:p>
    <w:p w14:paraId="107A379F" w14:textId="5E2065CB" w:rsidR="00DF5E2B" w:rsidRDefault="00A41F19" w:rsidP="00331112">
      <w:r>
        <w:t>I</w:t>
      </w:r>
      <w:r w:rsidR="005529EC">
        <w:t xml:space="preserve">mprovement has </w:t>
      </w:r>
      <w:r>
        <w:t xml:space="preserve">also </w:t>
      </w:r>
      <w:r w:rsidR="005529EC">
        <w:t xml:space="preserve">been made on how DFAT staff complete </w:t>
      </w:r>
      <w:r w:rsidR="00FF720F">
        <w:t>TNs</w:t>
      </w:r>
      <w:r w:rsidR="005529EC">
        <w:t xml:space="preserve">. However, consultations found that </w:t>
      </w:r>
      <w:r w:rsidR="00110403">
        <w:t xml:space="preserve">the managing contractor </w:t>
      </w:r>
      <w:r w:rsidR="005529EC">
        <w:t xml:space="preserve">will often complete components of the </w:t>
      </w:r>
      <w:r w:rsidR="00FF720F">
        <w:t>TN</w:t>
      </w:r>
      <w:r w:rsidR="005529EC">
        <w:t xml:space="preserve"> on DFAT’s behalf after DFAT has communicated what is wanted. </w:t>
      </w:r>
      <w:r w:rsidR="009442F5">
        <w:t>Consultations gave mixed views on PRES’ role in drafting TNs.</w:t>
      </w:r>
      <w:r w:rsidR="005B2A89">
        <w:t xml:space="preserve"> </w:t>
      </w:r>
      <w:r w:rsidR="000345B6">
        <w:t>While consultations confirmed</w:t>
      </w:r>
      <w:r w:rsidR="005B2A89">
        <w:t xml:space="preserve"> PRES’ role in drafting TNs often led to a</w:t>
      </w:r>
      <w:r w:rsidR="008339A6">
        <w:t xml:space="preserve"> higher</w:t>
      </w:r>
      <w:r w:rsidR="005B2A89">
        <w:t xml:space="preserve"> quality outcome, </w:t>
      </w:r>
      <w:r w:rsidR="000345B6">
        <w:t xml:space="preserve">some </w:t>
      </w:r>
      <w:r w:rsidR="00E11D1A">
        <w:t xml:space="preserve">indicated </w:t>
      </w:r>
      <w:r w:rsidR="00C404C2">
        <w:t>that it allowed DFAT to be less engaged</w:t>
      </w:r>
      <w:r w:rsidR="00E11D1A">
        <w:t>.</w:t>
      </w:r>
      <w:r w:rsidR="009442F5">
        <w:t xml:space="preserve"> </w:t>
      </w:r>
      <w:r w:rsidR="00F062E2" w:rsidRPr="152412E2">
        <w:t xml:space="preserve">For example, </w:t>
      </w:r>
      <w:r w:rsidR="002B2215">
        <w:t xml:space="preserve">while </w:t>
      </w:r>
      <w:r w:rsidR="00A91CC3">
        <w:t>the</w:t>
      </w:r>
      <w:r w:rsidR="002B2215">
        <w:t>re was strong evidence that the</w:t>
      </w:r>
      <w:r w:rsidR="00A91CC3">
        <w:t xml:space="preserve"> </w:t>
      </w:r>
      <w:r w:rsidR="00F062E2" w:rsidRPr="152412E2">
        <w:t xml:space="preserve">PRES </w:t>
      </w:r>
      <w:r w:rsidR="00DF5E2B" w:rsidRPr="152412E2">
        <w:t>GEDSI advis</w:t>
      </w:r>
      <w:r w:rsidR="00575A2F">
        <w:t>e</w:t>
      </w:r>
      <w:r w:rsidR="00DF5E2B" w:rsidRPr="152412E2">
        <w:t xml:space="preserve">r </w:t>
      </w:r>
      <w:r w:rsidR="004F26E9">
        <w:t>improved the</w:t>
      </w:r>
      <w:r w:rsidR="00B61716">
        <w:t xml:space="preserve"> identification of GEDSI entry points</w:t>
      </w:r>
      <w:r w:rsidR="009B23EA">
        <w:t xml:space="preserve"> </w:t>
      </w:r>
      <w:r w:rsidR="004F26E9">
        <w:t xml:space="preserve">in TNs, with some indicating that this </w:t>
      </w:r>
      <w:r w:rsidR="00AF0E36">
        <w:lastRenderedPageBreak/>
        <w:t xml:space="preserve">leads to DFAT learning through </w:t>
      </w:r>
      <w:r w:rsidR="00E53772">
        <w:t>a cooperative</w:t>
      </w:r>
      <w:r w:rsidR="00AF0E36">
        <w:t xml:space="preserve"> drafting process</w:t>
      </w:r>
      <w:r w:rsidR="00B61716">
        <w:t>,</w:t>
      </w:r>
      <w:r w:rsidR="004F26E9">
        <w:t xml:space="preserve"> others noted that </w:t>
      </w:r>
      <w:r w:rsidR="00B61716">
        <w:t xml:space="preserve">it </w:t>
      </w:r>
      <w:r w:rsidR="00AF0E36">
        <w:t xml:space="preserve">can allow DFAT </w:t>
      </w:r>
      <w:r w:rsidR="00870AC0">
        <w:t xml:space="preserve">to </w:t>
      </w:r>
      <w:r w:rsidR="004865C4">
        <w:t>shift responsibility</w:t>
      </w:r>
      <w:r w:rsidR="004F26E9">
        <w:t xml:space="preserve"> for GEDSI</w:t>
      </w:r>
      <w:r w:rsidR="004865C4">
        <w:t xml:space="preserve"> to PRES</w:t>
      </w:r>
      <w:r w:rsidR="004F26E9">
        <w:t xml:space="preserve">. </w:t>
      </w:r>
      <w:r w:rsidR="00D557E7">
        <w:t>While co-</w:t>
      </w:r>
      <w:r w:rsidR="00B20D68">
        <w:t xml:space="preserve">drafting </w:t>
      </w:r>
      <w:r w:rsidR="002068CB">
        <w:t xml:space="preserve">of TNs is practical and </w:t>
      </w:r>
      <w:r w:rsidR="004F26E9">
        <w:t>a value provided by PRES in terms of efficiency and effectiveness</w:t>
      </w:r>
      <w:r w:rsidR="00A87A97">
        <w:t>, this should</w:t>
      </w:r>
      <w:r w:rsidR="00CD50DF">
        <w:t xml:space="preserve"> always</w:t>
      </w:r>
      <w:r w:rsidR="00A87A97">
        <w:t xml:space="preserve"> be done in </w:t>
      </w:r>
      <w:r w:rsidR="00AC6B7E">
        <w:t>partnership</w:t>
      </w:r>
      <w:r w:rsidR="00CD50DF">
        <w:t>,</w:t>
      </w:r>
      <w:r w:rsidR="008339A6">
        <w:t xml:space="preserve"> and </w:t>
      </w:r>
      <w:r w:rsidR="004F26E9">
        <w:t xml:space="preserve">with </w:t>
      </w:r>
      <w:r w:rsidR="008339A6">
        <w:t>DFAT retain</w:t>
      </w:r>
      <w:r w:rsidR="005B2E3C">
        <w:t>ing</w:t>
      </w:r>
      <w:r w:rsidR="008339A6">
        <w:t xml:space="preserve"> ultimate responsibility for final approval. </w:t>
      </w:r>
    </w:p>
    <w:p w14:paraId="793E9D98" w14:textId="57B05C23" w:rsidR="0007489F" w:rsidRPr="00BD600A" w:rsidRDefault="0007489F" w:rsidP="00BD600A">
      <w:bookmarkStart w:id="37" w:name="_Toc195808966"/>
      <w:r w:rsidRPr="00BD600A">
        <w:t>Consultations revealed some initial teething challenges with the original consortium contracted to deliver PRES, this included exploration of whether the nature of PRES Core Team work was best suited to specialised and extensive expertise in Pacific regional economic development versus more generalist economic knowledge. In Quarter 2 of 2024, the consortium's composition changed when one of the partners, Deloitte, made an organisational decision to cease its international development work and withdraw from the partnership.</w:t>
      </w:r>
    </w:p>
    <w:p w14:paraId="57379253" w14:textId="4FC2A4F1" w:rsidR="004179FF" w:rsidRDefault="004179FF" w:rsidP="00D93E5B">
      <w:pPr>
        <w:pStyle w:val="Heading3nonumber"/>
      </w:pPr>
      <w:r>
        <w:t>1</w:t>
      </w:r>
      <w:r w:rsidRPr="00F36A3C">
        <w:t>.</w:t>
      </w:r>
      <w:r>
        <w:t>2</w:t>
      </w:r>
      <w:r w:rsidRPr="00F36A3C">
        <w:t xml:space="preserve"> </w:t>
      </w:r>
      <w:r>
        <w:t>Achievement of EOIO 2</w:t>
      </w:r>
      <w:bookmarkEnd w:id="37"/>
    </w:p>
    <w:p w14:paraId="09F567A0" w14:textId="58EEA69D" w:rsidR="004179FF" w:rsidRPr="00FD2F24" w:rsidRDefault="004179FF" w:rsidP="007907C3">
      <w:pPr>
        <w:pStyle w:val="Orangeblocktext"/>
      </w:pPr>
      <w:bookmarkStart w:id="38" w:name="_Hlk190783348"/>
      <w:r w:rsidRPr="00B515EE">
        <w:rPr>
          <w:b/>
          <w:bCs/>
        </w:rPr>
        <w:t xml:space="preserve">EOIO </w:t>
      </w:r>
      <w:r w:rsidR="00403874" w:rsidRPr="00B515EE">
        <w:rPr>
          <w:b/>
          <w:bCs/>
        </w:rPr>
        <w:t>2</w:t>
      </w:r>
      <w:r w:rsidRPr="00B515EE">
        <w:rPr>
          <w:b/>
          <w:bCs/>
        </w:rPr>
        <w:t xml:space="preserve">: </w:t>
      </w:r>
      <w:r w:rsidR="00403874" w:rsidRPr="00E2720A">
        <w:rPr>
          <w:i/>
          <w:iCs/>
        </w:rPr>
        <w:t>Learning within PEB: PRES contributes to improving knowledge management and learning within PE</w:t>
      </w:r>
      <w:bookmarkEnd w:id="38"/>
      <w:r w:rsidR="00403874" w:rsidRPr="00E2720A">
        <w:rPr>
          <w:i/>
          <w:iCs/>
        </w:rPr>
        <w:t>B.</w:t>
      </w:r>
    </w:p>
    <w:p w14:paraId="2C5AB115" w14:textId="3092CC2A" w:rsidR="003B7F09" w:rsidRPr="00B515EE" w:rsidRDefault="00EF67C8" w:rsidP="007907C3">
      <w:pPr>
        <w:pStyle w:val="Orangeblocktext"/>
        <w:rPr>
          <w:b/>
          <w:bCs/>
        </w:rPr>
      </w:pPr>
      <w:bookmarkStart w:id="39" w:name="_Hlk191972925"/>
      <w:r w:rsidRPr="152412E2">
        <w:rPr>
          <w:b/>
          <w:bCs/>
        </w:rPr>
        <w:t xml:space="preserve">EOIO </w:t>
      </w:r>
      <w:r>
        <w:rPr>
          <w:b/>
          <w:bCs/>
        </w:rPr>
        <w:t>2</w:t>
      </w:r>
      <w:r w:rsidRPr="152412E2">
        <w:rPr>
          <w:b/>
          <w:bCs/>
        </w:rPr>
        <w:t xml:space="preserve"> is</w:t>
      </w:r>
      <w:r>
        <w:rPr>
          <w:b/>
          <w:bCs/>
        </w:rPr>
        <w:t xml:space="preserve"> </w:t>
      </w:r>
      <w:r w:rsidR="00202092">
        <w:rPr>
          <w:b/>
          <w:bCs/>
        </w:rPr>
        <w:t>broadly</w:t>
      </w:r>
      <w:r w:rsidRPr="152412E2">
        <w:rPr>
          <w:b/>
          <w:bCs/>
        </w:rPr>
        <w:t xml:space="preserve"> achieved:</w:t>
      </w:r>
      <w:r>
        <w:rPr>
          <w:b/>
          <w:bCs/>
        </w:rPr>
        <w:t xml:space="preserve"> </w:t>
      </w:r>
      <w:r w:rsidR="0061422B" w:rsidRPr="00861AB4">
        <w:rPr>
          <w:rFonts w:cstheme="minorHAnsi"/>
          <w:szCs w:val="21"/>
        </w:rPr>
        <w:t>PRES has implemented various learning and knowledge management initiatives, such as a knowledge management system, seminars,</w:t>
      </w:r>
      <w:r w:rsidR="0061422B">
        <w:rPr>
          <w:rFonts w:cstheme="minorHAnsi"/>
          <w:szCs w:val="21"/>
        </w:rPr>
        <w:t xml:space="preserve"> and learning through TNs and observation. However, </w:t>
      </w:r>
      <w:r w:rsidR="0061422B" w:rsidRPr="00B619C5">
        <w:t>there</w:t>
      </w:r>
      <w:r w:rsidR="0061422B">
        <w:t xml:space="preserve"> is a </w:t>
      </w:r>
      <w:r w:rsidR="0061422B" w:rsidRPr="00B515EE">
        <w:t>lack of clarity on the intent of EOIO2</w:t>
      </w:r>
      <w:r w:rsidR="0061422B">
        <w:t>, and focus has tended to be on meeting DFAT’s high</w:t>
      </w:r>
      <w:r w:rsidR="0061422B" w:rsidRPr="00B515EE">
        <w:t xml:space="preserve"> demand for activities under EOIO1.</w:t>
      </w:r>
    </w:p>
    <w:bookmarkEnd w:id="39"/>
    <w:p w14:paraId="05EB44A5" w14:textId="383A6B90" w:rsidR="00B05E8A" w:rsidRDefault="00D836AD" w:rsidP="00FC2EA8">
      <w:r>
        <w:t>The review found that PRES has experienced challenges in achieving EOIO2. This is</w:t>
      </w:r>
      <w:r w:rsidR="00C96C67">
        <w:t>,</w:t>
      </w:r>
      <w:r>
        <w:t xml:space="preserve"> in part</w:t>
      </w:r>
      <w:r w:rsidR="00C96C67">
        <w:t>,</w:t>
      </w:r>
      <w:r>
        <w:t xml:space="preserve"> due to a lack of clarity </w:t>
      </w:r>
      <w:r w:rsidR="003D4BAA">
        <w:t xml:space="preserve">about the ambition of EOIO2 and the entry point for PRES to better support knowledge management and learning. </w:t>
      </w:r>
      <w:r w:rsidR="00286EFF" w:rsidRPr="00286EFF">
        <w:t xml:space="preserve">Consultations revealed several challenges related to </w:t>
      </w:r>
      <w:r w:rsidR="00286EFF">
        <w:t>EOIO2.</w:t>
      </w:r>
      <w:r w:rsidR="00286EFF" w:rsidRPr="00286EFF">
        <w:t xml:space="preserve"> Participants expressed a lack of shared understanding regarding its purpose and how success would be measured. There were also ongoing debates about </w:t>
      </w:r>
      <w:r w:rsidR="00A004FF">
        <w:t xml:space="preserve">the importance of knowledge management and learning </w:t>
      </w:r>
      <w:r w:rsidR="00C500EF">
        <w:t xml:space="preserve">in the </w:t>
      </w:r>
      <w:r w:rsidR="005328B2">
        <w:t xml:space="preserve">context of </w:t>
      </w:r>
      <w:r w:rsidR="004227B4">
        <w:t>PRES as a provider of specialist technical capability</w:t>
      </w:r>
      <w:r w:rsidR="00367D59">
        <w:t xml:space="preserve">. </w:t>
      </w:r>
    </w:p>
    <w:p w14:paraId="388A40CA" w14:textId="56E24149" w:rsidR="008B5573" w:rsidRDefault="00926C35" w:rsidP="008B5573">
      <w:r>
        <w:t xml:space="preserve">A key to </w:t>
      </w:r>
      <w:r w:rsidR="00DC2B56">
        <w:t>PRES’</w:t>
      </w:r>
      <w:r>
        <w:t xml:space="preserve"> success has been its capacity to offer </w:t>
      </w:r>
      <w:r w:rsidR="00551DD0">
        <w:t xml:space="preserve">access to </w:t>
      </w:r>
      <w:r>
        <w:t>specialist technical expertise</w:t>
      </w:r>
      <w:r w:rsidR="004F751D">
        <w:t xml:space="preserve"> to inform economic policy and </w:t>
      </w:r>
      <w:r w:rsidR="001A22CA">
        <w:t xml:space="preserve">programming. </w:t>
      </w:r>
      <w:r w:rsidR="005C3D68">
        <w:t>A</w:t>
      </w:r>
      <w:r>
        <w:t xml:space="preserve"> fundamental challenge in managing learning within this arrangement is defining the nature </w:t>
      </w:r>
      <w:r w:rsidR="00D92B8C">
        <w:t xml:space="preserve">and objective </w:t>
      </w:r>
      <w:r>
        <w:t xml:space="preserve">of that learning. For example, direct learning </w:t>
      </w:r>
      <w:r w:rsidR="00BE13CD">
        <w:t>through</w:t>
      </w:r>
      <w:r>
        <w:t xml:space="preserve"> building the </w:t>
      </w:r>
      <w:r w:rsidR="00D92B8C">
        <w:t xml:space="preserve">specialist </w:t>
      </w:r>
      <w:r>
        <w:t>capa</w:t>
      </w:r>
      <w:r w:rsidR="00D92B8C">
        <w:t>bility</w:t>
      </w:r>
      <w:r>
        <w:t xml:space="preserve"> of DFAT staff</w:t>
      </w:r>
      <w:r w:rsidR="0048792C">
        <w:t xml:space="preserve"> is inherently difficult. </w:t>
      </w:r>
      <w:bookmarkStart w:id="40" w:name="_Hlk191974349"/>
      <w:r w:rsidR="0048792C">
        <w:t>O</w:t>
      </w:r>
      <w:r w:rsidR="00403874">
        <w:t>ne of the primary reasons</w:t>
      </w:r>
      <w:r w:rsidR="00CA72AC">
        <w:t xml:space="preserve"> that</w:t>
      </w:r>
      <w:r w:rsidR="00403874">
        <w:t xml:space="preserve"> DFAT benefits from PRES is that it requires highly technical skills</w:t>
      </w:r>
      <w:r w:rsidR="0036303C">
        <w:t xml:space="preserve"> </w:t>
      </w:r>
      <w:r w:rsidR="00403874">
        <w:t>that are not readily transferable to generalist staff through simple upskilling.</w:t>
      </w:r>
      <w:r w:rsidR="008B5573">
        <w:t xml:space="preserve"> High levels of internal DFAT staff turnover and its impact on organisational knowledge </w:t>
      </w:r>
      <w:r w:rsidR="17C5CC4F">
        <w:t>were</w:t>
      </w:r>
      <w:r w:rsidR="008E5EE7">
        <w:t xml:space="preserve"> also raised </w:t>
      </w:r>
      <w:r w:rsidR="0036303C">
        <w:t xml:space="preserve">as challenges </w:t>
      </w:r>
      <w:r w:rsidR="008E5EE7">
        <w:t>in</w:t>
      </w:r>
      <w:r w:rsidR="008B5573">
        <w:t xml:space="preserve"> consultations. </w:t>
      </w:r>
    </w:p>
    <w:bookmarkEnd w:id="40"/>
    <w:p w14:paraId="2D10E3C3" w14:textId="2C8C0CA2" w:rsidR="00C640DD" w:rsidRDefault="00337EE6" w:rsidP="004179FF">
      <w:r>
        <w:t>O</w:t>
      </w:r>
      <w:r w:rsidR="00403874" w:rsidRPr="152412E2">
        <w:t xml:space="preserve">pportunities for </w:t>
      </w:r>
      <w:r w:rsidR="00C640DD" w:rsidRPr="152412E2">
        <w:t>learning still exist</w:t>
      </w:r>
      <w:r w:rsidR="005073CA">
        <w:t>,</w:t>
      </w:r>
      <w:r w:rsidR="00C640DD" w:rsidRPr="152412E2">
        <w:t xml:space="preserve"> particularly in terms of providing generalist staff with a broader understanding of more technical areas, </w:t>
      </w:r>
      <w:r w:rsidR="006B3307">
        <w:t>exposing them</w:t>
      </w:r>
      <w:r w:rsidR="006B3307" w:rsidRPr="152412E2">
        <w:t xml:space="preserve"> </w:t>
      </w:r>
      <w:r w:rsidR="00C640DD" w:rsidRPr="152412E2">
        <w:t xml:space="preserve">to different thinking and problem-solving approaches, </w:t>
      </w:r>
      <w:r w:rsidR="00687188">
        <w:t xml:space="preserve">and </w:t>
      </w:r>
      <w:r w:rsidR="00296E21">
        <w:t>connecting them to</w:t>
      </w:r>
      <w:r w:rsidR="00C640DD" w:rsidRPr="152412E2">
        <w:t xml:space="preserve"> technical area</w:t>
      </w:r>
      <w:r w:rsidR="00CE454D">
        <w:t>s</w:t>
      </w:r>
      <w:r w:rsidR="00C640DD" w:rsidRPr="152412E2">
        <w:t xml:space="preserve"> to improve </w:t>
      </w:r>
      <w:r w:rsidR="00296E21">
        <w:t xml:space="preserve">institutional </w:t>
      </w:r>
      <w:r w:rsidR="00C640DD" w:rsidRPr="152412E2">
        <w:t xml:space="preserve">communication and collaboration. </w:t>
      </w:r>
    </w:p>
    <w:p w14:paraId="17C754AE" w14:textId="7DA920A4" w:rsidR="009820D8" w:rsidRDefault="00C640DD" w:rsidP="009820D8">
      <w:r>
        <w:t xml:space="preserve">Consistent with this, </w:t>
      </w:r>
      <w:bookmarkStart w:id="41" w:name="_Hlk191974360"/>
      <w:r>
        <w:t xml:space="preserve">consultations revealed that </w:t>
      </w:r>
      <w:r w:rsidR="56447ACE">
        <w:t xml:space="preserve">the </w:t>
      </w:r>
      <w:r>
        <w:t>most effective learning has come from observational learning and interaction with PRES consultants</w:t>
      </w:r>
      <w:r w:rsidR="000A3429">
        <w:t xml:space="preserve"> and the PRES Core </w:t>
      </w:r>
      <w:r w:rsidR="00296E21">
        <w:t>T</w:t>
      </w:r>
      <w:r w:rsidR="000A3429">
        <w:t>eam</w:t>
      </w:r>
      <w:r>
        <w:t xml:space="preserve">. </w:t>
      </w:r>
      <w:bookmarkEnd w:id="41"/>
      <w:r>
        <w:t xml:space="preserve">For example, positive feedback was given </w:t>
      </w:r>
      <w:r w:rsidR="00296E21">
        <w:t xml:space="preserve">about </w:t>
      </w:r>
      <w:r w:rsidR="00FC19EC">
        <w:t>embedded advis</w:t>
      </w:r>
      <w:r w:rsidR="00575A2F">
        <w:t>e</w:t>
      </w:r>
      <w:r w:rsidR="00FC19EC">
        <w:t>rs</w:t>
      </w:r>
      <w:r w:rsidR="00FB59EB">
        <w:t xml:space="preserve"> (</w:t>
      </w:r>
      <w:r w:rsidR="00B410A3">
        <w:t>specialist advisers placed within DFAT</w:t>
      </w:r>
      <w:r w:rsidR="003C102D">
        <w:t xml:space="preserve"> to provide ongoing support)</w:t>
      </w:r>
      <w:r>
        <w:t>, with respondents suggesting that</w:t>
      </w:r>
      <w:r w:rsidR="00FC19EC">
        <w:t xml:space="preserve"> the</w:t>
      </w:r>
      <w:r>
        <w:t xml:space="preserve"> embedded </w:t>
      </w:r>
      <w:r w:rsidR="00FC19EC">
        <w:t xml:space="preserve">M&amp;E </w:t>
      </w:r>
      <w:r>
        <w:t>adviser ha</w:t>
      </w:r>
      <w:r w:rsidR="00FC19EC">
        <w:t>s</w:t>
      </w:r>
      <w:r>
        <w:t xml:space="preserve"> fostered learning by going beyond their core </w:t>
      </w:r>
      <w:r w:rsidR="00B515EE">
        <w:t>responsibilities and</w:t>
      </w:r>
      <w:r>
        <w:t xml:space="preserve"> being a source of general advice for staff. However, this raises questions about the extent to which </w:t>
      </w:r>
      <w:r w:rsidR="00D5616D">
        <w:t>there is</w:t>
      </w:r>
      <w:r>
        <w:t xml:space="preserve"> a need for more</w:t>
      </w:r>
      <w:r w:rsidR="002D4D9A">
        <w:t>-</w:t>
      </w:r>
      <w:r>
        <w:t>permanent specialist internal staff member</w:t>
      </w:r>
      <w:r w:rsidR="002D4D9A">
        <w:t>s</w:t>
      </w:r>
      <w:r>
        <w:t xml:space="preserve"> in these roles. </w:t>
      </w:r>
    </w:p>
    <w:p w14:paraId="60BAAEBF" w14:textId="311C436A" w:rsidR="00BB7A5A" w:rsidRDefault="004A466C" w:rsidP="009820D8">
      <w:r>
        <w:lastRenderedPageBreak/>
        <w:t xml:space="preserve">Consultation findings are supported by documentation </w:t>
      </w:r>
      <w:r w:rsidR="00E920F8">
        <w:t xml:space="preserve">analysed </w:t>
      </w:r>
      <w:r>
        <w:t xml:space="preserve">by the evaluation team. </w:t>
      </w:r>
      <w:r w:rsidR="006B0F55">
        <w:t xml:space="preserve">Notes from the PRES </w:t>
      </w:r>
      <w:r w:rsidR="005653E6" w:rsidRPr="00FB7C94">
        <w:t xml:space="preserve">March 2024 Review and </w:t>
      </w:r>
      <w:r w:rsidR="005653E6">
        <w:t>R</w:t>
      </w:r>
      <w:r w:rsidR="005653E6" w:rsidRPr="00FB7C94">
        <w:t>eflection meeting</w:t>
      </w:r>
      <w:r w:rsidR="005653E6">
        <w:t xml:space="preserve"> </w:t>
      </w:r>
      <w:r w:rsidR="005653E6" w:rsidRPr="00FB7C94">
        <w:t xml:space="preserve">identified </w:t>
      </w:r>
      <w:r w:rsidR="00E920F8">
        <w:t xml:space="preserve">that the Core Team had recognised that </w:t>
      </w:r>
      <w:r w:rsidR="005653E6" w:rsidRPr="00FB7C94">
        <w:t xml:space="preserve">a key challenge </w:t>
      </w:r>
      <w:r w:rsidR="000C53F3">
        <w:t>for them was</w:t>
      </w:r>
      <w:r w:rsidR="00E920F8" w:rsidRPr="00FB7C94">
        <w:t xml:space="preserve"> </w:t>
      </w:r>
      <w:r w:rsidR="005653E6" w:rsidRPr="00FB7C94">
        <w:t xml:space="preserve">understanding what DFAT expectations </w:t>
      </w:r>
      <w:r w:rsidR="00BB7A5A">
        <w:t>were</w:t>
      </w:r>
      <w:r w:rsidR="00BB7A5A" w:rsidRPr="00FB7C94">
        <w:t xml:space="preserve"> </w:t>
      </w:r>
      <w:r w:rsidR="005653E6" w:rsidRPr="00FB7C94">
        <w:t>for PRES’ contribution to PEB learning, knowledge management, and information sharing.</w:t>
      </w:r>
      <w:r w:rsidR="00C874EB">
        <w:t xml:space="preserve"> </w:t>
      </w:r>
    </w:p>
    <w:p w14:paraId="3B71518B" w14:textId="202C2196" w:rsidR="009820D8" w:rsidRPr="003C2162" w:rsidRDefault="009820D8" w:rsidP="009820D8">
      <w:r w:rsidRPr="003C2162">
        <w:t xml:space="preserve">The November 2024 PRES Review and Reflection meeting focused </w:t>
      </w:r>
      <w:r w:rsidR="000C53F3">
        <w:t xml:space="preserve">entirely </w:t>
      </w:r>
      <w:r w:rsidRPr="003C2162">
        <w:t>on EOIO2</w:t>
      </w:r>
      <w:r w:rsidR="003C2162">
        <w:t>.</w:t>
      </w:r>
      <w:r w:rsidRPr="003C2162">
        <w:t xml:space="preserve"> </w:t>
      </w:r>
      <w:r w:rsidR="000C53F3">
        <w:t>At this meeting, w</w:t>
      </w:r>
      <w:r w:rsidR="000C53F3" w:rsidRPr="003C2162">
        <w:t xml:space="preserve">hile </w:t>
      </w:r>
      <w:r w:rsidRPr="003C2162">
        <w:t xml:space="preserve">the </w:t>
      </w:r>
      <w:r w:rsidR="000C53F3">
        <w:t>Core T</w:t>
      </w:r>
      <w:r w:rsidR="000C53F3" w:rsidRPr="003C2162">
        <w:t xml:space="preserve">eam </w:t>
      </w:r>
      <w:r w:rsidRPr="003C2162">
        <w:t xml:space="preserve">agreed </w:t>
      </w:r>
      <w:r w:rsidR="000C53F3">
        <w:t xml:space="preserve">that </w:t>
      </w:r>
      <w:r w:rsidRPr="003C2162">
        <w:t xml:space="preserve">the EOIO2 outcomes and outputs were still relevant, </w:t>
      </w:r>
      <w:r w:rsidR="00445F66">
        <w:t>the</w:t>
      </w:r>
      <w:r w:rsidR="00144FD6">
        <w:t xml:space="preserve"> </w:t>
      </w:r>
      <w:r w:rsidR="000C53F3">
        <w:t xml:space="preserve">meeting </w:t>
      </w:r>
      <w:r w:rsidR="00144FD6">
        <w:t xml:space="preserve">notes </w:t>
      </w:r>
      <w:r w:rsidR="00C56BFA">
        <w:t>show</w:t>
      </w:r>
      <w:r w:rsidR="000C53F3">
        <w:t xml:space="preserve"> </w:t>
      </w:r>
      <w:r w:rsidR="002D506C">
        <w:t>that</w:t>
      </w:r>
      <w:r w:rsidR="00BB7A5A">
        <w:t xml:space="preserve"> team</w:t>
      </w:r>
      <w:r w:rsidR="002D506C">
        <w:t xml:space="preserve"> </w:t>
      </w:r>
      <w:r w:rsidR="00BB7A5A">
        <w:t>members</w:t>
      </w:r>
      <w:r w:rsidR="002D506C">
        <w:t xml:space="preserve"> had raised </w:t>
      </w:r>
      <w:r w:rsidR="000C53F3">
        <w:t>‘</w:t>
      </w:r>
      <w:r w:rsidRPr="003C2162">
        <w:t>the difficulty in capturing the more ‘intangible’ or less structured sharing of information and knowledge with DFAT staff, and the resulting emphasis in program reporting on more formal processes (e.g. seminars)</w:t>
      </w:r>
      <w:r w:rsidR="002D506C">
        <w:t>’</w:t>
      </w:r>
      <w:r w:rsidRPr="003C2162">
        <w:t xml:space="preserve">. Consistent with consultation findings, </w:t>
      </w:r>
      <w:r w:rsidR="008B4914">
        <w:t>discussions in this meeting about EOPO2</w:t>
      </w:r>
      <w:r w:rsidRPr="003C2162">
        <w:t xml:space="preserve"> indicated that </w:t>
      </w:r>
      <w:r w:rsidR="008B4914">
        <w:t xml:space="preserve">the team recognised the value of knowledge sharing through </w:t>
      </w:r>
      <w:r w:rsidRPr="003C2162">
        <w:t>informal processes</w:t>
      </w:r>
      <w:r w:rsidR="008B4914">
        <w:t>;</w:t>
      </w:r>
      <w:r w:rsidRPr="003C2162">
        <w:t xml:space="preserve"> </w:t>
      </w:r>
      <w:r w:rsidR="00FC1582">
        <w:t>‘</w:t>
      </w:r>
      <w:r w:rsidRPr="003C2162">
        <w:t>for example</w:t>
      </w:r>
      <w:r w:rsidR="00FC1582">
        <w:t>,</w:t>
      </w:r>
      <w:r w:rsidRPr="003C2162">
        <w:t xml:space="preserve"> sharing knowledge about a potentially useful deliverable</w:t>
      </w:r>
      <w:r w:rsidR="00FC1582">
        <w:t xml:space="preserve"> </w:t>
      </w:r>
      <w:r w:rsidRPr="003C2162">
        <w:t>/</w:t>
      </w:r>
      <w:r w:rsidR="00FC1582">
        <w:t xml:space="preserve"> </w:t>
      </w:r>
      <w:r w:rsidRPr="003C2162">
        <w:t>product or experience in one DFAT team with a different team in conversation</w:t>
      </w:r>
      <w:r w:rsidR="00FC1582">
        <w:t xml:space="preserve"> </w:t>
      </w:r>
      <w:r w:rsidRPr="003C2162">
        <w:t>/</w:t>
      </w:r>
      <w:r w:rsidR="00FC1582">
        <w:t xml:space="preserve"> </w:t>
      </w:r>
      <w:r w:rsidRPr="003C2162">
        <w:t>by email may be potentially impactful in terms of knowledge management and learning, but don’t appear as heavily weighted in MEL reporting as more tangible learning events such as seminars</w:t>
      </w:r>
      <w:r w:rsidR="00FC1582">
        <w:t>’</w:t>
      </w:r>
      <w:r w:rsidRPr="003C2162">
        <w:t xml:space="preserve">. It was suggested </w:t>
      </w:r>
      <w:r w:rsidR="008B4914">
        <w:t xml:space="preserve">in this meeting </w:t>
      </w:r>
      <w:r w:rsidR="00B43B0A">
        <w:t xml:space="preserve">that </w:t>
      </w:r>
      <w:r w:rsidRPr="003C2162">
        <w:t xml:space="preserve">a possible solution </w:t>
      </w:r>
      <w:r w:rsidR="0050771B">
        <w:t xml:space="preserve">is to </w:t>
      </w:r>
      <w:r w:rsidRPr="003C2162">
        <w:t>ensur</w:t>
      </w:r>
      <w:r w:rsidR="0050771B">
        <w:t>e</w:t>
      </w:r>
      <w:r w:rsidRPr="003C2162">
        <w:t xml:space="preserve"> informal information and knowledge sharing processes are recorded and collated over time.</w:t>
      </w:r>
    </w:p>
    <w:p w14:paraId="38C7DD01" w14:textId="1BEF4661" w:rsidR="00F8151C" w:rsidRDefault="00AF41B0" w:rsidP="00AF41B0">
      <w:bookmarkStart w:id="42" w:name="_Hlk191974371"/>
      <w:r>
        <w:t>In the</w:t>
      </w:r>
      <w:r w:rsidR="00182778">
        <w:t xml:space="preserve"> 2024 </w:t>
      </w:r>
      <w:r w:rsidR="002B783F">
        <w:t xml:space="preserve">PEB </w:t>
      </w:r>
      <w:r w:rsidR="00182778">
        <w:t xml:space="preserve">staff survey, while </w:t>
      </w:r>
      <w:r w:rsidR="00182778" w:rsidRPr="152412E2">
        <w:t>83</w:t>
      </w:r>
      <w:r w:rsidR="008C4EF4">
        <w:t>%</w:t>
      </w:r>
      <w:r w:rsidR="00DB1F30" w:rsidRPr="152412E2">
        <w:t xml:space="preserve"> </w:t>
      </w:r>
      <w:r w:rsidR="00182778" w:rsidRPr="152412E2">
        <w:t xml:space="preserve">of respondents reported PRES had made at least </w:t>
      </w:r>
      <w:r w:rsidR="00182778" w:rsidRPr="152412E2">
        <w:rPr>
          <w:i/>
          <w:iCs/>
        </w:rPr>
        <w:t>some</w:t>
      </w:r>
      <w:r w:rsidR="00182778" w:rsidRPr="152412E2">
        <w:t xml:space="preserve"> contribution to knowledge management, responses were more varied than for EOIO1, with </w:t>
      </w:r>
      <w:r w:rsidR="008B4914">
        <w:t xml:space="preserve"> five out of </w:t>
      </w:r>
      <w:r w:rsidR="00182778" w:rsidRPr="152412E2">
        <w:t xml:space="preserve">10 </w:t>
      </w:r>
      <w:r w:rsidR="008B4914">
        <w:t xml:space="preserve">respondents </w:t>
      </w:r>
      <w:r w:rsidR="00182778" w:rsidRPr="152412E2">
        <w:t xml:space="preserve">indicating </w:t>
      </w:r>
      <w:r w:rsidR="008B4914">
        <w:t xml:space="preserve">that </w:t>
      </w:r>
      <w:r w:rsidR="00182778" w:rsidRPr="152412E2">
        <w:t xml:space="preserve">PRES had made only a little or no contribution to knowledge management, and no respondents </w:t>
      </w:r>
      <w:r w:rsidR="008B4914" w:rsidRPr="152412E2">
        <w:t>select</w:t>
      </w:r>
      <w:r w:rsidR="008B4914">
        <w:t>ed</w:t>
      </w:r>
      <w:r w:rsidR="008B4914" w:rsidRPr="152412E2">
        <w:t xml:space="preserve"> </w:t>
      </w:r>
      <w:r w:rsidR="00182778" w:rsidRPr="152412E2">
        <w:t>the highest point on the scale (</w:t>
      </w:r>
      <w:r w:rsidR="008B4914">
        <w:t>‘</w:t>
      </w:r>
      <w:r w:rsidR="00182778" w:rsidRPr="152412E2">
        <w:t>to a very good extent</w:t>
      </w:r>
      <w:r w:rsidR="008B4914">
        <w:t>’</w:t>
      </w:r>
      <w:r w:rsidR="00182778" w:rsidRPr="152412E2">
        <w:t>). The survey found that 58</w:t>
      </w:r>
      <w:r w:rsidR="008C4EF4">
        <w:t xml:space="preserve">% </w:t>
      </w:r>
      <w:r w:rsidR="00182778">
        <w:t xml:space="preserve">of respondents </w:t>
      </w:r>
      <w:r w:rsidR="00182778" w:rsidRPr="152412E2">
        <w:t>(</w:t>
      </w:r>
      <w:r w:rsidR="008B4914">
        <w:t xml:space="preserve">seven out of </w:t>
      </w:r>
      <w:r w:rsidR="00182778" w:rsidRPr="152412E2">
        <w:t>12</w:t>
      </w:r>
      <w:r w:rsidR="008B4914">
        <w:t xml:space="preserve"> people</w:t>
      </w:r>
      <w:r w:rsidR="00182778" w:rsidRPr="152412E2">
        <w:t>)</w:t>
      </w:r>
      <w:r w:rsidR="00182778">
        <w:t xml:space="preserve"> </w:t>
      </w:r>
      <w:r w:rsidR="00182778" w:rsidRPr="152412E2">
        <w:t xml:space="preserve">had not drawn on </w:t>
      </w:r>
      <w:r w:rsidR="008B4914">
        <w:t xml:space="preserve">the </w:t>
      </w:r>
      <w:r w:rsidR="00182778" w:rsidRPr="152412E2">
        <w:t xml:space="preserve">PRES deliverables commissioned by others </w:t>
      </w:r>
      <w:r w:rsidR="008B4914">
        <w:t>‘</w:t>
      </w:r>
      <w:r w:rsidR="00182778" w:rsidRPr="152412E2">
        <w:t>at all</w:t>
      </w:r>
      <w:r w:rsidR="008B4914">
        <w:t>’</w:t>
      </w:r>
      <w:r w:rsidR="00182778" w:rsidRPr="152412E2">
        <w:t xml:space="preserve"> or were </w:t>
      </w:r>
      <w:r w:rsidR="008B4914">
        <w:t>‘</w:t>
      </w:r>
      <w:r w:rsidR="00182778" w:rsidRPr="152412E2">
        <w:t>unsure</w:t>
      </w:r>
      <w:r w:rsidR="008B4914">
        <w:t>’</w:t>
      </w:r>
      <w:r w:rsidR="00182778" w:rsidRPr="152412E2">
        <w:t>. Of those who had</w:t>
      </w:r>
      <w:r w:rsidR="00182778">
        <w:t xml:space="preserve"> drawn on deliverables,</w:t>
      </w:r>
      <w:r w:rsidR="00182778" w:rsidRPr="152412E2">
        <w:t xml:space="preserve"> the majority had only drawn on deliverables </w:t>
      </w:r>
      <w:r w:rsidR="004A7720">
        <w:t>‘</w:t>
      </w:r>
      <w:r w:rsidR="00182778" w:rsidRPr="152412E2">
        <w:t>a little</w:t>
      </w:r>
      <w:r w:rsidR="004A7720">
        <w:t>’</w:t>
      </w:r>
      <w:r w:rsidR="004A7720" w:rsidRPr="152412E2">
        <w:t xml:space="preserve">. </w:t>
      </w:r>
      <w:r w:rsidR="00182778" w:rsidRPr="152412E2">
        <w:t xml:space="preserve">Examining </w:t>
      </w:r>
      <w:r w:rsidR="00182778" w:rsidRPr="00B85CF8">
        <w:t>the</w:t>
      </w:r>
      <w:r w:rsidR="00182778" w:rsidRPr="152412E2">
        <w:rPr>
          <w:i/>
          <w:iCs/>
        </w:rPr>
        <w:t xml:space="preserve"> ways</w:t>
      </w:r>
      <w:r w:rsidR="00182778" w:rsidRPr="152412E2">
        <w:t xml:space="preserve"> in which PRES has contributed to knowledge management, the highest response was through the availability of </w:t>
      </w:r>
      <w:r w:rsidR="004A7720">
        <w:t>TNs</w:t>
      </w:r>
      <w:r w:rsidR="00182778" w:rsidRPr="152412E2">
        <w:t xml:space="preserve"> and deliverables on the PRES </w:t>
      </w:r>
      <w:r w:rsidR="004A7720" w:rsidRPr="48347A15">
        <w:rPr>
          <w:rFonts w:ascii="Arial" w:eastAsiaTheme="minorEastAsia" w:hAnsi="Arial" w:cs="Arial"/>
        </w:rPr>
        <w:t>Information Management System</w:t>
      </w:r>
      <w:r w:rsidR="00693E0D">
        <w:rPr>
          <w:rFonts w:ascii="Arial" w:eastAsiaTheme="minorEastAsia" w:hAnsi="Arial" w:cs="Arial"/>
        </w:rPr>
        <w:t xml:space="preserve"> (IMS)</w:t>
      </w:r>
      <w:r w:rsidR="004A7720" w:rsidRPr="48347A15">
        <w:rPr>
          <w:rFonts w:ascii="Arial" w:eastAsiaTheme="minorEastAsia" w:hAnsi="Arial" w:cs="Arial"/>
        </w:rPr>
        <w:t xml:space="preserve"> </w:t>
      </w:r>
      <w:r w:rsidR="00182778" w:rsidRPr="152412E2">
        <w:t>(</w:t>
      </w:r>
      <w:r w:rsidR="004A7720">
        <w:t xml:space="preserve">four out of </w:t>
      </w:r>
      <w:r w:rsidR="00182778" w:rsidRPr="152412E2">
        <w:t>12</w:t>
      </w:r>
      <w:r w:rsidR="004A7720">
        <w:t xml:space="preserve"> respondents</w:t>
      </w:r>
      <w:r w:rsidR="00182778" w:rsidRPr="152412E2">
        <w:t xml:space="preserve">) and </w:t>
      </w:r>
      <w:r w:rsidR="004072EE">
        <w:t>i</w:t>
      </w:r>
      <w:r w:rsidR="00182778" w:rsidRPr="152412E2">
        <w:t>nformation sharing events</w:t>
      </w:r>
      <w:r w:rsidR="004A7720">
        <w:t xml:space="preserve"> </w:t>
      </w:r>
      <w:r w:rsidR="00182778" w:rsidRPr="152412E2">
        <w:t>/</w:t>
      </w:r>
      <w:r w:rsidR="004A7720">
        <w:t xml:space="preserve"> </w:t>
      </w:r>
      <w:r w:rsidR="00182778" w:rsidRPr="152412E2">
        <w:t>processes (</w:t>
      </w:r>
      <w:r w:rsidR="004A7720">
        <w:t xml:space="preserve">four out of </w:t>
      </w:r>
      <w:r w:rsidR="004A7720" w:rsidRPr="152412E2">
        <w:t>1</w:t>
      </w:r>
      <w:r w:rsidR="004A7720">
        <w:t>0 respondents</w:t>
      </w:r>
      <w:r w:rsidR="00182778" w:rsidRPr="152412E2">
        <w:t xml:space="preserve">). </w:t>
      </w:r>
    </w:p>
    <w:p w14:paraId="38313DBE" w14:textId="0676A226" w:rsidR="00A823F6" w:rsidRDefault="0068387E" w:rsidP="00E91E80">
      <w:r>
        <w:t>T</w:t>
      </w:r>
      <w:r w:rsidR="001F1FA6">
        <w:t>he</w:t>
      </w:r>
      <w:r w:rsidR="001F1FA6" w:rsidRPr="001F1FA6">
        <w:t xml:space="preserve"> IMS demonstrates a sincere </w:t>
      </w:r>
      <w:r w:rsidR="00657B16">
        <w:t xml:space="preserve">and concerted </w:t>
      </w:r>
      <w:r w:rsidR="001F1FA6" w:rsidRPr="001F1FA6">
        <w:t>effort</w:t>
      </w:r>
      <w:r w:rsidR="001F1FA6">
        <w:t xml:space="preserve"> by the managing contractor</w:t>
      </w:r>
      <w:r w:rsidR="001F1FA6" w:rsidRPr="001F1FA6">
        <w:t xml:space="preserve"> to achieve </w:t>
      </w:r>
      <w:r w:rsidR="001F1FA6">
        <w:t>EOIO2</w:t>
      </w:r>
      <w:r w:rsidR="004F751D">
        <w:t>.</w:t>
      </w:r>
      <w:bookmarkEnd w:id="42"/>
      <w:r w:rsidR="004B5832">
        <w:t xml:space="preserve"> </w:t>
      </w:r>
      <w:r w:rsidR="00EA7486">
        <w:t>Initially</w:t>
      </w:r>
      <w:r w:rsidR="00C94E47">
        <w:t xml:space="preserve"> </w:t>
      </w:r>
      <w:r w:rsidR="00693E0D">
        <w:t xml:space="preserve">the IMS was </w:t>
      </w:r>
      <w:r w:rsidR="00C94E47">
        <w:t xml:space="preserve">established as a </w:t>
      </w:r>
      <w:r w:rsidR="00693E0D">
        <w:t>Microsoft</w:t>
      </w:r>
      <w:r w:rsidR="00C94E47">
        <w:t xml:space="preserve"> SharePoint </w:t>
      </w:r>
      <w:r w:rsidR="00693E0D">
        <w:t>p</w:t>
      </w:r>
      <w:r w:rsidR="00C94E47">
        <w:t>latform</w:t>
      </w:r>
      <w:r w:rsidR="00693E0D">
        <w:t>; however,</w:t>
      </w:r>
      <w:r w:rsidR="00701A51">
        <w:t xml:space="preserve"> consultation</w:t>
      </w:r>
      <w:r w:rsidR="00693E0D">
        <w:t>s</w:t>
      </w:r>
      <w:r w:rsidR="00701A51">
        <w:t xml:space="preserve"> reveal</w:t>
      </w:r>
      <w:r w:rsidR="00693E0D">
        <w:t>ed</w:t>
      </w:r>
      <w:r w:rsidR="00701A51">
        <w:t xml:space="preserve"> that </w:t>
      </w:r>
      <w:r w:rsidR="003948B4">
        <w:t>the system was not being used</w:t>
      </w:r>
      <w:r w:rsidR="00693E0D">
        <w:t xml:space="preserve"> </w:t>
      </w:r>
      <w:r w:rsidR="002577AD">
        <w:t>widely</w:t>
      </w:r>
      <w:r w:rsidR="003948B4">
        <w:t>. This is consistent with the</w:t>
      </w:r>
      <w:r w:rsidR="002C7976">
        <w:t xml:space="preserve"> results of the 2023</w:t>
      </w:r>
      <w:r w:rsidR="006D39EB">
        <w:t xml:space="preserve"> PEB staff survey </w:t>
      </w:r>
      <w:r w:rsidR="003948B4">
        <w:t xml:space="preserve">that </w:t>
      </w:r>
      <w:r w:rsidR="00F7144F">
        <w:t>found half of respondents were unaware of the IMS (</w:t>
      </w:r>
      <w:r w:rsidR="002577AD">
        <w:t>five</w:t>
      </w:r>
      <w:r w:rsidR="00397534">
        <w:t xml:space="preserve"> out of 10 respondents). The survey had 11 responses (a 46</w:t>
      </w:r>
      <w:r w:rsidR="008C4EF4">
        <w:t xml:space="preserve">% </w:t>
      </w:r>
      <w:r w:rsidR="00397534">
        <w:t>response rate</w:t>
      </w:r>
      <w:r w:rsidR="00612147">
        <w:t>),</w:t>
      </w:r>
      <w:r w:rsidR="00397534">
        <w:t xml:space="preserve"> and one </w:t>
      </w:r>
      <w:r w:rsidR="00701A51">
        <w:t xml:space="preserve">person skipped the IMS questions. </w:t>
      </w:r>
      <w:r w:rsidR="00E91E80">
        <w:t>T</w:t>
      </w:r>
      <w:r w:rsidR="00220F34" w:rsidRPr="00FB7C94">
        <w:t xml:space="preserve">he March 2024 Review and </w:t>
      </w:r>
      <w:r w:rsidR="00220F34">
        <w:t>R</w:t>
      </w:r>
      <w:r w:rsidR="00220F34" w:rsidRPr="00FB7C94">
        <w:t xml:space="preserve">eflection meeting </w:t>
      </w:r>
      <w:r w:rsidR="002577AD">
        <w:t xml:space="preserve">notes </w:t>
      </w:r>
      <w:r w:rsidR="00E91E80">
        <w:t xml:space="preserve">also </w:t>
      </w:r>
      <w:r w:rsidR="002577AD">
        <w:t>showed</w:t>
      </w:r>
      <w:r w:rsidR="00220F34" w:rsidRPr="00FB7C94">
        <w:t xml:space="preserve"> that </w:t>
      </w:r>
      <w:r w:rsidR="00E37F50">
        <w:t>the Core Team</w:t>
      </w:r>
      <w:r w:rsidR="002577AD">
        <w:t xml:space="preserve"> found ‘t</w:t>
      </w:r>
      <w:r w:rsidR="00220F34" w:rsidRPr="00FB7C94">
        <w:t>he IMS may not be a site that DFAT staff instinctively refer to or seek out as it is not their primary communication</w:t>
      </w:r>
      <w:r w:rsidR="00E37F50">
        <w:t xml:space="preserve"> </w:t>
      </w:r>
      <w:r w:rsidR="00220F34" w:rsidRPr="00FB7C94">
        <w:t>/</w:t>
      </w:r>
      <w:r w:rsidR="00E37F50">
        <w:t xml:space="preserve"> </w:t>
      </w:r>
      <w:r w:rsidR="00220F34" w:rsidRPr="00FB7C94">
        <w:t>information sharing platform</w:t>
      </w:r>
      <w:r w:rsidR="00E37F50">
        <w:t>’</w:t>
      </w:r>
      <w:r w:rsidR="00220F34" w:rsidRPr="00FB7C94">
        <w:t>.</w:t>
      </w:r>
    </w:p>
    <w:p w14:paraId="550B284D" w14:textId="2B6BB18B" w:rsidR="00675CF8" w:rsidRDefault="00675CF8" w:rsidP="003A051C">
      <w:r w:rsidRPr="00675CF8">
        <w:t xml:space="preserve">In response to </w:t>
      </w:r>
      <w:r w:rsidR="00E37F50">
        <w:t xml:space="preserve">these </w:t>
      </w:r>
      <w:r w:rsidRPr="00675CF8">
        <w:t xml:space="preserve">identified issues, PRES engaged with DFAT to improve the IMS and subsequently launched a new </w:t>
      </w:r>
      <w:r w:rsidR="00E37F50">
        <w:t>‘</w:t>
      </w:r>
      <w:r w:rsidR="00E244DE">
        <w:t>h</w:t>
      </w:r>
      <w:r w:rsidRPr="00675CF8">
        <w:t>ub</w:t>
      </w:r>
      <w:r w:rsidR="00E37F50">
        <w:t>’</w:t>
      </w:r>
      <w:r w:rsidRPr="00675CF8">
        <w:t xml:space="preserve"> in September 2024. Post-launch consultation</w:t>
      </w:r>
      <w:r w:rsidR="00E37F50">
        <w:t>s</w:t>
      </w:r>
      <w:r w:rsidRPr="00675CF8">
        <w:t xml:space="preserve"> and documentation indicate</w:t>
      </w:r>
      <w:r w:rsidR="00A53F2F">
        <w:t xml:space="preserve"> that there has been</w:t>
      </w:r>
      <w:r w:rsidRPr="00675CF8">
        <w:t xml:space="preserve"> increased </w:t>
      </w:r>
      <w:r w:rsidR="00A53F2F">
        <w:t xml:space="preserve">DFAT staff </w:t>
      </w:r>
      <w:r w:rsidRPr="00675CF8">
        <w:t xml:space="preserve">knowledge about the </w:t>
      </w:r>
      <w:r w:rsidR="00E244DE">
        <w:t>h</w:t>
      </w:r>
      <w:r w:rsidRPr="00675CF8">
        <w:t xml:space="preserve">ub. However, despite </w:t>
      </w:r>
      <w:r w:rsidR="00000A6C">
        <w:t xml:space="preserve">initial </w:t>
      </w:r>
      <w:r w:rsidRPr="00675CF8">
        <w:t xml:space="preserve">accessibility limitations (including security restrictions) </w:t>
      </w:r>
      <w:r w:rsidR="009F2C99">
        <w:t xml:space="preserve">being resolved </w:t>
      </w:r>
      <w:r w:rsidRPr="00675CF8">
        <w:t>and the expected timeframe for user adoption</w:t>
      </w:r>
      <w:r w:rsidR="009F2C99">
        <w:t xml:space="preserve"> being </w:t>
      </w:r>
      <w:r w:rsidR="009F2C99" w:rsidRPr="00675CF8">
        <w:t>acknowledg</w:t>
      </w:r>
      <w:r w:rsidR="009F2C99">
        <w:t>ed</w:t>
      </w:r>
      <w:r w:rsidRPr="00675CF8">
        <w:t xml:space="preserve">, </w:t>
      </w:r>
      <w:r w:rsidR="009F2C99">
        <w:t xml:space="preserve">there still is no </w:t>
      </w:r>
      <w:r w:rsidR="003F48DB">
        <w:t>evidence showing</w:t>
      </w:r>
      <w:r w:rsidR="009F2C99">
        <w:t xml:space="preserve"> </w:t>
      </w:r>
      <w:r w:rsidRPr="00675CF8">
        <w:t>a significant increase in system usage.</w:t>
      </w:r>
    </w:p>
    <w:p w14:paraId="4CB0BE60" w14:textId="3BAF1B8B" w:rsidR="00C22E1B" w:rsidRDefault="003A051C" w:rsidP="4E4D3734">
      <w:pPr>
        <w:rPr>
          <w:rFonts w:ascii="Arial" w:eastAsiaTheme="minorEastAsia" w:hAnsi="Arial" w:cs="Arial"/>
        </w:rPr>
      </w:pPr>
      <w:r>
        <w:t xml:space="preserve">Results of the 2024 PEB staff survey found that although the IMS was the </w:t>
      </w:r>
      <w:r w:rsidR="10E328BB">
        <w:t>most listed</w:t>
      </w:r>
      <w:r>
        <w:t xml:space="preserve"> channel for PRES contribution to knowledge management, usage is low. </w:t>
      </w:r>
      <w:r w:rsidRPr="4E4D3734">
        <w:rPr>
          <w:rFonts w:ascii="Arial" w:eastAsiaTheme="minorEastAsia" w:hAnsi="Arial" w:cs="Arial"/>
        </w:rPr>
        <w:t>Most respondents (67%) were aware of the PRES IMS, but less than half (42%) report</w:t>
      </w:r>
      <w:r w:rsidR="003F48DB">
        <w:rPr>
          <w:rFonts w:ascii="Arial" w:eastAsiaTheme="minorEastAsia" w:hAnsi="Arial" w:cs="Arial"/>
        </w:rPr>
        <w:t>ed</w:t>
      </w:r>
      <w:r w:rsidRPr="4E4D3734">
        <w:rPr>
          <w:rFonts w:ascii="Arial" w:eastAsiaTheme="minorEastAsia" w:hAnsi="Arial" w:cs="Arial"/>
        </w:rPr>
        <w:t xml:space="preserve"> using it. Only </w:t>
      </w:r>
      <w:r w:rsidR="003F48DB">
        <w:rPr>
          <w:rFonts w:ascii="Arial" w:eastAsiaTheme="minorEastAsia" w:hAnsi="Arial" w:cs="Arial"/>
        </w:rPr>
        <w:t>two</w:t>
      </w:r>
      <w:r w:rsidRPr="4E4D3734">
        <w:rPr>
          <w:rFonts w:ascii="Arial" w:eastAsiaTheme="minorEastAsia" w:hAnsi="Arial" w:cs="Arial"/>
        </w:rPr>
        <w:t xml:space="preserve"> people (17%) had used the IMS many times. </w:t>
      </w:r>
      <w:r w:rsidR="00F658A5" w:rsidRPr="4E4D3734">
        <w:rPr>
          <w:rFonts w:ascii="Arial" w:eastAsiaTheme="minorEastAsia" w:hAnsi="Arial" w:cs="Arial"/>
        </w:rPr>
        <w:t xml:space="preserve">While it is unclear </w:t>
      </w:r>
      <w:r w:rsidR="001059DC" w:rsidRPr="4E4D3734">
        <w:rPr>
          <w:rFonts w:ascii="Arial" w:eastAsiaTheme="minorEastAsia" w:hAnsi="Arial" w:cs="Arial"/>
        </w:rPr>
        <w:t>how useful those using the IMS are finding it, with consultation</w:t>
      </w:r>
      <w:r w:rsidR="003F48DB">
        <w:rPr>
          <w:rFonts w:ascii="Arial" w:eastAsiaTheme="minorEastAsia" w:hAnsi="Arial" w:cs="Arial"/>
        </w:rPr>
        <w:t>s</w:t>
      </w:r>
      <w:r w:rsidR="001059DC" w:rsidRPr="4E4D3734">
        <w:rPr>
          <w:rFonts w:ascii="Arial" w:eastAsiaTheme="minorEastAsia" w:hAnsi="Arial" w:cs="Arial"/>
        </w:rPr>
        <w:t xml:space="preserve"> revealing </w:t>
      </w:r>
      <w:r w:rsidR="003F48DB">
        <w:rPr>
          <w:rFonts w:ascii="Arial" w:eastAsiaTheme="minorEastAsia" w:hAnsi="Arial" w:cs="Arial"/>
        </w:rPr>
        <w:t xml:space="preserve">that </w:t>
      </w:r>
      <w:r w:rsidR="001059DC" w:rsidRPr="4E4D3734">
        <w:rPr>
          <w:rFonts w:ascii="Arial" w:eastAsiaTheme="minorEastAsia" w:hAnsi="Arial" w:cs="Arial"/>
        </w:rPr>
        <w:t xml:space="preserve">some </w:t>
      </w:r>
      <w:r w:rsidR="003F48DB">
        <w:rPr>
          <w:rFonts w:ascii="Arial" w:eastAsiaTheme="minorEastAsia" w:hAnsi="Arial" w:cs="Arial"/>
        </w:rPr>
        <w:t xml:space="preserve">staff </w:t>
      </w:r>
      <w:r w:rsidR="001059DC" w:rsidRPr="4E4D3734">
        <w:rPr>
          <w:rFonts w:ascii="Arial" w:eastAsiaTheme="minorEastAsia" w:hAnsi="Arial" w:cs="Arial"/>
        </w:rPr>
        <w:t xml:space="preserve">find </w:t>
      </w:r>
      <w:r w:rsidR="0CC387C8" w:rsidRPr="4E4D3734">
        <w:rPr>
          <w:rFonts w:ascii="Arial" w:eastAsiaTheme="minorEastAsia" w:hAnsi="Arial" w:cs="Arial"/>
        </w:rPr>
        <w:t xml:space="preserve">it </w:t>
      </w:r>
      <w:r w:rsidR="001059DC" w:rsidRPr="4E4D3734">
        <w:rPr>
          <w:rFonts w:ascii="Arial" w:eastAsiaTheme="minorEastAsia" w:hAnsi="Arial" w:cs="Arial"/>
        </w:rPr>
        <w:t>more useful than others, f</w:t>
      </w:r>
      <w:r w:rsidRPr="4E4D3734">
        <w:rPr>
          <w:rFonts w:ascii="Arial" w:eastAsiaTheme="minorEastAsia" w:hAnsi="Arial" w:cs="Arial"/>
        </w:rPr>
        <w:t xml:space="preserve">ew responses cited the PRES IMS as a source of learning. </w:t>
      </w:r>
    </w:p>
    <w:p w14:paraId="70F66D1A" w14:textId="0FAE6C99" w:rsidR="003330FF" w:rsidRDefault="00C22E1B" w:rsidP="4E4D3734">
      <w:pPr>
        <w:rPr>
          <w:rFonts w:ascii="Arial" w:eastAsiaTheme="minorEastAsia" w:hAnsi="Arial" w:cs="Arial"/>
        </w:rPr>
      </w:pPr>
      <w:r w:rsidRPr="4E4D3734">
        <w:rPr>
          <w:rFonts w:ascii="Arial" w:eastAsiaTheme="minorEastAsia" w:hAnsi="Arial" w:cs="Arial"/>
        </w:rPr>
        <w:lastRenderedPageBreak/>
        <w:t>This likely</w:t>
      </w:r>
      <w:r w:rsidR="003A051C" w:rsidRPr="4E4D3734">
        <w:rPr>
          <w:rFonts w:ascii="Arial" w:eastAsiaTheme="minorEastAsia" w:hAnsi="Arial" w:cs="Arial"/>
        </w:rPr>
        <w:t xml:space="preserve"> reflect</w:t>
      </w:r>
      <w:r w:rsidRPr="4E4D3734">
        <w:rPr>
          <w:rFonts w:ascii="Arial" w:eastAsiaTheme="minorEastAsia" w:hAnsi="Arial" w:cs="Arial"/>
        </w:rPr>
        <w:t>s</w:t>
      </w:r>
      <w:r w:rsidR="003A051C" w:rsidRPr="4E4D3734">
        <w:rPr>
          <w:rFonts w:ascii="Arial" w:eastAsiaTheme="minorEastAsia" w:hAnsi="Arial" w:cs="Arial"/>
        </w:rPr>
        <w:t xml:space="preserve"> a lag in the launch of IMS v.2, as the evaluation was undertaken in December 2024</w:t>
      </w:r>
      <w:r w:rsidR="003F48DB">
        <w:rPr>
          <w:rFonts w:ascii="Arial" w:eastAsiaTheme="minorEastAsia" w:hAnsi="Arial" w:cs="Arial"/>
        </w:rPr>
        <w:t>, which was</w:t>
      </w:r>
      <w:r w:rsidR="003A051C" w:rsidRPr="4E4D3734">
        <w:rPr>
          <w:rFonts w:ascii="Arial" w:eastAsiaTheme="minorEastAsia" w:hAnsi="Arial" w:cs="Arial"/>
        </w:rPr>
        <w:t xml:space="preserve"> only </w:t>
      </w:r>
      <w:r w:rsidR="00457B3C" w:rsidRPr="4E4D3734">
        <w:rPr>
          <w:rFonts w:ascii="Arial" w:eastAsiaTheme="minorEastAsia" w:hAnsi="Arial" w:cs="Arial"/>
        </w:rPr>
        <w:t xml:space="preserve">a few months </w:t>
      </w:r>
      <w:r w:rsidR="003F48DB">
        <w:rPr>
          <w:rFonts w:ascii="Arial" w:eastAsiaTheme="minorEastAsia" w:hAnsi="Arial" w:cs="Arial"/>
        </w:rPr>
        <w:t xml:space="preserve">after </w:t>
      </w:r>
      <w:r w:rsidR="00E244DE">
        <w:rPr>
          <w:rFonts w:ascii="Arial" w:eastAsiaTheme="minorEastAsia" w:hAnsi="Arial" w:cs="Arial"/>
        </w:rPr>
        <w:t>the hub’s</w:t>
      </w:r>
      <w:r w:rsidR="00457B3C" w:rsidRPr="4E4D3734">
        <w:rPr>
          <w:rFonts w:ascii="Arial" w:eastAsiaTheme="minorEastAsia" w:hAnsi="Arial" w:cs="Arial"/>
        </w:rPr>
        <w:t xml:space="preserve"> launch.</w:t>
      </w:r>
      <w:r w:rsidR="003A051C" w:rsidRPr="4E4D3734">
        <w:rPr>
          <w:rFonts w:ascii="Arial" w:eastAsiaTheme="minorEastAsia" w:hAnsi="Arial" w:cs="Arial"/>
        </w:rPr>
        <w:t xml:space="preserve"> No formal evaluation has been undertaken since the new </w:t>
      </w:r>
      <w:r w:rsidR="00E244DE">
        <w:rPr>
          <w:rFonts w:ascii="Arial" w:eastAsiaTheme="minorEastAsia" w:hAnsi="Arial" w:cs="Arial"/>
        </w:rPr>
        <w:t>h</w:t>
      </w:r>
      <w:r w:rsidR="003A051C" w:rsidRPr="4E4D3734">
        <w:rPr>
          <w:rFonts w:ascii="Arial" w:eastAsiaTheme="minorEastAsia" w:hAnsi="Arial" w:cs="Arial"/>
        </w:rPr>
        <w:t xml:space="preserve">ub has been fully launched. </w:t>
      </w:r>
      <w:r w:rsidRPr="4E4D3734">
        <w:rPr>
          <w:rFonts w:ascii="Arial" w:eastAsiaTheme="minorEastAsia" w:hAnsi="Arial" w:cs="Arial"/>
        </w:rPr>
        <w:t xml:space="preserve">However, </w:t>
      </w:r>
      <w:r w:rsidR="003A051C" w:rsidRPr="4E4D3734">
        <w:rPr>
          <w:rFonts w:ascii="Arial" w:eastAsiaTheme="minorEastAsia" w:hAnsi="Arial" w:cs="Arial"/>
        </w:rPr>
        <w:t>PRES notes that anecdotal evidence suggests that this may be changing</w:t>
      </w:r>
      <w:r w:rsidR="00E244DE">
        <w:rPr>
          <w:rFonts w:ascii="Arial" w:eastAsiaTheme="minorEastAsia" w:hAnsi="Arial" w:cs="Arial"/>
        </w:rPr>
        <w:t>;</w:t>
      </w:r>
      <w:r w:rsidR="003A051C" w:rsidRPr="4E4D3734">
        <w:rPr>
          <w:rFonts w:ascii="Arial" w:eastAsiaTheme="minorEastAsia" w:hAnsi="Arial" w:cs="Arial"/>
        </w:rPr>
        <w:t xml:space="preserve"> for example, </w:t>
      </w:r>
      <w:r w:rsidR="003330FF">
        <w:rPr>
          <w:rFonts w:ascii="Arial" w:eastAsiaTheme="minorEastAsia" w:hAnsi="Arial" w:cs="Arial"/>
        </w:rPr>
        <w:t>the PRES Core Team</w:t>
      </w:r>
      <w:r w:rsidR="003A051C" w:rsidRPr="4E4D3734">
        <w:rPr>
          <w:rFonts w:ascii="Arial" w:eastAsiaTheme="minorEastAsia" w:hAnsi="Arial" w:cs="Arial"/>
        </w:rPr>
        <w:t xml:space="preserve"> have </w:t>
      </w:r>
      <w:r w:rsidR="003330FF" w:rsidRPr="4E4D3734">
        <w:rPr>
          <w:rFonts w:ascii="Arial" w:eastAsiaTheme="minorEastAsia" w:hAnsi="Arial" w:cs="Arial"/>
        </w:rPr>
        <w:t xml:space="preserve">recently </w:t>
      </w:r>
      <w:r w:rsidR="003A051C" w:rsidRPr="4E4D3734">
        <w:rPr>
          <w:rFonts w:ascii="Arial" w:eastAsiaTheme="minorEastAsia" w:hAnsi="Arial" w:cs="Arial"/>
        </w:rPr>
        <w:t xml:space="preserve">been </w:t>
      </w:r>
      <w:r w:rsidR="003330FF">
        <w:rPr>
          <w:rFonts w:ascii="Arial" w:eastAsiaTheme="minorEastAsia" w:hAnsi="Arial" w:cs="Arial"/>
        </w:rPr>
        <w:t xml:space="preserve">asked </w:t>
      </w:r>
      <w:r w:rsidR="003A051C" w:rsidRPr="4E4D3734">
        <w:rPr>
          <w:rFonts w:ascii="Arial" w:eastAsiaTheme="minorEastAsia" w:hAnsi="Arial" w:cs="Arial"/>
        </w:rPr>
        <w:t xml:space="preserve">by DFAT to on-board new </w:t>
      </w:r>
      <w:r w:rsidR="003330FF">
        <w:rPr>
          <w:rFonts w:ascii="Arial" w:eastAsiaTheme="minorEastAsia" w:hAnsi="Arial" w:cs="Arial"/>
        </w:rPr>
        <w:t>DFAT staff</w:t>
      </w:r>
      <w:r w:rsidR="003A051C" w:rsidRPr="4E4D3734">
        <w:rPr>
          <w:rFonts w:ascii="Arial" w:eastAsiaTheme="minorEastAsia" w:hAnsi="Arial" w:cs="Arial"/>
        </w:rPr>
        <w:t xml:space="preserve"> and additional DFAT staff have indicated </w:t>
      </w:r>
      <w:r w:rsidR="003330FF">
        <w:rPr>
          <w:rFonts w:ascii="Arial" w:eastAsiaTheme="minorEastAsia" w:hAnsi="Arial" w:cs="Arial"/>
        </w:rPr>
        <w:t xml:space="preserve">to the Core Team that </w:t>
      </w:r>
      <w:r w:rsidR="003A051C" w:rsidRPr="4E4D3734">
        <w:rPr>
          <w:rFonts w:ascii="Arial" w:eastAsiaTheme="minorEastAsia" w:hAnsi="Arial" w:cs="Arial"/>
        </w:rPr>
        <w:t xml:space="preserve">they have accessed it. </w:t>
      </w:r>
    </w:p>
    <w:p w14:paraId="58DE6D0D" w14:textId="6D417B57" w:rsidR="003A051C" w:rsidRDefault="003A051C" w:rsidP="4E4D3734">
      <w:pPr>
        <w:rPr>
          <w:rFonts w:ascii="Arial" w:eastAsiaTheme="minorEastAsia" w:hAnsi="Arial" w:cs="Arial"/>
        </w:rPr>
      </w:pPr>
      <w:r w:rsidRPr="4E4D3734">
        <w:rPr>
          <w:rFonts w:ascii="Arial" w:eastAsiaTheme="minorEastAsia" w:hAnsi="Arial" w:cs="Arial"/>
        </w:rPr>
        <w:t>It is also important to note that the IMS may serve multiple purposes</w:t>
      </w:r>
      <w:r w:rsidR="003330FF">
        <w:rPr>
          <w:rFonts w:ascii="Arial" w:eastAsiaTheme="minorEastAsia" w:hAnsi="Arial" w:cs="Arial"/>
        </w:rPr>
        <w:t>,</w:t>
      </w:r>
      <w:r w:rsidR="00456673" w:rsidRPr="4E4D3734">
        <w:rPr>
          <w:rFonts w:ascii="Arial" w:eastAsiaTheme="minorEastAsia" w:hAnsi="Arial" w:cs="Arial"/>
        </w:rPr>
        <w:t xml:space="preserve"> with </w:t>
      </w:r>
      <w:r w:rsidRPr="4E4D3734">
        <w:rPr>
          <w:rFonts w:ascii="Arial" w:eastAsiaTheme="minorEastAsia" w:hAnsi="Arial" w:cs="Arial"/>
        </w:rPr>
        <w:t>consultation</w:t>
      </w:r>
      <w:r w:rsidR="003330FF">
        <w:rPr>
          <w:rFonts w:ascii="Arial" w:eastAsiaTheme="minorEastAsia" w:hAnsi="Arial" w:cs="Arial"/>
        </w:rPr>
        <w:t>s</w:t>
      </w:r>
      <w:r w:rsidRPr="4E4D3734">
        <w:rPr>
          <w:rFonts w:ascii="Arial" w:eastAsiaTheme="minorEastAsia" w:hAnsi="Arial" w:cs="Arial"/>
        </w:rPr>
        <w:t xml:space="preserve"> suggest</w:t>
      </w:r>
      <w:r w:rsidR="00456673" w:rsidRPr="4E4D3734">
        <w:rPr>
          <w:rFonts w:ascii="Arial" w:eastAsiaTheme="minorEastAsia" w:hAnsi="Arial" w:cs="Arial"/>
        </w:rPr>
        <w:t>ing</w:t>
      </w:r>
      <w:r w:rsidRPr="4E4D3734">
        <w:rPr>
          <w:rFonts w:ascii="Arial" w:eastAsiaTheme="minorEastAsia" w:hAnsi="Arial" w:cs="Arial"/>
        </w:rPr>
        <w:t xml:space="preserve"> that </w:t>
      </w:r>
      <w:r w:rsidR="003330FF">
        <w:rPr>
          <w:rFonts w:ascii="Arial" w:eastAsiaTheme="minorEastAsia" w:hAnsi="Arial" w:cs="Arial"/>
        </w:rPr>
        <w:t xml:space="preserve">it has proved </w:t>
      </w:r>
      <w:r w:rsidRPr="4E4D3734">
        <w:rPr>
          <w:rFonts w:ascii="Arial" w:eastAsiaTheme="minorEastAsia" w:hAnsi="Arial" w:cs="Arial"/>
        </w:rPr>
        <w:t>useful for budget management and tracking.</w:t>
      </w:r>
    </w:p>
    <w:p w14:paraId="34D5CEDC" w14:textId="4EF92132" w:rsidR="00457B3C" w:rsidRDefault="00C1574B" w:rsidP="003A051C">
      <w:pPr>
        <w:rPr>
          <w:lang w:eastAsia="en-GB"/>
        </w:rPr>
      </w:pPr>
      <w:r>
        <w:t xml:space="preserve">There is also </w:t>
      </w:r>
      <w:r w:rsidR="009211E1">
        <w:t xml:space="preserve">EOIO2’s </w:t>
      </w:r>
      <w:r>
        <w:t xml:space="preserve">question </w:t>
      </w:r>
      <w:r w:rsidR="009211E1">
        <w:t>of</w:t>
      </w:r>
      <w:r>
        <w:t xml:space="preserve"> </w:t>
      </w:r>
      <w:r w:rsidR="00CA020C">
        <w:t>clarity,</w:t>
      </w:r>
      <w:r>
        <w:t xml:space="preserve"> transferability of learnings</w:t>
      </w:r>
      <w:r w:rsidR="000103A8">
        <w:t>,</w:t>
      </w:r>
      <w:r>
        <w:t xml:space="preserve"> and how </w:t>
      </w:r>
      <w:r w:rsidR="00CA020C">
        <w:t>learnings</w:t>
      </w:r>
      <w:r>
        <w:t xml:space="preserve"> are most beneficially presented. </w:t>
      </w:r>
      <w:r w:rsidR="007D273E">
        <w:t>While a</w:t>
      </w:r>
      <w:r>
        <w:t xml:space="preserve">n IMS </w:t>
      </w:r>
      <w:r w:rsidR="00CB748D">
        <w:t>helps</w:t>
      </w:r>
      <w:r>
        <w:t xml:space="preserve"> ensure lessons are accessible, particularly in the context of high staff turnover,</w:t>
      </w:r>
      <w:r w:rsidR="00280B31">
        <w:t xml:space="preserve"> </w:t>
      </w:r>
      <w:r w:rsidR="00A13D0E">
        <w:t xml:space="preserve">the existing IMS </w:t>
      </w:r>
      <w:r w:rsidR="0065371F">
        <w:t>is not widely used</w:t>
      </w:r>
      <w:r w:rsidR="001B5F3E">
        <w:t>.</w:t>
      </w:r>
    </w:p>
    <w:p w14:paraId="38802EBD" w14:textId="4922EEAD" w:rsidR="00F14C66" w:rsidRDefault="00F14C66">
      <w:r>
        <w:t>Similarly, information sharing events and process</w:t>
      </w:r>
      <w:r w:rsidR="60051679">
        <w:t>es</w:t>
      </w:r>
      <w:r>
        <w:t xml:space="preserve"> were listed as the most common way </w:t>
      </w:r>
      <w:r w:rsidR="00A13D0E">
        <w:t xml:space="preserve">that </w:t>
      </w:r>
      <w:r>
        <w:t>PRES has contributed to knowledge management, and seminars received largely positive feedback (as outlined in the 2024 Annual Report)</w:t>
      </w:r>
      <w:r w:rsidR="001B6A49">
        <w:t>. Nonetheless</w:t>
      </w:r>
      <w:r>
        <w:t>, consultations raised question</w:t>
      </w:r>
      <w:r w:rsidR="1DF5B0A0">
        <w:t>s</w:t>
      </w:r>
      <w:r>
        <w:t xml:space="preserve"> about the extent of the</w:t>
      </w:r>
      <w:r w:rsidR="001B6A49">
        <w:t>se events’</w:t>
      </w:r>
      <w:r>
        <w:t xml:space="preserve"> benefit</w:t>
      </w:r>
      <w:r w:rsidR="001B6A49">
        <w:t>s</w:t>
      </w:r>
      <w:r>
        <w:t xml:space="preserve"> and whether PRES resources are better directed </w:t>
      </w:r>
      <w:r w:rsidR="001B6A49">
        <w:t>to</w:t>
      </w:r>
      <w:r>
        <w:t xml:space="preserve"> core activities, with knowledge management and learning better achieved indirectly</w:t>
      </w:r>
      <w:r w:rsidR="001B6A49">
        <w:t>,</w:t>
      </w:r>
      <w:r>
        <w:t xml:space="preserve"> through </w:t>
      </w:r>
      <w:r w:rsidR="47EFF94B">
        <w:t>TNs</w:t>
      </w:r>
      <w:r>
        <w:t xml:space="preserve">. This was consistent with </w:t>
      </w:r>
      <w:r w:rsidR="00D67619">
        <w:t xml:space="preserve">the </w:t>
      </w:r>
      <w:r>
        <w:t xml:space="preserve">2024 Annual Report findings (for the period up to June 2024) </w:t>
      </w:r>
      <w:r w:rsidR="00D67619">
        <w:t xml:space="preserve">and evident through </w:t>
      </w:r>
      <w:r>
        <w:t>the 2023 PEB staff survey</w:t>
      </w:r>
      <w:r w:rsidR="00D67619">
        <w:t>,</w:t>
      </w:r>
      <w:r>
        <w:t xml:space="preserve"> which stated that although feedback on seminars</w:t>
      </w:r>
      <w:r w:rsidR="00D67619">
        <w:t xml:space="preserve"> </w:t>
      </w:r>
      <w:r>
        <w:t>/</w:t>
      </w:r>
      <w:r w:rsidR="00D67619">
        <w:t xml:space="preserve"> </w:t>
      </w:r>
      <w:r>
        <w:t xml:space="preserve">learning events </w:t>
      </w:r>
      <w:proofErr w:type="gramStart"/>
      <w:r>
        <w:t>were</w:t>
      </w:r>
      <w:proofErr w:type="gramEnd"/>
      <w:r>
        <w:t xml:space="preserve"> positive, </w:t>
      </w:r>
      <w:r w:rsidR="00D67619">
        <w:t>‘</w:t>
      </w:r>
      <w:r>
        <w:t>discussions indicated limited progress overall in contributing to improved knowledge management and learning</w:t>
      </w:r>
      <w:r w:rsidR="00D67619">
        <w:t>’</w:t>
      </w:r>
      <w:r>
        <w:t xml:space="preserve">. </w:t>
      </w:r>
    </w:p>
    <w:p w14:paraId="2539B532" w14:textId="7F7654B3" w:rsidR="00A4752C" w:rsidRDefault="004C2222" w:rsidP="00B84D27">
      <w:pPr>
        <w:rPr>
          <w:i/>
          <w:iCs/>
          <w:color w:val="FF0000"/>
        </w:rPr>
      </w:pPr>
      <w:r w:rsidRPr="004C2222">
        <w:t>PRES has consistently worked t</w:t>
      </w:r>
      <w:r>
        <w:t>owards</w:t>
      </w:r>
      <w:r w:rsidRPr="004C2222">
        <w:t xml:space="preserve"> </w:t>
      </w:r>
      <w:r w:rsidR="00D67619">
        <w:t>both</w:t>
      </w:r>
      <w:r>
        <w:t xml:space="preserve"> improving </w:t>
      </w:r>
      <w:r w:rsidR="00D67619">
        <w:t>and</w:t>
      </w:r>
      <w:r>
        <w:t xml:space="preserve"> capturing</w:t>
      </w:r>
      <w:r w:rsidRPr="004C2222">
        <w:t xml:space="preserve"> knowledge sharing and learning. </w:t>
      </w:r>
      <w:r w:rsidR="00DE1A3C">
        <w:t xml:space="preserve">For example, </w:t>
      </w:r>
      <w:r w:rsidR="00826DB5">
        <w:t>in 2024</w:t>
      </w:r>
      <w:r w:rsidR="00A2504F">
        <w:t>,</w:t>
      </w:r>
      <w:r w:rsidR="00826DB5">
        <w:t xml:space="preserve"> </w:t>
      </w:r>
      <w:r w:rsidR="00DE1A3C">
        <w:t xml:space="preserve">there </w:t>
      </w:r>
      <w:r w:rsidR="00A2504F">
        <w:t xml:space="preserve">was an </w:t>
      </w:r>
      <w:r w:rsidR="00DE1A3C">
        <w:t>increasing focus on incorporating knowledge sharing and learning opportunities within TNs</w:t>
      </w:r>
      <w:r w:rsidR="00B61253">
        <w:t>, and t</w:t>
      </w:r>
      <w:r w:rsidR="00727D23">
        <w:t xml:space="preserve">he </w:t>
      </w:r>
      <w:r w:rsidR="00D20410">
        <w:t xml:space="preserve">TN template </w:t>
      </w:r>
      <w:r w:rsidR="00481C6E">
        <w:t>and</w:t>
      </w:r>
      <w:r w:rsidR="00C54B65">
        <w:t xml:space="preserve"> assessments </w:t>
      </w:r>
      <w:r w:rsidR="00B61253">
        <w:t xml:space="preserve">were changed </w:t>
      </w:r>
      <w:r w:rsidR="00D20410">
        <w:t xml:space="preserve">to </w:t>
      </w:r>
      <w:r w:rsidR="00C54B65">
        <w:t xml:space="preserve">better </w:t>
      </w:r>
      <w:r w:rsidR="00D20410">
        <w:t>capture opportunities for knowledge sharing</w:t>
      </w:r>
      <w:r w:rsidR="007F095B">
        <w:t xml:space="preserve">. </w:t>
      </w:r>
      <w:r w:rsidR="00BF059E">
        <w:t xml:space="preserve">The </w:t>
      </w:r>
      <w:r w:rsidR="00402892">
        <w:t>2023-</w:t>
      </w:r>
      <w:r w:rsidR="004B2C0A">
        <w:t>20</w:t>
      </w:r>
      <w:r w:rsidR="00402892">
        <w:t>24</w:t>
      </w:r>
      <w:r w:rsidR="00BF059E">
        <w:t xml:space="preserve"> </w:t>
      </w:r>
      <w:r w:rsidR="00363D9D">
        <w:t>Q</w:t>
      </w:r>
      <w:r w:rsidR="0017675A">
        <w:t>uarter</w:t>
      </w:r>
      <w:r w:rsidR="00363D9D">
        <w:t xml:space="preserve"> Four</w:t>
      </w:r>
      <w:r w:rsidR="00BF059E">
        <w:t xml:space="preserve"> report indicated that</w:t>
      </w:r>
      <w:r w:rsidR="00402892">
        <w:t xml:space="preserve"> </w:t>
      </w:r>
      <w:r w:rsidR="002B1BD2">
        <w:t>a rapid review of TN</w:t>
      </w:r>
      <w:r w:rsidR="00F70F59">
        <w:t>s</w:t>
      </w:r>
      <w:r w:rsidR="002B1BD2">
        <w:t xml:space="preserve"> found that at least 14</w:t>
      </w:r>
      <w:r w:rsidR="004B197D">
        <w:t xml:space="preserve"> (out of </w:t>
      </w:r>
      <w:r w:rsidR="000601F8">
        <w:t>37 TNs</w:t>
      </w:r>
      <w:r w:rsidR="000601F8">
        <w:rPr>
          <w:rStyle w:val="FootnoteReference"/>
        </w:rPr>
        <w:footnoteReference w:id="5"/>
      </w:r>
      <w:r w:rsidR="000601F8">
        <w:t>)</w:t>
      </w:r>
      <w:r w:rsidR="00BF059E">
        <w:t xml:space="preserve"> i</w:t>
      </w:r>
      <w:r w:rsidR="00BF059E" w:rsidRPr="00BF059E">
        <w:t>ncorporated knowledge sharing and learning</w:t>
      </w:r>
      <w:r w:rsidR="00BF059E">
        <w:t xml:space="preserve"> </w:t>
      </w:r>
      <w:r w:rsidR="00BF059E" w:rsidRPr="00BF059E">
        <w:t>dimensions.</w:t>
      </w:r>
      <w:r w:rsidR="0017675A">
        <w:t xml:space="preserve"> This included 11</w:t>
      </w:r>
      <w:r w:rsidR="00F70F59">
        <w:t xml:space="preserve"> new TNs (</w:t>
      </w:r>
      <w:r w:rsidR="0013038C">
        <w:t>out of 19 new taskings).</w:t>
      </w:r>
      <w:r w:rsidR="0017675A">
        <w:t xml:space="preserve"> </w:t>
      </w:r>
      <w:r w:rsidR="00363D9D">
        <w:t>In Quarter Four of 2023-</w:t>
      </w:r>
      <w:r w:rsidR="004B2C0A">
        <w:t>20</w:t>
      </w:r>
      <w:r w:rsidR="00363D9D">
        <w:t>24, f</w:t>
      </w:r>
      <w:r w:rsidR="006A1CD8">
        <w:t>our out of eleven (</w:t>
      </w:r>
      <w:r w:rsidR="006F0A42">
        <w:t xml:space="preserve">36%) </w:t>
      </w:r>
      <w:r w:rsidR="00363D9D">
        <w:t>TNAs</w:t>
      </w:r>
      <w:r w:rsidR="00E249D5">
        <w:t xml:space="preserve"> included evidence of contributions to knowledge management and learning, increasing </w:t>
      </w:r>
      <w:r w:rsidR="004B2C0A">
        <w:t xml:space="preserve">in 2024-2025’s Quarter 1 </w:t>
      </w:r>
      <w:r w:rsidR="00E249D5">
        <w:t xml:space="preserve">to </w:t>
      </w:r>
      <w:r w:rsidR="00363D9D">
        <w:t xml:space="preserve">eight out of </w:t>
      </w:r>
      <w:r w:rsidR="001239F3">
        <w:t>/11 (73%)</w:t>
      </w:r>
      <w:r w:rsidR="004C700A">
        <w:t>,</w:t>
      </w:r>
      <w:r w:rsidR="001239F3">
        <w:t xml:space="preserve"> and </w:t>
      </w:r>
      <w:r w:rsidR="004C700A">
        <w:t xml:space="preserve">in 2024-2025’s </w:t>
      </w:r>
      <w:r w:rsidR="004B2C0A">
        <w:t>Quarter 2</w:t>
      </w:r>
      <w:r w:rsidR="004C700A">
        <w:t xml:space="preserve"> </w:t>
      </w:r>
      <w:r w:rsidR="004B2C0A">
        <w:t>to four out of nine</w:t>
      </w:r>
      <w:r w:rsidR="001239F3">
        <w:t xml:space="preserve"> (44%)</w:t>
      </w:r>
      <w:r w:rsidR="005C6D14">
        <w:t xml:space="preserve">. </w:t>
      </w:r>
    </w:p>
    <w:p w14:paraId="03A36E0C" w14:textId="7D7B53A1" w:rsidR="008123B5" w:rsidRDefault="008123B5" w:rsidP="00E01DB5">
      <w:r>
        <w:t xml:space="preserve">PRES </w:t>
      </w:r>
      <w:r w:rsidR="00816EBC">
        <w:t xml:space="preserve">is continuing to trial new approaches to </w:t>
      </w:r>
      <w:r w:rsidR="00C21C5C">
        <w:t xml:space="preserve">meet EOIO2 and engage </w:t>
      </w:r>
      <w:r w:rsidR="00721F0F">
        <w:t>DFAT</w:t>
      </w:r>
      <w:r w:rsidR="00127841">
        <w:t xml:space="preserve">, including monthly section meetings where DFAT staff </w:t>
      </w:r>
      <w:r w:rsidR="000D706C">
        <w:t xml:space="preserve">are updated on </w:t>
      </w:r>
      <w:r w:rsidR="000C7ED2">
        <w:t>latest documents on the IMS</w:t>
      </w:r>
      <w:r w:rsidR="0040756A">
        <w:t xml:space="preserve">, and </w:t>
      </w:r>
      <w:r w:rsidR="00092291">
        <w:t xml:space="preserve">sending brief summaries </w:t>
      </w:r>
      <w:r w:rsidR="00115D6B">
        <w:t>of deliverables to PEB</w:t>
      </w:r>
      <w:r w:rsidR="00094BF0">
        <w:t>,</w:t>
      </w:r>
      <w:r w:rsidR="00F6357B">
        <w:t xml:space="preserve"> including links to those deliverables</w:t>
      </w:r>
      <w:r w:rsidR="00464713">
        <w:t>.</w:t>
      </w:r>
    </w:p>
    <w:p w14:paraId="0E58BA38" w14:textId="799C4146" w:rsidR="00555A09" w:rsidRPr="00B515EE" w:rsidRDefault="00DE215D" w:rsidP="007907C3">
      <w:pPr>
        <w:pStyle w:val="Tealblocktext"/>
        <w:rPr>
          <w:i/>
          <w:iCs/>
          <w:lang w:eastAsia="en-GB"/>
        </w:rPr>
      </w:pPr>
      <w:r w:rsidRPr="00B045BE">
        <w:rPr>
          <w:b/>
          <w:bCs/>
          <w:lang w:eastAsia="en-GB"/>
        </w:rPr>
        <w:t>Recommendation 1</w:t>
      </w:r>
      <w:r w:rsidRPr="00B515EE">
        <w:rPr>
          <w:b/>
          <w:bCs/>
          <w:lang w:eastAsia="en-GB"/>
        </w:rPr>
        <w:t xml:space="preserve"> </w:t>
      </w:r>
      <w:r w:rsidRPr="00B045BE">
        <w:rPr>
          <w:b/>
          <w:bCs/>
          <w:lang w:eastAsia="en-GB"/>
        </w:rPr>
        <w:t>(Next phase</w:t>
      </w:r>
      <w:r w:rsidR="008C298D">
        <w:rPr>
          <w:b/>
          <w:bCs/>
          <w:lang w:eastAsia="en-GB"/>
        </w:rPr>
        <w:t xml:space="preserve"> </w:t>
      </w:r>
      <w:r w:rsidRPr="00B045BE">
        <w:rPr>
          <w:b/>
          <w:bCs/>
          <w:lang w:eastAsia="en-GB"/>
        </w:rPr>
        <w:t>/</w:t>
      </w:r>
      <w:r w:rsidR="008C298D">
        <w:rPr>
          <w:b/>
          <w:bCs/>
          <w:lang w:eastAsia="en-GB"/>
        </w:rPr>
        <w:t xml:space="preserve"> </w:t>
      </w:r>
      <w:r w:rsidRPr="00B045BE">
        <w:rPr>
          <w:b/>
          <w:bCs/>
          <w:lang w:eastAsia="en-GB"/>
        </w:rPr>
        <w:t>Strategic)</w:t>
      </w:r>
      <w:r w:rsidRPr="00B515EE">
        <w:rPr>
          <w:i/>
          <w:iCs/>
          <w:lang w:eastAsia="en-GB"/>
        </w:rPr>
        <w:t xml:space="preserve"> </w:t>
      </w:r>
      <w:r w:rsidR="00B23546" w:rsidRPr="00B045BE">
        <w:rPr>
          <w:lang w:eastAsia="en-GB"/>
        </w:rPr>
        <w:t>PRES should be continued, recognising the critical role</w:t>
      </w:r>
      <w:r w:rsidR="00094BF0">
        <w:rPr>
          <w:lang w:eastAsia="en-GB"/>
        </w:rPr>
        <w:t xml:space="preserve"> that</w:t>
      </w:r>
      <w:r w:rsidR="00B23546" w:rsidRPr="00B045BE">
        <w:rPr>
          <w:lang w:eastAsia="en-GB"/>
        </w:rPr>
        <w:t xml:space="preserve"> it plays in </w:t>
      </w:r>
      <w:r w:rsidR="00B23546">
        <w:rPr>
          <w:lang w:eastAsia="en-GB"/>
        </w:rPr>
        <w:t>providing DFAT access to technical expertise and enhanced capabilities</w:t>
      </w:r>
      <w:r w:rsidR="00B23546" w:rsidRPr="00B045BE">
        <w:rPr>
          <w:lang w:eastAsia="en-GB"/>
        </w:rPr>
        <w:t>.</w:t>
      </w:r>
      <w:r w:rsidR="00B23546" w:rsidRPr="00B515EE">
        <w:rPr>
          <w:lang w:eastAsia="en-GB"/>
        </w:rPr>
        <w:t xml:space="preserve"> </w:t>
      </w:r>
      <w:r w:rsidR="00B23546" w:rsidRPr="00B045BE">
        <w:rPr>
          <w:lang w:eastAsia="en-GB"/>
        </w:rPr>
        <w:t>PRES EOIOs should be reviewed in any subsequent design, in particular EOIO2</w:t>
      </w:r>
      <w:r w:rsidR="00BB715B">
        <w:rPr>
          <w:lang w:eastAsia="en-GB"/>
        </w:rPr>
        <w:t>, and PRES’ role in the provision of strategic support</w:t>
      </w:r>
      <w:r w:rsidR="00727EB3">
        <w:rPr>
          <w:lang w:eastAsia="en-GB"/>
        </w:rPr>
        <w:t xml:space="preserve"> </w:t>
      </w:r>
      <w:r w:rsidR="00C96FB2">
        <w:rPr>
          <w:lang w:eastAsia="en-GB"/>
        </w:rPr>
        <w:t>for which there is likely to be ongoing need.</w:t>
      </w:r>
    </w:p>
    <w:p w14:paraId="45D8E24E" w14:textId="4FD63018" w:rsidR="00040C71" w:rsidRDefault="00040C71" w:rsidP="00040C71">
      <w:pPr>
        <w:pStyle w:val="Heading1nonumber"/>
      </w:pPr>
      <w:bookmarkStart w:id="43" w:name="_Toc195808968"/>
      <w:bookmarkStart w:id="44" w:name="_Toc205992461"/>
      <w:bookmarkStart w:id="45" w:name="_Toc205992548"/>
      <w:r>
        <w:rPr>
          <w:noProof/>
        </w:rPr>
        <w:lastRenderedPageBreak/>
        <w:drawing>
          <wp:anchor distT="0" distB="0" distL="114300" distR="114300" simplePos="0" relativeHeight="251658244" behindDoc="1" locked="0" layoutInCell="1" allowOverlap="1" wp14:anchorId="75B178A2" wp14:editId="1E7A42AF">
            <wp:simplePos x="0" y="0"/>
            <wp:positionH relativeFrom="margin">
              <wp:posOffset>5629085</wp:posOffset>
            </wp:positionH>
            <wp:positionV relativeFrom="paragraph">
              <wp:posOffset>151765</wp:posOffset>
            </wp:positionV>
            <wp:extent cx="664845" cy="664845"/>
            <wp:effectExtent l="0" t="0" r="1905" b="1905"/>
            <wp:wrapSquare wrapText="bothSides"/>
            <wp:docPr id="22370153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456675" name="Picture 5">
                      <a:extLst>
                        <a:ext uri="{C183D7F6-B498-43B3-948B-1728B52AA6E4}">
                          <adec:decorative xmlns:adec="http://schemas.microsoft.com/office/drawing/2017/decorative" val="1"/>
                        </a:ext>
                      </a:extLst>
                    </pic:cNvPr>
                    <pic:cNvPicPr/>
                  </pic:nvPicPr>
                  <pic:blipFill>
                    <a:blip r:embed="rId22"/>
                    <a:stretch>
                      <a:fillRect/>
                    </a:stretch>
                  </pic:blipFill>
                  <pic:spPr>
                    <a:xfrm>
                      <a:off x="0" y="0"/>
                      <a:ext cx="664845" cy="664845"/>
                    </a:xfrm>
                    <a:prstGeom prst="rect">
                      <a:avLst/>
                    </a:prstGeom>
                  </pic:spPr>
                </pic:pic>
              </a:graphicData>
            </a:graphic>
            <wp14:sizeRelH relativeFrom="page">
              <wp14:pctWidth>0</wp14:pctWidth>
            </wp14:sizeRelH>
            <wp14:sizeRelV relativeFrom="page">
              <wp14:pctHeight>0</wp14:pctHeight>
            </wp14:sizeRelV>
          </wp:anchor>
        </w:drawing>
      </w:r>
      <w:r w:rsidRPr="008F253E">
        <w:t>KRQ</w:t>
      </w:r>
      <w:r>
        <w:t>2</w:t>
      </w:r>
      <w:r w:rsidRPr="008F253E">
        <w:t xml:space="preserve">. </w:t>
      </w:r>
      <w:r w:rsidR="00FD1297" w:rsidRPr="2AB22851">
        <w:t xml:space="preserve">How efficient </w:t>
      </w:r>
      <w:r w:rsidR="00FD1297">
        <w:t xml:space="preserve">is </w:t>
      </w:r>
      <w:r w:rsidR="00FD1297" w:rsidRPr="2AB22851">
        <w:t>PRES</w:t>
      </w:r>
      <w:r w:rsidR="00FD1297">
        <w:t xml:space="preserve"> and what are the opportunities to improve efficiency</w:t>
      </w:r>
      <w:r w:rsidR="00FD1297" w:rsidRPr="2AB22851">
        <w:t>?</w:t>
      </w:r>
      <w:bookmarkEnd w:id="43"/>
      <w:bookmarkEnd w:id="44"/>
      <w:bookmarkEnd w:id="45"/>
    </w:p>
    <w:p w14:paraId="14787538" w14:textId="3ADD114A" w:rsidR="00DA666D" w:rsidRDefault="00CC60DE" w:rsidP="007907C3">
      <w:pPr>
        <w:pStyle w:val="Orangeblocktext"/>
      </w:pPr>
      <w:r>
        <w:rPr>
          <w:b/>
          <w:bCs/>
        </w:rPr>
        <w:t>How efficient is PRES?</w:t>
      </w:r>
      <w:r w:rsidR="0084457F" w:rsidRPr="009D5FEE">
        <w:rPr>
          <w:b/>
          <w:bCs/>
        </w:rPr>
        <w:t xml:space="preserve"> </w:t>
      </w:r>
      <w:r w:rsidR="00101D49">
        <w:t xml:space="preserve">PRES is highly efficient. There is good evidence that PRES provides good value for money. </w:t>
      </w:r>
      <w:r w:rsidR="00101D49" w:rsidRPr="00A43FAE">
        <w:t>PRES' efficiency stems from its flexibility and capacity to deliver quality outputs while minimi</w:t>
      </w:r>
      <w:r w:rsidR="00101D49">
        <w:t>s</w:t>
      </w:r>
      <w:r w:rsidR="00101D49" w:rsidRPr="00A43FAE">
        <w:t>ing the time and cost associated with identifying, engaging, and managing contracted technical specialists.</w:t>
      </w:r>
      <w:r w:rsidR="00101D49">
        <w:t xml:space="preserve"> Having access to a small but extremely responsive PRES Core Team also presents value for money</w:t>
      </w:r>
      <w:r w:rsidR="00296846">
        <w:t>,</w:t>
      </w:r>
      <w:r w:rsidR="00101D49">
        <w:t xml:space="preserve"> given the breadth of teams requesting PRES support and the range of topics and capabilities sought from PRES.</w:t>
      </w:r>
    </w:p>
    <w:p w14:paraId="5C3DFFF2" w14:textId="1FAA85E2" w:rsidR="00CC60DE" w:rsidRPr="008E4473" w:rsidRDefault="00CC60DE" w:rsidP="00CC60DE">
      <w:pPr>
        <w:pStyle w:val="Orangeblocktext"/>
      </w:pPr>
      <w:r>
        <w:rPr>
          <w:b/>
          <w:bCs/>
        </w:rPr>
        <w:t xml:space="preserve">Opportunities to improve </w:t>
      </w:r>
      <w:r w:rsidR="0017408D">
        <w:rPr>
          <w:b/>
          <w:bCs/>
        </w:rPr>
        <w:t>efficiency:</w:t>
      </w:r>
      <w:r w:rsidR="00021FE2" w:rsidRPr="00021FE2">
        <w:t xml:space="preserve"> </w:t>
      </w:r>
      <w:r w:rsidR="00297AD9" w:rsidRPr="00C12630">
        <w:t>Potential areas for improvement include</w:t>
      </w:r>
      <w:r w:rsidR="00297AD9">
        <w:t xml:space="preserve"> ensuring DFAT’s final approval of all TN</w:t>
      </w:r>
      <w:r w:rsidR="00297AD9" w:rsidRPr="000E565D">
        <w:t xml:space="preserve">s </w:t>
      </w:r>
      <w:r w:rsidR="00DA666D" w:rsidRPr="000E565D">
        <w:t xml:space="preserve">to ensure </w:t>
      </w:r>
      <w:r w:rsidR="00296846" w:rsidRPr="000E565D">
        <w:t>that these</w:t>
      </w:r>
      <w:r w:rsidR="00DA666D" w:rsidRPr="000E565D">
        <w:t xml:space="preserve"> reflect </w:t>
      </w:r>
      <w:r w:rsidR="00296846" w:rsidRPr="000E565D">
        <w:t>DFAT</w:t>
      </w:r>
      <w:r w:rsidR="00DA666D" w:rsidRPr="000E565D">
        <w:t xml:space="preserve"> needs</w:t>
      </w:r>
      <w:r w:rsidR="00296846" w:rsidRPr="000E565D">
        <w:t>;</w:t>
      </w:r>
      <w:r w:rsidR="00DA666D" w:rsidRPr="000E565D">
        <w:t xml:space="preserve"> </w:t>
      </w:r>
      <w:r w:rsidR="006F07AB" w:rsidRPr="000E565D">
        <w:t>ensuring adequate</w:t>
      </w:r>
      <w:r w:rsidR="00DA666D" w:rsidRPr="000E565D">
        <w:t xml:space="preserve"> resourcing of the PRES Core Team</w:t>
      </w:r>
      <w:r w:rsidR="006F07AB" w:rsidRPr="000E565D">
        <w:t xml:space="preserve"> to</w:t>
      </w:r>
      <w:r w:rsidR="006F07AB">
        <w:t xml:space="preserve"> reflect high demand for technical support</w:t>
      </w:r>
      <w:r w:rsidR="00296846">
        <w:t>;</w:t>
      </w:r>
      <w:r w:rsidR="00DA666D">
        <w:t xml:space="preserve"> clarity on PRES’ role to strengthen PEB linkages</w:t>
      </w:r>
      <w:r w:rsidR="00296846">
        <w:t>;</w:t>
      </w:r>
      <w:r w:rsidR="00DA666D">
        <w:t xml:space="preserve"> and strengthening </w:t>
      </w:r>
      <w:r w:rsidR="00111A2A">
        <w:t xml:space="preserve">the </w:t>
      </w:r>
      <w:r w:rsidR="00296846">
        <w:t>PAG’s</w:t>
      </w:r>
      <w:r w:rsidR="00DA666D">
        <w:t xml:space="preserve"> role in prioritisation and strategic planning of PRES.</w:t>
      </w:r>
    </w:p>
    <w:p w14:paraId="45A5AFC9" w14:textId="459F17FC" w:rsidR="00D84549" w:rsidRDefault="00D84549" w:rsidP="00D93E5B">
      <w:pPr>
        <w:pStyle w:val="Heading3nonumber"/>
      </w:pPr>
      <w:bookmarkStart w:id="46" w:name="_Toc195808969"/>
      <w:r w:rsidRPr="152412E2">
        <w:t>2.1 Efficiency in</w:t>
      </w:r>
      <w:r w:rsidR="004B113D" w:rsidRPr="152412E2">
        <w:t xml:space="preserve"> the</w:t>
      </w:r>
      <w:r w:rsidRPr="152412E2">
        <w:t xml:space="preserve"> delivery of technical analysis and expertise</w:t>
      </w:r>
      <w:bookmarkEnd w:id="46"/>
    </w:p>
    <w:p w14:paraId="641A31E7" w14:textId="0C8C1996" w:rsidR="00A30A8F" w:rsidRDefault="00A30A8F" w:rsidP="00F32CA4">
      <w:pPr>
        <w:keepNext/>
      </w:pPr>
      <w:r>
        <w:t>One of PRES’ guiding principles is efficiency. The PRES operation</w:t>
      </w:r>
      <w:r w:rsidR="00992670">
        <w:t>s</w:t>
      </w:r>
      <w:r>
        <w:t xml:space="preserve"> manual defines efficiency as the delivery of technical outputs and other deliverables in a resource-effective (cost and time) manner. This includes minimising time burden through a simple, transparent </w:t>
      </w:r>
      <w:r w:rsidR="00992670">
        <w:t>TN</w:t>
      </w:r>
      <w:r>
        <w:t xml:space="preserve"> system that enables PRES to respond rapidly</w:t>
      </w:r>
      <w:r w:rsidR="00F32CA4">
        <w:t>;</w:t>
      </w:r>
      <w:r>
        <w:t xml:space="preserve"> and delivering transparency and value for money in resourcing</w:t>
      </w:r>
      <w:r w:rsidR="00F32CA4">
        <w:t>;</w:t>
      </w:r>
      <w:r>
        <w:t xml:space="preserve"> and costing the delivery of services by providing upfront estimates against </w:t>
      </w:r>
      <w:r w:rsidR="00F32CA4">
        <w:t>TNs</w:t>
      </w:r>
      <w:r>
        <w:t xml:space="preserve">. </w:t>
      </w:r>
    </w:p>
    <w:p w14:paraId="11317C6F" w14:textId="136A562F" w:rsidR="003E2F26" w:rsidRDefault="00A30A8F" w:rsidP="00F32CA4">
      <w:pPr>
        <w:keepNext/>
      </w:pPr>
      <w:bookmarkStart w:id="47" w:name="_Hlk191974454"/>
      <w:r w:rsidRPr="152412E2">
        <w:t xml:space="preserve">The available evidence indicates that </w:t>
      </w:r>
      <w:r>
        <w:t>PRES is achieving efficiency</w:t>
      </w:r>
      <w:r w:rsidR="00AC6357">
        <w:t>, particularly against EO</w:t>
      </w:r>
      <w:r w:rsidR="009659D1">
        <w:t>I</w:t>
      </w:r>
      <w:r w:rsidR="00AC6357">
        <w:t>O1</w:t>
      </w:r>
      <w:r>
        <w:t xml:space="preserve">. </w:t>
      </w:r>
      <w:bookmarkEnd w:id="47"/>
      <w:r w:rsidR="003E2F26">
        <w:t>This is consistent with the 2024 Annual I</w:t>
      </w:r>
      <w:r w:rsidR="00E63199">
        <w:t>MR</w:t>
      </w:r>
      <w:r w:rsidR="003E2F26">
        <w:t xml:space="preserve"> that found good evidence </w:t>
      </w:r>
      <w:r w:rsidR="00F32CA4">
        <w:t>of</w:t>
      </w:r>
      <w:r w:rsidR="003E2F26">
        <w:t xml:space="preserve"> the investment making adequate use of time and resources. Specifically, a rating of </w:t>
      </w:r>
      <w:r w:rsidR="00F32CA4">
        <w:t>‘</w:t>
      </w:r>
      <w:r w:rsidR="003E2F26">
        <w:t xml:space="preserve">4 </w:t>
      </w:r>
      <w:r w:rsidR="00F32CA4">
        <w:rPr>
          <w:rFonts w:cstheme="minorHAnsi"/>
        </w:rPr>
        <w:t>–</w:t>
      </w:r>
      <w:r w:rsidR="00F32CA4">
        <w:t xml:space="preserve"> </w:t>
      </w:r>
      <w:r w:rsidR="00E63199">
        <w:t>adequate</w:t>
      </w:r>
      <w:r w:rsidR="00F32CA4">
        <w:t>’</w:t>
      </w:r>
      <w:r w:rsidR="00E63199">
        <w:t xml:space="preserve"> w</w:t>
      </w:r>
      <w:r w:rsidR="002353E4">
        <w:t>as</w:t>
      </w:r>
      <w:r w:rsidR="00E63199">
        <w:t xml:space="preserve"> given in relation to efficiency </w:t>
      </w:r>
      <w:r w:rsidR="003E2F26">
        <w:t xml:space="preserve">in both 2023 and 2024. However, consistent with Section 1.2, the evidence suggests </w:t>
      </w:r>
      <w:r w:rsidR="00F32CA4">
        <w:t xml:space="preserve">that </w:t>
      </w:r>
      <w:r w:rsidR="003E2F26">
        <w:t xml:space="preserve">there could be improvements in efficiency around EOPO2, largely due to a lack of clarity regarding </w:t>
      </w:r>
      <w:r w:rsidR="00F32CA4">
        <w:t xml:space="preserve">its </w:t>
      </w:r>
      <w:r w:rsidR="003E2F26">
        <w:t xml:space="preserve">intended scope. </w:t>
      </w:r>
    </w:p>
    <w:p w14:paraId="6C0D19F0" w14:textId="5C43E61E" w:rsidR="00E86233" w:rsidRDefault="00A95A5E" w:rsidP="00F32CA4">
      <w:pPr>
        <w:keepNext/>
      </w:pPr>
      <w:r>
        <w:t>Feedback from consultations demonstrates a high level of support for efficiency</w:t>
      </w:r>
      <w:r w:rsidR="00CE2A40">
        <w:t>,</w:t>
      </w:r>
      <w:r>
        <w:t xml:space="preserve"> in terms of allowing the engagement of specialist technical expertise in a manner that reduce</w:t>
      </w:r>
      <w:r w:rsidR="00917223">
        <w:t>s</w:t>
      </w:r>
      <w:r>
        <w:t xml:space="preserve"> time and cost burdens</w:t>
      </w:r>
      <w:r w:rsidR="00DA38D6">
        <w:t xml:space="preserve"> and through direct provision of technical advice from the PRES Core Team</w:t>
      </w:r>
      <w:r>
        <w:t xml:space="preserve">. PRES supports DFAT to initiate and complete projects much </w:t>
      </w:r>
      <w:r w:rsidR="00CE2A40">
        <w:t>faster</w:t>
      </w:r>
      <w:r>
        <w:t xml:space="preserve"> than what would </w:t>
      </w:r>
      <w:r w:rsidR="00CE2A40">
        <w:t xml:space="preserve">otherwise </w:t>
      </w:r>
      <w:r>
        <w:t xml:space="preserve">occur, and this provides value when technical expertise is required quickly by projects, </w:t>
      </w:r>
      <w:r w:rsidRPr="152412E2">
        <w:t>as lengthy engagement processes can delay project progress.</w:t>
      </w:r>
    </w:p>
    <w:p w14:paraId="7AFFA074" w14:textId="33DFF726" w:rsidR="00AC6357" w:rsidRDefault="00AC6357" w:rsidP="00F32CA4">
      <w:pPr>
        <w:keepNext/>
      </w:pPr>
      <w:r>
        <w:t>Many stakeholders suggested that PRES</w:t>
      </w:r>
      <w:r w:rsidR="00D065E7">
        <w:t>’</w:t>
      </w:r>
      <w:r>
        <w:t xml:space="preserve"> efficiency </w:t>
      </w:r>
      <w:r w:rsidR="006C58C0">
        <w:t xml:space="preserve">is </w:t>
      </w:r>
      <w:r>
        <w:t xml:space="preserve">in </w:t>
      </w:r>
      <w:r w:rsidR="003E2F26">
        <w:t>its</w:t>
      </w:r>
      <w:r>
        <w:t xml:space="preserve"> flexibility and ability to deliver quality outputs while minimising the time and cost burden of </w:t>
      </w:r>
      <w:r w:rsidR="003E2F26" w:rsidRPr="152412E2">
        <w:t xml:space="preserve">identifying, engaging with and </w:t>
      </w:r>
      <w:r w:rsidR="003E2F26">
        <w:t xml:space="preserve">managing contracting technical specialists. </w:t>
      </w:r>
    </w:p>
    <w:p w14:paraId="02CFD689" w14:textId="009A35A3" w:rsidR="003E2F26" w:rsidRDefault="003E2F26" w:rsidP="00F32CA4">
      <w:pPr>
        <w:keepNext/>
      </w:pPr>
      <w:r>
        <w:t>In practice, engaging a managing contractor to streamline the engagement of technical specialist consultants presents a potential trade-off in</w:t>
      </w:r>
      <w:r w:rsidR="00D210C5">
        <w:t>:</w:t>
      </w:r>
      <w:r>
        <w:t xml:space="preserve"> it reduces the administrative burden</w:t>
      </w:r>
      <w:r w:rsidR="008132C4">
        <w:t xml:space="preserve"> (both time and effort)</w:t>
      </w:r>
      <w:r>
        <w:t xml:space="preserve"> of skill acquisition and management, allowing staff time to focus on core work</w:t>
      </w:r>
      <w:r w:rsidR="00D210C5">
        <w:t>,</w:t>
      </w:r>
      <w:r>
        <w:t xml:space="preserve"> but adds an additional layer of communication and complexity, potentially resulting in increased information loss and misinterpretation. Evidence from consultations suggests that PRES’ flexible approach to consultant engagement – which allows </w:t>
      </w:r>
      <w:r w:rsidR="00B4008E">
        <w:t xml:space="preserve">the managing contractor </w:t>
      </w:r>
      <w:r>
        <w:t>to adopt a highly involved or more hand</w:t>
      </w:r>
      <w:r w:rsidR="00A93C59">
        <w:t>s</w:t>
      </w:r>
      <w:r>
        <w:t>-off role as required for each individual project – combined with growing understanding and trust between DFAT and</w:t>
      </w:r>
      <w:r w:rsidR="009853FE" w:rsidRPr="009853FE">
        <w:t xml:space="preserve"> </w:t>
      </w:r>
      <w:r w:rsidR="009853FE" w:rsidRPr="005808D4">
        <w:t>Adam Smith International</w:t>
      </w:r>
      <w:r>
        <w:t xml:space="preserve">, is resulting in the benefits from PRES outweighing any potential risk in terms </w:t>
      </w:r>
      <w:r>
        <w:lastRenderedPageBreak/>
        <w:t xml:space="preserve">of added bureaucracy, complexity or information loss. </w:t>
      </w:r>
      <w:r w:rsidR="00CD496B">
        <w:t>The PRES Core Team’s own technical expertise provided to DFAT further compl</w:t>
      </w:r>
      <w:r w:rsidR="00B15BF9">
        <w:t>e</w:t>
      </w:r>
      <w:r w:rsidR="00CD496B">
        <w:t xml:space="preserve">ments this. </w:t>
      </w:r>
    </w:p>
    <w:p w14:paraId="28E9E967" w14:textId="50CD045A" w:rsidR="00972B0E" w:rsidRDefault="00B5691F" w:rsidP="00F32CA4">
      <w:pPr>
        <w:keepNext/>
      </w:pPr>
      <w:r>
        <w:t xml:space="preserve">The efficiency of PRES processes, </w:t>
      </w:r>
      <w:r w:rsidR="00CE2AB4">
        <w:t xml:space="preserve">particularly TN processes, has improved over time. </w:t>
      </w:r>
      <w:r w:rsidR="00077C6D">
        <w:t xml:space="preserve">Initially, </w:t>
      </w:r>
      <w:r w:rsidR="00D210C5">
        <w:t>TNAs</w:t>
      </w:r>
      <w:r w:rsidR="00FA0FC4">
        <w:t xml:space="preserve"> revealed there was a need for </w:t>
      </w:r>
      <w:r w:rsidR="001F5BDC">
        <w:t xml:space="preserve">DFAT to more clearly specify </w:t>
      </w:r>
      <w:r w:rsidR="00127900">
        <w:t xml:space="preserve">tasks and deliverables </w:t>
      </w:r>
      <w:r w:rsidR="00EC7D57">
        <w:t>in the TN</w:t>
      </w:r>
      <w:r w:rsidR="001F5BDC">
        <w:t>,</w:t>
      </w:r>
      <w:r w:rsidR="00EC7D57">
        <w:t xml:space="preserve"> </w:t>
      </w:r>
      <w:r w:rsidR="004526FF">
        <w:t xml:space="preserve">to ensure DFAT staff and </w:t>
      </w:r>
      <w:r w:rsidR="002A20DE">
        <w:t xml:space="preserve">advisers have </w:t>
      </w:r>
      <w:r w:rsidR="001F5BDC">
        <w:t xml:space="preserve">a </w:t>
      </w:r>
      <w:r w:rsidR="002A20DE">
        <w:t xml:space="preserve">shared understanding of expectations. As a result, </w:t>
      </w:r>
      <w:r w:rsidR="003A4233">
        <w:t>there were updates to the TN template</w:t>
      </w:r>
      <w:r w:rsidR="001F5BDC">
        <w:t xml:space="preserve"> and the TN</w:t>
      </w:r>
      <w:r w:rsidR="000932A5">
        <w:t xml:space="preserve"> development and approval process. </w:t>
      </w:r>
    </w:p>
    <w:p w14:paraId="79F00FD9" w14:textId="3FC8EF3C" w:rsidR="002A7C91" w:rsidRDefault="00146C95" w:rsidP="00F32CA4">
      <w:pPr>
        <w:pStyle w:val="Tealblocktext"/>
        <w:pBdr>
          <w:bottom w:val="single" w:sz="4" w:space="1" w:color="D9F1ED"/>
        </w:pBdr>
      </w:pPr>
      <w:r w:rsidRPr="00146C95">
        <w:t xml:space="preserve">While consultations indicated that DFAT sometimes delegates the drafting of TNs, or parts thereof, to PRES, this collaborative approach is effective </w:t>
      </w:r>
      <w:proofErr w:type="gramStart"/>
      <w:r w:rsidRPr="00146C95">
        <w:t>as long as</w:t>
      </w:r>
      <w:proofErr w:type="gramEnd"/>
      <w:r w:rsidRPr="00146C95">
        <w:t xml:space="preserve"> DFAT maintains full engagement in the process and </w:t>
      </w:r>
      <w:r w:rsidR="001303E1">
        <w:t xml:space="preserve">continues to </w:t>
      </w:r>
      <w:r w:rsidRPr="00146C95">
        <w:t>hold ultimate responsibility for final approval</w:t>
      </w:r>
      <w:r w:rsidR="00197F0C" w:rsidRPr="00197F0C">
        <w:t xml:space="preserve">. </w:t>
      </w:r>
      <w:r w:rsidR="00920A9E" w:rsidRPr="00920A9E">
        <w:t xml:space="preserve">For </w:t>
      </w:r>
      <w:r w:rsidR="00920A9E">
        <w:t>TNs</w:t>
      </w:r>
      <w:r w:rsidR="00920A9E" w:rsidRPr="00920A9E">
        <w:t xml:space="preserve"> to accurately reflect DFAT's requirements and foster shared understanding, DFAT's proactive engagement in clearly defining its needs is essential. While the co-creation of TNs with PRES can be a practical and beneficial partnership, the fundamental responsibility for clear task articulation </w:t>
      </w:r>
      <w:r w:rsidR="00102648">
        <w:t>must continue to lie</w:t>
      </w:r>
      <w:r w:rsidR="00102648" w:rsidRPr="00920A9E">
        <w:t xml:space="preserve"> </w:t>
      </w:r>
      <w:r w:rsidR="00920A9E" w:rsidRPr="00920A9E">
        <w:t>with DFAT</w:t>
      </w:r>
      <w:r w:rsidR="00BC0C03">
        <w:t xml:space="preserve"> in any future design</w:t>
      </w:r>
      <w:r w:rsidR="00920A9E" w:rsidRPr="00920A9E">
        <w:t>.</w:t>
      </w:r>
    </w:p>
    <w:p w14:paraId="23F4A7AB" w14:textId="7EFB759D" w:rsidR="00C33889" w:rsidRPr="00B515EE" w:rsidRDefault="00C33889" w:rsidP="00F32CA4">
      <w:pPr>
        <w:pStyle w:val="Tealblocktext"/>
        <w:pBdr>
          <w:bottom w:val="single" w:sz="4" w:space="1" w:color="D9F1ED"/>
        </w:pBdr>
        <w:rPr>
          <w:b/>
          <w:bCs/>
          <w:lang w:eastAsia="en-GB"/>
        </w:rPr>
      </w:pPr>
      <w:r w:rsidRPr="00B515EE">
        <w:rPr>
          <w:b/>
          <w:bCs/>
          <w:lang w:eastAsia="en-GB"/>
        </w:rPr>
        <w:t>Recommendation 2.</w:t>
      </w:r>
      <w:r>
        <w:rPr>
          <w:b/>
          <w:bCs/>
          <w:lang w:eastAsia="en-GB"/>
        </w:rPr>
        <w:t>1</w:t>
      </w:r>
      <w:r w:rsidRPr="00B515EE">
        <w:rPr>
          <w:b/>
          <w:bCs/>
          <w:lang w:eastAsia="en-GB"/>
        </w:rPr>
        <w:t xml:space="preserve"> (</w:t>
      </w:r>
      <w:r w:rsidR="00E5027D">
        <w:rPr>
          <w:b/>
          <w:bCs/>
          <w:lang w:eastAsia="en-GB"/>
        </w:rPr>
        <w:t>Long</w:t>
      </w:r>
      <w:r w:rsidR="00E5027D" w:rsidRPr="00B515EE">
        <w:rPr>
          <w:b/>
          <w:bCs/>
          <w:lang w:eastAsia="en-GB"/>
        </w:rPr>
        <w:t xml:space="preserve"> </w:t>
      </w:r>
      <w:r w:rsidRPr="00B515EE">
        <w:rPr>
          <w:b/>
          <w:bCs/>
          <w:lang w:eastAsia="en-GB"/>
        </w:rPr>
        <w:t>term</w:t>
      </w:r>
      <w:r w:rsidR="001F5BDC">
        <w:rPr>
          <w:b/>
          <w:bCs/>
          <w:lang w:eastAsia="en-GB"/>
        </w:rPr>
        <w:t xml:space="preserve"> </w:t>
      </w:r>
      <w:r w:rsidRPr="00B515EE">
        <w:rPr>
          <w:b/>
          <w:bCs/>
          <w:lang w:eastAsia="en-GB"/>
        </w:rPr>
        <w:t>/</w:t>
      </w:r>
      <w:r w:rsidR="001F5BDC">
        <w:rPr>
          <w:b/>
          <w:bCs/>
          <w:lang w:eastAsia="en-GB"/>
        </w:rPr>
        <w:t xml:space="preserve"> </w:t>
      </w:r>
      <w:r w:rsidRPr="00B515EE">
        <w:rPr>
          <w:b/>
          <w:bCs/>
          <w:lang w:eastAsia="en-GB"/>
        </w:rPr>
        <w:t xml:space="preserve">Operational) </w:t>
      </w:r>
      <w:r w:rsidR="00967BF8" w:rsidRPr="002C3AEB">
        <w:rPr>
          <w:lang w:eastAsia="en-GB"/>
        </w:rPr>
        <w:t xml:space="preserve">To ensure </w:t>
      </w:r>
      <w:r w:rsidR="00967BF8">
        <w:rPr>
          <w:lang w:eastAsia="en-GB"/>
        </w:rPr>
        <w:t>alignment to DFAT’s needs</w:t>
      </w:r>
      <w:r w:rsidR="00264FAB">
        <w:rPr>
          <w:lang w:eastAsia="en-GB"/>
        </w:rPr>
        <w:t>,</w:t>
      </w:r>
      <w:r w:rsidR="00967BF8">
        <w:rPr>
          <w:lang w:eastAsia="en-GB"/>
        </w:rPr>
        <w:t xml:space="preserve"> </w:t>
      </w:r>
      <w:r w:rsidR="00967BF8" w:rsidRPr="002C3AEB">
        <w:rPr>
          <w:lang w:eastAsia="en-GB"/>
        </w:rPr>
        <w:t xml:space="preserve">DFAT should </w:t>
      </w:r>
      <w:r w:rsidR="00967BF8">
        <w:rPr>
          <w:lang w:eastAsia="en-GB"/>
        </w:rPr>
        <w:t xml:space="preserve">work closely with </w:t>
      </w:r>
      <w:r w:rsidR="00967BF8" w:rsidRPr="002C3AEB">
        <w:rPr>
          <w:lang w:eastAsia="en-GB"/>
        </w:rPr>
        <w:t xml:space="preserve">PRES </w:t>
      </w:r>
      <w:r w:rsidR="00967BF8">
        <w:rPr>
          <w:lang w:eastAsia="en-GB"/>
        </w:rPr>
        <w:t xml:space="preserve">in the drafting of </w:t>
      </w:r>
      <w:proofErr w:type="gramStart"/>
      <w:r w:rsidR="00967BF8">
        <w:rPr>
          <w:lang w:eastAsia="en-GB"/>
        </w:rPr>
        <w:t xml:space="preserve">TNs, </w:t>
      </w:r>
      <w:r w:rsidR="00967BF8" w:rsidRPr="002C3AEB">
        <w:rPr>
          <w:lang w:eastAsia="en-GB"/>
        </w:rPr>
        <w:t>and</w:t>
      </w:r>
      <w:proofErr w:type="gramEnd"/>
      <w:r w:rsidR="00967BF8" w:rsidRPr="002C3AEB">
        <w:rPr>
          <w:lang w:eastAsia="en-GB"/>
        </w:rPr>
        <w:t xml:space="preserve"> leverag</w:t>
      </w:r>
      <w:r w:rsidR="00967BF8">
        <w:rPr>
          <w:lang w:eastAsia="en-GB"/>
        </w:rPr>
        <w:t>e</w:t>
      </w:r>
      <w:r w:rsidR="00967BF8" w:rsidRPr="002C3AEB">
        <w:rPr>
          <w:lang w:eastAsia="en-GB"/>
        </w:rPr>
        <w:t xml:space="preserve"> the</w:t>
      </w:r>
      <w:r w:rsidR="00967BF8">
        <w:rPr>
          <w:lang w:eastAsia="en-GB"/>
        </w:rPr>
        <w:t xml:space="preserve"> </w:t>
      </w:r>
      <w:r w:rsidR="00967BF8" w:rsidRPr="002C3AEB">
        <w:rPr>
          <w:lang w:eastAsia="en-GB"/>
        </w:rPr>
        <w:t xml:space="preserve">expertise </w:t>
      </w:r>
      <w:r w:rsidR="00967BF8">
        <w:rPr>
          <w:lang w:eastAsia="en-GB"/>
        </w:rPr>
        <w:t>of the PRES Core Team</w:t>
      </w:r>
      <w:r w:rsidR="00967BF8" w:rsidRPr="002C3AEB">
        <w:rPr>
          <w:lang w:eastAsia="en-GB"/>
        </w:rPr>
        <w:t>.</w:t>
      </w:r>
      <w:r w:rsidR="00A95AB3">
        <w:rPr>
          <w:lang w:eastAsia="en-GB"/>
        </w:rPr>
        <w:t xml:space="preserve"> DFAT should </w:t>
      </w:r>
      <w:r w:rsidR="00E5027D">
        <w:rPr>
          <w:lang w:eastAsia="en-GB"/>
        </w:rPr>
        <w:t xml:space="preserve">continue to </w:t>
      </w:r>
      <w:r w:rsidR="00115028">
        <w:rPr>
          <w:lang w:eastAsia="en-GB"/>
        </w:rPr>
        <w:t>retain responsibility for final approval of all TNs</w:t>
      </w:r>
      <w:r w:rsidR="00EB628D">
        <w:rPr>
          <w:lang w:eastAsia="en-GB"/>
        </w:rPr>
        <w:t xml:space="preserve"> in any future design</w:t>
      </w:r>
      <w:r w:rsidR="00115028">
        <w:rPr>
          <w:lang w:eastAsia="en-GB"/>
        </w:rPr>
        <w:t xml:space="preserve"> </w:t>
      </w:r>
    </w:p>
    <w:p w14:paraId="6B2B53D2" w14:textId="78C81E79" w:rsidR="008828C4" w:rsidRDefault="005F40FA" w:rsidP="00F32CA4">
      <w:pPr>
        <w:keepNext/>
      </w:pPr>
      <w:r>
        <w:t xml:space="preserve">For the allocation of resources between the PRES </w:t>
      </w:r>
      <w:r w:rsidR="12C7640E">
        <w:t>C</w:t>
      </w:r>
      <w:r>
        <w:t xml:space="preserve">ore </w:t>
      </w:r>
      <w:r w:rsidR="3BB5D30F">
        <w:t>T</w:t>
      </w:r>
      <w:r>
        <w:t>eam, embedded advis</w:t>
      </w:r>
      <w:r w:rsidR="00575A2F">
        <w:t>e</w:t>
      </w:r>
      <w:r>
        <w:t xml:space="preserve">rs and short-term technical assistance, the evaluation team had limited access to financial data to be able to adequately determine whether allocation is optimal. However, evidence suggests </w:t>
      </w:r>
      <w:r w:rsidR="00264FAB">
        <w:t xml:space="preserve">that </w:t>
      </w:r>
      <w:r w:rsidR="00A91BC6">
        <w:t>t</w:t>
      </w:r>
      <w:r w:rsidR="008828C4">
        <w:t xml:space="preserve">he PRES </w:t>
      </w:r>
      <w:r w:rsidR="70FB93C2">
        <w:t>C</w:t>
      </w:r>
      <w:r w:rsidR="008828C4">
        <w:t xml:space="preserve">ore </w:t>
      </w:r>
      <w:r w:rsidR="6523E64A">
        <w:t>T</w:t>
      </w:r>
      <w:r w:rsidR="008828C4">
        <w:t xml:space="preserve">eam operates with a notably lean and efficient structure, comprised of a Team Leader, Deputy Team Leader, Program Coordinator, Advisory Services Coordinator, GEDSI </w:t>
      </w:r>
      <w:r w:rsidR="00264FAB">
        <w:t>A</w:t>
      </w:r>
      <w:r w:rsidR="008828C4">
        <w:t xml:space="preserve">dviser, and MEL </w:t>
      </w:r>
      <w:r w:rsidR="00264FAB">
        <w:t>A</w:t>
      </w:r>
      <w:r w:rsidR="008828C4">
        <w:t>dviser. Despite this efficiency, the team shoulders a considerable workload, managing both the operational and strategic aspects of PRES</w:t>
      </w:r>
      <w:r w:rsidR="00FB74DC">
        <w:t xml:space="preserve"> </w:t>
      </w:r>
      <w:r w:rsidR="00264FAB">
        <w:rPr>
          <w:rFonts w:cstheme="minorHAnsi"/>
        </w:rPr>
        <w:t>–</w:t>
      </w:r>
      <w:r w:rsidR="008828C4">
        <w:t xml:space="preserve"> includ</w:t>
      </w:r>
      <w:r w:rsidR="00FB74DC">
        <w:t>ing</w:t>
      </w:r>
      <w:r w:rsidR="008828C4">
        <w:t xml:space="preserve"> identifying, administering, and managing external technical consultants</w:t>
      </w:r>
      <w:r w:rsidR="00FB74DC">
        <w:t xml:space="preserve"> </w:t>
      </w:r>
      <w:r w:rsidR="00264FAB">
        <w:rPr>
          <w:rFonts w:cstheme="minorHAnsi"/>
        </w:rPr>
        <w:t>–</w:t>
      </w:r>
      <w:r w:rsidR="008828C4">
        <w:t xml:space="preserve"> alongside delivering direct technical assistance by leveraging </w:t>
      </w:r>
      <w:r w:rsidR="004826DF">
        <w:t>PRES’</w:t>
      </w:r>
      <w:r w:rsidR="008828C4">
        <w:t xml:space="preserve"> in-house Core Team expertise. Consequently, the</w:t>
      </w:r>
      <w:r w:rsidR="004826DF">
        <w:t xml:space="preserve"> Core Team’s</w:t>
      </w:r>
      <w:r w:rsidR="008828C4">
        <w:t xml:space="preserve"> capacity to absorb additional workload</w:t>
      </w:r>
      <w:r w:rsidR="004826DF">
        <w:t>s</w:t>
      </w:r>
      <w:r w:rsidR="008828C4">
        <w:t xml:space="preserve"> appears limited, particularly given their expanding involvement in governance meetings and technical advisory </w:t>
      </w:r>
      <w:r w:rsidR="005135E8">
        <w:t xml:space="preserve">tasks </w:t>
      </w:r>
      <w:r w:rsidR="008828C4">
        <w:t xml:space="preserve">alongside their core duties, and the ongoing </w:t>
      </w:r>
      <w:r w:rsidR="005135E8">
        <w:t>growing</w:t>
      </w:r>
      <w:r w:rsidR="008828C4">
        <w:t xml:space="preserve"> demand for PRES work.</w:t>
      </w:r>
      <w:r w:rsidR="00636EB7">
        <w:t xml:space="preserve"> </w:t>
      </w:r>
      <w:r w:rsidR="009B6032">
        <w:t xml:space="preserve">As the evaluation team has not </w:t>
      </w:r>
      <w:r w:rsidR="00C91849">
        <w:t xml:space="preserve">yet </w:t>
      </w:r>
      <w:r w:rsidR="009B6032">
        <w:t>got full data for the 2024-25 financial year, it is unclear whether there will be a reduction</w:t>
      </w:r>
      <w:r w:rsidR="004C4570">
        <w:t xml:space="preserve"> in the number of TNs the PRES teams </w:t>
      </w:r>
      <w:proofErr w:type="gramStart"/>
      <w:r w:rsidR="004C4570">
        <w:t>undertakes</w:t>
      </w:r>
      <w:proofErr w:type="gramEnd"/>
      <w:r w:rsidR="004C4570">
        <w:t xml:space="preserve"> (particularly given the</w:t>
      </w:r>
      <w:r w:rsidR="008D15EA">
        <w:t xml:space="preserve"> transition of some program activities to the </w:t>
      </w:r>
      <w:r w:rsidR="008D15EA" w:rsidRPr="4E4D3734">
        <w:rPr>
          <w:rFonts w:ascii="Arial" w:hAnsi="Arial" w:cs="Arial"/>
          <w:color w:val="auto"/>
        </w:rPr>
        <w:t xml:space="preserve">Australia-Pacific Partnerships for Aviation </w:t>
      </w:r>
      <w:r w:rsidR="008D15EA" w:rsidRPr="00F1384F">
        <w:t>program</w:t>
      </w:r>
      <w:r w:rsidR="008D15EA">
        <w:t>).</w:t>
      </w:r>
      <w:r w:rsidR="00C91849">
        <w:t xml:space="preserve"> As such, any future design should consider the resourcing needs of the PRES Core Team to ensure it is flexible to respond to</w:t>
      </w:r>
      <w:r w:rsidR="002B3FE2">
        <w:t xml:space="preserve"> demand</w:t>
      </w:r>
      <w:r w:rsidR="00596E66">
        <w:t xml:space="preserve"> while also </w:t>
      </w:r>
      <w:r w:rsidR="00685345">
        <w:t>achieving</w:t>
      </w:r>
      <w:r w:rsidR="00596E66">
        <w:t xml:space="preserve"> value for money for the proposed scale of future activities</w:t>
      </w:r>
      <w:r w:rsidR="002B3FE2">
        <w:t xml:space="preserve">. </w:t>
      </w:r>
      <w:r w:rsidR="008D15EA">
        <w:t xml:space="preserve"> </w:t>
      </w:r>
    </w:p>
    <w:p w14:paraId="677EED8E" w14:textId="07B19FCA" w:rsidR="00447C74" w:rsidRDefault="00447C74" w:rsidP="00F32CA4">
      <w:pPr>
        <w:keepNext/>
      </w:pPr>
      <w:r>
        <w:t xml:space="preserve">This is consistent with the 2024 Annual </w:t>
      </w:r>
      <w:r w:rsidR="00844875">
        <w:t>IMR</w:t>
      </w:r>
      <w:r w:rsidR="005135E8">
        <w:t>,</w:t>
      </w:r>
      <w:r>
        <w:t xml:space="preserve"> which found PRES to be operationally efficient</w:t>
      </w:r>
      <w:r w:rsidR="005135E8">
        <w:t>,</w:t>
      </w:r>
      <w:r>
        <w:t xml:space="preserve"> with the </w:t>
      </w:r>
      <w:r w:rsidR="005135E8">
        <w:t xml:space="preserve">Core Team </w:t>
      </w:r>
      <w:r>
        <w:t xml:space="preserve">overseeing up to 40 </w:t>
      </w:r>
      <w:r w:rsidR="00F71964">
        <w:t>TNs</w:t>
      </w:r>
      <w:r>
        <w:t xml:space="preserve"> and </w:t>
      </w:r>
      <w:r w:rsidR="005135E8">
        <w:t xml:space="preserve">eight </w:t>
      </w:r>
      <w:r>
        <w:t xml:space="preserve">service orders per quarter. </w:t>
      </w:r>
    </w:p>
    <w:p w14:paraId="17F73F9C" w14:textId="711937A3" w:rsidR="00120E12" w:rsidRPr="00B515EE" w:rsidRDefault="00120E12" w:rsidP="00F32CA4">
      <w:pPr>
        <w:pStyle w:val="Tealblocktext"/>
        <w:pBdr>
          <w:bottom w:val="single" w:sz="4" w:space="1" w:color="D9F1ED"/>
        </w:pBdr>
        <w:rPr>
          <w:b/>
          <w:bCs/>
          <w:lang w:eastAsia="en-GB"/>
        </w:rPr>
      </w:pPr>
      <w:r w:rsidRPr="4E4D3734">
        <w:rPr>
          <w:b/>
          <w:bCs/>
          <w:lang w:eastAsia="en-GB"/>
        </w:rPr>
        <w:t>Recommendation 2.</w:t>
      </w:r>
      <w:r w:rsidR="00231E9A" w:rsidRPr="4E4D3734">
        <w:rPr>
          <w:b/>
          <w:bCs/>
          <w:lang w:eastAsia="en-GB"/>
        </w:rPr>
        <w:t>2</w:t>
      </w:r>
      <w:r w:rsidRPr="4E4D3734">
        <w:rPr>
          <w:b/>
          <w:bCs/>
          <w:lang w:eastAsia="en-GB"/>
        </w:rPr>
        <w:t xml:space="preserve"> (Next Phase</w:t>
      </w:r>
      <w:r w:rsidR="005135E8">
        <w:rPr>
          <w:b/>
          <w:bCs/>
          <w:lang w:eastAsia="en-GB"/>
        </w:rPr>
        <w:t xml:space="preserve"> </w:t>
      </w:r>
      <w:r w:rsidRPr="4E4D3734">
        <w:rPr>
          <w:b/>
          <w:bCs/>
          <w:lang w:eastAsia="en-GB"/>
        </w:rPr>
        <w:t>/</w:t>
      </w:r>
      <w:r w:rsidR="005135E8">
        <w:rPr>
          <w:b/>
          <w:bCs/>
          <w:lang w:eastAsia="en-GB"/>
        </w:rPr>
        <w:t xml:space="preserve"> </w:t>
      </w:r>
      <w:r w:rsidRPr="4E4D3734">
        <w:rPr>
          <w:b/>
          <w:bCs/>
          <w:lang w:eastAsia="en-GB"/>
        </w:rPr>
        <w:t xml:space="preserve">Operational) </w:t>
      </w:r>
      <w:r w:rsidR="006C78D6" w:rsidRPr="4E4D3734">
        <w:rPr>
          <w:lang w:eastAsia="en-GB"/>
        </w:rPr>
        <w:t xml:space="preserve">Any future design must consider the resourcing needs of the PRES </w:t>
      </w:r>
      <w:r w:rsidR="42FA7238" w:rsidRPr="4E4D3734">
        <w:rPr>
          <w:lang w:eastAsia="en-GB"/>
        </w:rPr>
        <w:t>C</w:t>
      </w:r>
      <w:r w:rsidR="006C78D6" w:rsidRPr="4E4D3734">
        <w:rPr>
          <w:lang w:eastAsia="en-GB"/>
        </w:rPr>
        <w:t xml:space="preserve">ore </w:t>
      </w:r>
      <w:r w:rsidR="300BFE81" w:rsidRPr="4E4D3734">
        <w:rPr>
          <w:lang w:eastAsia="en-GB"/>
        </w:rPr>
        <w:t>T</w:t>
      </w:r>
      <w:r w:rsidR="006C78D6" w:rsidRPr="4E4D3734">
        <w:rPr>
          <w:lang w:eastAsia="en-GB"/>
        </w:rPr>
        <w:t>eam</w:t>
      </w:r>
      <w:r w:rsidR="00F50DDA">
        <w:rPr>
          <w:i/>
          <w:iCs/>
          <w:lang w:eastAsia="en-GB"/>
        </w:rPr>
        <w:t xml:space="preserve"> </w:t>
      </w:r>
      <w:r w:rsidR="00F50DDA">
        <w:rPr>
          <w:lang w:eastAsia="en-GB"/>
        </w:rPr>
        <w:t>to ensure it is adequate to respond to</w:t>
      </w:r>
      <w:r w:rsidR="00F50DDA" w:rsidRPr="00231E9A">
        <w:rPr>
          <w:lang w:eastAsia="en-GB"/>
        </w:rPr>
        <w:t xml:space="preserve"> for PRES services </w:t>
      </w:r>
      <w:r w:rsidR="00596E66">
        <w:rPr>
          <w:lang w:eastAsia="en-GB"/>
        </w:rPr>
        <w:t>and scale of activities in the future</w:t>
      </w:r>
      <w:r w:rsidR="00F50DDA">
        <w:rPr>
          <w:lang w:eastAsia="en-GB"/>
        </w:rPr>
        <w:t>.</w:t>
      </w:r>
    </w:p>
    <w:p w14:paraId="7C7E2F96" w14:textId="5A58FCEA" w:rsidR="00E17D33" w:rsidRDefault="00E17D33" w:rsidP="00F32CA4">
      <w:pPr>
        <w:keepNext/>
      </w:pPr>
      <w:r w:rsidRPr="00E17D33">
        <w:t>Feedback on embedded advis</w:t>
      </w:r>
      <w:r w:rsidR="003A14C3">
        <w:t>e</w:t>
      </w:r>
      <w:r w:rsidRPr="00E17D33">
        <w:t xml:space="preserve">rs has been positive, with staff reporting </w:t>
      </w:r>
      <w:r w:rsidR="00A01696">
        <w:t xml:space="preserve">that </w:t>
      </w:r>
      <w:r w:rsidRPr="00E17D33">
        <w:t xml:space="preserve">they provide both direct task support and valuable informal advice, </w:t>
      </w:r>
      <w:r w:rsidR="00A01696">
        <w:t xml:space="preserve">so </w:t>
      </w:r>
      <w:r w:rsidRPr="00E17D33">
        <w:t>contributing to indirect capacity building.</w:t>
      </w:r>
      <w:r>
        <w:t xml:space="preserve"> </w:t>
      </w:r>
      <w:r w:rsidR="0065176A">
        <w:t>Questions</w:t>
      </w:r>
      <w:r w:rsidR="00FC4274" w:rsidRPr="00FC4274">
        <w:t xml:space="preserve"> were raised regarding the cost-effectiveness and necessity of long-term embedded </w:t>
      </w:r>
      <w:r w:rsidR="00416AE1">
        <w:t>adviser</w:t>
      </w:r>
      <w:r w:rsidR="00FC4274" w:rsidRPr="00FC4274">
        <w:t xml:space="preserve">s, and whether these roles </w:t>
      </w:r>
      <w:r w:rsidR="00FC4274">
        <w:t>indicated an ongoing need</w:t>
      </w:r>
      <w:r w:rsidR="00135AD3">
        <w:t xml:space="preserve"> for specialist roles</w:t>
      </w:r>
      <w:r w:rsidR="00FC4274">
        <w:t xml:space="preserve"> </w:t>
      </w:r>
      <w:r w:rsidR="006B3526">
        <w:t xml:space="preserve">/ a conversion </w:t>
      </w:r>
      <w:r w:rsidR="00FC4274" w:rsidRPr="00FC4274">
        <w:t>to permanent staff positions.</w:t>
      </w:r>
      <w:r w:rsidR="00FC4274">
        <w:t xml:space="preserve"> However, </w:t>
      </w:r>
      <w:r w:rsidR="00F70142">
        <w:t>there was a view that</w:t>
      </w:r>
      <w:r w:rsidR="006B3526">
        <w:t>,</w:t>
      </w:r>
      <w:r w:rsidR="00F70142">
        <w:t xml:space="preserve"> g</w:t>
      </w:r>
      <w:r w:rsidR="00F70142" w:rsidRPr="00F70142">
        <w:t xml:space="preserve">iven </w:t>
      </w:r>
      <w:r w:rsidR="00F70142">
        <w:t>DFAT</w:t>
      </w:r>
      <w:r w:rsidR="00F70142" w:rsidRPr="00F70142">
        <w:t>'s preference for generalist staff, internal creation of specialist roles</w:t>
      </w:r>
      <w:r w:rsidR="00E105AE">
        <w:t xml:space="preserve"> such as </w:t>
      </w:r>
      <w:r w:rsidR="00E105AE">
        <w:lastRenderedPageBreak/>
        <w:t>M&amp;E</w:t>
      </w:r>
      <w:r w:rsidR="00F70142" w:rsidRPr="00F70142">
        <w:t xml:space="preserve"> is unlikely. Therefore, long-term </w:t>
      </w:r>
      <w:r w:rsidR="00416AE1">
        <w:t>adviser</w:t>
      </w:r>
      <w:r w:rsidR="00F70142" w:rsidRPr="00F70142">
        <w:t>s offer a cost-effective solution</w:t>
      </w:r>
      <w:r w:rsidR="00DB3850">
        <w:t>,</w:t>
      </w:r>
      <w:r w:rsidR="00F70142" w:rsidRPr="00F70142">
        <w:t xml:space="preserve"> compared to hiring multiple short-term advis</w:t>
      </w:r>
      <w:r w:rsidR="009914DA">
        <w:t>e</w:t>
      </w:r>
      <w:r w:rsidR="00F70142" w:rsidRPr="00F70142">
        <w:t>rs.</w:t>
      </w:r>
    </w:p>
    <w:p w14:paraId="5DB700C8" w14:textId="1ADF05CD" w:rsidR="003B7F09" w:rsidRPr="007A5F19" w:rsidRDefault="00D84549" w:rsidP="00D93E5B">
      <w:pPr>
        <w:pStyle w:val="Heading3nonumber"/>
      </w:pPr>
      <w:bookmarkStart w:id="48" w:name="_Toc195808970"/>
      <w:r w:rsidRPr="152412E2">
        <w:t>2.2 Value for money (VfM): Economy, Efficiency, Effectiveness, Ethics and Equity</w:t>
      </w:r>
      <w:bookmarkEnd w:id="48"/>
    </w:p>
    <w:p w14:paraId="595AA676" w14:textId="0AAF3377" w:rsidR="00C239CA" w:rsidRDefault="00C239CA" w:rsidP="00EB10D3">
      <w:pPr>
        <w:ind w:right="-68"/>
        <w:rPr>
          <w:rFonts w:ascii="Arial" w:eastAsia="Arial" w:hAnsi="Arial" w:cs="Arial"/>
          <w:szCs w:val="21"/>
        </w:rPr>
      </w:pPr>
      <w:bookmarkStart w:id="49" w:name="_Hlk191974476"/>
      <w:r>
        <w:rPr>
          <w:rFonts w:ascii="Arial" w:eastAsia="Arial" w:hAnsi="Arial" w:cs="Arial"/>
          <w:szCs w:val="21"/>
        </w:rPr>
        <w:t>Evidence from c</w:t>
      </w:r>
      <w:r w:rsidRPr="00C239CA">
        <w:rPr>
          <w:rFonts w:ascii="Arial" w:eastAsia="Arial" w:hAnsi="Arial" w:cs="Arial"/>
          <w:szCs w:val="21"/>
        </w:rPr>
        <w:t>onsultation</w:t>
      </w:r>
      <w:r>
        <w:rPr>
          <w:rFonts w:ascii="Arial" w:eastAsia="Arial" w:hAnsi="Arial" w:cs="Arial"/>
          <w:szCs w:val="21"/>
        </w:rPr>
        <w:t>s</w:t>
      </w:r>
      <w:r w:rsidRPr="00C239CA">
        <w:rPr>
          <w:rFonts w:ascii="Arial" w:eastAsia="Arial" w:hAnsi="Arial" w:cs="Arial"/>
          <w:szCs w:val="21"/>
        </w:rPr>
        <w:t xml:space="preserve"> </w:t>
      </w:r>
      <w:r>
        <w:rPr>
          <w:rFonts w:ascii="Arial" w:eastAsia="Arial" w:hAnsi="Arial" w:cs="Arial"/>
          <w:szCs w:val="21"/>
        </w:rPr>
        <w:t xml:space="preserve">is that PRES is providing </w:t>
      </w:r>
      <w:r w:rsidR="00DB3850" w:rsidRPr="00C239CA">
        <w:rPr>
          <w:rFonts w:ascii="Arial" w:eastAsia="Arial" w:hAnsi="Arial" w:cs="Arial"/>
          <w:szCs w:val="21"/>
        </w:rPr>
        <w:t>value for money</w:t>
      </w:r>
      <w:r w:rsidR="00DB3850">
        <w:rPr>
          <w:rFonts w:ascii="Arial" w:eastAsia="Arial" w:hAnsi="Arial" w:cs="Arial"/>
          <w:szCs w:val="21"/>
        </w:rPr>
        <w:t xml:space="preserve"> to </w:t>
      </w:r>
      <w:r>
        <w:rPr>
          <w:rFonts w:ascii="Arial" w:eastAsia="Arial" w:hAnsi="Arial" w:cs="Arial"/>
          <w:szCs w:val="21"/>
        </w:rPr>
        <w:t>DFAT</w:t>
      </w:r>
      <w:r w:rsidRPr="00C239CA">
        <w:rPr>
          <w:rFonts w:ascii="Arial" w:eastAsia="Arial" w:hAnsi="Arial" w:cs="Arial"/>
          <w:szCs w:val="21"/>
        </w:rPr>
        <w:t>.</w:t>
      </w:r>
      <w:r>
        <w:rPr>
          <w:rFonts w:ascii="Arial" w:eastAsia="Arial" w:hAnsi="Arial" w:cs="Arial"/>
          <w:szCs w:val="21"/>
        </w:rPr>
        <w:t xml:space="preserve"> Primarily, this is achieved through reduced costs (both monetary and time)</w:t>
      </w:r>
      <w:r w:rsidRPr="00C239CA">
        <w:rPr>
          <w:rFonts w:ascii="Arial" w:eastAsia="Arial" w:hAnsi="Arial" w:cs="Arial"/>
          <w:szCs w:val="21"/>
        </w:rPr>
        <w:t xml:space="preserve"> associated with the</w:t>
      </w:r>
      <w:r>
        <w:rPr>
          <w:rFonts w:ascii="Arial" w:eastAsia="Arial" w:hAnsi="Arial" w:cs="Arial"/>
          <w:szCs w:val="21"/>
        </w:rPr>
        <w:t xml:space="preserve"> reduced</w:t>
      </w:r>
      <w:r w:rsidRPr="00C239CA">
        <w:rPr>
          <w:rFonts w:ascii="Arial" w:eastAsia="Arial" w:hAnsi="Arial" w:cs="Arial"/>
          <w:szCs w:val="21"/>
        </w:rPr>
        <w:t xml:space="preserve"> burden of </w:t>
      </w:r>
      <w:r>
        <w:rPr>
          <w:rFonts w:ascii="Arial" w:eastAsia="Arial" w:hAnsi="Arial" w:cs="Arial"/>
          <w:szCs w:val="21"/>
        </w:rPr>
        <w:t>identifying, engaging and managing technical specialist</w:t>
      </w:r>
      <w:r w:rsidRPr="00C239CA">
        <w:rPr>
          <w:rFonts w:ascii="Arial" w:eastAsia="Arial" w:hAnsi="Arial" w:cs="Arial"/>
          <w:szCs w:val="21"/>
        </w:rPr>
        <w:t xml:space="preserve"> consultations</w:t>
      </w:r>
      <w:r>
        <w:rPr>
          <w:rFonts w:ascii="Arial" w:eastAsia="Arial" w:hAnsi="Arial" w:cs="Arial"/>
          <w:szCs w:val="21"/>
        </w:rPr>
        <w:t xml:space="preserve"> compared with other mechanisms. </w:t>
      </w:r>
      <w:bookmarkEnd w:id="49"/>
      <w:r>
        <w:rPr>
          <w:rFonts w:ascii="Arial" w:eastAsia="Arial" w:hAnsi="Arial" w:cs="Arial"/>
          <w:szCs w:val="21"/>
        </w:rPr>
        <w:t xml:space="preserve">For example, some respondents noted it can be more efficient to find highly technical specialists than panels, due to the speed with which consultants can be engaged and </w:t>
      </w:r>
      <w:r w:rsidR="00844875">
        <w:rPr>
          <w:rFonts w:ascii="Arial" w:eastAsia="Arial" w:hAnsi="Arial" w:cs="Arial"/>
          <w:szCs w:val="21"/>
        </w:rPr>
        <w:t xml:space="preserve">because </w:t>
      </w:r>
      <w:r>
        <w:rPr>
          <w:rFonts w:ascii="Arial" w:eastAsia="Arial" w:hAnsi="Arial" w:cs="Arial"/>
          <w:szCs w:val="21"/>
        </w:rPr>
        <w:t>many panels are becoming increasingly generalist.</w:t>
      </w:r>
      <w:r w:rsidR="00202092">
        <w:rPr>
          <w:rFonts w:ascii="Arial" w:eastAsia="Arial" w:hAnsi="Arial" w:cs="Arial"/>
          <w:szCs w:val="21"/>
        </w:rPr>
        <w:t xml:space="preserve"> </w:t>
      </w:r>
      <w:r>
        <w:rPr>
          <w:rFonts w:ascii="Arial" w:eastAsia="Arial" w:hAnsi="Arial" w:cs="Arial"/>
          <w:szCs w:val="21"/>
        </w:rPr>
        <w:t xml:space="preserve">This is consistent with </w:t>
      </w:r>
      <w:r w:rsidR="00422D90">
        <w:rPr>
          <w:rFonts w:ascii="Arial" w:eastAsia="Arial" w:hAnsi="Arial" w:cs="Arial"/>
          <w:szCs w:val="21"/>
        </w:rPr>
        <w:t xml:space="preserve">DFAT’s </w:t>
      </w:r>
      <w:r>
        <w:rPr>
          <w:rFonts w:ascii="Arial" w:eastAsia="Arial" w:hAnsi="Arial" w:cs="Arial"/>
          <w:szCs w:val="21"/>
        </w:rPr>
        <w:t xml:space="preserve">Partner Performance Assessment and </w:t>
      </w:r>
      <w:r w:rsidR="00412DFA">
        <w:rPr>
          <w:rFonts w:ascii="Arial" w:eastAsia="Arial" w:hAnsi="Arial" w:cs="Arial"/>
          <w:szCs w:val="21"/>
        </w:rPr>
        <w:t>TNAs</w:t>
      </w:r>
      <w:r w:rsidR="00422D90">
        <w:rPr>
          <w:rFonts w:ascii="Arial" w:eastAsia="Arial" w:hAnsi="Arial" w:cs="Arial"/>
          <w:szCs w:val="21"/>
        </w:rPr>
        <w:t>,</w:t>
      </w:r>
      <w:r>
        <w:rPr>
          <w:rFonts w:ascii="Arial" w:eastAsia="Arial" w:hAnsi="Arial" w:cs="Arial"/>
          <w:szCs w:val="21"/>
        </w:rPr>
        <w:t xml:space="preserve"> as outlined in the </w:t>
      </w:r>
      <w:r w:rsidR="00F623D6">
        <w:rPr>
          <w:rFonts w:ascii="Arial" w:eastAsia="Arial" w:hAnsi="Arial" w:cs="Arial"/>
          <w:szCs w:val="21"/>
        </w:rPr>
        <w:t xml:space="preserve">PRES </w:t>
      </w:r>
      <w:r>
        <w:rPr>
          <w:rFonts w:ascii="Arial" w:eastAsia="Arial" w:hAnsi="Arial" w:cs="Arial"/>
          <w:szCs w:val="21"/>
        </w:rPr>
        <w:t xml:space="preserve">2024 Annual </w:t>
      </w:r>
      <w:r w:rsidR="00844875">
        <w:rPr>
          <w:rFonts w:ascii="Arial" w:eastAsia="Arial" w:hAnsi="Arial" w:cs="Arial"/>
          <w:szCs w:val="21"/>
        </w:rPr>
        <w:t>IMR</w:t>
      </w:r>
      <w:r>
        <w:rPr>
          <w:rFonts w:ascii="Arial" w:eastAsia="Arial" w:hAnsi="Arial" w:cs="Arial"/>
          <w:szCs w:val="21"/>
        </w:rPr>
        <w:t xml:space="preserve">, which both rated </w:t>
      </w:r>
      <w:r w:rsidR="00F623D6">
        <w:rPr>
          <w:rFonts w:ascii="Arial" w:eastAsia="Arial" w:hAnsi="Arial" w:cs="Arial"/>
          <w:szCs w:val="21"/>
        </w:rPr>
        <w:t xml:space="preserve">value for money </w:t>
      </w:r>
      <w:r w:rsidR="00844875">
        <w:rPr>
          <w:rFonts w:ascii="Arial" w:eastAsia="Arial" w:hAnsi="Arial" w:cs="Arial"/>
          <w:szCs w:val="21"/>
        </w:rPr>
        <w:t xml:space="preserve">as </w:t>
      </w:r>
      <w:r w:rsidR="00F623D6">
        <w:rPr>
          <w:rFonts w:ascii="Arial" w:eastAsia="Arial" w:hAnsi="Arial" w:cs="Arial"/>
          <w:szCs w:val="21"/>
        </w:rPr>
        <w:t>‘</w:t>
      </w:r>
      <w:r>
        <w:rPr>
          <w:rFonts w:ascii="Arial" w:eastAsia="Arial" w:hAnsi="Arial" w:cs="Arial"/>
          <w:szCs w:val="21"/>
        </w:rPr>
        <w:t>5</w:t>
      </w:r>
      <w:r w:rsidR="00F623D6">
        <w:rPr>
          <w:rFonts w:ascii="Arial" w:eastAsia="Arial" w:hAnsi="Arial" w:cs="Arial"/>
          <w:szCs w:val="21"/>
        </w:rPr>
        <w:t xml:space="preserve"> –</w:t>
      </w:r>
      <w:r>
        <w:rPr>
          <w:rFonts w:ascii="Arial" w:eastAsia="Arial" w:hAnsi="Arial" w:cs="Arial"/>
          <w:szCs w:val="21"/>
        </w:rPr>
        <w:t xml:space="preserve"> good</w:t>
      </w:r>
      <w:r w:rsidR="00F623D6">
        <w:rPr>
          <w:rFonts w:ascii="Arial" w:eastAsia="Arial" w:hAnsi="Arial" w:cs="Arial"/>
          <w:szCs w:val="21"/>
        </w:rPr>
        <w:t>’</w:t>
      </w:r>
      <w:r>
        <w:rPr>
          <w:rFonts w:ascii="Arial" w:eastAsia="Arial" w:hAnsi="Arial" w:cs="Arial"/>
          <w:szCs w:val="21"/>
        </w:rPr>
        <w:t xml:space="preserve">. </w:t>
      </w:r>
    </w:p>
    <w:p w14:paraId="622EF597" w14:textId="262DA619" w:rsidR="00560BF2" w:rsidRDefault="00A5753C" w:rsidP="00B85CF8">
      <w:pPr>
        <w:keepNext/>
      </w:pPr>
      <w:r w:rsidRPr="00A5753C">
        <w:rPr>
          <w:rFonts w:ascii="Arial" w:eastAsia="Arial" w:hAnsi="Arial" w:cs="Arial"/>
          <w:szCs w:val="21"/>
        </w:rPr>
        <w:t xml:space="preserve">The lean and effective structure of the PRES Core Team has </w:t>
      </w:r>
      <w:r>
        <w:rPr>
          <w:rFonts w:ascii="Arial" w:eastAsia="Arial" w:hAnsi="Arial" w:cs="Arial"/>
          <w:szCs w:val="21"/>
        </w:rPr>
        <w:t xml:space="preserve">also </w:t>
      </w:r>
      <w:r w:rsidRPr="00A5753C">
        <w:rPr>
          <w:rFonts w:ascii="Arial" w:eastAsia="Arial" w:hAnsi="Arial" w:cs="Arial"/>
          <w:szCs w:val="21"/>
        </w:rPr>
        <w:t>ensured value for money by efficiently providing administrative and strategic support, technical assistance across GEDSI, MEL, and PDFF, and fostering greater coherence among programs.</w:t>
      </w:r>
      <w:r w:rsidR="00350184">
        <w:rPr>
          <w:rFonts w:ascii="Arial" w:eastAsia="Arial" w:hAnsi="Arial" w:cs="Arial"/>
          <w:szCs w:val="21"/>
        </w:rPr>
        <w:t xml:space="preserve"> </w:t>
      </w:r>
      <w:r w:rsidR="003E2F26">
        <w:t xml:space="preserve">The PRES </w:t>
      </w:r>
      <w:r w:rsidR="00F623D6">
        <w:t xml:space="preserve">Value for Money (VfM) </w:t>
      </w:r>
      <w:r w:rsidR="003E2F26">
        <w:t xml:space="preserve">framework </w:t>
      </w:r>
      <w:r w:rsidR="00B35745">
        <w:t xml:space="preserve">defines </w:t>
      </w:r>
      <w:r w:rsidR="00F623D6">
        <w:t>value for money</w:t>
      </w:r>
      <w:r w:rsidR="00B35745">
        <w:t xml:space="preserve"> as </w:t>
      </w:r>
      <w:r w:rsidR="00F623D6">
        <w:t>‘g</w:t>
      </w:r>
      <w:r w:rsidR="00B35745" w:rsidRPr="00B35745">
        <w:t>ood resource use</w:t>
      </w:r>
      <w:r w:rsidR="00693FC8">
        <w:t>,</w:t>
      </w:r>
      <w:r w:rsidR="00B35745" w:rsidRPr="00B35745">
        <w:t xml:space="preserve"> which is justified by the benefits and value generated by the investment</w:t>
      </w:r>
      <w:r w:rsidR="00693FC8">
        <w:t>’</w:t>
      </w:r>
      <w:r w:rsidR="00B35745">
        <w:t xml:space="preserve"> and</w:t>
      </w:r>
      <w:r w:rsidR="00B35745" w:rsidRPr="00B35745">
        <w:t xml:space="preserve"> </w:t>
      </w:r>
      <w:r w:rsidR="003E2F26">
        <w:t xml:space="preserve">outlines </w:t>
      </w:r>
      <w:r w:rsidR="00B35745">
        <w:t>five</w:t>
      </w:r>
      <w:r w:rsidR="00560BF2">
        <w:t xml:space="preserve"> criteria</w:t>
      </w:r>
      <w:r w:rsidR="00844875">
        <w:t xml:space="preserve"> consistent with DFAT’s </w:t>
      </w:r>
      <w:r w:rsidR="00693FC8">
        <w:t xml:space="preserve">value for money </w:t>
      </w:r>
      <w:r w:rsidR="00844875">
        <w:t>criteria</w:t>
      </w:r>
      <w:r w:rsidR="00560BF2">
        <w:t xml:space="preserve">, and a series of sub-criteria in the assessment of </w:t>
      </w:r>
      <w:r w:rsidR="00693FC8">
        <w:t>value for money</w:t>
      </w:r>
      <w:r w:rsidR="00560BF2">
        <w:t>. These include:</w:t>
      </w:r>
    </w:p>
    <w:p w14:paraId="49BE481F" w14:textId="2C80324D" w:rsidR="00560BF2" w:rsidRDefault="00560BF2" w:rsidP="00B85CF8">
      <w:pPr>
        <w:pStyle w:val="ListNumber"/>
        <w:numPr>
          <w:ilvl w:val="0"/>
          <w:numId w:val="20"/>
        </w:numPr>
        <w:spacing w:before="120"/>
        <w:ind w:left="641" w:hanging="357"/>
      </w:pPr>
      <w:r>
        <w:t>Economy (Cost-</w:t>
      </w:r>
      <w:r w:rsidR="00E4153D">
        <w:t>consciousness</w:t>
      </w:r>
      <w:r>
        <w:t xml:space="preserve">, </w:t>
      </w:r>
      <w:proofErr w:type="gramStart"/>
      <w:r>
        <w:t>Encouraging</w:t>
      </w:r>
      <w:proofErr w:type="gramEnd"/>
      <w:r>
        <w:t xml:space="preserve"> competition, Enhancing linkages)</w:t>
      </w:r>
    </w:p>
    <w:p w14:paraId="0577B1F1" w14:textId="22420952" w:rsidR="00560BF2" w:rsidRDefault="00560BF2" w:rsidP="00B85CF8">
      <w:pPr>
        <w:pStyle w:val="ListNumber"/>
        <w:spacing w:before="120"/>
        <w:ind w:left="641" w:hanging="357"/>
      </w:pPr>
      <w:r>
        <w:t>Efficiency (Delivery, Budget management, Collaborative partnerships)</w:t>
      </w:r>
    </w:p>
    <w:p w14:paraId="6FE55763" w14:textId="0320435F" w:rsidR="00560BF2" w:rsidRDefault="00560BF2" w:rsidP="00B85CF8">
      <w:pPr>
        <w:pStyle w:val="ListNumber"/>
        <w:spacing w:before="120"/>
        <w:ind w:left="641" w:hanging="357"/>
      </w:pPr>
      <w:r>
        <w:t>Effectiveness (Results-focused, Achieving outcomes, Meeting needs, Adaptive approach)</w:t>
      </w:r>
    </w:p>
    <w:p w14:paraId="30A9953C" w14:textId="10E6EDDB" w:rsidR="00560BF2" w:rsidRDefault="00560BF2" w:rsidP="00B85CF8">
      <w:pPr>
        <w:pStyle w:val="ListNumber"/>
        <w:spacing w:before="120"/>
        <w:ind w:left="641" w:hanging="357"/>
      </w:pPr>
      <w:r>
        <w:t>Ethics (Accountability and transparency, Safeguarding)</w:t>
      </w:r>
    </w:p>
    <w:p w14:paraId="2EB07C97" w14:textId="527E0DE4" w:rsidR="00560BF2" w:rsidRDefault="00560BF2" w:rsidP="00B85CF8">
      <w:pPr>
        <w:pStyle w:val="ListNumber"/>
        <w:spacing w:before="120"/>
        <w:ind w:left="641" w:hanging="357"/>
      </w:pPr>
      <w:r>
        <w:t xml:space="preserve">Equity (GEDSI </w:t>
      </w:r>
      <w:r w:rsidR="00693FC8">
        <w:t xml:space="preserve">mainstreaming </w:t>
      </w:r>
      <w:r>
        <w:t>and targeting, Gender balance and pay equity, Workforce disability equity)</w:t>
      </w:r>
    </w:p>
    <w:p w14:paraId="5DEF2511" w14:textId="12BCBC19" w:rsidR="00560BF2" w:rsidRDefault="00560BF2" w:rsidP="004D7C91">
      <w:pPr>
        <w:pStyle w:val="Heading3nonumber"/>
      </w:pPr>
      <w:r w:rsidRPr="00560BF2">
        <w:t>Economy</w:t>
      </w:r>
    </w:p>
    <w:p w14:paraId="4FE15998" w14:textId="3021F426" w:rsidR="00BA2BFB" w:rsidRDefault="00BA2BFB" w:rsidP="00BA2BFB">
      <w:r>
        <w:t xml:space="preserve">Evidence from consultations indicates that PRES has made effort to </w:t>
      </w:r>
      <w:r w:rsidR="008F71D3">
        <w:t>provide</w:t>
      </w:r>
      <w:r>
        <w:t xml:space="preserve"> detailed costings for technical advice and evidence-based justifications for adviser fees.</w:t>
      </w:r>
      <w:r w:rsidRPr="00532A39">
        <w:t xml:space="preserve"> </w:t>
      </w:r>
      <w:r>
        <w:t>This is consistent with the findings of the 2024 Annual Report, which found that 68</w:t>
      </w:r>
      <w:r w:rsidR="008C4EF4">
        <w:t xml:space="preserve">% </w:t>
      </w:r>
      <w:r>
        <w:t>of relevant taskings included detailed budgets, explanations of how the tasking addressed the principle of ‘encouraging competition</w:t>
      </w:r>
      <w:proofErr w:type="gramStart"/>
      <w:r>
        <w:t>’, and</w:t>
      </w:r>
      <w:proofErr w:type="gramEnd"/>
      <w:r>
        <w:t xml:space="preserve"> expected outputs and deliverables. This included improvement over the 2023-2024 reporting period, with 76</w:t>
      </w:r>
      <w:r w:rsidR="008C4EF4">
        <w:t xml:space="preserve">% </w:t>
      </w:r>
      <w:r>
        <w:t>recorded in the 2023-2024 Quarter 4.</w:t>
      </w:r>
    </w:p>
    <w:p w14:paraId="2597B3FB" w14:textId="07B458F5" w:rsidR="00142D22" w:rsidRDefault="00BA2BFB" w:rsidP="00142D22">
      <w:r>
        <w:t xml:space="preserve">Interviewees identified that substantial variations in consultant rates can exist. </w:t>
      </w:r>
      <w:r w:rsidR="008E7748">
        <w:t>PRES provides options for different consultants and requires consultants to justify their rates by providing previous invoices from other DFAT (or non-DFAT) work. Where rates appear high, PRES compares rates between consultants, and where applicable, requires evidence to justify higher rates. However, u</w:t>
      </w:r>
      <w:r w:rsidR="008E7748" w:rsidRPr="00703EE3">
        <w:t>ltimately, the decision regarding which consultants are engaged rests with DFAT.</w:t>
      </w:r>
      <w:r w:rsidR="00142D22" w:rsidRPr="00142D22">
        <w:t xml:space="preserve"> </w:t>
      </w:r>
      <w:r w:rsidR="00142D22">
        <w:t xml:space="preserve">Further transparency on rates and decision-making processes may be useful, including transparency about DFAT’s decision-making processes of why particular advisers are chosen </w:t>
      </w:r>
      <w:r w:rsidR="008F71D3">
        <w:t>over</w:t>
      </w:r>
      <w:r w:rsidR="00142D22">
        <w:t xml:space="preserve"> others</w:t>
      </w:r>
      <w:r w:rsidR="00595928">
        <w:t xml:space="preserve"> and a benchmarking exercise including consideration of GEDSI pay equity.</w:t>
      </w:r>
      <w:r w:rsidR="00595928" w:rsidRPr="00595928">
        <w:t xml:space="preserve"> </w:t>
      </w:r>
      <w:r w:rsidR="00595928" w:rsidRPr="001C72D8">
        <w:t>Discussions with PRES confirm that this work is already underway in 2025, including the</w:t>
      </w:r>
      <w:r w:rsidR="00595928">
        <w:t xml:space="preserve"> </w:t>
      </w:r>
      <w:r w:rsidR="00595928" w:rsidRPr="001C72D8">
        <w:t>comparison of minimum and maximum rates by sector and the tracking of advis</w:t>
      </w:r>
      <w:r w:rsidR="00595928">
        <w:t>e</w:t>
      </w:r>
      <w:r w:rsidR="00595928" w:rsidRPr="001C72D8">
        <w:t>r selection decision-making processes</w:t>
      </w:r>
      <w:r w:rsidR="00DB7E5B">
        <w:t>.</w:t>
      </w:r>
    </w:p>
    <w:p w14:paraId="47866D7B" w14:textId="43C9EA6C" w:rsidR="0092791E" w:rsidRDefault="00A9335F" w:rsidP="0092791E">
      <w:r>
        <w:t xml:space="preserve">Reflecting the importance of trust in the effectiveness of technical advisors engaged through PRES, consultations </w:t>
      </w:r>
      <w:r w:rsidR="004B6592">
        <w:t>confirmed</w:t>
      </w:r>
      <w:r>
        <w:t xml:space="preserve"> a </w:t>
      </w:r>
      <w:r w:rsidR="004B6592">
        <w:t xml:space="preserve">perception that </w:t>
      </w:r>
      <w:r w:rsidR="00DB7E5B">
        <w:t>DFAT relies heavily on preferred consultants.</w:t>
      </w:r>
      <w:r w:rsidR="00DB7E5B" w:rsidRPr="00E4153D">
        <w:t xml:space="preserve"> </w:t>
      </w:r>
      <w:r w:rsidR="004B6592">
        <w:t>This potentially</w:t>
      </w:r>
      <w:r w:rsidR="00DB7E5B">
        <w:t xml:space="preserve"> has implications for adviser diversity, such as Pacific Islander representation. </w:t>
      </w:r>
      <w:r w:rsidR="00DB7E5B" w:rsidRPr="00E4153D">
        <w:t xml:space="preserve">While </w:t>
      </w:r>
      <w:r w:rsidR="00DB7E5B">
        <w:t>PRES</w:t>
      </w:r>
      <w:r w:rsidR="00DB7E5B" w:rsidRPr="00E4153D">
        <w:t xml:space="preserve"> </w:t>
      </w:r>
      <w:r w:rsidR="00DB7E5B">
        <w:t xml:space="preserve">is </w:t>
      </w:r>
      <w:r w:rsidR="00F4347C">
        <w:t xml:space="preserve">making </w:t>
      </w:r>
      <w:r w:rsidR="00DB7E5B" w:rsidRPr="00E4153D">
        <w:lastRenderedPageBreak/>
        <w:t xml:space="preserve">efforts to mitigate </w:t>
      </w:r>
      <w:r w:rsidR="00F4347C">
        <w:t xml:space="preserve">the potential for </w:t>
      </w:r>
      <w:r w:rsidR="00DB7E5B" w:rsidRPr="00E4153D">
        <w:t>bias</w:t>
      </w:r>
      <w:r w:rsidR="00F4347C">
        <w:t xml:space="preserve"> in DFAT’s selection of advisers,</w:t>
      </w:r>
      <w:r w:rsidR="001979FF">
        <w:t xml:space="preserve"> </w:t>
      </w:r>
      <w:r w:rsidR="00DB7E5B">
        <w:t>the PRES Core Team does not have authority over the final recruitment decisions. As such</w:t>
      </w:r>
      <w:r w:rsidR="00DB7E5B" w:rsidRPr="00E4153D">
        <w:t>, potential risks remain</w:t>
      </w:r>
      <w:r w:rsidR="00DB7E5B">
        <w:t>, particularly when DFAT requests specific consultants and advisers.</w:t>
      </w:r>
      <w:r w:rsidR="0092791E">
        <w:t xml:space="preserve"> This evidence is consistent with PRES’ January 2025 internal value-for-money review, where PRES notes </w:t>
      </w:r>
      <w:r w:rsidR="0092791E" w:rsidRPr="00C0577C">
        <w:t xml:space="preserve">that </w:t>
      </w:r>
      <w:r w:rsidR="0092791E">
        <w:t>‘</w:t>
      </w:r>
      <w:r w:rsidR="0092791E" w:rsidRPr="00B85CF8">
        <w:t>TNs likely ‘generally’ state whether alternative candidates were considered in cases where DFAT requests a specific adviser, however it is important to ensure that DFAT specifically states this element when completing TNs</w:t>
      </w:r>
      <w:r w:rsidR="0092791E">
        <w:t>’</w:t>
      </w:r>
      <w:r w:rsidR="0092791E" w:rsidRPr="00C0577C">
        <w:t>.</w:t>
      </w:r>
    </w:p>
    <w:p w14:paraId="2B14DC0B" w14:textId="7D2912CE" w:rsidR="005551C5" w:rsidRPr="00B515EE" w:rsidRDefault="005551C5" w:rsidP="005551C5">
      <w:pPr>
        <w:pStyle w:val="Tealblocktext"/>
        <w:rPr>
          <w:b/>
          <w:bCs/>
          <w:lang w:eastAsia="en-GB"/>
        </w:rPr>
      </w:pPr>
      <w:r w:rsidRPr="00B515EE">
        <w:rPr>
          <w:b/>
          <w:bCs/>
          <w:lang w:eastAsia="en-GB"/>
        </w:rPr>
        <w:t>Recommendation 2.</w:t>
      </w:r>
      <w:r>
        <w:rPr>
          <w:b/>
          <w:bCs/>
          <w:lang w:eastAsia="en-GB"/>
        </w:rPr>
        <w:t>3</w:t>
      </w:r>
      <w:r w:rsidRPr="00B515EE">
        <w:rPr>
          <w:b/>
          <w:bCs/>
          <w:lang w:eastAsia="en-GB"/>
        </w:rPr>
        <w:t xml:space="preserve"> (Short term</w:t>
      </w:r>
      <w:r>
        <w:rPr>
          <w:b/>
          <w:bCs/>
          <w:lang w:eastAsia="en-GB"/>
        </w:rPr>
        <w:t xml:space="preserve"> </w:t>
      </w:r>
      <w:r w:rsidRPr="00B515EE">
        <w:rPr>
          <w:b/>
          <w:bCs/>
          <w:lang w:eastAsia="en-GB"/>
        </w:rPr>
        <w:t>/</w:t>
      </w:r>
      <w:r>
        <w:rPr>
          <w:b/>
          <w:bCs/>
          <w:lang w:eastAsia="en-GB"/>
        </w:rPr>
        <w:t xml:space="preserve"> </w:t>
      </w:r>
      <w:r w:rsidRPr="00B515EE">
        <w:rPr>
          <w:b/>
          <w:bCs/>
          <w:lang w:eastAsia="en-GB"/>
        </w:rPr>
        <w:t xml:space="preserve">Operational) </w:t>
      </w:r>
      <w:r w:rsidRPr="00604916">
        <w:rPr>
          <w:lang w:eastAsia="en-GB"/>
        </w:rPr>
        <w:t xml:space="preserve">DFAT </w:t>
      </w:r>
      <w:r>
        <w:rPr>
          <w:lang w:eastAsia="en-GB"/>
        </w:rPr>
        <w:t>should</w:t>
      </w:r>
      <w:r w:rsidRPr="00604916">
        <w:rPr>
          <w:lang w:eastAsia="en-GB"/>
        </w:rPr>
        <w:t xml:space="preserve"> enhanc</w:t>
      </w:r>
      <w:r>
        <w:rPr>
          <w:lang w:eastAsia="en-GB"/>
        </w:rPr>
        <w:t>e</w:t>
      </w:r>
      <w:r w:rsidRPr="00604916">
        <w:rPr>
          <w:lang w:eastAsia="en-GB"/>
        </w:rPr>
        <w:t xml:space="preserve"> transparency in its advis</w:t>
      </w:r>
      <w:r>
        <w:rPr>
          <w:lang w:eastAsia="en-GB"/>
        </w:rPr>
        <w:t>e</w:t>
      </w:r>
      <w:r w:rsidRPr="00604916">
        <w:rPr>
          <w:lang w:eastAsia="en-GB"/>
        </w:rPr>
        <w:t>r selection process by providing clear justification</w:t>
      </w:r>
      <w:r>
        <w:rPr>
          <w:lang w:eastAsia="en-GB"/>
        </w:rPr>
        <w:t xml:space="preserve">s for the selection of advisers, </w:t>
      </w:r>
      <w:r w:rsidRPr="00661783">
        <w:rPr>
          <w:lang w:eastAsia="en-GB"/>
        </w:rPr>
        <w:t xml:space="preserve">with the aims of achieving value for money, equitable consultant </w:t>
      </w:r>
      <w:proofErr w:type="gramStart"/>
      <w:r w:rsidRPr="00661783">
        <w:rPr>
          <w:lang w:eastAsia="en-GB"/>
        </w:rPr>
        <w:t>pay</w:t>
      </w:r>
      <w:proofErr w:type="gramEnd"/>
      <w:r w:rsidRPr="00661783">
        <w:rPr>
          <w:lang w:eastAsia="en-GB"/>
        </w:rPr>
        <w:t>, and ongoing progress in advisor diversity.</w:t>
      </w:r>
    </w:p>
    <w:p w14:paraId="1FB9B352" w14:textId="06E5D544" w:rsidR="00F0266F" w:rsidRDefault="00680D82" w:rsidP="00497EE7">
      <w:r w:rsidRPr="00680D82">
        <w:t>A</w:t>
      </w:r>
      <w:r w:rsidR="00C86163">
        <w:t xml:space="preserve">n </w:t>
      </w:r>
      <w:r w:rsidR="005551C5">
        <w:t xml:space="preserve">additional </w:t>
      </w:r>
      <w:r w:rsidR="00C86163">
        <w:t>issue</w:t>
      </w:r>
      <w:r w:rsidRPr="00680D82">
        <w:t xml:space="preserve"> raised in consultations </w:t>
      </w:r>
      <w:r w:rsidR="00C86163">
        <w:t xml:space="preserve">was </w:t>
      </w:r>
      <w:r w:rsidRPr="00680D82">
        <w:t xml:space="preserve">the </w:t>
      </w:r>
      <w:r w:rsidR="00C86163">
        <w:t xml:space="preserve">application of </w:t>
      </w:r>
      <w:r w:rsidRPr="00680D82">
        <w:t>multiple layers of management fees</w:t>
      </w:r>
      <w:r w:rsidR="00C86163">
        <w:t xml:space="preserve"> </w:t>
      </w:r>
      <w:proofErr w:type="gramStart"/>
      <w:r w:rsidR="00C86163">
        <w:t>as a result of</w:t>
      </w:r>
      <w:proofErr w:type="gramEnd"/>
      <w:r w:rsidR="00C86163">
        <w:t xml:space="preserve"> PRES </w:t>
      </w:r>
      <w:r w:rsidR="005551C5">
        <w:t>subcontracting</w:t>
      </w:r>
      <w:r w:rsidRPr="00680D82">
        <w:t>.</w:t>
      </w:r>
      <w:r>
        <w:t xml:space="preserve"> </w:t>
      </w:r>
      <w:r w:rsidR="00C86163">
        <w:t>I</w:t>
      </w:r>
      <w:r w:rsidR="00C4618A" w:rsidRPr="00FB7C94">
        <w:t>t has been suggested that this is rare, and where this occurs</w:t>
      </w:r>
      <w:r w:rsidR="00C0577C">
        <w:t>,</w:t>
      </w:r>
      <w:r w:rsidR="00C4618A" w:rsidRPr="00FB7C94">
        <w:t xml:space="preserve"> it can be due to the very technical nature of the work</w:t>
      </w:r>
      <w:r w:rsidR="00C0577C">
        <w:t>,</w:t>
      </w:r>
      <w:r w:rsidR="00C4618A" w:rsidRPr="00FB7C94">
        <w:t xml:space="preserve"> where finding an individual consultant can be difficult.</w:t>
      </w:r>
      <w:r w:rsidR="00F0266F">
        <w:t xml:space="preserve"> PRES indicates</w:t>
      </w:r>
      <w:r w:rsidR="007F0283">
        <w:t xml:space="preserve"> that a limited number of </w:t>
      </w:r>
      <w:r w:rsidR="009914DA">
        <w:t>adviser</w:t>
      </w:r>
      <w:r w:rsidR="007F0283">
        <w:t xml:space="preserve">s have management fees and only </w:t>
      </w:r>
      <w:r w:rsidR="007224BE">
        <w:t xml:space="preserve">two independent </w:t>
      </w:r>
      <w:r w:rsidR="009914DA">
        <w:t>adviser</w:t>
      </w:r>
      <w:r w:rsidR="007224BE">
        <w:t xml:space="preserve">s </w:t>
      </w:r>
      <w:r w:rsidR="00ED790E">
        <w:t xml:space="preserve">split these out from their daily rates. </w:t>
      </w:r>
      <w:r w:rsidR="00035D50">
        <w:t xml:space="preserve">For companies, </w:t>
      </w:r>
      <w:r w:rsidR="00BE63E0">
        <w:t xml:space="preserve">one subcontractor </w:t>
      </w:r>
      <w:r w:rsidR="00E006EA">
        <w:t>identifies management fees,</w:t>
      </w:r>
      <w:r w:rsidR="003F44EC">
        <w:t xml:space="preserve"> the others do not</w:t>
      </w:r>
      <w:r w:rsidR="00F02C21">
        <w:t xml:space="preserve">, but </w:t>
      </w:r>
      <w:r w:rsidR="006408C9">
        <w:t>PRES has</w:t>
      </w:r>
      <w:r w:rsidR="00F02C21">
        <w:t xml:space="preserve"> determined from rates </w:t>
      </w:r>
      <w:r w:rsidR="00850BA7">
        <w:t xml:space="preserve">and negotiations that </w:t>
      </w:r>
      <w:r w:rsidR="00F60B6D">
        <w:t>management fee</w:t>
      </w:r>
      <w:r w:rsidR="00ED6B12">
        <w:t>s</w:t>
      </w:r>
      <w:r w:rsidR="00F60B6D">
        <w:t xml:space="preserve"> </w:t>
      </w:r>
      <w:r w:rsidR="00ED6B12">
        <w:t>are</w:t>
      </w:r>
      <w:r w:rsidR="00F60B6D">
        <w:t xml:space="preserve"> being billed. </w:t>
      </w:r>
      <w:r w:rsidR="008F5B2F">
        <w:t>They also note that in many instances, the</w:t>
      </w:r>
      <w:r w:rsidR="00614B5A" w:rsidRPr="00614B5A">
        <w:t xml:space="preserve"> rates of those advisers</w:t>
      </w:r>
      <w:r w:rsidR="00C0577C">
        <w:t xml:space="preserve"> </w:t>
      </w:r>
      <w:r w:rsidR="00614B5A" w:rsidRPr="00614B5A">
        <w:t>/</w:t>
      </w:r>
      <w:r w:rsidR="00C0577C">
        <w:t xml:space="preserve"> </w:t>
      </w:r>
      <w:r w:rsidR="00614B5A" w:rsidRPr="00614B5A">
        <w:t xml:space="preserve">subcontractors with management fees that are transparently included are not the highest </w:t>
      </w:r>
      <w:r w:rsidR="00E702FE">
        <w:t>rates paid in</w:t>
      </w:r>
      <w:r w:rsidR="00614B5A" w:rsidRPr="00614B5A">
        <w:t xml:space="preserve"> respective sectors.</w:t>
      </w:r>
    </w:p>
    <w:p w14:paraId="4C6FF405" w14:textId="2879A7B1" w:rsidR="00C4618A" w:rsidRPr="00FB7C94" w:rsidRDefault="003638A3" w:rsidP="00497EE7">
      <w:r>
        <w:t>The issue of multiple payments of management fees is complex</w:t>
      </w:r>
      <w:r w:rsidR="00550029">
        <w:t xml:space="preserve"> and is not specific to PRES.</w:t>
      </w:r>
      <w:r w:rsidR="00B0109C" w:rsidRPr="00B0109C">
        <w:t xml:space="preserve"> Limiting management fees for short-term </w:t>
      </w:r>
      <w:r w:rsidR="009914DA">
        <w:t>adviser</w:t>
      </w:r>
      <w:r w:rsidR="00B0109C" w:rsidRPr="00B0109C">
        <w:t>s, especially in skill-shortage areas, may unintentionally limit access to speciali</w:t>
      </w:r>
      <w:r w:rsidR="00B0109C">
        <w:t>s</w:t>
      </w:r>
      <w:r w:rsidR="00B0109C" w:rsidRPr="00B0109C">
        <w:t xml:space="preserve">ed </w:t>
      </w:r>
      <w:r w:rsidR="00FD2E02">
        <w:t>organisation-based</w:t>
      </w:r>
      <w:r w:rsidR="00815A49">
        <w:t xml:space="preserve"> </w:t>
      </w:r>
      <w:r w:rsidR="00B0109C" w:rsidRPr="00B0109C">
        <w:t xml:space="preserve">technical experts. In such cases, the value of acquiring this expertise likely justifies the incremental cost. However, for long-term or embedded </w:t>
      </w:r>
      <w:r w:rsidR="009914DA">
        <w:t>adviser</w:t>
      </w:r>
      <w:r w:rsidR="00B0109C" w:rsidRPr="00B0109C">
        <w:t>s, more cost-effective contracting practices should be implemented</w:t>
      </w:r>
      <w:r w:rsidR="00C4618A" w:rsidRPr="00FB7C94">
        <w:t xml:space="preserve">. </w:t>
      </w:r>
      <w:r w:rsidR="0024242E">
        <w:t>Any future design should consider the issue of</w:t>
      </w:r>
      <w:r w:rsidR="001E2604">
        <w:t xml:space="preserve"> efficiency in management fees</w:t>
      </w:r>
      <w:r w:rsidR="005530C9">
        <w:t xml:space="preserve"> and consider structures </w:t>
      </w:r>
      <w:r w:rsidR="008B142D">
        <w:t>that reduce</w:t>
      </w:r>
      <w:r w:rsidR="00C530CB">
        <w:t xml:space="preserve"> layers of </w:t>
      </w:r>
      <w:r w:rsidR="00E94F32">
        <w:t xml:space="preserve">sub-contractor </w:t>
      </w:r>
      <w:r w:rsidR="00C530CB">
        <w:t xml:space="preserve">management fees. </w:t>
      </w:r>
      <w:r w:rsidR="005530C9" w:rsidRPr="00FB7C94" w:rsidDel="005530C9">
        <w:t xml:space="preserve"> </w:t>
      </w:r>
    </w:p>
    <w:p w14:paraId="2098B201" w14:textId="00D5FB88" w:rsidR="00560BF2" w:rsidRDefault="00560BF2" w:rsidP="00560BF2">
      <w:r>
        <w:t>In terms of enhancing linkages</w:t>
      </w:r>
      <w:r w:rsidR="008A505D">
        <w:t xml:space="preserve"> across PEB</w:t>
      </w:r>
      <w:r>
        <w:t>,</w:t>
      </w:r>
      <w:r w:rsidR="003E7758">
        <w:t xml:space="preserve"> the </w:t>
      </w:r>
      <w:r w:rsidR="00A73A2F">
        <w:t xml:space="preserve">VfM framework </w:t>
      </w:r>
      <w:r w:rsidR="00280E1C">
        <w:t>defines</w:t>
      </w:r>
      <w:r w:rsidR="00A73A2F">
        <w:t xml:space="preserve"> </w:t>
      </w:r>
      <w:r w:rsidR="00280E1C">
        <w:t>‘</w:t>
      </w:r>
      <w:r w:rsidR="007A5A81">
        <w:t>excellent performance</w:t>
      </w:r>
      <w:r w:rsidR="00280E1C">
        <w:t>’</w:t>
      </w:r>
      <w:r w:rsidR="007A5A81">
        <w:t xml:space="preserve"> as PRES working with DFAT to consistently identify </w:t>
      </w:r>
      <w:r w:rsidR="00462973">
        <w:t>other relevant work being undertaken by PEB and</w:t>
      </w:r>
      <w:r w:rsidR="00280E1C">
        <w:t>,</w:t>
      </w:r>
      <w:r w:rsidR="00462973">
        <w:t xml:space="preserve"> where possible</w:t>
      </w:r>
      <w:r w:rsidR="00280E1C">
        <w:t>,</w:t>
      </w:r>
      <w:r w:rsidR="00462973">
        <w:t xml:space="preserve"> enhancing program linkages. C</w:t>
      </w:r>
      <w:r>
        <w:t xml:space="preserve">onsultations revealed that this can be challenging due to the </w:t>
      </w:r>
      <w:r w:rsidR="00353D09">
        <w:t xml:space="preserve">independent </w:t>
      </w:r>
      <w:r w:rsidR="005B75C2">
        <w:t>manner</w:t>
      </w:r>
      <w:r>
        <w:t xml:space="preserve"> of working between various DFAT sections. As an external program, PRES faces </w:t>
      </w:r>
      <w:r w:rsidR="009665D4">
        <w:t xml:space="preserve">various levels of buy-in with different sections and </w:t>
      </w:r>
      <w:r>
        <w:t>information limitations</w:t>
      </w:r>
      <w:r w:rsidR="00280E1C">
        <w:t>,</w:t>
      </w:r>
      <w:r>
        <w:t xml:space="preserve"> which make it difficult to synthesi</w:t>
      </w:r>
      <w:r w:rsidR="00F51EF6">
        <w:t>s</w:t>
      </w:r>
      <w:r>
        <w:t>e findings</w:t>
      </w:r>
      <w:r w:rsidR="009665D4">
        <w:t xml:space="preserve"> to enhance linkages across PEB and/or with other programs.</w:t>
      </w:r>
    </w:p>
    <w:p w14:paraId="0B6E3023" w14:textId="407537BC" w:rsidR="005B4937" w:rsidRDefault="00903AD3" w:rsidP="00A77C3E">
      <w:pPr>
        <w:rPr>
          <w:rFonts w:ascii="Arial" w:hAnsi="Arial" w:cs="Arial"/>
          <w:szCs w:val="21"/>
          <w:lang w:eastAsia="en-GB"/>
        </w:rPr>
      </w:pPr>
      <w:r w:rsidRPr="00A77C3E">
        <w:t>It</w:t>
      </w:r>
      <w:r w:rsidR="009665D4" w:rsidRPr="00A77C3E">
        <w:t xml:space="preserve"> is unclear what intended scope of enhancing linkages </w:t>
      </w:r>
      <w:r w:rsidRPr="00A77C3E">
        <w:t>wa</w:t>
      </w:r>
      <w:r w:rsidR="009665D4" w:rsidRPr="00A77C3E">
        <w:t xml:space="preserve">s. As such, the evaluation identified a need for greater clarity about what success looks like for enhancing linkages. </w:t>
      </w:r>
      <w:r w:rsidR="00D131D3" w:rsidRPr="00A77C3E">
        <w:rPr>
          <w:rFonts w:ascii="Arial" w:hAnsi="Arial" w:cs="Arial"/>
          <w:szCs w:val="21"/>
          <w:lang w:eastAsia="en-GB"/>
        </w:rPr>
        <w:t xml:space="preserve">Any future design should consider the role of PRES in enhancing linkages </w:t>
      </w:r>
      <w:r w:rsidR="00A77C3E" w:rsidRPr="00A77C3E">
        <w:rPr>
          <w:rFonts w:ascii="Arial" w:hAnsi="Arial" w:cs="Arial"/>
          <w:szCs w:val="21"/>
          <w:lang w:eastAsia="en-GB"/>
        </w:rPr>
        <w:t>when reconsidering the EOIOs</w:t>
      </w:r>
      <w:r w:rsidR="00DD00A8">
        <w:rPr>
          <w:rFonts w:ascii="Arial" w:hAnsi="Arial" w:cs="Arial"/>
          <w:szCs w:val="21"/>
          <w:lang w:eastAsia="en-GB"/>
        </w:rPr>
        <w:t xml:space="preserve"> and </w:t>
      </w:r>
      <w:r w:rsidR="006F2038">
        <w:rPr>
          <w:rFonts w:ascii="Arial" w:hAnsi="Arial" w:cs="Arial"/>
          <w:szCs w:val="21"/>
          <w:lang w:eastAsia="en-GB"/>
        </w:rPr>
        <w:t xml:space="preserve">the </w:t>
      </w:r>
      <w:r w:rsidR="00DD00A8">
        <w:rPr>
          <w:rFonts w:ascii="Arial" w:hAnsi="Arial" w:cs="Arial"/>
          <w:szCs w:val="21"/>
          <w:lang w:eastAsia="en-GB"/>
        </w:rPr>
        <w:t xml:space="preserve">VfM framework. </w:t>
      </w:r>
      <w:r w:rsidR="00A77C3E">
        <w:rPr>
          <w:rFonts w:ascii="Arial" w:hAnsi="Arial" w:cs="Arial"/>
          <w:szCs w:val="21"/>
          <w:lang w:eastAsia="en-GB"/>
        </w:rPr>
        <w:t xml:space="preserve"> </w:t>
      </w:r>
    </w:p>
    <w:p w14:paraId="460C522C" w14:textId="2DC811D5" w:rsidR="005B4937" w:rsidRPr="009029BE" w:rsidRDefault="005B4937" w:rsidP="005B4937">
      <w:pPr>
        <w:pStyle w:val="Tealblocktext"/>
        <w:rPr>
          <w:b/>
          <w:bCs/>
          <w:lang w:eastAsia="en-GB"/>
        </w:rPr>
      </w:pPr>
      <w:r w:rsidRPr="009029BE">
        <w:rPr>
          <w:b/>
          <w:bCs/>
          <w:lang w:eastAsia="en-GB"/>
        </w:rPr>
        <w:t>Recommendation 2.</w:t>
      </w:r>
      <w:r w:rsidR="007A6808">
        <w:rPr>
          <w:b/>
          <w:bCs/>
          <w:lang w:eastAsia="en-GB"/>
        </w:rPr>
        <w:t>4</w:t>
      </w:r>
      <w:r w:rsidRPr="009029BE">
        <w:rPr>
          <w:b/>
          <w:bCs/>
          <w:lang w:eastAsia="en-GB"/>
        </w:rPr>
        <w:t xml:space="preserve"> (</w:t>
      </w:r>
      <w:r w:rsidR="00633BDD">
        <w:rPr>
          <w:b/>
          <w:bCs/>
          <w:lang w:eastAsia="en-GB"/>
        </w:rPr>
        <w:t>Next phase</w:t>
      </w:r>
      <w:r w:rsidR="006F2038">
        <w:rPr>
          <w:b/>
          <w:bCs/>
          <w:lang w:eastAsia="en-GB"/>
        </w:rPr>
        <w:t xml:space="preserve"> </w:t>
      </w:r>
      <w:r w:rsidRPr="009029BE">
        <w:rPr>
          <w:b/>
          <w:bCs/>
          <w:lang w:eastAsia="en-GB"/>
        </w:rPr>
        <w:t>/</w:t>
      </w:r>
      <w:r w:rsidR="006F2038">
        <w:rPr>
          <w:b/>
          <w:bCs/>
          <w:lang w:eastAsia="en-GB"/>
        </w:rPr>
        <w:t xml:space="preserve"> </w:t>
      </w:r>
      <w:r w:rsidR="00633BDD">
        <w:rPr>
          <w:b/>
          <w:bCs/>
          <w:lang w:eastAsia="en-GB"/>
        </w:rPr>
        <w:t>Strategic</w:t>
      </w:r>
      <w:r w:rsidRPr="009029BE">
        <w:rPr>
          <w:b/>
          <w:bCs/>
          <w:lang w:eastAsia="en-GB"/>
        </w:rPr>
        <w:t>)</w:t>
      </w:r>
      <w:r w:rsidR="00633BDD">
        <w:rPr>
          <w:lang w:eastAsia="en-GB"/>
        </w:rPr>
        <w:t xml:space="preserve"> </w:t>
      </w:r>
      <w:r w:rsidR="00C704F7">
        <w:rPr>
          <w:lang w:eastAsia="en-GB"/>
        </w:rPr>
        <w:t>Any f</w:t>
      </w:r>
      <w:r w:rsidR="00C704F7" w:rsidRPr="00670581">
        <w:rPr>
          <w:lang w:eastAsia="en-GB"/>
        </w:rPr>
        <w:t xml:space="preserve">uture design (including any VfM framework refresh) should consider </w:t>
      </w:r>
      <w:r w:rsidR="00C704F7">
        <w:rPr>
          <w:lang w:eastAsia="en-GB"/>
        </w:rPr>
        <w:t>PRES’</w:t>
      </w:r>
      <w:r w:rsidR="00C704F7" w:rsidRPr="00670581">
        <w:rPr>
          <w:lang w:eastAsia="en-GB"/>
        </w:rPr>
        <w:t xml:space="preserve"> role and capacity to strengthen PEB linkages.</w:t>
      </w:r>
    </w:p>
    <w:p w14:paraId="75E6B39B" w14:textId="19481C60" w:rsidR="00560BF2" w:rsidRDefault="00560BF2" w:rsidP="004D7C91">
      <w:pPr>
        <w:pStyle w:val="Heading3nonumber"/>
      </w:pPr>
      <w:r w:rsidRPr="00560BF2">
        <w:t>E</w:t>
      </w:r>
      <w:r>
        <w:t>fficiency</w:t>
      </w:r>
    </w:p>
    <w:p w14:paraId="3A69232F" w14:textId="4143022D" w:rsidR="00F54EE8" w:rsidRDefault="00F54EE8" w:rsidP="00C4618A">
      <w:pPr>
        <w:keepNext/>
        <w:spacing w:before="240" w:after="120"/>
      </w:pPr>
      <w:r>
        <w:t xml:space="preserve">In terms of deliverables, consultation feedback is </w:t>
      </w:r>
      <w:r w:rsidR="00055A77">
        <w:t xml:space="preserve">that </w:t>
      </w:r>
      <w:r>
        <w:t>PRES quality is good and that DFAT is happy with consultant deliverables. This is consistent with m</w:t>
      </w:r>
      <w:r w:rsidRPr="152412E2">
        <w:t xml:space="preserve">onitoring data captured through TNAs, as presented in the 2024 </w:t>
      </w:r>
      <w:r w:rsidR="006C7984">
        <w:t>A</w:t>
      </w:r>
      <w:r w:rsidR="006C7984" w:rsidRPr="152412E2">
        <w:t xml:space="preserve">nnual </w:t>
      </w:r>
      <w:r w:rsidR="006C7984">
        <w:t>R</w:t>
      </w:r>
      <w:r w:rsidR="006C7984" w:rsidRPr="152412E2">
        <w:t>eport</w:t>
      </w:r>
      <w:r w:rsidRPr="152412E2">
        <w:t xml:space="preserve">, </w:t>
      </w:r>
      <w:r w:rsidR="00612147">
        <w:t>which</w:t>
      </w:r>
      <w:r w:rsidRPr="152412E2">
        <w:t xml:space="preserve"> found 96</w:t>
      </w:r>
      <w:r w:rsidR="008C4EF4">
        <w:t>%</w:t>
      </w:r>
      <w:r w:rsidR="00DB1F30" w:rsidRPr="152412E2">
        <w:t xml:space="preserve"> </w:t>
      </w:r>
      <w:r w:rsidRPr="152412E2">
        <w:t>(154</w:t>
      </w:r>
      <w:r w:rsidR="006C7984">
        <w:t xml:space="preserve"> out of </w:t>
      </w:r>
      <w:r w:rsidRPr="152412E2">
        <w:t xml:space="preserve">160) of ratings were </w:t>
      </w:r>
      <w:r w:rsidR="006C7984">
        <w:t>‘</w:t>
      </w:r>
      <w:r w:rsidRPr="152412E2">
        <w:t>adequate</w:t>
      </w:r>
      <w:r w:rsidR="006C7984">
        <w:t xml:space="preserve"> </w:t>
      </w:r>
      <w:r w:rsidRPr="152412E2">
        <w:t>/</w:t>
      </w:r>
      <w:r w:rsidR="006C7984">
        <w:t xml:space="preserve"> </w:t>
      </w:r>
      <w:r w:rsidRPr="152412E2">
        <w:t>satisfactory</w:t>
      </w:r>
      <w:r w:rsidR="006C7984">
        <w:t>’</w:t>
      </w:r>
      <w:r w:rsidRPr="152412E2">
        <w:t xml:space="preserve"> or above</w:t>
      </w:r>
      <w:r w:rsidR="006C7984">
        <w:t>,</w:t>
      </w:r>
      <w:r w:rsidRPr="152412E2">
        <w:t xml:space="preserve"> and 79</w:t>
      </w:r>
      <w:r w:rsidR="008C4EF4">
        <w:t xml:space="preserve">% </w:t>
      </w:r>
      <w:r w:rsidRPr="152412E2">
        <w:t xml:space="preserve">were </w:t>
      </w:r>
      <w:r w:rsidR="006C7984">
        <w:t>‘</w:t>
      </w:r>
      <w:r w:rsidRPr="152412E2">
        <w:t>good</w:t>
      </w:r>
      <w:r w:rsidR="006C7984">
        <w:t>’</w:t>
      </w:r>
      <w:r w:rsidRPr="152412E2">
        <w:t xml:space="preserve"> or </w:t>
      </w:r>
      <w:r w:rsidR="006C7984">
        <w:t>‘</w:t>
      </w:r>
      <w:r w:rsidRPr="152412E2">
        <w:t>very good</w:t>
      </w:r>
      <w:r w:rsidR="006C7984">
        <w:t>’</w:t>
      </w:r>
      <w:r w:rsidRPr="152412E2">
        <w:t xml:space="preserve">. Specifically, TNAs revealed the median response was 5 or </w:t>
      </w:r>
      <w:r w:rsidRPr="152412E2">
        <w:lastRenderedPageBreak/>
        <w:t xml:space="preserve">higher (good+) across all indicators: Quality, Timeliness, </w:t>
      </w:r>
      <w:r w:rsidR="009F6EC6">
        <w:t>Value for Money</w:t>
      </w:r>
      <w:r w:rsidRPr="152412E2">
        <w:t>, Communication, and Ease of Engaging</w:t>
      </w:r>
      <w:r>
        <w:t xml:space="preserve"> (see </w:t>
      </w:r>
      <w:r w:rsidR="009F6EC6">
        <w:t xml:space="preserve">Section </w:t>
      </w:r>
      <w:r>
        <w:t>1.1).</w:t>
      </w:r>
    </w:p>
    <w:p w14:paraId="36270B09" w14:textId="2BF77DB0" w:rsidR="00F54EE8" w:rsidRDefault="00F54EE8" w:rsidP="00B25F0A">
      <w:r>
        <w:t xml:space="preserve">In terms of </w:t>
      </w:r>
      <w:r w:rsidR="00B4008E">
        <w:t>the managing contractor</w:t>
      </w:r>
      <w:r>
        <w:t>’s role in deliverables, from consultations</w:t>
      </w:r>
      <w:r w:rsidR="009F6EC6">
        <w:t>,</w:t>
      </w:r>
      <w:r>
        <w:t xml:space="preserve"> the extent of </w:t>
      </w:r>
      <w:r w:rsidR="00B4008E">
        <w:t>the managing contractor</w:t>
      </w:r>
      <w:r w:rsidR="00051B94">
        <w:t>’</w:t>
      </w:r>
      <w:r w:rsidR="00B4008E">
        <w:t>s</w:t>
      </w:r>
      <w:r>
        <w:t xml:space="preserve"> involvement</w:t>
      </w:r>
      <w:r w:rsidR="00844CD8">
        <w:t xml:space="preserve"> in deliverables varies by </w:t>
      </w:r>
      <w:r w:rsidR="005372BC">
        <w:t>TN</w:t>
      </w:r>
      <w:r w:rsidR="00844CD8">
        <w:t xml:space="preserve">. In some cases </w:t>
      </w:r>
      <w:r w:rsidR="00294BC6">
        <w:t>– particularly where deliverables are highly specialised and/or DFAT chooses to work more directly with the contractor</w:t>
      </w:r>
      <w:r w:rsidR="005372BC">
        <w:t xml:space="preserve"> -</w:t>
      </w:r>
      <w:r w:rsidR="00294BC6">
        <w:t xml:space="preserve"> the extent of the managing contractor’s involvement</w:t>
      </w:r>
      <w:r>
        <w:t xml:space="preserve"> is</w:t>
      </w:r>
      <w:r w:rsidR="009A5A43">
        <w:t xml:space="preserve"> </w:t>
      </w:r>
      <w:r w:rsidR="003C743D">
        <w:t xml:space="preserve">very </w:t>
      </w:r>
      <w:r w:rsidR="009A5A43">
        <w:t>limited</w:t>
      </w:r>
      <w:r w:rsidR="00F81A7B" w:rsidRPr="00FB7C94">
        <w:t>.</w:t>
      </w:r>
      <w:r w:rsidR="00A64F24">
        <w:t xml:space="preserve"> </w:t>
      </w:r>
      <w:r w:rsidR="004C1211" w:rsidRPr="004C1211">
        <w:t>Consultations indicated that at least one section was hesitant to share final deliverables with</w:t>
      </w:r>
      <w:r w:rsidR="009853FE" w:rsidRPr="009853FE">
        <w:t xml:space="preserve"> </w:t>
      </w:r>
      <w:r w:rsidR="009853FE" w:rsidRPr="005808D4">
        <w:t>Adam Smith International</w:t>
      </w:r>
      <w:r w:rsidR="004C1211" w:rsidRPr="004C1211">
        <w:t>, citing concerns about data access and the perceived lack of value due to the reports' technical complexity.</w:t>
      </w:r>
      <w:bookmarkStart w:id="50" w:name="_Hlk195271155"/>
    </w:p>
    <w:p w14:paraId="309B3E15" w14:textId="18F5A276" w:rsidR="00BB1070" w:rsidRDefault="00BB1070" w:rsidP="00F54EE8">
      <w:r w:rsidRPr="003B4A49">
        <w:t>While PRES enables DFAT to work closely with contractors,</w:t>
      </w:r>
      <w:r>
        <w:t xml:space="preserve"> and this is seen as beneficial,</w:t>
      </w:r>
      <w:r w:rsidRPr="003B4A49">
        <w:t xml:space="preserve"> effective quality assurance requires coordination between DFAT and PRES. Consultation and documentation indicate that PRES may not consistently have direct oversight of deliverables or the speciali</w:t>
      </w:r>
      <w:r>
        <w:t>s</w:t>
      </w:r>
      <w:r w:rsidRPr="003B4A49">
        <w:t xml:space="preserve">ed technical expertise for quality assurance in all instances. </w:t>
      </w:r>
      <w:r>
        <w:t>However, a</w:t>
      </w:r>
      <w:r w:rsidRPr="003B4A49">
        <w:t xml:space="preserve">s the contractual link for individual deliverables is between the </w:t>
      </w:r>
      <w:r>
        <w:t xml:space="preserve">PRES </w:t>
      </w:r>
      <w:r w:rsidRPr="003B4A49">
        <w:t xml:space="preserve">managing contractor and the consultant, </w:t>
      </w:r>
      <w:r>
        <w:t>PRES</w:t>
      </w:r>
      <w:r w:rsidRPr="003B4A49">
        <w:t>' oversight and awareness</w:t>
      </w:r>
      <w:r>
        <w:t xml:space="preserve"> of deliverable quality</w:t>
      </w:r>
      <w:r w:rsidRPr="003B4A49">
        <w:t xml:space="preserve"> </w:t>
      </w:r>
      <w:r w:rsidR="00AD57E5">
        <w:t>is</w:t>
      </w:r>
      <w:r w:rsidRPr="003B4A49">
        <w:t xml:space="preserve"> therefore important for managing performance</w:t>
      </w:r>
      <w:r>
        <w:t>.</w:t>
      </w:r>
      <w:r w:rsidR="00E26874">
        <w:t xml:space="preserve"> </w:t>
      </w:r>
      <w:r w:rsidR="00124B36" w:rsidRPr="00124B36">
        <w:t xml:space="preserve">Consequently, to enable PRES to effectively quality assure as part of managing performance, DFAT must provide PRES with </w:t>
      </w:r>
      <w:r w:rsidR="0015637A">
        <w:t xml:space="preserve">any </w:t>
      </w:r>
      <w:r w:rsidR="00124B36" w:rsidRPr="00124B36">
        <w:t>necessary information regarding deliverable quality</w:t>
      </w:r>
      <w:r w:rsidR="00975E1C">
        <w:t xml:space="preserve"> </w:t>
      </w:r>
      <w:r w:rsidR="00BA37C8">
        <w:t>that relies on DFAT’s specific needs or expertise and where appropriate</w:t>
      </w:r>
      <w:r w:rsidR="00975E1C">
        <w:t xml:space="preserve"> </w:t>
      </w:r>
      <w:r w:rsidR="00721291">
        <w:t xml:space="preserve">ensure PRES has oversight </w:t>
      </w:r>
      <w:r w:rsidR="00975E1C">
        <w:t xml:space="preserve">of </w:t>
      </w:r>
      <w:r w:rsidR="00721291">
        <w:t xml:space="preserve">all </w:t>
      </w:r>
      <w:r w:rsidR="00975E1C">
        <w:t>deliverables</w:t>
      </w:r>
      <w:r w:rsidR="00124B36" w:rsidRPr="00124B36">
        <w:t>.</w:t>
      </w:r>
    </w:p>
    <w:p w14:paraId="7219224B" w14:textId="48D37276" w:rsidR="00F54EE8" w:rsidRPr="009029BE" w:rsidRDefault="00F54EE8" w:rsidP="004D7C91">
      <w:pPr>
        <w:pStyle w:val="Tealblocktext"/>
        <w:rPr>
          <w:b/>
          <w:bCs/>
          <w:lang w:eastAsia="en-GB"/>
        </w:rPr>
      </w:pPr>
      <w:r w:rsidRPr="009029BE">
        <w:rPr>
          <w:b/>
          <w:bCs/>
          <w:lang w:eastAsia="en-GB"/>
        </w:rPr>
        <w:t>Recommendation 2.</w:t>
      </w:r>
      <w:r w:rsidR="007A6808">
        <w:rPr>
          <w:b/>
          <w:bCs/>
          <w:lang w:eastAsia="en-GB"/>
        </w:rPr>
        <w:t>5</w:t>
      </w:r>
      <w:r w:rsidRPr="009029BE">
        <w:rPr>
          <w:b/>
          <w:bCs/>
          <w:lang w:eastAsia="en-GB"/>
        </w:rPr>
        <w:t xml:space="preserve"> </w:t>
      </w:r>
      <w:r w:rsidR="000E3D14" w:rsidRPr="009029BE">
        <w:rPr>
          <w:b/>
          <w:bCs/>
          <w:lang w:eastAsia="en-GB"/>
        </w:rPr>
        <w:t>(</w:t>
      </w:r>
      <w:r w:rsidR="006253EB" w:rsidRPr="009029BE">
        <w:rPr>
          <w:b/>
          <w:bCs/>
          <w:lang w:eastAsia="en-GB"/>
        </w:rPr>
        <w:t>Short term</w:t>
      </w:r>
      <w:r w:rsidR="004244A1">
        <w:rPr>
          <w:b/>
          <w:bCs/>
          <w:lang w:eastAsia="en-GB"/>
        </w:rPr>
        <w:t xml:space="preserve"> </w:t>
      </w:r>
      <w:r w:rsidR="00D147CA" w:rsidRPr="009029BE">
        <w:rPr>
          <w:b/>
          <w:bCs/>
          <w:lang w:eastAsia="en-GB"/>
        </w:rPr>
        <w:t>/</w:t>
      </w:r>
      <w:r w:rsidR="004244A1">
        <w:rPr>
          <w:b/>
          <w:bCs/>
          <w:lang w:eastAsia="en-GB"/>
        </w:rPr>
        <w:t xml:space="preserve"> </w:t>
      </w:r>
      <w:r w:rsidR="00D147CA" w:rsidRPr="009029BE">
        <w:rPr>
          <w:b/>
          <w:bCs/>
          <w:lang w:eastAsia="en-GB"/>
        </w:rPr>
        <w:t>O</w:t>
      </w:r>
      <w:r w:rsidR="006253EB" w:rsidRPr="009029BE">
        <w:rPr>
          <w:b/>
          <w:bCs/>
          <w:lang w:eastAsia="en-GB"/>
        </w:rPr>
        <w:t xml:space="preserve">perational) </w:t>
      </w:r>
      <w:r w:rsidR="007012D2" w:rsidRPr="00B045BE">
        <w:rPr>
          <w:lang w:eastAsia="en-GB"/>
        </w:rPr>
        <w:t>DFAT should ensure that all deliverables are quality assured</w:t>
      </w:r>
      <w:r w:rsidR="007012D2" w:rsidRPr="009029BE">
        <w:rPr>
          <w:lang w:eastAsia="en-GB"/>
        </w:rPr>
        <w:t xml:space="preserve"> </w:t>
      </w:r>
      <w:r w:rsidR="004076E0">
        <w:rPr>
          <w:lang w:eastAsia="en-GB"/>
        </w:rPr>
        <w:t xml:space="preserve">by </w:t>
      </w:r>
      <w:r w:rsidR="00B57A5F">
        <w:rPr>
          <w:lang w:eastAsia="en-GB"/>
        </w:rPr>
        <w:t>PRES</w:t>
      </w:r>
      <w:r w:rsidR="004076E0">
        <w:rPr>
          <w:lang w:eastAsia="en-GB"/>
        </w:rPr>
        <w:t xml:space="preserve"> </w:t>
      </w:r>
      <w:r w:rsidR="007012D2" w:rsidRPr="00B045BE">
        <w:rPr>
          <w:lang w:eastAsia="en-GB"/>
        </w:rPr>
        <w:t xml:space="preserve">and support the </w:t>
      </w:r>
      <w:r w:rsidR="00436392">
        <w:rPr>
          <w:lang w:eastAsia="en-GB"/>
        </w:rPr>
        <w:t xml:space="preserve">PRES </w:t>
      </w:r>
      <w:bookmarkEnd w:id="50"/>
      <w:r w:rsidR="007012D2" w:rsidRPr="00B045BE">
        <w:rPr>
          <w:lang w:eastAsia="en-GB"/>
        </w:rPr>
        <w:t>managing contractor in this process.</w:t>
      </w:r>
      <w:r w:rsidR="007012D2" w:rsidRPr="009029BE">
        <w:rPr>
          <w:b/>
          <w:bCs/>
          <w:lang w:eastAsia="en-GB"/>
        </w:rPr>
        <w:t xml:space="preserve">  </w:t>
      </w:r>
    </w:p>
    <w:p w14:paraId="7D410DC7" w14:textId="4D15CCAD" w:rsidR="00497EE7" w:rsidRDefault="00497EE7" w:rsidP="00497EE7">
      <w:r>
        <w:t xml:space="preserve">As the evaluation team had limited financial information on PRES, it was difficult to draw definitive conclusions on budget management. However, the 2024 Annual </w:t>
      </w:r>
      <w:r w:rsidR="002A0878">
        <w:t>IMR</w:t>
      </w:r>
      <w:r>
        <w:t xml:space="preserve"> identifie</w:t>
      </w:r>
      <w:r w:rsidR="007B69A8">
        <w:t>d</w:t>
      </w:r>
      <w:r>
        <w:t xml:space="preserve"> that PRES </w:t>
      </w:r>
      <w:r w:rsidR="00435C89">
        <w:t>‘</w:t>
      </w:r>
      <w:r w:rsidRPr="00497EE7">
        <w:t>demonstrated strong financial management, including proactive management of budgets for tasking notes and</w:t>
      </w:r>
      <w:r>
        <w:t xml:space="preserve"> </w:t>
      </w:r>
      <w:r w:rsidRPr="00497EE7">
        <w:t>detailed analysis of unexpensed funds, fortnightly contact with teams to determine upcoming tasking note demand</w:t>
      </w:r>
      <w:r w:rsidR="00435C89">
        <w:t>’</w:t>
      </w:r>
      <w:r w:rsidRPr="00497EE7">
        <w:t>.</w:t>
      </w:r>
      <w:r>
        <w:t xml:space="preserve"> </w:t>
      </w:r>
    </w:p>
    <w:p w14:paraId="69B79277" w14:textId="5F9A7CDB" w:rsidR="00560BF2" w:rsidRDefault="00560BF2" w:rsidP="00560BF2">
      <w:r>
        <w:t xml:space="preserve">For more information on PRES efficiency, see </w:t>
      </w:r>
      <w:r w:rsidR="00E87B3A">
        <w:t xml:space="preserve">Section </w:t>
      </w:r>
      <w:r>
        <w:t xml:space="preserve">2. </w:t>
      </w:r>
    </w:p>
    <w:p w14:paraId="32887225" w14:textId="41AECB17" w:rsidR="00560BF2" w:rsidRDefault="00560BF2" w:rsidP="004D7C91">
      <w:pPr>
        <w:pStyle w:val="Heading3nonumber"/>
      </w:pPr>
      <w:r>
        <w:t>Effectiveness</w:t>
      </w:r>
    </w:p>
    <w:p w14:paraId="1D423633" w14:textId="44B4D8AA" w:rsidR="00560BF2" w:rsidRPr="00560BF2" w:rsidRDefault="00982B7D" w:rsidP="00560BF2">
      <w:r>
        <w:t xml:space="preserve">Evidence suggests that PRES is effective and meeting DFAT needs. </w:t>
      </w:r>
      <w:r w:rsidR="00560BF2">
        <w:t xml:space="preserve">For more information on PRES effectiveness, see </w:t>
      </w:r>
      <w:r w:rsidR="00E87B3A">
        <w:t xml:space="preserve">Section </w:t>
      </w:r>
      <w:r w:rsidR="00560BF2">
        <w:t xml:space="preserve">1. </w:t>
      </w:r>
    </w:p>
    <w:p w14:paraId="6B3F730B" w14:textId="7110D55E" w:rsidR="00560BF2" w:rsidRDefault="00560BF2" w:rsidP="004D7C91">
      <w:pPr>
        <w:pStyle w:val="Heading3nonumber"/>
      </w:pPr>
      <w:r>
        <w:t>Ethics</w:t>
      </w:r>
    </w:p>
    <w:p w14:paraId="26B34017" w14:textId="06699AA0" w:rsidR="00166DDA" w:rsidRDefault="00B0021C" w:rsidP="00166DDA">
      <w:r w:rsidRPr="00B0021C">
        <w:t>Consultation feedback and documentation confirm that management and governance meetings are being conducted according to established schedules. However, a</w:t>
      </w:r>
      <w:r w:rsidR="007B31BE">
        <w:t>n</w:t>
      </w:r>
      <w:r w:rsidRPr="00B0021C">
        <w:t xml:space="preserve"> opportunity exists to enhance the strategic contribution of </w:t>
      </w:r>
      <w:r w:rsidR="000137E4">
        <w:t>the</w:t>
      </w:r>
      <w:r w:rsidR="00FE4DE5">
        <w:t xml:space="preserve"> PEB </w:t>
      </w:r>
      <w:r w:rsidR="00E87B3A">
        <w:t xml:space="preserve">sections </w:t>
      </w:r>
      <w:r w:rsidR="000137E4">
        <w:t xml:space="preserve">through </w:t>
      </w:r>
      <w:r w:rsidR="00E87B3A">
        <w:t xml:space="preserve">the </w:t>
      </w:r>
      <w:r w:rsidR="000137E4">
        <w:t xml:space="preserve">PAG and </w:t>
      </w:r>
      <w:r w:rsidR="00166DDA">
        <w:t>the PRES Working Group</w:t>
      </w:r>
      <w:r w:rsidRPr="00B0021C">
        <w:t xml:space="preserve">. Specifically, </w:t>
      </w:r>
      <w:r w:rsidR="00D705E0">
        <w:t>c</w:t>
      </w:r>
      <w:r w:rsidR="00D705E0" w:rsidRPr="00D705E0">
        <w:t xml:space="preserve">onsultations suggested an opportunity for greater </w:t>
      </w:r>
      <w:r w:rsidR="00D705E0">
        <w:t xml:space="preserve">PAG involvement and </w:t>
      </w:r>
      <w:r w:rsidR="00D705E0" w:rsidRPr="00D705E0">
        <w:t xml:space="preserve">participation in </w:t>
      </w:r>
      <w:r w:rsidR="002D65CE">
        <w:t>prioritisation processes (</w:t>
      </w:r>
      <w:r w:rsidR="001F63FE">
        <w:t xml:space="preserve">particularly </w:t>
      </w:r>
      <w:r w:rsidRPr="00B0021C">
        <w:t>during quarterly planning meetings</w:t>
      </w:r>
      <w:r w:rsidR="001F63FE">
        <w:t>)</w:t>
      </w:r>
      <w:r w:rsidRPr="00B0021C">
        <w:t xml:space="preserve">. </w:t>
      </w:r>
      <w:r w:rsidR="00E2583F">
        <w:t>C</w:t>
      </w:r>
      <w:r w:rsidR="000D087B">
        <w:t>oncern</w:t>
      </w:r>
      <w:r w:rsidR="00E2583F">
        <w:t xml:space="preserve"> was raised</w:t>
      </w:r>
      <w:r w:rsidR="000D087B">
        <w:t xml:space="preserve"> that </w:t>
      </w:r>
      <w:r w:rsidR="00E87B3A">
        <w:t xml:space="preserve">the </w:t>
      </w:r>
      <w:r w:rsidR="000D087B">
        <w:t>PAG has shifted</w:t>
      </w:r>
      <w:r w:rsidR="009D13F2">
        <w:t xml:space="preserve"> more</w:t>
      </w:r>
      <w:r w:rsidR="000D087B">
        <w:t xml:space="preserve"> towards</w:t>
      </w:r>
      <w:r w:rsidRPr="00B0021C">
        <w:t xml:space="preserve"> reporting and approval, rather than collaborative strategic development.</w:t>
      </w:r>
      <w:r w:rsidR="00166DDA">
        <w:t xml:space="preserve"> Consultations also revealed further opportunity for more members of the PRES Core Team to be directly involved in governance meetings. For example, attendance by the GEDSI advis</w:t>
      </w:r>
      <w:r w:rsidR="00575A2F">
        <w:t>e</w:t>
      </w:r>
      <w:r w:rsidR="00166DDA">
        <w:t>r would provide more opportunities for identification of strategic entry points for GEDSI work</w:t>
      </w:r>
      <w:r w:rsidR="00814E8C">
        <w:t xml:space="preserve"> (see </w:t>
      </w:r>
      <w:r w:rsidR="00E87B3A">
        <w:t xml:space="preserve">Section </w:t>
      </w:r>
      <w:r w:rsidR="00814E8C">
        <w:t xml:space="preserve">4). </w:t>
      </w:r>
    </w:p>
    <w:p w14:paraId="3EFF122C" w14:textId="1C5D9ACF" w:rsidR="00383C32" w:rsidRDefault="0078537B" w:rsidP="00E6007A">
      <w:r w:rsidRPr="0078537B">
        <w:t xml:space="preserve">Given that </w:t>
      </w:r>
      <w:r w:rsidR="00E87B3A">
        <w:t xml:space="preserve">the </w:t>
      </w:r>
      <w:r>
        <w:t xml:space="preserve">PAG </w:t>
      </w:r>
      <w:r w:rsidRPr="0078537B">
        <w:t xml:space="preserve">is intended to facilitate coordination between the </w:t>
      </w:r>
      <w:r>
        <w:t>PRES Core</w:t>
      </w:r>
      <w:r w:rsidRPr="0078537B">
        <w:t xml:space="preserve"> Team and </w:t>
      </w:r>
      <w:r>
        <w:t>OTP</w:t>
      </w:r>
      <w:r w:rsidRPr="0078537B">
        <w:t xml:space="preserve"> and provide strategic guidance, there may be opportunities to further align its function with strategic decision-making</w:t>
      </w:r>
      <w:r w:rsidR="00964743">
        <w:t xml:space="preserve"> and to </w:t>
      </w:r>
      <w:r w:rsidR="00DE35D9">
        <w:t xml:space="preserve">improve engagement of PEB </w:t>
      </w:r>
      <w:r w:rsidR="00E87B3A">
        <w:t xml:space="preserve">sections </w:t>
      </w:r>
      <w:r w:rsidR="00DE35D9">
        <w:t xml:space="preserve">with </w:t>
      </w:r>
      <w:r w:rsidR="00E87B3A">
        <w:t xml:space="preserve">the </w:t>
      </w:r>
      <w:r w:rsidR="00DE35D9">
        <w:t xml:space="preserve">PAG and the PRES </w:t>
      </w:r>
      <w:r w:rsidR="003100EA">
        <w:t>W</w:t>
      </w:r>
      <w:r w:rsidR="00DE35D9">
        <w:t xml:space="preserve">orking </w:t>
      </w:r>
      <w:r w:rsidR="003100EA">
        <w:t>G</w:t>
      </w:r>
      <w:r w:rsidR="00DE35D9">
        <w:t>roup.</w:t>
      </w:r>
      <w:r w:rsidR="002F26D1">
        <w:t xml:space="preserve"> </w:t>
      </w:r>
      <w:r w:rsidR="00E2583F">
        <w:t xml:space="preserve"> </w:t>
      </w:r>
      <w:r w:rsidR="00FC3DF1">
        <w:t xml:space="preserve"> </w:t>
      </w:r>
    </w:p>
    <w:p w14:paraId="09B71C6A" w14:textId="3C361C83" w:rsidR="004D584E" w:rsidRPr="009029BE" w:rsidRDefault="004D584E" w:rsidP="004D7C91">
      <w:pPr>
        <w:pStyle w:val="Tealblocktext"/>
        <w:rPr>
          <w:b/>
          <w:bCs/>
          <w:lang w:eastAsia="en-GB"/>
        </w:rPr>
      </w:pPr>
      <w:r w:rsidRPr="009029BE">
        <w:rPr>
          <w:b/>
          <w:bCs/>
          <w:lang w:eastAsia="en-GB"/>
        </w:rPr>
        <w:lastRenderedPageBreak/>
        <w:t xml:space="preserve"> Recommendation 2.</w:t>
      </w:r>
      <w:r w:rsidR="007A6808">
        <w:rPr>
          <w:b/>
          <w:bCs/>
          <w:lang w:eastAsia="en-GB"/>
        </w:rPr>
        <w:t>6</w:t>
      </w:r>
      <w:r w:rsidRPr="009029BE">
        <w:rPr>
          <w:b/>
          <w:bCs/>
          <w:lang w:eastAsia="en-GB"/>
        </w:rPr>
        <w:t xml:space="preserve"> </w:t>
      </w:r>
      <w:r w:rsidR="00222AE3" w:rsidRPr="009029BE">
        <w:rPr>
          <w:b/>
          <w:bCs/>
          <w:lang w:eastAsia="en-GB"/>
        </w:rPr>
        <w:t>(</w:t>
      </w:r>
      <w:r w:rsidR="004A48CF" w:rsidRPr="00B045BE">
        <w:rPr>
          <w:b/>
          <w:bCs/>
          <w:lang w:eastAsia="en-GB"/>
        </w:rPr>
        <w:t>Short term</w:t>
      </w:r>
      <w:r w:rsidR="00E87B3A">
        <w:rPr>
          <w:b/>
          <w:bCs/>
          <w:lang w:eastAsia="en-GB"/>
        </w:rPr>
        <w:t xml:space="preserve"> </w:t>
      </w:r>
      <w:r w:rsidR="004A48CF" w:rsidRPr="00B045BE">
        <w:rPr>
          <w:b/>
          <w:bCs/>
          <w:lang w:eastAsia="en-GB"/>
        </w:rPr>
        <w:t>/</w:t>
      </w:r>
      <w:r w:rsidR="00E87B3A">
        <w:rPr>
          <w:b/>
          <w:bCs/>
          <w:lang w:eastAsia="en-GB"/>
        </w:rPr>
        <w:t xml:space="preserve"> </w:t>
      </w:r>
      <w:r w:rsidR="004A48CF" w:rsidRPr="00B045BE">
        <w:rPr>
          <w:b/>
          <w:bCs/>
          <w:lang w:eastAsia="en-GB"/>
        </w:rPr>
        <w:t xml:space="preserve">Operational) </w:t>
      </w:r>
      <w:r w:rsidR="00E87B3A" w:rsidRPr="00B85CF8">
        <w:rPr>
          <w:lang w:eastAsia="en-GB"/>
        </w:rPr>
        <w:t xml:space="preserve">The </w:t>
      </w:r>
      <w:r w:rsidRPr="009029BE">
        <w:rPr>
          <w:lang w:eastAsia="en-GB"/>
        </w:rPr>
        <w:t xml:space="preserve">PAG should </w:t>
      </w:r>
      <w:r w:rsidR="003416B2" w:rsidRPr="009029BE">
        <w:rPr>
          <w:lang w:eastAsia="en-GB"/>
        </w:rPr>
        <w:t xml:space="preserve">actively participate in </w:t>
      </w:r>
      <w:r w:rsidR="00B65FA6" w:rsidRPr="009029BE">
        <w:rPr>
          <w:lang w:eastAsia="en-GB"/>
        </w:rPr>
        <w:t>prioritisation and strategic planning.</w:t>
      </w:r>
      <w:r w:rsidR="00B65FA6" w:rsidRPr="009029BE">
        <w:rPr>
          <w:b/>
          <w:bCs/>
          <w:lang w:eastAsia="en-GB"/>
        </w:rPr>
        <w:t xml:space="preserve"> </w:t>
      </w:r>
      <w:r w:rsidRPr="009029BE">
        <w:rPr>
          <w:b/>
          <w:bCs/>
          <w:lang w:eastAsia="en-GB"/>
        </w:rPr>
        <w:t xml:space="preserve"> </w:t>
      </w:r>
    </w:p>
    <w:p w14:paraId="185A01AF" w14:textId="28527578" w:rsidR="00560BF2" w:rsidRDefault="00560BF2" w:rsidP="004D7C91">
      <w:pPr>
        <w:pStyle w:val="Heading3nonumber"/>
      </w:pPr>
      <w:r>
        <w:t>Equity</w:t>
      </w:r>
    </w:p>
    <w:p w14:paraId="6B7ABD81" w14:textId="4E08B0E5" w:rsidR="00560BF2" w:rsidRPr="00560BF2" w:rsidRDefault="00DD21BE" w:rsidP="00DD21BE">
      <w:r w:rsidRPr="00DD21BE">
        <w:t>PRES is making significant effort to progress GEDSI and other equity outcomes.</w:t>
      </w:r>
      <w:r w:rsidR="00C4618A">
        <w:t xml:space="preserve"> </w:t>
      </w:r>
      <w:r w:rsidR="00560BF2">
        <w:t xml:space="preserve">For more information on PRES and equity, see </w:t>
      </w:r>
      <w:r w:rsidR="00E87B3A">
        <w:t xml:space="preserve">Section </w:t>
      </w:r>
      <w:r w:rsidR="00560BF2">
        <w:t xml:space="preserve">4. </w:t>
      </w:r>
    </w:p>
    <w:p w14:paraId="73AEF129" w14:textId="798B9CA1" w:rsidR="00D84549" w:rsidRDefault="00D84549" w:rsidP="00D93E5B">
      <w:pPr>
        <w:pStyle w:val="Heading3nonumber"/>
      </w:pPr>
      <w:bookmarkStart w:id="51" w:name="_Toc195808971"/>
      <w:r w:rsidRPr="152412E2">
        <w:t xml:space="preserve">2.3 </w:t>
      </w:r>
      <w:r w:rsidR="004B113D" w:rsidRPr="152412E2">
        <w:t xml:space="preserve">PRES as an integrated program within PEB in accordance with the PRES partnership and </w:t>
      </w:r>
      <w:r w:rsidR="00F93404">
        <w:t>o</w:t>
      </w:r>
      <w:r w:rsidR="00F93404" w:rsidRPr="152412E2">
        <w:t>ne</w:t>
      </w:r>
      <w:r w:rsidR="004B113D" w:rsidRPr="152412E2">
        <w:t>-</w:t>
      </w:r>
      <w:r w:rsidR="00F93404">
        <w:t>t</w:t>
      </w:r>
      <w:r w:rsidR="00F93404" w:rsidRPr="152412E2">
        <w:t xml:space="preserve">eam </w:t>
      </w:r>
      <w:r w:rsidR="004B113D" w:rsidRPr="152412E2">
        <w:t>approach</w:t>
      </w:r>
      <w:bookmarkEnd w:id="51"/>
    </w:p>
    <w:p w14:paraId="586D66E3" w14:textId="4FEB386F" w:rsidR="00A56CD3" w:rsidRPr="002806DB" w:rsidRDefault="00232580" w:rsidP="00232580">
      <w:pPr>
        <w:rPr>
          <w:szCs w:val="21"/>
        </w:rPr>
      </w:pPr>
      <w:r w:rsidRPr="002806DB">
        <w:rPr>
          <w:szCs w:val="21"/>
        </w:rPr>
        <w:t xml:space="preserve">Observations from consultations indicate consistently favourable feedback regarding the current PRES </w:t>
      </w:r>
      <w:r w:rsidR="5DE2D026" w:rsidRPr="002806DB">
        <w:rPr>
          <w:szCs w:val="21"/>
        </w:rPr>
        <w:t>C</w:t>
      </w:r>
      <w:r w:rsidRPr="002806DB">
        <w:rPr>
          <w:szCs w:val="21"/>
        </w:rPr>
        <w:t xml:space="preserve">ore </w:t>
      </w:r>
      <w:r w:rsidR="197F8611" w:rsidRPr="002806DB">
        <w:rPr>
          <w:szCs w:val="21"/>
        </w:rPr>
        <w:t>T</w:t>
      </w:r>
      <w:r w:rsidRPr="002806DB">
        <w:rPr>
          <w:szCs w:val="21"/>
        </w:rPr>
        <w:t>eam. While an initial adjustment period was noted, the current team has established a trusted reputation for competence and reliability. This is consistent with findings of the 2022-</w:t>
      </w:r>
      <w:r w:rsidR="00B850B6" w:rsidRPr="002806DB">
        <w:rPr>
          <w:szCs w:val="21"/>
        </w:rPr>
        <w:t>20</w:t>
      </w:r>
      <w:r w:rsidRPr="002806DB">
        <w:rPr>
          <w:szCs w:val="21"/>
        </w:rPr>
        <w:t>23 and 2023-</w:t>
      </w:r>
      <w:r w:rsidR="00B850B6" w:rsidRPr="002806DB">
        <w:rPr>
          <w:szCs w:val="21"/>
        </w:rPr>
        <w:t>20</w:t>
      </w:r>
      <w:r w:rsidRPr="002806DB">
        <w:rPr>
          <w:szCs w:val="21"/>
        </w:rPr>
        <w:t xml:space="preserve">24 annual reports. In 2023, it was initially found that </w:t>
      </w:r>
      <w:r w:rsidR="00B850B6" w:rsidRPr="002806DB">
        <w:rPr>
          <w:szCs w:val="21"/>
        </w:rPr>
        <w:t>‘</w:t>
      </w:r>
      <w:r w:rsidRPr="002806DB">
        <w:rPr>
          <w:szCs w:val="21"/>
        </w:rPr>
        <w:t>though there were no significant issues, neither DFAT staff nor PRES partners considered the program well-integrated. Most staff thought integration would increase as more TNs were implemented and the level of interaction with PRES increased</w:t>
      </w:r>
      <w:r w:rsidR="00B850B6" w:rsidRPr="002806DB">
        <w:rPr>
          <w:szCs w:val="21"/>
        </w:rPr>
        <w:t>’</w:t>
      </w:r>
      <w:r w:rsidR="002806DB" w:rsidRPr="002806DB">
        <w:rPr>
          <w:szCs w:val="21"/>
        </w:rPr>
        <w:t>.</w:t>
      </w:r>
      <w:r w:rsidR="00B850B6" w:rsidRPr="002806DB">
        <w:rPr>
          <w:szCs w:val="21"/>
        </w:rPr>
        <w:t xml:space="preserve"> </w:t>
      </w:r>
      <w:r w:rsidR="002806DB" w:rsidRPr="002806DB">
        <w:rPr>
          <w:szCs w:val="21"/>
        </w:rPr>
        <w:t xml:space="preserve">By </w:t>
      </w:r>
      <w:r w:rsidRPr="002806DB">
        <w:rPr>
          <w:szCs w:val="21"/>
        </w:rPr>
        <w:t xml:space="preserve">the 2024 </w:t>
      </w:r>
      <w:r w:rsidR="00051DB7">
        <w:rPr>
          <w:szCs w:val="21"/>
        </w:rPr>
        <w:t>A</w:t>
      </w:r>
      <w:r w:rsidR="00051DB7" w:rsidRPr="002806DB">
        <w:rPr>
          <w:szCs w:val="21"/>
        </w:rPr>
        <w:t xml:space="preserve">nnual </w:t>
      </w:r>
      <w:r w:rsidR="00051DB7">
        <w:rPr>
          <w:szCs w:val="21"/>
        </w:rPr>
        <w:t>R</w:t>
      </w:r>
      <w:r w:rsidR="00051DB7" w:rsidRPr="002806DB">
        <w:rPr>
          <w:szCs w:val="21"/>
        </w:rPr>
        <w:t>eport</w:t>
      </w:r>
      <w:r w:rsidR="002806DB" w:rsidRPr="002806DB">
        <w:rPr>
          <w:szCs w:val="21"/>
        </w:rPr>
        <w:t>,</w:t>
      </w:r>
      <w:r w:rsidRPr="002806DB">
        <w:rPr>
          <w:szCs w:val="21"/>
        </w:rPr>
        <w:t xml:space="preserve"> the majority of PEB considered PRES well integrated into PEB. This is also consistent with the 2024 </w:t>
      </w:r>
      <w:r w:rsidR="002806DB" w:rsidRPr="002806DB">
        <w:rPr>
          <w:szCs w:val="21"/>
        </w:rPr>
        <w:t xml:space="preserve">annual </w:t>
      </w:r>
      <w:r w:rsidRPr="002806DB">
        <w:rPr>
          <w:szCs w:val="21"/>
        </w:rPr>
        <w:t xml:space="preserve">partnership health check report that found both partners reporting </w:t>
      </w:r>
      <w:r w:rsidRPr="00B85CF8">
        <w:rPr>
          <w:rFonts w:cs="Arial"/>
          <w:szCs w:val="21"/>
        </w:rPr>
        <w:t>positively on the health of the PRES partnership.</w:t>
      </w:r>
      <w:r w:rsidR="00C25677" w:rsidRPr="002806DB">
        <w:rPr>
          <w:szCs w:val="21"/>
        </w:rPr>
        <w:t xml:space="preserve"> In both the 2023 and 2024 </w:t>
      </w:r>
      <w:r w:rsidR="002806DB">
        <w:rPr>
          <w:szCs w:val="21"/>
        </w:rPr>
        <w:t>p</w:t>
      </w:r>
      <w:r w:rsidR="002806DB" w:rsidRPr="002806DB">
        <w:rPr>
          <w:szCs w:val="21"/>
        </w:rPr>
        <w:t xml:space="preserve">artnership </w:t>
      </w:r>
      <w:r w:rsidR="002806DB">
        <w:rPr>
          <w:szCs w:val="21"/>
        </w:rPr>
        <w:t>h</w:t>
      </w:r>
      <w:r w:rsidR="002806DB" w:rsidRPr="002806DB">
        <w:rPr>
          <w:szCs w:val="21"/>
        </w:rPr>
        <w:t xml:space="preserve">ealth </w:t>
      </w:r>
      <w:r w:rsidR="002806DB">
        <w:rPr>
          <w:szCs w:val="21"/>
        </w:rPr>
        <w:t>c</w:t>
      </w:r>
      <w:r w:rsidR="002806DB" w:rsidRPr="002806DB">
        <w:rPr>
          <w:szCs w:val="21"/>
        </w:rPr>
        <w:t>heck</w:t>
      </w:r>
      <w:r w:rsidR="002806DB">
        <w:rPr>
          <w:szCs w:val="21"/>
        </w:rPr>
        <w:t>s</w:t>
      </w:r>
      <w:r w:rsidR="00C25677" w:rsidRPr="002806DB">
        <w:rPr>
          <w:szCs w:val="21"/>
        </w:rPr>
        <w:t xml:space="preserve">, the partnership between DFAT and </w:t>
      </w:r>
      <w:r w:rsidR="00FD6758" w:rsidRPr="002806DB">
        <w:rPr>
          <w:szCs w:val="21"/>
        </w:rPr>
        <w:t xml:space="preserve">the managing contractor </w:t>
      </w:r>
      <w:r w:rsidR="002806DB">
        <w:rPr>
          <w:szCs w:val="21"/>
        </w:rPr>
        <w:t>was</w:t>
      </w:r>
      <w:r w:rsidR="002806DB" w:rsidRPr="002806DB">
        <w:rPr>
          <w:szCs w:val="21"/>
        </w:rPr>
        <w:t xml:space="preserve"> </w:t>
      </w:r>
      <w:r w:rsidR="00C25677" w:rsidRPr="002806DB">
        <w:rPr>
          <w:szCs w:val="21"/>
        </w:rPr>
        <w:t xml:space="preserve">viewed as on track. </w:t>
      </w:r>
      <w:r w:rsidR="005F40FA" w:rsidRPr="002806DB">
        <w:rPr>
          <w:szCs w:val="21"/>
        </w:rPr>
        <w:t xml:space="preserve">The 2024 </w:t>
      </w:r>
      <w:r w:rsidR="002806DB">
        <w:rPr>
          <w:szCs w:val="21"/>
        </w:rPr>
        <w:t>p</w:t>
      </w:r>
      <w:r w:rsidR="002806DB" w:rsidRPr="002806DB">
        <w:rPr>
          <w:szCs w:val="21"/>
        </w:rPr>
        <w:t xml:space="preserve">artnership </w:t>
      </w:r>
      <w:r w:rsidR="002806DB">
        <w:rPr>
          <w:szCs w:val="21"/>
        </w:rPr>
        <w:t>h</w:t>
      </w:r>
      <w:r w:rsidR="002806DB" w:rsidRPr="002806DB">
        <w:rPr>
          <w:szCs w:val="21"/>
        </w:rPr>
        <w:t xml:space="preserve">ealth </w:t>
      </w:r>
      <w:r w:rsidR="002806DB">
        <w:rPr>
          <w:szCs w:val="21"/>
        </w:rPr>
        <w:t>c</w:t>
      </w:r>
      <w:r w:rsidR="002806DB" w:rsidRPr="002806DB">
        <w:rPr>
          <w:szCs w:val="21"/>
        </w:rPr>
        <w:t xml:space="preserve">heck </w:t>
      </w:r>
      <w:r w:rsidR="002806DB">
        <w:rPr>
          <w:szCs w:val="21"/>
        </w:rPr>
        <w:t>found that</w:t>
      </w:r>
      <w:r w:rsidR="002806DB" w:rsidRPr="002806DB">
        <w:rPr>
          <w:szCs w:val="21"/>
        </w:rPr>
        <w:t xml:space="preserve"> </w:t>
      </w:r>
      <w:r w:rsidR="005F40FA" w:rsidRPr="002806DB">
        <w:rPr>
          <w:szCs w:val="21"/>
        </w:rPr>
        <w:t xml:space="preserve">the PRES partnership </w:t>
      </w:r>
      <w:r w:rsidR="002806DB">
        <w:rPr>
          <w:szCs w:val="21"/>
        </w:rPr>
        <w:t>was</w:t>
      </w:r>
      <w:r w:rsidR="002806DB" w:rsidRPr="002806DB">
        <w:rPr>
          <w:szCs w:val="21"/>
        </w:rPr>
        <w:t xml:space="preserve"> </w:t>
      </w:r>
      <w:r w:rsidR="005F40FA" w:rsidRPr="002806DB">
        <w:rPr>
          <w:szCs w:val="21"/>
        </w:rPr>
        <w:t xml:space="preserve">working well across the three partnership principles of Simplicity, Efficiency, and Accountability. </w:t>
      </w:r>
    </w:p>
    <w:p w14:paraId="217C83BC" w14:textId="1D35BBC4" w:rsidR="00232580" w:rsidRPr="002806DB" w:rsidRDefault="00A56CD3" w:rsidP="00232580">
      <w:pPr>
        <w:rPr>
          <w:szCs w:val="21"/>
        </w:rPr>
      </w:pPr>
      <w:bookmarkStart w:id="52" w:name="_Hlk191974532"/>
      <w:r w:rsidRPr="002806DB">
        <w:rPr>
          <w:szCs w:val="21"/>
        </w:rPr>
        <w:t xml:space="preserve">Consultation feedback indicates that PRES’ current success is significantly rooted in two key factors: the cultivation of strong trust dynamics and the consistent delivery of high-quality performance by specific PRES individuals. </w:t>
      </w:r>
      <w:bookmarkEnd w:id="52"/>
      <w:r w:rsidRPr="002806DB">
        <w:rPr>
          <w:szCs w:val="21"/>
        </w:rPr>
        <w:t xml:space="preserve">The development of this trust appears to have fostered an environment where there is increasing demand for PRES services. </w:t>
      </w:r>
    </w:p>
    <w:p w14:paraId="5B2B95E9" w14:textId="688F1E74" w:rsidR="00A56CD3" w:rsidRDefault="00A56CD3" w:rsidP="00232580">
      <w:r>
        <w:t xml:space="preserve">While there are clear benefits, as PRES gains a better understanding of DFAT needs and communication becomes more open and activities more collaborative – it also creates risk. </w:t>
      </w:r>
      <w:r w:rsidRPr="152412E2">
        <w:t xml:space="preserve">One </w:t>
      </w:r>
      <w:r w:rsidR="003C288F">
        <w:t>of these</w:t>
      </w:r>
      <w:r w:rsidR="003C288F" w:rsidRPr="152412E2">
        <w:t xml:space="preserve"> </w:t>
      </w:r>
      <w:r w:rsidRPr="152412E2">
        <w:t xml:space="preserve">is </w:t>
      </w:r>
      <w:r w:rsidR="003C288F">
        <w:t>‘</w:t>
      </w:r>
      <w:r w:rsidRPr="152412E2">
        <w:t>key person</w:t>
      </w:r>
      <w:r w:rsidR="003C288F">
        <w:t>’</w:t>
      </w:r>
      <w:r w:rsidRPr="152412E2">
        <w:t xml:space="preserve"> risk, where DFAT relies heavily on existing individuals</w:t>
      </w:r>
      <w:r w:rsidR="001E3E0F">
        <w:t>. I</w:t>
      </w:r>
      <w:r w:rsidRPr="152412E2">
        <w:t>f those people become unavailable</w:t>
      </w:r>
      <w:r w:rsidR="001E3E0F">
        <w:t>,</w:t>
      </w:r>
      <w:r>
        <w:t xml:space="preserve"> it could disrupt successful operations</w:t>
      </w:r>
      <w:r w:rsidRPr="152412E2">
        <w:t xml:space="preserve">. </w:t>
      </w:r>
      <w:r>
        <w:t xml:space="preserve">This is a challenge both with PRES but also at the consultant level as it potentially results in </w:t>
      </w:r>
      <w:r w:rsidRPr="152412E2">
        <w:t xml:space="preserve">over-reliance and stagnation, influencing </w:t>
      </w:r>
      <w:r w:rsidR="002A0878">
        <w:t xml:space="preserve">the </w:t>
      </w:r>
      <w:r w:rsidRPr="152412E2">
        <w:t xml:space="preserve">extent to which more suitable advisers are sought and </w:t>
      </w:r>
      <w:r>
        <w:t xml:space="preserve">increasing selection bias in decision-making. </w:t>
      </w:r>
    </w:p>
    <w:p w14:paraId="49FA86AD" w14:textId="512E37E0" w:rsidR="00C25677" w:rsidRDefault="00A56CD3" w:rsidP="00A56CD3">
      <w:pPr>
        <w:ind w:right="-68"/>
      </w:pPr>
      <w:r>
        <w:t xml:space="preserve">Feedback </w:t>
      </w:r>
      <w:r w:rsidR="003E155B">
        <w:t>about</w:t>
      </w:r>
      <w:r w:rsidR="003E155B" w:rsidRPr="152412E2">
        <w:t xml:space="preserve"> embedded advisers</w:t>
      </w:r>
      <w:r w:rsidR="003E155B">
        <w:t xml:space="preserve"> </w:t>
      </w:r>
      <w:r>
        <w:t>was also highly positive</w:t>
      </w:r>
      <w:r w:rsidRPr="152412E2">
        <w:t xml:space="preserve">. </w:t>
      </w:r>
      <w:r w:rsidRPr="00A56CD3">
        <w:t>Stakeholders report that embedded advis</w:t>
      </w:r>
      <w:r w:rsidR="00575A2F">
        <w:t>e</w:t>
      </w:r>
      <w:r w:rsidRPr="00A56CD3">
        <w:t xml:space="preserve">rs have significantly enhanced learning by exceeding their standard duties, </w:t>
      </w:r>
      <w:r>
        <w:t xml:space="preserve">including </w:t>
      </w:r>
      <w:r w:rsidR="002A0878">
        <w:t xml:space="preserve">providing </w:t>
      </w:r>
      <w:r w:rsidRPr="00A56CD3">
        <w:t xml:space="preserve">general advice and </w:t>
      </w:r>
      <w:r w:rsidR="002A0878">
        <w:t xml:space="preserve">answering </w:t>
      </w:r>
      <w:r w:rsidRPr="00A56CD3">
        <w:t>questions</w:t>
      </w:r>
      <w:r>
        <w:t xml:space="preserve">. </w:t>
      </w:r>
      <w:r w:rsidRPr="00A56CD3">
        <w:t xml:space="preserve">This observation suggests the potential need for a </w:t>
      </w:r>
      <w:r w:rsidR="005F18EB">
        <w:t>DFAT</w:t>
      </w:r>
      <w:r w:rsidRPr="00A56CD3">
        <w:t xml:space="preserve"> permanent </w:t>
      </w:r>
      <w:r w:rsidR="005F18EB">
        <w:t>role</w:t>
      </w:r>
      <w:r w:rsidR="005F18EB" w:rsidRPr="00A56CD3">
        <w:t xml:space="preserve"> </w:t>
      </w:r>
      <w:r w:rsidRPr="00A56CD3">
        <w:t>to fulfill these responsibilities</w:t>
      </w:r>
      <w:r w:rsidR="005F18EB">
        <w:t>, as opposed to a PRES engaged consultant</w:t>
      </w:r>
      <w:r w:rsidR="00280831">
        <w:t xml:space="preserve">, </w:t>
      </w:r>
      <w:r w:rsidR="005F18EB">
        <w:t>except where the position may be highly specialised</w:t>
      </w:r>
      <w:r w:rsidR="00CF72FE">
        <w:t xml:space="preserve"> and</w:t>
      </w:r>
      <w:r w:rsidR="006E75A1">
        <w:t xml:space="preserve"> </w:t>
      </w:r>
      <w:r w:rsidR="00CF72FE">
        <w:t xml:space="preserve">focused on a specific deliverable, that achieves value for money through a contracting arrangement. </w:t>
      </w:r>
    </w:p>
    <w:p w14:paraId="73A1E126" w14:textId="12780811" w:rsidR="00C25677" w:rsidRDefault="00C25677" w:rsidP="00C25677">
      <w:r w:rsidRPr="00FB7C94">
        <w:t xml:space="preserve">There is also </w:t>
      </w:r>
      <w:r w:rsidR="005F40FA" w:rsidRPr="00FB7C94">
        <w:t xml:space="preserve">a </w:t>
      </w:r>
      <w:r w:rsidRPr="00FB7C94">
        <w:t>question about whether PRES consultants should be hired as long-term advis</w:t>
      </w:r>
      <w:r w:rsidR="00575A2F">
        <w:t>e</w:t>
      </w:r>
      <w:r w:rsidRPr="00FB7C94">
        <w:t xml:space="preserve">rs. Where these instances exist, it indicates that it may be more efficient for DFAT to hire a full-time staff member. However, this may not be possible due to overarching DFAT </w:t>
      </w:r>
      <w:r w:rsidR="00533229">
        <w:t>human resources</w:t>
      </w:r>
      <w:r w:rsidR="00533229" w:rsidRPr="00FB7C94">
        <w:t xml:space="preserve"> </w:t>
      </w:r>
      <w:r w:rsidRPr="00FB7C94">
        <w:t xml:space="preserve">strategies; in which case, PRES consultants may be required to continue to fill this gap. In-house recruitment of such niche technical experts could also lead to a diffusion of their specialised skills and potentially limit their impact. It may also simply be more efficient to hire someone in a long-term </w:t>
      </w:r>
      <w:r w:rsidR="009914DA">
        <w:t>advisor</w:t>
      </w:r>
      <w:r w:rsidR="009914DA" w:rsidRPr="00FB7C94">
        <w:t>y</w:t>
      </w:r>
      <w:r w:rsidRPr="00FB7C94">
        <w:t xml:space="preserve"> role rather than a series of short-term advisory roles. </w:t>
      </w:r>
      <w:r w:rsidRPr="00C25677">
        <w:t>In the current context, consultations suggest that the existing embedded and long-term advis</w:t>
      </w:r>
      <w:r w:rsidR="00575A2F">
        <w:t>e</w:t>
      </w:r>
      <w:r w:rsidRPr="00C25677">
        <w:t>r mechanisms are well-suited for their purpose</w:t>
      </w:r>
      <w:r>
        <w:t>.</w:t>
      </w:r>
    </w:p>
    <w:p w14:paraId="57897EAC" w14:textId="72C4E8EB" w:rsidR="000942F4" w:rsidRDefault="00C25677" w:rsidP="00C25677">
      <w:pPr>
        <w:rPr>
          <w:szCs w:val="21"/>
        </w:rPr>
      </w:pPr>
      <w:r>
        <w:lastRenderedPageBreak/>
        <w:t xml:space="preserve">Other challenges to an integrated team include changes to security clearance and office space. It was noted that these factors have made it increasingly difficult for the PRES </w:t>
      </w:r>
      <w:r w:rsidR="00C8028B">
        <w:t>Core Team</w:t>
      </w:r>
      <w:r>
        <w:t xml:space="preserve"> and advis</w:t>
      </w:r>
      <w:r w:rsidR="00575A2F">
        <w:t>e</w:t>
      </w:r>
      <w:r>
        <w:t xml:space="preserve">rs to work more closely with DFAT staff. </w:t>
      </w:r>
      <w:r w:rsidRPr="00C25677">
        <w:rPr>
          <w:szCs w:val="21"/>
        </w:rPr>
        <w:t xml:space="preserve">This is consistent with the </w:t>
      </w:r>
      <w:r>
        <w:rPr>
          <w:szCs w:val="21"/>
        </w:rPr>
        <w:t>a</w:t>
      </w:r>
      <w:r w:rsidRPr="00C25677">
        <w:rPr>
          <w:szCs w:val="21"/>
        </w:rPr>
        <w:t>nnual survey of PEB staff that found</w:t>
      </w:r>
      <w:r w:rsidR="00C8028B">
        <w:rPr>
          <w:szCs w:val="21"/>
        </w:rPr>
        <w:t>,</w:t>
      </w:r>
      <w:r w:rsidRPr="00C25677">
        <w:rPr>
          <w:szCs w:val="21"/>
        </w:rPr>
        <w:t xml:space="preserve"> although staff need ha</w:t>
      </w:r>
      <w:r>
        <w:rPr>
          <w:szCs w:val="21"/>
        </w:rPr>
        <w:t>s</w:t>
      </w:r>
      <w:r w:rsidRPr="00C25677">
        <w:rPr>
          <w:szCs w:val="21"/>
        </w:rPr>
        <w:t xml:space="preserve"> been met, </w:t>
      </w:r>
      <w:r>
        <w:rPr>
          <w:szCs w:val="21"/>
        </w:rPr>
        <w:t>s</w:t>
      </w:r>
      <w:r w:rsidRPr="00C25677">
        <w:rPr>
          <w:szCs w:val="21"/>
        </w:rPr>
        <w:t xml:space="preserve">upport to in-house capabilities due to the lack of security clearance is a challenge. It is also consistent with the 2024 </w:t>
      </w:r>
      <w:r>
        <w:rPr>
          <w:szCs w:val="21"/>
        </w:rPr>
        <w:t>A</w:t>
      </w:r>
      <w:r w:rsidRPr="00C25677">
        <w:rPr>
          <w:szCs w:val="21"/>
        </w:rPr>
        <w:t>nnual</w:t>
      </w:r>
      <w:r w:rsidR="00C8028B" w:rsidRPr="00C25677">
        <w:rPr>
          <w:szCs w:val="21"/>
        </w:rPr>
        <w:t xml:space="preserve"> </w:t>
      </w:r>
      <w:r w:rsidR="00113278">
        <w:rPr>
          <w:szCs w:val="21"/>
        </w:rPr>
        <w:t>IMR</w:t>
      </w:r>
      <w:r w:rsidR="00C8028B">
        <w:rPr>
          <w:szCs w:val="21"/>
        </w:rPr>
        <w:t>,</w:t>
      </w:r>
      <w:r w:rsidRPr="00C25677">
        <w:rPr>
          <w:szCs w:val="21"/>
        </w:rPr>
        <w:t xml:space="preserve"> which found</w:t>
      </w:r>
      <w:r w:rsidR="000942F4">
        <w:rPr>
          <w:szCs w:val="21"/>
        </w:rPr>
        <w:t>:</w:t>
      </w:r>
      <w:r w:rsidRPr="00C25677">
        <w:rPr>
          <w:szCs w:val="21"/>
        </w:rPr>
        <w:t xml:space="preserve"> </w:t>
      </w:r>
    </w:p>
    <w:p w14:paraId="3CF8A63A" w14:textId="382E96AA" w:rsidR="00C25677" w:rsidRPr="00B85CF8" w:rsidRDefault="000942F4" w:rsidP="00C86C27">
      <w:pPr>
        <w:pStyle w:val="Quote"/>
      </w:pPr>
      <w:r w:rsidRPr="00B85CF8">
        <w:t>‘</w:t>
      </w:r>
      <w:r w:rsidR="00C25677" w:rsidRPr="00B85CF8">
        <w:t>PRES takes a 'one team' approach to implementation with PRES advisers regularly co-located with DFAT officers in Canberra and increased virtual engagement. This contributes to efficiency and increased engagement across commissioning areas but has been affected by logistical issues including PEB desk space and a need for PRES officers to be security cleared</w:t>
      </w:r>
      <w:r w:rsidRPr="00B85CF8">
        <w:t>.</w:t>
      </w:r>
      <w:r>
        <w:t>’</w:t>
      </w:r>
    </w:p>
    <w:p w14:paraId="6B6782D9" w14:textId="5111192D" w:rsidR="00FD1297" w:rsidRDefault="00FD1297" w:rsidP="00FD1297">
      <w:pPr>
        <w:pStyle w:val="Heading1nonumber"/>
      </w:pPr>
      <w:bookmarkStart w:id="53" w:name="_Toc195808972"/>
      <w:bookmarkStart w:id="54" w:name="_Toc205992462"/>
      <w:bookmarkStart w:id="55" w:name="_Toc205992549"/>
      <w:r>
        <w:rPr>
          <w:noProof/>
        </w:rPr>
        <w:lastRenderedPageBreak/>
        <w:drawing>
          <wp:anchor distT="0" distB="0" distL="114300" distR="114300" simplePos="0" relativeHeight="251658245" behindDoc="1" locked="0" layoutInCell="1" allowOverlap="1" wp14:anchorId="1574CC47" wp14:editId="5B4A4B02">
            <wp:simplePos x="0" y="0"/>
            <wp:positionH relativeFrom="margin">
              <wp:posOffset>5631180</wp:posOffset>
            </wp:positionH>
            <wp:positionV relativeFrom="paragraph">
              <wp:posOffset>151765</wp:posOffset>
            </wp:positionV>
            <wp:extent cx="664845" cy="664845"/>
            <wp:effectExtent l="0" t="0" r="1905" b="1905"/>
            <wp:wrapSquare wrapText="bothSides"/>
            <wp:docPr id="75128674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286740" name="Picture 5">
                      <a:extLst>
                        <a:ext uri="{C183D7F6-B498-43B3-948B-1728B52AA6E4}">
                          <adec:decorative xmlns:adec="http://schemas.microsoft.com/office/drawing/2017/decorative" val="1"/>
                        </a:ext>
                      </a:extLst>
                    </pic:cNvPr>
                    <pic:cNvPicPr/>
                  </pic:nvPicPr>
                  <pic:blipFill>
                    <a:blip r:embed="rId23"/>
                    <a:stretch>
                      <a:fillRect/>
                    </a:stretch>
                  </pic:blipFill>
                  <pic:spPr>
                    <a:xfrm>
                      <a:off x="0" y="0"/>
                      <a:ext cx="664845" cy="664845"/>
                    </a:xfrm>
                    <a:prstGeom prst="rect">
                      <a:avLst/>
                    </a:prstGeom>
                  </pic:spPr>
                </pic:pic>
              </a:graphicData>
            </a:graphic>
            <wp14:sizeRelH relativeFrom="page">
              <wp14:pctWidth>0</wp14:pctWidth>
            </wp14:sizeRelH>
            <wp14:sizeRelV relativeFrom="page">
              <wp14:pctHeight>0</wp14:pctHeight>
            </wp14:sizeRelV>
          </wp:anchor>
        </w:drawing>
      </w:r>
      <w:r w:rsidRPr="008F253E">
        <w:t>KRQ</w:t>
      </w:r>
      <w:r>
        <w:t>3</w:t>
      </w:r>
      <w:r w:rsidRPr="008F253E">
        <w:t>.</w:t>
      </w:r>
      <w:r w:rsidR="00430426" w:rsidRPr="00430426">
        <w:t xml:space="preserve"> </w:t>
      </w:r>
      <w:r w:rsidR="00430426">
        <w:t>How relevant is PRES and what are the opportunities to improve relevance?</w:t>
      </w:r>
      <w:bookmarkEnd w:id="53"/>
      <w:bookmarkEnd w:id="54"/>
      <w:bookmarkEnd w:id="55"/>
    </w:p>
    <w:p w14:paraId="2B4B5F83" w14:textId="6CEA73EA" w:rsidR="00C45D1F" w:rsidRDefault="003F6853" w:rsidP="004D7C91">
      <w:pPr>
        <w:pStyle w:val="Orangeblocktext"/>
      </w:pPr>
      <w:r>
        <w:rPr>
          <w:b/>
          <w:bCs/>
        </w:rPr>
        <w:t xml:space="preserve">How relevant is PRES? </w:t>
      </w:r>
      <w:r w:rsidR="00503E8C" w:rsidRPr="004F78E4">
        <w:t>PRES is and remains highly relevant</w:t>
      </w:r>
      <w:r w:rsidR="00503E8C">
        <w:t xml:space="preserve">. The provision of </w:t>
      </w:r>
      <w:r w:rsidR="00503E8C" w:rsidRPr="009029BE">
        <w:t xml:space="preserve">technical support and services (EOIO1) </w:t>
      </w:r>
      <w:r w:rsidR="00503E8C">
        <w:t xml:space="preserve">remains relevant to both the </w:t>
      </w:r>
      <w:r w:rsidR="00503E8C" w:rsidRPr="009029BE">
        <w:t xml:space="preserve">Pacific context and </w:t>
      </w:r>
      <w:r w:rsidR="00503E8C">
        <w:t xml:space="preserve">the </w:t>
      </w:r>
      <w:r w:rsidR="00503E8C" w:rsidRPr="009029BE">
        <w:t xml:space="preserve">DFAT </w:t>
      </w:r>
      <w:r w:rsidR="00503E8C">
        <w:t xml:space="preserve">strategic and </w:t>
      </w:r>
      <w:r w:rsidR="00503E8C" w:rsidRPr="009029BE">
        <w:t>organisational context.</w:t>
      </w:r>
    </w:p>
    <w:p w14:paraId="7DB44609" w14:textId="2DD84377" w:rsidR="0024428A" w:rsidRPr="00CF0D4D" w:rsidRDefault="00043EE1" w:rsidP="004D7C91">
      <w:pPr>
        <w:pStyle w:val="Orangeblocktext"/>
        <w:rPr>
          <w:i/>
          <w:iCs/>
        </w:rPr>
      </w:pPr>
      <w:r>
        <w:rPr>
          <w:b/>
          <w:bCs/>
        </w:rPr>
        <w:t xml:space="preserve">Opportunities to improve relevance: </w:t>
      </w:r>
      <w:r w:rsidR="0034582E">
        <w:t xml:space="preserve">As DFAT priorities change and demand for technical expertise continues to grow, ensuring </w:t>
      </w:r>
      <w:r w:rsidR="0034582E" w:rsidRPr="00DB3E82">
        <w:t xml:space="preserve">PRES </w:t>
      </w:r>
      <w:proofErr w:type="gramStart"/>
      <w:r w:rsidR="0034582E">
        <w:t>is able to</w:t>
      </w:r>
      <w:proofErr w:type="gramEnd"/>
      <w:r w:rsidR="0034582E">
        <w:t xml:space="preserve"> remain responsive and flexible, while maintaining its focus on Pacific economic expertise, will be important to continued relevance.</w:t>
      </w:r>
    </w:p>
    <w:p w14:paraId="0F5EE646" w14:textId="171B37BF" w:rsidR="00E63C9C" w:rsidRPr="00FB7C94" w:rsidRDefault="00B66049" w:rsidP="00220622">
      <w:r w:rsidRPr="00903AD3">
        <w:t>The</w:t>
      </w:r>
      <w:r w:rsidR="00B35745" w:rsidRPr="00903AD3">
        <w:t xml:space="preserve"> </w:t>
      </w:r>
      <w:r w:rsidR="00903AD3" w:rsidRPr="00903AD3">
        <w:t xml:space="preserve">concept </w:t>
      </w:r>
      <w:proofErr w:type="gramStart"/>
      <w:r w:rsidR="00264099">
        <w:t>note</w:t>
      </w:r>
      <w:proofErr w:type="gramEnd"/>
      <w:r w:rsidR="00264099">
        <w:t xml:space="preserve"> </w:t>
      </w:r>
      <w:r w:rsidR="00903AD3" w:rsidRPr="00903AD3">
        <w:t xml:space="preserve">defined </w:t>
      </w:r>
      <w:r w:rsidR="00903AD3">
        <w:t>PRES’</w:t>
      </w:r>
      <w:r w:rsidR="00903AD3" w:rsidRPr="00903AD3">
        <w:t xml:space="preserve"> strategic intent as supporting economic recovery and growth investments. This was in response</w:t>
      </w:r>
      <w:r w:rsidR="00B35745" w:rsidRPr="00903AD3">
        <w:t xml:space="preserve"> to the </w:t>
      </w:r>
      <w:r w:rsidR="00903AD3" w:rsidRPr="00903AD3">
        <w:t>COVID-19 pandemic and Pacific</w:t>
      </w:r>
      <w:r w:rsidR="00903AD3">
        <w:t xml:space="preserve"> Step-up</w:t>
      </w:r>
      <w:r w:rsidR="00903AD3" w:rsidRPr="00903AD3">
        <w:t xml:space="preserve">, which created new challenges and demands for </w:t>
      </w:r>
      <w:r w:rsidR="00903AD3">
        <w:t>DFAT</w:t>
      </w:r>
      <w:r w:rsidR="00903AD3" w:rsidRPr="00903AD3">
        <w:t>'s economic recovery and growth portfolio in the Pacific.</w:t>
      </w:r>
      <w:r w:rsidR="00B35745" w:rsidRPr="00FB7C94">
        <w:t xml:space="preserve"> </w:t>
      </w:r>
      <w:r w:rsidR="0020479E" w:rsidRPr="00FB7C94">
        <w:t xml:space="preserve">Consultations </w:t>
      </w:r>
      <w:r w:rsidR="00B35745" w:rsidRPr="00FB7C94">
        <w:t>and documentation</w:t>
      </w:r>
      <w:r w:rsidR="0020479E" w:rsidRPr="00FB7C94">
        <w:t xml:space="preserve"> confirmed the relevance of PRES as addressing the</w:t>
      </w:r>
      <w:r w:rsidR="00DB0C09" w:rsidRPr="00FB7C94">
        <w:t xml:space="preserve"> </w:t>
      </w:r>
      <w:r w:rsidR="00220622" w:rsidRPr="00FB7C94">
        <w:t xml:space="preserve">increased resourcing need for economic recovery in the Pacific </w:t>
      </w:r>
      <w:r w:rsidR="002E7B6C">
        <w:t xml:space="preserve">after </w:t>
      </w:r>
      <w:r w:rsidR="00220622" w:rsidRPr="00FB7C94">
        <w:t>COVID-19</w:t>
      </w:r>
      <w:r w:rsidR="0020479E" w:rsidRPr="00FB7C94">
        <w:t xml:space="preserve">, and there is </w:t>
      </w:r>
      <w:r w:rsidR="0081509C" w:rsidRPr="00FB7C94">
        <w:t>significant evidence of the relevance</w:t>
      </w:r>
      <w:r w:rsidR="0020479E" w:rsidRPr="00FB7C94">
        <w:t xml:space="preserve"> of PRES </w:t>
      </w:r>
      <w:r w:rsidR="0081509C" w:rsidRPr="00FB7C94">
        <w:t>during this period.</w:t>
      </w:r>
      <w:r w:rsidR="001932D5" w:rsidRPr="00FB7C94">
        <w:t xml:space="preserve"> </w:t>
      </w:r>
      <w:r w:rsidR="0081509C" w:rsidRPr="00FB7C94">
        <w:t>The evaluation has considered the ongoing relevance of PRES</w:t>
      </w:r>
      <w:r w:rsidR="00AC3481" w:rsidRPr="00FB7C94">
        <w:t xml:space="preserve"> in the absence of the COVID-19 </w:t>
      </w:r>
      <w:r w:rsidR="002E7B6C">
        <w:t>pandemic,</w:t>
      </w:r>
      <w:r w:rsidR="00E63C9C" w:rsidRPr="00FB7C94">
        <w:t xml:space="preserve"> in terms of both the </w:t>
      </w:r>
      <w:r w:rsidR="002E7B6C">
        <w:t>P</w:t>
      </w:r>
      <w:r w:rsidR="002E7B6C" w:rsidRPr="00FB7C94">
        <w:t xml:space="preserve">acific </w:t>
      </w:r>
      <w:r w:rsidR="00E63C9C" w:rsidRPr="00FB7C94">
        <w:t xml:space="preserve">regional context and the DFAT institutional context. </w:t>
      </w:r>
      <w:r w:rsidR="00E551CE" w:rsidRPr="00FB7C94">
        <w:t xml:space="preserve"> </w:t>
      </w:r>
      <w:r w:rsidR="00AC3481" w:rsidRPr="00FB7C94">
        <w:t xml:space="preserve"> </w:t>
      </w:r>
    </w:p>
    <w:p w14:paraId="03588CBA" w14:textId="0B02A1F8" w:rsidR="00220622" w:rsidRDefault="00220622" w:rsidP="00220622">
      <w:r w:rsidRPr="00FB7C94">
        <w:t>The economic impact</w:t>
      </w:r>
      <w:r>
        <w:t xml:space="preserve"> of COVID-19 on Australia’s Pacific partners is </w:t>
      </w:r>
      <w:r w:rsidR="00E63C9C" w:rsidRPr="00FB7C94">
        <w:t>substantial</w:t>
      </w:r>
      <w:r>
        <w:t xml:space="preserve"> and </w:t>
      </w:r>
      <w:r w:rsidR="001932D5" w:rsidRPr="00FB7C94">
        <w:t>persistent</w:t>
      </w:r>
      <w:r w:rsidRPr="00FB7C94">
        <w:t>.</w:t>
      </w:r>
      <w:r>
        <w:t xml:space="preserve"> </w:t>
      </w:r>
      <w:r w:rsidRPr="00220622">
        <w:t>The Pacific has moved past coping with the health and economic challenges of COVID-</w:t>
      </w:r>
      <w:r w:rsidR="004507C0" w:rsidRPr="00220622">
        <w:t>19</w:t>
      </w:r>
      <w:r w:rsidR="004507C0">
        <w:t xml:space="preserve"> and</w:t>
      </w:r>
      <w:r w:rsidR="006543E3">
        <w:t xml:space="preserve"> is focused on</w:t>
      </w:r>
      <w:r w:rsidDel="006543E3">
        <w:t xml:space="preserve"> </w:t>
      </w:r>
      <w:r w:rsidRPr="00220622">
        <w:t>economic recovery and the identification of new opportunities</w:t>
      </w:r>
      <w:r>
        <w:t xml:space="preserve"> </w:t>
      </w:r>
      <w:r w:rsidRPr="00220622">
        <w:t>for economic growth.</w:t>
      </w:r>
      <w:r>
        <w:t xml:space="preserve"> Coupled with the effect of climate change,</w:t>
      </w:r>
      <w:r w:rsidR="006543E3">
        <w:t xml:space="preserve"> the region faces continuing</w:t>
      </w:r>
      <w:r w:rsidDel="006543E3">
        <w:t xml:space="preserve"> </w:t>
      </w:r>
      <w:r w:rsidR="006543E3">
        <w:t xml:space="preserve">challenges </w:t>
      </w:r>
      <w:r w:rsidR="00E73E6E">
        <w:t xml:space="preserve">that will be enduring. With this has come </w:t>
      </w:r>
      <w:r>
        <w:t xml:space="preserve">increasing demand </w:t>
      </w:r>
      <w:r w:rsidR="00E73E6E" w:rsidRPr="00FB7C94">
        <w:t>for</w:t>
      </w:r>
      <w:r w:rsidR="00E73E6E">
        <w:t xml:space="preserve"> support</w:t>
      </w:r>
      <w:r w:rsidR="005A1765">
        <w:t xml:space="preserve">, to which Australia has responded with </w:t>
      </w:r>
      <w:r>
        <w:t xml:space="preserve">rapid growth in resourcing, </w:t>
      </w:r>
      <w:r w:rsidR="005A1765">
        <w:t xml:space="preserve">and commensurate </w:t>
      </w:r>
      <w:r>
        <w:t>increase</w:t>
      </w:r>
      <w:r w:rsidR="005A1765">
        <w:t xml:space="preserve">s in </w:t>
      </w:r>
      <w:r w:rsidR="005A1765" w:rsidRPr="00FB7C94">
        <w:t>the</w:t>
      </w:r>
      <w:r>
        <w:t xml:space="preserve"> demand for high-quality external advice and surge support. </w:t>
      </w:r>
    </w:p>
    <w:p w14:paraId="2FDC7D12" w14:textId="648BD875" w:rsidR="009D21F8" w:rsidRDefault="00E10E6D" w:rsidP="00220622">
      <w:r w:rsidRPr="00FB7C94">
        <w:t>The Pacific remains a DFAT priority region</w:t>
      </w:r>
      <w:bookmarkStart w:id="56" w:name="_Hlk191974691"/>
      <w:r w:rsidRPr="00FB7C94">
        <w:t xml:space="preserve">. </w:t>
      </w:r>
      <w:r w:rsidR="00D87630">
        <w:t>The Australia-Pacific Regional Development Partnership Plan</w:t>
      </w:r>
      <w:r w:rsidR="009E6D47">
        <w:t xml:space="preserve"> </w:t>
      </w:r>
      <w:r w:rsidR="00D87630">
        <w:t xml:space="preserve">2025-2029 </w:t>
      </w:r>
      <w:r w:rsidR="00DE72DD">
        <w:t>commits Australia to working within the Pacific</w:t>
      </w:r>
      <w:r w:rsidR="00DC77C8">
        <w:t xml:space="preserve"> and</w:t>
      </w:r>
      <w:r w:rsidR="00DE72DD">
        <w:t xml:space="preserve"> </w:t>
      </w:r>
      <w:r w:rsidR="004814F1">
        <w:t xml:space="preserve">supporting </w:t>
      </w:r>
      <w:r w:rsidR="00914F49">
        <w:t>P</w:t>
      </w:r>
      <w:r w:rsidR="004814F1">
        <w:t>acific partners to</w:t>
      </w:r>
      <w:r w:rsidR="00245036">
        <w:t xml:space="preserve"> </w:t>
      </w:r>
      <w:r w:rsidR="00245036" w:rsidRPr="00245036">
        <w:t>build effective, accountable states that drive their own development</w:t>
      </w:r>
      <w:r w:rsidR="00245036">
        <w:t xml:space="preserve">, </w:t>
      </w:r>
      <w:r w:rsidR="00245036" w:rsidRPr="00245036">
        <w:t>enhance state and community resilience to external pressures and shocks</w:t>
      </w:r>
      <w:r w:rsidR="00245036">
        <w:t>,</w:t>
      </w:r>
      <w:r w:rsidR="00245036" w:rsidRPr="00245036">
        <w:t xml:space="preserve"> connect with Australia and regional architecture</w:t>
      </w:r>
      <w:r w:rsidR="00245036">
        <w:t>,</w:t>
      </w:r>
      <w:r w:rsidR="00245036" w:rsidRPr="00245036">
        <w:t xml:space="preserve"> </w:t>
      </w:r>
      <w:r w:rsidR="00DC77C8">
        <w:t xml:space="preserve">and </w:t>
      </w:r>
      <w:r w:rsidR="00245036" w:rsidRPr="00245036">
        <w:t xml:space="preserve">generate collective action on global challenges that impact </w:t>
      </w:r>
      <w:r w:rsidR="00DC77C8">
        <w:t>‘</w:t>
      </w:r>
      <w:r w:rsidR="00245036" w:rsidRPr="00245036">
        <w:t>us and our region</w:t>
      </w:r>
      <w:r w:rsidR="00DC77C8">
        <w:t>’</w:t>
      </w:r>
      <w:r w:rsidR="00245036" w:rsidRPr="00245036">
        <w:t>.</w:t>
      </w:r>
    </w:p>
    <w:p w14:paraId="545E7A77" w14:textId="77777777" w:rsidR="00D47EB2" w:rsidRDefault="0010691A" w:rsidP="00220622">
      <w:r w:rsidRPr="00FB7C94">
        <w:t>Even as the immediate health crisis of the COVID-19 pandemic recedes, the need for specialist technical skills in the Pacific remains critical, particularly for economic recovery</w:t>
      </w:r>
      <w:r w:rsidR="001932D5" w:rsidRPr="00FB7C94">
        <w:t xml:space="preserve"> and growth</w:t>
      </w:r>
      <w:r w:rsidRPr="00FB7C94">
        <w:t xml:space="preserve">. </w:t>
      </w:r>
      <w:bookmarkEnd w:id="56"/>
      <w:r w:rsidRPr="00FB7C94">
        <w:t>The region continues to grapple with compounding crises</w:t>
      </w:r>
      <w:r w:rsidR="001932D5" w:rsidRPr="00FB7C94">
        <w:t xml:space="preserve">, including climate change. Economic impacts from the pandemic have exposed vulnerabilities in Pacific economies, requiring ongoing support to establish and grow trade links, strengthen financial governance, and promote sustainable growth. Adding to these complexities, the evolving geopolitical landscape and shifts in global trade policy present new challenges and opportunities for Pacific nations. Navigating these changes requires specialised technical knowledge. </w:t>
      </w:r>
    </w:p>
    <w:p w14:paraId="63ABB0FE" w14:textId="42A2ED5A" w:rsidR="00D47EB2" w:rsidRDefault="00D47EB2" w:rsidP="007C1B78">
      <w:r>
        <w:t xml:space="preserve">For example, </w:t>
      </w:r>
      <w:r w:rsidR="00AF258B">
        <w:t xml:space="preserve">Objective 3 of the </w:t>
      </w:r>
      <w:r w:rsidR="00711CB1" w:rsidRPr="00B058DE">
        <w:rPr>
          <w:rFonts w:ascii="Arial" w:eastAsiaTheme="minorEastAsia" w:hAnsi="Arial" w:cs="Arial"/>
          <w:szCs w:val="21"/>
        </w:rPr>
        <w:t>Australia-Pacific Regional Development Partnership Plan 2025-2029</w:t>
      </w:r>
      <w:r w:rsidR="00AF258B">
        <w:t xml:space="preserve"> is </w:t>
      </w:r>
      <w:r w:rsidR="00C90775">
        <w:t>‘</w:t>
      </w:r>
      <w:r w:rsidR="00AF258B">
        <w:t>sustainable and resilient economic development</w:t>
      </w:r>
      <w:r w:rsidR="00DC77C8">
        <w:t>’</w:t>
      </w:r>
      <w:r w:rsidR="00A91084">
        <w:t>, with a key focus area on budget support and public financial management</w:t>
      </w:r>
      <w:r w:rsidR="00DC77C8">
        <w:t>. These are</w:t>
      </w:r>
      <w:r w:rsidR="007C1B78">
        <w:t xml:space="preserve"> </w:t>
      </w:r>
      <w:r w:rsidR="006E55E3">
        <w:t>areas</w:t>
      </w:r>
      <w:r w:rsidR="007C1B78">
        <w:t xml:space="preserve"> where</w:t>
      </w:r>
      <w:r w:rsidR="00A91084">
        <w:t xml:space="preserve"> P</w:t>
      </w:r>
      <w:r w:rsidR="001D2A7D">
        <w:t>RES already</w:t>
      </w:r>
      <w:r w:rsidR="007C1B78">
        <w:t xml:space="preserve"> contributes and will continue to contribute meaningful support</w:t>
      </w:r>
      <w:r w:rsidR="00DC77C8">
        <w:t>; f</w:t>
      </w:r>
      <w:r w:rsidR="00D2084D">
        <w:t>or example</w:t>
      </w:r>
      <w:r w:rsidR="00885AA3">
        <w:t>,</w:t>
      </w:r>
      <w:r w:rsidR="00D2084D">
        <w:t xml:space="preserve"> </w:t>
      </w:r>
      <w:r w:rsidR="00007206">
        <w:t xml:space="preserve">PRES’ support of </w:t>
      </w:r>
      <w:r w:rsidR="00007206" w:rsidRPr="00007206">
        <w:t>the Final Evaluation of the $498</w:t>
      </w:r>
      <w:r w:rsidR="00DC77C8">
        <w:t xml:space="preserve"> </w:t>
      </w:r>
      <w:r w:rsidR="00007206" w:rsidRPr="00007206">
        <w:t>m</w:t>
      </w:r>
      <w:r w:rsidR="00DC77C8">
        <w:t>illion</w:t>
      </w:r>
      <w:r w:rsidR="00007206" w:rsidRPr="00007206">
        <w:t xml:space="preserve"> Pacific Fiscal Budget Support Package</w:t>
      </w:r>
      <w:r w:rsidR="00007206">
        <w:t>.</w:t>
      </w:r>
    </w:p>
    <w:p w14:paraId="64452A77" w14:textId="475C2EF9" w:rsidR="001932D5" w:rsidRDefault="001932D5" w:rsidP="00220622">
      <w:r w:rsidRPr="00FB7C94">
        <w:lastRenderedPageBreak/>
        <w:t>The ongoing</w:t>
      </w:r>
      <w:r w:rsidR="00220622" w:rsidRPr="00FB7C94">
        <w:t xml:space="preserve"> demand for PRES services indicates</w:t>
      </w:r>
      <w:r w:rsidRPr="00FB7C94">
        <w:t xml:space="preserve"> its</w:t>
      </w:r>
      <w:r w:rsidR="00220622" w:rsidRPr="00FB7C94">
        <w:t xml:space="preserve"> ongoing relevanc</w:t>
      </w:r>
      <w:r w:rsidR="0081729D" w:rsidRPr="00FB7C94">
        <w:t>e</w:t>
      </w:r>
      <w:r w:rsidRPr="00FB7C94">
        <w:t xml:space="preserve">, and the broad geographical scope of requests for this service demonstrates its widespread relevance and necessity. For example, </w:t>
      </w:r>
      <w:r w:rsidR="006E6444">
        <w:t xml:space="preserve">the </w:t>
      </w:r>
      <w:r w:rsidRPr="00FB7C94">
        <w:t>2023-</w:t>
      </w:r>
      <w:r w:rsidR="00DC77C8">
        <w:t>20</w:t>
      </w:r>
      <w:r w:rsidRPr="00FB7C94">
        <w:t xml:space="preserve">24 </w:t>
      </w:r>
      <w:r w:rsidR="005A7E79">
        <w:t xml:space="preserve">Annual report estimated the </w:t>
      </w:r>
      <w:r w:rsidRPr="00FB7C94">
        <w:t xml:space="preserve">majority of TNs involved in-country travel on the part of advisers. </w:t>
      </w:r>
    </w:p>
    <w:p w14:paraId="3A4F0730" w14:textId="796DCC85" w:rsidR="006E6444" w:rsidRDefault="008C093C" w:rsidP="008C093C">
      <w:r>
        <w:t xml:space="preserve">Since </w:t>
      </w:r>
      <w:r w:rsidR="006E6444">
        <w:t xml:space="preserve">PRES </w:t>
      </w:r>
      <w:r>
        <w:t>commencement, most TNs are multi-country or regional (52%)</w:t>
      </w:r>
      <w:r w:rsidR="006E6444">
        <w:t>,</w:t>
      </w:r>
      <w:r>
        <w:t xml:space="preserve"> with Vanuatu increasing in relevance (making up 33</w:t>
      </w:r>
      <w:r w:rsidR="008C4EF4">
        <w:t>%</w:t>
      </w:r>
      <w:r w:rsidR="006E6444">
        <w:t xml:space="preserve"> </w:t>
      </w:r>
      <w:r>
        <w:t xml:space="preserve">of TNs). </w:t>
      </w:r>
    </w:p>
    <w:p w14:paraId="55C6D901" w14:textId="26DAFE00" w:rsidR="008C093C" w:rsidRDefault="008C093C" w:rsidP="008C093C">
      <w:r>
        <w:t xml:space="preserve">The distribution of TNs by country is given in Figure </w:t>
      </w:r>
      <w:r w:rsidR="00257D41">
        <w:t>6</w:t>
      </w:r>
      <w:r>
        <w:t xml:space="preserve">. </w:t>
      </w:r>
    </w:p>
    <w:p w14:paraId="49815CF8" w14:textId="38AD46EA" w:rsidR="004219E5" w:rsidRDefault="004219E5" w:rsidP="004219E5">
      <w:pPr>
        <w:rPr>
          <w:b/>
          <w:bCs/>
        </w:rPr>
      </w:pPr>
      <w:r w:rsidRPr="0029785A">
        <w:rPr>
          <w:b/>
          <w:bCs/>
        </w:rPr>
        <w:t xml:space="preserve">Figure </w:t>
      </w:r>
      <w:r w:rsidR="00257D41">
        <w:rPr>
          <w:b/>
          <w:bCs/>
        </w:rPr>
        <w:t>6</w:t>
      </w:r>
      <w:r w:rsidRPr="0029785A">
        <w:rPr>
          <w:b/>
          <w:bCs/>
        </w:rPr>
        <w:t xml:space="preserve">. </w:t>
      </w:r>
      <w:r w:rsidR="006E6444">
        <w:rPr>
          <w:b/>
          <w:bCs/>
        </w:rPr>
        <w:t>TNs</w:t>
      </w:r>
      <w:r>
        <w:rPr>
          <w:b/>
          <w:bCs/>
        </w:rPr>
        <w:t xml:space="preserve"> by country</w:t>
      </w:r>
      <w:r w:rsidR="002D35C0" w:rsidRPr="002D35C0">
        <w:rPr>
          <w:b/>
          <w:bCs/>
        </w:rPr>
        <w:t xml:space="preserve"> </w:t>
      </w:r>
      <w:r w:rsidR="002D35C0">
        <w:rPr>
          <w:b/>
          <w:bCs/>
        </w:rPr>
        <w:t xml:space="preserve">and </w:t>
      </w:r>
      <w:r w:rsidR="00002782">
        <w:rPr>
          <w:b/>
          <w:bCs/>
        </w:rPr>
        <w:t xml:space="preserve">financial </w:t>
      </w:r>
      <w:r w:rsidR="002D35C0">
        <w:rPr>
          <w:b/>
          <w:bCs/>
        </w:rPr>
        <w:t>year of commencement</w:t>
      </w:r>
      <w:r w:rsidR="006E6444">
        <w:rPr>
          <w:rStyle w:val="FootnoteReference"/>
          <w:b/>
          <w:bCs/>
        </w:rPr>
        <w:footnoteReference w:id="6"/>
      </w:r>
    </w:p>
    <w:p w14:paraId="0512BC53" w14:textId="2E320F4D" w:rsidR="00ED4110" w:rsidRDefault="00E62B2E" w:rsidP="004219E5">
      <w:pPr>
        <w:rPr>
          <w:b/>
          <w:bCs/>
        </w:rPr>
      </w:pPr>
      <w:r>
        <w:rPr>
          <w:noProof/>
        </w:rPr>
        <w:drawing>
          <wp:inline distT="0" distB="0" distL="0" distR="0" wp14:anchorId="5181CEDE" wp14:editId="17CB5485">
            <wp:extent cx="6192520" cy="3964305"/>
            <wp:effectExtent l="0" t="0" r="0" b="0"/>
            <wp:docPr id="13" name="Picture 12" descr="Bar chart showing the number of TNs by sector for 2021, 2022, 2023, 2024 and 2025.  Aviation is the most common sector, increasing from 2 to 23, 50 and 80 between 2021 and 2024. And currently having 9 TNs in 2025. Economic and Fiscal Governance is the second most common sector having 2,9,6 and 19 TNs between 2021 and 2024. There have been 6 TN in 2025. ">
              <a:extLst xmlns:a="http://schemas.openxmlformats.org/drawingml/2006/main">
                <a:ext uri="{FF2B5EF4-FFF2-40B4-BE49-F238E27FC236}">
                  <a16:creationId xmlns:a16="http://schemas.microsoft.com/office/drawing/2014/main" id="{EC32CF3B-A818-2C7A-693A-130C4F2A62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Bar chart showing the number of TNs by sector for 2021, 2022, 2023, 2024 and 2025.  Aviation is the most common sector, increasing from 2 to 23, 50 and 80 between 2021 and 2024. And currently having 9 TNs in 2025. Economic and Fiscal Governance is the second most common sector having 2,9,6 and 19 TNs between 2021 and 2024. There have been 6 TN in 2025. ">
                      <a:extLst>
                        <a:ext uri="{FF2B5EF4-FFF2-40B4-BE49-F238E27FC236}">
                          <a16:creationId xmlns:a16="http://schemas.microsoft.com/office/drawing/2014/main" id="{EC32CF3B-A818-2C7A-693A-130C4F2A626A}"/>
                        </a:ext>
                      </a:extLst>
                    </pic:cNvPr>
                    <pic:cNvPicPr>
                      <a:picLocks noChangeAspect="1"/>
                    </pic:cNvPicPr>
                  </pic:nvPicPr>
                  <pic:blipFill>
                    <a:blip r:embed="rId24"/>
                    <a:stretch>
                      <a:fillRect/>
                    </a:stretch>
                  </pic:blipFill>
                  <pic:spPr>
                    <a:xfrm>
                      <a:off x="0" y="0"/>
                      <a:ext cx="6192520" cy="3964305"/>
                    </a:xfrm>
                    <a:prstGeom prst="rect">
                      <a:avLst/>
                    </a:prstGeom>
                  </pic:spPr>
                </pic:pic>
              </a:graphicData>
            </a:graphic>
          </wp:inline>
        </w:drawing>
      </w:r>
    </w:p>
    <w:p w14:paraId="7A4CA66F" w14:textId="7BE34255" w:rsidR="004219E5" w:rsidRDefault="004219E5" w:rsidP="004219E5">
      <w:r>
        <w:t xml:space="preserve">Source: PRES </w:t>
      </w:r>
      <w:r w:rsidR="0083281C">
        <w:t>supplied TN data</w:t>
      </w:r>
    </w:p>
    <w:p w14:paraId="03F5EB75" w14:textId="79519C7B" w:rsidR="00014271" w:rsidRPr="00FB7C94" w:rsidRDefault="00E32D4B" w:rsidP="00014271">
      <w:bookmarkStart w:id="57" w:name="_Hlk191974719"/>
      <w:r>
        <w:t>Increasing demand for TNs</w:t>
      </w:r>
      <w:r w:rsidR="00220622" w:rsidRPr="00FB7C94">
        <w:t xml:space="preserve"> is driven </w:t>
      </w:r>
      <w:r w:rsidR="005F1498" w:rsidRPr="00FB7C94">
        <w:t xml:space="preserve">both externally by counterpart governments and partners seeking Australia’s support and expertise, </w:t>
      </w:r>
      <w:r w:rsidR="00014271" w:rsidRPr="00FB7C94">
        <w:t xml:space="preserve">and internally by the compounding pressures </w:t>
      </w:r>
      <w:r w:rsidR="00F852A5">
        <w:t xml:space="preserve">of </w:t>
      </w:r>
      <w:r w:rsidR="00766EB2">
        <w:t xml:space="preserve">finding </w:t>
      </w:r>
      <w:r w:rsidR="00F852A5">
        <w:t xml:space="preserve">often very </w:t>
      </w:r>
      <w:r w:rsidR="009C34BD">
        <w:t>specialised skill sets</w:t>
      </w:r>
      <w:r w:rsidR="00014271" w:rsidRPr="00FB7C94">
        <w:t xml:space="preserve">. </w:t>
      </w:r>
      <w:bookmarkEnd w:id="57"/>
      <w:r w:rsidR="00172171">
        <w:t xml:space="preserve">It is appropriate that highly technical skills, required for specific tasks, are </w:t>
      </w:r>
      <w:r w:rsidR="0041542D">
        <w:t>sourced from external consultants, to improve</w:t>
      </w:r>
      <w:r w:rsidR="002C2288">
        <w:t xml:space="preserve"> DFAT’s</w:t>
      </w:r>
      <w:r w:rsidR="0041542D">
        <w:t xml:space="preserve"> access to </w:t>
      </w:r>
      <w:proofErr w:type="gramStart"/>
      <w:r w:rsidR="0041542D">
        <w:t>a niche skills</w:t>
      </w:r>
      <w:proofErr w:type="gramEnd"/>
      <w:r w:rsidR="0041542D">
        <w:t xml:space="preserve"> in a timely and </w:t>
      </w:r>
      <w:proofErr w:type="gramStart"/>
      <w:r w:rsidR="0041542D">
        <w:t>cost effective</w:t>
      </w:r>
      <w:proofErr w:type="gramEnd"/>
      <w:r w:rsidR="0041542D">
        <w:t xml:space="preserve"> manner</w:t>
      </w:r>
      <w:r w:rsidR="002C2288">
        <w:t>.</w:t>
      </w:r>
      <w:r w:rsidR="00014271" w:rsidRPr="00FB7C94">
        <w:t xml:space="preserve"> </w:t>
      </w:r>
      <w:r w:rsidR="007A7F5E">
        <w:t xml:space="preserve">The unique nature of DFAT as an organisation with regular </w:t>
      </w:r>
      <w:r w:rsidR="00014271" w:rsidRPr="00FB7C94">
        <w:t xml:space="preserve">staff </w:t>
      </w:r>
      <w:r w:rsidR="007A7F5E">
        <w:t xml:space="preserve">rotation, and </w:t>
      </w:r>
      <w:r w:rsidR="003A7B35">
        <w:t xml:space="preserve">associated </w:t>
      </w:r>
      <w:r w:rsidR="007A7F5E">
        <w:t xml:space="preserve">need for transferability of skills, </w:t>
      </w:r>
      <w:r w:rsidR="00A549B5">
        <w:t>present</w:t>
      </w:r>
      <w:r w:rsidR="003A7B35">
        <w:t>s</w:t>
      </w:r>
      <w:r w:rsidR="00A549B5">
        <w:t xml:space="preserve"> a challenge for maintaining </w:t>
      </w:r>
      <w:r w:rsidR="00014271" w:rsidRPr="00FB7C94">
        <w:t xml:space="preserve">institutional memory </w:t>
      </w:r>
      <w:r w:rsidR="00A549B5">
        <w:t>and the availability of</w:t>
      </w:r>
      <w:r w:rsidR="00014271" w:rsidRPr="00FB7C94">
        <w:t xml:space="preserve"> technical </w:t>
      </w:r>
      <w:r w:rsidR="00A549B5">
        <w:t xml:space="preserve">skills </w:t>
      </w:r>
      <w:r w:rsidR="00014271" w:rsidRPr="00FB7C94">
        <w:t xml:space="preserve">in </w:t>
      </w:r>
      <w:r w:rsidR="00A549B5">
        <w:t xml:space="preserve">some </w:t>
      </w:r>
      <w:r w:rsidR="00014271" w:rsidRPr="00FB7C94">
        <w:t xml:space="preserve">areas. Furthermore, the diverse and rapidly evolving nature of DFAT’s work necessitates a breadth of specialised technical expertise that proves challenging to </w:t>
      </w:r>
      <w:r w:rsidR="00C06943" w:rsidRPr="00FB7C94">
        <w:t xml:space="preserve">solely </w:t>
      </w:r>
      <w:r w:rsidR="00014271" w:rsidRPr="00FB7C94">
        <w:t xml:space="preserve">maintain through internal capability. </w:t>
      </w:r>
    </w:p>
    <w:p w14:paraId="3C07996D" w14:textId="75FBE08C" w:rsidR="00E10E6D" w:rsidRPr="00FB7C94" w:rsidRDefault="00E10E6D" w:rsidP="00E10E6D">
      <w:r w:rsidRPr="00FB7C94">
        <w:lastRenderedPageBreak/>
        <w:t>In terms of thematic areas, PRES supports the development, strategy, design, and evaluation of aid activities across a range of disciplines in the Pacific region</w:t>
      </w:r>
      <w:r w:rsidR="00C06943">
        <w:t>,</w:t>
      </w:r>
      <w:r w:rsidRPr="00FB7C94">
        <w:t xml:space="preserve"> including:</w:t>
      </w:r>
    </w:p>
    <w:p w14:paraId="0A95B47B" w14:textId="6EC0D955" w:rsidR="00E10E6D" w:rsidRPr="00FB7C94" w:rsidRDefault="00225564" w:rsidP="00B85CF8">
      <w:pPr>
        <w:pStyle w:val="ListParagraph"/>
        <w:numPr>
          <w:ilvl w:val="0"/>
          <w:numId w:val="13"/>
        </w:numPr>
        <w:spacing w:before="120"/>
        <w:ind w:left="714" w:hanging="357"/>
        <w:contextualSpacing w:val="0"/>
      </w:pPr>
      <w:r>
        <w:t>e</w:t>
      </w:r>
      <w:r w:rsidR="00E10E6D" w:rsidRPr="00FB7C94">
        <w:t>conomic and fiscal governance</w:t>
      </w:r>
    </w:p>
    <w:p w14:paraId="2C3989E8" w14:textId="02B51A57" w:rsidR="00E10E6D" w:rsidRPr="00FB7C94" w:rsidRDefault="00225564" w:rsidP="00B85CF8">
      <w:pPr>
        <w:pStyle w:val="ListParagraph"/>
        <w:numPr>
          <w:ilvl w:val="0"/>
          <w:numId w:val="13"/>
        </w:numPr>
        <w:spacing w:before="120"/>
        <w:ind w:left="714" w:hanging="357"/>
        <w:contextualSpacing w:val="0"/>
      </w:pPr>
      <w:r>
        <w:t>f</w:t>
      </w:r>
      <w:r w:rsidR="00E10E6D" w:rsidRPr="00FB7C94">
        <w:t>inancial sector</w:t>
      </w:r>
    </w:p>
    <w:p w14:paraId="366C5E1A" w14:textId="519E8495" w:rsidR="00E10E6D" w:rsidRPr="00FB7C94" w:rsidRDefault="00225564" w:rsidP="00B85CF8">
      <w:pPr>
        <w:pStyle w:val="ListParagraph"/>
        <w:numPr>
          <w:ilvl w:val="0"/>
          <w:numId w:val="13"/>
        </w:numPr>
        <w:spacing w:before="120"/>
        <w:ind w:left="714" w:hanging="357"/>
        <w:contextualSpacing w:val="0"/>
      </w:pPr>
      <w:r>
        <w:t>p</w:t>
      </w:r>
      <w:r w:rsidR="00E10E6D" w:rsidRPr="00FB7C94">
        <w:t>rivate sector development</w:t>
      </w:r>
    </w:p>
    <w:p w14:paraId="7662D698" w14:textId="44B43D3F" w:rsidR="00E10E6D" w:rsidRPr="00FB7C94" w:rsidRDefault="00225564" w:rsidP="00B85CF8">
      <w:pPr>
        <w:pStyle w:val="ListParagraph"/>
        <w:numPr>
          <w:ilvl w:val="0"/>
          <w:numId w:val="13"/>
        </w:numPr>
        <w:spacing w:before="120"/>
        <w:ind w:left="714" w:hanging="357"/>
        <w:contextualSpacing w:val="0"/>
      </w:pPr>
      <w:r>
        <w:t>t</w:t>
      </w:r>
      <w:r w:rsidR="00E10E6D" w:rsidRPr="00FB7C94">
        <w:t>rade</w:t>
      </w:r>
    </w:p>
    <w:p w14:paraId="5F50BF30" w14:textId="4C56CD50" w:rsidR="00E10E6D" w:rsidRPr="00FB7C94" w:rsidRDefault="00225564" w:rsidP="00B85CF8">
      <w:pPr>
        <w:pStyle w:val="ListParagraph"/>
        <w:numPr>
          <w:ilvl w:val="0"/>
          <w:numId w:val="13"/>
        </w:numPr>
        <w:spacing w:before="120"/>
        <w:ind w:left="714" w:hanging="357"/>
        <w:contextualSpacing w:val="0"/>
      </w:pPr>
      <w:r>
        <w:t>l</w:t>
      </w:r>
      <w:r w:rsidR="00E10E6D" w:rsidRPr="00FB7C94">
        <w:t>abour mobility and education</w:t>
      </w:r>
      <w:r>
        <w:t>.</w:t>
      </w:r>
      <w:r w:rsidR="00E10E6D" w:rsidRPr="00FB7C94">
        <w:t xml:space="preserve"> </w:t>
      </w:r>
    </w:p>
    <w:p w14:paraId="75048614" w14:textId="4919E9E0" w:rsidR="00E10E6D" w:rsidRPr="00FB7C94" w:rsidRDefault="00E10E6D" w:rsidP="00E10E6D">
      <w:r w:rsidRPr="00FB7C94">
        <w:t xml:space="preserve">In addition, PRES can provide DFAT with access to expertise in </w:t>
      </w:r>
      <w:r w:rsidR="00C06943" w:rsidRPr="00FB7C94">
        <w:t>cross</w:t>
      </w:r>
      <w:r w:rsidR="00C06943">
        <w:t>-</w:t>
      </w:r>
      <w:r w:rsidRPr="00FB7C94">
        <w:t>cutting areas in the context of development, including:</w:t>
      </w:r>
    </w:p>
    <w:p w14:paraId="499899E9" w14:textId="218DF935" w:rsidR="00E10E6D" w:rsidRPr="00FB7C94" w:rsidRDefault="00225564" w:rsidP="00B85CF8">
      <w:pPr>
        <w:pStyle w:val="ListParagraph"/>
        <w:numPr>
          <w:ilvl w:val="0"/>
          <w:numId w:val="13"/>
        </w:numPr>
        <w:spacing w:before="120"/>
        <w:ind w:left="714" w:hanging="357"/>
        <w:contextualSpacing w:val="0"/>
      </w:pPr>
      <w:r>
        <w:t>s</w:t>
      </w:r>
      <w:r w:rsidR="00E10E6D" w:rsidRPr="00FB7C94">
        <w:t>ocial protection</w:t>
      </w:r>
    </w:p>
    <w:p w14:paraId="7E55682B" w14:textId="2398B5CE" w:rsidR="00E10E6D" w:rsidRPr="00FB7C94" w:rsidRDefault="004B2D11" w:rsidP="00B85CF8">
      <w:pPr>
        <w:pStyle w:val="ListParagraph"/>
        <w:numPr>
          <w:ilvl w:val="0"/>
          <w:numId w:val="13"/>
        </w:numPr>
        <w:spacing w:before="120"/>
        <w:ind w:left="714" w:hanging="357"/>
        <w:contextualSpacing w:val="0"/>
      </w:pPr>
      <w:r>
        <w:t>GEDSI</w:t>
      </w:r>
    </w:p>
    <w:p w14:paraId="2D8A225F" w14:textId="76C1069B" w:rsidR="00E10E6D" w:rsidRPr="00FB7C94" w:rsidRDefault="000D0FBA" w:rsidP="00B85CF8">
      <w:pPr>
        <w:pStyle w:val="ListParagraph"/>
        <w:numPr>
          <w:ilvl w:val="0"/>
          <w:numId w:val="13"/>
        </w:numPr>
        <w:spacing w:before="120"/>
        <w:ind w:left="714" w:hanging="357"/>
        <w:contextualSpacing w:val="0"/>
      </w:pPr>
      <w:r>
        <w:t>MEL</w:t>
      </w:r>
    </w:p>
    <w:p w14:paraId="27556DF4" w14:textId="51C0A97A" w:rsidR="00E10E6D" w:rsidRPr="00FB7C94" w:rsidRDefault="00225564" w:rsidP="00B85CF8">
      <w:pPr>
        <w:pStyle w:val="ListParagraph"/>
        <w:numPr>
          <w:ilvl w:val="0"/>
          <w:numId w:val="13"/>
        </w:numPr>
        <w:spacing w:before="120"/>
        <w:ind w:left="714" w:hanging="357"/>
        <w:contextualSpacing w:val="0"/>
      </w:pPr>
      <w:r>
        <w:t>c</w:t>
      </w:r>
      <w:r w:rsidR="00E10E6D" w:rsidRPr="00FB7C94">
        <w:t>limate change, disaster management and impact on economics</w:t>
      </w:r>
    </w:p>
    <w:p w14:paraId="13680282" w14:textId="3A3D039E" w:rsidR="00E10E6D" w:rsidRPr="00FB7C94" w:rsidRDefault="00225564" w:rsidP="00B85CF8">
      <w:pPr>
        <w:pStyle w:val="ListParagraph"/>
        <w:numPr>
          <w:ilvl w:val="0"/>
          <w:numId w:val="13"/>
        </w:numPr>
        <w:spacing w:before="120"/>
        <w:ind w:left="714" w:hanging="357"/>
        <w:contextualSpacing w:val="0"/>
      </w:pPr>
      <w:r>
        <w:t>p</w:t>
      </w:r>
      <w:r w:rsidR="00E10E6D" w:rsidRPr="00FB7C94">
        <w:t>olitical economy</w:t>
      </w:r>
    </w:p>
    <w:p w14:paraId="2C8D8DCA" w14:textId="6E826D9A" w:rsidR="00220622" w:rsidRPr="00FB7C94" w:rsidRDefault="00225564" w:rsidP="00B85CF8">
      <w:pPr>
        <w:pStyle w:val="ListParagraph"/>
        <w:numPr>
          <w:ilvl w:val="0"/>
          <w:numId w:val="13"/>
        </w:numPr>
        <w:spacing w:before="120"/>
        <w:ind w:left="714" w:hanging="357"/>
        <w:contextualSpacing w:val="0"/>
      </w:pPr>
      <w:r>
        <w:t>c</w:t>
      </w:r>
      <w:r w:rsidR="00E10E6D" w:rsidRPr="00FB7C94">
        <w:t>hild protection, risk and safeguarding.</w:t>
      </w:r>
    </w:p>
    <w:p w14:paraId="6AD65EAE" w14:textId="45FE6C48" w:rsidR="00E10E6D" w:rsidRPr="00FB7C94" w:rsidRDefault="00E10E6D" w:rsidP="00E10E6D">
      <w:r w:rsidRPr="00FB7C94">
        <w:t xml:space="preserve">While all the disciplines and </w:t>
      </w:r>
      <w:r w:rsidR="00F42735" w:rsidRPr="00FB7C94">
        <w:t>cross</w:t>
      </w:r>
      <w:r w:rsidR="00F42735">
        <w:t>-</w:t>
      </w:r>
      <w:r w:rsidRPr="00FB7C94">
        <w:t>cutting issues remain relevant across the Pacific region, consultations raised question about whether PRES’ continuing focus should change. There were mixed views from those consulted, with some indicating that the relevance of, and demand for, PRES services mean it should be extended more broadly across OTP. Some indicated that PRES</w:t>
      </w:r>
      <w:r w:rsidR="003A05AB" w:rsidRPr="00FB7C94">
        <w:t>’</w:t>
      </w:r>
      <w:r w:rsidRPr="00FB7C94">
        <w:t xml:space="preserve"> </w:t>
      </w:r>
      <w:r w:rsidR="003A05AB" w:rsidRPr="00FB7C94">
        <w:t xml:space="preserve">primary </w:t>
      </w:r>
      <w:r w:rsidRPr="00FB7C94">
        <w:t xml:space="preserve">focus should </w:t>
      </w:r>
      <w:r w:rsidR="003A05AB" w:rsidRPr="00FB7C94">
        <w:t>remain on economic support and/or</w:t>
      </w:r>
      <w:r w:rsidRPr="00FB7C94">
        <w:t xml:space="preserve"> narrowed to allow specialist focus on areas such as public financial management, </w:t>
      </w:r>
      <w:r w:rsidR="003A05AB" w:rsidRPr="00FB7C94">
        <w:t>whereas</w:t>
      </w:r>
      <w:r w:rsidRPr="00FB7C94">
        <w:t xml:space="preserve"> others though</w:t>
      </w:r>
      <w:r w:rsidR="005D2DC6">
        <w:t>t</w:t>
      </w:r>
      <w:r w:rsidRPr="00FB7C94">
        <w:t xml:space="preserve"> the establishment of the </w:t>
      </w:r>
      <w:r w:rsidR="00F42735" w:rsidRPr="4E4D3734">
        <w:rPr>
          <w:rFonts w:ascii="Arial" w:hAnsi="Arial" w:cs="Arial"/>
          <w:color w:val="auto"/>
        </w:rPr>
        <w:t>Australia-Pacific Partnerships for Aviation</w:t>
      </w:r>
      <w:r w:rsidRPr="00FB7C94">
        <w:t xml:space="preserve"> program might necessitate or allow a wider focus. </w:t>
      </w:r>
      <w:r w:rsidR="003A05AB" w:rsidRPr="00FB7C94">
        <w:t xml:space="preserve">If </w:t>
      </w:r>
      <w:r w:rsidR="00177DC5">
        <w:t xml:space="preserve">the </w:t>
      </w:r>
      <w:r w:rsidR="003A05AB" w:rsidRPr="00FB7C94">
        <w:t>PRES focus is on economic support</w:t>
      </w:r>
      <w:r w:rsidR="00177DC5">
        <w:t>,</w:t>
      </w:r>
      <w:r w:rsidR="003A05AB" w:rsidRPr="00FB7C94">
        <w:t xml:space="preserve"> as its core area of capability, it should be tested </w:t>
      </w:r>
      <w:r w:rsidR="00710072">
        <w:t xml:space="preserve">to determine </w:t>
      </w:r>
      <w:r w:rsidR="003A05AB" w:rsidRPr="00FB7C94">
        <w:t xml:space="preserve">whether broader disciplines (such as education) or </w:t>
      </w:r>
      <w:r w:rsidR="00177DC5" w:rsidRPr="00FB7C94">
        <w:t>cross</w:t>
      </w:r>
      <w:r w:rsidR="00177DC5">
        <w:t>-</w:t>
      </w:r>
      <w:r w:rsidR="003A05AB" w:rsidRPr="00FB7C94">
        <w:t xml:space="preserve">cutting areas (such as MEL) are better covered by other programs. </w:t>
      </w:r>
    </w:p>
    <w:p w14:paraId="33187F3B" w14:textId="4CA0EB85" w:rsidR="007B145D" w:rsidRPr="009029BE" w:rsidRDefault="003A05AB" w:rsidP="005519B9">
      <w:pPr>
        <w:pStyle w:val="Tealblocktext"/>
        <w:rPr>
          <w:b/>
          <w:bCs/>
          <w:lang w:eastAsia="en-GB"/>
        </w:rPr>
      </w:pPr>
      <w:r w:rsidRPr="009029BE">
        <w:rPr>
          <w:b/>
          <w:bCs/>
          <w:lang w:eastAsia="en-GB"/>
        </w:rPr>
        <w:t xml:space="preserve"> </w:t>
      </w:r>
      <w:r w:rsidR="00E90616" w:rsidRPr="009029BE">
        <w:rPr>
          <w:b/>
          <w:bCs/>
          <w:lang w:eastAsia="en-GB"/>
        </w:rPr>
        <w:t>Recommendation 3 (</w:t>
      </w:r>
      <w:r w:rsidR="00E90616" w:rsidRPr="00002C96">
        <w:rPr>
          <w:b/>
          <w:bCs/>
          <w:lang w:eastAsia="en-GB"/>
        </w:rPr>
        <w:t>Next phase</w:t>
      </w:r>
      <w:r w:rsidR="00F42735">
        <w:rPr>
          <w:b/>
          <w:bCs/>
          <w:lang w:eastAsia="en-GB"/>
        </w:rPr>
        <w:t xml:space="preserve"> </w:t>
      </w:r>
      <w:r w:rsidR="00E90616" w:rsidRPr="006036DF">
        <w:rPr>
          <w:b/>
          <w:bCs/>
          <w:lang w:eastAsia="en-GB"/>
        </w:rPr>
        <w:t>/</w:t>
      </w:r>
      <w:r w:rsidR="00F42735">
        <w:rPr>
          <w:b/>
          <w:bCs/>
          <w:lang w:eastAsia="en-GB"/>
        </w:rPr>
        <w:t xml:space="preserve"> </w:t>
      </w:r>
      <w:r w:rsidR="00E90616" w:rsidRPr="006036DF">
        <w:rPr>
          <w:b/>
          <w:bCs/>
          <w:lang w:eastAsia="en-GB"/>
        </w:rPr>
        <w:t>Strategic</w:t>
      </w:r>
      <w:r w:rsidR="00E90616" w:rsidRPr="00002C96">
        <w:rPr>
          <w:b/>
          <w:bCs/>
          <w:lang w:eastAsia="en-GB"/>
        </w:rPr>
        <w:t>)</w:t>
      </w:r>
      <w:r w:rsidR="00E90616" w:rsidRPr="009029BE">
        <w:rPr>
          <w:b/>
          <w:bCs/>
          <w:lang w:eastAsia="en-GB"/>
        </w:rPr>
        <w:t xml:space="preserve"> </w:t>
      </w:r>
      <w:r w:rsidR="00E90616" w:rsidRPr="009029BE">
        <w:rPr>
          <w:lang w:eastAsia="en-GB"/>
        </w:rPr>
        <w:t>Any future design should consider</w:t>
      </w:r>
      <w:r w:rsidR="00624F68">
        <w:rPr>
          <w:lang w:eastAsia="en-GB"/>
        </w:rPr>
        <w:t xml:space="preserve"> continued</w:t>
      </w:r>
      <w:r w:rsidR="00E90616" w:rsidRPr="009029BE">
        <w:rPr>
          <w:lang w:eastAsia="en-GB"/>
        </w:rPr>
        <w:t xml:space="preserve"> alignment of PRES’ scope with </w:t>
      </w:r>
      <w:r w:rsidR="00FF3F5D">
        <w:rPr>
          <w:lang w:eastAsia="en-GB"/>
        </w:rPr>
        <w:t xml:space="preserve">DFAT’s </w:t>
      </w:r>
      <w:r w:rsidR="00E90616" w:rsidRPr="009029BE">
        <w:rPr>
          <w:lang w:eastAsia="en-GB"/>
        </w:rPr>
        <w:t>strategic priorities and contextual needs. Any future design should re-name the program to reflect its new operating context.</w:t>
      </w:r>
      <w:r w:rsidR="00E90616" w:rsidRPr="009029BE">
        <w:rPr>
          <w:b/>
          <w:bCs/>
          <w:lang w:eastAsia="en-GB"/>
        </w:rPr>
        <w:t xml:space="preserve"> </w:t>
      </w:r>
    </w:p>
    <w:p w14:paraId="39EA9215" w14:textId="77777777" w:rsidR="00043731" w:rsidRDefault="00043731">
      <w:pPr>
        <w:rPr>
          <w:b/>
          <w:bCs/>
        </w:rPr>
      </w:pPr>
      <w:bookmarkStart w:id="58" w:name="_Toc195808973"/>
      <w:bookmarkStart w:id="59" w:name="_Toc205992463"/>
      <w:bookmarkStart w:id="60" w:name="_Toc205992550"/>
      <w:r>
        <w:rPr>
          <w:b/>
          <w:bCs/>
          <w:caps/>
        </w:rPr>
        <w:br w:type="page"/>
      </w:r>
    </w:p>
    <w:p w14:paraId="27F868B7" w14:textId="4DB87EF0" w:rsidR="00430426" w:rsidRDefault="00430426" w:rsidP="00430426">
      <w:pPr>
        <w:pStyle w:val="Heading1nonumber"/>
      </w:pPr>
      <w:r>
        <w:rPr>
          <w:noProof/>
        </w:rPr>
        <w:lastRenderedPageBreak/>
        <w:drawing>
          <wp:anchor distT="0" distB="0" distL="114300" distR="114300" simplePos="0" relativeHeight="251658246" behindDoc="1" locked="0" layoutInCell="1" allowOverlap="1" wp14:anchorId="6AB5285D" wp14:editId="559972DD">
            <wp:simplePos x="0" y="0"/>
            <wp:positionH relativeFrom="margin">
              <wp:posOffset>5631180</wp:posOffset>
            </wp:positionH>
            <wp:positionV relativeFrom="paragraph">
              <wp:posOffset>151765</wp:posOffset>
            </wp:positionV>
            <wp:extent cx="664845" cy="664845"/>
            <wp:effectExtent l="0" t="0" r="1905" b="1905"/>
            <wp:wrapSquare wrapText="bothSides"/>
            <wp:docPr id="21521587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15870" name="Picture 5">
                      <a:extLst>
                        <a:ext uri="{C183D7F6-B498-43B3-948B-1728B52AA6E4}">
                          <adec:decorative xmlns:adec="http://schemas.microsoft.com/office/drawing/2017/decorative" val="1"/>
                        </a:ext>
                      </a:extLst>
                    </pic:cNvPr>
                    <pic:cNvPicPr/>
                  </pic:nvPicPr>
                  <pic:blipFill>
                    <a:blip r:embed="rId25"/>
                    <a:stretch>
                      <a:fillRect/>
                    </a:stretch>
                  </pic:blipFill>
                  <pic:spPr>
                    <a:xfrm>
                      <a:off x="0" y="0"/>
                      <a:ext cx="664845" cy="664845"/>
                    </a:xfrm>
                    <a:prstGeom prst="rect">
                      <a:avLst/>
                    </a:prstGeom>
                  </pic:spPr>
                </pic:pic>
              </a:graphicData>
            </a:graphic>
            <wp14:sizeRelH relativeFrom="page">
              <wp14:pctWidth>0</wp14:pctWidth>
            </wp14:sizeRelH>
            <wp14:sizeRelV relativeFrom="page">
              <wp14:pctHeight>0</wp14:pctHeight>
            </wp14:sizeRelV>
          </wp:anchor>
        </w:drawing>
      </w:r>
      <w:r w:rsidRPr="008F253E">
        <w:t>KRQ</w:t>
      </w:r>
      <w:r>
        <w:t>4</w:t>
      </w:r>
      <w:r w:rsidRPr="008F253E">
        <w:t>.</w:t>
      </w:r>
      <w:r w:rsidRPr="00430426">
        <w:t xml:space="preserve"> </w:t>
      </w:r>
      <w:r w:rsidR="00732A59" w:rsidRPr="4B8AE8E7">
        <w:t>To what extent did PRES promote GEDSI outcomes</w:t>
      </w:r>
      <w:r>
        <w:t>?</w:t>
      </w:r>
      <w:bookmarkEnd w:id="58"/>
      <w:bookmarkEnd w:id="59"/>
      <w:bookmarkEnd w:id="60"/>
    </w:p>
    <w:p w14:paraId="1D00961D" w14:textId="28D837E1" w:rsidR="00FF5069" w:rsidRPr="00BD713B" w:rsidRDefault="000C133B" w:rsidP="008D6455">
      <w:pPr>
        <w:pStyle w:val="Orangeblocktext"/>
      </w:pPr>
      <w:r>
        <w:rPr>
          <w:b/>
          <w:bCs/>
        </w:rPr>
        <w:t xml:space="preserve">To what extent did PRES promote GEDSI </w:t>
      </w:r>
      <w:r w:rsidR="004E74B7">
        <w:rPr>
          <w:b/>
          <w:bCs/>
        </w:rPr>
        <w:t>o</w:t>
      </w:r>
      <w:r>
        <w:rPr>
          <w:b/>
          <w:bCs/>
        </w:rPr>
        <w:t xml:space="preserve">utcomes? </w:t>
      </w:r>
      <w:r w:rsidR="00FC04BE" w:rsidRPr="00F96008">
        <w:t>PRES has made notable progress in promoting GEDSI outcomes</w:t>
      </w:r>
      <w:r w:rsidR="00DD5099">
        <w:t>.</w:t>
      </w:r>
      <w:r w:rsidR="004B696F">
        <w:t xml:space="preserve"> </w:t>
      </w:r>
      <w:r w:rsidR="00FC04BE" w:rsidRPr="00F96008">
        <w:t xml:space="preserve">Despite </w:t>
      </w:r>
      <w:r w:rsidR="00DD5099" w:rsidRPr="00F96008">
        <w:t>new</w:t>
      </w:r>
      <w:r w:rsidR="00DD5099">
        <w:t xml:space="preserve"> GEDSI </w:t>
      </w:r>
      <w:r w:rsidR="00FC04BE" w:rsidRPr="00F96008">
        <w:t>IO</w:t>
      </w:r>
      <w:r w:rsidR="00DD5099">
        <w:t>s</w:t>
      </w:r>
      <w:r w:rsidR="00FC04BE" w:rsidRPr="00F96008">
        <w:t xml:space="preserve"> only being integrated into </w:t>
      </w:r>
      <w:r w:rsidR="00A8616D">
        <w:t>Performance Assessment Framework (</w:t>
      </w:r>
      <w:r w:rsidR="00CA2992">
        <w:t>PAF</w:t>
      </w:r>
      <w:r w:rsidR="00A8616D">
        <w:t>)</w:t>
      </w:r>
      <w:r w:rsidR="00CA2992">
        <w:t xml:space="preserve"> and program logic</w:t>
      </w:r>
      <w:r w:rsidR="00FC04BE" w:rsidRPr="00F96008">
        <w:t xml:space="preserve"> </w:t>
      </w:r>
      <w:r w:rsidR="00CA2992">
        <w:t>post</w:t>
      </w:r>
      <w:r w:rsidR="00FC04BE" w:rsidRPr="00F96008">
        <w:t xml:space="preserve"> </w:t>
      </w:r>
      <w:r w:rsidR="0073447D">
        <w:t xml:space="preserve">July </w:t>
      </w:r>
      <w:r w:rsidR="00FC04BE" w:rsidRPr="00F96008">
        <w:t>2024, there is already evidence of strengthened identification of GEDSI dimensions in TNs</w:t>
      </w:r>
      <w:r w:rsidR="004E74B7">
        <w:t xml:space="preserve"> </w:t>
      </w:r>
      <w:r w:rsidR="00FC04BE" w:rsidRPr="00F96008">
        <w:t>/</w:t>
      </w:r>
      <w:r w:rsidR="004E74B7">
        <w:t xml:space="preserve"> </w:t>
      </w:r>
      <w:r w:rsidR="00FC04BE" w:rsidRPr="00F96008">
        <w:t xml:space="preserve">ASOs and increased gender, disability and diversity sensitivity in PRES activities. </w:t>
      </w:r>
    </w:p>
    <w:p w14:paraId="04F0FB2D" w14:textId="795B2440" w:rsidR="00447C74" w:rsidRDefault="00447C74" w:rsidP="00D93E5B">
      <w:pPr>
        <w:pStyle w:val="Heading3nonumber"/>
      </w:pPr>
      <w:r>
        <w:t>4</w:t>
      </w:r>
      <w:r w:rsidRPr="152412E2">
        <w:t>.</w:t>
      </w:r>
      <w:r>
        <w:t xml:space="preserve">1 </w:t>
      </w:r>
      <w:r w:rsidR="00417A18">
        <w:t>Gender equality results</w:t>
      </w:r>
    </w:p>
    <w:p w14:paraId="176258F2" w14:textId="06870C3D" w:rsidR="006B4290" w:rsidRDefault="00C03E33" w:rsidP="006B4290">
      <w:pPr>
        <w:keepNext/>
      </w:pPr>
      <w:bookmarkStart w:id="61" w:name="_Hlk191974863"/>
      <w:r>
        <w:rPr>
          <w:szCs w:val="21"/>
        </w:rPr>
        <w:t xml:space="preserve">Consultations reveal that PRES </w:t>
      </w:r>
      <w:r w:rsidR="00922F90">
        <w:rPr>
          <w:szCs w:val="21"/>
        </w:rPr>
        <w:t>initially struggled with GEDSI performance</w:t>
      </w:r>
      <w:r w:rsidR="00EF7A45">
        <w:rPr>
          <w:szCs w:val="21"/>
        </w:rPr>
        <w:t xml:space="preserve"> but that this has improved over time</w:t>
      </w:r>
      <w:r w:rsidR="005012A6">
        <w:rPr>
          <w:szCs w:val="21"/>
        </w:rPr>
        <w:t xml:space="preserve">. </w:t>
      </w:r>
      <w:r w:rsidR="005012A6" w:rsidRPr="005012A6">
        <w:rPr>
          <w:szCs w:val="21"/>
        </w:rPr>
        <w:t xml:space="preserve">Initially, the primary focus of the first GEDSI adviser was on supporting the Fiscal and Budget Support Program, resulting in </w:t>
      </w:r>
      <w:r w:rsidR="00710072" w:rsidRPr="005012A6">
        <w:rPr>
          <w:szCs w:val="21"/>
        </w:rPr>
        <w:t>individua</w:t>
      </w:r>
      <w:r w:rsidR="00710072">
        <w:rPr>
          <w:szCs w:val="21"/>
        </w:rPr>
        <w:t>l TNs</w:t>
      </w:r>
      <w:r w:rsidR="00710072" w:rsidRPr="005012A6">
        <w:rPr>
          <w:szCs w:val="21"/>
        </w:rPr>
        <w:t xml:space="preserve"> determin</w:t>
      </w:r>
      <w:r w:rsidR="00710072">
        <w:rPr>
          <w:szCs w:val="21"/>
        </w:rPr>
        <w:t>ing</w:t>
      </w:r>
      <w:r w:rsidR="00710072" w:rsidRPr="005012A6">
        <w:rPr>
          <w:szCs w:val="21"/>
        </w:rPr>
        <w:t xml:space="preserve"> </w:t>
      </w:r>
      <w:r w:rsidR="005012A6" w:rsidRPr="005012A6">
        <w:rPr>
          <w:szCs w:val="21"/>
        </w:rPr>
        <w:t xml:space="preserve">the integration of GEDSI. However, in </w:t>
      </w:r>
      <w:r w:rsidR="00FA5E06">
        <w:rPr>
          <w:szCs w:val="21"/>
        </w:rPr>
        <w:t>late 2023 and early 2024</w:t>
      </w:r>
      <w:r w:rsidR="005012A6" w:rsidRPr="005012A6">
        <w:rPr>
          <w:szCs w:val="21"/>
        </w:rPr>
        <w:t xml:space="preserve">, significant effort was made to enhance the program's GEDSI components, including the appointment of a new GEDSI adviser and the development of a GEDSI </w:t>
      </w:r>
      <w:r w:rsidR="005012A6">
        <w:rPr>
          <w:szCs w:val="21"/>
        </w:rPr>
        <w:t>strategy</w:t>
      </w:r>
      <w:r w:rsidR="00B01338">
        <w:rPr>
          <w:szCs w:val="21"/>
        </w:rPr>
        <w:t xml:space="preserve">. This resulted in two new GEDSI IOs being added to the </w:t>
      </w:r>
      <w:r w:rsidR="00B01338">
        <w:t>PAF in 2023-2024 Quarter 4 and have been reported against in the 2024 Annual report and subsequent quarterly reports, all of which have found that both IOs are on track.</w:t>
      </w:r>
      <w:r w:rsidR="00EA5964">
        <w:t xml:space="preserve"> The rating for gender equality has also improved from ‘3’ in 2023 to ‘4’ in 2024, according to the 2024 Annual IMR.</w:t>
      </w:r>
      <w:r w:rsidR="00B01338">
        <w:t xml:space="preserve"> The IOs were </w:t>
      </w:r>
      <w:r w:rsidR="00EA5964">
        <w:t xml:space="preserve">subsequently </w:t>
      </w:r>
      <w:r w:rsidR="00B01338">
        <w:t>added to the new MEL framework and program logic in April 2025</w:t>
      </w:r>
      <w:r w:rsidR="00E87E63">
        <w:t xml:space="preserve">. </w:t>
      </w:r>
    </w:p>
    <w:bookmarkEnd w:id="61"/>
    <w:p w14:paraId="1BB7391A" w14:textId="2994CEC3" w:rsidR="000904FE" w:rsidRDefault="000904FE" w:rsidP="00B85CF8">
      <w:pPr>
        <w:keepNext/>
        <w:rPr>
          <w:szCs w:val="21"/>
        </w:rPr>
      </w:pPr>
      <w:r w:rsidRPr="000904FE">
        <w:rPr>
          <w:szCs w:val="21"/>
        </w:rPr>
        <w:t xml:space="preserve">Although </w:t>
      </w:r>
      <w:r>
        <w:rPr>
          <w:szCs w:val="21"/>
        </w:rPr>
        <w:t>PRES</w:t>
      </w:r>
      <w:r w:rsidRPr="000904FE">
        <w:rPr>
          <w:szCs w:val="21"/>
        </w:rPr>
        <w:t xml:space="preserve"> is demonstrating significant effort toward improvement, success hinges on consistent support and engagement from all </w:t>
      </w:r>
      <w:r>
        <w:rPr>
          <w:szCs w:val="21"/>
        </w:rPr>
        <w:t>sections and DFAT</w:t>
      </w:r>
      <w:r w:rsidRPr="000904FE">
        <w:rPr>
          <w:szCs w:val="21"/>
        </w:rPr>
        <w:t xml:space="preserve"> staff. </w:t>
      </w:r>
      <w:r w:rsidR="00056009" w:rsidRPr="00FB7C94">
        <w:rPr>
          <w:szCs w:val="21"/>
        </w:rPr>
        <w:t>Consultations suggest that there are differences in how GEDSI considerations are applied across various sections and identified potential to strengthen the consistent application of GEDSI</w:t>
      </w:r>
      <w:r w:rsidR="008873B8">
        <w:rPr>
          <w:szCs w:val="21"/>
        </w:rPr>
        <w:t xml:space="preserve"> principles and practices</w:t>
      </w:r>
      <w:r w:rsidR="00056009" w:rsidRPr="00FB7C94">
        <w:rPr>
          <w:szCs w:val="21"/>
        </w:rPr>
        <w:t>.</w:t>
      </w:r>
    </w:p>
    <w:p w14:paraId="158018BC" w14:textId="0738F3EF" w:rsidR="000F5858" w:rsidRDefault="00F83AFE" w:rsidP="00054DE8">
      <w:pPr>
        <w:keepNext/>
      </w:pPr>
      <w:r>
        <w:rPr>
          <w:szCs w:val="21"/>
        </w:rPr>
        <w:t>The evaluation team has evaluated PRES current performance in terms of GEDSI against the two GEDSI IOs.</w:t>
      </w:r>
      <w:r>
        <w:t xml:space="preserve"> These</w:t>
      </w:r>
      <w:r w:rsidR="00710072">
        <w:t xml:space="preserve"> are</w:t>
      </w:r>
      <w:r w:rsidR="000F5858">
        <w:t>:</w:t>
      </w:r>
    </w:p>
    <w:p w14:paraId="77A4B9F9" w14:textId="5D2690E8" w:rsidR="000F5858" w:rsidRPr="00B85CF8" w:rsidRDefault="000F5858" w:rsidP="00B85CF8">
      <w:pPr>
        <w:pStyle w:val="ListParagraph"/>
        <w:numPr>
          <w:ilvl w:val="0"/>
          <w:numId w:val="13"/>
        </w:numPr>
        <w:spacing w:before="120"/>
        <w:ind w:left="714" w:hanging="357"/>
        <w:contextualSpacing w:val="0"/>
        <w:rPr>
          <w:b/>
          <w:bCs/>
        </w:rPr>
      </w:pPr>
      <w:r w:rsidRPr="00B85CF8">
        <w:rPr>
          <w:b/>
          <w:bCs/>
        </w:rPr>
        <w:t xml:space="preserve">GEDSI IO1: </w:t>
      </w:r>
      <w:r w:rsidR="00D83FAE">
        <w:t>TN</w:t>
      </w:r>
      <w:r w:rsidRPr="00FE1895">
        <w:t xml:space="preserve"> identification of GEDSI dimensions is improved.</w:t>
      </w:r>
      <w:r w:rsidRPr="00B85CF8">
        <w:rPr>
          <w:b/>
          <w:bCs/>
        </w:rPr>
        <w:t xml:space="preserve"> </w:t>
      </w:r>
    </w:p>
    <w:p w14:paraId="4C52334B" w14:textId="2B920892" w:rsidR="000F5858" w:rsidRPr="00B57FEE" w:rsidRDefault="000F5858" w:rsidP="00B85CF8">
      <w:pPr>
        <w:pStyle w:val="ListParagraph"/>
        <w:numPr>
          <w:ilvl w:val="0"/>
          <w:numId w:val="13"/>
        </w:numPr>
        <w:spacing w:before="120"/>
        <w:ind w:left="714" w:hanging="357"/>
        <w:contextualSpacing w:val="0"/>
      </w:pPr>
      <w:r w:rsidRPr="00B85CF8">
        <w:rPr>
          <w:b/>
          <w:bCs/>
        </w:rPr>
        <w:t>GEDSI</w:t>
      </w:r>
      <w:r w:rsidRPr="00B57FEE">
        <w:t xml:space="preserve"> </w:t>
      </w:r>
      <w:r w:rsidRPr="00B85CF8">
        <w:rPr>
          <w:b/>
          <w:bCs/>
        </w:rPr>
        <w:t>IO</w:t>
      </w:r>
      <w:r w:rsidR="008873B8" w:rsidRPr="00B85CF8">
        <w:rPr>
          <w:b/>
          <w:bCs/>
        </w:rPr>
        <w:t>2</w:t>
      </w:r>
      <w:r w:rsidRPr="00B57FEE">
        <w:t>: PRES activities are gender sensitive and</w:t>
      </w:r>
      <w:r w:rsidR="002527AC">
        <w:t>/or</w:t>
      </w:r>
      <w:r w:rsidRPr="00B57FEE">
        <w:t xml:space="preserve"> disability inclusive. </w:t>
      </w:r>
    </w:p>
    <w:p w14:paraId="570B9022" w14:textId="7413E494" w:rsidR="001A0883" w:rsidRPr="002527AC" w:rsidRDefault="002527AC" w:rsidP="00C1328B">
      <w:pPr>
        <w:keepNext/>
        <w:spacing w:before="240" w:after="120"/>
        <w:rPr>
          <w:szCs w:val="21"/>
        </w:rPr>
      </w:pPr>
      <w:r>
        <w:rPr>
          <w:szCs w:val="21"/>
        </w:rPr>
        <w:t xml:space="preserve">Data indicates that </w:t>
      </w:r>
      <w:r w:rsidR="00134820">
        <w:rPr>
          <w:szCs w:val="21"/>
        </w:rPr>
        <w:t>PRES has been successful on GEDSI IO</w:t>
      </w:r>
      <w:r w:rsidR="001A0883">
        <w:rPr>
          <w:szCs w:val="21"/>
        </w:rPr>
        <w:t>1 and making progress towards GEDSI IO2</w:t>
      </w:r>
      <w:r w:rsidR="00134820">
        <w:rPr>
          <w:szCs w:val="21"/>
        </w:rPr>
        <w:t>.</w:t>
      </w:r>
      <w:r>
        <w:rPr>
          <w:szCs w:val="21"/>
        </w:rPr>
        <w:t xml:space="preserve"> </w:t>
      </w:r>
    </w:p>
    <w:p w14:paraId="4A75A859" w14:textId="1B99D3D8" w:rsidR="001E0633" w:rsidRDefault="00134820" w:rsidP="001E0633">
      <w:pPr>
        <w:keepNext/>
        <w:spacing w:before="240" w:after="120"/>
        <w:rPr>
          <w:szCs w:val="21"/>
        </w:rPr>
      </w:pPr>
      <w:r>
        <w:rPr>
          <w:szCs w:val="21"/>
        </w:rPr>
        <w:t>Q</w:t>
      </w:r>
      <w:r w:rsidR="00B35A32">
        <w:rPr>
          <w:szCs w:val="21"/>
        </w:rPr>
        <w:t xml:space="preserve">uarterly reviews found that PRES reviewed </w:t>
      </w:r>
      <w:r w:rsidR="00B850B6">
        <w:rPr>
          <w:szCs w:val="21"/>
        </w:rPr>
        <w:t xml:space="preserve">seven out </w:t>
      </w:r>
      <w:r w:rsidR="004F1BB6">
        <w:rPr>
          <w:szCs w:val="21"/>
        </w:rPr>
        <w:t xml:space="preserve">of </w:t>
      </w:r>
      <w:r w:rsidR="00B850B6">
        <w:rPr>
          <w:szCs w:val="21"/>
        </w:rPr>
        <w:t>nine</w:t>
      </w:r>
      <w:r w:rsidR="00B35A32">
        <w:rPr>
          <w:szCs w:val="21"/>
        </w:rPr>
        <w:t xml:space="preserve"> (78%) new TNs in </w:t>
      </w:r>
      <w:r w:rsidR="00B850B6">
        <w:rPr>
          <w:szCs w:val="21"/>
        </w:rPr>
        <w:t xml:space="preserve">2024-2025 </w:t>
      </w:r>
      <w:r w:rsidR="00B35A32">
        <w:rPr>
          <w:szCs w:val="21"/>
        </w:rPr>
        <w:t>Q</w:t>
      </w:r>
      <w:r w:rsidR="00B850B6">
        <w:rPr>
          <w:szCs w:val="21"/>
        </w:rPr>
        <w:t xml:space="preserve">uarter </w:t>
      </w:r>
      <w:r w:rsidR="00B35A32">
        <w:rPr>
          <w:szCs w:val="21"/>
        </w:rPr>
        <w:t>2, and 23</w:t>
      </w:r>
      <w:r w:rsidR="00B850B6">
        <w:rPr>
          <w:szCs w:val="21"/>
        </w:rPr>
        <w:t xml:space="preserve"> out of </w:t>
      </w:r>
      <w:r w:rsidR="00B35A32">
        <w:rPr>
          <w:szCs w:val="21"/>
        </w:rPr>
        <w:t>30 (77%) of new TNs in 2024</w:t>
      </w:r>
      <w:r w:rsidR="00B850B6">
        <w:rPr>
          <w:szCs w:val="21"/>
        </w:rPr>
        <w:t>-20</w:t>
      </w:r>
      <w:r w:rsidR="00B35A32">
        <w:rPr>
          <w:szCs w:val="21"/>
        </w:rPr>
        <w:t>25</w:t>
      </w:r>
      <w:r w:rsidR="00B850B6">
        <w:rPr>
          <w:szCs w:val="21"/>
        </w:rPr>
        <w:t xml:space="preserve"> Quarter 1</w:t>
      </w:r>
      <w:r w:rsidR="00B35A32">
        <w:rPr>
          <w:szCs w:val="21"/>
        </w:rPr>
        <w:t xml:space="preserve">. </w:t>
      </w:r>
      <w:r w:rsidR="001E0633">
        <w:rPr>
          <w:szCs w:val="21"/>
        </w:rPr>
        <w:t>The 2024</w:t>
      </w:r>
      <w:r w:rsidR="00B850B6">
        <w:rPr>
          <w:szCs w:val="21"/>
        </w:rPr>
        <w:t>-20</w:t>
      </w:r>
      <w:r w:rsidR="001E0633">
        <w:rPr>
          <w:szCs w:val="21"/>
        </w:rPr>
        <w:t xml:space="preserve">25 </w:t>
      </w:r>
      <w:r w:rsidR="00B850B6">
        <w:rPr>
          <w:szCs w:val="21"/>
        </w:rPr>
        <w:t xml:space="preserve">Quarter 1 </w:t>
      </w:r>
      <w:r w:rsidR="001E0633">
        <w:rPr>
          <w:szCs w:val="21"/>
        </w:rPr>
        <w:t xml:space="preserve">review also notes that suggestions for improved consideration of GEDSI dimensions were generally accepted. In addition, of 11 completed TN assessments, </w:t>
      </w:r>
      <w:r w:rsidR="00B850B6">
        <w:rPr>
          <w:szCs w:val="21"/>
        </w:rPr>
        <w:t xml:space="preserve">eight </w:t>
      </w:r>
      <w:r w:rsidR="001E0633">
        <w:rPr>
          <w:szCs w:val="21"/>
        </w:rPr>
        <w:t>were assessed as assisting with GEDSI. However, in many instances</w:t>
      </w:r>
      <w:r w:rsidR="00851FEE">
        <w:rPr>
          <w:szCs w:val="21"/>
        </w:rPr>
        <w:t>,</w:t>
      </w:r>
      <w:r w:rsidR="001E0633">
        <w:rPr>
          <w:szCs w:val="21"/>
        </w:rPr>
        <w:t xml:space="preserve"> the GEDSI advis</w:t>
      </w:r>
      <w:r w:rsidR="00575A2F">
        <w:rPr>
          <w:szCs w:val="21"/>
        </w:rPr>
        <w:t>e</w:t>
      </w:r>
      <w:r w:rsidR="001E0633">
        <w:rPr>
          <w:szCs w:val="21"/>
        </w:rPr>
        <w:t>r is completing the GEDSI components of the TNs as opposed to DFAT itself</w:t>
      </w:r>
      <w:r w:rsidR="00337D02">
        <w:rPr>
          <w:szCs w:val="21"/>
        </w:rPr>
        <w:t xml:space="preserve">. It was also found </w:t>
      </w:r>
      <w:r w:rsidR="001E0633">
        <w:rPr>
          <w:szCs w:val="21"/>
        </w:rPr>
        <w:t>that support and engagement for GEDSI varies across sections and DFAT staff.</w:t>
      </w:r>
      <w:r w:rsidR="002F3695">
        <w:rPr>
          <w:szCs w:val="21"/>
        </w:rPr>
        <w:t xml:space="preserve"> This is consistent with the January PRES </w:t>
      </w:r>
      <w:r w:rsidR="00B850B6">
        <w:rPr>
          <w:szCs w:val="21"/>
        </w:rPr>
        <w:t xml:space="preserve">value-for-money </w:t>
      </w:r>
      <w:r w:rsidR="002F3695">
        <w:rPr>
          <w:szCs w:val="21"/>
        </w:rPr>
        <w:t>assessment</w:t>
      </w:r>
      <w:r w:rsidR="00337D02">
        <w:rPr>
          <w:szCs w:val="21"/>
        </w:rPr>
        <w:t>,</w:t>
      </w:r>
      <w:r w:rsidR="002F3695">
        <w:rPr>
          <w:szCs w:val="21"/>
        </w:rPr>
        <w:t xml:space="preserve"> which notes</w:t>
      </w:r>
      <w:r w:rsidR="00337D02">
        <w:rPr>
          <w:szCs w:val="21"/>
        </w:rPr>
        <w:t xml:space="preserve"> that</w:t>
      </w:r>
      <w:r w:rsidR="002F3695">
        <w:rPr>
          <w:szCs w:val="21"/>
        </w:rPr>
        <w:t xml:space="preserve"> </w:t>
      </w:r>
      <w:r w:rsidR="00B850B6">
        <w:rPr>
          <w:szCs w:val="21"/>
        </w:rPr>
        <w:t>‘t</w:t>
      </w:r>
      <w:r w:rsidR="002F3695" w:rsidRPr="00FB7C94">
        <w:rPr>
          <w:szCs w:val="21"/>
        </w:rPr>
        <w:t xml:space="preserve">here has been an increase over time in TNs targeting, or including components that target, GEDSI and GEDSI-related inequities, noting these improvements are largely because </w:t>
      </w:r>
      <w:r w:rsidR="00FD6758">
        <w:rPr>
          <w:szCs w:val="21"/>
        </w:rPr>
        <w:t>the program managing contractor</w:t>
      </w:r>
      <w:r w:rsidR="002F3695" w:rsidRPr="00FB7C94">
        <w:rPr>
          <w:szCs w:val="21"/>
        </w:rPr>
        <w:t xml:space="preserve"> drafts the TN with input from the GEDSI Adviser</w:t>
      </w:r>
      <w:r w:rsidR="00B850B6" w:rsidRPr="00FB7C94">
        <w:rPr>
          <w:szCs w:val="21"/>
        </w:rPr>
        <w:t>.</w:t>
      </w:r>
      <w:r w:rsidR="00B850B6">
        <w:rPr>
          <w:szCs w:val="21"/>
        </w:rPr>
        <w:t xml:space="preserve">’ </w:t>
      </w:r>
    </w:p>
    <w:p w14:paraId="5EB75453" w14:textId="33BF7D7C" w:rsidR="00426220" w:rsidRPr="00CC3E98" w:rsidRDefault="00D95020" w:rsidP="00CC3E98">
      <w:pPr>
        <w:ind w:right="-68"/>
      </w:pPr>
      <w:r w:rsidRPr="00FB7C94">
        <w:t>PRES</w:t>
      </w:r>
      <w:r w:rsidR="00426220" w:rsidRPr="00CC3E98">
        <w:t xml:space="preserve"> is also providing </w:t>
      </w:r>
      <w:r w:rsidRPr="00FB7C94">
        <w:t xml:space="preserve">GEDSI </w:t>
      </w:r>
      <w:r w:rsidR="00426220" w:rsidRPr="00CC3E98">
        <w:t>technical advice</w:t>
      </w:r>
      <w:r w:rsidRPr="00FB7C94">
        <w:t xml:space="preserve"> to advis</w:t>
      </w:r>
      <w:r w:rsidR="00575A2F">
        <w:t>e</w:t>
      </w:r>
      <w:r w:rsidRPr="00FB7C94">
        <w:t>rs</w:t>
      </w:r>
      <w:r w:rsidR="00426220" w:rsidRPr="00FB7C94">
        <w:t>.</w:t>
      </w:r>
      <w:r w:rsidR="00426220" w:rsidRPr="00CC3E98">
        <w:t xml:space="preserve"> For example, in </w:t>
      </w:r>
      <w:r w:rsidR="00337D02">
        <w:rPr>
          <w:szCs w:val="21"/>
        </w:rPr>
        <w:t xml:space="preserve">2024-2025 Quarter 1, </w:t>
      </w:r>
      <w:r w:rsidR="00426220" w:rsidRPr="00CC3E98">
        <w:t xml:space="preserve">there were technical briefings of </w:t>
      </w:r>
      <w:r w:rsidR="00337D02">
        <w:t>seven</w:t>
      </w:r>
      <w:r w:rsidR="00337D02" w:rsidRPr="00CC3E98">
        <w:t xml:space="preserve"> </w:t>
      </w:r>
      <w:r w:rsidR="00426220" w:rsidRPr="00CC3E98">
        <w:t>aviation advis</w:t>
      </w:r>
      <w:r w:rsidR="00575A2F">
        <w:t>e</w:t>
      </w:r>
      <w:r w:rsidR="00426220" w:rsidRPr="00CC3E98">
        <w:t xml:space="preserve">rs, including written advice to </w:t>
      </w:r>
      <w:r w:rsidR="00337D02">
        <w:t>one</w:t>
      </w:r>
      <w:r w:rsidR="00426220" w:rsidRPr="00CC3E98">
        <w:t xml:space="preserve">. </w:t>
      </w:r>
      <w:r w:rsidR="00317634">
        <w:t xml:space="preserve">The GEDSI adviser </w:t>
      </w:r>
      <w:r w:rsidR="00317634">
        <w:lastRenderedPageBreak/>
        <w:t>provided f</w:t>
      </w:r>
      <w:r w:rsidR="00426220" w:rsidRPr="00CC3E98">
        <w:t>eedback on outputs, workplans and reports</w:t>
      </w:r>
      <w:r w:rsidR="00317634">
        <w:t xml:space="preserve"> to</w:t>
      </w:r>
      <w:r w:rsidR="00426220" w:rsidRPr="00CC3E98">
        <w:t xml:space="preserve"> Governance for Growth, technical advice in support of </w:t>
      </w:r>
      <w:r w:rsidR="00337D02">
        <w:t>a</w:t>
      </w:r>
      <w:r w:rsidR="00337D02" w:rsidRPr="00CC3E98">
        <w:t xml:space="preserve">id </w:t>
      </w:r>
      <w:r w:rsidR="00337D02">
        <w:t>m</w:t>
      </w:r>
      <w:r w:rsidR="00337D02" w:rsidRPr="00CC3E98">
        <w:t>anagement</w:t>
      </w:r>
      <w:r w:rsidR="00426220" w:rsidRPr="00CC3E98">
        <w:t xml:space="preserve">, and work with a </w:t>
      </w:r>
      <w:r w:rsidR="004E08B8" w:rsidRPr="00CC3E98">
        <w:t>short-term</w:t>
      </w:r>
      <w:r w:rsidR="00426220" w:rsidRPr="00CC3E98">
        <w:t xml:space="preserve"> advis</w:t>
      </w:r>
      <w:r w:rsidR="00575A2F">
        <w:t>e</w:t>
      </w:r>
      <w:r w:rsidR="00426220" w:rsidRPr="00CC3E98">
        <w:t xml:space="preserve">r to draft a summary of the Australia-Vanuatu Development Partnership Plan. In addition, in </w:t>
      </w:r>
      <w:r w:rsidR="00317634">
        <w:rPr>
          <w:szCs w:val="21"/>
        </w:rPr>
        <w:t xml:space="preserve">2024-2025 Quarter </w:t>
      </w:r>
      <w:r w:rsidR="00426220" w:rsidRPr="00CC3E98">
        <w:t>2</w:t>
      </w:r>
      <w:r w:rsidR="00317634">
        <w:t>,</w:t>
      </w:r>
      <w:r w:rsidR="00426220" w:rsidRPr="00CC3E98">
        <w:t xml:space="preserve"> GEDSI advice was provided to a consultant to integrate GEDSI considerations into </w:t>
      </w:r>
      <w:r w:rsidR="00317634">
        <w:t>two</w:t>
      </w:r>
      <w:r w:rsidR="00317634" w:rsidRPr="00CC3E98">
        <w:t xml:space="preserve"> </w:t>
      </w:r>
      <w:r w:rsidR="00426220" w:rsidRPr="00CC3E98">
        <w:t>deliverables</w:t>
      </w:r>
      <w:r w:rsidR="00317634">
        <w:t>,</w:t>
      </w:r>
      <w:r w:rsidR="00426220" w:rsidRPr="00CC3E98">
        <w:t xml:space="preserve"> and </w:t>
      </w:r>
      <w:r w:rsidR="00317634">
        <w:t xml:space="preserve">the GEDSI adviser </w:t>
      </w:r>
      <w:r w:rsidR="00426220" w:rsidRPr="00CC3E98">
        <w:t xml:space="preserve">worked to undertake a gender analysis of the Pacific </w:t>
      </w:r>
      <w:r w:rsidR="00317634">
        <w:t>o</w:t>
      </w:r>
      <w:r w:rsidR="00317634" w:rsidRPr="00CC3E98">
        <w:t>ne</w:t>
      </w:r>
      <w:r w:rsidR="00317634">
        <w:t>-s</w:t>
      </w:r>
      <w:r w:rsidR="00317634" w:rsidRPr="00CC3E98">
        <w:t xml:space="preserve">top </w:t>
      </w:r>
      <w:r w:rsidR="00317634">
        <w:t>s</w:t>
      </w:r>
      <w:r w:rsidR="00317634" w:rsidRPr="00CC3E98">
        <w:t xml:space="preserve">hop </w:t>
      </w:r>
      <w:r w:rsidR="00426220" w:rsidRPr="00CC3E98">
        <w:t>concept.</w:t>
      </w:r>
    </w:p>
    <w:p w14:paraId="318A0F67" w14:textId="18B0920B" w:rsidR="005F5220" w:rsidRDefault="001660B2" w:rsidP="001660B2">
      <w:pPr>
        <w:ind w:right="-68"/>
      </w:pPr>
      <w:r>
        <w:t xml:space="preserve">Feedback from consultations indicate that PRES is </w:t>
      </w:r>
      <w:proofErr w:type="gramStart"/>
      <w:r>
        <w:t xml:space="preserve">making </w:t>
      </w:r>
      <w:r w:rsidR="005F5220">
        <w:t xml:space="preserve">an </w:t>
      </w:r>
      <w:r>
        <w:t>effort</w:t>
      </w:r>
      <w:proofErr w:type="gramEnd"/>
      <w:r>
        <w:t xml:space="preserve"> to promote gender representation among advis</w:t>
      </w:r>
      <w:r w:rsidR="00575A2F">
        <w:t>e</w:t>
      </w:r>
      <w:r>
        <w:t>rs</w:t>
      </w:r>
      <w:r w:rsidR="00BB11DE">
        <w:t>.</w:t>
      </w:r>
      <w:r w:rsidR="004E08B8">
        <w:t xml:space="preserve"> </w:t>
      </w:r>
      <w:r w:rsidR="00BB11DE">
        <w:t>F</w:t>
      </w:r>
      <w:r>
        <w:t>indings from the 2024 Annual Report are that 104 advis</w:t>
      </w:r>
      <w:r w:rsidR="00575A2F">
        <w:t>e</w:t>
      </w:r>
      <w:r>
        <w:t xml:space="preserve">rs were </w:t>
      </w:r>
      <w:r w:rsidR="005350B8">
        <w:t xml:space="preserve">male </w:t>
      </w:r>
      <w:r>
        <w:t xml:space="preserve">(66%) </w:t>
      </w:r>
      <w:r w:rsidR="005350B8">
        <w:t>and</w:t>
      </w:r>
      <w:r>
        <w:t xml:space="preserve"> 58 </w:t>
      </w:r>
      <w:r w:rsidR="005350B8">
        <w:t xml:space="preserve">were </w:t>
      </w:r>
      <w:r>
        <w:t>female (34%) during 2023-</w:t>
      </w:r>
      <w:r w:rsidR="00B850B6">
        <w:t>20</w:t>
      </w:r>
      <w:r>
        <w:t xml:space="preserve">24, </w:t>
      </w:r>
      <w:r w:rsidR="00762741">
        <w:t xml:space="preserve">which is </w:t>
      </w:r>
      <w:r>
        <w:t>approximately the same proportion as 2022-</w:t>
      </w:r>
      <w:r w:rsidR="00B850B6">
        <w:t>20</w:t>
      </w:r>
      <w:r>
        <w:t xml:space="preserve">23. </w:t>
      </w:r>
      <w:r w:rsidR="004F2E1F">
        <w:t xml:space="preserve">The most recent quarterly report </w:t>
      </w:r>
      <w:r w:rsidR="00A31FCF">
        <w:t>(Oct-Dec 2024) found</w:t>
      </w:r>
      <w:r w:rsidR="00CF6076">
        <w:t xml:space="preserve"> 57% </w:t>
      </w:r>
      <w:r w:rsidR="008D30B0">
        <w:t xml:space="preserve">of advisers </w:t>
      </w:r>
      <w:r w:rsidR="00CF6076">
        <w:t>were male and 43% were female</w:t>
      </w:r>
      <w:r w:rsidR="008D30B0">
        <w:t>, for PRES TNs and ASOs</w:t>
      </w:r>
      <w:r w:rsidR="00CF6076">
        <w:t xml:space="preserve">. </w:t>
      </w:r>
      <w:r w:rsidR="00BE6772">
        <w:t xml:space="preserve">However, </w:t>
      </w:r>
      <w:r w:rsidR="00A216C0">
        <w:t>the</w:t>
      </w:r>
      <w:r w:rsidR="00C3688C">
        <w:t xml:space="preserve"> figures </w:t>
      </w:r>
      <w:r w:rsidR="009E38B9">
        <w:t xml:space="preserve">are taken from </w:t>
      </w:r>
      <w:r w:rsidR="00316035">
        <w:t>advisers listed on TNs</w:t>
      </w:r>
      <w:r w:rsidR="00B850B6">
        <w:t xml:space="preserve"> </w:t>
      </w:r>
      <w:r w:rsidR="00316035">
        <w:t>/</w:t>
      </w:r>
      <w:r w:rsidR="00B850B6">
        <w:t xml:space="preserve"> </w:t>
      </w:r>
      <w:r w:rsidR="00316035">
        <w:t>ASOs and the</w:t>
      </w:r>
      <w:r w:rsidR="00A216C0">
        <w:t xml:space="preserve"> same </w:t>
      </w:r>
      <w:r w:rsidR="00973617">
        <w:t xml:space="preserve">adviser may work on </w:t>
      </w:r>
      <w:r w:rsidR="00924513">
        <w:t>more than one</w:t>
      </w:r>
      <w:r w:rsidR="00A216C0">
        <w:t xml:space="preserve"> </w:t>
      </w:r>
      <w:r w:rsidR="00924513">
        <w:t xml:space="preserve">TN. </w:t>
      </w:r>
      <w:r>
        <w:t>It was noted</w:t>
      </w:r>
      <w:r w:rsidR="00AB5FEA">
        <w:t xml:space="preserve"> </w:t>
      </w:r>
      <w:r w:rsidR="005F5220">
        <w:t>during</w:t>
      </w:r>
      <w:r w:rsidR="00AB5FEA">
        <w:t xml:space="preserve"> consultation</w:t>
      </w:r>
      <w:r w:rsidR="005F5220">
        <w:t>s</w:t>
      </w:r>
      <w:r>
        <w:t xml:space="preserve"> that a</w:t>
      </w:r>
      <w:r w:rsidRPr="001660B2">
        <w:t>chieving gender representation in</w:t>
      </w:r>
      <w:r>
        <w:t xml:space="preserve"> highly</w:t>
      </w:r>
      <w:r w:rsidRPr="001660B2">
        <w:t xml:space="preserve"> niche and technical </w:t>
      </w:r>
      <w:r>
        <w:t>specialist areas can be challenging</w:t>
      </w:r>
      <w:r w:rsidRPr="001660B2">
        <w:t xml:space="preserve"> when the pool of qualified advis</w:t>
      </w:r>
      <w:r w:rsidR="00575A2F">
        <w:t>e</w:t>
      </w:r>
      <w:r w:rsidRPr="001660B2">
        <w:t>rs is limited. In these speciali</w:t>
      </w:r>
      <w:r>
        <w:t>s</w:t>
      </w:r>
      <w:r w:rsidRPr="001660B2">
        <w:t>ed areas, finding advis</w:t>
      </w:r>
      <w:r w:rsidR="00575A2F">
        <w:t>e</w:t>
      </w:r>
      <w:r w:rsidRPr="001660B2">
        <w:t>r</w:t>
      </w:r>
      <w:r>
        <w:t>s</w:t>
      </w:r>
      <w:r w:rsidRPr="001660B2">
        <w:t xml:space="preserve">, regardless of gender, can be </w:t>
      </w:r>
      <w:r>
        <w:t>c</w:t>
      </w:r>
      <w:r w:rsidRPr="001660B2">
        <w:t xml:space="preserve">hallenging due to the scarcity of experts. </w:t>
      </w:r>
      <w:r w:rsidR="00D95020" w:rsidRPr="00FB7C94">
        <w:t>However, this may be further amplified by potential bias in advis</w:t>
      </w:r>
      <w:r w:rsidR="00575A2F">
        <w:t>e</w:t>
      </w:r>
      <w:r w:rsidR="00D95020" w:rsidRPr="00FB7C94">
        <w:t>r selection,</w:t>
      </w:r>
      <w:r>
        <w:t xml:space="preserve"> with </w:t>
      </w:r>
      <w:r w:rsidR="00D95020" w:rsidRPr="00FB7C94">
        <w:t>possible DFAT preference for previously engaged advis</w:t>
      </w:r>
      <w:r w:rsidR="00575A2F">
        <w:t>e</w:t>
      </w:r>
      <w:r w:rsidR="00D95020" w:rsidRPr="00FB7C94">
        <w:t>rs.</w:t>
      </w:r>
      <w:r>
        <w:t xml:space="preserve"> </w:t>
      </w:r>
    </w:p>
    <w:p w14:paraId="337E1E48" w14:textId="556C29BD" w:rsidR="001660B2" w:rsidRDefault="00184355" w:rsidP="001660B2">
      <w:pPr>
        <w:ind w:right="-68"/>
      </w:pPr>
      <w:r>
        <w:t>PRES is not currently collecting or analysing pay equity among advis</w:t>
      </w:r>
      <w:r w:rsidR="00575A2F">
        <w:t>e</w:t>
      </w:r>
      <w:r>
        <w:t xml:space="preserve">rs in a systematic way. </w:t>
      </w:r>
    </w:p>
    <w:p w14:paraId="56047F18" w14:textId="66B8C52F" w:rsidR="00DD0F66" w:rsidRPr="00CF0D4D" w:rsidRDefault="00DD0F66" w:rsidP="00BD713B">
      <w:pPr>
        <w:pStyle w:val="Tealblocktext"/>
        <w:rPr>
          <w:lang w:eastAsia="en-GB"/>
        </w:rPr>
      </w:pPr>
      <w:r w:rsidRPr="009029BE">
        <w:rPr>
          <w:b/>
          <w:bCs/>
          <w:lang w:eastAsia="en-GB"/>
        </w:rPr>
        <w:t xml:space="preserve">Recommendation 4.1 </w:t>
      </w:r>
      <w:r w:rsidR="00AA1A44" w:rsidRPr="005342B1">
        <w:rPr>
          <w:b/>
          <w:bCs/>
          <w:lang w:eastAsia="en-GB"/>
        </w:rPr>
        <w:t>(Short term</w:t>
      </w:r>
      <w:r w:rsidR="00A84768">
        <w:rPr>
          <w:b/>
          <w:bCs/>
          <w:lang w:eastAsia="en-GB"/>
        </w:rPr>
        <w:t xml:space="preserve"> </w:t>
      </w:r>
      <w:r w:rsidR="00AA1A44" w:rsidRPr="005342B1">
        <w:rPr>
          <w:b/>
          <w:bCs/>
          <w:lang w:eastAsia="en-GB"/>
        </w:rPr>
        <w:t>/</w:t>
      </w:r>
      <w:r w:rsidR="00A84768">
        <w:rPr>
          <w:b/>
          <w:bCs/>
          <w:lang w:eastAsia="en-GB"/>
        </w:rPr>
        <w:t xml:space="preserve"> </w:t>
      </w:r>
      <w:r w:rsidR="00AA1A44" w:rsidRPr="005342B1">
        <w:rPr>
          <w:b/>
          <w:bCs/>
          <w:lang w:eastAsia="en-GB"/>
        </w:rPr>
        <w:t xml:space="preserve">Operational) </w:t>
      </w:r>
      <w:r w:rsidR="009D047D" w:rsidRPr="009D047D">
        <w:rPr>
          <w:lang w:eastAsia="en-GB"/>
        </w:rPr>
        <w:t xml:space="preserve">To ensure equitable compensation practices, it is recommended that PRES undertake a GEDSI analysis to examine pay equity among </w:t>
      </w:r>
      <w:r w:rsidR="009D047D">
        <w:rPr>
          <w:lang w:eastAsia="en-GB"/>
        </w:rPr>
        <w:t>advisers.</w:t>
      </w:r>
    </w:p>
    <w:p w14:paraId="30F70347" w14:textId="26C437D0" w:rsidR="00D5448C" w:rsidRPr="00FB7C94" w:rsidRDefault="000904FE" w:rsidP="00DD21BE">
      <w:pPr>
        <w:ind w:right="-68"/>
      </w:pPr>
      <w:r w:rsidRPr="00CC3E98">
        <w:t>For</w:t>
      </w:r>
      <w:r w:rsidR="00426220" w:rsidRPr="00CC3E98">
        <w:t xml:space="preserve"> knowledge management and learning, </w:t>
      </w:r>
      <w:r w:rsidR="00D95020" w:rsidRPr="00FB7C94">
        <w:t>PRES</w:t>
      </w:r>
      <w:r w:rsidR="00426220" w:rsidRPr="00CC3E98">
        <w:t xml:space="preserve"> completed and </w:t>
      </w:r>
      <w:r w:rsidR="00426220" w:rsidRPr="00426220">
        <w:t>submitted a first draft of a pilot knowledge product on</w:t>
      </w:r>
      <w:r w:rsidR="00426220" w:rsidRPr="00CC3E98">
        <w:t xml:space="preserve"> gender and trade in the Pacific. </w:t>
      </w:r>
      <w:r w:rsidR="005C207F">
        <w:t>An</w:t>
      </w:r>
      <w:r w:rsidR="00426220" w:rsidRPr="00CC3E98">
        <w:t xml:space="preserve"> opportunity</w:t>
      </w:r>
      <w:r w:rsidR="00D95020" w:rsidRPr="00FB7C94">
        <w:t xml:space="preserve"> was </w:t>
      </w:r>
      <w:r w:rsidR="005C207F">
        <w:t xml:space="preserve">also </w:t>
      </w:r>
      <w:r w:rsidR="00D95020" w:rsidRPr="00FB7C94">
        <w:t>identified</w:t>
      </w:r>
      <w:r w:rsidR="00426220" w:rsidRPr="00CC3E98">
        <w:t xml:space="preserve"> to provide support for </w:t>
      </w:r>
      <w:r w:rsidR="005C207F">
        <w:t xml:space="preserve">the </w:t>
      </w:r>
      <w:r w:rsidR="005C207F" w:rsidRPr="005C207F">
        <w:t>PACER Plus Implementation Unit</w:t>
      </w:r>
      <w:r w:rsidR="005C207F">
        <w:t xml:space="preserve"> </w:t>
      </w:r>
      <w:r w:rsidR="00426220" w:rsidRPr="00CC3E98">
        <w:t xml:space="preserve">GEDSI Strategy implementation to be explored further in 2025. </w:t>
      </w:r>
      <w:r w:rsidRPr="00CC3E98">
        <w:t xml:space="preserve">There is also significant opportunity </w:t>
      </w:r>
      <w:r w:rsidR="00A84768">
        <w:t>to</w:t>
      </w:r>
      <w:r w:rsidR="00A84768" w:rsidRPr="00CC3E98">
        <w:t xml:space="preserve"> </w:t>
      </w:r>
      <w:r w:rsidRPr="00CC3E98">
        <w:t>learn from TNs. Concern has also been raised about the feedback loop for GEDSI and other PRES advice on deliverables, which can make it</w:t>
      </w:r>
      <w:r w:rsidR="00CC3E98" w:rsidRPr="00CC3E98">
        <w:t xml:space="preserve"> d</w:t>
      </w:r>
      <w:r w:rsidRPr="00CC3E98">
        <w:t>ifficult to measure impact.</w:t>
      </w:r>
      <w:r w:rsidR="00CC3E98" w:rsidRPr="00CC3E98">
        <w:t xml:space="preserve"> Consistent with findings on EOIO</w:t>
      </w:r>
      <w:r w:rsidR="00762741">
        <w:t>2</w:t>
      </w:r>
      <w:r w:rsidR="00CC3E98" w:rsidRPr="00CC3E98">
        <w:t xml:space="preserve"> more broadly, there is room for further clarification about DFAT’s GEDSI knowledge management and learning needs. </w:t>
      </w:r>
    </w:p>
    <w:p w14:paraId="00C764C8" w14:textId="38AD75DE" w:rsidR="00D95020" w:rsidRPr="00FB7C94" w:rsidRDefault="00DD0F66" w:rsidP="00D95020">
      <w:pPr>
        <w:ind w:right="-68"/>
      </w:pPr>
      <w:r>
        <w:t>There are also challenges in PRES</w:t>
      </w:r>
      <w:r w:rsidR="00762741">
        <w:t>’</w:t>
      </w:r>
      <w:r>
        <w:t xml:space="preserve"> ability to work with </w:t>
      </w:r>
      <w:r w:rsidR="00A84768">
        <w:rPr>
          <w:szCs w:val="21"/>
        </w:rPr>
        <w:t xml:space="preserve">the DFAT </w:t>
      </w:r>
      <w:r w:rsidR="00A84768" w:rsidRPr="0049386F">
        <w:rPr>
          <w:szCs w:val="21"/>
        </w:rPr>
        <w:t>Gender Equality Disability and Social Inclusion Branch</w:t>
      </w:r>
      <w:r w:rsidR="00A84768" w:rsidDel="00A84768">
        <w:t xml:space="preserve"> </w:t>
      </w:r>
      <w:r>
        <w:t>and PEB to identify discrete opportunities for GEDSI work. This is because, like with the barriers to the provision of strategic advice, there are intrinsic factors that hinder PRES</w:t>
      </w:r>
      <w:r w:rsidR="008C4A51">
        <w:t>’</w:t>
      </w:r>
      <w:r>
        <w:t xml:space="preserve"> ability to identify opportunities, including 1) the GEDSI </w:t>
      </w:r>
      <w:r w:rsidR="009914DA">
        <w:t xml:space="preserve">adviser </w:t>
      </w:r>
      <w:r w:rsidR="00A84768">
        <w:t xml:space="preserve">is </w:t>
      </w:r>
      <w:r>
        <w:t xml:space="preserve">not embedded in DFAT and </w:t>
      </w:r>
      <w:r w:rsidR="00A84768">
        <w:t>so has</w:t>
      </w:r>
      <w:r>
        <w:t xml:space="preserve"> limited oversight of activities and information</w:t>
      </w:r>
      <w:r w:rsidR="00B850B6">
        <w:t>;</w:t>
      </w:r>
      <w:r>
        <w:t xml:space="preserve"> and 2) </w:t>
      </w:r>
      <w:r w:rsidR="00A84768">
        <w:t xml:space="preserve">there is </w:t>
      </w:r>
      <w:r>
        <w:t xml:space="preserve">a lack of certainty around the specific GEDSI support that DFAT needs from PRES. </w:t>
      </w:r>
      <w:r w:rsidR="00D95020">
        <w:t>To date, the GEDSI advis</w:t>
      </w:r>
      <w:r w:rsidR="00575A2F">
        <w:t>e</w:t>
      </w:r>
      <w:r w:rsidR="00D95020">
        <w:t xml:space="preserve">r has </w:t>
      </w:r>
      <w:r>
        <w:t xml:space="preserve">also </w:t>
      </w:r>
      <w:r w:rsidR="00D95020">
        <w:t xml:space="preserve">not been included in governance meetings (e.g. PAG or </w:t>
      </w:r>
      <w:r w:rsidR="00A84768">
        <w:t>Working Groups meeting</w:t>
      </w:r>
      <w:r w:rsidR="00D95020">
        <w:t>), which</w:t>
      </w:r>
      <w:r>
        <w:t xml:space="preserve"> further</w:t>
      </w:r>
      <w:r w:rsidR="00D95020">
        <w:t xml:space="preserve"> limits visibility of strategic entry points to identify opportunities for GEDSI work</w:t>
      </w:r>
      <w:r w:rsidR="00A84768">
        <w:t>.</w:t>
      </w:r>
      <w:r w:rsidR="00F050A1">
        <w:t xml:space="preserve"> </w:t>
      </w:r>
      <w:r w:rsidR="00F050A1" w:rsidRPr="48347A15">
        <w:rPr>
          <w:rFonts w:ascii="Arial" w:eastAsiaTheme="minorEastAsia" w:hAnsi="Arial" w:cs="Arial"/>
        </w:rPr>
        <w:t>However, PRES notes progress is being made on this outside the scope of this evaluation, with the GEDSI adviser attending the PAG</w:t>
      </w:r>
      <w:r w:rsidR="00A84768">
        <w:rPr>
          <w:rFonts w:ascii="Arial" w:eastAsiaTheme="minorEastAsia" w:hAnsi="Arial" w:cs="Arial"/>
        </w:rPr>
        <w:t xml:space="preserve"> and</w:t>
      </w:r>
      <w:r w:rsidR="00F050A1" w:rsidRPr="48347A15">
        <w:rPr>
          <w:rFonts w:ascii="Arial" w:eastAsiaTheme="minorEastAsia" w:hAnsi="Arial" w:cs="Arial"/>
        </w:rPr>
        <w:t xml:space="preserve"> Working </w:t>
      </w:r>
      <w:r w:rsidR="00F11944" w:rsidRPr="48347A15">
        <w:rPr>
          <w:rFonts w:ascii="Arial" w:eastAsiaTheme="minorEastAsia" w:hAnsi="Arial" w:cs="Arial"/>
        </w:rPr>
        <w:t>G</w:t>
      </w:r>
      <w:r w:rsidR="00F050A1" w:rsidRPr="48347A15">
        <w:rPr>
          <w:rFonts w:ascii="Arial" w:eastAsiaTheme="minorEastAsia" w:hAnsi="Arial" w:cs="Arial"/>
        </w:rPr>
        <w:t xml:space="preserve">roup meetings and </w:t>
      </w:r>
      <w:r w:rsidR="00A84768">
        <w:rPr>
          <w:rFonts w:ascii="Arial" w:eastAsiaTheme="minorEastAsia" w:hAnsi="Arial" w:cs="Arial"/>
        </w:rPr>
        <w:t>S</w:t>
      </w:r>
      <w:r w:rsidR="00F050A1" w:rsidRPr="48347A15">
        <w:rPr>
          <w:rFonts w:ascii="Arial" w:eastAsiaTheme="minorEastAsia" w:hAnsi="Arial" w:cs="Arial"/>
        </w:rPr>
        <w:t>ection meetings in 2025</w:t>
      </w:r>
      <w:r w:rsidR="00A84768">
        <w:rPr>
          <w:rFonts w:ascii="Arial" w:eastAsiaTheme="minorEastAsia" w:hAnsi="Arial" w:cs="Arial"/>
        </w:rPr>
        <w:t>.</w:t>
      </w:r>
    </w:p>
    <w:p w14:paraId="354BE178" w14:textId="72F0D8A0" w:rsidR="00D95020" w:rsidRPr="009029BE" w:rsidRDefault="00D95020" w:rsidP="00BD713B">
      <w:pPr>
        <w:pStyle w:val="Tealblocktext"/>
        <w:rPr>
          <w:b/>
          <w:bCs/>
          <w:lang w:eastAsia="en-GB"/>
        </w:rPr>
      </w:pPr>
      <w:r w:rsidRPr="00FB7C94">
        <w:rPr>
          <w:rFonts w:ascii="Calibri" w:hAnsi="Calibri" w:cs="Calibri"/>
        </w:rPr>
        <w:t xml:space="preserve"> </w:t>
      </w:r>
      <w:r w:rsidRPr="009029BE">
        <w:rPr>
          <w:b/>
          <w:bCs/>
          <w:lang w:eastAsia="en-GB"/>
        </w:rPr>
        <w:t>Recommendation 4.</w:t>
      </w:r>
      <w:r w:rsidR="00DD0F66" w:rsidRPr="009029BE">
        <w:rPr>
          <w:b/>
          <w:bCs/>
          <w:lang w:eastAsia="en-GB"/>
        </w:rPr>
        <w:t>2</w:t>
      </w:r>
      <w:r w:rsidR="00A272A6" w:rsidRPr="009029BE">
        <w:rPr>
          <w:b/>
          <w:bCs/>
          <w:lang w:eastAsia="en-GB"/>
        </w:rPr>
        <w:t xml:space="preserve"> </w:t>
      </w:r>
      <w:r w:rsidR="00A272A6" w:rsidRPr="00B045BE">
        <w:rPr>
          <w:b/>
          <w:bCs/>
          <w:lang w:eastAsia="en-GB"/>
        </w:rPr>
        <w:t>(Short term</w:t>
      </w:r>
      <w:r w:rsidR="00A84768">
        <w:rPr>
          <w:b/>
          <w:bCs/>
          <w:lang w:eastAsia="en-GB"/>
        </w:rPr>
        <w:t xml:space="preserve"> </w:t>
      </w:r>
      <w:r w:rsidR="00A272A6" w:rsidRPr="00B045BE">
        <w:rPr>
          <w:b/>
          <w:bCs/>
          <w:lang w:eastAsia="en-GB"/>
        </w:rPr>
        <w:t>/</w:t>
      </w:r>
      <w:r w:rsidR="00A84768">
        <w:rPr>
          <w:b/>
          <w:bCs/>
          <w:lang w:eastAsia="en-GB"/>
        </w:rPr>
        <w:t xml:space="preserve"> </w:t>
      </w:r>
      <w:r w:rsidR="00A272A6" w:rsidRPr="00B045BE">
        <w:rPr>
          <w:b/>
          <w:bCs/>
          <w:lang w:eastAsia="en-GB"/>
        </w:rPr>
        <w:t>Operational)</w:t>
      </w:r>
      <w:r w:rsidRPr="009029BE">
        <w:rPr>
          <w:b/>
          <w:bCs/>
          <w:lang w:eastAsia="en-GB"/>
        </w:rPr>
        <w:t xml:space="preserve"> </w:t>
      </w:r>
      <w:r w:rsidRPr="009029BE">
        <w:rPr>
          <w:lang w:eastAsia="en-GB"/>
        </w:rPr>
        <w:t>To increase visibility of strateg</w:t>
      </w:r>
      <w:r w:rsidR="009A191C" w:rsidRPr="009029BE">
        <w:rPr>
          <w:lang w:eastAsia="en-GB"/>
        </w:rPr>
        <w:t>ic</w:t>
      </w:r>
      <w:r w:rsidRPr="009029BE">
        <w:rPr>
          <w:lang w:eastAsia="en-GB"/>
        </w:rPr>
        <w:t xml:space="preserve"> entry points for GEDSI work, the PRES GEDSI </w:t>
      </w:r>
      <w:r w:rsidR="00575A2F" w:rsidRPr="009029BE">
        <w:rPr>
          <w:lang w:eastAsia="en-GB"/>
        </w:rPr>
        <w:t xml:space="preserve">adviser </w:t>
      </w:r>
      <w:r w:rsidRPr="009029BE">
        <w:rPr>
          <w:lang w:eastAsia="en-GB"/>
        </w:rPr>
        <w:t>should be included in PRES governance meetings.</w:t>
      </w:r>
      <w:r w:rsidRPr="009029BE">
        <w:rPr>
          <w:b/>
          <w:bCs/>
          <w:lang w:eastAsia="en-GB"/>
        </w:rPr>
        <w:t xml:space="preserve"> </w:t>
      </w:r>
    </w:p>
    <w:p w14:paraId="3B8B88B1" w14:textId="2B6FB6F1" w:rsidR="00447C74" w:rsidRDefault="00447C74" w:rsidP="003C073D">
      <w:pPr>
        <w:pStyle w:val="Heading3nonumber"/>
      </w:pPr>
      <w:r>
        <w:lastRenderedPageBreak/>
        <w:t>4</w:t>
      </w:r>
      <w:r w:rsidRPr="152412E2">
        <w:t>.</w:t>
      </w:r>
      <w:r w:rsidR="00417A18">
        <w:t>2</w:t>
      </w:r>
      <w:r w:rsidRPr="152412E2">
        <w:t xml:space="preserve"> </w:t>
      </w:r>
      <w:r w:rsidR="00417A18">
        <w:t>Disability inclusion results</w:t>
      </w:r>
    </w:p>
    <w:p w14:paraId="58807623" w14:textId="7760B678" w:rsidR="005B507C" w:rsidRDefault="00DD21BE" w:rsidP="00447C74">
      <w:pPr>
        <w:keepNext/>
        <w:spacing w:before="240" w:after="120"/>
        <w:rPr>
          <w:szCs w:val="21"/>
        </w:rPr>
      </w:pPr>
      <w:bookmarkStart w:id="62" w:name="_Hlk191975069"/>
      <w:r>
        <w:rPr>
          <w:szCs w:val="21"/>
        </w:rPr>
        <w:t>Disability inclusion remains challenging for PRES</w:t>
      </w:r>
      <w:bookmarkEnd w:id="62"/>
      <w:r w:rsidR="00081342">
        <w:rPr>
          <w:szCs w:val="21"/>
        </w:rPr>
        <w:t xml:space="preserve">, </w:t>
      </w:r>
      <w:r w:rsidR="003C3B7B">
        <w:rPr>
          <w:szCs w:val="21"/>
        </w:rPr>
        <w:t xml:space="preserve">primarily </w:t>
      </w:r>
      <w:r w:rsidR="00081342">
        <w:rPr>
          <w:szCs w:val="21"/>
        </w:rPr>
        <w:t xml:space="preserve">due to </w:t>
      </w:r>
      <w:r w:rsidR="008F71D3">
        <w:rPr>
          <w:szCs w:val="21"/>
        </w:rPr>
        <w:t>fewer</w:t>
      </w:r>
      <w:r w:rsidR="00081342">
        <w:rPr>
          <w:szCs w:val="21"/>
        </w:rPr>
        <w:t xml:space="preserve"> entry points</w:t>
      </w:r>
      <w:r>
        <w:rPr>
          <w:szCs w:val="21"/>
        </w:rPr>
        <w:t>, though effort is being made</w:t>
      </w:r>
      <w:r w:rsidR="00101C1E">
        <w:rPr>
          <w:szCs w:val="21"/>
        </w:rPr>
        <w:t xml:space="preserve">. This effort includes </w:t>
      </w:r>
      <w:r>
        <w:rPr>
          <w:szCs w:val="21"/>
        </w:rPr>
        <w:t>consideration of entry points to achieve disability inclusion in TNs</w:t>
      </w:r>
      <w:r w:rsidR="000C5CD6">
        <w:rPr>
          <w:szCs w:val="21"/>
        </w:rPr>
        <w:t xml:space="preserve"> and inclusion of disability collection data in the TN template.</w:t>
      </w:r>
      <w:r>
        <w:rPr>
          <w:szCs w:val="21"/>
        </w:rPr>
        <w:t xml:space="preserve"> </w:t>
      </w:r>
    </w:p>
    <w:p w14:paraId="28328632" w14:textId="076DC124" w:rsidR="00051DB7" w:rsidRDefault="00B76FF4" w:rsidP="00B85CF8">
      <w:pPr>
        <w:keepNext/>
        <w:rPr>
          <w:szCs w:val="21"/>
        </w:rPr>
      </w:pPr>
      <w:r>
        <w:rPr>
          <w:szCs w:val="21"/>
        </w:rPr>
        <w:t>An</w:t>
      </w:r>
      <w:r w:rsidR="0046409E">
        <w:rPr>
          <w:szCs w:val="21"/>
        </w:rPr>
        <w:t xml:space="preserve"> example</w:t>
      </w:r>
      <w:r>
        <w:rPr>
          <w:szCs w:val="21"/>
        </w:rPr>
        <w:t xml:space="preserve"> of this increased effort is </w:t>
      </w:r>
      <w:r w:rsidR="0057726E">
        <w:rPr>
          <w:szCs w:val="21"/>
        </w:rPr>
        <w:t>PRES</w:t>
      </w:r>
      <w:r w:rsidR="00802C8A">
        <w:rPr>
          <w:szCs w:val="21"/>
        </w:rPr>
        <w:t>’</w:t>
      </w:r>
      <w:r w:rsidR="0057726E">
        <w:rPr>
          <w:szCs w:val="21"/>
        </w:rPr>
        <w:t xml:space="preserve"> </w:t>
      </w:r>
      <w:r w:rsidR="00802C8A">
        <w:rPr>
          <w:szCs w:val="21"/>
        </w:rPr>
        <w:t>support for the</w:t>
      </w:r>
      <w:r w:rsidR="0057726E">
        <w:rPr>
          <w:szCs w:val="21"/>
        </w:rPr>
        <w:t xml:space="preserve"> </w:t>
      </w:r>
      <w:r w:rsidR="00682ADC">
        <w:rPr>
          <w:szCs w:val="21"/>
        </w:rPr>
        <w:t xml:space="preserve">Tonga </w:t>
      </w:r>
      <w:r w:rsidR="001D1C50">
        <w:rPr>
          <w:szCs w:val="21"/>
        </w:rPr>
        <w:t>Agricultur</w:t>
      </w:r>
      <w:r w:rsidR="001C56BD">
        <w:rPr>
          <w:szCs w:val="21"/>
        </w:rPr>
        <w:t>e Sector Plan</w:t>
      </w:r>
      <w:r w:rsidR="00051DB7">
        <w:rPr>
          <w:szCs w:val="21"/>
        </w:rPr>
        <w:t>, which</w:t>
      </w:r>
      <w:r w:rsidR="00D92092">
        <w:rPr>
          <w:szCs w:val="21"/>
        </w:rPr>
        <w:t xml:space="preserve"> </w:t>
      </w:r>
      <w:r w:rsidR="008559BA">
        <w:rPr>
          <w:szCs w:val="21"/>
        </w:rPr>
        <w:t xml:space="preserve">identified entry points </w:t>
      </w:r>
      <w:r w:rsidR="00B00BE3">
        <w:rPr>
          <w:szCs w:val="21"/>
        </w:rPr>
        <w:t>to address GEDSI</w:t>
      </w:r>
      <w:r w:rsidR="00E41B73">
        <w:rPr>
          <w:szCs w:val="21"/>
        </w:rPr>
        <w:t>, including disability</w:t>
      </w:r>
      <w:r w:rsidR="00D92092">
        <w:rPr>
          <w:szCs w:val="21"/>
        </w:rPr>
        <w:t>;</w:t>
      </w:r>
      <w:r w:rsidR="00E41B73">
        <w:rPr>
          <w:szCs w:val="21"/>
        </w:rPr>
        <w:t xml:space="preserve"> </w:t>
      </w:r>
      <w:r w:rsidR="00855231">
        <w:rPr>
          <w:szCs w:val="21"/>
        </w:rPr>
        <w:t xml:space="preserve">conducted a </w:t>
      </w:r>
      <w:r w:rsidR="00A3178C">
        <w:rPr>
          <w:szCs w:val="21"/>
        </w:rPr>
        <w:t xml:space="preserve">standalone </w:t>
      </w:r>
      <w:r w:rsidR="00DB0FDC">
        <w:rPr>
          <w:szCs w:val="21"/>
        </w:rPr>
        <w:t>GEDSI analysis</w:t>
      </w:r>
      <w:r w:rsidR="006156A8">
        <w:rPr>
          <w:szCs w:val="21"/>
        </w:rPr>
        <w:t xml:space="preserve"> (including disability)</w:t>
      </w:r>
      <w:r w:rsidR="00D92092">
        <w:rPr>
          <w:szCs w:val="21"/>
        </w:rPr>
        <w:t>;</w:t>
      </w:r>
      <w:r w:rsidR="00DB0FDC">
        <w:rPr>
          <w:szCs w:val="21"/>
        </w:rPr>
        <w:t xml:space="preserve"> </w:t>
      </w:r>
      <w:r w:rsidR="004273C8">
        <w:rPr>
          <w:szCs w:val="21"/>
        </w:rPr>
        <w:t xml:space="preserve">and provided advice </w:t>
      </w:r>
      <w:r w:rsidR="00131D93">
        <w:rPr>
          <w:szCs w:val="21"/>
        </w:rPr>
        <w:t xml:space="preserve">to the lead author on multiple occasions. </w:t>
      </w:r>
      <w:r w:rsidR="006C1893">
        <w:rPr>
          <w:szCs w:val="21"/>
        </w:rPr>
        <w:t xml:space="preserve">As a result, the plan </w:t>
      </w:r>
      <w:r w:rsidR="002D1F21">
        <w:rPr>
          <w:szCs w:val="21"/>
        </w:rPr>
        <w:t xml:space="preserve">explicitly </w:t>
      </w:r>
      <w:r w:rsidR="00FA09B3">
        <w:rPr>
          <w:szCs w:val="21"/>
        </w:rPr>
        <w:t xml:space="preserve">identifies and seeks </w:t>
      </w:r>
      <w:r w:rsidR="00B321F9">
        <w:rPr>
          <w:szCs w:val="21"/>
        </w:rPr>
        <w:t xml:space="preserve">to address the needs of </w:t>
      </w:r>
      <w:r w:rsidR="004A0085">
        <w:rPr>
          <w:szCs w:val="21"/>
        </w:rPr>
        <w:t xml:space="preserve">people with disabilities, </w:t>
      </w:r>
      <w:r w:rsidR="007B4171">
        <w:rPr>
          <w:szCs w:val="21"/>
        </w:rPr>
        <w:t>as compared with the first draft of the plan</w:t>
      </w:r>
      <w:r w:rsidR="00051DB7">
        <w:rPr>
          <w:szCs w:val="21"/>
        </w:rPr>
        <w:t>,</w:t>
      </w:r>
      <w:r w:rsidR="007B4171">
        <w:rPr>
          <w:szCs w:val="21"/>
        </w:rPr>
        <w:t xml:space="preserve"> which </w:t>
      </w:r>
      <w:r w:rsidR="005467EB">
        <w:rPr>
          <w:szCs w:val="21"/>
        </w:rPr>
        <w:t>was silent on disability.</w:t>
      </w:r>
      <w:r w:rsidR="005E05A0">
        <w:rPr>
          <w:szCs w:val="21"/>
        </w:rPr>
        <w:t xml:space="preserve"> </w:t>
      </w:r>
    </w:p>
    <w:p w14:paraId="464DFA8A" w14:textId="1897496A" w:rsidR="00704E5E" w:rsidRPr="00A51826" w:rsidRDefault="005E05A0" w:rsidP="00B85CF8">
      <w:pPr>
        <w:keepNext/>
        <w:rPr>
          <w:szCs w:val="21"/>
        </w:rPr>
      </w:pPr>
      <w:r>
        <w:rPr>
          <w:szCs w:val="21"/>
        </w:rPr>
        <w:t xml:space="preserve">The GEDSI </w:t>
      </w:r>
      <w:r w:rsidR="009914DA">
        <w:rPr>
          <w:szCs w:val="21"/>
        </w:rPr>
        <w:t xml:space="preserve">adviser </w:t>
      </w:r>
      <w:r>
        <w:rPr>
          <w:szCs w:val="21"/>
        </w:rPr>
        <w:t xml:space="preserve">also provided </w:t>
      </w:r>
      <w:r w:rsidR="00CA51D5">
        <w:rPr>
          <w:szCs w:val="21"/>
        </w:rPr>
        <w:t xml:space="preserve">Nauru </w:t>
      </w:r>
      <w:r w:rsidR="00E44A6C">
        <w:rPr>
          <w:szCs w:val="21"/>
        </w:rPr>
        <w:t xml:space="preserve">Rescue and </w:t>
      </w:r>
      <w:r w:rsidR="009B6461">
        <w:rPr>
          <w:szCs w:val="21"/>
        </w:rPr>
        <w:t xml:space="preserve">Fire Fighting </w:t>
      </w:r>
      <w:r w:rsidR="00825002">
        <w:rPr>
          <w:szCs w:val="21"/>
        </w:rPr>
        <w:t xml:space="preserve">Services support, </w:t>
      </w:r>
      <w:r w:rsidR="00EB2C23">
        <w:rPr>
          <w:szCs w:val="21"/>
        </w:rPr>
        <w:t xml:space="preserve">which resulted in </w:t>
      </w:r>
      <w:r w:rsidR="006F3B81">
        <w:rPr>
          <w:szCs w:val="21"/>
        </w:rPr>
        <w:t xml:space="preserve">more disability considerations, </w:t>
      </w:r>
      <w:r w:rsidR="00981D9C">
        <w:rPr>
          <w:szCs w:val="21"/>
        </w:rPr>
        <w:t xml:space="preserve">including consideration of </w:t>
      </w:r>
      <w:r w:rsidR="006045DB">
        <w:rPr>
          <w:szCs w:val="21"/>
        </w:rPr>
        <w:t xml:space="preserve">emergency response </w:t>
      </w:r>
      <w:r w:rsidR="004A184D">
        <w:rPr>
          <w:szCs w:val="21"/>
        </w:rPr>
        <w:t xml:space="preserve">for people with a disability and those with limited mobility. </w:t>
      </w:r>
      <w:r w:rsidR="00DB19FF">
        <w:rPr>
          <w:szCs w:val="21"/>
        </w:rPr>
        <w:t xml:space="preserve">PRES has also </w:t>
      </w:r>
      <w:r w:rsidR="0035221B">
        <w:rPr>
          <w:szCs w:val="21"/>
        </w:rPr>
        <w:t>a</w:t>
      </w:r>
      <w:r w:rsidR="0035221B" w:rsidRPr="0035221B">
        <w:rPr>
          <w:szCs w:val="21"/>
        </w:rPr>
        <w:t xml:space="preserve">dvised on the Kiribati Airport Master Plan </w:t>
      </w:r>
      <w:r w:rsidR="00051DB7">
        <w:rPr>
          <w:szCs w:val="21"/>
        </w:rPr>
        <w:t>terms of reference</w:t>
      </w:r>
      <w:r w:rsidR="0035221B" w:rsidRPr="0035221B">
        <w:rPr>
          <w:szCs w:val="21"/>
        </w:rPr>
        <w:t>, specifically regarding accessibility for people with disabilities (physical access, signage, assistance services, security, safety, information, and emergency procedures).</w:t>
      </w:r>
    </w:p>
    <w:p w14:paraId="67782639" w14:textId="77777777" w:rsidR="00392001" w:rsidRDefault="002F3695" w:rsidP="00B85CF8">
      <w:pPr>
        <w:keepNext/>
        <w:rPr>
          <w:szCs w:val="21"/>
        </w:rPr>
      </w:pPr>
      <w:r>
        <w:rPr>
          <w:szCs w:val="21"/>
        </w:rPr>
        <w:t>T</w:t>
      </w:r>
      <w:r w:rsidR="00184355">
        <w:rPr>
          <w:szCs w:val="21"/>
        </w:rPr>
        <w:t>he 2024 A</w:t>
      </w:r>
      <w:r w:rsidR="00DD21BE">
        <w:rPr>
          <w:szCs w:val="21"/>
        </w:rPr>
        <w:t xml:space="preserve">nnual </w:t>
      </w:r>
      <w:r w:rsidR="008C4A51">
        <w:rPr>
          <w:szCs w:val="21"/>
        </w:rPr>
        <w:t>IMR</w:t>
      </w:r>
      <w:r w:rsidR="00DD21BE">
        <w:rPr>
          <w:szCs w:val="21"/>
        </w:rPr>
        <w:t xml:space="preserve"> </w:t>
      </w:r>
      <w:r w:rsidR="008C4A51">
        <w:rPr>
          <w:szCs w:val="21"/>
        </w:rPr>
        <w:t>notes</w:t>
      </w:r>
      <w:r w:rsidR="00392001">
        <w:rPr>
          <w:szCs w:val="21"/>
        </w:rPr>
        <w:t>:</w:t>
      </w:r>
    </w:p>
    <w:p w14:paraId="511EB905" w14:textId="2F97DA27" w:rsidR="00392001" w:rsidRPr="00B85CF8" w:rsidRDefault="001538AC" w:rsidP="00C86C27">
      <w:pPr>
        <w:pStyle w:val="Quote"/>
      </w:pPr>
      <w:r w:rsidRPr="00B85CF8">
        <w:t>‘</w:t>
      </w:r>
      <w:proofErr w:type="gramStart"/>
      <w:r w:rsidRPr="00B85CF8">
        <w:t>disability</w:t>
      </w:r>
      <w:proofErr w:type="gramEnd"/>
      <w:r w:rsidRPr="00B85CF8">
        <w:t xml:space="preserve"> </w:t>
      </w:r>
      <w:r w:rsidR="00184355" w:rsidRPr="00B85CF8">
        <w:t>is not a principal objective of this investment, and there are limitations on how much PRES can influence disability inclusive outcomes. However, during the reporting period there has been an uptick of effort to integrate disability inclusion across activities, and there is adequate evidence that PRES has incorporated disability engagement and equity in program implementation.</w:t>
      </w:r>
      <w:r w:rsidR="00392001" w:rsidRPr="00B85CF8">
        <w:t>’</w:t>
      </w:r>
      <w:r w:rsidR="00184355" w:rsidRPr="00B85CF8">
        <w:t xml:space="preserve"> </w:t>
      </w:r>
    </w:p>
    <w:p w14:paraId="04DDA32A" w14:textId="1284E15C" w:rsidR="00DD21BE" w:rsidRDefault="00184355" w:rsidP="00B85CF8">
      <w:pPr>
        <w:keepNext/>
        <w:rPr>
          <w:szCs w:val="21"/>
        </w:rPr>
      </w:pPr>
      <w:r>
        <w:rPr>
          <w:szCs w:val="21"/>
        </w:rPr>
        <w:t xml:space="preserve">The report </w:t>
      </w:r>
      <w:r w:rsidR="00173C97">
        <w:rPr>
          <w:szCs w:val="21"/>
        </w:rPr>
        <w:t xml:space="preserve">found that </w:t>
      </w:r>
      <w:r>
        <w:rPr>
          <w:szCs w:val="21"/>
        </w:rPr>
        <w:t xml:space="preserve">PRES performed </w:t>
      </w:r>
      <w:r w:rsidR="00392001">
        <w:rPr>
          <w:szCs w:val="21"/>
        </w:rPr>
        <w:t xml:space="preserve">‘unsatisfactory’ </w:t>
      </w:r>
      <w:r>
        <w:rPr>
          <w:szCs w:val="21"/>
        </w:rPr>
        <w:t>for Q</w:t>
      </w:r>
      <w:r w:rsidR="00392001">
        <w:rPr>
          <w:szCs w:val="21"/>
        </w:rPr>
        <w:t xml:space="preserve">uarter </w:t>
      </w:r>
      <w:r>
        <w:rPr>
          <w:szCs w:val="21"/>
        </w:rPr>
        <w:t>1 (</w:t>
      </w:r>
      <w:r w:rsidR="00173C97">
        <w:rPr>
          <w:szCs w:val="21"/>
        </w:rPr>
        <w:t>‘</w:t>
      </w:r>
      <w:r>
        <w:rPr>
          <w:szCs w:val="21"/>
        </w:rPr>
        <w:t xml:space="preserve">active involvement of people with disabilities and/or </w:t>
      </w:r>
      <w:r w:rsidRPr="000C5CD6">
        <w:rPr>
          <w:szCs w:val="21"/>
        </w:rPr>
        <w:t>organisations</w:t>
      </w:r>
      <w:r>
        <w:rPr>
          <w:szCs w:val="21"/>
        </w:rPr>
        <w:t xml:space="preserve"> </w:t>
      </w:r>
      <w:r w:rsidRPr="000C5CD6">
        <w:rPr>
          <w:szCs w:val="21"/>
        </w:rPr>
        <w:t>of persons with disabilities in planning, implementation, and monitoring and</w:t>
      </w:r>
      <w:r>
        <w:rPr>
          <w:szCs w:val="21"/>
        </w:rPr>
        <w:t xml:space="preserve"> </w:t>
      </w:r>
      <w:r w:rsidRPr="000C5CD6">
        <w:rPr>
          <w:szCs w:val="21"/>
        </w:rPr>
        <w:t>evaluation</w:t>
      </w:r>
      <w:r w:rsidR="005229EB">
        <w:rPr>
          <w:szCs w:val="21"/>
        </w:rPr>
        <w:t>’</w:t>
      </w:r>
      <w:r>
        <w:rPr>
          <w:szCs w:val="21"/>
        </w:rPr>
        <w:t xml:space="preserve">) and </w:t>
      </w:r>
      <w:r w:rsidR="00DF070F">
        <w:rPr>
          <w:szCs w:val="21"/>
        </w:rPr>
        <w:t xml:space="preserve">‘satisfactory’ </w:t>
      </w:r>
      <w:r>
        <w:rPr>
          <w:szCs w:val="21"/>
        </w:rPr>
        <w:t>for Q</w:t>
      </w:r>
      <w:r w:rsidR="00DF070F">
        <w:rPr>
          <w:szCs w:val="21"/>
        </w:rPr>
        <w:t xml:space="preserve">uarter </w:t>
      </w:r>
      <w:r>
        <w:rPr>
          <w:szCs w:val="21"/>
        </w:rPr>
        <w:t>2 (</w:t>
      </w:r>
      <w:r w:rsidR="00DF070F">
        <w:rPr>
          <w:szCs w:val="21"/>
        </w:rPr>
        <w:t>‘d</w:t>
      </w:r>
      <w:r w:rsidR="00DF070F" w:rsidRPr="00184355">
        <w:rPr>
          <w:szCs w:val="21"/>
        </w:rPr>
        <w:t xml:space="preserve">oes </w:t>
      </w:r>
      <w:r w:rsidRPr="00184355">
        <w:rPr>
          <w:szCs w:val="21"/>
        </w:rPr>
        <w:t>this investment identify and address barriers to inclusion, provide</w:t>
      </w:r>
      <w:r>
        <w:rPr>
          <w:szCs w:val="21"/>
        </w:rPr>
        <w:t xml:space="preserve"> </w:t>
      </w:r>
      <w:r w:rsidRPr="00184355">
        <w:rPr>
          <w:szCs w:val="21"/>
        </w:rPr>
        <w:t>opportunities for participation, and enable people with disabilities to benefit equally</w:t>
      </w:r>
      <w:r>
        <w:rPr>
          <w:szCs w:val="21"/>
        </w:rPr>
        <w:t xml:space="preserve"> </w:t>
      </w:r>
      <w:r w:rsidRPr="00184355">
        <w:rPr>
          <w:szCs w:val="21"/>
        </w:rPr>
        <w:t>from the investment</w:t>
      </w:r>
      <w:r w:rsidR="00DF070F">
        <w:rPr>
          <w:szCs w:val="21"/>
        </w:rPr>
        <w:t>’</w:t>
      </w:r>
      <w:r>
        <w:rPr>
          <w:szCs w:val="21"/>
        </w:rPr>
        <w:t xml:space="preserve">). </w:t>
      </w:r>
      <w:r w:rsidR="00DF070F">
        <w:rPr>
          <w:szCs w:val="21"/>
        </w:rPr>
        <w:t xml:space="preserve">The 2024 Annual IMR </w:t>
      </w:r>
      <w:r w:rsidR="006833B4">
        <w:rPr>
          <w:szCs w:val="21"/>
        </w:rPr>
        <w:t>rate</w:t>
      </w:r>
      <w:r w:rsidR="00DF070F">
        <w:rPr>
          <w:szCs w:val="21"/>
        </w:rPr>
        <w:t>d</w:t>
      </w:r>
      <w:r w:rsidR="006833B4">
        <w:rPr>
          <w:szCs w:val="21"/>
        </w:rPr>
        <w:t xml:space="preserve"> PRES</w:t>
      </w:r>
      <w:r w:rsidR="000C5CD6">
        <w:rPr>
          <w:szCs w:val="21"/>
        </w:rPr>
        <w:t xml:space="preserve"> </w:t>
      </w:r>
      <w:r w:rsidR="00DF070F">
        <w:rPr>
          <w:szCs w:val="21"/>
        </w:rPr>
        <w:t>at ‘</w:t>
      </w:r>
      <w:r w:rsidR="000C5CD6">
        <w:rPr>
          <w:szCs w:val="21"/>
        </w:rPr>
        <w:t>1</w:t>
      </w:r>
      <w:r w:rsidR="00DF070F">
        <w:rPr>
          <w:szCs w:val="21"/>
        </w:rPr>
        <w:t>’</w:t>
      </w:r>
      <w:r w:rsidR="000C5CD6">
        <w:rPr>
          <w:szCs w:val="21"/>
        </w:rPr>
        <w:t xml:space="preserve"> for</w:t>
      </w:r>
      <w:r w:rsidR="008C4A51">
        <w:rPr>
          <w:szCs w:val="21"/>
        </w:rPr>
        <w:t xml:space="preserve"> disability inclusion</w:t>
      </w:r>
      <w:r w:rsidR="000C5CD6">
        <w:rPr>
          <w:szCs w:val="21"/>
        </w:rPr>
        <w:t xml:space="preserve"> in 2023, improving</w:t>
      </w:r>
      <w:r w:rsidR="005229EB">
        <w:rPr>
          <w:szCs w:val="21"/>
        </w:rPr>
        <w:t xml:space="preserve"> PRES</w:t>
      </w:r>
      <w:r w:rsidR="000C5CD6">
        <w:rPr>
          <w:szCs w:val="21"/>
        </w:rPr>
        <w:t xml:space="preserve"> to </w:t>
      </w:r>
      <w:r w:rsidR="00DF070F">
        <w:rPr>
          <w:szCs w:val="21"/>
        </w:rPr>
        <w:t>‘</w:t>
      </w:r>
      <w:r w:rsidR="000C5CD6">
        <w:rPr>
          <w:szCs w:val="21"/>
        </w:rPr>
        <w:t>3</w:t>
      </w:r>
      <w:r w:rsidR="00DF070F">
        <w:rPr>
          <w:szCs w:val="21"/>
        </w:rPr>
        <w:t>’</w:t>
      </w:r>
      <w:r w:rsidR="000C5CD6">
        <w:rPr>
          <w:szCs w:val="21"/>
        </w:rPr>
        <w:t xml:space="preserve"> for 2024 </w:t>
      </w:r>
      <w:r w:rsidR="005229EB">
        <w:rPr>
          <w:szCs w:val="21"/>
        </w:rPr>
        <w:t xml:space="preserve">Quarter 1 </w:t>
      </w:r>
      <w:r w:rsidR="000C5CD6">
        <w:rPr>
          <w:szCs w:val="21"/>
        </w:rPr>
        <w:t xml:space="preserve">(and N/A for </w:t>
      </w:r>
      <w:r w:rsidR="005229EB">
        <w:rPr>
          <w:szCs w:val="21"/>
        </w:rPr>
        <w:t xml:space="preserve">2024 </w:t>
      </w:r>
      <w:r w:rsidR="000C5CD6">
        <w:rPr>
          <w:szCs w:val="21"/>
        </w:rPr>
        <w:t>Q</w:t>
      </w:r>
      <w:r w:rsidR="00173C97">
        <w:rPr>
          <w:szCs w:val="21"/>
        </w:rPr>
        <w:t xml:space="preserve">uarter </w:t>
      </w:r>
      <w:r w:rsidR="000C5CD6">
        <w:rPr>
          <w:szCs w:val="21"/>
        </w:rPr>
        <w:t xml:space="preserve">2). </w:t>
      </w:r>
    </w:p>
    <w:p w14:paraId="40DA8E96" w14:textId="22AE2D27" w:rsidR="005229EB" w:rsidRDefault="000C5CD6" w:rsidP="00B85CF8">
      <w:pPr>
        <w:keepNext/>
        <w:rPr>
          <w:szCs w:val="21"/>
        </w:rPr>
      </w:pPr>
      <w:r>
        <w:rPr>
          <w:szCs w:val="21"/>
        </w:rPr>
        <w:t>The 2024</w:t>
      </w:r>
      <w:r w:rsidR="005229EB">
        <w:rPr>
          <w:szCs w:val="21"/>
        </w:rPr>
        <w:t>-20</w:t>
      </w:r>
      <w:r>
        <w:rPr>
          <w:szCs w:val="21"/>
        </w:rPr>
        <w:t xml:space="preserve">25 </w:t>
      </w:r>
      <w:r w:rsidR="005229EB">
        <w:rPr>
          <w:szCs w:val="21"/>
        </w:rPr>
        <w:t>Quarter 2</w:t>
      </w:r>
      <w:r>
        <w:rPr>
          <w:szCs w:val="21"/>
        </w:rPr>
        <w:t xml:space="preserve"> report also noted </w:t>
      </w:r>
      <w:r w:rsidR="005229EB">
        <w:rPr>
          <w:szCs w:val="21"/>
        </w:rPr>
        <w:t xml:space="preserve">that </w:t>
      </w:r>
      <w:r>
        <w:rPr>
          <w:szCs w:val="21"/>
        </w:rPr>
        <w:t xml:space="preserve">no opportunities to engage with disabled persons organisations were </w:t>
      </w:r>
      <w:r w:rsidR="00184355">
        <w:rPr>
          <w:szCs w:val="21"/>
        </w:rPr>
        <w:t>identified and</w:t>
      </w:r>
      <w:r>
        <w:rPr>
          <w:szCs w:val="21"/>
        </w:rPr>
        <w:t xml:space="preserve"> identified </w:t>
      </w:r>
      <w:r w:rsidR="005229EB">
        <w:rPr>
          <w:szCs w:val="21"/>
        </w:rPr>
        <w:t xml:space="preserve">as a priority for the following quarter an </w:t>
      </w:r>
      <w:r>
        <w:rPr>
          <w:szCs w:val="21"/>
        </w:rPr>
        <w:t>expansion of a TA panel o</w:t>
      </w:r>
      <w:r w:rsidRPr="000C5CD6">
        <w:rPr>
          <w:szCs w:val="21"/>
        </w:rPr>
        <w:t>f individuals and organisations</w:t>
      </w:r>
      <w:r w:rsidR="005229EB">
        <w:rPr>
          <w:szCs w:val="21"/>
        </w:rPr>
        <w:t>,</w:t>
      </w:r>
      <w:r w:rsidRPr="000C5CD6">
        <w:rPr>
          <w:szCs w:val="21"/>
        </w:rPr>
        <w:t xml:space="preserve"> including of Pacific Islanders and people living</w:t>
      </w:r>
      <w:r>
        <w:rPr>
          <w:szCs w:val="21"/>
        </w:rPr>
        <w:t xml:space="preserve"> </w:t>
      </w:r>
      <w:r w:rsidRPr="000C5CD6">
        <w:rPr>
          <w:szCs w:val="21"/>
        </w:rPr>
        <w:t>with a disability</w:t>
      </w:r>
      <w:r>
        <w:rPr>
          <w:szCs w:val="21"/>
        </w:rPr>
        <w:t>.</w:t>
      </w:r>
    </w:p>
    <w:p w14:paraId="6797B383" w14:textId="3B8BD65D" w:rsidR="0067481E" w:rsidRDefault="0067481E" w:rsidP="00B85CF8">
      <w:pPr>
        <w:keepNext/>
        <w:rPr>
          <w:szCs w:val="21"/>
        </w:rPr>
      </w:pPr>
      <w:r w:rsidRPr="0067481E">
        <w:rPr>
          <w:szCs w:val="21"/>
        </w:rPr>
        <w:t xml:space="preserve">In the context of PRES' provision of specialist technical advisers, its primary role in disability inclusion is </w:t>
      </w:r>
      <w:r w:rsidR="0019712E" w:rsidRPr="0067481E">
        <w:rPr>
          <w:szCs w:val="21"/>
        </w:rPr>
        <w:t>centred</w:t>
      </w:r>
      <w:r w:rsidRPr="0067481E">
        <w:rPr>
          <w:szCs w:val="21"/>
        </w:rPr>
        <w:t xml:space="preserve"> on increasing the representation of people with disabilities within the adviser pool and identifying opportunities to integrate disability inclusion into </w:t>
      </w:r>
      <w:r>
        <w:rPr>
          <w:szCs w:val="21"/>
        </w:rPr>
        <w:t>TNs. This means there is limited opportunity for PRES to engage with disabled persons organisations, which is more likely to occur at the adviser and TN level.</w:t>
      </w:r>
    </w:p>
    <w:p w14:paraId="1FFB64E1" w14:textId="2843C327" w:rsidR="00447C74" w:rsidRDefault="00447C74" w:rsidP="003C073D">
      <w:pPr>
        <w:pStyle w:val="Heading3nonumber"/>
      </w:pPr>
      <w:r>
        <w:t>4</w:t>
      </w:r>
      <w:r w:rsidRPr="152412E2">
        <w:t>.</w:t>
      </w:r>
      <w:r w:rsidR="00417A18">
        <w:t>3</w:t>
      </w:r>
      <w:r w:rsidRPr="152412E2">
        <w:t xml:space="preserve"> </w:t>
      </w:r>
      <w:r w:rsidR="00417A18" w:rsidRPr="00417A18">
        <w:t>Advis</w:t>
      </w:r>
      <w:r w:rsidR="00575A2F">
        <w:t>e</w:t>
      </w:r>
      <w:r w:rsidR="00417A18" w:rsidRPr="00417A18">
        <w:t xml:space="preserve">r </w:t>
      </w:r>
      <w:r w:rsidR="00417A18">
        <w:t>d</w:t>
      </w:r>
      <w:r w:rsidR="00417A18" w:rsidRPr="00417A18">
        <w:t xml:space="preserve">iversity </w:t>
      </w:r>
      <w:r w:rsidR="00417A18">
        <w:t>r</w:t>
      </w:r>
      <w:r w:rsidR="00417A18" w:rsidRPr="00417A18">
        <w:t>esults (</w:t>
      </w:r>
      <w:r w:rsidR="00417A18">
        <w:t>i</w:t>
      </w:r>
      <w:r w:rsidR="00417A18" w:rsidRPr="00417A18">
        <w:t>ncluding Pacific Islander</w:t>
      </w:r>
      <w:r w:rsidR="00417A18">
        <w:t xml:space="preserve"> advis</w:t>
      </w:r>
      <w:r w:rsidR="00575A2F">
        <w:t>e</w:t>
      </w:r>
      <w:r w:rsidR="00417A18">
        <w:t>r diversity</w:t>
      </w:r>
      <w:r w:rsidR="00417A18" w:rsidRPr="00417A18">
        <w:t>)</w:t>
      </w:r>
    </w:p>
    <w:p w14:paraId="688F6541" w14:textId="1BC8AF8A" w:rsidR="00F53906" w:rsidRPr="009029BE" w:rsidRDefault="00470738" w:rsidP="00B85CF8">
      <w:pPr>
        <w:keepNext/>
        <w:rPr>
          <w:szCs w:val="21"/>
        </w:rPr>
      </w:pPr>
      <w:r>
        <w:rPr>
          <w:szCs w:val="21"/>
        </w:rPr>
        <w:t xml:space="preserve">Considerable effort has been made by PRES to promote diversity </w:t>
      </w:r>
      <w:r w:rsidR="009E7788">
        <w:rPr>
          <w:szCs w:val="21"/>
        </w:rPr>
        <w:t>in advis</w:t>
      </w:r>
      <w:r w:rsidR="00575A2F">
        <w:rPr>
          <w:szCs w:val="21"/>
        </w:rPr>
        <w:t>e</w:t>
      </w:r>
      <w:r w:rsidR="009E7788">
        <w:rPr>
          <w:szCs w:val="21"/>
        </w:rPr>
        <w:t>rs</w:t>
      </w:r>
      <w:r>
        <w:rPr>
          <w:szCs w:val="21"/>
        </w:rPr>
        <w:t xml:space="preserve">, despite challenges given the </w:t>
      </w:r>
      <w:r w:rsidR="00F4587B">
        <w:rPr>
          <w:szCs w:val="21"/>
        </w:rPr>
        <w:t xml:space="preserve">nature of </w:t>
      </w:r>
      <w:r w:rsidR="00E4520C">
        <w:rPr>
          <w:szCs w:val="21"/>
        </w:rPr>
        <w:t xml:space="preserve">the </w:t>
      </w:r>
      <w:r w:rsidR="00F4587B">
        <w:rPr>
          <w:szCs w:val="21"/>
        </w:rPr>
        <w:t>specialised technical advice provided</w:t>
      </w:r>
      <w:r w:rsidR="005229EB">
        <w:rPr>
          <w:szCs w:val="21"/>
        </w:rPr>
        <w:t xml:space="preserve">. This includes </w:t>
      </w:r>
      <w:r w:rsidR="009E7788" w:rsidRPr="00FB7C94">
        <w:t>conscious effort to increase the number</w:t>
      </w:r>
      <w:r w:rsidR="005229EB">
        <w:t xml:space="preserve"> </w:t>
      </w:r>
      <w:r w:rsidR="009E7788" w:rsidRPr="00FB7C94">
        <w:t>/</w:t>
      </w:r>
      <w:r w:rsidR="005229EB">
        <w:t xml:space="preserve"> </w:t>
      </w:r>
      <w:r w:rsidR="009E7788" w:rsidRPr="00FB7C94">
        <w:t xml:space="preserve">proportion of Pacific Islander advisers proposed to DFAT and </w:t>
      </w:r>
      <w:r w:rsidR="009E7788">
        <w:rPr>
          <w:szCs w:val="21"/>
        </w:rPr>
        <w:t>inclusion of whether advis</w:t>
      </w:r>
      <w:r w:rsidR="00575A2F">
        <w:rPr>
          <w:szCs w:val="21"/>
        </w:rPr>
        <w:t>e</w:t>
      </w:r>
      <w:r w:rsidR="009E7788">
        <w:rPr>
          <w:szCs w:val="21"/>
        </w:rPr>
        <w:t>rs identify as Pacific Islander</w:t>
      </w:r>
      <w:r w:rsidR="005229EB">
        <w:rPr>
          <w:szCs w:val="21"/>
        </w:rPr>
        <w:t xml:space="preserve"> </w:t>
      </w:r>
      <w:r w:rsidR="009E7788">
        <w:rPr>
          <w:szCs w:val="21"/>
        </w:rPr>
        <w:t>/</w:t>
      </w:r>
      <w:r w:rsidR="005229EB">
        <w:rPr>
          <w:szCs w:val="21"/>
        </w:rPr>
        <w:t xml:space="preserve"> </w:t>
      </w:r>
      <w:r w:rsidR="009E7788">
        <w:rPr>
          <w:szCs w:val="21"/>
        </w:rPr>
        <w:t>First Nations in data collection in the TN template.</w:t>
      </w:r>
      <w:r w:rsidR="0013630E" w:rsidRPr="0013630E">
        <w:rPr>
          <w:szCs w:val="21"/>
        </w:rPr>
        <w:t xml:space="preserve"> </w:t>
      </w:r>
      <w:r w:rsidR="0013630E">
        <w:rPr>
          <w:szCs w:val="21"/>
        </w:rPr>
        <w:t>PRES includes Pacific Islander</w:t>
      </w:r>
      <w:r w:rsidR="005229EB">
        <w:rPr>
          <w:szCs w:val="21"/>
        </w:rPr>
        <w:t xml:space="preserve"> </w:t>
      </w:r>
      <w:r w:rsidR="0013630E">
        <w:rPr>
          <w:szCs w:val="21"/>
        </w:rPr>
        <w:t>/</w:t>
      </w:r>
      <w:r w:rsidR="005229EB">
        <w:rPr>
          <w:szCs w:val="21"/>
        </w:rPr>
        <w:t xml:space="preserve"> </w:t>
      </w:r>
      <w:r w:rsidR="0013630E">
        <w:rPr>
          <w:szCs w:val="21"/>
        </w:rPr>
        <w:t>First Nations candidates in lists of potential advis</w:t>
      </w:r>
      <w:r w:rsidR="00575A2F">
        <w:rPr>
          <w:szCs w:val="21"/>
        </w:rPr>
        <w:t>e</w:t>
      </w:r>
      <w:r w:rsidR="0013630E">
        <w:rPr>
          <w:szCs w:val="21"/>
        </w:rPr>
        <w:t xml:space="preserve">rs provided to DFAT, where </w:t>
      </w:r>
      <w:proofErr w:type="gramStart"/>
      <w:r w:rsidR="0013630E">
        <w:rPr>
          <w:szCs w:val="21"/>
        </w:rPr>
        <w:t>possible</w:t>
      </w:r>
      <w:r w:rsidR="005229EB">
        <w:rPr>
          <w:szCs w:val="21"/>
        </w:rPr>
        <w:t xml:space="preserve">; </w:t>
      </w:r>
      <w:r w:rsidR="0013630E">
        <w:rPr>
          <w:szCs w:val="21"/>
        </w:rPr>
        <w:t xml:space="preserve"> </w:t>
      </w:r>
      <w:r w:rsidR="0013630E">
        <w:rPr>
          <w:szCs w:val="21"/>
        </w:rPr>
        <w:lastRenderedPageBreak/>
        <w:t>however</w:t>
      </w:r>
      <w:proofErr w:type="gramEnd"/>
      <w:r w:rsidR="0013630E">
        <w:rPr>
          <w:szCs w:val="21"/>
        </w:rPr>
        <w:t>, final determination rests with DFAT</w:t>
      </w:r>
      <w:r w:rsidR="005229EB">
        <w:rPr>
          <w:szCs w:val="21"/>
        </w:rPr>
        <w:t>,</w:t>
      </w:r>
      <w:r w:rsidR="0013630E">
        <w:rPr>
          <w:szCs w:val="21"/>
        </w:rPr>
        <w:t xml:space="preserve"> where </w:t>
      </w:r>
      <w:r w:rsidR="0013630E" w:rsidRPr="0013630E">
        <w:rPr>
          <w:szCs w:val="21"/>
        </w:rPr>
        <w:t>a preference for established consultant relationships over the engagement of new Pacific Islander consultants</w:t>
      </w:r>
      <w:r w:rsidR="0013630E">
        <w:rPr>
          <w:szCs w:val="21"/>
        </w:rPr>
        <w:t xml:space="preserve"> may exist. </w:t>
      </w:r>
    </w:p>
    <w:p w14:paraId="13CC7691" w14:textId="13FE8809" w:rsidR="004D73E5" w:rsidRDefault="0013630E" w:rsidP="00B85CF8">
      <w:pPr>
        <w:keepNext/>
        <w:rPr>
          <w:szCs w:val="21"/>
        </w:rPr>
      </w:pPr>
      <w:r w:rsidRPr="00FB7C94">
        <w:rPr>
          <w:szCs w:val="21"/>
        </w:rPr>
        <w:t>In the 2024</w:t>
      </w:r>
      <w:r w:rsidR="005229EB">
        <w:rPr>
          <w:szCs w:val="21"/>
        </w:rPr>
        <w:t>-20</w:t>
      </w:r>
      <w:r w:rsidRPr="00FB7C94">
        <w:rPr>
          <w:szCs w:val="21"/>
        </w:rPr>
        <w:t xml:space="preserve">25 </w:t>
      </w:r>
      <w:r w:rsidR="005229EB">
        <w:rPr>
          <w:szCs w:val="21"/>
        </w:rPr>
        <w:t>Quarter 1</w:t>
      </w:r>
      <w:r w:rsidRPr="00FB7C94">
        <w:rPr>
          <w:szCs w:val="21"/>
        </w:rPr>
        <w:t xml:space="preserve"> report</w:t>
      </w:r>
      <w:r w:rsidR="005229EB">
        <w:rPr>
          <w:szCs w:val="21"/>
        </w:rPr>
        <w:t>,</w:t>
      </w:r>
      <w:r w:rsidRPr="00FB7C94">
        <w:rPr>
          <w:rFonts w:ascii="ArialMT" w:hAnsi="ArialMT" w:cs="ArialMT"/>
          <w:szCs w:val="21"/>
        </w:rPr>
        <w:t xml:space="preserve"> </w:t>
      </w:r>
      <w:r w:rsidRPr="00FB7C94">
        <w:rPr>
          <w:szCs w:val="21"/>
        </w:rPr>
        <w:t xml:space="preserve">out of approximately 101 advisers on active </w:t>
      </w:r>
      <w:r w:rsidR="00C57948">
        <w:rPr>
          <w:szCs w:val="21"/>
        </w:rPr>
        <w:t>TNs</w:t>
      </w:r>
      <w:r w:rsidRPr="00FB7C94">
        <w:rPr>
          <w:szCs w:val="21"/>
        </w:rPr>
        <w:t xml:space="preserve"> (noting many advisers work on more than one tasking note), approximately 21 were Pacific Islander. Nine</w:t>
      </w:r>
      <w:r w:rsidR="002046BB">
        <w:rPr>
          <w:szCs w:val="21"/>
        </w:rPr>
        <w:t xml:space="preserve"> Pacific Islander</w:t>
      </w:r>
      <w:r w:rsidRPr="00FB7C94">
        <w:rPr>
          <w:szCs w:val="21"/>
        </w:rPr>
        <w:t xml:space="preserve"> advisers were recruited (</w:t>
      </w:r>
      <w:r w:rsidR="005229EB">
        <w:rPr>
          <w:szCs w:val="21"/>
        </w:rPr>
        <w:t>six</w:t>
      </w:r>
      <w:r w:rsidR="005229EB" w:rsidRPr="00FB7C94">
        <w:rPr>
          <w:szCs w:val="21"/>
        </w:rPr>
        <w:t xml:space="preserve"> </w:t>
      </w:r>
      <w:r w:rsidRPr="00FB7C94">
        <w:rPr>
          <w:szCs w:val="21"/>
        </w:rPr>
        <w:t>female</w:t>
      </w:r>
      <w:r w:rsidR="005229EB">
        <w:rPr>
          <w:szCs w:val="21"/>
        </w:rPr>
        <w:t>s, three</w:t>
      </w:r>
      <w:r w:rsidRPr="00FB7C94">
        <w:rPr>
          <w:szCs w:val="21"/>
        </w:rPr>
        <w:t xml:space="preserve"> male</w:t>
      </w:r>
      <w:r w:rsidR="005229EB">
        <w:rPr>
          <w:szCs w:val="21"/>
        </w:rPr>
        <w:t>s</w:t>
      </w:r>
      <w:r w:rsidRPr="00FB7C94">
        <w:rPr>
          <w:szCs w:val="21"/>
        </w:rPr>
        <w:t>) in the quarter.</w:t>
      </w:r>
      <w:r w:rsidR="001E1C4D" w:rsidRPr="00FB7C94">
        <w:rPr>
          <w:szCs w:val="21"/>
        </w:rPr>
        <w:t xml:space="preserve"> </w:t>
      </w:r>
      <w:r w:rsidR="004D73E5" w:rsidRPr="00FB7C94">
        <w:rPr>
          <w:szCs w:val="21"/>
        </w:rPr>
        <w:t>In the 2024</w:t>
      </w:r>
      <w:r w:rsidR="00270ABD">
        <w:rPr>
          <w:szCs w:val="21"/>
        </w:rPr>
        <w:t>-20</w:t>
      </w:r>
      <w:r w:rsidR="004D73E5" w:rsidRPr="00FB7C94">
        <w:rPr>
          <w:szCs w:val="21"/>
        </w:rPr>
        <w:t xml:space="preserve">25 </w:t>
      </w:r>
      <w:r w:rsidR="00270ABD">
        <w:rPr>
          <w:szCs w:val="21"/>
        </w:rPr>
        <w:t>Quarter 2</w:t>
      </w:r>
      <w:r w:rsidR="004D73E5" w:rsidRPr="00FB7C94">
        <w:rPr>
          <w:szCs w:val="21"/>
        </w:rPr>
        <w:t xml:space="preserve"> report, out of approximately 77 advisers listed on TNs</w:t>
      </w:r>
      <w:r w:rsidR="00270ABD">
        <w:rPr>
          <w:szCs w:val="21"/>
        </w:rPr>
        <w:t>,</w:t>
      </w:r>
      <w:r w:rsidR="004D73E5" w:rsidRPr="00FB7C94">
        <w:rPr>
          <w:szCs w:val="21"/>
        </w:rPr>
        <w:t xml:space="preserve"> 11 were Pacific Islander and two Pa</w:t>
      </w:r>
      <w:r w:rsidR="002046BB">
        <w:rPr>
          <w:szCs w:val="21"/>
        </w:rPr>
        <w:t>cific Islander</w:t>
      </w:r>
      <w:r w:rsidR="004D73E5" w:rsidRPr="00FB7C94">
        <w:rPr>
          <w:szCs w:val="21"/>
        </w:rPr>
        <w:t xml:space="preserve"> advisers were recruited (female). </w:t>
      </w:r>
    </w:p>
    <w:p w14:paraId="34C1B52A" w14:textId="6EC455B2" w:rsidR="00BC5F5C" w:rsidRPr="00FB7C94" w:rsidRDefault="007D6D8A" w:rsidP="00B85CF8">
      <w:pPr>
        <w:keepNext/>
        <w:rPr>
          <w:szCs w:val="21"/>
        </w:rPr>
      </w:pPr>
      <w:r>
        <w:rPr>
          <w:szCs w:val="21"/>
        </w:rPr>
        <w:t>In</w:t>
      </w:r>
      <w:r w:rsidR="00163D3F">
        <w:rPr>
          <w:szCs w:val="21"/>
        </w:rPr>
        <w:t xml:space="preserve"> 2023</w:t>
      </w:r>
      <w:r w:rsidR="00270ABD">
        <w:rPr>
          <w:szCs w:val="21"/>
        </w:rPr>
        <w:t>,</w:t>
      </w:r>
      <w:r w:rsidR="003D22C4">
        <w:rPr>
          <w:szCs w:val="21"/>
        </w:rPr>
        <w:t xml:space="preserve"> PRES engaged </w:t>
      </w:r>
      <w:r w:rsidR="00C85645">
        <w:rPr>
          <w:szCs w:val="21"/>
        </w:rPr>
        <w:t>Sustineo</w:t>
      </w:r>
      <w:r w:rsidR="00270ABD">
        <w:rPr>
          <w:szCs w:val="21"/>
        </w:rPr>
        <w:t>,</w:t>
      </w:r>
      <w:r w:rsidR="00C85645">
        <w:rPr>
          <w:szCs w:val="21"/>
        </w:rPr>
        <w:t xml:space="preserve"> </w:t>
      </w:r>
      <w:r w:rsidR="006B58CC">
        <w:rPr>
          <w:szCs w:val="21"/>
        </w:rPr>
        <w:t xml:space="preserve">who </w:t>
      </w:r>
      <w:r w:rsidR="00B5395E">
        <w:rPr>
          <w:szCs w:val="21"/>
        </w:rPr>
        <w:t xml:space="preserve">contracted numerous </w:t>
      </w:r>
      <w:r w:rsidR="00914A1A">
        <w:rPr>
          <w:szCs w:val="21"/>
        </w:rPr>
        <w:t xml:space="preserve">locally engaged staff in </w:t>
      </w:r>
      <w:r w:rsidR="00F25380">
        <w:rPr>
          <w:szCs w:val="21"/>
        </w:rPr>
        <w:t xml:space="preserve">key </w:t>
      </w:r>
      <w:r w:rsidR="002D787C">
        <w:rPr>
          <w:szCs w:val="21"/>
        </w:rPr>
        <w:t>P</w:t>
      </w:r>
      <w:r w:rsidR="00F25380">
        <w:rPr>
          <w:szCs w:val="21"/>
        </w:rPr>
        <w:t xml:space="preserve">acific </w:t>
      </w:r>
      <w:r w:rsidR="00270ABD">
        <w:rPr>
          <w:szCs w:val="21"/>
        </w:rPr>
        <w:t xml:space="preserve">Island </w:t>
      </w:r>
      <w:r w:rsidR="00F25380">
        <w:rPr>
          <w:szCs w:val="21"/>
        </w:rPr>
        <w:t xml:space="preserve">countries to </w:t>
      </w:r>
      <w:r w:rsidR="009D6C99">
        <w:rPr>
          <w:szCs w:val="21"/>
        </w:rPr>
        <w:t>support data collection</w:t>
      </w:r>
      <w:r w:rsidR="00B549C2">
        <w:rPr>
          <w:szCs w:val="21"/>
        </w:rPr>
        <w:t xml:space="preserve">. </w:t>
      </w:r>
      <w:r w:rsidR="00672FDA">
        <w:rPr>
          <w:szCs w:val="21"/>
        </w:rPr>
        <w:t xml:space="preserve">In the past 12 months, PRES has also </w:t>
      </w:r>
      <w:r w:rsidR="00AA7C80">
        <w:rPr>
          <w:szCs w:val="21"/>
        </w:rPr>
        <w:t xml:space="preserve">engaged a </w:t>
      </w:r>
      <w:r w:rsidR="00470110">
        <w:rPr>
          <w:szCs w:val="21"/>
        </w:rPr>
        <w:t xml:space="preserve">firm operated by three </w:t>
      </w:r>
      <w:r w:rsidR="00F62A68" w:rsidRPr="00F62A68">
        <w:rPr>
          <w:szCs w:val="21"/>
        </w:rPr>
        <w:t xml:space="preserve">ni-Vanuatu women to undertake two </w:t>
      </w:r>
      <w:r w:rsidR="00270ABD">
        <w:rPr>
          <w:szCs w:val="21"/>
        </w:rPr>
        <w:t>TNs</w:t>
      </w:r>
      <w:r w:rsidR="00E953CD">
        <w:rPr>
          <w:szCs w:val="21"/>
        </w:rPr>
        <w:t xml:space="preserve"> and</w:t>
      </w:r>
      <w:r w:rsidR="00F62A68" w:rsidRPr="00F62A68">
        <w:rPr>
          <w:szCs w:val="21"/>
        </w:rPr>
        <w:t xml:space="preserve"> </w:t>
      </w:r>
      <w:r w:rsidR="00672FDA">
        <w:rPr>
          <w:szCs w:val="21"/>
        </w:rPr>
        <w:t>has</w:t>
      </w:r>
      <w:r w:rsidR="00F62A68" w:rsidRPr="00F62A68">
        <w:rPr>
          <w:szCs w:val="21"/>
        </w:rPr>
        <w:t xml:space="preserve"> engaged at least 15 other Pacific Islanders in various capacities (in addition to those engaged via Sustineo)</w:t>
      </w:r>
      <w:r w:rsidR="003A0A1C">
        <w:rPr>
          <w:szCs w:val="21"/>
        </w:rPr>
        <w:t>,</w:t>
      </w:r>
      <w:r w:rsidR="00F62A68" w:rsidRPr="00F62A68">
        <w:rPr>
          <w:szCs w:val="21"/>
        </w:rPr>
        <w:t xml:space="preserve"> </w:t>
      </w:r>
      <w:r w:rsidR="00C04250">
        <w:rPr>
          <w:szCs w:val="21"/>
        </w:rPr>
        <w:t xml:space="preserve">such as </w:t>
      </w:r>
      <w:r w:rsidR="00F62A68" w:rsidRPr="00F62A68">
        <w:rPr>
          <w:szCs w:val="21"/>
        </w:rPr>
        <w:t>leading T</w:t>
      </w:r>
      <w:r w:rsidR="00C04250">
        <w:rPr>
          <w:szCs w:val="21"/>
        </w:rPr>
        <w:t>Ns</w:t>
      </w:r>
      <w:r w:rsidR="00F62A68" w:rsidRPr="00F62A68">
        <w:rPr>
          <w:szCs w:val="21"/>
        </w:rPr>
        <w:t xml:space="preserve"> to being engaged via subcontractors.</w:t>
      </w:r>
      <w:r w:rsidR="001078C8">
        <w:rPr>
          <w:szCs w:val="21"/>
        </w:rPr>
        <w:t xml:space="preserve"> </w:t>
      </w:r>
    </w:p>
    <w:p w14:paraId="0CCDAD63" w14:textId="2C183049" w:rsidR="004D73E5" w:rsidRPr="00FB7C94" w:rsidRDefault="002030BA" w:rsidP="00B85CF8">
      <w:pPr>
        <w:keepNext/>
        <w:rPr>
          <w:szCs w:val="21"/>
        </w:rPr>
      </w:pPr>
      <w:r>
        <w:t xml:space="preserve">The first two </w:t>
      </w:r>
      <w:r w:rsidR="00AE57FD">
        <w:t>quarterly reports for 2024</w:t>
      </w:r>
      <w:r>
        <w:t>-20</w:t>
      </w:r>
      <w:r w:rsidR="00AE57FD">
        <w:t xml:space="preserve">25 indicate there were no Australian First Nations advisers working or recruited in either quarter. However, </w:t>
      </w:r>
      <w:r w:rsidR="00AE57FD" w:rsidRPr="0091003C">
        <w:t xml:space="preserve">Gunggandji </w:t>
      </w:r>
      <w:r w:rsidR="00871C7B">
        <w:t>A</w:t>
      </w:r>
      <w:r w:rsidR="00AE57FD">
        <w:t>erospace, a wholly Indigenous</w:t>
      </w:r>
      <w:r>
        <w:t>-</w:t>
      </w:r>
      <w:r w:rsidR="00AE57FD">
        <w:t>owned aviation company</w:t>
      </w:r>
      <w:r>
        <w:t>,</w:t>
      </w:r>
      <w:r w:rsidR="00AE57FD">
        <w:t xml:space="preserve"> has been engaged.</w:t>
      </w:r>
      <w:r w:rsidR="00E364E1" w:rsidRPr="00FB7C94">
        <w:rPr>
          <w:szCs w:val="21"/>
        </w:rPr>
        <w:t xml:space="preserve"> </w:t>
      </w:r>
      <w:r w:rsidR="004E48E3">
        <w:rPr>
          <w:szCs w:val="21"/>
        </w:rPr>
        <w:t>The</w:t>
      </w:r>
      <w:r w:rsidR="004D73E5" w:rsidRPr="00FB7C94">
        <w:rPr>
          <w:szCs w:val="21"/>
        </w:rPr>
        <w:t xml:space="preserve"> OTP’s Indigenous Engagement Plan outlines a clear commitment to fostering deeper connections between First Nations and Pacific Islander people, and to embedding First Nations perspectives within </w:t>
      </w:r>
      <w:r w:rsidR="00C57948">
        <w:rPr>
          <w:szCs w:val="21"/>
        </w:rPr>
        <w:t>OTP’s</w:t>
      </w:r>
      <w:r w:rsidR="004D73E5" w:rsidRPr="00FB7C94">
        <w:rPr>
          <w:szCs w:val="21"/>
        </w:rPr>
        <w:t xml:space="preserve"> strategic work. </w:t>
      </w:r>
      <w:r w:rsidR="00343CDF">
        <w:rPr>
          <w:szCs w:val="21"/>
        </w:rPr>
        <w:t xml:space="preserve">PRES has </w:t>
      </w:r>
      <w:r w:rsidR="004E48E3">
        <w:rPr>
          <w:szCs w:val="21"/>
        </w:rPr>
        <w:t>i</w:t>
      </w:r>
      <w:r w:rsidR="002065A4">
        <w:rPr>
          <w:szCs w:val="21"/>
        </w:rPr>
        <w:t>ncrease</w:t>
      </w:r>
      <w:r w:rsidR="00EC2198">
        <w:rPr>
          <w:szCs w:val="21"/>
        </w:rPr>
        <w:t>d</w:t>
      </w:r>
      <w:r w:rsidR="002065A4">
        <w:rPr>
          <w:szCs w:val="21"/>
        </w:rPr>
        <w:t xml:space="preserve"> Indigenous </w:t>
      </w:r>
      <w:r w:rsidR="00EE2097">
        <w:rPr>
          <w:szCs w:val="21"/>
        </w:rPr>
        <w:t>engagement</w:t>
      </w:r>
      <w:r w:rsidR="002065A4">
        <w:rPr>
          <w:szCs w:val="21"/>
        </w:rPr>
        <w:t xml:space="preserve">, </w:t>
      </w:r>
      <w:r w:rsidR="00CB3B94">
        <w:rPr>
          <w:szCs w:val="21"/>
        </w:rPr>
        <w:t xml:space="preserve">including engaging </w:t>
      </w:r>
      <w:r w:rsidR="00634B5A" w:rsidRPr="00634B5A">
        <w:rPr>
          <w:szCs w:val="21"/>
        </w:rPr>
        <w:t>Gunggandji Aerospace to undertake aviation work</w:t>
      </w:r>
      <w:r w:rsidR="00D06DF5">
        <w:rPr>
          <w:szCs w:val="21"/>
        </w:rPr>
        <w:t xml:space="preserve"> and engaging </w:t>
      </w:r>
      <w:r w:rsidR="00634B5A" w:rsidRPr="00634B5A">
        <w:rPr>
          <w:szCs w:val="21"/>
        </w:rPr>
        <w:t>InTravel, an Indigenous company</w:t>
      </w:r>
      <w:r>
        <w:rPr>
          <w:szCs w:val="21"/>
        </w:rPr>
        <w:t>,</w:t>
      </w:r>
      <w:r w:rsidR="00D06DF5">
        <w:rPr>
          <w:szCs w:val="21"/>
        </w:rPr>
        <w:t xml:space="preserve"> as PRES’</w:t>
      </w:r>
      <w:r w:rsidR="00A12349">
        <w:rPr>
          <w:szCs w:val="21"/>
        </w:rPr>
        <w:t xml:space="preserve"> travel provider.</w:t>
      </w:r>
      <w:r w:rsidR="00634B5A">
        <w:rPr>
          <w:szCs w:val="21"/>
        </w:rPr>
        <w:t xml:space="preserve"> </w:t>
      </w:r>
      <w:r w:rsidR="004D73E5" w:rsidRPr="00FB7C94">
        <w:rPr>
          <w:szCs w:val="21"/>
        </w:rPr>
        <w:t xml:space="preserve">Further consideration </w:t>
      </w:r>
      <w:r>
        <w:rPr>
          <w:szCs w:val="21"/>
        </w:rPr>
        <w:t>is need on</w:t>
      </w:r>
      <w:r w:rsidR="004D73E5" w:rsidRPr="00FB7C94">
        <w:rPr>
          <w:szCs w:val="21"/>
        </w:rPr>
        <w:t xml:space="preserve"> how to best integrate First Nation’s voices and expertise into PRES work. </w:t>
      </w:r>
    </w:p>
    <w:p w14:paraId="3D1166E0" w14:textId="0537D9FD" w:rsidR="008B4B08" w:rsidRDefault="002030BA" w:rsidP="00B85CF8">
      <w:pPr>
        <w:ind w:right="-68"/>
        <w:rPr>
          <w:szCs w:val="21"/>
        </w:rPr>
      </w:pPr>
      <w:r w:rsidRPr="0036265F">
        <w:t>Despite much PRES support being Canberra-based, specific TNs or deliverables in Pacific Island countries should prioriti</w:t>
      </w:r>
      <w:r>
        <w:t>s</w:t>
      </w:r>
      <w:r w:rsidRPr="0036265F">
        <w:t>e expertise from those countries for contextual relevance and local capacity building.</w:t>
      </w:r>
      <w:r>
        <w:t xml:space="preserve"> </w:t>
      </w:r>
      <w:r w:rsidR="0013630E" w:rsidRPr="0013630E">
        <w:rPr>
          <w:szCs w:val="21"/>
        </w:rPr>
        <w:t>Interviewees emphasi</w:t>
      </w:r>
      <w:r w:rsidR="0013630E">
        <w:rPr>
          <w:szCs w:val="21"/>
        </w:rPr>
        <w:t>s</w:t>
      </w:r>
      <w:r w:rsidR="0013630E" w:rsidRPr="0013630E">
        <w:rPr>
          <w:szCs w:val="21"/>
        </w:rPr>
        <w:t>ed the necessity of Pacific representation</w:t>
      </w:r>
      <w:r w:rsidR="0013630E">
        <w:rPr>
          <w:szCs w:val="21"/>
        </w:rPr>
        <w:t xml:space="preserve"> but also</w:t>
      </w:r>
      <w:r w:rsidR="0013630E" w:rsidRPr="0013630E">
        <w:rPr>
          <w:szCs w:val="21"/>
        </w:rPr>
        <w:t xml:space="preserve"> recogni</w:t>
      </w:r>
      <w:r w:rsidR="0013630E">
        <w:rPr>
          <w:szCs w:val="21"/>
        </w:rPr>
        <w:t>s</w:t>
      </w:r>
      <w:r w:rsidR="0013630E" w:rsidRPr="0013630E">
        <w:rPr>
          <w:szCs w:val="21"/>
        </w:rPr>
        <w:t xml:space="preserve">ed the </w:t>
      </w:r>
      <w:r w:rsidR="0013630E">
        <w:rPr>
          <w:szCs w:val="21"/>
        </w:rPr>
        <w:t>existence</w:t>
      </w:r>
      <w:r w:rsidR="0013630E" w:rsidRPr="0013630E">
        <w:rPr>
          <w:szCs w:val="21"/>
        </w:rPr>
        <w:t xml:space="preserve"> </w:t>
      </w:r>
      <w:r w:rsidR="0013630E">
        <w:rPr>
          <w:szCs w:val="21"/>
        </w:rPr>
        <w:t>of</w:t>
      </w:r>
      <w:r w:rsidR="0013630E" w:rsidRPr="0013630E">
        <w:rPr>
          <w:szCs w:val="21"/>
        </w:rPr>
        <w:t xml:space="preserve"> capacity constraints</w:t>
      </w:r>
      <w:r w:rsidR="00ED5304">
        <w:rPr>
          <w:szCs w:val="21"/>
        </w:rPr>
        <w:t xml:space="preserve"> and </w:t>
      </w:r>
      <w:r>
        <w:rPr>
          <w:szCs w:val="21"/>
        </w:rPr>
        <w:t>that</w:t>
      </w:r>
      <w:r w:rsidR="00ED5304">
        <w:rPr>
          <w:szCs w:val="21"/>
        </w:rPr>
        <w:t xml:space="preserve"> </w:t>
      </w:r>
      <w:r w:rsidR="00E569E0">
        <w:rPr>
          <w:szCs w:val="21"/>
        </w:rPr>
        <w:t xml:space="preserve">not all TN activities </w:t>
      </w:r>
      <w:r w:rsidR="009F0336">
        <w:rPr>
          <w:szCs w:val="21"/>
        </w:rPr>
        <w:t>lend themselves easi</w:t>
      </w:r>
      <w:r w:rsidR="00C149F5">
        <w:rPr>
          <w:szCs w:val="21"/>
        </w:rPr>
        <w:t>ly</w:t>
      </w:r>
      <w:r w:rsidR="009F0336">
        <w:rPr>
          <w:szCs w:val="21"/>
        </w:rPr>
        <w:t xml:space="preserve"> to engaging Pacific advisers</w:t>
      </w:r>
      <w:r w:rsidR="00C149F5">
        <w:rPr>
          <w:szCs w:val="21"/>
        </w:rPr>
        <w:t xml:space="preserve"> due to location of support provided or area of specific expertise</w:t>
      </w:r>
      <w:r w:rsidR="0013630E">
        <w:rPr>
          <w:szCs w:val="21"/>
        </w:rPr>
        <w:t>. It was considered that investment could be made in building a</w:t>
      </w:r>
      <w:r w:rsidR="00893C86">
        <w:rPr>
          <w:szCs w:val="21"/>
        </w:rPr>
        <w:t xml:space="preserve"> broader</w:t>
      </w:r>
      <w:r w:rsidR="0013630E">
        <w:rPr>
          <w:szCs w:val="21"/>
        </w:rPr>
        <w:t xml:space="preserve"> Pacific Islander advisory pool by building local capacit</w:t>
      </w:r>
      <w:r w:rsidR="00893C86">
        <w:rPr>
          <w:szCs w:val="21"/>
        </w:rPr>
        <w:t xml:space="preserve">y. </w:t>
      </w:r>
      <w:r w:rsidR="00DD0F66" w:rsidRPr="00FB7C94">
        <w:rPr>
          <w:szCs w:val="21"/>
        </w:rPr>
        <w:t xml:space="preserve">However, there may be other DFAT programs or projects better suited to building </w:t>
      </w:r>
      <w:r w:rsidR="004A7AC0">
        <w:rPr>
          <w:szCs w:val="21"/>
        </w:rPr>
        <w:t>Pacific Island</w:t>
      </w:r>
      <w:r w:rsidR="004A7AC0" w:rsidRPr="00FB7C94">
        <w:rPr>
          <w:szCs w:val="21"/>
        </w:rPr>
        <w:t xml:space="preserve"> capacity</w:t>
      </w:r>
      <w:r w:rsidR="00DD0F66" w:rsidRPr="00FB7C94">
        <w:rPr>
          <w:szCs w:val="21"/>
        </w:rPr>
        <w:t xml:space="preserve">. </w:t>
      </w:r>
    </w:p>
    <w:p w14:paraId="6D157F12" w14:textId="2317D5BF" w:rsidR="008B4B08" w:rsidRPr="009029BE" w:rsidRDefault="008B4B08" w:rsidP="00BD713B">
      <w:pPr>
        <w:pStyle w:val="Tealblocktext"/>
        <w:rPr>
          <w:lang w:eastAsia="en-GB"/>
        </w:rPr>
      </w:pPr>
      <w:r w:rsidRPr="009029BE">
        <w:rPr>
          <w:rFonts w:cstheme="minorHAnsi"/>
          <w:b/>
          <w:bCs/>
        </w:rPr>
        <w:t>Recommendation 4.</w:t>
      </w:r>
      <w:r w:rsidR="00504A5B">
        <w:rPr>
          <w:rFonts w:cstheme="minorHAnsi"/>
          <w:b/>
          <w:bCs/>
        </w:rPr>
        <w:t>3</w:t>
      </w:r>
      <w:r w:rsidR="005B3042" w:rsidRPr="009029BE">
        <w:rPr>
          <w:rFonts w:cstheme="minorHAnsi"/>
          <w:b/>
          <w:bCs/>
        </w:rPr>
        <w:t xml:space="preserve"> (</w:t>
      </w:r>
      <w:r w:rsidR="00DD5714" w:rsidRPr="009029BE">
        <w:rPr>
          <w:rFonts w:cstheme="minorHAnsi"/>
          <w:b/>
          <w:bCs/>
        </w:rPr>
        <w:t>Next phase</w:t>
      </w:r>
      <w:r w:rsidR="002030BA">
        <w:rPr>
          <w:rFonts w:cstheme="minorHAnsi"/>
          <w:b/>
          <w:bCs/>
        </w:rPr>
        <w:t xml:space="preserve"> </w:t>
      </w:r>
      <w:r w:rsidR="00DD5714" w:rsidRPr="009029BE">
        <w:rPr>
          <w:rFonts w:cstheme="minorHAnsi"/>
          <w:b/>
          <w:bCs/>
        </w:rPr>
        <w:t>/</w:t>
      </w:r>
      <w:r w:rsidR="002030BA">
        <w:rPr>
          <w:rFonts w:cstheme="minorHAnsi"/>
          <w:b/>
          <w:bCs/>
        </w:rPr>
        <w:t xml:space="preserve"> </w:t>
      </w:r>
      <w:r w:rsidR="00DD5714" w:rsidRPr="009029BE">
        <w:rPr>
          <w:rFonts w:cstheme="minorHAnsi"/>
          <w:b/>
          <w:bCs/>
        </w:rPr>
        <w:t>Strategic)</w:t>
      </w:r>
      <w:r w:rsidRPr="009029BE">
        <w:rPr>
          <w:rFonts w:cstheme="minorHAnsi"/>
          <w:b/>
          <w:bCs/>
        </w:rPr>
        <w:t xml:space="preserve"> </w:t>
      </w:r>
      <w:r w:rsidR="003418A9">
        <w:rPr>
          <w:lang w:eastAsia="en-GB"/>
        </w:rPr>
        <w:t xml:space="preserve">In any future program, opportunities for and suitability of </w:t>
      </w:r>
      <w:r w:rsidR="003418A9" w:rsidRPr="00814DDC">
        <w:rPr>
          <w:lang w:eastAsia="en-GB"/>
        </w:rPr>
        <w:t>engaging Pacific Islander expertise for relevant</w:t>
      </w:r>
      <w:r w:rsidR="003418A9">
        <w:rPr>
          <w:lang w:eastAsia="en-GB"/>
        </w:rPr>
        <w:t xml:space="preserve"> </w:t>
      </w:r>
      <w:r w:rsidR="003418A9" w:rsidRPr="00814DDC">
        <w:rPr>
          <w:lang w:eastAsia="en-GB"/>
        </w:rPr>
        <w:t>TNs</w:t>
      </w:r>
      <w:r w:rsidR="002030BA">
        <w:rPr>
          <w:lang w:eastAsia="en-GB"/>
        </w:rPr>
        <w:t xml:space="preserve"> </w:t>
      </w:r>
      <w:r w:rsidR="003418A9" w:rsidRPr="00814DDC">
        <w:rPr>
          <w:lang w:eastAsia="en-GB"/>
        </w:rPr>
        <w:t>/</w:t>
      </w:r>
      <w:r w:rsidR="002030BA">
        <w:rPr>
          <w:lang w:eastAsia="en-GB"/>
        </w:rPr>
        <w:t xml:space="preserve"> </w:t>
      </w:r>
      <w:r w:rsidR="003418A9" w:rsidRPr="00814DDC">
        <w:rPr>
          <w:lang w:eastAsia="en-GB"/>
        </w:rPr>
        <w:t>deliverables</w:t>
      </w:r>
      <w:r w:rsidR="003418A9">
        <w:rPr>
          <w:lang w:eastAsia="en-GB"/>
        </w:rPr>
        <w:t xml:space="preserve"> should </w:t>
      </w:r>
      <w:r w:rsidR="00420B41">
        <w:rPr>
          <w:lang w:eastAsia="en-GB"/>
        </w:rPr>
        <w:t xml:space="preserve">continue to </w:t>
      </w:r>
      <w:r w:rsidR="003418A9">
        <w:rPr>
          <w:lang w:eastAsia="en-GB"/>
        </w:rPr>
        <w:t>be explored</w:t>
      </w:r>
      <w:r w:rsidR="003418A9" w:rsidRPr="00814DDC">
        <w:rPr>
          <w:lang w:eastAsia="en-GB"/>
        </w:rPr>
        <w:t xml:space="preserve">, acknowledging </w:t>
      </w:r>
      <w:r w:rsidR="00EC2198">
        <w:rPr>
          <w:lang w:eastAsia="en-GB"/>
        </w:rPr>
        <w:t xml:space="preserve">PRES’ existing and </w:t>
      </w:r>
      <w:r w:rsidR="000B71C1">
        <w:rPr>
          <w:lang w:eastAsia="en-GB"/>
        </w:rPr>
        <w:t>ongoing</w:t>
      </w:r>
      <w:r w:rsidR="00EC2198">
        <w:rPr>
          <w:lang w:eastAsia="en-GB"/>
        </w:rPr>
        <w:t xml:space="preserve"> efforts to achieve this, and that </w:t>
      </w:r>
      <w:r w:rsidR="003418A9" w:rsidRPr="00814DDC">
        <w:rPr>
          <w:lang w:eastAsia="en-GB"/>
        </w:rPr>
        <w:t>much of PRES' work is Canberra-based.</w:t>
      </w:r>
    </w:p>
    <w:p w14:paraId="6396FF96" w14:textId="77777777" w:rsidR="00043731" w:rsidRDefault="00043731">
      <w:pPr>
        <w:rPr>
          <w:rFonts w:ascii="Arial" w:eastAsia="Arial" w:hAnsi="Arial" w:cs="Angsana New"/>
        </w:rPr>
      </w:pPr>
      <w:bookmarkStart w:id="63" w:name="_Toc195808974"/>
      <w:bookmarkStart w:id="64" w:name="_Toc205992464"/>
      <w:bookmarkStart w:id="65" w:name="_Toc205992551"/>
      <w:r>
        <w:rPr>
          <w:rFonts w:ascii="Arial" w:eastAsia="Arial" w:hAnsi="Arial" w:cs="Angsana New"/>
          <w:caps/>
        </w:rPr>
        <w:br w:type="page"/>
      </w:r>
    </w:p>
    <w:p w14:paraId="4F9D1848" w14:textId="76F301BF" w:rsidR="00732A59" w:rsidRDefault="00732A59" w:rsidP="00732A59">
      <w:pPr>
        <w:pStyle w:val="Heading1nonumber"/>
      </w:pPr>
      <w:r>
        <w:rPr>
          <w:noProof/>
        </w:rPr>
        <w:lastRenderedPageBreak/>
        <w:drawing>
          <wp:anchor distT="0" distB="0" distL="114300" distR="114300" simplePos="0" relativeHeight="251658247" behindDoc="1" locked="0" layoutInCell="1" allowOverlap="1" wp14:anchorId="17294CC5" wp14:editId="3C2608BA">
            <wp:simplePos x="0" y="0"/>
            <wp:positionH relativeFrom="margin">
              <wp:posOffset>5631180</wp:posOffset>
            </wp:positionH>
            <wp:positionV relativeFrom="paragraph">
              <wp:posOffset>151765</wp:posOffset>
            </wp:positionV>
            <wp:extent cx="664845" cy="664845"/>
            <wp:effectExtent l="0" t="0" r="1905" b="1905"/>
            <wp:wrapSquare wrapText="bothSides"/>
            <wp:docPr id="103542418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424183" name="Picture 5">
                      <a:extLst>
                        <a:ext uri="{C183D7F6-B498-43B3-948B-1728B52AA6E4}">
                          <adec:decorative xmlns:adec="http://schemas.microsoft.com/office/drawing/2017/decorative" val="1"/>
                        </a:ext>
                      </a:extLst>
                    </pic:cNvPr>
                    <pic:cNvPicPr/>
                  </pic:nvPicPr>
                  <pic:blipFill>
                    <a:blip r:embed="rId26"/>
                    <a:stretch>
                      <a:fillRect/>
                    </a:stretch>
                  </pic:blipFill>
                  <pic:spPr>
                    <a:xfrm>
                      <a:off x="0" y="0"/>
                      <a:ext cx="664845" cy="664845"/>
                    </a:xfrm>
                    <a:prstGeom prst="rect">
                      <a:avLst/>
                    </a:prstGeom>
                  </pic:spPr>
                </pic:pic>
              </a:graphicData>
            </a:graphic>
            <wp14:sizeRelH relativeFrom="page">
              <wp14:pctWidth>0</wp14:pctWidth>
            </wp14:sizeRelH>
            <wp14:sizeRelV relativeFrom="page">
              <wp14:pctHeight>0</wp14:pctHeight>
            </wp14:sizeRelV>
          </wp:anchor>
        </w:drawing>
      </w:r>
      <w:r w:rsidR="19ECD125" w:rsidRPr="008F253E">
        <w:t>KRQ</w:t>
      </w:r>
      <w:r w:rsidR="19ECD125">
        <w:t>5</w:t>
      </w:r>
      <w:r w:rsidR="19ECD125" w:rsidRPr="008F253E">
        <w:t>.</w:t>
      </w:r>
      <w:r w:rsidR="19ECD125" w:rsidRPr="00430426">
        <w:t xml:space="preserve"> </w:t>
      </w:r>
      <w:r w:rsidR="73012883" w:rsidRPr="4B8AE8E7">
        <w:t xml:space="preserve">Did the program operationalise an effective </w:t>
      </w:r>
      <w:r w:rsidR="73012883">
        <w:t>MEL</w:t>
      </w:r>
      <w:r w:rsidR="73012883" w:rsidRPr="4B8AE8E7">
        <w:t xml:space="preserve"> system that met key stakeholder needs</w:t>
      </w:r>
      <w:r w:rsidR="19ECD125">
        <w:t>?</w:t>
      </w:r>
      <w:bookmarkEnd w:id="63"/>
      <w:bookmarkEnd w:id="64"/>
      <w:bookmarkEnd w:id="65"/>
    </w:p>
    <w:p w14:paraId="1233FDC9" w14:textId="5E7A6982" w:rsidR="00111156" w:rsidRPr="00E83843" w:rsidRDefault="00E83843" w:rsidP="00BD713B">
      <w:pPr>
        <w:pStyle w:val="Orangeblocktext"/>
      </w:pPr>
      <w:r w:rsidRPr="00FB1F71">
        <w:t xml:space="preserve">PRES has adopted and delivered an effective MEL system, widely acknowledged as useful in assessing and improving the quality of work and strengthening PRES performance. </w:t>
      </w:r>
    </w:p>
    <w:p w14:paraId="58E024C2" w14:textId="4D530750" w:rsidR="00F36A3C" w:rsidRPr="00F36A3C" w:rsidRDefault="00F36A3C" w:rsidP="003C073D">
      <w:pPr>
        <w:pStyle w:val="Heading3nonumber"/>
      </w:pPr>
      <w:bookmarkStart w:id="66" w:name="_Toc195808975"/>
      <w:r w:rsidRPr="00F36A3C">
        <w:t xml:space="preserve">5.1 </w:t>
      </w:r>
      <w:r w:rsidRPr="00545B9A">
        <w:t>Appropriateness</w:t>
      </w:r>
      <w:r w:rsidRPr="00F36A3C">
        <w:t xml:space="preserve"> of monitoring and evaluation framework</w:t>
      </w:r>
      <w:bookmarkEnd w:id="66"/>
    </w:p>
    <w:p w14:paraId="6FE302F6" w14:textId="58ACCECB" w:rsidR="00F36A3C" w:rsidRPr="00FB7C94" w:rsidRDefault="00F36A3C" w:rsidP="00F36A3C">
      <w:pPr>
        <w:rPr>
          <w:rFonts w:ascii="Arial" w:eastAsia="Arial" w:hAnsi="Arial" w:cs="Angsana New"/>
        </w:rPr>
      </w:pPr>
      <w:bookmarkStart w:id="67" w:name="_Hlk191975155"/>
      <w:r w:rsidRPr="00F36A3C">
        <w:rPr>
          <w:rFonts w:ascii="Arial" w:eastAsia="Arial" w:hAnsi="Arial" w:cs="Angsana New"/>
        </w:rPr>
        <w:t>The PRES M&amp;E</w:t>
      </w:r>
      <w:r w:rsidR="00091FD5">
        <w:rPr>
          <w:rFonts w:ascii="Arial" w:eastAsia="Arial" w:hAnsi="Arial" w:cs="Angsana New"/>
        </w:rPr>
        <w:t xml:space="preserve"> </w:t>
      </w:r>
      <w:r w:rsidRPr="00F36A3C">
        <w:rPr>
          <w:rFonts w:ascii="Arial" w:eastAsia="Arial" w:hAnsi="Arial" w:cs="Angsana New"/>
        </w:rPr>
        <w:t xml:space="preserve">framework (version 2, November 2022) is concise and well-aligned to DFAT </w:t>
      </w:r>
      <w:r w:rsidR="002030BA">
        <w:rPr>
          <w:rFonts w:ascii="Arial" w:eastAsia="Arial" w:hAnsi="Arial" w:cs="Angsana New"/>
        </w:rPr>
        <w:t>s</w:t>
      </w:r>
      <w:r w:rsidR="002030BA" w:rsidRPr="00F36A3C">
        <w:rPr>
          <w:rFonts w:ascii="Arial" w:eastAsia="Arial" w:hAnsi="Arial" w:cs="Angsana New"/>
        </w:rPr>
        <w:t>tandard</w:t>
      </w:r>
      <w:r w:rsidR="002030BA">
        <w:rPr>
          <w:rFonts w:ascii="Arial" w:eastAsia="Arial" w:hAnsi="Arial" w:cs="Angsana New"/>
        </w:rPr>
        <w:t>s</w:t>
      </w:r>
      <w:r w:rsidRPr="00F36A3C">
        <w:rPr>
          <w:rFonts w:ascii="Arial" w:eastAsia="Arial" w:hAnsi="Arial" w:cs="Angsana New"/>
        </w:rPr>
        <w:t xml:space="preserve">. It explains </w:t>
      </w:r>
      <w:r w:rsidRPr="00FB7C94">
        <w:rPr>
          <w:rFonts w:ascii="Arial" w:eastAsia="Arial" w:hAnsi="Arial" w:cs="Angsana New"/>
        </w:rPr>
        <w:t>the PRES program logic and details a PAF</w:t>
      </w:r>
      <w:r w:rsidR="002030BA">
        <w:rPr>
          <w:rFonts w:ascii="Arial" w:eastAsia="Arial" w:hAnsi="Arial" w:cs="Angsana New"/>
        </w:rPr>
        <w:t>,</w:t>
      </w:r>
      <w:r w:rsidRPr="00FB7C94">
        <w:rPr>
          <w:rFonts w:ascii="Arial" w:eastAsia="Arial" w:hAnsi="Arial" w:cs="Angsana New"/>
        </w:rPr>
        <w:t xml:space="preserve"> showing how progress against the PRES logic will be measured, by whom, and when. </w:t>
      </w:r>
      <w:bookmarkEnd w:id="67"/>
      <w:r w:rsidRPr="00FB7C94">
        <w:rPr>
          <w:rFonts w:ascii="Arial" w:eastAsia="Arial" w:hAnsi="Arial" w:cs="Angsana New"/>
        </w:rPr>
        <w:t xml:space="preserve">Simple and </w:t>
      </w:r>
      <w:r w:rsidR="002030BA" w:rsidRPr="00FB7C94">
        <w:rPr>
          <w:rFonts w:ascii="Arial" w:eastAsia="Arial" w:hAnsi="Arial" w:cs="Angsana New"/>
        </w:rPr>
        <w:t>fit</w:t>
      </w:r>
      <w:r w:rsidR="002030BA">
        <w:rPr>
          <w:rFonts w:ascii="Arial" w:eastAsia="Arial" w:hAnsi="Arial" w:cs="Angsana New"/>
        </w:rPr>
        <w:t>-</w:t>
      </w:r>
      <w:r w:rsidR="002030BA" w:rsidRPr="00FB7C94">
        <w:rPr>
          <w:rFonts w:ascii="Arial" w:eastAsia="Arial" w:hAnsi="Arial" w:cs="Angsana New"/>
        </w:rPr>
        <w:t>for</w:t>
      </w:r>
      <w:r w:rsidR="002030BA">
        <w:rPr>
          <w:rFonts w:ascii="Arial" w:eastAsia="Arial" w:hAnsi="Arial" w:cs="Angsana New"/>
        </w:rPr>
        <w:t>-</w:t>
      </w:r>
      <w:r w:rsidRPr="00FB7C94">
        <w:rPr>
          <w:rFonts w:ascii="Arial" w:eastAsia="Arial" w:hAnsi="Arial" w:cs="Angsana New"/>
        </w:rPr>
        <w:t xml:space="preserve">purpose data collection methods are proposed for tracking progress against all levels of the PRES logic. Subsequently, the document was amended to better reflect GEDSI considerations. </w:t>
      </w:r>
    </w:p>
    <w:p w14:paraId="72F58B5A" w14:textId="655A1EDD" w:rsidR="00F36A3C" w:rsidRPr="00FB7C94" w:rsidRDefault="00F36A3C" w:rsidP="00F36A3C">
      <w:pPr>
        <w:rPr>
          <w:rFonts w:ascii="Arial" w:eastAsia="Arial" w:hAnsi="Arial" w:cs="Angsana New"/>
        </w:rPr>
      </w:pPr>
      <w:r w:rsidRPr="00FB7C94">
        <w:rPr>
          <w:rFonts w:ascii="Arial" w:eastAsia="Arial" w:hAnsi="Arial" w:cs="Angsana New"/>
        </w:rPr>
        <w:t xml:space="preserve">In line with the DFAT </w:t>
      </w:r>
      <w:r w:rsidR="00952CB5">
        <w:rPr>
          <w:rFonts w:ascii="Arial" w:eastAsia="Arial" w:hAnsi="Arial" w:cs="Angsana New"/>
        </w:rPr>
        <w:t>s</w:t>
      </w:r>
      <w:r w:rsidR="00952CB5" w:rsidRPr="00FB7C94">
        <w:rPr>
          <w:rFonts w:ascii="Arial" w:eastAsia="Arial" w:hAnsi="Arial" w:cs="Angsana New"/>
        </w:rPr>
        <w:t>tandard</w:t>
      </w:r>
      <w:r w:rsidR="00952CB5">
        <w:rPr>
          <w:rFonts w:ascii="Arial" w:eastAsia="Arial" w:hAnsi="Arial" w:cs="Angsana New"/>
        </w:rPr>
        <w:t>s</w:t>
      </w:r>
      <w:r w:rsidRPr="00FB7C94">
        <w:rPr>
          <w:rFonts w:ascii="Arial" w:eastAsia="Arial" w:hAnsi="Arial" w:cs="Angsana New"/>
        </w:rPr>
        <w:t>, the M&amp;E framework sets targets at all levels of the PRES logic. Reflecting the difficulty of defining what overall success looks like for flexible and responsive DFAT investments, these targets are less clear and appropriately pitched at higher levels of the logic, particularly the EOIOs (e.g. EOIO 1 – Instances of PRES contribution and level of significance are evident in majority of taskings assessed)</w:t>
      </w:r>
      <w:r w:rsidR="00791C3B">
        <w:rPr>
          <w:rFonts w:ascii="Arial" w:eastAsia="Arial" w:hAnsi="Arial" w:cs="Angsana New"/>
        </w:rPr>
        <w:t>.</w:t>
      </w:r>
      <w:r w:rsidRPr="00FB7C94">
        <w:rPr>
          <w:rFonts w:ascii="Arial" w:eastAsia="Arial" w:hAnsi="Arial" w:cs="Angsana New"/>
        </w:rPr>
        <w:t xml:space="preserve"> Appropriately, the M&amp;E framework flagged an intent to develop rubrics (qualitative scales) that would better define what success looks like for PRES, but no rubrics have been formally developed for PRES EOIOs</w:t>
      </w:r>
      <w:r w:rsidR="00952CB5">
        <w:rPr>
          <w:rFonts w:ascii="Arial" w:eastAsia="Arial" w:hAnsi="Arial" w:cs="Angsana New"/>
        </w:rPr>
        <w:t>.</w:t>
      </w:r>
      <w:r w:rsidR="005953E7">
        <w:rPr>
          <w:rStyle w:val="FootnoteReference"/>
          <w:rFonts w:ascii="Arial" w:eastAsia="Arial" w:hAnsi="Arial" w:cs="Angsana New"/>
        </w:rPr>
        <w:footnoteReference w:id="7"/>
      </w:r>
      <w:r w:rsidRPr="00FB7C94">
        <w:rPr>
          <w:rFonts w:ascii="Arial" w:eastAsia="Arial" w:hAnsi="Arial" w:cs="Angsana New"/>
        </w:rPr>
        <w:t xml:space="preserve"> This reflects the broader challenges </w:t>
      </w:r>
      <w:r w:rsidR="00952CB5">
        <w:rPr>
          <w:rFonts w:ascii="Arial" w:eastAsia="Arial" w:hAnsi="Arial" w:cs="Angsana New"/>
        </w:rPr>
        <w:t xml:space="preserve">that </w:t>
      </w:r>
      <w:r w:rsidRPr="00FB7C94">
        <w:rPr>
          <w:rFonts w:ascii="Arial" w:eastAsia="Arial" w:hAnsi="Arial" w:cs="Angsana New"/>
        </w:rPr>
        <w:t>PRES and DFAT have faced in clarifying PRES’ overall level of ambition, especially in relation to EOIO 2</w:t>
      </w:r>
      <w:r w:rsidR="00447C74" w:rsidRPr="00FB7C94">
        <w:rPr>
          <w:rFonts w:ascii="Arial" w:eastAsia="Arial" w:hAnsi="Arial" w:cs="Angsana New"/>
        </w:rPr>
        <w:t xml:space="preserve"> (see </w:t>
      </w:r>
      <w:r w:rsidR="00952CB5">
        <w:rPr>
          <w:rFonts w:ascii="Arial" w:eastAsia="Arial" w:hAnsi="Arial" w:cs="Angsana New"/>
        </w:rPr>
        <w:t>S</w:t>
      </w:r>
      <w:r w:rsidR="00952CB5" w:rsidRPr="00FB7C94">
        <w:rPr>
          <w:rFonts w:ascii="Arial" w:eastAsia="Arial" w:hAnsi="Arial" w:cs="Angsana New"/>
        </w:rPr>
        <w:t xml:space="preserve">ection </w:t>
      </w:r>
      <w:r w:rsidR="00447C74" w:rsidRPr="00FB7C94">
        <w:rPr>
          <w:rFonts w:ascii="Arial" w:eastAsia="Arial" w:hAnsi="Arial" w:cs="Angsana New"/>
        </w:rPr>
        <w:t>1.1)</w:t>
      </w:r>
      <w:r w:rsidRPr="00FB7C94">
        <w:rPr>
          <w:rFonts w:ascii="Arial" w:eastAsia="Arial" w:hAnsi="Arial" w:cs="Angsana New"/>
        </w:rPr>
        <w:t xml:space="preserve">. On a more positive note, rubrics were subsequently developed for assessing PRES’ adherence to DFAT’s </w:t>
      </w:r>
      <w:r w:rsidR="00952CB5">
        <w:rPr>
          <w:rFonts w:ascii="Arial" w:eastAsia="Arial" w:hAnsi="Arial" w:cs="Angsana New"/>
        </w:rPr>
        <w:t>value-for-money</w:t>
      </w:r>
      <w:r w:rsidR="00952CB5" w:rsidRPr="00FB7C94">
        <w:rPr>
          <w:rFonts w:ascii="Arial" w:eastAsia="Arial" w:hAnsi="Arial" w:cs="Angsana New"/>
        </w:rPr>
        <w:t xml:space="preserve"> </w:t>
      </w:r>
      <w:r w:rsidRPr="00FB7C94">
        <w:rPr>
          <w:rFonts w:ascii="Arial" w:eastAsia="Arial" w:hAnsi="Arial" w:cs="Angsana New"/>
        </w:rPr>
        <w:t xml:space="preserve">criteria in a comprehensive PRES VfM framework. </w:t>
      </w:r>
      <w:r w:rsidR="004365D0">
        <w:rPr>
          <w:rFonts w:ascii="Arial" w:eastAsia="Arial" w:hAnsi="Arial" w:cs="Angsana New"/>
        </w:rPr>
        <w:t xml:space="preserve">In </w:t>
      </w:r>
      <w:r w:rsidR="003A7DF8">
        <w:rPr>
          <w:rFonts w:ascii="Arial" w:eastAsia="Arial" w:hAnsi="Arial" w:cs="Angsana New"/>
        </w:rPr>
        <w:t xml:space="preserve">April </w:t>
      </w:r>
      <w:r w:rsidR="004365D0">
        <w:rPr>
          <w:rFonts w:ascii="Arial" w:eastAsia="Arial" w:hAnsi="Arial" w:cs="Angsana New"/>
        </w:rPr>
        <w:t xml:space="preserve">2025, the PRES MEL framework was updated. </w:t>
      </w:r>
      <w:r w:rsidR="00490A7A">
        <w:rPr>
          <w:rFonts w:ascii="Arial" w:eastAsia="Arial" w:hAnsi="Arial" w:cs="Angsana New"/>
        </w:rPr>
        <w:t xml:space="preserve">As </w:t>
      </w:r>
      <w:r w:rsidR="004E74F1" w:rsidRPr="004E74F1">
        <w:rPr>
          <w:rFonts w:ascii="Arial" w:eastAsia="Arial" w:hAnsi="Arial" w:cs="Angsana New"/>
        </w:rPr>
        <w:t>this evaluation's scope predates the revision</w:t>
      </w:r>
      <w:r w:rsidR="004E74F1">
        <w:rPr>
          <w:rFonts w:ascii="Arial" w:eastAsia="Arial" w:hAnsi="Arial" w:cs="Angsana New"/>
        </w:rPr>
        <w:t>,</w:t>
      </w:r>
      <w:r w:rsidR="004E74F1" w:rsidRPr="004E74F1">
        <w:rPr>
          <w:rFonts w:ascii="Arial" w:eastAsia="Arial" w:hAnsi="Arial" w:cs="Angsana New"/>
        </w:rPr>
        <w:t xml:space="preserve"> the assessment is based on the previous version.</w:t>
      </w:r>
    </w:p>
    <w:p w14:paraId="59199426" w14:textId="50CD9F84" w:rsidR="00734CAA" w:rsidRDefault="00627939" w:rsidP="152412E2">
      <w:pPr>
        <w:rPr>
          <w:rFonts w:ascii="Arial" w:eastAsia="Arial" w:hAnsi="Arial" w:cs="Angsana New"/>
        </w:rPr>
      </w:pPr>
      <w:r>
        <w:rPr>
          <w:rFonts w:ascii="Arial" w:eastAsia="Arial" w:hAnsi="Arial" w:cs="Angsana New"/>
        </w:rPr>
        <w:t>Data collection has improved over time</w:t>
      </w:r>
      <w:r w:rsidR="00CF7D57">
        <w:rPr>
          <w:rFonts w:ascii="Arial" w:eastAsia="Arial" w:hAnsi="Arial" w:cs="Angsana New"/>
        </w:rPr>
        <w:t>, especially in terms of</w:t>
      </w:r>
      <w:r w:rsidR="008A0ADB">
        <w:rPr>
          <w:rFonts w:ascii="Arial" w:eastAsia="Arial" w:hAnsi="Arial" w:cs="Angsana New"/>
        </w:rPr>
        <w:t xml:space="preserve"> the</w:t>
      </w:r>
      <w:r w:rsidR="00CF7D57">
        <w:rPr>
          <w:rFonts w:ascii="Arial" w:eastAsia="Arial" w:hAnsi="Arial" w:cs="Angsana New"/>
        </w:rPr>
        <w:t xml:space="preserve"> collection of</w:t>
      </w:r>
      <w:r w:rsidR="008A0ADB">
        <w:rPr>
          <w:rFonts w:ascii="Arial" w:eastAsia="Arial" w:hAnsi="Arial" w:cs="Angsana New"/>
        </w:rPr>
        <w:t xml:space="preserve"> consistent</w:t>
      </w:r>
      <w:r w:rsidR="00CF7D57">
        <w:rPr>
          <w:rFonts w:ascii="Arial" w:eastAsia="Arial" w:hAnsi="Arial" w:cs="Angsana New"/>
        </w:rPr>
        <w:t xml:space="preserve"> TN data. </w:t>
      </w:r>
      <w:r w:rsidR="00F36A3C" w:rsidRPr="152412E2">
        <w:rPr>
          <w:rFonts w:ascii="Arial" w:eastAsia="Arial" w:hAnsi="Arial" w:cs="Angsana New"/>
        </w:rPr>
        <w:t>Data collection mostly consists of surveys and interviews to gather and triangulate participant feedback on PRES</w:t>
      </w:r>
      <w:r w:rsidR="00952CB5">
        <w:rPr>
          <w:rFonts w:ascii="Arial" w:eastAsia="Arial" w:hAnsi="Arial" w:cs="Angsana New"/>
        </w:rPr>
        <w:t>’</w:t>
      </w:r>
      <w:r w:rsidR="00F36A3C" w:rsidRPr="152412E2">
        <w:rPr>
          <w:rFonts w:ascii="Arial" w:eastAsia="Arial" w:hAnsi="Arial" w:cs="Angsana New"/>
        </w:rPr>
        <w:t xml:space="preserve"> ways of working</w:t>
      </w:r>
      <w:r w:rsidR="00EB72B5">
        <w:rPr>
          <w:rFonts w:ascii="Arial" w:eastAsia="Arial" w:hAnsi="Arial" w:cs="Angsana New"/>
        </w:rPr>
        <w:t>,</w:t>
      </w:r>
      <w:r w:rsidR="00733496">
        <w:rPr>
          <w:rFonts w:ascii="Arial" w:eastAsia="Arial" w:hAnsi="Arial" w:cs="Angsana New"/>
        </w:rPr>
        <w:t xml:space="preserve"> </w:t>
      </w:r>
      <w:r w:rsidR="00F36A3C" w:rsidRPr="152412E2">
        <w:rPr>
          <w:rFonts w:ascii="Arial" w:eastAsia="Arial" w:hAnsi="Arial" w:cs="Angsana New"/>
        </w:rPr>
        <w:t>outputs</w:t>
      </w:r>
      <w:r w:rsidR="00EB72B5">
        <w:rPr>
          <w:rFonts w:ascii="Arial" w:eastAsia="Arial" w:hAnsi="Arial" w:cs="Angsana New"/>
        </w:rPr>
        <w:t xml:space="preserve"> </w:t>
      </w:r>
      <w:r w:rsidR="00EB72B5" w:rsidRPr="00EB72B5">
        <w:rPr>
          <w:rFonts w:ascii="Arial" w:eastAsia="Arial" w:hAnsi="Arial" w:cs="Angsana New"/>
        </w:rPr>
        <w:t>and perceived effects of taskings</w:t>
      </w:r>
      <w:r w:rsidR="00952CB5">
        <w:rPr>
          <w:rFonts w:ascii="Arial" w:eastAsia="Arial" w:hAnsi="Arial" w:cs="Angsana New"/>
        </w:rPr>
        <w:t>.</w:t>
      </w:r>
      <w:r w:rsidR="00F36A3C" w:rsidRPr="152412E2">
        <w:rPr>
          <w:rFonts w:ascii="Arial" w:eastAsia="Arial" w:hAnsi="Arial" w:cs="Angsana New"/>
          <w:vertAlign w:val="superscript"/>
        </w:rPr>
        <w:footnoteReference w:id="8"/>
      </w:r>
      <w:r w:rsidR="00F36A3C" w:rsidRPr="152412E2">
        <w:rPr>
          <w:rFonts w:ascii="Arial" w:eastAsia="Arial" w:hAnsi="Arial" w:cs="Angsana New"/>
        </w:rPr>
        <w:t xml:space="preserve"> </w:t>
      </w:r>
    </w:p>
    <w:p w14:paraId="50F002CA" w14:textId="4C19ED9F" w:rsidR="00F36A3C" w:rsidRPr="00F36A3C" w:rsidRDefault="00F36A3C" w:rsidP="152412E2">
      <w:pPr>
        <w:rPr>
          <w:rFonts w:ascii="Arial" w:eastAsia="Arial" w:hAnsi="Arial" w:cs="Angsana New"/>
        </w:rPr>
      </w:pPr>
      <w:r w:rsidRPr="152412E2">
        <w:rPr>
          <w:rFonts w:ascii="Arial" w:eastAsia="Arial" w:hAnsi="Arial" w:cs="Angsana New"/>
        </w:rPr>
        <w:t xml:space="preserve">Case studies were also proposed in the M&amp;E framework but have not been implemented as planned. The M&amp;E adviser noted plans to adapt this tool to explore the overall significance of PRES’ contribution (via multiple PRES </w:t>
      </w:r>
      <w:r w:rsidR="00952CB5">
        <w:rPr>
          <w:rFonts w:ascii="Arial" w:eastAsia="Arial" w:hAnsi="Arial" w:cs="Angsana New"/>
        </w:rPr>
        <w:t>TNs</w:t>
      </w:r>
      <w:r w:rsidRPr="152412E2">
        <w:rPr>
          <w:rFonts w:ascii="Arial" w:eastAsia="Arial" w:hAnsi="Arial" w:cs="Angsana New"/>
        </w:rPr>
        <w:t>) in a few key thematic areas. This could provide an opportunity to capture not just the results to which PRES contributed, but also positive and negative contributing factors</w:t>
      </w:r>
      <w:r w:rsidR="00734CAA">
        <w:rPr>
          <w:rFonts w:ascii="Arial" w:eastAsia="Arial" w:hAnsi="Arial" w:cs="Angsana New"/>
        </w:rPr>
        <w:t>,</w:t>
      </w:r>
      <w:r w:rsidRPr="152412E2">
        <w:rPr>
          <w:rFonts w:ascii="Arial" w:eastAsia="Arial" w:hAnsi="Arial" w:cs="Angsana New"/>
        </w:rPr>
        <w:t xml:space="preserve"> including the extent to which key assumptions underpinning the PRES logic held true (e.g. DFAT staff time to engage and willingness to share information with PRES). These </w:t>
      </w:r>
      <w:r w:rsidR="00734CAA">
        <w:rPr>
          <w:rFonts w:ascii="Arial" w:eastAsia="Arial" w:hAnsi="Arial" w:cs="Angsana New"/>
        </w:rPr>
        <w:t xml:space="preserve">case </w:t>
      </w:r>
      <w:r w:rsidRPr="152412E2">
        <w:rPr>
          <w:rFonts w:ascii="Arial" w:eastAsia="Arial" w:hAnsi="Arial" w:cs="Angsana New"/>
        </w:rPr>
        <w:t xml:space="preserve">studies could also explore, with the benefit of hindsight, the extent to which PRES’ responsive, tasking-based modality was the optimal </w:t>
      </w:r>
      <w:r w:rsidRPr="152412E2">
        <w:rPr>
          <w:rFonts w:ascii="Arial" w:eastAsia="Arial" w:hAnsi="Arial" w:cs="Angsana New"/>
        </w:rPr>
        <w:lastRenderedPageBreak/>
        <w:t>modality for supporting DFAT’s agenda in each thematic area. This would be valuable learning for any PRES successor.</w:t>
      </w:r>
    </w:p>
    <w:p w14:paraId="22A7EC68" w14:textId="19BDD3DE" w:rsidR="00F36A3C" w:rsidRPr="009029BE" w:rsidRDefault="00F36A3C" w:rsidP="00BD713B">
      <w:pPr>
        <w:pStyle w:val="Tealblocktext"/>
        <w:rPr>
          <w:b/>
          <w:bCs/>
        </w:rPr>
      </w:pPr>
      <w:r w:rsidRPr="009029BE">
        <w:rPr>
          <w:b/>
          <w:bCs/>
        </w:rPr>
        <w:t>Recommendation 5.1</w:t>
      </w:r>
      <w:r w:rsidR="00E25EEA" w:rsidRPr="009029BE">
        <w:rPr>
          <w:b/>
          <w:bCs/>
        </w:rPr>
        <w:t xml:space="preserve"> (Short term</w:t>
      </w:r>
      <w:r w:rsidR="00734CAA">
        <w:rPr>
          <w:b/>
          <w:bCs/>
        </w:rPr>
        <w:t xml:space="preserve"> </w:t>
      </w:r>
      <w:r w:rsidR="00C31E50" w:rsidRPr="009029BE">
        <w:rPr>
          <w:b/>
          <w:bCs/>
        </w:rPr>
        <w:t>/</w:t>
      </w:r>
      <w:r w:rsidR="00734CAA">
        <w:rPr>
          <w:b/>
          <w:bCs/>
        </w:rPr>
        <w:t xml:space="preserve"> </w:t>
      </w:r>
      <w:r w:rsidR="00C31E50" w:rsidRPr="009029BE">
        <w:rPr>
          <w:b/>
          <w:bCs/>
        </w:rPr>
        <w:t>Operational</w:t>
      </w:r>
      <w:r w:rsidR="00E25EEA" w:rsidRPr="009029BE">
        <w:rPr>
          <w:b/>
          <w:bCs/>
        </w:rPr>
        <w:t>)</w:t>
      </w:r>
      <w:r w:rsidRPr="009029BE">
        <w:rPr>
          <w:b/>
          <w:bCs/>
        </w:rPr>
        <w:t xml:space="preserve"> </w:t>
      </w:r>
      <w:r w:rsidRPr="009029BE">
        <w:t xml:space="preserve">PRES to conduct a small number of case studies exploring: the collective influence of multiple </w:t>
      </w:r>
      <w:r w:rsidR="00734CAA">
        <w:t>TNs</w:t>
      </w:r>
      <w:r w:rsidRPr="009029BE">
        <w:t xml:space="preserve"> in key thematic areas, with reference to EOIO1 and EOIO2; the factors influencing PRES effectiveness; and the appropriateness of PRES’ responsive, tasking-based modality for optimising its thematic contribution.</w:t>
      </w:r>
    </w:p>
    <w:p w14:paraId="1F251046" w14:textId="5AF572E7" w:rsidR="00F36A3C" w:rsidRPr="00F36A3C" w:rsidRDefault="00F36A3C" w:rsidP="003C073D">
      <w:pPr>
        <w:pStyle w:val="Heading3nonumber"/>
      </w:pPr>
      <w:bookmarkStart w:id="68" w:name="_Toc195808976"/>
      <w:r w:rsidRPr="00F36A3C">
        <w:t>5.2 Use of performance information for management and learning</w:t>
      </w:r>
      <w:bookmarkEnd w:id="68"/>
    </w:p>
    <w:p w14:paraId="6BEE13A3" w14:textId="201C4B8A" w:rsidR="00F36A3C" w:rsidRPr="00F36A3C" w:rsidRDefault="00F36A3C" w:rsidP="152412E2">
      <w:pPr>
        <w:rPr>
          <w:rFonts w:ascii="Arial" w:eastAsia="Arial" w:hAnsi="Arial" w:cs="Angsana New"/>
        </w:rPr>
      </w:pPr>
      <w:bookmarkStart w:id="69" w:name="_Hlk191975145"/>
      <w:r w:rsidRPr="152412E2">
        <w:rPr>
          <w:rFonts w:ascii="Arial" w:eastAsia="Arial" w:hAnsi="Arial" w:cs="Angsana New"/>
        </w:rPr>
        <w:t xml:space="preserve">DFAT interviewees consistently reported satisfaction with the credibility and usefulness of PRES performance reporting for their contractual oversight of PRES overall and of individual </w:t>
      </w:r>
      <w:bookmarkEnd w:id="69"/>
      <w:r w:rsidR="00734CAA">
        <w:rPr>
          <w:rFonts w:ascii="Arial" w:eastAsia="Arial" w:hAnsi="Arial" w:cs="Angsana New"/>
        </w:rPr>
        <w:t>TNs</w:t>
      </w:r>
      <w:r w:rsidRPr="152412E2">
        <w:rPr>
          <w:rFonts w:ascii="Arial" w:eastAsia="Arial" w:hAnsi="Arial" w:cs="Angsana New"/>
        </w:rPr>
        <w:t xml:space="preserve">. Use of PRES M&amp;E data is evident in DFAT </w:t>
      </w:r>
      <w:r w:rsidR="00537BD4">
        <w:rPr>
          <w:rFonts w:ascii="Arial" w:eastAsia="Arial" w:hAnsi="Arial" w:cs="Angsana New"/>
        </w:rPr>
        <w:t>IMRs</w:t>
      </w:r>
      <w:r w:rsidRPr="152412E2">
        <w:rPr>
          <w:rFonts w:ascii="Arial" w:eastAsia="Arial" w:hAnsi="Arial" w:cs="Angsana New"/>
        </w:rPr>
        <w:t xml:space="preserve"> – including a greater focus on outcome-level data in the IMR for 2023, compared to 2022.</w:t>
      </w:r>
    </w:p>
    <w:p w14:paraId="277435A0" w14:textId="7291444B" w:rsidR="00F36A3C" w:rsidRPr="00F36A3C" w:rsidRDefault="00F36A3C" w:rsidP="152412E2">
      <w:pPr>
        <w:rPr>
          <w:rFonts w:ascii="Arial" w:eastAsia="Arial" w:hAnsi="Arial" w:cs="Angsana New"/>
        </w:rPr>
      </w:pPr>
      <w:r w:rsidRPr="152412E2">
        <w:rPr>
          <w:rFonts w:ascii="Arial" w:eastAsia="Arial" w:hAnsi="Arial" w:cs="Angsana New"/>
        </w:rPr>
        <w:t xml:space="preserve">There is a range of evidence that PRES is using the PAF as a tool for planning and delivery management. This is mostly about operational tracking of key management </w:t>
      </w:r>
      <w:proofErr w:type="gramStart"/>
      <w:r w:rsidRPr="152412E2">
        <w:rPr>
          <w:rFonts w:ascii="Arial" w:eastAsia="Arial" w:hAnsi="Arial" w:cs="Angsana New"/>
        </w:rPr>
        <w:t>commitments</w:t>
      </w:r>
      <w:r w:rsidR="00464435">
        <w:rPr>
          <w:rFonts w:ascii="Arial" w:eastAsia="Arial" w:hAnsi="Arial" w:cs="Angsana New"/>
        </w:rPr>
        <w:t>,</w:t>
      </w:r>
      <w:r w:rsidRPr="152412E2">
        <w:rPr>
          <w:rFonts w:ascii="Arial" w:eastAsia="Arial" w:hAnsi="Arial" w:cs="Angsana New"/>
        </w:rPr>
        <w:t xml:space="preserve"> but</w:t>
      </w:r>
      <w:proofErr w:type="gramEnd"/>
      <w:r w:rsidRPr="152412E2">
        <w:rPr>
          <w:rFonts w:ascii="Arial" w:eastAsia="Arial" w:hAnsi="Arial" w:cs="Angsana New"/>
        </w:rPr>
        <w:t xml:space="preserve"> also includes a degree of more strategic learning and reflection about overall issues and challenges. Review and </w:t>
      </w:r>
      <w:r w:rsidR="000B20A2">
        <w:rPr>
          <w:rFonts w:ascii="Arial" w:eastAsia="Arial" w:hAnsi="Arial" w:cs="Angsana New"/>
        </w:rPr>
        <w:t>R</w:t>
      </w:r>
      <w:r w:rsidRPr="152412E2">
        <w:rPr>
          <w:rFonts w:ascii="Arial" w:eastAsia="Arial" w:hAnsi="Arial" w:cs="Angsana New"/>
        </w:rPr>
        <w:t xml:space="preserve">eflection meetings are conducted internally, and staff report </w:t>
      </w:r>
      <w:r w:rsidR="00464435">
        <w:rPr>
          <w:rFonts w:ascii="Arial" w:eastAsia="Arial" w:hAnsi="Arial" w:cs="Angsana New"/>
        </w:rPr>
        <w:t xml:space="preserve">that </w:t>
      </w:r>
      <w:r w:rsidRPr="152412E2">
        <w:rPr>
          <w:rFonts w:ascii="Arial" w:eastAsia="Arial" w:hAnsi="Arial" w:cs="Angsana New"/>
        </w:rPr>
        <w:t>this enables frank exploration of strategic challenges (e.g. notes from the March 2024 meeting explore institutional challenges with supporting DFAT on strategy and policy development)</w:t>
      </w:r>
      <w:r w:rsidR="00537BD4">
        <w:rPr>
          <w:rFonts w:ascii="Arial" w:eastAsia="Arial" w:hAnsi="Arial" w:cs="Angsana New"/>
        </w:rPr>
        <w:t>.</w:t>
      </w:r>
      <w:r w:rsidRPr="152412E2">
        <w:rPr>
          <w:rFonts w:ascii="Arial" w:eastAsia="Arial" w:hAnsi="Arial" w:cs="Angsana New"/>
        </w:rPr>
        <w:t xml:space="preserve"> While DFAT is not present in these meetings, PRES staff report that key issues are followed up with DFAT where required. In other instances, remedial actions can be taken forward by PRES more independently. As a recent example, PRES has made several changes to better plan and monitor less visible knowledge sharing and learning that is occurring within individual taskings (as opposed to formal program-level learning events, such as seminars).</w:t>
      </w:r>
    </w:p>
    <w:p w14:paraId="3039F3B2" w14:textId="73D3EB01" w:rsidR="00F36A3C" w:rsidRDefault="00F36A3C" w:rsidP="152412E2">
      <w:pPr>
        <w:rPr>
          <w:rFonts w:ascii="Arial" w:eastAsia="Arial" w:hAnsi="Arial" w:cs="Angsana New"/>
        </w:rPr>
      </w:pPr>
      <w:r w:rsidRPr="152412E2">
        <w:rPr>
          <w:rFonts w:ascii="Arial" w:eastAsia="Arial" w:hAnsi="Arial" w:cs="Angsana New"/>
        </w:rPr>
        <w:t xml:space="preserve">PRES produces both annual and quarterly reports. These are logically structured and informed by DFAT </w:t>
      </w:r>
      <w:r w:rsidR="00464435">
        <w:rPr>
          <w:rFonts w:ascii="Arial" w:eastAsia="Arial" w:hAnsi="Arial" w:cs="Angsana New"/>
        </w:rPr>
        <w:t>s</w:t>
      </w:r>
      <w:r w:rsidR="00464435" w:rsidRPr="152412E2">
        <w:rPr>
          <w:rFonts w:ascii="Arial" w:eastAsia="Arial" w:hAnsi="Arial" w:cs="Angsana New"/>
        </w:rPr>
        <w:t>tandard</w:t>
      </w:r>
      <w:r w:rsidR="00464435">
        <w:rPr>
          <w:rFonts w:ascii="Arial" w:eastAsia="Arial" w:hAnsi="Arial" w:cs="Angsana New"/>
        </w:rPr>
        <w:t>s</w:t>
      </w:r>
      <w:r w:rsidRPr="152412E2">
        <w:rPr>
          <w:rFonts w:ascii="Arial" w:eastAsia="Arial" w:hAnsi="Arial" w:cs="Angsana New"/>
        </w:rPr>
        <w:t xml:space="preserve">. However, </w:t>
      </w:r>
      <w:r w:rsidR="003B03FF">
        <w:rPr>
          <w:rFonts w:ascii="Arial" w:eastAsia="Arial" w:hAnsi="Arial" w:cs="Angsana New"/>
        </w:rPr>
        <w:t>the evaluation team</w:t>
      </w:r>
      <w:r w:rsidR="00464435">
        <w:rPr>
          <w:rFonts w:ascii="Arial" w:eastAsia="Arial" w:hAnsi="Arial" w:cs="Angsana New"/>
        </w:rPr>
        <w:t>’</w:t>
      </w:r>
      <w:r w:rsidR="003B03FF">
        <w:rPr>
          <w:rFonts w:ascii="Arial" w:eastAsia="Arial" w:hAnsi="Arial" w:cs="Angsana New"/>
        </w:rPr>
        <w:t>s review of documents found that improvement can be made. T</w:t>
      </w:r>
      <w:r w:rsidRPr="152412E2">
        <w:rPr>
          <w:rFonts w:ascii="Arial" w:eastAsia="Arial" w:hAnsi="Arial" w:cs="Angsana New"/>
        </w:rPr>
        <w:t xml:space="preserve">he content of these reports is very similar, whereas a more differentiated approach to reporting may be more efficient and useful. Quarterly reports could be shorter and reframed as operational updates (e.g. the </w:t>
      </w:r>
      <w:r w:rsidR="004D012D">
        <w:rPr>
          <w:rFonts w:ascii="Arial" w:eastAsia="Arial" w:hAnsi="Arial" w:cs="Angsana New"/>
        </w:rPr>
        <w:t xml:space="preserve">DFAT requested </w:t>
      </w:r>
      <w:r w:rsidRPr="152412E2">
        <w:rPr>
          <w:rFonts w:ascii="Arial" w:eastAsia="Arial" w:hAnsi="Arial" w:cs="Angsana New"/>
        </w:rPr>
        <w:t>detailed annex of PAF evidence is probably not required every quarter)</w:t>
      </w:r>
      <w:r w:rsidR="00157073">
        <w:rPr>
          <w:rFonts w:ascii="Arial" w:eastAsia="Arial" w:hAnsi="Arial" w:cs="Angsana New"/>
        </w:rPr>
        <w:t>. A</w:t>
      </w:r>
      <w:r w:rsidRPr="152412E2">
        <w:rPr>
          <w:rFonts w:ascii="Arial" w:eastAsia="Arial" w:hAnsi="Arial" w:cs="Angsana New"/>
        </w:rPr>
        <w:t>nnual reports could be more strategically pitched</w:t>
      </w:r>
      <w:r w:rsidR="00157073">
        <w:rPr>
          <w:rFonts w:ascii="Arial" w:eastAsia="Arial" w:hAnsi="Arial" w:cs="Angsana New"/>
        </w:rPr>
        <w:t>,</w:t>
      </w:r>
      <w:r w:rsidRPr="152412E2">
        <w:rPr>
          <w:rFonts w:ascii="Arial" w:eastAsia="Arial" w:hAnsi="Arial" w:cs="Angsana New"/>
        </w:rPr>
        <w:t xml:space="preserve"> with more in-depth contextual analysis (including about institutional changes in PEB and OTP) and exploration of strategic challenges (many of which appear to be discussed in </w:t>
      </w:r>
      <w:r w:rsidR="00157073">
        <w:rPr>
          <w:rFonts w:ascii="Arial" w:eastAsia="Arial" w:hAnsi="Arial" w:cs="Angsana New"/>
        </w:rPr>
        <w:t xml:space="preserve">the </w:t>
      </w:r>
      <w:r w:rsidR="000B20A2">
        <w:rPr>
          <w:rFonts w:ascii="Arial" w:eastAsia="Arial" w:hAnsi="Arial" w:cs="Angsana New"/>
        </w:rPr>
        <w:t>R</w:t>
      </w:r>
      <w:r w:rsidRPr="152412E2">
        <w:rPr>
          <w:rFonts w:ascii="Arial" w:eastAsia="Arial" w:hAnsi="Arial" w:cs="Angsana New"/>
        </w:rPr>
        <w:t xml:space="preserve">eview and </w:t>
      </w:r>
      <w:r w:rsidR="000B20A2">
        <w:rPr>
          <w:rFonts w:ascii="Arial" w:eastAsia="Arial" w:hAnsi="Arial" w:cs="Angsana New"/>
        </w:rPr>
        <w:t>R</w:t>
      </w:r>
      <w:r w:rsidRPr="152412E2">
        <w:rPr>
          <w:rFonts w:ascii="Arial" w:eastAsia="Arial" w:hAnsi="Arial" w:cs="Angsana New"/>
        </w:rPr>
        <w:t>eflection meetings). For both reports, a better rating scale is needed for assessing progress. The scale should provide clearer definitions of each standard</w:t>
      </w:r>
      <w:r w:rsidR="00157073">
        <w:rPr>
          <w:rFonts w:ascii="Arial" w:eastAsia="Arial" w:hAnsi="Arial" w:cs="Angsana New"/>
        </w:rPr>
        <w:t xml:space="preserve"> </w:t>
      </w:r>
      <w:r w:rsidRPr="152412E2">
        <w:rPr>
          <w:rFonts w:ascii="Arial" w:eastAsia="Arial" w:hAnsi="Arial" w:cs="Angsana New"/>
        </w:rPr>
        <w:t>/</w:t>
      </w:r>
      <w:r w:rsidR="00157073">
        <w:rPr>
          <w:rFonts w:ascii="Arial" w:eastAsia="Arial" w:hAnsi="Arial" w:cs="Angsana New"/>
        </w:rPr>
        <w:t xml:space="preserve"> </w:t>
      </w:r>
      <w:r w:rsidRPr="152412E2">
        <w:rPr>
          <w:rFonts w:ascii="Arial" w:eastAsia="Arial" w:hAnsi="Arial" w:cs="Angsana New"/>
        </w:rPr>
        <w:t xml:space="preserve">rating; and include different criteria for assessing implementation progress against work plans versus progress against outcomes. It could be </w:t>
      </w:r>
      <w:r w:rsidR="002C3C35">
        <w:rPr>
          <w:rFonts w:ascii="Arial" w:eastAsia="Arial" w:hAnsi="Arial" w:cs="Angsana New"/>
        </w:rPr>
        <w:t>more aligned with</w:t>
      </w:r>
      <w:r w:rsidRPr="152412E2">
        <w:rPr>
          <w:rFonts w:ascii="Arial" w:eastAsia="Arial" w:hAnsi="Arial" w:cs="Angsana New"/>
        </w:rPr>
        <w:t xml:space="preserve"> DFAT’s PAF or IMR rating scales. </w:t>
      </w:r>
    </w:p>
    <w:p w14:paraId="2838AE37" w14:textId="507D6D9C" w:rsidR="00B60322" w:rsidRPr="00F36A3C" w:rsidRDefault="00B60322" w:rsidP="152412E2">
      <w:pPr>
        <w:rPr>
          <w:rFonts w:ascii="Arial" w:eastAsia="Arial" w:hAnsi="Arial" w:cs="Angsana New"/>
        </w:rPr>
      </w:pPr>
      <w:r>
        <w:rPr>
          <w:rFonts w:ascii="Arial" w:eastAsia="Arial" w:hAnsi="Arial" w:cs="Angsana New"/>
        </w:rPr>
        <w:t xml:space="preserve">PRES </w:t>
      </w:r>
      <w:r w:rsidR="00CD1E06">
        <w:rPr>
          <w:rFonts w:ascii="Arial" w:eastAsia="Arial" w:hAnsi="Arial" w:cs="Angsana New"/>
        </w:rPr>
        <w:t xml:space="preserve">conducts </w:t>
      </w:r>
      <w:r w:rsidR="00CA3A25">
        <w:rPr>
          <w:rFonts w:ascii="Arial" w:eastAsia="Arial" w:hAnsi="Arial" w:cs="Angsana New"/>
        </w:rPr>
        <w:t>TN assessments</w:t>
      </w:r>
      <w:r w:rsidR="00157073">
        <w:rPr>
          <w:rFonts w:ascii="Arial" w:eastAsia="Arial" w:hAnsi="Arial" w:cs="Angsana New"/>
        </w:rPr>
        <w:t>,</w:t>
      </w:r>
      <w:r w:rsidR="00CA3A25">
        <w:rPr>
          <w:rFonts w:ascii="Arial" w:eastAsia="Arial" w:hAnsi="Arial" w:cs="Angsana New"/>
        </w:rPr>
        <w:t xml:space="preserve"> </w:t>
      </w:r>
      <w:r w:rsidR="00E422E0">
        <w:rPr>
          <w:rFonts w:ascii="Arial" w:eastAsia="Arial" w:hAnsi="Arial" w:cs="Angsana New"/>
        </w:rPr>
        <w:t xml:space="preserve">which contribute primarily to </w:t>
      </w:r>
      <w:r w:rsidR="007A3C6E">
        <w:rPr>
          <w:rFonts w:ascii="Arial" w:eastAsia="Arial" w:hAnsi="Arial" w:cs="Angsana New"/>
        </w:rPr>
        <w:t>internal PRES learning</w:t>
      </w:r>
      <w:r w:rsidR="000328CD">
        <w:rPr>
          <w:rFonts w:ascii="Arial" w:eastAsia="Arial" w:hAnsi="Arial" w:cs="Angsana New"/>
        </w:rPr>
        <w:t xml:space="preserve"> and identifying opportunities for improvement. </w:t>
      </w:r>
      <w:r w:rsidR="00CA57B2">
        <w:rPr>
          <w:rFonts w:ascii="Arial" w:eastAsia="Arial" w:hAnsi="Arial" w:cs="Angsana New"/>
        </w:rPr>
        <w:t xml:space="preserve">Feedback from TN </w:t>
      </w:r>
      <w:r w:rsidR="005E50E2">
        <w:rPr>
          <w:rFonts w:ascii="Arial" w:eastAsia="Arial" w:hAnsi="Arial" w:cs="Angsana New"/>
        </w:rPr>
        <w:t xml:space="preserve">assessments </w:t>
      </w:r>
      <w:r w:rsidR="00352B95">
        <w:rPr>
          <w:rFonts w:ascii="Arial" w:eastAsia="Arial" w:hAnsi="Arial" w:cs="Angsana New"/>
        </w:rPr>
        <w:t>is synthesi</w:t>
      </w:r>
      <w:r w:rsidR="007738C0">
        <w:rPr>
          <w:rFonts w:ascii="Arial" w:eastAsia="Arial" w:hAnsi="Arial" w:cs="Angsana New"/>
        </w:rPr>
        <w:t>s</w:t>
      </w:r>
      <w:r w:rsidR="00352B95">
        <w:rPr>
          <w:rFonts w:ascii="Arial" w:eastAsia="Arial" w:hAnsi="Arial" w:cs="Angsana New"/>
        </w:rPr>
        <w:t xml:space="preserve">ed and fed back to </w:t>
      </w:r>
      <w:r w:rsidR="002532DF">
        <w:rPr>
          <w:rFonts w:ascii="Arial" w:eastAsia="Arial" w:hAnsi="Arial" w:cs="Angsana New"/>
        </w:rPr>
        <w:t>PRES management</w:t>
      </w:r>
      <w:r w:rsidR="00D937A6">
        <w:rPr>
          <w:rFonts w:ascii="Arial" w:eastAsia="Arial" w:hAnsi="Arial" w:cs="Angsana New"/>
        </w:rPr>
        <w:t xml:space="preserve"> through PRES Core Team meetings</w:t>
      </w:r>
      <w:r w:rsidR="007C525E">
        <w:rPr>
          <w:rFonts w:ascii="Arial" w:eastAsia="Arial" w:hAnsi="Arial" w:cs="Angsana New"/>
        </w:rPr>
        <w:t xml:space="preserve"> etc</w:t>
      </w:r>
      <w:r w:rsidR="00D937A6">
        <w:rPr>
          <w:rFonts w:ascii="Arial" w:eastAsia="Arial" w:hAnsi="Arial" w:cs="Angsana New"/>
        </w:rPr>
        <w:t xml:space="preserve">. </w:t>
      </w:r>
      <w:r w:rsidR="005D79F8">
        <w:rPr>
          <w:rFonts w:ascii="Arial" w:eastAsia="Arial" w:hAnsi="Arial" w:cs="Angsana New"/>
        </w:rPr>
        <w:t xml:space="preserve">Key issues </w:t>
      </w:r>
      <w:r w:rsidR="00B82D85">
        <w:rPr>
          <w:rFonts w:ascii="Arial" w:eastAsia="Arial" w:hAnsi="Arial" w:cs="Angsana New"/>
        </w:rPr>
        <w:t xml:space="preserve">also feed into </w:t>
      </w:r>
      <w:r w:rsidR="00C83881">
        <w:rPr>
          <w:rFonts w:ascii="Arial" w:eastAsia="Arial" w:hAnsi="Arial" w:cs="Angsana New"/>
        </w:rPr>
        <w:t>quarterly reports</w:t>
      </w:r>
      <w:r w:rsidR="007C525E">
        <w:rPr>
          <w:rFonts w:ascii="Arial" w:eastAsia="Arial" w:hAnsi="Arial" w:cs="Angsana New"/>
        </w:rPr>
        <w:t>; f</w:t>
      </w:r>
      <w:r w:rsidR="00D11105">
        <w:rPr>
          <w:rFonts w:ascii="Arial" w:eastAsia="Arial" w:hAnsi="Arial" w:cs="Angsana New"/>
        </w:rPr>
        <w:t xml:space="preserve">or example, </w:t>
      </w:r>
      <w:r w:rsidR="00442441">
        <w:rPr>
          <w:rFonts w:ascii="Arial" w:eastAsia="Arial" w:hAnsi="Arial" w:cs="Angsana New"/>
        </w:rPr>
        <w:t>in the early stages of PRES</w:t>
      </w:r>
      <w:r w:rsidR="007C525E">
        <w:rPr>
          <w:rFonts w:ascii="Arial" w:eastAsia="Arial" w:hAnsi="Arial" w:cs="Angsana New"/>
        </w:rPr>
        <w:t>,</w:t>
      </w:r>
      <w:r w:rsidR="00442441">
        <w:rPr>
          <w:rFonts w:ascii="Arial" w:eastAsia="Arial" w:hAnsi="Arial" w:cs="Angsana New"/>
        </w:rPr>
        <w:t xml:space="preserve"> </w:t>
      </w:r>
      <w:r w:rsidR="00B96BFC">
        <w:rPr>
          <w:rFonts w:ascii="Arial" w:eastAsia="Arial" w:hAnsi="Arial" w:cs="Angsana New"/>
        </w:rPr>
        <w:t>several TN</w:t>
      </w:r>
      <w:r w:rsidR="007C525E">
        <w:rPr>
          <w:rFonts w:ascii="Arial" w:eastAsia="Arial" w:hAnsi="Arial" w:cs="Angsana New"/>
        </w:rPr>
        <w:t>As</w:t>
      </w:r>
      <w:r w:rsidR="00B96BFC">
        <w:rPr>
          <w:rFonts w:ascii="Arial" w:eastAsia="Arial" w:hAnsi="Arial" w:cs="Angsana New"/>
        </w:rPr>
        <w:t xml:space="preserve"> revealed </w:t>
      </w:r>
      <w:r w:rsidR="00E07E69">
        <w:rPr>
          <w:rFonts w:ascii="Arial" w:eastAsia="Arial" w:hAnsi="Arial" w:cs="Angsana New"/>
        </w:rPr>
        <w:t xml:space="preserve">that tasks and deliverables </w:t>
      </w:r>
      <w:r w:rsidR="00B2737B">
        <w:rPr>
          <w:rFonts w:ascii="Arial" w:eastAsia="Arial" w:hAnsi="Arial" w:cs="Angsana New"/>
        </w:rPr>
        <w:t>need</w:t>
      </w:r>
      <w:r w:rsidR="00DF1092">
        <w:rPr>
          <w:rFonts w:ascii="Arial" w:eastAsia="Arial" w:hAnsi="Arial" w:cs="Angsana New"/>
        </w:rPr>
        <w:t>ed</w:t>
      </w:r>
      <w:r w:rsidR="00B2737B">
        <w:rPr>
          <w:rFonts w:ascii="Arial" w:eastAsia="Arial" w:hAnsi="Arial" w:cs="Angsana New"/>
        </w:rPr>
        <w:t xml:space="preserve"> to be more clearly specified in TN</w:t>
      </w:r>
      <w:r w:rsidR="00DF1092">
        <w:rPr>
          <w:rFonts w:ascii="Arial" w:eastAsia="Arial" w:hAnsi="Arial" w:cs="Angsana New"/>
        </w:rPr>
        <w:t>s</w:t>
      </w:r>
      <w:r w:rsidR="00B2737B">
        <w:rPr>
          <w:rFonts w:ascii="Arial" w:eastAsia="Arial" w:hAnsi="Arial" w:cs="Angsana New"/>
        </w:rPr>
        <w:t xml:space="preserve"> </w:t>
      </w:r>
      <w:r w:rsidR="00DA10D4">
        <w:rPr>
          <w:rFonts w:ascii="Arial" w:eastAsia="Arial" w:hAnsi="Arial" w:cs="Angsana New"/>
        </w:rPr>
        <w:t>to ensure shared understanding of expectations</w:t>
      </w:r>
      <w:r w:rsidR="008B5574">
        <w:rPr>
          <w:rFonts w:ascii="Arial" w:eastAsia="Arial" w:hAnsi="Arial" w:cs="Angsana New"/>
        </w:rPr>
        <w:t>, as a res</w:t>
      </w:r>
      <w:r w:rsidR="00C95EC5">
        <w:rPr>
          <w:rFonts w:ascii="Arial" w:eastAsia="Arial" w:hAnsi="Arial" w:cs="Angsana New"/>
        </w:rPr>
        <w:t xml:space="preserve">ult </w:t>
      </w:r>
      <w:bookmarkStart w:id="70" w:name="_Hlk195522554"/>
      <w:r w:rsidR="00C95EC5">
        <w:rPr>
          <w:rFonts w:ascii="Arial" w:eastAsia="Arial" w:hAnsi="Arial" w:cs="Angsana New"/>
        </w:rPr>
        <w:t xml:space="preserve">there were changes to the </w:t>
      </w:r>
      <w:r w:rsidR="00470171">
        <w:rPr>
          <w:rFonts w:ascii="Arial" w:eastAsia="Arial" w:hAnsi="Arial" w:cs="Angsana New"/>
        </w:rPr>
        <w:t xml:space="preserve">TN template and </w:t>
      </w:r>
      <w:r w:rsidR="00307A75">
        <w:rPr>
          <w:rFonts w:ascii="Arial" w:eastAsia="Arial" w:hAnsi="Arial" w:cs="Angsana New"/>
        </w:rPr>
        <w:t xml:space="preserve">the TN development and </w:t>
      </w:r>
      <w:r w:rsidR="002A7A7E">
        <w:rPr>
          <w:rFonts w:ascii="Arial" w:eastAsia="Arial" w:hAnsi="Arial" w:cs="Angsana New"/>
        </w:rPr>
        <w:t xml:space="preserve">approval process. </w:t>
      </w:r>
    </w:p>
    <w:bookmarkEnd w:id="70"/>
    <w:p w14:paraId="684ED566" w14:textId="1BCF2741" w:rsidR="00A433D9" w:rsidRPr="00A433D9" w:rsidRDefault="00A433D9" w:rsidP="00B85CF8">
      <w:pPr>
        <w:pStyle w:val="Tealblocktext"/>
      </w:pPr>
      <w:r w:rsidRPr="009029BE">
        <w:rPr>
          <w:b/>
          <w:bCs/>
        </w:rPr>
        <w:t xml:space="preserve">Recommendation </w:t>
      </w:r>
      <w:r w:rsidRPr="00A433D9">
        <w:rPr>
          <w:b/>
          <w:bCs/>
          <w:caps/>
        </w:rPr>
        <w:t xml:space="preserve">5.2 </w:t>
      </w:r>
      <w:r w:rsidRPr="001614EC">
        <w:rPr>
          <w:rFonts w:cs="Angsana New (Body CS)"/>
          <w:b/>
          <w:bCs/>
        </w:rPr>
        <w:t>(Next Phase</w:t>
      </w:r>
      <w:r w:rsidR="007C525E">
        <w:rPr>
          <w:rFonts w:cs="Angsana New (Body CS)"/>
          <w:b/>
          <w:bCs/>
        </w:rPr>
        <w:t xml:space="preserve"> </w:t>
      </w:r>
      <w:r w:rsidRPr="001614EC">
        <w:rPr>
          <w:rFonts w:cs="Angsana New (Body CS)"/>
          <w:b/>
          <w:bCs/>
        </w:rPr>
        <w:t>/</w:t>
      </w:r>
      <w:r w:rsidR="007C525E">
        <w:rPr>
          <w:rFonts w:cs="Angsana New (Body CS)"/>
          <w:b/>
          <w:bCs/>
        </w:rPr>
        <w:t xml:space="preserve"> </w:t>
      </w:r>
      <w:r w:rsidRPr="001614EC">
        <w:rPr>
          <w:rFonts w:cs="Angsana New (Body CS)"/>
          <w:b/>
          <w:bCs/>
        </w:rPr>
        <w:t>Operational)</w:t>
      </w:r>
      <w:r w:rsidRPr="00A433D9">
        <w:rPr>
          <w:rFonts w:cs="Angsana New (Body CS)"/>
        </w:rPr>
        <w:t xml:space="preserve"> In any future program, PRES and DFAT should revise reporting templates </w:t>
      </w:r>
      <w:r w:rsidR="00951382">
        <w:rPr>
          <w:rFonts w:cs="Angsana New (Body CS)"/>
        </w:rPr>
        <w:t xml:space="preserve">and timeframes </w:t>
      </w:r>
      <w:r w:rsidRPr="00A433D9">
        <w:rPr>
          <w:rFonts w:cs="Angsana New (Body CS)"/>
        </w:rPr>
        <w:t xml:space="preserve">so that quarterly reports provide concise operational updates and annual reports provide more in-depth exploration of strategic issues. The rating scales used in both reports should also be </w:t>
      </w:r>
      <w:r w:rsidR="00A22480">
        <w:rPr>
          <w:rFonts w:cs="Angsana New (Body CS)"/>
        </w:rPr>
        <w:t>more closely</w:t>
      </w:r>
      <w:r w:rsidRPr="00A433D9">
        <w:rPr>
          <w:rFonts w:cs="Angsana New (Body CS)"/>
        </w:rPr>
        <w:t xml:space="preserve"> align</w:t>
      </w:r>
      <w:r w:rsidR="00A22480">
        <w:rPr>
          <w:rFonts w:cs="Angsana New (Body CS)"/>
        </w:rPr>
        <w:t>ed</w:t>
      </w:r>
      <w:r w:rsidRPr="00A433D9">
        <w:rPr>
          <w:rFonts w:cs="Angsana New (Body CS)"/>
        </w:rPr>
        <w:t xml:space="preserve"> to DFAT PAF or IMR rating scales.</w:t>
      </w:r>
    </w:p>
    <w:p w14:paraId="78757DC4" w14:textId="202BA9BF" w:rsidR="005B6285" w:rsidRDefault="006F0229" w:rsidP="005B6285">
      <w:pPr>
        <w:pStyle w:val="Heading1nonumber"/>
      </w:pPr>
      <w:bookmarkStart w:id="71" w:name="_Toc195808977"/>
      <w:bookmarkStart w:id="72" w:name="_Toc205992465"/>
      <w:bookmarkStart w:id="73" w:name="_Toc205992552"/>
      <w:r>
        <w:rPr>
          <w:noProof/>
        </w:rPr>
        <w:lastRenderedPageBreak/>
        <w:drawing>
          <wp:anchor distT="0" distB="0" distL="114300" distR="114300" simplePos="0" relativeHeight="251658248" behindDoc="1" locked="0" layoutInCell="1" allowOverlap="1" wp14:anchorId="3670EB2B" wp14:editId="507E3AE9">
            <wp:simplePos x="0" y="0"/>
            <wp:positionH relativeFrom="margin">
              <wp:posOffset>5631180</wp:posOffset>
            </wp:positionH>
            <wp:positionV relativeFrom="paragraph">
              <wp:posOffset>151765</wp:posOffset>
            </wp:positionV>
            <wp:extent cx="664845" cy="664845"/>
            <wp:effectExtent l="0" t="0" r="1905" b="1905"/>
            <wp:wrapSquare wrapText="bothSides"/>
            <wp:docPr id="1970762186"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62186" name="Picture 5">
                      <a:extLst>
                        <a:ext uri="{C183D7F6-B498-43B3-948B-1728B52AA6E4}">
                          <adec:decorative xmlns:adec="http://schemas.microsoft.com/office/drawing/2017/decorative" val="1"/>
                        </a:ext>
                      </a:extLst>
                    </pic:cNvPr>
                    <pic:cNvPicPr/>
                  </pic:nvPicPr>
                  <pic:blipFill>
                    <a:blip r:embed="rId27"/>
                    <a:stretch>
                      <a:fillRect/>
                    </a:stretch>
                  </pic:blipFill>
                  <pic:spPr>
                    <a:xfrm>
                      <a:off x="0" y="0"/>
                      <a:ext cx="664845" cy="664845"/>
                    </a:xfrm>
                    <a:prstGeom prst="rect">
                      <a:avLst/>
                    </a:prstGeom>
                  </pic:spPr>
                </pic:pic>
              </a:graphicData>
            </a:graphic>
            <wp14:sizeRelH relativeFrom="page">
              <wp14:pctWidth>0</wp14:pctWidth>
            </wp14:sizeRelH>
            <wp14:sizeRelV relativeFrom="page">
              <wp14:pctHeight>0</wp14:pctHeight>
            </wp14:sizeRelV>
          </wp:anchor>
        </w:drawing>
      </w:r>
      <w:r w:rsidRPr="008F253E">
        <w:t>KRQ</w:t>
      </w:r>
      <w:r>
        <w:t>6</w:t>
      </w:r>
      <w:r w:rsidRPr="008F253E">
        <w:t>.</w:t>
      </w:r>
      <w:r w:rsidRPr="00430426">
        <w:t xml:space="preserve"> </w:t>
      </w:r>
      <w:r w:rsidR="00EE7F72" w:rsidRPr="4B8AE8E7">
        <w:t xml:space="preserve">What are the opportunities to enhance the sustainability of PRES </w:t>
      </w:r>
      <w:r w:rsidR="00EE7F72">
        <w:t>results</w:t>
      </w:r>
      <w:r>
        <w:t>?</w:t>
      </w:r>
      <w:bookmarkEnd w:id="71"/>
      <w:bookmarkEnd w:id="72"/>
      <w:bookmarkEnd w:id="73"/>
    </w:p>
    <w:p w14:paraId="37915E10" w14:textId="77777777" w:rsidR="00BA7465" w:rsidRPr="00BD3486" w:rsidRDefault="00BA7465" w:rsidP="00BA7465">
      <w:pPr>
        <w:pStyle w:val="Orangeblocktext"/>
      </w:pPr>
      <w:bookmarkStart w:id="74" w:name="_Hlk191975183"/>
      <w:r>
        <w:t xml:space="preserve">PRES enhances and sustains DFAT’s capability through the provision of technical expertise on Pacific economic development. Should a future program be supported, there is an opportunity to develop a </w:t>
      </w:r>
      <w:r w:rsidRPr="009158EC">
        <w:t xml:space="preserve">sustainability strategy </w:t>
      </w:r>
      <w:r>
        <w:t>that</w:t>
      </w:r>
      <w:r w:rsidRPr="009158EC">
        <w:t xml:space="preserve"> </w:t>
      </w:r>
      <w:r>
        <w:t xml:space="preserve">continues to </w:t>
      </w:r>
      <w:r w:rsidRPr="009158EC">
        <w:t>embed lasting benefits beyond the program's immediate timeframe</w:t>
      </w:r>
      <w:r>
        <w:t>.</w:t>
      </w:r>
    </w:p>
    <w:bookmarkEnd w:id="74"/>
    <w:p w14:paraId="3F7C88E8" w14:textId="6F22681F" w:rsidR="002413F6" w:rsidRDefault="009929A0" w:rsidP="00B73A1B">
      <w:r w:rsidRPr="009929A0">
        <w:t xml:space="preserve">The inherent provision of specialist technical capability </w:t>
      </w:r>
      <w:r>
        <w:t>by PRES</w:t>
      </w:r>
      <w:r w:rsidRPr="009929A0">
        <w:t xml:space="preserve"> necessitates a distinct approach to sustainability, unlike that of traditional development investments</w:t>
      </w:r>
      <w:r w:rsidR="00785647">
        <w:t>. This is</w:t>
      </w:r>
      <w:r>
        <w:t xml:space="preserve"> p</w:t>
      </w:r>
      <w:r w:rsidRPr="009929A0">
        <w:t xml:space="preserve">articularly </w:t>
      </w:r>
      <w:r w:rsidR="00785647">
        <w:t>in terms of</w:t>
      </w:r>
      <w:r w:rsidR="00785647" w:rsidRPr="009929A0">
        <w:t xml:space="preserve"> </w:t>
      </w:r>
      <w:r w:rsidRPr="009929A0">
        <w:t>the viability of internal skill</w:t>
      </w:r>
      <w:r w:rsidR="00785647">
        <w:t>s</w:t>
      </w:r>
      <w:r w:rsidRPr="009929A0">
        <w:t xml:space="preserve"> development</w:t>
      </w:r>
      <w:r w:rsidR="00785647">
        <w:t>,</w:t>
      </w:r>
      <w:r>
        <w:t xml:space="preserve"> given the DFAT </w:t>
      </w:r>
      <w:r w:rsidR="00276D6E">
        <w:t xml:space="preserve">organisational </w:t>
      </w:r>
      <w:r>
        <w:t>context</w:t>
      </w:r>
      <w:r w:rsidR="00276D6E">
        <w:t xml:space="preserve"> which involves regular </w:t>
      </w:r>
      <w:r>
        <w:t xml:space="preserve">staff </w:t>
      </w:r>
      <w:proofErr w:type="gramStart"/>
      <w:r w:rsidR="00276D6E">
        <w:t>rotation</w:t>
      </w:r>
      <w:proofErr w:type="gramEnd"/>
      <w:r w:rsidR="00276D6E">
        <w:t xml:space="preserve"> </w:t>
      </w:r>
      <w:r>
        <w:t xml:space="preserve">and </w:t>
      </w:r>
      <w:r w:rsidR="00276D6E">
        <w:t xml:space="preserve">the </w:t>
      </w:r>
      <w:r>
        <w:t xml:space="preserve">breadth of technical specialists needed in DFAT work. </w:t>
      </w:r>
    </w:p>
    <w:p w14:paraId="3CB331E9" w14:textId="3C438E43" w:rsidR="009929A0" w:rsidRDefault="009929A0" w:rsidP="00B73A1B">
      <w:bookmarkStart w:id="75" w:name="_Hlk191975195"/>
      <w:r>
        <w:t>PRES</w:t>
      </w:r>
      <w:r w:rsidRPr="009929A0">
        <w:t xml:space="preserve"> offers a unique form of sustainability. By providing technical specialists, it empowers </w:t>
      </w:r>
      <w:r>
        <w:t>DFAT</w:t>
      </w:r>
      <w:r w:rsidRPr="009929A0">
        <w:t xml:space="preserve"> to </w:t>
      </w:r>
      <w:r>
        <w:t xml:space="preserve">more effectively and efficiently complete activities that may not be able to be completed </w:t>
      </w:r>
      <w:r w:rsidR="00785647">
        <w:t>in-</w:t>
      </w:r>
      <w:r>
        <w:t xml:space="preserve">house </w:t>
      </w:r>
      <w:r w:rsidRPr="009929A0">
        <w:t xml:space="preserve">and </w:t>
      </w:r>
      <w:r>
        <w:t>increases the capacity of internal DFAT staff to focus on core work</w:t>
      </w:r>
      <w:r w:rsidR="00785647">
        <w:t>. E</w:t>
      </w:r>
      <w:r>
        <w:t xml:space="preserve">ffectively, it sustains DFAT’s capability under its current operating model. </w:t>
      </w:r>
    </w:p>
    <w:bookmarkEnd w:id="75"/>
    <w:p w14:paraId="3B1321AF" w14:textId="55001E61" w:rsidR="004D73E5" w:rsidRPr="00FB7C94" w:rsidRDefault="004D73E5" w:rsidP="004D73E5">
      <w:r w:rsidRPr="00FB7C94">
        <w:t xml:space="preserve">The </w:t>
      </w:r>
      <w:r w:rsidR="00F77028">
        <w:t>2023</w:t>
      </w:r>
      <w:r w:rsidR="00F77028" w:rsidRPr="00FB7C94">
        <w:t xml:space="preserve"> </w:t>
      </w:r>
      <w:r w:rsidR="000379B7">
        <w:t>IMR</w:t>
      </w:r>
      <w:r w:rsidRPr="00FB7C94">
        <w:t xml:space="preserve"> noted </w:t>
      </w:r>
      <w:r w:rsidR="00785647">
        <w:t>that ‘</w:t>
      </w:r>
      <w:r w:rsidRPr="00FB7C94">
        <w:rPr>
          <w:iCs/>
          <w:szCs w:val="21"/>
        </w:rPr>
        <w:t>PRES does not have a documented sustainability strategy which would ensure high-quality, targeted services and products will having lasting benefits to DFAT staff, with dissemination and knowledge translation</w:t>
      </w:r>
      <w:r w:rsidR="00785647">
        <w:rPr>
          <w:iCs/>
          <w:szCs w:val="21"/>
        </w:rPr>
        <w:t xml:space="preserve">’. This report also </w:t>
      </w:r>
      <w:r w:rsidR="00073CEF">
        <w:rPr>
          <w:iCs/>
          <w:szCs w:val="21"/>
        </w:rPr>
        <w:t xml:space="preserve">highlighted that </w:t>
      </w:r>
      <w:r w:rsidRPr="00FB7C94">
        <w:t xml:space="preserve">EOPO 2 is </w:t>
      </w:r>
      <w:r w:rsidR="00073CEF">
        <w:t>‘</w:t>
      </w:r>
      <w:r w:rsidRPr="00FB7C94">
        <w:t>most closely aligned to a sustainability agenda for this investment. PRES holds a significant amount of corporate knowledge and technical reports across a range of economic sectors and countries, efforts. Significant efforts have been made to improve performance in this area</w:t>
      </w:r>
      <w:r w:rsidR="00073CEF">
        <w:t>’</w:t>
      </w:r>
      <w:r w:rsidRPr="00FB7C94">
        <w:t xml:space="preserve">. </w:t>
      </w:r>
    </w:p>
    <w:p w14:paraId="049F8E52" w14:textId="21F4A9ED" w:rsidR="00727F13" w:rsidRDefault="00727F13" w:rsidP="00B73A1B">
      <w:r>
        <w:t xml:space="preserve">As a program, </w:t>
      </w:r>
      <w:r w:rsidR="002023E4">
        <w:t>continued demand and relevance</w:t>
      </w:r>
      <w:r>
        <w:t xml:space="preserve"> suggests an ongoing need for PRES.</w:t>
      </w:r>
      <w:r w:rsidR="003B7F09">
        <w:t xml:space="preserve"> Interviewees also indicated a view that </w:t>
      </w:r>
      <w:r w:rsidR="003B7F09" w:rsidRPr="00FB7C94">
        <w:rPr>
          <w:szCs w:val="21"/>
        </w:rPr>
        <w:t>PRES is not eroding DFAT capability</w:t>
      </w:r>
      <w:r w:rsidR="00073CEF">
        <w:rPr>
          <w:szCs w:val="21"/>
        </w:rPr>
        <w:t>,</w:t>
      </w:r>
      <w:r w:rsidR="003B7F09" w:rsidRPr="00FB7C94">
        <w:rPr>
          <w:szCs w:val="21"/>
        </w:rPr>
        <w:t xml:space="preserve"> as most of the work is specialist technical expertise that currently is not available </w:t>
      </w:r>
      <w:r w:rsidR="00036A27" w:rsidRPr="00FB7C94">
        <w:rPr>
          <w:szCs w:val="21"/>
        </w:rPr>
        <w:t>in-house and</w:t>
      </w:r>
      <w:r w:rsidR="00BE01D3" w:rsidRPr="00FB7C94">
        <w:rPr>
          <w:szCs w:val="21"/>
        </w:rPr>
        <w:t xml:space="preserve"> is unlikely to be </w:t>
      </w:r>
      <w:r w:rsidR="009111DF" w:rsidRPr="00FB7C94">
        <w:rPr>
          <w:szCs w:val="21"/>
        </w:rPr>
        <w:t>in the future</w:t>
      </w:r>
      <w:r w:rsidR="003B7F09" w:rsidRPr="00FB7C94">
        <w:rPr>
          <w:szCs w:val="21"/>
        </w:rPr>
        <w:t>.</w:t>
      </w:r>
    </w:p>
    <w:p w14:paraId="19972831" w14:textId="04413DEC" w:rsidR="00EE6172" w:rsidRDefault="00EE6172" w:rsidP="00B73A1B">
      <w:r>
        <w:t xml:space="preserve">The March 2024 Review and </w:t>
      </w:r>
      <w:r w:rsidR="000B20A2">
        <w:t>R</w:t>
      </w:r>
      <w:r>
        <w:t>eflection meeting</w:t>
      </w:r>
      <w:r w:rsidDel="00A05445">
        <w:t xml:space="preserve"> </w:t>
      </w:r>
      <w:r>
        <w:t>noted</w:t>
      </w:r>
      <w:r w:rsidR="00073CEF">
        <w:t xml:space="preserve"> that, a</w:t>
      </w:r>
      <w:r w:rsidRPr="00B73A1B">
        <w:t xml:space="preserve">s PRES is largely a </w:t>
      </w:r>
      <w:r w:rsidR="00073CEF">
        <w:t>technical advisory</w:t>
      </w:r>
      <w:r w:rsidR="00073CEF" w:rsidRPr="00B73A1B">
        <w:t xml:space="preserve"> </w:t>
      </w:r>
      <w:r w:rsidRPr="00B73A1B">
        <w:t xml:space="preserve">facility, </w:t>
      </w:r>
      <w:r w:rsidR="002662EE">
        <w:t>‘</w:t>
      </w:r>
      <w:r w:rsidRPr="00B73A1B">
        <w:t xml:space="preserve">addressing the question of sustainability needs a different approach to ‘traditional’ development investments. Supporting knowledge sharing and learning across PEB (and potentially other areas) from work undertaken through </w:t>
      </w:r>
      <w:r w:rsidR="002662EE">
        <w:t>[TNs]</w:t>
      </w:r>
      <w:r w:rsidRPr="00B73A1B">
        <w:t xml:space="preserve"> is one way of ensuring that benefits endure beyond the end of investment</w:t>
      </w:r>
      <w:r w:rsidR="002662EE">
        <w:t>’</w:t>
      </w:r>
      <w:r w:rsidRPr="00B73A1B">
        <w:t>.</w:t>
      </w:r>
    </w:p>
    <w:p w14:paraId="15843C72" w14:textId="0ED6DE92" w:rsidR="00EE6172" w:rsidRPr="001045A3" w:rsidRDefault="00EE6172" w:rsidP="00827CB4">
      <w:pPr>
        <w:rPr>
          <w:lang w:eastAsia="en-GB"/>
        </w:rPr>
      </w:pPr>
      <w:r w:rsidRPr="00EE6172">
        <w:t>The evidence</w:t>
      </w:r>
      <w:r w:rsidRPr="00EE6172" w:rsidDel="00A05445">
        <w:t xml:space="preserve"> </w:t>
      </w:r>
      <w:r w:rsidRPr="00EE6172">
        <w:t xml:space="preserve">suggests the </w:t>
      </w:r>
      <w:r w:rsidR="00A05445" w:rsidRPr="00EE6172">
        <w:t>ne</w:t>
      </w:r>
      <w:r w:rsidR="00A05445">
        <w:t xml:space="preserve">ed for </w:t>
      </w:r>
      <w:r w:rsidRPr="00EE6172">
        <w:t xml:space="preserve">a sustainability strategy that is effectively aligned with </w:t>
      </w:r>
      <w:r>
        <w:t>PRES</w:t>
      </w:r>
      <w:r w:rsidRPr="00EE6172">
        <w:t xml:space="preserve"> </w:t>
      </w:r>
      <w:r>
        <w:t>context and EOIOs.</w:t>
      </w:r>
      <w:r>
        <w:rPr>
          <w:lang w:eastAsia="en-GB"/>
        </w:rPr>
        <w:t xml:space="preserve"> </w:t>
      </w:r>
    </w:p>
    <w:p w14:paraId="4C4A9950" w14:textId="55F13BB5" w:rsidR="00EE6172" w:rsidRDefault="00EE6172" w:rsidP="00F96010">
      <w:r>
        <w:t>In the absence of a sustainability strategy, t</w:t>
      </w:r>
      <w:r w:rsidR="00463B81">
        <w:t xml:space="preserve">he evaluation team considered sustainability against PRES’ two </w:t>
      </w:r>
      <w:r w:rsidR="002662EE">
        <w:t>end-of-investment outcomes</w:t>
      </w:r>
      <w:r w:rsidR="00463B81">
        <w:t xml:space="preserve">. EOPO2 </w:t>
      </w:r>
      <w:r w:rsidR="00F96010">
        <w:t>is most compatible with</w:t>
      </w:r>
      <w:r w:rsidR="00463B81">
        <w:t xml:space="preserve"> sustainability</w:t>
      </w:r>
      <w:r w:rsidR="00727F13">
        <w:t xml:space="preserve">. </w:t>
      </w:r>
      <w:r w:rsidR="00E22F1D">
        <w:t xml:space="preserve">The </w:t>
      </w:r>
      <w:r w:rsidR="00463B81">
        <w:t xml:space="preserve">use of external contractors to provide highly specialist technical advice creates an inherent challenge for long-term sustainability (in terms of building DFAT internal capacity) as </w:t>
      </w:r>
      <w:r w:rsidR="00463B81" w:rsidRPr="00FB7C94">
        <w:t>m</w:t>
      </w:r>
      <w:r w:rsidR="00C03FB9" w:rsidRPr="00FB7C94">
        <w:t>any</w:t>
      </w:r>
      <w:r w:rsidR="00463B81">
        <w:t xml:space="preserve"> of the skills are not readily transferable to generalist staff</w:t>
      </w:r>
      <w:r w:rsidR="00C03FB9">
        <w:t xml:space="preserve">. While </w:t>
      </w:r>
      <w:r w:rsidR="00C03FB9" w:rsidRPr="00FB7C94">
        <w:t>s</w:t>
      </w:r>
      <w:r w:rsidR="00463B81" w:rsidRPr="00FB7C94">
        <w:t xml:space="preserve">ignificant </w:t>
      </w:r>
      <w:r w:rsidR="00463B81">
        <w:t xml:space="preserve">effort has been made to retain knowledge through </w:t>
      </w:r>
      <w:r w:rsidR="00727F13">
        <w:t xml:space="preserve">efforts to achieve EOIO2 (e.g. </w:t>
      </w:r>
      <w:r w:rsidR="00463B81">
        <w:t>the development of an IMS</w:t>
      </w:r>
      <w:r w:rsidR="00727F13">
        <w:t>)</w:t>
      </w:r>
      <w:r w:rsidR="00463B81">
        <w:t xml:space="preserve">, </w:t>
      </w:r>
      <w:r w:rsidR="00727F13">
        <w:t>there are challenges associated</w:t>
      </w:r>
      <w:r w:rsidR="00A76A2B">
        <w:t xml:space="preserve"> with sharing and utilising that knowledge</w:t>
      </w:r>
      <w:r>
        <w:t xml:space="preserve">. Clarity on the scope of </w:t>
      </w:r>
      <w:r w:rsidRPr="00FB7C94">
        <w:t>EOIO2</w:t>
      </w:r>
      <w:r>
        <w:t xml:space="preserve"> would assist in the evaluation of PRES sustainabilit</w:t>
      </w:r>
      <w:r w:rsidR="00F656C5">
        <w:t>y.</w:t>
      </w:r>
      <w:r w:rsidR="00F96010">
        <w:t xml:space="preserve"> </w:t>
      </w:r>
      <w:r>
        <w:t xml:space="preserve">Further information on achieving EOIO2 can be found in </w:t>
      </w:r>
      <w:r w:rsidR="000D10F1" w:rsidRPr="009D1B53">
        <w:t>S</w:t>
      </w:r>
      <w:r w:rsidRPr="009D1B53">
        <w:t>ection 1.2.</w:t>
      </w:r>
      <w:r>
        <w:t xml:space="preserve"> </w:t>
      </w:r>
    </w:p>
    <w:p w14:paraId="0723F4AF" w14:textId="5DA1708F" w:rsidR="00A509CF" w:rsidRDefault="00A509CF" w:rsidP="00F96010">
      <w:r>
        <w:lastRenderedPageBreak/>
        <w:t xml:space="preserve">Also at the TN level, it is unclear how sustainability </w:t>
      </w:r>
      <w:r w:rsidR="0092028E">
        <w:t>is</w:t>
      </w:r>
      <w:r>
        <w:t xml:space="preserve"> being considered or informing the scoping phase. In developing a sustainability strategy</w:t>
      </w:r>
      <w:r w:rsidR="00EA4B41">
        <w:t xml:space="preserve"> for any future design</w:t>
      </w:r>
      <w:r>
        <w:t xml:space="preserve">, attention </w:t>
      </w:r>
      <w:r w:rsidR="6A02BD20">
        <w:t xml:space="preserve">could </w:t>
      </w:r>
      <w:r>
        <w:t>be given to how TNs may be used to enhance the sustainability of PRES results.</w:t>
      </w:r>
    </w:p>
    <w:p w14:paraId="79DA12A4" w14:textId="4F01622A" w:rsidR="00A509CF" w:rsidRDefault="00A509CF" w:rsidP="00F96010">
      <w:r>
        <w:t xml:space="preserve">Linkages are also a key avenue for sustainability as they foster collaboration and sharing of knowledge. However, enhancing linkages </w:t>
      </w:r>
      <w:r w:rsidR="00991416">
        <w:t xml:space="preserve">across PEB </w:t>
      </w:r>
      <w:r>
        <w:t>is increasingly challenging for PRES</w:t>
      </w:r>
      <w:r w:rsidR="0092028E">
        <w:t>,</w:t>
      </w:r>
      <w:r>
        <w:t xml:space="preserve"> which faces various levels of buy-in with different sections and information limitations</w:t>
      </w:r>
      <w:r w:rsidR="0092028E">
        <w:t>,</w:t>
      </w:r>
      <w:r>
        <w:t xml:space="preserve"> which make it difficult to </w:t>
      </w:r>
      <w:r w:rsidR="00980F2A">
        <w:t xml:space="preserve">synthesise </w:t>
      </w:r>
      <w:r>
        <w:t xml:space="preserve">findings to enhance linkages across PEB and/or with other programs (see </w:t>
      </w:r>
      <w:r w:rsidR="0092028E">
        <w:t xml:space="preserve">Section </w:t>
      </w:r>
      <w:r>
        <w:t>2.2).</w:t>
      </w:r>
    </w:p>
    <w:p w14:paraId="42616D15" w14:textId="3F6F6BA3" w:rsidR="00A509CF" w:rsidRDefault="00727F13" w:rsidP="00A509CF">
      <w:r>
        <w:t xml:space="preserve">A further challenge </w:t>
      </w:r>
      <w:r w:rsidR="00EE6172">
        <w:t>to sustainability is</w:t>
      </w:r>
      <w:r>
        <w:t xml:space="preserve"> related to </w:t>
      </w:r>
      <w:r w:rsidR="0092028E">
        <w:t>‘</w:t>
      </w:r>
      <w:r>
        <w:t>key person</w:t>
      </w:r>
      <w:r w:rsidR="0092028E">
        <w:t>’</w:t>
      </w:r>
      <w:r>
        <w:t xml:space="preserve"> risk. PRES’</w:t>
      </w:r>
      <w:r w:rsidRPr="00727F13">
        <w:t xml:space="preserve"> success is significantly attributed to the</w:t>
      </w:r>
      <w:r>
        <w:t xml:space="preserve"> PRES</w:t>
      </w:r>
      <w:r w:rsidRPr="00727F13">
        <w:t xml:space="preserve"> team's extensive experience</w:t>
      </w:r>
      <w:r>
        <w:t>, networks</w:t>
      </w:r>
      <w:r w:rsidRPr="00727F13">
        <w:t xml:space="preserve"> and the strong collaborative relationships established between the </w:t>
      </w:r>
      <w:r>
        <w:t>PRES</w:t>
      </w:r>
      <w:r w:rsidRPr="00727F13">
        <w:t xml:space="preserve"> team and </w:t>
      </w:r>
      <w:r>
        <w:t>DFAT</w:t>
      </w:r>
      <w:r w:rsidRPr="00727F13">
        <w:t xml:space="preserve">. </w:t>
      </w:r>
      <w:r>
        <w:t>This means that critical knowledge, skills and relationships are dependent on current individuals within PRES. W</w:t>
      </w:r>
      <w:r w:rsidRPr="152412E2">
        <w:t>here DFAT relies heavily on existing individuals</w:t>
      </w:r>
      <w:r>
        <w:t>,</w:t>
      </w:r>
      <w:r w:rsidRPr="152412E2">
        <w:t xml:space="preserve"> if those people become unavailable</w:t>
      </w:r>
      <w:r w:rsidR="00DB1776">
        <w:t>,</w:t>
      </w:r>
      <w:r>
        <w:t xml:space="preserve"> it could disrupt successful operations</w:t>
      </w:r>
      <w:r w:rsidRPr="152412E2">
        <w:t>.</w:t>
      </w:r>
      <w:r w:rsidR="00EE6172">
        <w:t xml:space="preserve"> A sustainability strategy should consider </w:t>
      </w:r>
      <w:r w:rsidR="00A509CF">
        <w:t xml:space="preserve">the impact of key PRES personnel. </w:t>
      </w:r>
    </w:p>
    <w:p w14:paraId="59F4DD1A" w14:textId="1E3EE634" w:rsidR="009B121E" w:rsidRDefault="009B121E" w:rsidP="00884344">
      <w:r>
        <w:t>Sustainability</w:t>
      </w:r>
      <w:r w:rsidRPr="009B121E">
        <w:t xml:space="preserve"> of the pool of technical experts</w:t>
      </w:r>
      <w:r>
        <w:t xml:space="preserve"> is another critical consideration</w:t>
      </w:r>
      <w:r w:rsidRPr="009B121E">
        <w:t xml:space="preserve">. </w:t>
      </w:r>
      <w:r w:rsidR="00C93D80" w:rsidRPr="00C93D80">
        <w:t xml:space="preserve">The need for very specific and niche </w:t>
      </w:r>
      <w:r w:rsidR="00FD47D3">
        <w:t xml:space="preserve">technical </w:t>
      </w:r>
      <w:r w:rsidR="00C93D80" w:rsidRPr="00C93D80">
        <w:t>expertise</w:t>
      </w:r>
      <w:r w:rsidR="005C3086">
        <w:t xml:space="preserve"> means the pool of available experts can be limited</w:t>
      </w:r>
      <w:r w:rsidRPr="009B121E">
        <w:t xml:space="preserve">. This scarcity poses a significant challenge to </w:t>
      </w:r>
      <w:r>
        <w:t xml:space="preserve">the </w:t>
      </w:r>
      <w:r w:rsidRPr="009B121E">
        <w:t>long-term viability</w:t>
      </w:r>
      <w:r>
        <w:t xml:space="preserve"> of PRES</w:t>
      </w:r>
      <w:r w:rsidRPr="009B121E">
        <w:t xml:space="preserve"> and knowledge transfer. Consequently, a strategic approach is required to bolster the availability of </w:t>
      </w:r>
      <w:r>
        <w:t xml:space="preserve">expertise, particularly </w:t>
      </w:r>
      <w:r w:rsidR="004964D2">
        <w:t>Pacific</w:t>
      </w:r>
      <w:r w:rsidRPr="009B121E">
        <w:t xml:space="preserve"> expertise</w:t>
      </w:r>
      <w:r w:rsidR="004E4BD8">
        <w:t xml:space="preserve"> where relevant</w:t>
      </w:r>
      <w:r w:rsidRPr="009B121E">
        <w:t>.</w:t>
      </w:r>
      <w:r w:rsidR="00605F03" w:rsidRPr="00605F03">
        <w:t xml:space="preserve"> While much PRES-supported work is based in Canberra, </w:t>
      </w:r>
      <w:r w:rsidR="000428F7">
        <w:t xml:space="preserve">a </w:t>
      </w:r>
      <w:r w:rsidR="00605F03" w:rsidRPr="00605F03">
        <w:t xml:space="preserve">specific </w:t>
      </w:r>
      <w:r w:rsidR="00B84640">
        <w:t xml:space="preserve">TN or </w:t>
      </w:r>
      <w:r w:rsidR="00605F03" w:rsidRPr="00605F03">
        <w:t>deliverable within a Pacific Island country should ideally prioriti</w:t>
      </w:r>
      <w:r w:rsidR="000428F7">
        <w:t>s</w:t>
      </w:r>
      <w:r w:rsidR="00605F03" w:rsidRPr="00605F03">
        <w:t>e the engagement of expertise from that country to ensure contextual relevance and build local capacity.</w:t>
      </w:r>
      <w:r w:rsidRPr="009B121E">
        <w:t xml:space="preserve"> This necessitates a focused effort on locali</w:t>
      </w:r>
      <w:r>
        <w:t>s</w:t>
      </w:r>
      <w:r w:rsidRPr="009B121E">
        <w:t>ation</w:t>
      </w:r>
      <w:r>
        <w:t xml:space="preserve"> and the use of Pacific experts (see </w:t>
      </w:r>
      <w:r w:rsidR="00DB1776">
        <w:t xml:space="preserve">Section </w:t>
      </w:r>
      <w:r>
        <w:t xml:space="preserve">4.3). </w:t>
      </w:r>
    </w:p>
    <w:p w14:paraId="339B5AD0" w14:textId="51CA8921" w:rsidR="00DA6AB8" w:rsidRDefault="000B0679" w:rsidP="00A509CF">
      <w:r>
        <w:t xml:space="preserve">In addition to sustainability of PRES itself, </w:t>
      </w:r>
      <w:r w:rsidR="00DB1776">
        <w:t xml:space="preserve">the program </w:t>
      </w:r>
      <w:r w:rsidR="006D20DE">
        <w:t xml:space="preserve">also contributes to the sustainability of downstream </w:t>
      </w:r>
      <w:r w:rsidR="001B09F9">
        <w:t>activities and programs</w:t>
      </w:r>
      <w:r w:rsidR="006D20DE">
        <w:t xml:space="preserve">. </w:t>
      </w:r>
      <w:r w:rsidR="00026F0C">
        <w:t xml:space="preserve">Consultation findings and documentation indicate that many key areas of work and programming would not have been delivered without PRES. </w:t>
      </w:r>
      <w:r w:rsidR="00DA6AB8">
        <w:t>For example, PRES</w:t>
      </w:r>
      <w:r w:rsidR="00425BF2">
        <w:t>’</w:t>
      </w:r>
      <w:r w:rsidR="00DA6AB8">
        <w:t xml:space="preserve"> extensive support o</w:t>
      </w:r>
      <w:r w:rsidR="003440DF">
        <w:t>f</w:t>
      </w:r>
      <w:r w:rsidR="00DA6AB8">
        <w:t xml:space="preserve"> the PDFF</w:t>
      </w:r>
      <w:r w:rsidR="001E5D1A">
        <w:t xml:space="preserve"> (and case studies in Sections KRQ1). </w:t>
      </w:r>
    </w:p>
    <w:p w14:paraId="36B6C012" w14:textId="61DACC94" w:rsidR="00762E82" w:rsidRPr="00CF0D4D" w:rsidRDefault="00762E82" w:rsidP="00CF0D4D">
      <w:pPr>
        <w:pStyle w:val="Tealblocktext"/>
        <w:rPr>
          <w:b/>
          <w:bCs/>
        </w:rPr>
      </w:pPr>
      <w:r w:rsidRPr="009029BE">
        <w:rPr>
          <w:b/>
          <w:bCs/>
        </w:rPr>
        <w:t>Recommendation 6 (</w:t>
      </w:r>
      <w:r>
        <w:rPr>
          <w:b/>
          <w:bCs/>
        </w:rPr>
        <w:t>Next phase</w:t>
      </w:r>
      <w:r w:rsidR="007C525E">
        <w:rPr>
          <w:b/>
          <w:bCs/>
        </w:rPr>
        <w:t xml:space="preserve"> </w:t>
      </w:r>
      <w:r w:rsidRPr="009029BE">
        <w:rPr>
          <w:b/>
          <w:bCs/>
        </w:rPr>
        <w:t>/</w:t>
      </w:r>
      <w:r w:rsidR="007C525E">
        <w:rPr>
          <w:b/>
          <w:bCs/>
        </w:rPr>
        <w:t xml:space="preserve"> </w:t>
      </w:r>
      <w:r w:rsidRPr="009029BE">
        <w:rPr>
          <w:b/>
          <w:bCs/>
        </w:rPr>
        <w:t xml:space="preserve">Strategic) </w:t>
      </w:r>
      <w:r w:rsidRPr="00762E82">
        <w:t xml:space="preserve">In any future program, DFAT and PRES should develop a written sustainability strategy to clearly </w:t>
      </w:r>
      <w:r w:rsidR="00420B41">
        <w:t>capture</w:t>
      </w:r>
      <w:r w:rsidRPr="00762E82">
        <w:t xml:space="preserve"> </w:t>
      </w:r>
      <w:r w:rsidR="007D6D8A">
        <w:t xml:space="preserve">ongoing </w:t>
      </w:r>
      <w:r w:rsidRPr="00762E82">
        <w:t xml:space="preserve">sustainability. In developing a sustainability strategy, </w:t>
      </w:r>
      <w:r w:rsidR="003901B3">
        <w:t xml:space="preserve">factors that should be </w:t>
      </w:r>
      <w:r w:rsidRPr="00762E82">
        <w:t>consider</w:t>
      </w:r>
      <w:r w:rsidR="003901B3">
        <w:t>ed</w:t>
      </w:r>
      <w:r w:rsidRPr="00762E82">
        <w:t xml:space="preserve"> includ</w:t>
      </w:r>
      <w:r w:rsidR="003901B3">
        <w:t>ed</w:t>
      </w:r>
      <w:r w:rsidRPr="00762E82">
        <w:t xml:space="preserve"> how TNs can be used to enhance sustainability, enhancing linkages, mitigating key person risk</w:t>
      </w:r>
      <w:r w:rsidR="003901B3">
        <w:t>,</w:t>
      </w:r>
      <w:r w:rsidRPr="00762E82">
        <w:t xml:space="preserve"> and increasing the pool of expertise (particularly Pacific Islands expertise)</w:t>
      </w:r>
    </w:p>
    <w:p w14:paraId="433EAE3B" w14:textId="5CF4DEE8" w:rsidR="00570F77" w:rsidRDefault="006419D1" w:rsidP="00BE291F">
      <w:pPr>
        <w:pStyle w:val="Heading8"/>
        <w:numPr>
          <w:ilvl w:val="0"/>
          <w:numId w:val="7"/>
        </w:numPr>
        <w:ind w:left="0"/>
      </w:pPr>
      <w:bookmarkStart w:id="76" w:name="_Ref41586684"/>
      <w:bookmarkStart w:id="77" w:name="_Toc195808978"/>
      <w:bookmarkStart w:id="78" w:name="_Toc205992466"/>
      <w:bookmarkStart w:id="79" w:name="_Toc205992553"/>
      <w:r w:rsidRPr="152412E2">
        <w:lastRenderedPageBreak/>
        <w:t>Evaluation</w:t>
      </w:r>
      <w:r w:rsidR="00C70E7E" w:rsidRPr="152412E2">
        <w:t xml:space="preserve"> methodology</w:t>
      </w:r>
      <w:bookmarkEnd w:id="76"/>
      <w:bookmarkEnd w:id="77"/>
      <w:bookmarkEnd w:id="78"/>
      <w:bookmarkEnd w:id="79"/>
    </w:p>
    <w:p w14:paraId="5B062DC4" w14:textId="77777777" w:rsidR="00F26868" w:rsidRDefault="00F26868" w:rsidP="00F26868"/>
    <w:p w14:paraId="3935D1F3" w14:textId="4460E38F" w:rsidR="00BD3D35" w:rsidRDefault="00BD3D35" w:rsidP="00BD3D35">
      <w:pPr>
        <w:pStyle w:val="Title"/>
      </w:pPr>
      <w:r>
        <w:t>evaluation plan:</w:t>
      </w:r>
      <w:r w:rsidRPr="00F210FE">
        <w:t xml:space="preserve"> </w:t>
      </w:r>
      <w:sdt>
        <w:sdtPr>
          <w:alias w:val="Title"/>
          <w:tag w:val=""/>
          <w:id w:val="-682586967"/>
          <w:placeholder>
            <w:docPart w:val="9A0E64472652408FAF6940FCD52846D7"/>
          </w:placeholder>
          <w:dataBinding w:prefixMappings="xmlns:ns0='http://purl.org/dc/elements/1.1/' xmlns:ns1='http://schemas.openxmlformats.org/package/2006/metadata/core-properties' " w:xpath="/ns1:coreProperties[1]/ns0:title[1]" w:storeItemID="{6C3C8BC8-F283-45AE-878A-BAB7291924A1}"/>
          <w:text/>
        </w:sdtPr>
        <w:sdtEndPr/>
        <w:sdtContent>
          <w:r>
            <w:t>The Pacific Recovery Economic Support (PRES) evaluation report</w:t>
          </w:r>
        </w:sdtContent>
      </w:sdt>
    </w:p>
    <w:p w14:paraId="60C42739" w14:textId="65BD2C2C" w:rsidR="00BD3D35" w:rsidRPr="00533113" w:rsidRDefault="00BD3D35" w:rsidP="00BD3D35">
      <w:pPr>
        <w:pStyle w:val="CoverSubtitle"/>
      </w:pPr>
      <w:r w:rsidRPr="00AE50D3">
        <w:t xml:space="preserve">Prepared for </w:t>
      </w:r>
      <w:sdt>
        <w:sdtPr>
          <w:alias w:val="Company"/>
          <w:tag w:val=""/>
          <w:id w:val="-1957632764"/>
          <w:placeholder>
            <w:docPart w:val="1E40B9B0BFD542AD8F2301EE18A07CD0"/>
          </w:placeholder>
          <w:dataBinding w:prefixMappings="xmlns:ns0='http://schemas.openxmlformats.org/officeDocument/2006/extended-properties' " w:xpath="/ns0:Properties[1]/ns0:Company[1]" w:storeItemID="{6668398D-A668-4E3E-A5EB-62B293D839F1}"/>
          <w:text/>
        </w:sdtPr>
        <w:sdtEndPr/>
        <w:sdtContent>
          <w:r>
            <w:t>DFAT</w:t>
          </w:r>
        </w:sdtContent>
      </w:sdt>
    </w:p>
    <w:p w14:paraId="6021AEA4" w14:textId="1B3160EC" w:rsidR="00BD3D35" w:rsidRDefault="00FE2974" w:rsidP="00BD3D35">
      <w:pPr>
        <w:pStyle w:val="Date"/>
      </w:pPr>
      <w:sdt>
        <w:sdtPr>
          <w:id w:val="1024290425"/>
          <w:placeholder>
            <w:docPart w:val="A9E7BB3C4D104A4CA3001BDB36BAA1EF"/>
          </w:placeholder>
          <w:date w:fullDate="2025-01-20T00:00:00Z">
            <w:dateFormat w:val="d MMMM yyyy"/>
            <w:lid w:val="en-AU"/>
            <w:storeMappedDataAs w:val="dateTime"/>
            <w:calendar w:val="gregorian"/>
          </w:date>
        </w:sdtPr>
        <w:sdtEndPr/>
        <w:sdtContent>
          <w:r w:rsidR="00BD3D35">
            <w:t>20 January 2025</w:t>
          </w:r>
        </w:sdtContent>
      </w:sdt>
    </w:p>
    <w:p w14:paraId="0735A9DD" w14:textId="77777777" w:rsidR="00BD3D35" w:rsidRPr="001D71CA" w:rsidRDefault="00BD3D35" w:rsidP="00BD3D35">
      <w:pPr>
        <w:rPr>
          <w:rFonts w:cstheme="minorHAnsi"/>
        </w:rPr>
      </w:pPr>
      <w:r w:rsidRPr="001D71CA">
        <w:rPr>
          <w:rFonts w:cstheme="minorHAnsi"/>
          <w:noProof/>
        </w:rPr>
        <w:drawing>
          <wp:anchor distT="0" distB="0" distL="114300" distR="114300" simplePos="0" relativeHeight="251658249" behindDoc="0" locked="0" layoutInCell="1" allowOverlap="1" wp14:anchorId="44779799" wp14:editId="3AFF9AA1">
            <wp:simplePos x="0" y="0"/>
            <wp:positionH relativeFrom="column">
              <wp:posOffset>4013835</wp:posOffset>
            </wp:positionH>
            <wp:positionV relativeFrom="page">
              <wp:posOffset>8057406</wp:posOffset>
            </wp:positionV>
            <wp:extent cx="1767205" cy="1065530"/>
            <wp:effectExtent l="0" t="0" r="0" b="0"/>
            <wp:wrapNone/>
            <wp:docPr id="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8">
                      <a:alphaModFix amt="85000"/>
                      <a:extLst>
                        <a:ext uri="{28A0092B-C50C-407E-A947-70E740481C1C}">
                          <a14:useLocalDpi xmlns:a14="http://schemas.microsoft.com/office/drawing/2010/main" val="0"/>
                        </a:ext>
                      </a:extLst>
                    </a:blip>
                    <a:stretch>
                      <a:fillRect/>
                    </a:stretch>
                  </pic:blipFill>
                  <pic:spPr>
                    <a:xfrm>
                      <a:off x="0" y="0"/>
                      <a:ext cx="1767205" cy="1065530"/>
                    </a:xfrm>
                    <a:prstGeom prst="rect">
                      <a:avLst/>
                    </a:prstGeom>
                    <a:noFill/>
                  </pic:spPr>
                </pic:pic>
              </a:graphicData>
            </a:graphic>
            <wp14:sizeRelH relativeFrom="margin">
              <wp14:pctWidth>0</wp14:pctWidth>
            </wp14:sizeRelH>
            <wp14:sizeRelV relativeFrom="margin">
              <wp14:pctHeight>0</wp14:pctHeight>
            </wp14:sizeRelV>
          </wp:anchor>
        </w:drawing>
      </w:r>
      <w:r w:rsidRPr="001D71CA">
        <w:rPr>
          <w:rFonts w:cstheme="minorHAnsi"/>
        </w:rPr>
        <w:br w:type="page"/>
      </w:r>
    </w:p>
    <w:p w14:paraId="1B993AA2" w14:textId="1E51456B" w:rsidR="00DE2ADD" w:rsidRPr="00DE2ADD" w:rsidRDefault="00BD3D35" w:rsidP="00DE2ADD">
      <w:pPr>
        <w:pStyle w:val="TOCHeading"/>
      </w:pPr>
      <w:r>
        <w:lastRenderedPageBreak/>
        <w:t>Contents</w:t>
      </w:r>
      <w:r>
        <w:rPr>
          <w:sz w:val="24"/>
        </w:rPr>
        <w:fldChar w:fldCharType="begin"/>
      </w:r>
      <w:r>
        <w:instrText xml:space="preserve"> TOC \o "1-2" \h \z \u \t "Heading 8,1,Heading 9,2" </w:instrText>
      </w:r>
      <w:r>
        <w:rPr>
          <w:sz w:val="24"/>
        </w:rPr>
        <w:fldChar w:fldCharType="separate"/>
      </w:r>
    </w:p>
    <w:p w14:paraId="5858185A" w14:textId="7805D6FA" w:rsidR="00DE2ADD" w:rsidRDefault="00DE2ADD" w:rsidP="00DE2ADD">
      <w:pPr>
        <w:pStyle w:val="TOC1"/>
        <w:spacing w:line="240" w:lineRule="auto"/>
        <w:rPr>
          <w:rFonts w:asciiTheme="minorHAnsi" w:eastAsiaTheme="minorEastAsia" w:hAnsiTheme="minorHAnsi"/>
          <w:caps w:val="0"/>
          <w:noProof/>
          <w:color w:val="auto"/>
          <w:kern w:val="2"/>
          <w:szCs w:val="24"/>
          <w:lang w:val="en-US"/>
          <w14:ligatures w14:val="standardContextual"/>
        </w:rPr>
      </w:pPr>
      <w:hyperlink w:anchor="_Toc205992467" w:history="1">
        <w:r w:rsidRPr="00D13A9D">
          <w:rPr>
            <w:rStyle w:val="Hyperlink"/>
            <w:noProof/>
          </w:rPr>
          <w:t>1. Introduction</w:t>
        </w:r>
        <w:r>
          <w:rPr>
            <w:noProof/>
            <w:webHidden/>
          </w:rPr>
          <w:tab/>
        </w:r>
        <w:r>
          <w:rPr>
            <w:noProof/>
            <w:webHidden/>
          </w:rPr>
          <w:fldChar w:fldCharType="begin"/>
        </w:r>
        <w:r>
          <w:rPr>
            <w:noProof/>
            <w:webHidden/>
          </w:rPr>
          <w:instrText xml:space="preserve"> PAGEREF _Toc205992467 \h </w:instrText>
        </w:r>
        <w:r>
          <w:rPr>
            <w:noProof/>
            <w:webHidden/>
          </w:rPr>
        </w:r>
        <w:r>
          <w:rPr>
            <w:noProof/>
            <w:webHidden/>
          </w:rPr>
          <w:fldChar w:fldCharType="separate"/>
        </w:r>
        <w:r w:rsidR="003640FB">
          <w:rPr>
            <w:noProof/>
            <w:webHidden/>
          </w:rPr>
          <w:t>46</w:t>
        </w:r>
        <w:r>
          <w:rPr>
            <w:noProof/>
            <w:webHidden/>
          </w:rPr>
          <w:fldChar w:fldCharType="end"/>
        </w:r>
      </w:hyperlink>
    </w:p>
    <w:p w14:paraId="46AB2576" w14:textId="2C13A1CC" w:rsidR="00DE2ADD" w:rsidRDefault="00DE2ADD" w:rsidP="00DE2ADD">
      <w:pPr>
        <w:pStyle w:val="TOC1"/>
        <w:spacing w:line="240" w:lineRule="auto"/>
        <w:rPr>
          <w:rFonts w:asciiTheme="minorHAnsi" w:eastAsiaTheme="minorEastAsia" w:hAnsiTheme="minorHAnsi"/>
          <w:caps w:val="0"/>
          <w:noProof/>
          <w:color w:val="auto"/>
          <w:kern w:val="2"/>
          <w:szCs w:val="24"/>
          <w:lang w:val="en-US"/>
          <w14:ligatures w14:val="standardContextual"/>
        </w:rPr>
      </w:pPr>
      <w:hyperlink w:anchor="_Toc205992468" w:history="1">
        <w:r w:rsidRPr="00D13A9D">
          <w:rPr>
            <w:rStyle w:val="Hyperlink"/>
            <w:noProof/>
          </w:rPr>
          <w:t>2. Scope</w:t>
        </w:r>
        <w:r>
          <w:rPr>
            <w:noProof/>
            <w:webHidden/>
          </w:rPr>
          <w:tab/>
        </w:r>
        <w:r>
          <w:rPr>
            <w:noProof/>
            <w:webHidden/>
          </w:rPr>
          <w:fldChar w:fldCharType="begin"/>
        </w:r>
        <w:r>
          <w:rPr>
            <w:noProof/>
            <w:webHidden/>
          </w:rPr>
          <w:instrText xml:space="preserve"> PAGEREF _Toc205992468 \h </w:instrText>
        </w:r>
        <w:r>
          <w:rPr>
            <w:noProof/>
            <w:webHidden/>
          </w:rPr>
        </w:r>
        <w:r>
          <w:rPr>
            <w:noProof/>
            <w:webHidden/>
          </w:rPr>
          <w:fldChar w:fldCharType="separate"/>
        </w:r>
        <w:r w:rsidR="003640FB">
          <w:rPr>
            <w:noProof/>
            <w:webHidden/>
          </w:rPr>
          <w:t>47</w:t>
        </w:r>
        <w:r>
          <w:rPr>
            <w:noProof/>
            <w:webHidden/>
          </w:rPr>
          <w:fldChar w:fldCharType="end"/>
        </w:r>
      </w:hyperlink>
    </w:p>
    <w:p w14:paraId="2EC907DE" w14:textId="1F095E89" w:rsidR="00DE2ADD" w:rsidRDefault="00DE2ADD" w:rsidP="00DE2ADD">
      <w:pPr>
        <w:pStyle w:val="TOC1"/>
        <w:spacing w:line="240" w:lineRule="auto"/>
        <w:rPr>
          <w:rFonts w:asciiTheme="minorHAnsi" w:eastAsiaTheme="minorEastAsia" w:hAnsiTheme="minorHAnsi"/>
          <w:caps w:val="0"/>
          <w:noProof/>
          <w:color w:val="auto"/>
          <w:kern w:val="2"/>
          <w:szCs w:val="24"/>
          <w:lang w:val="en-US"/>
          <w14:ligatures w14:val="standardContextual"/>
        </w:rPr>
      </w:pPr>
      <w:hyperlink w:anchor="_Toc205992469" w:history="1">
        <w:r w:rsidRPr="00D13A9D">
          <w:rPr>
            <w:rStyle w:val="Hyperlink"/>
            <w:noProof/>
          </w:rPr>
          <w:t>3. Methodology</w:t>
        </w:r>
        <w:r>
          <w:rPr>
            <w:noProof/>
            <w:webHidden/>
          </w:rPr>
          <w:tab/>
        </w:r>
        <w:r>
          <w:rPr>
            <w:noProof/>
            <w:webHidden/>
          </w:rPr>
          <w:fldChar w:fldCharType="begin"/>
        </w:r>
        <w:r>
          <w:rPr>
            <w:noProof/>
            <w:webHidden/>
          </w:rPr>
          <w:instrText xml:space="preserve"> PAGEREF _Toc205992469 \h </w:instrText>
        </w:r>
        <w:r>
          <w:rPr>
            <w:noProof/>
            <w:webHidden/>
          </w:rPr>
        </w:r>
        <w:r>
          <w:rPr>
            <w:noProof/>
            <w:webHidden/>
          </w:rPr>
          <w:fldChar w:fldCharType="separate"/>
        </w:r>
        <w:r w:rsidR="003640FB">
          <w:rPr>
            <w:noProof/>
            <w:webHidden/>
          </w:rPr>
          <w:t>50</w:t>
        </w:r>
        <w:r>
          <w:rPr>
            <w:noProof/>
            <w:webHidden/>
          </w:rPr>
          <w:fldChar w:fldCharType="end"/>
        </w:r>
      </w:hyperlink>
    </w:p>
    <w:p w14:paraId="713FADFB" w14:textId="5368B47E" w:rsidR="00DE2ADD" w:rsidRDefault="00DE2ADD" w:rsidP="00DE2ADD">
      <w:pPr>
        <w:pStyle w:val="TOC1"/>
        <w:spacing w:line="240" w:lineRule="auto"/>
        <w:rPr>
          <w:rFonts w:asciiTheme="minorHAnsi" w:eastAsiaTheme="minorEastAsia" w:hAnsiTheme="minorHAnsi"/>
          <w:caps w:val="0"/>
          <w:noProof/>
          <w:color w:val="auto"/>
          <w:kern w:val="2"/>
          <w:szCs w:val="24"/>
          <w:lang w:val="en-US"/>
          <w14:ligatures w14:val="standardContextual"/>
        </w:rPr>
      </w:pPr>
      <w:hyperlink w:anchor="_Toc205992470" w:history="1">
        <w:r w:rsidRPr="00D13A9D">
          <w:rPr>
            <w:rStyle w:val="Hyperlink"/>
            <w:noProof/>
          </w:rPr>
          <w:t>4. Process</w:t>
        </w:r>
        <w:r>
          <w:rPr>
            <w:noProof/>
            <w:webHidden/>
          </w:rPr>
          <w:tab/>
        </w:r>
        <w:r>
          <w:rPr>
            <w:noProof/>
            <w:webHidden/>
          </w:rPr>
          <w:fldChar w:fldCharType="begin"/>
        </w:r>
        <w:r>
          <w:rPr>
            <w:noProof/>
            <w:webHidden/>
          </w:rPr>
          <w:instrText xml:space="preserve"> PAGEREF _Toc205992470 \h </w:instrText>
        </w:r>
        <w:r>
          <w:rPr>
            <w:noProof/>
            <w:webHidden/>
          </w:rPr>
        </w:r>
        <w:r>
          <w:rPr>
            <w:noProof/>
            <w:webHidden/>
          </w:rPr>
          <w:fldChar w:fldCharType="separate"/>
        </w:r>
        <w:r w:rsidR="003640FB">
          <w:rPr>
            <w:noProof/>
            <w:webHidden/>
          </w:rPr>
          <w:t>52</w:t>
        </w:r>
        <w:r>
          <w:rPr>
            <w:noProof/>
            <w:webHidden/>
          </w:rPr>
          <w:fldChar w:fldCharType="end"/>
        </w:r>
      </w:hyperlink>
    </w:p>
    <w:p w14:paraId="33026A53" w14:textId="42C5AD5A" w:rsidR="00DE2ADD" w:rsidRDefault="00DE2ADD" w:rsidP="00DE2ADD">
      <w:pPr>
        <w:pStyle w:val="TOC1"/>
        <w:spacing w:line="240" w:lineRule="auto"/>
        <w:rPr>
          <w:rFonts w:asciiTheme="minorHAnsi" w:eastAsiaTheme="minorEastAsia" w:hAnsiTheme="minorHAnsi"/>
          <w:caps w:val="0"/>
          <w:noProof/>
          <w:color w:val="auto"/>
          <w:kern w:val="2"/>
          <w:szCs w:val="24"/>
          <w:lang w:val="en-US"/>
          <w14:ligatures w14:val="standardContextual"/>
        </w:rPr>
      </w:pPr>
      <w:hyperlink w:anchor="_Toc205992471" w:history="1">
        <w:r w:rsidRPr="00D13A9D">
          <w:rPr>
            <w:rStyle w:val="Hyperlink"/>
            <w:noProof/>
          </w:rPr>
          <w:t>Appendix A1: Work Plan</w:t>
        </w:r>
        <w:r>
          <w:rPr>
            <w:noProof/>
            <w:webHidden/>
          </w:rPr>
          <w:tab/>
        </w:r>
        <w:r>
          <w:rPr>
            <w:noProof/>
            <w:webHidden/>
          </w:rPr>
          <w:fldChar w:fldCharType="begin"/>
        </w:r>
        <w:r>
          <w:rPr>
            <w:noProof/>
            <w:webHidden/>
          </w:rPr>
          <w:instrText xml:space="preserve"> PAGEREF _Toc205992471 \h </w:instrText>
        </w:r>
        <w:r>
          <w:rPr>
            <w:noProof/>
            <w:webHidden/>
          </w:rPr>
        </w:r>
        <w:r>
          <w:rPr>
            <w:noProof/>
            <w:webHidden/>
          </w:rPr>
          <w:fldChar w:fldCharType="separate"/>
        </w:r>
        <w:r w:rsidR="003640FB">
          <w:rPr>
            <w:noProof/>
            <w:webHidden/>
          </w:rPr>
          <w:t>54</w:t>
        </w:r>
        <w:r>
          <w:rPr>
            <w:noProof/>
            <w:webHidden/>
          </w:rPr>
          <w:fldChar w:fldCharType="end"/>
        </w:r>
      </w:hyperlink>
    </w:p>
    <w:p w14:paraId="7EB5BA9B" w14:textId="4DC6280B" w:rsidR="00DE2ADD" w:rsidRDefault="00DE2ADD" w:rsidP="00DE2ADD">
      <w:pPr>
        <w:pStyle w:val="TOC1"/>
        <w:spacing w:line="240" w:lineRule="auto"/>
        <w:rPr>
          <w:rFonts w:asciiTheme="minorHAnsi" w:eastAsiaTheme="minorEastAsia" w:hAnsiTheme="minorHAnsi"/>
          <w:caps w:val="0"/>
          <w:noProof/>
          <w:color w:val="auto"/>
          <w:kern w:val="2"/>
          <w:szCs w:val="24"/>
          <w:lang w:val="en-US"/>
          <w14:ligatures w14:val="standardContextual"/>
        </w:rPr>
      </w:pPr>
      <w:hyperlink w:anchor="_Toc205992472" w:history="1">
        <w:r w:rsidRPr="00D13A9D">
          <w:rPr>
            <w:rStyle w:val="Hyperlink"/>
            <w:noProof/>
          </w:rPr>
          <w:t>Appendix A2: Data Collection Tools</w:t>
        </w:r>
        <w:r>
          <w:rPr>
            <w:noProof/>
            <w:webHidden/>
          </w:rPr>
          <w:tab/>
        </w:r>
        <w:r>
          <w:rPr>
            <w:noProof/>
            <w:webHidden/>
          </w:rPr>
          <w:fldChar w:fldCharType="begin"/>
        </w:r>
        <w:r>
          <w:rPr>
            <w:noProof/>
            <w:webHidden/>
          </w:rPr>
          <w:instrText xml:space="preserve"> PAGEREF _Toc205992472 \h </w:instrText>
        </w:r>
        <w:r>
          <w:rPr>
            <w:noProof/>
            <w:webHidden/>
          </w:rPr>
        </w:r>
        <w:r>
          <w:rPr>
            <w:noProof/>
            <w:webHidden/>
          </w:rPr>
          <w:fldChar w:fldCharType="separate"/>
        </w:r>
        <w:r w:rsidR="003640FB">
          <w:rPr>
            <w:noProof/>
            <w:webHidden/>
          </w:rPr>
          <w:t>56</w:t>
        </w:r>
        <w:r>
          <w:rPr>
            <w:noProof/>
            <w:webHidden/>
          </w:rPr>
          <w:fldChar w:fldCharType="end"/>
        </w:r>
      </w:hyperlink>
    </w:p>
    <w:p w14:paraId="1CC4BEF4" w14:textId="4C56D82B" w:rsidR="00DE2ADD" w:rsidRDefault="00DE2ADD" w:rsidP="00DE2ADD">
      <w:pPr>
        <w:pStyle w:val="TOC1"/>
        <w:spacing w:line="240" w:lineRule="auto"/>
        <w:rPr>
          <w:rFonts w:asciiTheme="minorHAnsi" w:eastAsiaTheme="minorEastAsia" w:hAnsiTheme="minorHAnsi"/>
          <w:caps w:val="0"/>
          <w:noProof/>
          <w:color w:val="auto"/>
          <w:kern w:val="2"/>
          <w:szCs w:val="24"/>
          <w:lang w:val="en-US"/>
          <w14:ligatures w14:val="standardContextual"/>
        </w:rPr>
      </w:pPr>
      <w:hyperlink w:anchor="_Toc205992473" w:history="1">
        <w:r w:rsidRPr="00D13A9D">
          <w:rPr>
            <w:rStyle w:val="Hyperlink"/>
            <w:noProof/>
          </w:rPr>
          <w:t>Appendix A3: Data sources</w:t>
        </w:r>
        <w:r>
          <w:rPr>
            <w:noProof/>
            <w:webHidden/>
          </w:rPr>
          <w:tab/>
        </w:r>
        <w:r>
          <w:rPr>
            <w:noProof/>
            <w:webHidden/>
          </w:rPr>
          <w:fldChar w:fldCharType="begin"/>
        </w:r>
        <w:r>
          <w:rPr>
            <w:noProof/>
            <w:webHidden/>
          </w:rPr>
          <w:instrText xml:space="preserve"> PAGEREF _Toc205992473 \h </w:instrText>
        </w:r>
        <w:r>
          <w:rPr>
            <w:noProof/>
            <w:webHidden/>
          </w:rPr>
        </w:r>
        <w:r>
          <w:rPr>
            <w:noProof/>
            <w:webHidden/>
          </w:rPr>
          <w:fldChar w:fldCharType="separate"/>
        </w:r>
        <w:r w:rsidR="003640FB">
          <w:rPr>
            <w:noProof/>
            <w:webHidden/>
          </w:rPr>
          <w:t>60</w:t>
        </w:r>
        <w:r>
          <w:rPr>
            <w:noProof/>
            <w:webHidden/>
          </w:rPr>
          <w:fldChar w:fldCharType="end"/>
        </w:r>
      </w:hyperlink>
    </w:p>
    <w:p w14:paraId="42DE46D2" w14:textId="06DB75A9" w:rsidR="00DE2ADD" w:rsidRDefault="00DE2ADD" w:rsidP="00DE2ADD">
      <w:pPr>
        <w:pStyle w:val="TOC1"/>
        <w:spacing w:line="240" w:lineRule="auto"/>
        <w:rPr>
          <w:rFonts w:asciiTheme="minorHAnsi" w:eastAsiaTheme="minorEastAsia" w:hAnsiTheme="minorHAnsi"/>
          <w:caps w:val="0"/>
          <w:noProof/>
          <w:color w:val="auto"/>
          <w:kern w:val="2"/>
          <w:szCs w:val="24"/>
          <w:lang w:val="en-US"/>
          <w14:ligatures w14:val="standardContextual"/>
        </w:rPr>
      </w:pPr>
      <w:hyperlink w:anchor="_Toc205992474" w:history="1">
        <w:r w:rsidRPr="00D13A9D">
          <w:rPr>
            <w:rStyle w:val="Hyperlink"/>
            <w:noProof/>
          </w:rPr>
          <w:t>Appendix A4: Data Collection Matrix</w:t>
        </w:r>
        <w:r>
          <w:rPr>
            <w:noProof/>
            <w:webHidden/>
          </w:rPr>
          <w:tab/>
        </w:r>
        <w:r>
          <w:rPr>
            <w:noProof/>
            <w:webHidden/>
          </w:rPr>
          <w:fldChar w:fldCharType="begin"/>
        </w:r>
        <w:r>
          <w:rPr>
            <w:noProof/>
            <w:webHidden/>
          </w:rPr>
          <w:instrText xml:space="preserve"> PAGEREF _Toc205992474 \h </w:instrText>
        </w:r>
        <w:r>
          <w:rPr>
            <w:noProof/>
            <w:webHidden/>
          </w:rPr>
        </w:r>
        <w:r>
          <w:rPr>
            <w:noProof/>
            <w:webHidden/>
          </w:rPr>
          <w:fldChar w:fldCharType="separate"/>
        </w:r>
        <w:r w:rsidR="003640FB">
          <w:rPr>
            <w:noProof/>
            <w:webHidden/>
          </w:rPr>
          <w:t>62</w:t>
        </w:r>
        <w:r>
          <w:rPr>
            <w:noProof/>
            <w:webHidden/>
          </w:rPr>
          <w:fldChar w:fldCharType="end"/>
        </w:r>
      </w:hyperlink>
    </w:p>
    <w:p w14:paraId="644FB842" w14:textId="4EAC5207" w:rsidR="00DE2ADD" w:rsidRDefault="00DE2ADD" w:rsidP="00DE2ADD">
      <w:pPr>
        <w:pStyle w:val="TOC1"/>
        <w:spacing w:line="240" w:lineRule="auto"/>
        <w:rPr>
          <w:rFonts w:asciiTheme="minorHAnsi" w:eastAsiaTheme="minorEastAsia" w:hAnsiTheme="minorHAnsi"/>
          <w:caps w:val="0"/>
          <w:noProof/>
          <w:color w:val="auto"/>
          <w:kern w:val="2"/>
          <w:szCs w:val="24"/>
          <w:lang w:val="en-US"/>
          <w14:ligatures w14:val="standardContextual"/>
        </w:rPr>
      </w:pPr>
      <w:hyperlink w:anchor="_Toc205992475" w:history="1">
        <w:r w:rsidRPr="00D13A9D">
          <w:rPr>
            <w:rStyle w:val="Hyperlink"/>
            <w:noProof/>
          </w:rPr>
          <w:t>Appendix B: April 2025 Program LogiC</w:t>
        </w:r>
        <w:r>
          <w:rPr>
            <w:noProof/>
            <w:webHidden/>
          </w:rPr>
          <w:tab/>
        </w:r>
        <w:r>
          <w:rPr>
            <w:noProof/>
            <w:webHidden/>
          </w:rPr>
          <w:fldChar w:fldCharType="begin"/>
        </w:r>
        <w:r>
          <w:rPr>
            <w:noProof/>
            <w:webHidden/>
          </w:rPr>
          <w:instrText xml:space="preserve"> PAGEREF _Toc205992475 \h </w:instrText>
        </w:r>
        <w:r>
          <w:rPr>
            <w:noProof/>
            <w:webHidden/>
          </w:rPr>
        </w:r>
        <w:r>
          <w:rPr>
            <w:noProof/>
            <w:webHidden/>
          </w:rPr>
          <w:fldChar w:fldCharType="separate"/>
        </w:r>
        <w:r w:rsidR="003640FB">
          <w:rPr>
            <w:noProof/>
            <w:webHidden/>
          </w:rPr>
          <w:t>64</w:t>
        </w:r>
        <w:r>
          <w:rPr>
            <w:noProof/>
            <w:webHidden/>
          </w:rPr>
          <w:fldChar w:fldCharType="end"/>
        </w:r>
      </w:hyperlink>
    </w:p>
    <w:p w14:paraId="6BA24ED9" w14:textId="615CB13D" w:rsidR="00BD3D35" w:rsidRDefault="00BD3D35" w:rsidP="00DE2ADD">
      <w:pPr>
        <w:spacing w:after="0" w:line="240" w:lineRule="auto"/>
      </w:pPr>
      <w:r>
        <w:fldChar w:fldCharType="end"/>
      </w:r>
    </w:p>
    <w:p w14:paraId="4CB7CEAC" w14:textId="77777777" w:rsidR="00BD3D35" w:rsidRDefault="00BD3D35" w:rsidP="00BD3D35">
      <w:pPr>
        <w:pStyle w:val="Heading1"/>
        <w:sectPr w:rsidR="00BD3D35" w:rsidSect="004D0AEC">
          <w:footerReference w:type="default" r:id="rId29"/>
          <w:pgSz w:w="11906" w:h="16838"/>
          <w:pgMar w:top="1440" w:right="1077" w:bottom="1440" w:left="1077" w:header="567" w:footer="567" w:gutter="0"/>
          <w:cols w:space="708"/>
          <w:docGrid w:linePitch="360"/>
        </w:sectPr>
      </w:pPr>
    </w:p>
    <w:p w14:paraId="42806F6E" w14:textId="77777777" w:rsidR="00BD3D35" w:rsidRPr="0013285E" w:rsidRDefault="00BD3D35" w:rsidP="00BD3D35">
      <w:pPr>
        <w:pStyle w:val="Heading1"/>
      </w:pPr>
      <w:bookmarkStart w:id="80" w:name="_Toc195808979"/>
      <w:bookmarkStart w:id="81" w:name="_Toc205992467"/>
      <w:bookmarkStart w:id="82" w:name="_Toc205992554"/>
      <w:r w:rsidRPr="0013285E">
        <w:lastRenderedPageBreak/>
        <w:t>Introduction</w:t>
      </w:r>
      <w:bookmarkEnd w:id="80"/>
      <w:bookmarkEnd w:id="81"/>
      <w:bookmarkEnd w:id="82"/>
    </w:p>
    <w:p w14:paraId="543FABB9" w14:textId="77777777" w:rsidR="00BD3D35" w:rsidRDefault="00BD3D35" w:rsidP="00DE2ADD">
      <w:pPr>
        <w:pStyle w:val="Heading3nonumber"/>
      </w:pPr>
      <w:bookmarkStart w:id="83" w:name="_Toc188284674"/>
      <w:bookmarkStart w:id="84" w:name="_Toc195808980"/>
      <w:r>
        <w:t>Overview of PRES</w:t>
      </w:r>
      <w:bookmarkEnd w:id="83"/>
      <w:bookmarkEnd w:id="84"/>
    </w:p>
    <w:p w14:paraId="29ABAD1A" w14:textId="77777777" w:rsidR="00BD3D35" w:rsidRPr="005808D4" w:rsidRDefault="00BD3D35" w:rsidP="00BD3D35">
      <w:r w:rsidRPr="05DC78EE">
        <w:t>The Pacific Recovery Economic Support (PRES) Program aims to provide technical advisory services to DFAT’s Pacific Economic and Trade Branch (PEB) within the Office of the Pacific (OTP). With a total budget of $16.4 million and an additional $4 million for specific service orders, it focuses on economic analysis, policy development, program implementation, and performance monitoring. PRES commenced in November 2021 and is set to conclude 31 December 2025. DFAT plans to evaluate the program's performance and design a follow-up initiative, PRES 2, based on the evaluation outcomes.</w:t>
      </w:r>
    </w:p>
    <w:p w14:paraId="3A1C9091" w14:textId="56EFEA93" w:rsidR="00BD3D35" w:rsidRPr="005808D4" w:rsidRDefault="00BD3D35" w:rsidP="00BD3D35">
      <w:r>
        <w:t xml:space="preserve">PRES was designed to help the Pacific region recover from the economic impacts of COVID-19 by improving DFAT’s programming and performance in economic recovery and growth. Delivered by Adam Smith International, the program provides advisory services in areas such as fiscal governance, private sector development, trade, labour mobility, and thematic expertise, including gender equality, disability and social inclusion (GEDSI) and climate resilience. PRES operates with a </w:t>
      </w:r>
      <w:r w:rsidR="28216A9A">
        <w:t>C</w:t>
      </w:r>
      <w:r>
        <w:t xml:space="preserve">ore </w:t>
      </w:r>
      <w:r w:rsidR="2CFCF5E6">
        <w:t>T</w:t>
      </w:r>
      <w:r>
        <w:t>eam integrated into PEB, offering logistical support, quality assurance, and a hub for coordinating advisory needs.</w:t>
      </w:r>
    </w:p>
    <w:p w14:paraId="74E2E782" w14:textId="77777777" w:rsidR="00BD3D35" w:rsidRPr="005808D4" w:rsidRDefault="00BD3D35" w:rsidP="00BD3D35">
      <w:r w:rsidRPr="05DC78EE">
        <w:t>The program delivers a range of activities, including program-level evaluations, technical advisory support for Pacific aviation and budget activities, and thematic advice on banking and trade. PRES supports DFAT’s Pacific desks, posts, and Pacific Island Countries by maintaining a knowledge repository, facilitating information-sharing events, and offering logistical and performance management support for advisers.</w:t>
      </w:r>
    </w:p>
    <w:p w14:paraId="3FD86874" w14:textId="77777777" w:rsidR="00BD3D35" w:rsidRDefault="00BD3D35" w:rsidP="00BD3D35">
      <w:r w:rsidRPr="005808D4">
        <w:t>PRES aims to achieve two End of Program Outcomes (EOPOs). EOPO 1 focuses on enabling DFAT staff to use PRES technical advice and services to enhance evidence-based policy, strategy, and investment management. EOPO 2 aims to improve knowledge management and learning within PEB. Intermediate outcomes include meeting DFAT staff needs, ensuring familiarity with PRES products, and encouraging engagement with information-sharing processes and tools.</w:t>
      </w:r>
      <w:r w:rsidRPr="29FB0F62">
        <w:t xml:space="preserve"> </w:t>
      </w:r>
    </w:p>
    <w:p w14:paraId="6C2BF84A" w14:textId="77777777" w:rsidR="00BD3D35" w:rsidRPr="005808D4" w:rsidRDefault="00BD3D35" w:rsidP="00BD3D35">
      <w:r w:rsidRPr="005808D4">
        <w:t>A PRES Gender Strategy was approved in mid-2024, with a focus on mainstreaming GEDSI into all PRES-supported activities. End-of-investment outcomes include improved identification of GEDSI dimensions in tasking notes and service orders, as well as increasing the gender sensitivity and disability inclusiveness of PRES activities. This strategy aligns with the program’s broader goals of inclusive and sustainable economic recovery.</w:t>
      </w:r>
    </w:p>
    <w:p w14:paraId="6DE11A07" w14:textId="77777777" w:rsidR="00BD3D35" w:rsidRPr="006A6E5C" w:rsidRDefault="00BD3D35" w:rsidP="00DE2ADD">
      <w:pPr>
        <w:pStyle w:val="Heading3nonumber"/>
      </w:pPr>
      <w:bookmarkStart w:id="85" w:name="_Toc188284675"/>
      <w:bookmarkStart w:id="86" w:name="_Toc195808981"/>
      <w:r w:rsidRPr="006A6E5C">
        <w:t>Overview of this document</w:t>
      </w:r>
      <w:bookmarkEnd w:id="85"/>
      <w:bookmarkEnd w:id="86"/>
    </w:p>
    <w:p w14:paraId="6FB07527" w14:textId="77777777" w:rsidR="00BD3D35" w:rsidRDefault="00BD3D35" w:rsidP="00BD3D35">
      <w:pPr>
        <w:rPr>
          <w:color w:val="4D4D4F"/>
        </w:rPr>
      </w:pPr>
      <w:r w:rsidRPr="05DC78EE">
        <w:rPr>
          <w:color w:val="4D4D4F"/>
        </w:rPr>
        <w:t>This document presents a plan for evaluating PRES and initial thinking on the plan for designing its successor (‘PRES 2’), pending DFAT decisions about whether to commence the design phase. It:</w:t>
      </w:r>
    </w:p>
    <w:p w14:paraId="5F8B47B0" w14:textId="77777777" w:rsidR="00BD3D35" w:rsidRDefault="00BD3D35" w:rsidP="00BD3D35">
      <w:pPr>
        <w:pStyle w:val="ListBullet"/>
        <w:numPr>
          <w:ilvl w:val="0"/>
          <w:numId w:val="1"/>
        </w:numPr>
      </w:pPr>
      <w:r>
        <w:t xml:space="preserve">Summarises the proposed </w:t>
      </w:r>
      <w:r w:rsidRPr="002D595D">
        <w:rPr>
          <w:b/>
          <w:bCs/>
        </w:rPr>
        <w:t>scope</w:t>
      </w:r>
      <w:r>
        <w:t xml:space="preserve"> – framed by a set of purposes, primary audiences, and guiding questions (Section 2).</w:t>
      </w:r>
    </w:p>
    <w:p w14:paraId="7D4A01C7" w14:textId="77777777" w:rsidR="00BD3D35" w:rsidRDefault="00BD3D35" w:rsidP="00BD3D35">
      <w:pPr>
        <w:pStyle w:val="ListBullet"/>
        <w:numPr>
          <w:ilvl w:val="0"/>
          <w:numId w:val="1"/>
        </w:numPr>
      </w:pPr>
      <w:r w:rsidRPr="05DC78EE">
        <w:t xml:space="preserve">Proposes a </w:t>
      </w:r>
      <w:r w:rsidRPr="05DC78EE">
        <w:rPr>
          <w:b/>
          <w:bCs/>
        </w:rPr>
        <w:t>methodology</w:t>
      </w:r>
      <w:r w:rsidRPr="05DC78EE">
        <w:t>, including guiding principles and the approach to data collection, sampling, analysis, sense-making, and reporting, including ethical issues and limitations (Section 3).</w:t>
      </w:r>
    </w:p>
    <w:p w14:paraId="1B331D24" w14:textId="77777777" w:rsidR="00BD3D35" w:rsidRDefault="00BD3D35" w:rsidP="00BD3D35">
      <w:pPr>
        <w:pStyle w:val="ListBullet"/>
        <w:numPr>
          <w:ilvl w:val="0"/>
          <w:numId w:val="1"/>
        </w:numPr>
      </w:pPr>
      <w:r>
        <w:t xml:space="preserve">Maps out the proposed </w:t>
      </w:r>
      <w:r w:rsidRPr="005B71BA">
        <w:rPr>
          <w:b/>
          <w:bCs/>
        </w:rPr>
        <w:t>process</w:t>
      </w:r>
      <w:r>
        <w:t xml:space="preserve"> for this assignment, including phasing, responsibilities and coordination, and key risks (Section 4).</w:t>
      </w:r>
    </w:p>
    <w:p w14:paraId="12F1ACA5" w14:textId="77777777" w:rsidR="00BD3D35" w:rsidRDefault="00BD3D35" w:rsidP="00BD3D35">
      <w:pPr>
        <w:pStyle w:val="ListBullet"/>
        <w:numPr>
          <w:ilvl w:val="0"/>
          <w:numId w:val="0"/>
        </w:numPr>
      </w:pPr>
      <w:r>
        <w:t>The assignment work plan, data collection plan, draft data collection tools and sources are attached as appendices.</w:t>
      </w:r>
    </w:p>
    <w:p w14:paraId="5C79031E" w14:textId="77777777" w:rsidR="00BD3D35" w:rsidRDefault="00BD3D35" w:rsidP="00545B9A">
      <w:pPr>
        <w:pStyle w:val="Heading1"/>
      </w:pPr>
      <w:bookmarkStart w:id="87" w:name="_Toc185236826"/>
      <w:bookmarkStart w:id="88" w:name="_Toc195808982"/>
      <w:bookmarkStart w:id="89" w:name="_Toc205992468"/>
      <w:bookmarkStart w:id="90" w:name="_Toc205992555"/>
      <w:bookmarkEnd w:id="87"/>
      <w:r>
        <w:lastRenderedPageBreak/>
        <w:t>Scope</w:t>
      </w:r>
      <w:bookmarkEnd w:id="88"/>
      <w:bookmarkEnd w:id="89"/>
      <w:bookmarkEnd w:id="90"/>
    </w:p>
    <w:p w14:paraId="29797330" w14:textId="77777777" w:rsidR="00BD3D35" w:rsidRDefault="00BD3D35" w:rsidP="00DE2ADD">
      <w:pPr>
        <w:pStyle w:val="Heading3nonumber"/>
      </w:pPr>
      <w:bookmarkStart w:id="91" w:name="_Toc188284677"/>
      <w:bookmarkStart w:id="92" w:name="_Toc195808983"/>
      <w:r>
        <w:t>Purpose and Audience</w:t>
      </w:r>
      <w:bookmarkEnd w:id="91"/>
      <w:bookmarkEnd w:id="92"/>
    </w:p>
    <w:p w14:paraId="3344B162" w14:textId="77777777" w:rsidR="00BD3D35" w:rsidRDefault="00BD3D35" w:rsidP="00BD3D35">
      <w:r>
        <w:t>The evaluation phase serves three main purposes:</w:t>
      </w:r>
    </w:p>
    <w:p w14:paraId="6D55D83D" w14:textId="77777777" w:rsidR="00BD3D35" w:rsidRDefault="00BD3D35" w:rsidP="00BD3D35">
      <w:pPr>
        <w:pStyle w:val="ListBullet"/>
        <w:numPr>
          <w:ilvl w:val="0"/>
          <w:numId w:val="1"/>
        </w:numPr>
      </w:pPr>
      <w:r>
        <w:t xml:space="preserve">Ensure </w:t>
      </w:r>
      <w:r w:rsidRPr="00E04CCB">
        <w:rPr>
          <w:b/>
          <w:bCs/>
        </w:rPr>
        <w:t>accountability</w:t>
      </w:r>
      <w:r>
        <w:t xml:space="preserve"> </w:t>
      </w:r>
      <w:r w:rsidRPr="00E04CCB">
        <w:t>by</w:t>
      </w:r>
      <w:r>
        <w:t xml:space="preserve"> independently</w:t>
      </w:r>
      <w:r w:rsidRPr="00E04CCB">
        <w:t xml:space="preserve"> assessing PRES performance </w:t>
      </w:r>
      <w:r>
        <w:t xml:space="preserve">to </w:t>
      </w:r>
      <w:r w:rsidRPr="00E04CCB">
        <w:t>inform</w:t>
      </w:r>
      <w:r>
        <w:t xml:space="preserve"> </w:t>
      </w:r>
      <w:r w:rsidRPr="00E04CCB">
        <w:t xml:space="preserve">the </w:t>
      </w:r>
      <w:r>
        <w:t xml:space="preserve">DFAT </w:t>
      </w:r>
      <w:r w:rsidRPr="00E04CCB">
        <w:t>Final Investment Monitoring Report (FIMR).</w:t>
      </w:r>
      <w:r>
        <w:t xml:space="preserve"> </w:t>
      </w:r>
    </w:p>
    <w:p w14:paraId="11557B9F" w14:textId="77330742" w:rsidR="00BD3D35" w:rsidRDefault="00BD3D35" w:rsidP="00BD3D35">
      <w:pPr>
        <w:pStyle w:val="ListBullet"/>
        <w:numPr>
          <w:ilvl w:val="0"/>
          <w:numId w:val="1"/>
        </w:numPr>
      </w:pPr>
      <w:r w:rsidRPr="05DC78EE">
        <w:t xml:space="preserve">Support </w:t>
      </w:r>
      <w:r w:rsidRPr="05DC78EE">
        <w:rPr>
          <w:b/>
          <w:bCs/>
        </w:rPr>
        <w:t>program improvement</w:t>
      </w:r>
      <w:r w:rsidRPr="05DC78EE">
        <w:t xml:space="preserve"> within the current phase, by identifying opportunities to improve implementation of PRES in its final </w:t>
      </w:r>
      <w:r w:rsidR="0091146B" w:rsidRPr="05DC78EE">
        <w:t>year.</w:t>
      </w:r>
    </w:p>
    <w:p w14:paraId="17744620" w14:textId="77777777" w:rsidR="00BD3D35" w:rsidRDefault="00BD3D35" w:rsidP="00BD3D35">
      <w:pPr>
        <w:pStyle w:val="ListBullet"/>
        <w:numPr>
          <w:ilvl w:val="0"/>
          <w:numId w:val="1"/>
        </w:numPr>
      </w:pPr>
      <w:r w:rsidRPr="05DC78EE">
        <w:t xml:space="preserve">Inform the </w:t>
      </w:r>
      <w:r w:rsidRPr="05DC78EE">
        <w:rPr>
          <w:b/>
          <w:bCs/>
        </w:rPr>
        <w:t>design</w:t>
      </w:r>
      <w:r w:rsidRPr="05DC78EE">
        <w:t xml:space="preserve"> of PRES 2, by identifying lessons learned from the current phase and related strategic issues or questions for further consideration in the design phase.</w:t>
      </w:r>
    </w:p>
    <w:p w14:paraId="62B2F86A" w14:textId="77777777" w:rsidR="00BD3D35" w:rsidRDefault="00BD3D35" w:rsidP="00BD3D35">
      <w:pPr>
        <w:spacing w:before="240" w:after="240"/>
      </w:pPr>
      <w:r>
        <w:t>The primary audience is the E</w:t>
      </w:r>
      <w:r w:rsidRPr="00D82B90">
        <w:t xml:space="preserve">conomic </w:t>
      </w:r>
      <w:r>
        <w:t>P</w:t>
      </w:r>
      <w:r w:rsidRPr="00D82B90">
        <w:t xml:space="preserve">olicy and </w:t>
      </w:r>
      <w:r>
        <w:t>P</w:t>
      </w:r>
      <w:r w:rsidRPr="00D82B90">
        <w:t xml:space="preserve">artnerships </w:t>
      </w:r>
      <w:r>
        <w:t>S</w:t>
      </w:r>
      <w:r w:rsidRPr="00D82B90">
        <w:t xml:space="preserve">ection within </w:t>
      </w:r>
      <w:r>
        <w:t>the P</w:t>
      </w:r>
      <w:r w:rsidRPr="00D82B90">
        <w:t xml:space="preserve">acific </w:t>
      </w:r>
      <w:r>
        <w:t>E</w:t>
      </w:r>
      <w:r w:rsidRPr="00D82B90">
        <w:t xml:space="preserve">conomic and </w:t>
      </w:r>
      <w:r>
        <w:t>T</w:t>
      </w:r>
      <w:r w:rsidRPr="00D82B90">
        <w:t xml:space="preserve">rade </w:t>
      </w:r>
      <w:r>
        <w:t>B</w:t>
      </w:r>
      <w:r w:rsidRPr="00D82B90">
        <w:t xml:space="preserve">ranch </w:t>
      </w:r>
      <w:r>
        <w:t>(PEB). Secondary audiences are DFAT staff in the Office of the Pacific and Pacific Posts who have used and/or intend to use PRES services.</w:t>
      </w:r>
    </w:p>
    <w:p w14:paraId="06F0DC98" w14:textId="77777777" w:rsidR="00BD3D35" w:rsidRDefault="00BD3D35" w:rsidP="00DE2ADD">
      <w:pPr>
        <w:pStyle w:val="Heading3nonumber"/>
      </w:pPr>
      <w:bookmarkStart w:id="93" w:name="_Toc188284678"/>
      <w:bookmarkStart w:id="94" w:name="_Toc195808984"/>
      <w:r>
        <w:t>Guiding Questions</w:t>
      </w:r>
      <w:bookmarkEnd w:id="93"/>
      <w:bookmarkEnd w:id="94"/>
    </w:p>
    <w:p w14:paraId="614B5DC7" w14:textId="77777777" w:rsidR="00BD3D35" w:rsidRDefault="00BD3D35" w:rsidP="00BD3D35">
      <w:r w:rsidRPr="05DC78EE">
        <w:t>Data collection and analysis will be guided by the following key evaluation questions, framed by DFAT’s Final Investment Monitoring Report (FIMR) quality criteria. These are mostly summative, apart from one formative sub-question per criterion, asking about opportunities for improvement, to inform the PRES 2 design. High priority evaluation questions are marked with asterisks, given their importance to the design.</w:t>
      </w:r>
      <w:r w:rsidRPr="05DC78EE">
        <w:rPr>
          <w:rStyle w:val="FootnoteReference"/>
        </w:rPr>
        <w:footnoteReference w:id="9"/>
      </w:r>
      <w:r w:rsidRPr="05DC78EE">
        <w:t xml:space="preserve"> </w:t>
      </w:r>
    </w:p>
    <w:p w14:paraId="23597BBA" w14:textId="77777777" w:rsidR="00BD3D35" w:rsidRDefault="00BD3D35" w:rsidP="00BD3D35">
      <w:r w:rsidRPr="05DC78EE">
        <w:t xml:space="preserve">Indicative design questions and sub-questions are also provided below, framed by DFAT’s investment design document requirements. These will be confirmed, revised and further detailed in February as an update to this plan, informed by evaluation findings and recommendations and DFAT’s decision about whether and when to commence the design. </w:t>
      </w:r>
    </w:p>
    <w:p w14:paraId="3AEC5FA5" w14:textId="77777777" w:rsidR="00BD3D35" w:rsidRDefault="00BD3D35" w:rsidP="00545B9A">
      <w:pPr>
        <w:pStyle w:val="Heading3nonumber"/>
      </w:pPr>
      <w:r>
        <w:t>Evaluation questions</w:t>
      </w:r>
    </w:p>
    <w:p w14:paraId="191E04F3" w14:textId="77777777" w:rsidR="00BD3D35" w:rsidRDefault="00BD3D35" w:rsidP="00BD3D35">
      <w:pPr>
        <w:pStyle w:val="Heading4nonumber"/>
      </w:pPr>
      <w:r w:rsidRPr="05DC78EE">
        <w:t xml:space="preserve">1. How effective is PRES and what are the opportunities to improve </w:t>
      </w:r>
      <w:proofErr w:type="gramStart"/>
      <w:r w:rsidRPr="05DC78EE">
        <w:t>effectiveness?*</w:t>
      </w:r>
      <w:proofErr w:type="gramEnd"/>
    </w:p>
    <w:p w14:paraId="2FB0A71C" w14:textId="77777777" w:rsidR="00BD3D35" w:rsidRDefault="00BD3D35" w:rsidP="007A6121">
      <w:pPr>
        <w:pStyle w:val="ListParagraph"/>
        <w:numPr>
          <w:ilvl w:val="1"/>
          <w:numId w:val="21"/>
        </w:numPr>
        <w:spacing w:after="0"/>
        <w:ind w:right="-68"/>
        <w:jc w:val="both"/>
        <w:rPr>
          <w:rFonts w:ascii="Arial" w:eastAsia="Arial" w:hAnsi="Arial" w:cs="Arial"/>
          <w:sz w:val="20"/>
          <w:szCs w:val="20"/>
        </w:rPr>
      </w:pPr>
      <w:r>
        <w:rPr>
          <w:rFonts w:ascii="Arial" w:eastAsia="Arial" w:hAnsi="Arial" w:cs="Arial"/>
          <w:sz w:val="20"/>
          <w:szCs w:val="20"/>
        </w:rPr>
        <w:t>Is PRES on track to achieve its expected outcomes?</w:t>
      </w:r>
    </w:p>
    <w:p w14:paraId="2707A5EE" w14:textId="77777777" w:rsidR="00BD3D35" w:rsidRDefault="00BD3D35" w:rsidP="007A6121">
      <w:pPr>
        <w:pStyle w:val="ListParagraph"/>
        <w:numPr>
          <w:ilvl w:val="1"/>
          <w:numId w:val="21"/>
        </w:numPr>
        <w:spacing w:after="0"/>
        <w:ind w:right="-68"/>
        <w:jc w:val="both"/>
        <w:rPr>
          <w:rFonts w:ascii="Arial" w:eastAsia="Arial" w:hAnsi="Arial" w:cs="Arial"/>
          <w:sz w:val="20"/>
          <w:szCs w:val="20"/>
        </w:rPr>
      </w:pPr>
      <w:r w:rsidRPr="2AB22851">
        <w:rPr>
          <w:rFonts w:ascii="Arial" w:eastAsia="Arial" w:hAnsi="Arial" w:cs="Arial"/>
          <w:sz w:val="20"/>
          <w:szCs w:val="20"/>
        </w:rPr>
        <w:t xml:space="preserve">To what extent has PRES supported strategic policy and program coherence across its scope of work? </w:t>
      </w:r>
    </w:p>
    <w:p w14:paraId="6B755D3F" w14:textId="77777777" w:rsidR="00BD3D35" w:rsidRDefault="00BD3D35" w:rsidP="007A6121">
      <w:pPr>
        <w:pStyle w:val="ListParagraph"/>
        <w:numPr>
          <w:ilvl w:val="1"/>
          <w:numId w:val="21"/>
        </w:numPr>
        <w:spacing w:after="0"/>
        <w:ind w:right="-68"/>
        <w:jc w:val="both"/>
        <w:rPr>
          <w:rFonts w:ascii="Arial" w:eastAsia="Arial" w:hAnsi="Arial" w:cs="Arial"/>
          <w:sz w:val="20"/>
          <w:szCs w:val="20"/>
        </w:rPr>
      </w:pPr>
      <w:r w:rsidRPr="4B8AE8E7">
        <w:rPr>
          <w:rFonts w:ascii="Arial" w:eastAsia="Arial" w:hAnsi="Arial" w:cs="Arial"/>
          <w:sz w:val="20"/>
          <w:szCs w:val="20"/>
        </w:rPr>
        <w:t>In what ways has PRES enhanced investment design and performance across its scope of work including in the areas of gender equality and disability inclusion?</w:t>
      </w:r>
    </w:p>
    <w:p w14:paraId="10872629" w14:textId="77777777" w:rsidR="00BD3D35" w:rsidRDefault="00BD3D35" w:rsidP="007A6121">
      <w:pPr>
        <w:pStyle w:val="ListParagraph"/>
        <w:numPr>
          <w:ilvl w:val="1"/>
          <w:numId w:val="21"/>
        </w:numPr>
        <w:spacing w:after="0"/>
        <w:ind w:right="-68"/>
        <w:jc w:val="both"/>
        <w:rPr>
          <w:rFonts w:ascii="Arial" w:eastAsia="Arial" w:hAnsi="Arial" w:cs="Arial"/>
          <w:sz w:val="20"/>
          <w:szCs w:val="20"/>
        </w:rPr>
      </w:pPr>
      <w:r>
        <w:rPr>
          <w:rFonts w:ascii="Arial" w:eastAsia="Arial" w:hAnsi="Arial" w:cs="Arial"/>
          <w:sz w:val="20"/>
          <w:szCs w:val="20"/>
        </w:rPr>
        <w:t xml:space="preserve">To what extent has </w:t>
      </w:r>
      <w:r w:rsidRPr="00493B33">
        <w:rPr>
          <w:rFonts w:ascii="Arial" w:eastAsia="Arial" w:hAnsi="Arial" w:cs="Arial"/>
          <w:sz w:val="20"/>
          <w:szCs w:val="20"/>
        </w:rPr>
        <w:t>PRES contribute</w:t>
      </w:r>
      <w:r>
        <w:rPr>
          <w:rFonts w:ascii="Arial" w:eastAsia="Arial" w:hAnsi="Arial" w:cs="Arial"/>
          <w:sz w:val="20"/>
          <w:szCs w:val="20"/>
        </w:rPr>
        <w:t>d</w:t>
      </w:r>
      <w:r w:rsidRPr="00493B33">
        <w:rPr>
          <w:rFonts w:ascii="Arial" w:eastAsia="Arial" w:hAnsi="Arial" w:cs="Arial"/>
          <w:sz w:val="20"/>
          <w:szCs w:val="20"/>
        </w:rPr>
        <w:t xml:space="preserve"> to knowledge management and learning within the Pacific Economic and Trade Branch</w:t>
      </w:r>
      <w:r>
        <w:rPr>
          <w:rFonts w:ascii="Arial" w:eastAsia="Arial" w:hAnsi="Arial" w:cs="Arial"/>
          <w:sz w:val="20"/>
          <w:szCs w:val="20"/>
        </w:rPr>
        <w:t>?</w:t>
      </w:r>
    </w:p>
    <w:p w14:paraId="2BCFB881" w14:textId="77777777" w:rsidR="00BD3D35" w:rsidRDefault="00BD3D35" w:rsidP="007A6121">
      <w:pPr>
        <w:pStyle w:val="ListParagraph"/>
        <w:numPr>
          <w:ilvl w:val="1"/>
          <w:numId w:val="21"/>
        </w:numPr>
        <w:spacing w:after="0"/>
        <w:ind w:right="-68"/>
        <w:jc w:val="both"/>
        <w:rPr>
          <w:rFonts w:ascii="Arial" w:eastAsia="Arial" w:hAnsi="Arial" w:cs="Arial"/>
          <w:sz w:val="20"/>
          <w:szCs w:val="20"/>
        </w:rPr>
      </w:pPr>
      <w:r w:rsidRPr="4B8AE8E7">
        <w:rPr>
          <w:rFonts w:ascii="Arial" w:eastAsia="Arial" w:hAnsi="Arial" w:cs="Arial"/>
          <w:sz w:val="20"/>
          <w:szCs w:val="20"/>
        </w:rPr>
        <w:t>To what extent has PRES responded to and met PEB/DFAT needs?</w:t>
      </w:r>
    </w:p>
    <w:p w14:paraId="5AE5FCE3" w14:textId="77777777" w:rsidR="00BD3D35" w:rsidRDefault="00BD3D35" w:rsidP="007A6121">
      <w:pPr>
        <w:pStyle w:val="ListParagraph"/>
        <w:numPr>
          <w:ilvl w:val="1"/>
          <w:numId w:val="21"/>
        </w:numPr>
        <w:spacing w:after="0"/>
        <w:ind w:right="-68"/>
        <w:jc w:val="both"/>
        <w:rPr>
          <w:rFonts w:ascii="Arial" w:eastAsia="Arial" w:hAnsi="Arial" w:cs="Arial"/>
          <w:sz w:val="20"/>
          <w:szCs w:val="20"/>
        </w:rPr>
      </w:pPr>
      <w:r>
        <w:rPr>
          <w:rFonts w:ascii="Arial" w:eastAsia="Arial" w:hAnsi="Arial" w:cs="Arial"/>
          <w:sz w:val="20"/>
          <w:szCs w:val="20"/>
        </w:rPr>
        <w:t>In its next phase, how could PRES effectiveness be improved? [links to Design Question 2]</w:t>
      </w:r>
    </w:p>
    <w:p w14:paraId="44236A01" w14:textId="77777777" w:rsidR="00BD3D35" w:rsidRDefault="00BD3D35" w:rsidP="00BD3D35">
      <w:pPr>
        <w:pStyle w:val="Heading4nonumber"/>
      </w:pPr>
      <w:r w:rsidRPr="05DC78EE">
        <w:t xml:space="preserve">2. How efficient is PRES and what are the opportunities to improve </w:t>
      </w:r>
      <w:proofErr w:type="gramStart"/>
      <w:r w:rsidRPr="05DC78EE">
        <w:t>efficiency?*</w:t>
      </w:r>
      <w:proofErr w:type="gramEnd"/>
    </w:p>
    <w:p w14:paraId="1DA68487" w14:textId="77777777" w:rsidR="00BD3D35" w:rsidRDefault="00BD3D35" w:rsidP="007A6121">
      <w:pPr>
        <w:pStyle w:val="ListParagraph"/>
        <w:numPr>
          <w:ilvl w:val="1"/>
          <w:numId w:val="22"/>
        </w:numPr>
        <w:spacing w:after="0"/>
        <w:ind w:right="-68"/>
        <w:jc w:val="both"/>
        <w:rPr>
          <w:rFonts w:ascii="Arial" w:eastAsia="Arial" w:hAnsi="Arial" w:cs="Arial"/>
          <w:sz w:val="20"/>
          <w:szCs w:val="20"/>
        </w:rPr>
      </w:pPr>
      <w:r w:rsidRPr="05DC78EE">
        <w:rPr>
          <w:rFonts w:ascii="Arial" w:eastAsia="Arial" w:hAnsi="Arial" w:cs="Arial"/>
          <w:sz w:val="20"/>
          <w:szCs w:val="20"/>
        </w:rPr>
        <w:t>How efficiently does PRES deliver technical analysis and expertise?</w:t>
      </w:r>
    </w:p>
    <w:p w14:paraId="1836F28E" w14:textId="77777777" w:rsidR="00BD3D35" w:rsidRPr="00CC7F83" w:rsidRDefault="00BD3D35" w:rsidP="007A6121">
      <w:pPr>
        <w:pStyle w:val="ListParagraph"/>
        <w:numPr>
          <w:ilvl w:val="1"/>
          <w:numId w:val="22"/>
        </w:numPr>
        <w:spacing w:after="0"/>
        <w:ind w:right="-68"/>
        <w:jc w:val="both"/>
        <w:rPr>
          <w:rFonts w:ascii="Arial" w:eastAsia="Arial" w:hAnsi="Arial" w:cs="Arial"/>
          <w:sz w:val="20"/>
          <w:szCs w:val="20"/>
        </w:rPr>
      </w:pPr>
      <w:bookmarkStart w:id="95" w:name="_Hlk175219417"/>
      <w:r w:rsidRPr="05DC78EE">
        <w:rPr>
          <w:rFonts w:ascii="Arial" w:eastAsia="Arial" w:hAnsi="Arial" w:cs="Arial"/>
          <w:sz w:val="20"/>
          <w:szCs w:val="20"/>
        </w:rPr>
        <w:lastRenderedPageBreak/>
        <w:t>To what extent has PRES successfully operated as an integrated program within PEB in accordance with the PRES partnership and One-Team approach?</w:t>
      </w:r>
    </w:p>
    <w:p w14:paraId="0F03FE51" w14:textId="77777777" w:rsidR="00BD3D35" w:rsidRDefault="00BD3D35" w:rsidP="007A6121">
      <w:pPr>
        <w:pStyle w:val="ListParagraph"/>
        <w:numPr>
          <w:ilvl w:val="1"/>
          <w:numId w:val="22"/>
        </w:numPr>
        <w:spacing w:after="0"/>
        <w:ind w:right="-68"/>
        <w:jc w:val="both"/>
        <w:rPr>
          <w:rFonts w:ascii="Arial" w:eastAsia="Arial" w:hAnsi="Arial" w:cs="Arial"/>
          <w:sz w:val="20"/>
          <w:szCs w:val="20"/>
        </w:rPr>
      </w:pPr>
      <w:r w:rsidRPr="4B8AE8E7">
        <w:rPr>
          <w:rFonts w:ascii="Arial" w:eastAsia="Arial" w:hAnsi="Arial" w:cs="Arial"/>
          <w:sz w:val="20"/>
          <w:szCs w:val="20"/>
        </w:rPr>
        <w:t>To what extent did PRES governance arrangements, including the Program Advisory Group, function as intended and support program effectiveness?</w:t>
      </w:r>
    </w:p>
    <w:bookmarkEnd w:id="95"/>
    <w:p w14:paraId="27401CE7" w14:textId="77777777" w:rsidR="00BD3D35" w:rsidRDefault="00BD3D35" w:rsidP="007A6121">
      <w:pPr>
        <w:pStyle w:val="ListParagraph"/>
        <w:numPr>
          <w:ilvl w:val="1"/>
          <w:numId w:val="22"/>
        </w:numPr>
        <w:spacing w:after="0"/>
        <w:ind w:right="-68"/>
        <w:jc w:val="both"/>
        <w:rPr>
          <w:rFonts w:ascii="Arial" w:eastAsia="Arial" w:hAnsi="Arial" w:cs="Arial"/>
          <w:sz w:val="20"/>
          <w:szCs w:val="20"/>
        </w:rPr>
      </w:pPr>
      <w:r w:rsidRPr="05DC78EE">
        <w:rPr>
          <w:rFonts w:ascii="Arial" w:eastAsia="Arial" w:hAnsi="Arial" w:cs="Arial"/>
          <w:sz w:val="20"/>
          <w:szCs w:val="20"/>
        </w:rPr>
        <w:t xml:space="preserve">To what extent has PRES optimally allocated resources between its core team, embedded advisers, and short-term technical assistance? </w:t>
      </w:r>
    </w:p>
    <w:p w14:paraId="61A19B97" w14:textId="77777777" w:rsidR="00BD3D35" w:rsidRDefault="00BD3D35" w:rsidP="007A6121">
      <w:pPr>
        <w:pStyle w:val="ListParagraph"/>
        <w:numPr>
          <w:ilvl w:val="1"/>
          <w:numId w:val="22"/>
        </w:numPr>
        <w:spacing w:after="0"/>
        <w:ind w:right="-68"/>
        <w:jc w:val="both"/>
        <w:rPr>
          <w:rFonts w:ascii="Arial" w:eastAsia="Arial" w:hAnsi="Arial" w:cs="Arial"/>
          <w:sz w:val="20"/>
          <w:szCs w:val="20"/>
        </w:rPr>
      </w:pPr>
      <w:r>
        <w:rPr>
          <w:rFonts w:ascii="Arial" w:eastAsia="Arial" w:hAnsi="Arial" w:cs="Arial"/>
          <w:sz w:val="20"/>
          <w:szCs w:val="20"/>
        </w:rPr>
        <w:t>To what extend does the PRES contracting arrangements promote value for money?</w:t>
      </w:r>
    </w:p>
    <w:p w14:paraId="0FDAC940" w14:textId="77777777" w:rsidR="00BD3D35" w:rsidRDefault="00BD3D35" w:rsidP="007A6121">
      <w:pPr>
        <w:pStyle w:val="ListParagraph"/>
        <w:numPr>
          <w:ilvl w:val="1"/>
          <w:numId w:val="22"/>
        </w:numPr>
        <w:spacing w:after="0"/>
        <w:ind w:right="-68"/>
        <w:jc w:val="both"/>
        <w:rPr>
          <w:rFonts w:ascii="Arial" w:eastAsia="Arial" w:hAnsi="Arial" w:cs="Arial"/>
          <w:sz w:val="20"/>
          <w:szCs w:val="20"/>
        </w:rPr>
      </w:pPr>
      <w:r>
        <w:rPr>
          <w:rFonts w:ascii="Arial" w:eastAsia="Arial" w:hAnsi="Arial" w:cs="Arial"/>
          <w:sz w:val="20"/>
          <w:szCs w:val="20"/>
        </w:rPr>
        <w:t>In its next phase, how could PRES delivery approach and implementation arrangements better support program efficiency? [links to Design Question 2]</w:t>
      </w:r>
    </w:p>
    <w:p w14:paraId="5767441C" w14:textId="77777777" w:rsidR="00BD3D35" w:rsidRDefault="00BD3D35" w:rsidP="00BD3D35">
      <w:pPr>
        <w:pStyle w:val="Heading4nonumber"/>
      </w:pPr>
      <w:r w:rsidRPr="4B8AE8E7">
        <w:t xml:space="preserve">3. </w:t>
      </w:r>
      <w:r>
        <w:t>How relevant is PRES and what are the opportunities to improve relevance?</w:t>
      </w:r>
    </w:p>
    <w:p w14:paraId="2FACD84A" w14:textId="77777777" w:rsidR="00BD3D35" w:rsidRDefault="00BD3D35" w:rsidP="007A6121">
      <w:pPr>
        <w:pStyle w:val="ListParagraph"/>
        <w:numPr>
          <w:ilvl w:val="1"/>
          <w:numId w:val="23"/>
        </w:numPr>
        <w:spacing w:after="0"/>
        <w:ind w:right="-68"/>
        <w:jc w:val="both"/>
        <w:rPr>
          <w:rFonts w:ascii="Arial" w:eastAsia="Arial" w:hAnsi="Arial" w:cs="Arial"/>
          <w:sz w:val="20"/>
          <w:szCs w:val="20"/>
        </w:rPr>
      </w:pPr>
      <w:r w:rsidRPr="05DC78EE">
        <w:rPr>
          <w:rFonts w:ascii="Arial" w:eastAsia="Arial" w:hAnsi="Arial" w:cs="Arial"/>
          <w:sz w:val="20"/>
          <w:szCs w:val="20"/>
        </w:rPr>
        <w:t xml:space="preserve">How relevant and appropriate has PRES been to the operating context, DFAT staff needs, and DFAT policy priorities? </w:t>
      </w:r>
    </w:p>
    <w:p w14:paraId="14F25ADD" w14:textId="77777777" w:rsidR="00BD3D35" w:rsidRDefault="00BD3D35" w:rsidP="007A6121">
      <w:pPr>
        <w:pStyle w:val="ListParagraph"/>
        <w:numPr>
          <w:ilvl w:val="1"/>
          <w:numId w:val="23"/>
        </w:numPr>
        <w:spacing w:after="0"/>
        <w:ind w:right="-68"/>
        <w:jc w:val="both"/>
        <w:rPr>
          <w:rFonts w:ascii="Arial" w:eastAsia="Arial" w:hAnsi="Arial" w:cs="Arial"/>
          <w:sz w:val="20"/>
          <w:szCs w:val="20"/>
        </w:rPr>
      </w:pPr>
      <w:r>
        <w:rPr>
          <w:rFonts w:ascii="Arial" w:eastAsia="Arial" w:hAnsi="Arial" w:cs="Arial"/>
          <w:sz w:val="20"/>
          <w:szCs w:val="20"/>
        </w:rPr>
        <w:t>Looking forward, how is the operating context, DFAT staff needs and DFAT policy priorities evolving?</w:t>
      </w:r>
    </w:p>
    <w:p w14:paraId="30948ACE" w14:textId="77777777" w:rsidR="00BD3D35" w:rsidRPr="000B5E52" w:rsidRDefault="00BD3D35" w:rsidP="007A6121">
      <w:pPr>
        <w:pStyle w:val="ListParagraph"/>
        <w:numPr>
          <w:ilvl w:val="1"/>
          <w:numId w:val="23"/>
        </w:numPr>
        <w:spacing w:after="0"/>
        <w:ind w:right="-68"/>
        <w:jc w:val="both"/>
        <w:rPr>
          <w:rFonts w:ascii="Arial" w:eastAsia="Arial" w:hAnsi="Arial" w:cs="Arial"/>
          <w:sz w:val="20"/>
          <w:szCs w:val="20"/>
        </w:rPr>
      </w:pPr>
      <w:r>
        <w:rPr>
          <w:rFonts w:ascii="Arial" w:eastAsia="Arial" w:hAnsi="Arial" w:cs="Arial"/>
          <w:sz w:val="20"/>
          <w:szCs w:val="20"/>
        </w:rPr>
        <w:t>In its next phase, how could PRES relevance be improved? [links to Design Question 1]</w:t>
      </w:r>
    </w:p>
    <w:p w14:paraId="4D9DD55B" w14:textId="77777777" w:rsidR="00BD3D35" w:rsidRDefault="00BD3D35" w:rsidP="00BD3D35">
      <w:pPr>
        <w:pStyle w:val="Heading4nonumber"/>
      </w:pPr>
      <w:r w:rsidRPr="4B8AE8E7">
        <w:t xml:space="preserve">4. To what extent did PRES promote GEDSI outcomes? </w:t>
      </w:r>
    </w:p>
    <w:p w14:paraId="3B0ED9B4" w14:textId="77777777" w:rsidR="00BD3D35" w:rsidRDefault="00BD3D35" w:rsidP="007A6121">
      <w:pPr>
        <w:pStyle w:val="ListParagraph"/>
        <w:numPr>
          <w:ilvl w:val="1"/>
          <w:numId w:val="24"/>
        </w:numPr>
        <w:spacing w:after="0"/>
        <w:ind w:right="-68"/>
        <w:jc w:val="both"/>
        <w:rPr>
          <w:rFonts w:ascii="Arial" w:eastAsia="Arial" w:hAnsi="Arial" w:cs="Arial"/>
          <w:sz w:val="20"/>
          <w:szCs w:val="20"/>
        </w:rPr>
      </w:pPr>
      <w:r w:rsidRPr="05DC78EE">
        <w:rPr>
          <w:rFonts w:ascii="Arial" w:eastAsia="Arial" w:hAnsi="Arial" w:cs="Arial"/>
          <w:sz w:val="20"/>
          <w:szCs w:val="20"/>
        </w:rPr>
        <w:t xml:space="preserve">To what extent did PRES deliver results on gender equality, including outcomes identified in the PRES GEDSI strategy? </w:t>
      </w:r>
    </w:p>
    <w:p w14:paraId="43C29978" w14:textId="77777777" w:rsidR="00BD3D35" w:rsidRDefault="00BD3D35" w:rsidP="007A6121">
      <w:pPr>
        <w:pStyle w:val="ListParagraph"/>
        <w:numPr>
          <w:ilvl w:val="1"/>
          <w:numId w:val="24"/>
        </w:numPr>
        <w:spacing w:after="0"/>
        <w:ind w:right="-68"/>
        <w:jc w:val="both"/>
        <w:rPr>
          <w:rFonts w:ascii="Arial" w:eastAsia="Arial" w:hAnsi="Arial" w:cs="Arial"/>
          <w:sz w:val="20"/>
          <w:szCs w:val="20"/>
        </w:rPr>
      </w:pPr>
      <w:r w:rsidRPr="4B8AE8E7">
        <w:rPr>
          <w:rFonts w:ascii="Arial" w:eastAsia="Arial" w:hAnsi="Arial" w:cs="Arial"/>
          <w:sz w:val="20"/>
          <w:szCs w:val="20"/>
        </w:rPr>
        <w:t>How well has PRES addressed disability inclusion in program approaches and activities?</w:t>
      </w:r>
    </w:p>
    <w:p w14:paraId="1B866A96" w14:textId="77777777" w:rsidR="00BD3D35" w:rsidRDefault="00BD3D35" w:rsidP="007A6121">
      <w:pPr>
        <w:pStyle w:val="ListParagraph"/>
        <w:numPr>
          <w:ilvl w:val="1"/>
          <w:numId w:val="24"/>
        </w:numPr>
        <w:spacing w:after="0"/>
        <w:ind w:right="-68"/>
        <w:jc w:val="both"/>
        <w:rPr>
          <w:rFonts w:ascii="Arial" w:eastAsia="Arial" w:hAnsi="Arial" w:cs="Arial"/>
          <w:sz w:val="20"/>
          <w:szCs w:val="20"/>
        </w:rPr>
      </w:pPr>
      <w:r w:rsidRPr="4B8AE8E7">
        <w:rPr>
          <w:rFonts w:ascii="Arial" w:eastAsia="Arial" w:hAnsi="Arial" w:cs="Arial"/>
          <w:sz w:val="20"/>
          <w:szCs w:val="20"/>
        </w:rPr>
        <w:t>To what extent has PRES increased adviser diversity over its implementation, including Pacific Islanders?</w:t>
      </w:r>
    </w:p>
    <w:p w14:paraId="0EB3B5BE" w14:textId="77777777" w:rsidR="00BD3D35" w:rsidRDefault="00BD3D35" w:rsidP="007A6121">
      <w:pPr>
        <w:pStyle w:val="ListParagraph"/>
        <w:numPr>
          <w:ilvl w:val="1"/>
          <w:numId w:val="24"/>
        </w:numPr>
        <w:spacing w:after="0"/>
        <w:ind w:right="-68"/>
        <w:jc w:val="both"/>
        <w:rPr>
          <w:rFonts w:ascii="Arial" w:eastAsia="Arial" w:hAnsi="Arial" w:cs="Arial"/>
          <w:sz w:val="20"/>
          <w:szCs w:val="20"/>
        </w:rPr>
      </w:pPr>
      <w:r>
        <w:rPr>
          <w:rFonts w:ascii="Arial" w:eastAsia="Arial" w:hAnsi="Arial" w:cs="Arial"/>
          <w:sz w:val="20"/>
          <w:szCs w:val="20"/>
        </w:rPr>
        <w:t>In its next phase, how could PRES better promote GEDSI? [links to Design Question 2]</w:t>
      </w:r>
    </w:p>
    <w:p w14:paraId="1F4FE4CF" w14:textId="77777777" w:rsidR="00BD3D35" w:rsidRDefault="00BD3D35" w:rsidP="00BD3D35">
      <w:pPr>
        <w:pStyle w:val="Heading4nonumber"/>
      </w:pPr>
      <w:r w:rsidRPr="4B8AE8E7">
        <w:t xml:space="preserve">5. Did the program operationalise an effective </w:t>
      </w:r>
      <w:r>
        <w:t>MEL</w:t>
      </w:r>
      <w:r w:rsidRPr="4B8AE8E7">
        <w:t xml:space="preserve"> system that met key stakeholder needs?</w:t>
      </w:r>
    </w:p>
    <w:p w14:paraId="5709A82C" w14:textId="02834F24" w:rsidR="00BD3D35" w:rsidRDefault="00BD3D35" w:rsidP="00B85CF8">
      <w:pPr>
        <w:pStyle w:val="ListParagraph"/>
        <w:numPr>
          <w:ilvl w:val="1"/>
          <w:numId w:val="25"/>
        </w:numPr>
        <w:spacing w:after="0"/>
        <w:ind w:right="-68"/>
        <w:rPr>
          <w:rFonts w:ascii="Arial" w:eastAsia="Arial" w:hAnsi="Arial" w:cs="Arial"/>
          <w:sz w:val="20"/>
          <w:szCs w:val="20"/>
        </w:rPr>
      </w:pPr>
      <w:r w:rsidRPr="05DC78EE">
        <w:rPr>
          <w:rFonts w:ascii="Arial" w:eastAsia="Arial" w:hAnsi="Arial" w:cs="Arial"/>
          <w:sz w:val="20"/>
          <w:szCs w:val="20"/>
        </w:rPr>
        <w:t>How appropriate is the PRES Performance Assessment Framework</w:t>
      </w:r>
      <w:r w:rsidR="00371398">
        <w:rPr>
          <w:rFonts w:ascii="Arial" w:eastAsia="Arial" w:hAnsi="Arial" w:cs="Arial"/>
          <w:sz w:val="20"/>
          <w:szCs w:val="20"/>
        </w:rPr>
        <w:t xml:space="preserve"> (PAF)</w:t>
      </w:r>
      <w:r w:rsidRPr="05DC78EE">
        <w:rPr>
          <w:rFonts w:ascii="Arial" w:eastAsia="Arial" w:hAnsi="Arial" w:cs="Arial"/>
          <w:sz w:val="20"/>
          <w:szCs w:val="20"/>
        </w:rPr>
        <w:t xml:space="preserve"> for guiding ongoing programming?</w:t>
      </w:r>
    </w:p>
    <w:p w14:paraId="28858B0F" w14:textId="77777777" w:rsidR="00BD3D35" w:rsidRDefault="00BD3D35" w:rsidP="007A6121">
      <w:pPr>
        <w:pStyle w:val="ListParagraph"/>
        <w:numPr>
          <w:ilvl w:val="1"/>
          <w:numId w:val="25"/>
        </w:numPr>
        <w:spacing w:after="0"/>
        <w:ind w:right="-68"/>
        <w:jc w:val="both"/>
        <w:rPr>
          <w:rFonts w:ascii="Arial" w:eastAsia="Arial" w:hAnsi="Arial" w:cs="Arial"/>
          <w:sz w:val="20"/>
          <w:szCs w:val="20"/>
        </w:rPr>
      </w:pPr>
      <w:r w:rsidRPr="4B8AE8E7">
        <w:rPr>
          <w:rFonts w:ascii="Arial" w:eastAsia="Arial" w:hAnsi="Arial" w:cs="Arial"/>
          <w:sz w:val="20"/>
          <w:szCs w:val="20"/>
        </w:rPr>
        <w:t>To what extent did PRES use performance information to support management decision making and learning?</w:t>
      </w:r>
    </w:p>
    <w:p w14:paraId="26348795" w14:textId="77777777" w:rsidR="00BD3D35" w:rsidRDefault="00BD3D35" w:rsidP="007A6121">
      <w:pPr>
        <w:pStyle w:val="ListParagraph"/>
        <w:numPr>
          <w:ilvl w:val="1"/>
          <w:numId w:val="25"/>
        </w:numPr>
        <w:spacing w:after="0"/>
        <w:ind w:right="-68"/>
        <w:jc w:val="both"/>
        <w:rPr>
          <w:rFonts w:ascii="Arial" w:eastAsia="Arial" w:hAnsi="Arial" w:cs="Arial"/>
          <w:sz w:val="20"/>
          <w:szCs w:val="20"/>
        </w:rPr>
      </w:pPr>
      <w:r w:rsidRPr="4B8AE8E7">
        <w:rPr>
          <w:rFonts w:ascii="Arial" w:eastAsia="Arial" w:hAnsi="Arial" w:cs="Arial"/>
          <w:sz w:val="20"/>
          <w:szCs w:val="20"/>
        </w:rPr>
        <w:t>How well did the performance reporting, including progress towards outcomes, meet stakeholder needs?</w:t>
      </w:r>
    </w:p>
    <w:p w14:paraId="48421D65" w14:textId="77777777" w:rsidR="00BD3D35" w:rsidRDefault="00BD3D35" w:rsidP="007A6121">
      <w:pPr>
        <w:pStyle w:val="ListParagraph"/>
        <w:numPr>
          <w:ilvl w:val="1"/>
          <w:numId w:val="25"/>
        </w:numPr>
        <w:spacing w:after="0"/>
        <w:ind w:right="-68"/>
        <w:jc w:val="both"/>
        <w:rPr>
          <w:rFonts w:ascii="Arial" w:eastAsia="Arial" w:hAnsi="Arial" w:cs="Arial"/>
          <w:sz w:val="20"/>
          <w:szCs w:val="20"/>
        </w:rPr>
      </w:pPr>
      <w:r>
        <w:rPr>
          <w:rFonts w:ascii="Arial" w:eastAsia="Arial" w:hAnsi="Arial" w:cs="Arial"/>
          <w:sz w:val="20"/>
          <w:szCs w:val="20"/>
        </w:rPr>
        <w:t>In its next phase, how could PRES MEL arrangements be improved? [links to Design Question 3]</w:t>
      </w:r>
    </w:p>
    <w:p w14:paraId="2B6E835C" w14:textId="77777777" w:rsidR="00BD3D35" w:rsidRPr="00916CEE" w:rsidRDefault="00BD3D35" w:rsidP="00BD3D35">
      <w:pPr>
        <w:pStyle w:val="Heading4nonumber"/>
      </w:pPr>
      <w:r w:rsidRPr="4B8AE8E7">
        <w:t xml:space="preserve">6. What are the opportunities to enhance the sustainability of PRES </w:t>
      </w:r>
      <w:r>
        <w:t>results</w:t>
      </w:r>
      <w:r w:rsidRPr="4B8AE8E7">
        <w:t xml:space="preserve">? </w:t>
      </w:r>
    </w:p>
    <w:p w14:paraId="49B227D4" w14:textId="77777777" w:rsidR="00BD3D35" w:rsidRDefault="00BD3D35" w:rsidP="007A6121">
      <w:pPr>
        <w:pStyle w:val="ListParagraph"/>
        <w:numPr>
          <w:ilvl w:val="1"/>
          <w:numId w:val="26"/>
        </w:numPr>
        <w:spacing w:after="0"/>
        <w:ind w:right="-68"/>
        <w:jc w:val="both"/>
        <w:rPr>
          <w:rFonts w:ascii="Arial" w:eastAsia="Arial" w:hAnsi="Arial" w:cs="Arial"/>
          <w:sz w:val="20"/>
          <w:szCs w:val="20"/>
        </w:rPr>
      </w:pPr>
      <w:r>
        <w:rPr>
          <w:rFonts w:ascii="Arial" w:eastAsia="Arial" w:hAnsi="Arial" w:cs="Arial"/>
          <w:sz w:val="20"/>
          <w:szCs w:val="20"/>
        </w:rPr>
        <w:t>What factors have supported or hindered the sustainability of PRES results?</w:t>
      </w:r>
    </w:p>
    <w:p w14:paraId="52AECDD3" w14:textId="77777777" w:rsidR="00BD3D35" w:rsidRPr="00916CEE" w:rsidRDefault="00BD3D35" w:rsidP="007A6121">
      <w:pPr>
        <w:pStyle w:val="ListParagraph"/>
        <w:numPr>
          <w:ilvl w:val="1"/>
          <w:numId w:val="26"/>
        </w:numPr>
        <w:spacing w:after="0"/>
        <w:ind w:right="-68"/>
        <w:jc w:val="both"/>
        <w:rPr>
          <w:rFonts w:ascii="Arial" w:eastAsia="Arial" w:hAnsi="Arial" w:cs="Arial"/>
          <w:sz w:val="20"/>
          <w:szCs w:val="20"/>
        </w:rPr>
      </w:pPr>
      <w:r>
        <w:rPr>
          <w:rFonts w:ascii="Arial" w:eastAsia="Arial" w:hAnsi="Arial" w:cs="Arial"/>
          <w:sz w:val="20"/>
          <w:szCs w:val="20"/>
        </w:rPr>
        <w:t>In its next phase, h</w:t>
      </w:r>
      <w:r w:rsidRPr="4B8AE8E7">
        <w:rPr>
          <w:rFonts w:ascii="Arial" w:eastAsia="Arial" w:hAnsi="Arial" w:cs="Arial"/>
          <w:sz w:val="20"/>
          <w:szCs w:val="20"/>
        </w:rPr>
        <w:t xml:space="preserve">ow can </w:t>
      </w:r>
      <w:r>
        <w:rPr>
          <w:rFonts w:ascii="Arial" w:eastAsia="Arial" w:hAnsi="Arial" w:cs="Arial"/>
          <w:sz w:val="20"/>
          <w:szCs w:val="20"/>
        </w:rPr>
        <w:t>PRES promote more sustainable results</w:t>
      </w:r>
      <w:r w:rsidRPr="4B8AE8E7">
        <w:rPr>
          <w:rFonts w:ascii="Arial" w:eastAsia="Arial" w:hAnsi="Arial" w:cs="Arial"/>
          <w:sz w:val="20"/>
          <w:szCs w:val="20"/>
        </w:rPr>
        <w:t>?</w:t>
      </w:r>
      <w:r>
        <w:rPr>
          <w:rFonts w:ascii="Arial" w:eastAsia="Arial" w:hAnsi="Arial" w:cs="Arial"/>
          <w:sz w:val="20"/>
          <w:szCs w:val="20"/>
        </w:rPr>
        <w:t xml:space="preserve"> [links to Design Question 2]</w:t>
      </w:r>
    </w:p>
    <w:p w14:paraId="171B0161" w14:textId="77777777" w:rsidR="00BD3D35" w:rsidRDefault="00BD3D35" w:rsidP="00DE2ADD">
      <w:pPr>
        <w:pStyle w:val="Heading3nonumber"/>
      </w:pPr>
      <w:r>
        <w:t>Design questions</w:t>
      </w:r>
    </w:p>
    <w:p w14:paraId="0210A508" w14:textId="77777777" w:rsidR="00BD3D35" w:rsidRDefault="00BD3D35" w:rsidP="00BD3D35">
      <w:pPr>
        <w:pStyle w:val="Heading4nonumber"/>
      </w:pPr>
      <w:r>
        <w:t>1. What is the operating context, evidence base, and strategic rationale for PRES 2?</w:t>
      </w:r>
    </w:p>
    <w:p w14:paraId="5397DFA0" w14:textId="77777777" w:rsidR="00BD3D35" w:rsidRPr="00E31654" w:rsidRDefault="00BD3D35" w:rsidP="00BD3D35">
      <w:r w:rsidRPr="05DC78EE">
        <w:t xml:space="preserve">This includes the regional and sector development context, priority development issues, political economy analysis, and lessons learned. It also includes the positioning of PRES 2 within DFAT’s Development Policy and relevant regional, bilateral and/or thematic strategies, and its expected contribution to GEDSI, climate change action, and locally led development / localisation.  </w:t>
      </w:r>
    </w:p>
    <w:p w14:paraId="046ACE0E" w14:textId="77777777" w:rsidR="00BD3D35" w:rsidRPr="00D3302C" w:rsidRDefault="00BD3D35" w:rsidP="00BD3D35">
      <w:pPr>
        <w:rPr>
          <w:i/>
          <w:iCs/>
        </w:rPr>
      </w:pPr>
      <w:r w:rsidRPr="00D3302C">
        <w:rPr>
          <w:i/>
          <w:iCs/>
        </w:rPr>
        <w:t>Indicative questions:</w:t>
      </w:r>
    </w:p>
    <w:p w14:paraId="106F99CC" w14:textId="77777777" w:rsidR="00BD3D35" w:rsidRDefault="00BD3D35" w:rsidP="007A6121">
      <w:pPr>
        <w:pStyle w:val="ListParagraph"/>
        <w:numPr>
          <w:ilvl w:val="0"/>
          <w:numId w:val="29"/>
        </w:numPr>
      </w:pPr>
      <w:r w:rsidRPr="05DC78EE">
        <w:t xml:space="preserve">What are the key Pacific economic issues, sectors and thus skills that may be required by DFAT now and into the future to support inclusive economic growth and economic reform in the </w:t>
      </w:r>
      <w:r w:rsidRPr="05DC78EE">
        <w:lastRenderedPageBreak/>
        <w:t>Pacific? (prompt for PFM, aviation, market development, finance, etc. specific countries). What is the gap the program could seek to support?</w:t>
      </w:r>
    </w:p>
    <w:p w14:paraId="246BEF1E" w14:textId="77777777" w:rsidR="00BD3D35" w:rsidRDefault="00BD3D35" w:rsidP="007A6121">
      <w:pPr>
        <w:pStyle w:val="ListParagraph"/>
        <w:numPr>
          <w:ilvl w:val="0"/>
          <w:numId w:val="29"/>
        </w:numPr>
      </w:pPr>
      <w:r>
        <w:t xml:space="preserve">How could PRES 2 fit with existing and new regional programs? (e.g. budget support, aviation etc)? </w:t>
      </w:r>
    </w:p>
    <w:p w14:paraId="5BC11ABA" w14:textId="77777777" w:rsidR="00BD3D35" w:rsidRDefault="00BD3D35" w:rsidP="007A6121">
      <w:pPr>
        <w:pStyle w:val="ListParagraph"/>
        <w:numPr>
          <w:ilvl w:val="0"/>
          <w:numId w:val="29"/>
        </w:numPr>
      </w:pPr>
      <w:r>
        <w:t>What DFAT policies or procedures could underpin the need for a Pacific Economic Facility? Is there any alignment with partner government policies?</w:t>
      </w:r>
    </w:p>
    <w:p w14:paraId="1A2B40B1" w14:textId="77777777" w:rsidR="00BD3D35" w:rsidRDefault="00BD3D35" w:rsidP="00BD3D35">
      <w:pPr>
        <w:pStyle w:val="Heading4nonumber"/>
      </w:pPr>
      <w:r>
        <w:t>2. What could PRES 2 aim to achieve, and how would it be implemented?</w:t>
      </w:r>
    </w:p>
    <w:p w14:paraId="085D8817" w14:textId="77777777" w:rsidR="00BD3D35" w:rsidRDefault="00BD3D35" w:rsidP="00BD3D35">
      <w:r>
        <w:t>This includes the PRES 2 program logic, delivery approach, and measures for promoting gender equality, climate change action, disability inclusion, and other priority cross-cutting issues. It also includes governance and management arrangements, early activities, policy dialogue approach, public diplomacy opportunities, and sustainability strategies.</w:t>
      </w:r>
    </w:p>
    <w:p w14:paraId="073AA044" w14:textId="77777777" w:rsidR="00BD3D35" w:rsidRPr="00D3302C" w:rsidRDefault="00BD3D35" w:rsidP="00BD3D35">
      <w:pPr>
        <w:rPr>
          <w:i/>
          <w:iCs/>
        </w:rPr>
      </w:pPr>
      <w:r w:rsidRPr="00D3302C">
        <w:rPr>
          <w:i/>
          <w:iCs/>
        </w:rPr>
        <w:t>Indicative questions:</w:t>
      </w:r>
    </w:p>
    <w:p w14:paraId="6F23163C" w14:textId="77777777" w:rsidR="00BD3D35" w:rsidRDefault="00BD3D35" w:rsidP="007A6121">
      <w:pPr>
        <w:pStyle w:val="ListParagraph"/>
        <w:numPr>
          <w:ilvl w:val="0"/>
          <w:numId w:val="30"/>
        </w:numPr>
      </w:pPr>
      <w:r>
        <w:t>Which sections of OTP may need the most support and why?</w:t>
      </w:r>
    </w:p>
    <w:p w14:paraId="3018EB37" w14:textId="77777777" w:rsidR="00BD3D35" w:rsidRDefault="00BD3D35" w:rsidP="007A6121">
      <w:pPr>
        <w:pStyle w:val="ListParagraph"/>
        <w:numPr>
          <w:ilvl w:val="0"/>
          <w:numId w:val="30"/>
        </w:numPr>
      </w:pPr>
      <w:r w:rsidRPr="05DC78EE">
        <w:t>Would OTP be the only division requiring support?</w:t>
      </w:r>
    </w:p>
    <w:p w14:paraId="47047AB7" w14:textId="77777777" w:rsidR="00BD3D35" w:rsidRDefault="00BD3D35" w:rsidP="007A6121">
      <w:pPr>
        <w:pStyle w:val="ListParagraph"/>
        <w:numPr>
          <w:ilvl w:val="0"/>
          <w:numId w:val="30"/>
        </w:numPr>
      </w:pPr>
      <w:r>
        <w:t>What would the benefit of an in-house program be, versus externally contracted panel of resources?</w:t>
      </w:r>
    </w:p>
    <w:p w14:paraId="11E4A13D" w14:textId="77777777" w:rsidR="00BD3D35" w:rsidRDefault="00BD3D35" w:rsidP="007A6121">
      <w:pPr>
        <w:pStyle w:val="ListParagraph"/>
        <w:numPr>
          <w:ilvl w:val="0"/>
          <w:numId w:val="30"/>
        </w:numPr>
      </w:pPr>
      <w:r>
        <w:t>What kinds of deliverables may need to be supported?</w:t>
      </w:r>
    </w:p>
    <w:p w14:paraId="0B0A6413" w14:textId="77777777" w:rsidR="00BD3D35" w:rsidRDefault="00BD3D35" w:rsidP="007A6121">
      <w:pPr>
        <w:pStyle w:val="ListParagraph"/>
        <w:numPr>
          <w:ilvl w:val="0"/>
          <w:numId w:val="30"/>
        </w:numPr>
      </w:pPr>
      <w:r>
        <w:t>How could the program be more sustainable and strengthen DFAT skills in an ongoing way?</w:t>
      </w:r>
    </w:p>
    <w:p w14:paraId="28ADE83F" w14:textId="426F925B" w:rsidR="00BD3D35" w:rsidRDefault="00BD3D35" w:rsidP="007A6121">
      <w:pPr>
        <w:pStyle w:val="ListParagraph"/>
        <w:numPr>
          <w:ilvl w:val="0"/>
          <w:numId w:val="30"/>
        </w:numPr>
      </w:pPr>
      <w:r w:rsidRPr="05DC78EE">
        <w:t>To what extent could the program support GEDSI, climate change and other cross-cutting themes rather than seek this support through other desks? (</w:t>
      </w:r>
      <w:r w:rsidR="003F0B6C" w:rsidRPr="05DC78EE">
        <w:t>i.e.</w:t>
      </w:r>
      <w:r w:rsidRPr="05DC78EE">
        <w:t xml:space="preserve"> SURGE).</w:t>
      </w:r>
    </w:p>
    <w:p w14:paraId="32B38D55" w14:textId="77777777" w:rsidR="00BD3D35" w:rsidRPr="004430F3" w:rsidRDefault="00BD3D35" w:rsidP="00BD3D35">
      <w:pPr>
        <w:pStyle w:val="Heading4nonumber"/>
      </w:pPr>
      <w:r w:rsidRPr="05DC78EE">
        <w:t>3. How could monitoring, evaluation and learning work in PRES 2?</w:t>
      </w:r>
    </w:p>
    <w:p w14:paraId="2D41C48E" w14:textId="77777777" w:rsidR="00BD3D35" w:rsidRDefault="00BD3D35" w:rsidP="00BD3D35">
      <w:r>
        <w:t>This includes an outline of the proposed MEL approach, questions, indicators, methods etc. as well as arrangements for independent evaluation and contestability.</w:t>
      </w:r>
    </w:p>
    <w:p w14:paraId="4F1E4AC9" w14:textId="77777777" w:rsidR="00BD3D35" w:rsidRPr="00D3302C" w:rsidRDefault="00BD3D35" w:rsidP="00BD3D35">
      <w:pPr>
        <w:rPr>
          <w:i/>
          <w:iCs/>
        </w:rPr>
      </w:pPr>
      <w:r w:rsidRPr="00D3302C">
        <w:rPr>
          <w:i/>
          <w:iCs/>
        </w:rPr>
        <w:t>Indicative questions:</w:t>
      </w:r>
    </w:p>
    <w:p w14:paraId="5827DAA2" w14:textId="77777777" w:rsidR="00BD3D35" w:rsidRDefault="00BD3D35" w:rsidP="007A6121">
      <w:pPr>
        <w:pStyle w:val="ListParagraph"/>
        <w:numPr>
          <w:ilvl w:val="0"/>
          <w:numId w:val="31"/>
        </w:numPr>
      </w:pPr>
      <w:r w:rsidRPr="001274B0">
        <w:t xml:space="preserve">How </w:t>
      </w:r>
      <w:r>
        <w:t xml:space="preserve">could </w:t>
      </w:r>
      <w:r w:rsidRPr="001274B0">
        <w:t>program MEL strengthen OTP’s understanding of its needs?</w:t>
      </w:r>
    </w:p>
    <w:p w14:paraId="0BFB5BFC" w14:textId="77777777" w:rsidR="00BD3D35" w:rsidRPr="004430F3" w:rsidRDefault="00BD3D35" w:rsidP="00BD3D35">
      <w:pPr>
        <w:pStyle w:val="Heading4nonumber"/>
      </w:pPr>
      <w:r>
        <w:t>4. What are the main risks facing PRES 2 and how will they be managed?</w:t>
      </w:r>
    </w:p>
    <w:p w14:paraId="450491F0" w14:textId="77777777" w:rsidR="00BD3D35" w:rsidRDefault="00BD3D35" w:rsidP="00BD3D35">
      <w:r>
        <w:t>This includes key risks, safeguards issues, and mitigation strategies.</w:t>
      </w:r>
    </w:p>
    <w:p w14:paraId="5B5F714A" w14:textId="77777777" w:rsidR="00BD3D35" w:rsidRDefault="00BD3D35" w:rsidP="00DE2ADD">
      <w:pPr>
        <w:pStyle w:val="Heading3nonumber"/>
      </w:pPr>
      <w:bookmarkStart w:id="96" w:name="_Toc188284679"/>
      <w:bookmarkStart w:id="97" w:name="_Toc195808985"/>
      <w:r>
        <w:t>Boundaries</w:t>
      </w:r>
      <w:bookmarkEnd w:id="96"/>
      <w:bookmarkEnd w:id="97"/>
    </w:p>
    <w:p w14:paraId="7789FA32" w14:textId="77777777" w:rsidR="00BD3D35" w:rsidRDefault="00BD3D35" w:rsidP="00BD3D35">
      <w:r>
        <w:t>The following points clarify the scope of the evaluation:</w:t>
      </w:r>
    </w:p>
    <w:p w14:paraId="035059F6" w14:textId="77777777" w:rsidR="00BD3D35" w:rsidRPr="000233DC" w:rsidRDefault="00BD3D35" w:rsidP="00BD3D35">
      <w:pPr>
        <w:pStyle w:val="ListBullet"/>
        <w:numPr>
          <w:ilvl w:val="0"/>
          <w:numId w:val="1"/>
        </w:numPr>
      </w:pPr>
      <w:r w:rsidRPr="000233DC">
        <w:t>It covers the period November 2021 to December 2024.</w:t>
      </w:r>
    </w:p>
    <w:p w14:paraId="3C97E758" w14:textId="77777777" w:rsidR="00BD3D35" w:rsidRPr="000233DC" w:rsidRDefault="00BD3D35" w:rsidP="00BD3D35">
      <w:pPr>
        <w:pStyle w:val="ListBullet"/>
        <w:numPr>
          <w:ilvl w:val="0"/>
          <w:numId w:val="1"/>
        </w:numPr>
      </w:pPr>
      <w:r w:rsidRPr="05DC78EE">
        <w:t xml:space="preserve">It focuses on the effectiveness of PRES as a mechanism, including the relevance, quality, and usefulness of its services; as distinct from the effectiveness of the DFAT investments to which PRES contributes e.g. Aviation program, Fiscal budget support package (some of which have been or will be evaluated separately).  </w:t>
      </w:r>
    </w:p>
    <w:p w14:paraId="2A92DE8F" w14:textId="77777777" w:rsidR="00BD3D35" w:rsidRPr="00740844" w:rsidRDefault="00BD3D35" w:rsidP="00BD3D35">
      <w:pPr>
        <w:pStyle w:val="ListBullet"/>
        <w:numPr>
          <w:ilvl w:val="0"/>
          <w:numId w:val="1"/>
        </w:numPr>
      </w:pPr>
      <w:r w:rsidRPr="000233DC">
        <w:t>It is not a contractual performance assessment of the PRES managing contractor.</w:t>
      </w:r>
    </w:p>
    <w:p w14:paraId="5F70D848" w14:textId="77777777" w:rsidR="00BD3D35" w:rsidRDefault="00BD3D35" w:rsidP="00545B9A">
      <w:pPr>
        <w:pStyle w:val="Heading1"/>
      </w:pPr>
      <w:bookmarkStart w:id="98" w:name="_Toc195808986"/>
      <w:bookmarkStart w:id="99" w:name="_Toc205992469"/>
      <w:bookmarkStart w:id="100" w:name="_Toc205992556"/>
      <w:r>
        <w:lastRenderedPageBreak/>
        <w:t>Methodology</w:t>
      </w:r>
      <w:bookmarkEnd w:id="98"/>
      <w:bookmarkEnd w:id="99"/>
      <w:bookmarkEnd w:id="100"/>
    </w:p>
    <w:p w14:paraId="0726352D" w14:textId="77777777" w:rsidR="00BD3D35" w:rsidRPr="0075035D" w:rsidRDefault="00BD3D35" w:rsidP="00BD3D35">
      <w:pPr>
        <w:pStyle w:val="ListBullet"/>
        <w:numPr>
          <w:ilvl w:val="0"/>
          <w:numId w:val="0"/>
        </w:numPr>
      </w:pPr>
      <w:r w:rsidRPr="05DC78EE">
        <w:t>A lean methodology is proposed, informed by based on the nature of the evaluand (predominantly a delivery mechanism) and the short timeframe for the evaluation. All questions will be answered via a mix of document review and semi-structured Interviews with key informants. Interviewees will be purposively sampled to access a diverse range of perspectives. After analysing the data, the team will lead a workshop with DFAT stakeholders to validate preliminary findings and explore design issues. More information on the methodology is provided below.</w:t>
      </w:r>
    </w:p>
    <w:p w14:paraId="5FD2ABDA" w14:textId="77777777" w:rsidR="00BD3D35" w:rsidRDefault="00BD3D35" w:rsidP="00DE2ADD">
      <w:pPr>
        <w:pStyle w:val="Heading3nonumber"/>
      </w:pPr>
      <w:bookmarkStart w:id="101" w:name="_Toc188284681"/>
      <w:bookmarkStart w:id="102" w:name="_Toc195808987"/>
      <w:r>
        <w:t>Principles</w:t>
      </w:r>
      <w:bookmarkEnd w:id="101"/>
      <w:bookmarkEnd w:id="102"/>
    </w:p>
    <w:p w14:paraId="3017C65A" w14:textId="77777777" w:rsidR="00BD3D35" w:rsidRDefault="00BD3D35" w:rsidP="00BD3D35">
      <w:r>
        <w:t>The evaluation will be guided by the following principles:</w:t>
      </w:r>
    </w:p>
    <w:p w14:paraId="1B2143B6" w14:textId="77777777" w:rsidR="00BD3D35" w:rsidRPr="00E3028A" w:rsidRDefault="00BD3D35" w:rsidP="00BD3D35">
      <w:pPr>
        <w:pStyle w:val="ListBullet"/>
        <w:numPr>
          <w:ilvl w:val="0"/>
          <w:numId w:val="1"/>
        </w:numPr>
      </w:pPr>
      <w:r w:rsidRPr="00E3028A">
        <w:rPr>
          <w:b/>
          <w:bCs/>
        </w:rPr>
        <w:t>Focus on intended uses</w:t>
      </w:r>
      <w:r w:rsidRPr="00E3028A">
        <w:t xml:space="preserve"> – The </w:t>
      </w:r>
      <w:r>
        <w:t xml:space="preserve">evaluation questions respond to </w:t>
      </w:r>
      <w:r w:rsidRPr="00E3028A">
        <w:t xml:space="preserve">the purposes and audiences </w:t>
      </w:r>
      <w:r>
        <w:t>in Section 2.1</w:t>
      </w:r>
      <w:r w:rsidRPr="00E3028A">
        <w:t>.</w:t>
      </w:r>
      <w:r>
        <w:t xml:space="preserve"> Opportunities will be taken throughout the evaluation process to foster ownership and learning by primary audiences, including via regular check-ins and a sense-making workshop toward the end of the evaluation phase.</w:t>
      </w:r>
      <w:r w:rsidRPr="00E3028A">
        <w:t xml:space="preserve"> </w:t>
      </w:r>
    </w:p>
    <w:p w14:paraId="662F6EDD" w14:textId="77777777" w:rsidR="00BD3D35" w:rsidRPr="00E3028A" w:rsidRDefault="00BD3D35" w:rsidP="00BD3D35">
      <w:pPr>
        <w:pStyle w:val="ListBullet"/>
        <w:numPr>
          <w:ilvl w:val="0"/>
          <w:numId w:val="1"/>
        </w:numPr>
      </w:pPr>
      <w:r w:rsidRPr="05DC78EE">
        <w:rPr>
          <w:b/>
          <w:bCs/>
        </w:rPr>
        <w:t>Work collaboratively</w:t>
      </w:r>
      <w:r w:rsidRPr="05DC78EE">
        <w:t xml:space="preserve"> – The evaluation team will work collaboratively with DFAT and the PRES team throughout the process (within any commercial-in-confidence constraints) to draw on their tacit knowledge, build ownership, identify any required changes to this evaluation plan, and manage expectations. </w:t>
      </w:r>
    </w:p>
    <w:p w14:paraId="44BCF4A5" w14:textId="77777777" w:rsidR="00BD3D35" w:rsidRPr="00E3028A" w:rsidRDefault="00BD3D35" w:rsidP="00BD3D35">
      <w:pPr>
        <w:pStyle w:val="ListBullet"/>
        <w:numPr>
          <w:ilvl w:val="0"/>
          <w:numId w:val="1"/>
        </w:numPr>
      </w:pPr>
      <w:r w:rsidRPr="05DC78EE">
        <w:rPr>
          <w:b/>
          <w:bCs/>
        </w:rPr>
        <w:t xml:space="preserve">Optimise efficiency </w:t>
      </w:r>
      <w:r w:rsidRPr="05DC78EE">
        <w:t>–For some respondents, the team will cover evaluation data collection and design consultation in one interview. The evaluation sense-making workshop will also provide an opportunity for early deliberation and feedback on key design issues.</w:t>
      </w:r>
    </w:p>
    <w:p w14:paraId="2002280C" w14:textId="77777777" w:rsidR="00BD3D35" w:rsidRDefault="00BD3D35" w:rsidP="00BD3D35">
      <w:pPr>
        <w:pStyle w:val="ListBullet"/>
        <w:numPr>
          <w:ilvl w:val="0"/>
          <w:numId w:val="1"/>
        </w:numPr>
      </w:pPr>
      <w:r>
        <w:rPr>
          <w:b/>
          <w:bCs/>
        </w:rPr>
        <w:t>Take</w:t>
      </w:r>
      <w:r w:rsidRPr="0005216E">
        <w:rPr>
          <w:b/>
          <w:bCs/>
        </w:rPr>
        <w:t xml:space="preserve"> an evidence-informed approach</w:t>
      </w:r>
      <w:r>
        <w:t xml:space="preserve"> – In line with DFAT’s design, monitoring and evaluation standards, the evaluation will be based on a transparent and systematic data collection and analysis process. While respecting privacy and confidentiality, sources for findings will be clearly referenced in the report.</w:t>
      </w:r>
    </w:p>
    <w:p w14:paraId="0DC7207D" w14:textId="77777777" w:rsidR="00BD3D35" w:rsidRDefault="00BD3D35" w:rsidP="00DE2ADD">
      <w:pPr>
        <w:pStyle w:val="Heading3nonumber"/>
      </w:pPr>
      <w:bookmarkStart w:id="103" w:name="_Toc188284682"/>
      <w:bookmarkStart w:id="104" w:name="_Toc195808988"/>
      <w:r>
        <w:t>Data collection and sampling</w:t>
      </w:r>
      <w:bookmarkEnd w:id="103"/>
      <w:bookmarkEnd w:id="104"/>
    </w:p>
    <w:p w14:paraId="2B3623DE" w14:textId="77777777" w:rsidR="00BD3D35" w:rsidRDefault="00BD3D35" w:rsidP="00F95AE7">
      <w:pPr>
        <w:pStyle w:val="Heading3nonumber"/>
      </w:pPr>
      <w:bookmarkStart w:id="105" w:name="_Toc77250648"/>
      <w:bookmarkStart w:id="106" w:name="_Toc77251553"/>
      <w:bookmarkStart w:id="107" w:name="_Toc77251960"/>
      <w:bookmarkStart w:id="108" w:name="_Toc77252413"/>
      <w:r>
        <w:t>Semi-structured interviews</w:t>
      </w:r>
      <w:bookmarkEnd w:id="105"/>
      <w:bookmarkEnd w:id="106"/>
      <w:bookmarkEnd w:id="107"/>
      <w:bookmarkEnd w:id="108"/>
    </w:p>
    <w:p w14:paraId="570AC7ED" w14:textId="77777777" w:rsidR="00BD3D35" w:rsidRDefault="00BD3D35" w:rsidP="00BD3D35">
      <w:r>
        <w:t xml:space="preserve">Interviews will be guided by broad questions and prompts (see </w:t>
      </w:r>
      <w:r w:rsidRPr="006E2C5D">
        <w:rPr>
          <w:b/>
          <w:bCs/>
        </w:rPr>
        <w:t xml:space="preserve">Appendix </w:t>
      </w:r>
      <w:r>
        <w:rPr>
          <w:b/>
          <w:bCs/>
        </w:rPr>
        <w:t>2</w:t>
      </w:r>
      <w:r>
        <w:t xml:space="preserve">), with flexibility to respond to other relevant issues raised by respondents. Approximately 18 interviews will be conducted with </w:t>
      </w:r>
    </w:p>
    <w:p w14:paraId="53A4A57D" w14:textId="77777777" w:rsidR="00BD3D35" w:rsidRPr="003D5831" w:rsidRDefault="00BD3D35" w:rsidP="00BD3D35">
      <w:pPr>
        <w:pStyle w:val="ListBullet"/>
        <w:numPr>
          <w:ilvl w:val="0"/>
          <w:numId w:val="1"/>
        </w:numPr>
      </w:pPr>
      <w:r w:rsidRPr="05DC78EE">
        <w:t>DFAT managers of PRES (Economic Policy and Partnerships Section), including staff involved in PRES design and inception.</w:t>
      </w:r>
    </w:p>
    <w:p w14:paraId="6E6D96CE" w14:textId="77777777" w:rsidR="00BD3D35" w:rsidRPr="003D5831" w:rsidRDefault="00BD3D35" w:rsidP="00BD3D35">
      <w:pPr>
        <w:pStyle w:val="ListBullet"/>
        <w:numPr>
          <w:ilvl w:val="0"/>
          <w:numId w:val="1"/>
        </w:numPr>
      </w:pPr>
      <w:r>
        <w:t>DFAT users of PRES, focusing on Office of the Pacific and relevant Pacific Posts.</w:t>
      </w:r>
    </w:p>
    <w:p w14:paraId="7D3F5A56" w14:textId="20592462" w:rsidR="00BD3D35" w:rsidRDefault="00BD3D35" w:rsidP="4E4D3734">
      <w:pPr>
        <w:pStyle w:val="ListBullet"/>
      </w:pPr>
      <w:r>
        <w:t xml:space="preserve">PRES </w:t>
      </w:r>
      <w:r w:rsidR="616F1DE5">
        <w:t>C</w:t>
      </w:r>
      <w:r>
        <w:t xml:space="preserve">ore </w:t>
      </w:r>
      <w:r w:rsidR="22A5137D">
        <w:t>T</w:t>
      </w:r>
      <w:r>
        <w:t>eam</w:t>
      </w:r>
    </w:p>
    <w:p w14:paraId="02799F0A" w14:textId="5394C5A3" w:rsidR="00BD3D35" w:rsidRPr="003D5831" w:rsidRDefault="00BD3D35" w:rsidP="00BD3D35">
      <w:pPr>
        <w:pStyle w:val="ListBullet"/>
        <w:numPr>
          <w:ilvl w:val="0"/>
          <w:numId w:val="1"/>
        </w:numPr>
      </w:pPr>
      <w:r w:rsidRPr="05DC78EE">
        <w:t xml:space="preserve">PRES i) advisers embedded in PEB and ii) consultants engaged by </w:t>
      </w:r>
      <w:r w:rsidR="00B91A70" w:rsidRPr="05DC78EE">
        <w:t>PRES.</w:t>
      </w:r>
    </w:p>
    <w:p w14:paraId="0ED6F79C" w14:textId="77777777" w:rsidR="00BD3D35" w:rsidRDefault="00BD3D35" w:rsidP="00BD3D35">
      <w:r w:rsidRPr="05DC78EE">
        <w:t xml:space="preserve">Across these stakeholder groups, respondents will be selected for maximum variation in terms of geography, thematic issues, scale (cost and duration) of PRES’ investment, and level of familiarity with PRES and its services.  </w:t>
      </w:r>
    </w:p>
    <w:p w14:paraId="67E5DF42" w14:textId="77777777" w:rsidR="00BD3D35" w:rsidRDefault="00BD3D35" w:rsidP="00BD3D35">
      <w:r>
        <w:t xml:space="preserve">A draft list of interviewees is shown at </w:t>
      </w:r>
      <w:r w:rsidRPr="006E2C5D">
        <w:rPr>
          <w:b/>
          <w:bCs/>
        </w:rPr>
        <w:t xml:space="preserve">Appendix </w:t>
      </w:r>
      <w:r>
        <w:rPr>
          <w:b/>
          <w:bCs/>
        </w:rPr>
        <w:t>3</w:t>
      </w:r>
      <w:r w:rsidRPr="006E2C5D">
        <w:t>.</w:t>
      </w:r>
    </w:p>
    <w:p w14:paraId="78B2D1AC" w14:textId="77777777" w:rsidR="00BD3D35" w:rsidRDefault="00BD3D35" w:rsidP="00DE2ADD">
      <w:pPr>
        <w:pStyle w:val="Heading3nonumber"/>
      </w:pPr>
      <w:bookmarkStart w:id="109" w:name="_Toc77250649"/>
      <w:bookmarkStart w:id="110" w:name="_Toc77251554"/>
      <w:bookmarkStart w:id="111" w:name="_Toc77251961"/>
      <w:bookmarkStart w:id="112" w:name="_Toc77252414"/>
      <w:r>
        <w:lastRenderedPageBreak/>
        <w:t>Document review</w:t>
      </w:r>
      <w:bookmarkEnd w:id="109"/>
      <w:bookmarkEnd w:id="110"/>
      <w:bookmarkEnd w:id="111"/>
      <w:bookmarkEnd w:id="112"/>
    </w:p>
    <w:p w14:paraId="7F22A67F" w14:textId="77777777" w:rsidR="00BD3D35" w:rsidRDefault="00BD3D35" w:rsidP="00BD3D35">
      <w:pPr>
        <w:pStyle w:val="ListBullet"/>
        <w:numPr>
          <w:ilvl w:val="0"/>
          <w:numId w:val="0"/>
        </w:numPr>
      </w:pPr>
      <w:r w:rsidRPr="05DC78EE">
        <w:t xml:space="preserve">A range of program documents will be reviewed, including strategies, work plans, progress reports, knowledge/communications products etc. </w:t>
      </w:r>
      <w:r w:rsidRPr="05DC78EE">
        <w:rPr>
          <w:b/>
          <w:bCs/>
        </w:rPr>
        <w:t xml:space="preserve">Appendix 3 </w:t>
      </w:r>
      <w:r w:rsidRPr="05DC78EE">
        <w:t xml:space="preserve">provides an indicative list of key document types to be reviewed. The team may also request assistance from the PRES team to analyse and report available financial, activity, or M&amp;E data from PRES database/s. </w:t>
      </w:r>
    </w:p>
    <w:p w14:paraId="6F5A4F71" w14:textId="77777777" w:rsidR="00BD3D35" w:rsidRDefault="00BD3D35" w:rsidP="00BD3D35">
      <w:pPr>
        <w:pStyle w:val="ListBullet"/>
        <w:numPr>
          <w:ilvl w:val="0"/>
          <w:numId w:val="0"/>
        </w:numPr>
      </w:pPr>
    </w:p>
    <w:p w14:paraId="76A6A53F" w14:textId="77777777" w:rsidR="00BD3D35" w:rsidRDefault="00BD3D35" w:rsidP="00BD3D35">
      <w:pPr>
        <w:pStyle w:val="ListBullet"/>
        <w:numPr>
          <w:ilvl w:val="0"/>
          <w:numId w:val="0"/>
        </w:numPr>
      </w:pPr>
      <w:r w:rsidRPr="005063A9">
        <w:rPr>
          <w:b/>
          <w:bCs/>
        </w:rPr>
        <w:t>Appendix 4</w:t>
      </w:r>
      <w:r>
        <w:t xml:space="preserve"> shows which data sources will be the focus of data collection for each key evaluation question.</w:t>
      </w:r>
    </w:p>
    <w:p w14:paraId="721E642F" w14:textId="77777777" w:rsidR="00BD3D35" w:rsidRDefault="00BD3D35" w:rsidP="00DE2ADD">
      <w:pPr>
        <w:pStyle w:val="Heading3nonumber"/>
      </w:pPr>
      <w:bookmarkStart w:id="113" w:name="_Toc188284683"/>
      <w:bookmarkStart w:id="114" w:name="_Toc195808989"/>
      <w:r>
        <w:t>Data analysis and sense-making</w:t>
      </w:r>
      <w:bookmarkEnd w:id="113"/>
      <w:bookmarkEnd w:id="114"/>
    </w:p>
    <w:p w14:paraId="12F65A7C" w14:textId="77777777" w:rsidR="00BD3D35" w:rsidRDefault="00BD3D35" w:rsidP="00BD3D35">
      <w:r w:rsidRPr="05DC78EE">
        <w:t xml:space="preserve">The team will conduct thematic analysis to organise collected data against the evaluation sub-questions, as well as other key issues that emerge during data collection. PRES financial, activity, and results data will also be quantitatively analysed to summarise the scale and coverage (geographic, thematic, etc.) of PRES funding, delivery, and achievements. </w:t>
      </w:r>
    </w:p>
    <w:p w14:paraId="0FFA00D2" w14:textId="77777777" w:rsidR="00BD3D35" w:rsidRDefault="00BD3D35" w:rsidP="00BD3D35">
      <w:r w:rsidRPr="05DC78EE">
        <w:t xml:space="preserve">A </w:t>
      </w:r>
      <w:r w:rsidRPr="05DC78EE">
        <w:rPr>
          <w:b/>
          <w:bCs/>
        </w:rPr>
        <w:t>stakeholder workshop</w:t>
      </w:r>
      <w:r w:rsidRPr="05DC78EE">
        <w:t xml:space="preserve"> toward the end of the evaluation phase (Feb/Mar) will provide an opportunity to test preliminary findings and recommendations with primary audiences and discuss related design issues. In addition, regular check-ins between the evaluation team and DFAT will be used for iterative sense-making throughout the process. </w:t>
      </w:r>
    </w:p>
    <w:p w14:paraId="04FE2D7E" w14:textId="77777777" w:rsidR="00BD3D35" w:rsidRDefault="00BD3D35" w:rsidP="00DE2ADD">
      <w:pPr>
        <w:pStyle w:val="Heading3nonumber"/>
      </w:pPr>
      <w:bookmarkStart w:id="115" w:name="_Toc188284684"/>
      <w:bookmarkStart w:id="116" w:name="_Toc195808990"/>
      <w:r>
        <w:t>Reporting and quality assurance</w:t>
      </w:r>
      <w:bookmarkEnd w:id="115"/>
      <w:bookmarkEnd w:id="116"/>
    </w:p>
    <w:p w14:paraId="2623ECE7" w14:textId="77777777" w:rsidR="00BD3D35" w:rsidRDefault="00BD3D35" w:rsidP="00BD3D35">
      <w:r>
        <w:t xml:space="preserve">The primary report will be the </w:t>
      </w:r>
      <w:r w:rsidRPr="008D063C">
        <w:rPr>
          <w:b/>
          <w:bCs/>
        </w:rPr>
        <w:t>PRES evaluation report</w:t>
      </w:r>
      <w:r>
        <w:t xml:space="preserve"> (15-20 pages plus annexes), adherent to DFAT DM&amp;E Standard 10 and DFAT accessibility requirements. DFAT intends to publish this report online with its management response.</w:t>
      </w:r>
    </w:p>
    <w:p w14:paraId="4B442140" w14:textId="77777777" w:rsidR="00BD3D35" w:rsidRDefault="00BD3D35" w:rsidP="00BD3D35">
      <w:r w:rsidRPr="05DC78EE">
        <w:t xml:space="preserve">This will be subject to internal quality assurance by Clear Horizon and will benefit from review and feedback from primary audiences. </w:t>
      </w:r>
    </w:p>
    <w:p w14:paraId="0FBC6B18" w14:textId="77777777" w:rsidR="00BD3D35" w:rsidRDefault="00BD3D35" w:rsidP="00545B9A">
      <w:pPr>
        <w:pStyle w:val="Heading3nonumber"/>
      </w:pPr>
      <w:bookmarkStart w:id="117" w:name="_Toc188284685"/>
      <w:bookmarkStart w:id="118" w:name="_Toc195808991"/>
      <w:r>
        <w:t>Ethics and limitations</w:t>
      </w:r>
      <w:bookmarkEnd w:id="117"/>
      <w:bookmarkEnd w:id="118"/>
    </w:p>
    <w:p w14:paraId="4A653F33" w14:textId="77777777" w:rsidR="00BD3D35" w:rsidRPr="0075453D" w:rsidRDefault="00BD3D35" w:rsidP="00BD3D35">
      <w:r w:rsidRPr="05DC78EE">
        <w:t xml:space="preserve">This evaluation will be conducted in accordance with the best practice guidelines set out in Clear Horizon’s Ethics Policy and Guidelines, the Australasian Evaluation Society’s (AES) ‘Guidelines for the Ethical Conduct of Evaluations’, and DFAT’s Ethical Research and Evaluation guidance note. </w:t>
      </w:r>
    </w:p>
    <w:p w14:paraId="29366C4F" w14:textId="77777777" w:rsidR="00BD3D35" w:rsidRPr="0075453D" w:rsidRDefault="00BD3D35" w:rsidP="00BD3D35">
      <w:pPr>
        <w:pStyle w:val="ListBullet"/>
        <w:numPr>
          <w:ilvl w:val="0"/>
          <w:numId w:val="1"/>
        </w:numPr>
      </w:pPr>
      <w:r w:rsidRPr="05DC78EE">
        <w:rPr>
          <w:b/>
          <w:bCs/>
        </w:rPr>
        <w:t>Informed consent</w:t>
      </w:r>
      <w:r w:rsidRPr="05DC78EE">
        <w:t xml:space="preserve"> will be obtained from all respondents, ensuring that they understand the purpose, procedures, risks and benefits of participation in the evaluation. Participants will have the right to refuse or withdraw from participation at any time without consequence.</w:t>
      </w:r>
    </w:p>
    <w:p w14:paraId="27E5D1F1" w14:textId="77777777" w:rsidR="00BD3D35" w:rsidRPr="0075453D" w:rsidRDefault="00BD3D35" w:rsidP="00BD3D35">
      <w:pPr>
        <w:pStyle w:val="ListBullet"/>
        <w:numPr>
          <w:ilvl w:val="0"/>
          <w:numId w:val="1"/>
        </w:numPr>
      </w:pPr>
      <w:r w:rsidRPr="607ACB47">
        <w:rPr>
          <w:b/>
          <w:bCs/>
        </w:rPr>
        <w:t>Confidentiality and anonymity</w:t>
      </w:r>
      <w:r>
        <w:t xml:space="preserve"> will be safeguarded by ensuring that data is anonymised when reporting findings to prevent the identification of individuals or groups without their consent. </w:t>
      </w:r>
    </w:p>
    <w:p w14:paraId="36B3C9B7" w14:textId="77777777" w:rsidR="00BD3D35" w:rsidRPr="00A64A2B" w:rsidRDefault="00BD3D35" w:rsidP="00BD3D35">
      <w:r>
        <w:t>Key limitations affecting the evaluation are that:</w:t>
      </w:r>
    </w:p>
    <w:p w14:paraId="2A4E500B" w14:textId="77777777" w:rsidR="00BD3D35" w:rsidRDefault="00BD3D35" w:rsidP="00BD3D35">
      <w:pPr>
        <w:pStyle w:val="ListBullet"/>
        <w:numPr>
          <w:ilvl w:val="0"/>
          <w:numId w:val="1"/>
        </w:numPr>
      </w:pPr>
      <w:r w:rsidRPr="05DC78EE">
        <w:t>The absence of a design document creates evaluability challenges, particularly when attempting to judge the extent to which program achievements reflected DFAT’s original intent.</w:t>
      </w:r>
    </w:p>
    <w:p w14:paraId="19617251" w14:textId="77777777" w:rsidR="00BD3D35" w:rsidRDefault="00BD3D35" w:rsidP="00BD3D35">
      <w:pPr>
        <w:pStyle w:val="ListBullet"/>
        <w:numPr>
          <w:ilvl w:val="0"/>
          <w:numId w:val="1"/>
        </w:numPr>
      </w:pPr>
      <w:r w:rsidRPr="05DC78EE">
        <w:t xml:space="preserve">The evaluation phase is short and runs over the Dec/Jan period when some staff will have limited availability to participate in interviews. </w:t>
      </w:r>
    </w:p>
    <w:p w14:paraId="4A6B495E" w14:textId="77777777" w:rsidR="00BD3D35" w:rsidRDefault="00BD3D35" w:rsidP="00BD3D35">
      <w:pPr>
        <w:pStyle w:val="ListBullet"/>
        <w:numPr>
          <w:ilvl w:val="0"/>
          <w:numId w:val="1"/>
        </w:numPr>
      </w:pPr>
      <w:r w:rsidRPr="05DC78EE">
        <w:t>The evaluation will not benefit from interviews with end users or counterparts of PRES services outside DFAT e.g. partner government officials, although such feedback may be accessed via review of PRES progress reports and PRES-commissioned evaluations.</w:t>
      </w:r>
    </w:p>
    <w:p w14:paraId="10EA80FB" w14:textId="77777777" w:rsidR="00BD3D35" w:rsidRDefault="00BD3D35" w:rsidP="00BD3D35">
      <w:pPr>
        <w:pStyle w:val="Heading1"/>
      </w:pPr>
      <w:bookmarkStart w:id="119" w:name="_Toc188284686"/>
      <w:bookmarkStart w:id="120" w:name="_Toc195808992"/>
      <w:bookmarkStart w:id="121" w:name="_Toc205992470"/>
      <w:bookmarkStart w:id="122" w:name="_Toc205992557"/>
      <w:bookmarkEnd w:id="119"/>
      <w:r>
        <w:lastRenderedPageBreak/>
        <w:t>Process</w:t>
      </w:r>
      <w:bookmarkEnd w:id="120"/>
      <w:bookmarkEnd w:id="121"/>
      <w:bookmarkEnd w:id="122"/>
      <w:r>
        <w:t xml:space="preserve"> </w:t>
      </w:r>
    </w:p>
    <w:p w14:paraId="0F62CAE5" w14:textId="77777777" w:rsidR="00BD3D35" w:rsidRDefault="00BD3D35" w:rsidP="00DE2ADD">
      <w:pPr>
        <w:pStyle w:val="Heading3nonumber"/>
      </w:pPr>
      <w:bookmarkStart w:id="123" w:name="_Toc188284688"/>
      <w:bookmarkStart w:id="124" w:name="_Toc195808993"/>
      <w:r>
        <w:t>Phasing</w:t>
      </w:r>
      <w:bookmarkEnd w:id="123"/>
      <w:bookmarkEnd w:id="124"/>
    </w:p>
    <w:p w14:paraId="5C0E5F06" w14:textId="77777777" w:rsidR="00BD3D35" w:rsidRDefault="00BD3D35" w:rsidP="00BD3D35">
      <w:r>
        <w:t xml:space="preserve">A phased approach to the evaluation and design is planned, noting that DFAT decisions about the design phase are still pending: </w:t>
      </w:r>
    </w:p>
    <w:p w14:paraId="2E604CFC" w14:textId="587A2370" w:rsidR="00BD3D35" w:rsidRDefault="00675F57" w:rsidP="00BD3D35">
      <w:r w:rsidRPr="00675F57">
        <w:rPr>
          <w:noProof/>
        </w:rPr>
        <w:drawing>
          <wp:inline distT="0" distB="0" distL="0" distR="0" wp14:anchorId="60AE6789" wp14:editId="5F2025C8">
            <wp:extent cx="6192520" cy="950595"/>
            <wp:effectExtent l="0" t="0" r="0" b="1905"/>
            <wp:docPr id="2144978016" name="Picture 1" descr="Shows phased approach to the evaluation and designed. Phase 1 evaluation Plan (December), Phase 2 Evaluation (January to March), Phase 3 Design Plan (February) and Phase 4 Design (March to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978016" name="Picture 1" descr="Shows phased approach to the evaluation and designed. Phase 1 evaluation Plan (December), Phase 2 Evaluation (January to March), Phase 3 Design Plan (February) and Phase 4 Design (March to June)"/>
                    <pic:cNvPicPr/>
                  </pic:nvPicPr>
                  <pic:blipFill>
                    <a:blip r:embed="rId30"/>
                    <a:stretch>
                      <a:fillRect/>
                    </a:stretch>
                  </pic:blipFill>
                  <pic:spPr>
                    <a:xfrm>
                      <a:off x="0" y="0"/>
                      <a:ext cx="6192520" cy="950595"/>
                    </a:xfrm>
                    <a:prstGeom prst="rect">
                      <a:avLst/>
                    </a:prstGeom>
                  </pic:spPr>
                </pic:pic>
              </a:graphicData>
            </a:graphic>
          </wp:inline>
        </w:drawing>
      </w:r>
    </w:p>
    <w:p w14:paraId="3F76374A" w14:textId="77777777" w:rsidR="00BD3D35" w:rsidRPr="00DC6E84" w:rsidRDefault="00BD3D35" w:rsidP="00BD3D35">
      <w:pPr>
        <w:pStyle w:val="ListBullet"/>
        <w:numPr>
          <w:ilvl w:val="0"/>
          <w:numId w:val="1"/>
        </w:numPr>
      </w:pPr>
      <w:r>
        <w:t xml:space="preserve">Phase 1 (Dec) is the development of an evaluation plan (this document). </w:t>
      </w:r>
    </w:p>
    <w:p w14:paraId="3533E042" w14:textId="77777777" w:rsidR="00BD3D35" w:rsidRPr="00DC6E84" w:rsidRDefault="00BD3D35" w:rsidP="00BD3D35">
      <w:pPr>
        <w:pStyle w:val="ListBullet"/>
        <w:numPr>
          <w:ilvl w:val="0"/>
          <w:numId w:val="1"/>
        </w:numPr>
      </w:pPr>
      <w:r w:rsidRPr="05DC78EE">
        <w:t>Phase 2 (Jan-Mar) is evaluation phase data collection, analysis, sense-making and reporting. This will be guided by the evaluation questions (</w:t>
      </w:r>
      <w:r w:rsidRPr="05DC78EE">
        <w:rPr>
          <w:b/>
          <w:bCs/>
        </w:rPr>
        <w:t>Section 2.2.1</w:t>
      </w:r>
      <w:r w:rsidRPr="05DC78EE">
        <w:t xml:space="preserve">), some of which ask about opportunities for improvement, to inform the design of PRES 2. </w:t>
      </w:r>
    </w:p>
    <w:p w14:paraId="222F1DAB" w14:textId="77777777" w:rsidR="00BD3D35" w:rsidRPr="00DC6E84" w:rsidRDefault="00BD3D35" w:rsidP="00BD3D35">
      <w:pPr>
        <w:pStyle w:val="ListBullet"/>
        <w:numPr>
          <w:ilvl w:val="0"/>
          <w:numId w:val="1"/>
        </w:numPr>
      </w:pPr>
      <w:r w:rsidRPr="05DC78EE">
        <w:t>Contingent on DFAT’s decision to commence the design phase, Phase 3 (Feb) involves developing the design plan, including by adding design sub-questions (</w:t>
      </w:r>
      <w:r w:rsidRPr="05DC78EE">
        <w:rPr>
          <w:b/>
          <w:bCs/>
        </w:rPr>
        <w:t>Section 2.2.2</w:t>
      </w:r>
      <w:r w:rsidRPr="05DC78EE">
        <w:t>) and updating the list of design consultations (</w:t>
      </w:r>
      <w:r w:rsidRPr="05DC78EE">
        <w:rPr>
          <w:b/>
          <w:bCs/>
        </w:rPr>
        <w:t>Appendix 3</w:t>
      </w:r>
      <w:r w:rsidRPr="05DC78EE">
        <w:t>), informed by design issues identified during Phase 2, and remaining information gaps.</w:t>
      </w:r>
    </w:p>
    <w:p w14:paraId="0491ECDC" w14:textId="77777777" w:rsidR="00BD3D35" w:rsidRPr="00DC6E84" w:rsidRDefault="00BD3D35" w:rsidP="00BD3D35">
      <w:pPr>
        <w:pStyle w:val="ListBullet"/>
        <w:numPr>
          <w:ilvl w:val="0"/>
          <w:numId w:val="1"/>
        </w:numPr>
      </w:pPr>
      <w:r w:rsidRPr="05DC78EE">
        <w:t xml:space="preserve">Phase 4 (Mar-Jun) is design phase data collection, analysis, sense-making and reporting, guided by the design plan and resulting in a draft investment design document in June 2025.  </w:t>
      </w:r>
    </w:p>
    <w:p w14:paraId="6D386F30" w14:textId="77777777" w:rsidR="00BD3D35" w:rsidRPr="002C34AE" w:rsidRDefault="00BD3D35" w:rsidP="00BD3D35">
      <w:r w:rsidRPr="00DC6E84">
        <w:t xml:space="preserve">A detailed </w:t>
      </w:r>
      <w:r w:rsidRPr="00DC6E84">
        <w:rPr>
          <w:b/>
          <w:bCs/>
        </w:rPr>
        <w:t>work plan</w:t>
      </w:r>
      <w:r w:rsidRPr="00DC6E84">
        <w:t xml:space="preserve"> is shown at </w:t>
      </w:r>
      <w:r w:rsidRPr="00DC6E84">
        <w:rPr>
          <w:b/>
          <w:bCs/>
        </w:rPr>
        <w:t xml:space="preserve">Appendix </w:t>
      </w:r>
      <w:r>
        <w:rPr>
          <w:b/>
          <w:bCs/>
        </w:rPr>
        <w:t>1</w:t>
      </w:r>
      <w:r w:rsidRPr="00DC6E84">
        <w:t>.</w:t>
      </w:r>
    </w:p>
    <w:p w14:paraId="290E7847" w14:textId="77777777" w:rsidR="00BD3D35" w:rsidRDefault="00BD3D35" w:rsidP="00DE2ADD">
      <w:pPr>
        <w:pStyle w:val="Heading3nonumber"/>
      </w:pPr>
      <w:bookmarkStart w:id="125" w:name="_Toc188284689"/>
      <w:bookmarkStart w:id="126" w:name="_Toc195808994"/>
      <w:r>
        <w:t>Responsibilities and coordination</w:t>
      </w:r>
      <w:bookmarkEnd w:id="125"/>
      <w:bookmarkEnd w:id="126"/>
    </w:p>
    <w:p w14:paraId="2B290EBD" w14:textId="77777777" w:rsidR="00BD3D35" w:rsidRDefault="00BD3D35" w:rsidP="00BD3D35">
      <w:r>
        <w:t>The evaluation team will be led by co-led by Amanda Robbins and Gabrielle Stewart, with Dave Green as team member</w:t>
      </w:r>
      <w:r>
        <w:rPr>
          <w:rStyle w:val="FootnoteReference"/>
        </w:rPr>
        <w:footnoteReference w:id="10"/>
      </w:r>
      <w:r>
        <w:t xml:space="preserve">. Dr Kristy Jones (Equity Economics) will provide technical support as needed across the evaluation and design, and Cassidy Tyler (Clear Horizon) and Jacqueline Brown (Equity Economics) will provide administrative support. </w:t>
      </w:r>
    </w:p>
    <w:p w14:paraId="6127456B" w14:textId="77777777" w:rsidR="00BD3D35" w:rsidRDefault="00BD3D35" w:rsidP="00BD3D35">
      <w:r>
        <w:t>The team will work collaboratively across all phases of the evaluation and design process, guided by the following division of responsibilities:</w:t>
      </w:r>
    </w:p>
    <w:tbl>
      <w:tblPr>
        <w:tblStyle w:val="TableGrid"/>
        <w:tblW w:w="0" w:type="auto"/>
        <w:tblLook w:val="04A0" w:firstRow="1" w:lastRow="0" w:firstColumn="1" w:lastColumn="0" w:noHBand="0" w:noVBand="1"/>
      </w:tblPr>
      <w:tblGrid>
        <w:gridCol w:w="1861"/>
        <w:gridCol w:w="6769"/>
      </w:tblGrid>
      <w:tr w:rsidR="00BD3D35" w14:paraId="3805C002" w14:textId="77777777" w:rsidTr="00F95A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3A9F1521" w14:textId="77777777" w:rsidR="00BD3D35" w:rsidRDefault="00BD3D35">
            <w:r>
              <w:t xml:space="preserve"> Team member</w:t>
            </w:r>
          </w:p>
        </w:tc>
        <w:tc>
          <w:tcPr>
            <w:tcW w:w="0" w:type="auto"/>
          </w:tcPr>
          <w:p w14:paraId="03FA651D" w14:textId="77777777" w:rsidR="00BD3D35" w:rsidRDefault="00BD3D35">
            <w:pPr>
              <w:cnfStyle w:val="100000000000" w:firstRow="1" w:lastRow="0" w:firstColumn="0" w:lastColumn="0" w:oddVBand="0" w:evenVBand="0" w:oddHBand="0" w:evenHBand="0" w:firstRowFirstColumn="0" w:firstRowLastColumn="0" w:lastRowFirstColumn="0" w:lastRowLastColumn="0"/>
            </w:pPr>
            <w:r>
              <w:t>Lead responsibilities</w:t>
            </w:r>
          </w:p>
        </w:tc>
      </w:tr>
      <w:tr w:rsidR="00BD3D35" w14:paraId="7C7E9909" w14:textId="77777777">
        <w:tc>
          <w:tcPr>
            <w:cnfStyle w:val="001000000000" w:firstRow="0" w:lastRow="0" w:firstColumn="1" w:lastColumn="0" w:oddVBand="0" w:evenVBand="0" w:oddHBand="0" w:evenHBand="0" w:firstRowFirstColumn="0" w:firstRowLastColumn="0" w:lastRowFirstColumn="0" w:lastRowLastColumn="0"/>
            <w:tcW w:w="0" w:type="auto"/>
          </w:tcPr>
          <w:p w14:paraId="4FA3E897" w14:textId="77777777" w:rsidR="00BD3D35" w:rsidRPr="002D6A47" w:rsidRDefault="00BD3D35">
            <w:pPr>
              <w:rPr>
                <w:b w:val="0"/>
              </w:rPr>
            </w:pPr>
            <w:r>
              <w:t>Amanda Robbins</w:t>
            </w:r>
          </w:p>
        </w:tc>
        <w:tc>
          <w:tcPr>
            <w:tcW w:w="0" w:type="auto"/>
          </w:tcPr>
          <w:p w14:paraId="5E1EB6DB" w14:textId="77777777" w:rsidR="00BD3D35" w:rsidRDefault="00BD3D35" w:rsidP="00BD3D35">
            <w:pPr>
              <w:pStyle w:val="ListBullet"/>
              <w:numPr>
                <w:ilvl w:val="0"/>
                <w:numId w:val="1"/>
              </w:numPr>
              <w:cnfStyle w:val="000000000000" w:firstRow="0" w:lastRow="0" w:firstColumn="0" w:lastColumn="0" w:oddVBand="0" w:evenVBand="0" w:oddHBand="0" w:evenHBand="0" w:firstRowFirstColumn="0" w:firstRowLastColumn="0" w:lastRowFirstColumn="0" w:lastRowLastColumn="0"/>
            </w:pPr>
            <w:r>
              <w:t>Lead drafting of Investment Design Document</w:t>
            </w:r>
          </w:p>
          <w:p w14:paraId="5B59CCC5" w14:textId="77777777" w:rsidR="00BD3D35" w:rsidRDefault="00BD3D35" w:rsidP="00BD3D35">
            <w:pPr>
              <w:pStyle w:val="ListBullet"/>
              <w:numPr>
                <w:ilvl w:val="0"/>
                <w:numId w:val="1"/>
              </w:numPr>
              <w:cnfStyle w:val="000000000000" w:firstRow="0" w:lastRow="0" w:firstColumn="0" w:lastColumn="0" w:oddVBand="0" w:evenVBand="0" w:oddHBand="0" w:evenHBand="0" w:firstRowFirstColumn="0" w:firstRowLastColumn="0" w:lastRowFirstColumn="0" w:lastRowLastColumn="0"/>
            </w:pPr>
            <w:r>
              <w:t>Lead coordination with DFAT</w:t>
            </w:r>
          </w:p>
          <w:p w14:paraId="1F1179E9" w14:textId="77777777" w:rsidR="00BD3D35" w:rsidRPr="004F38AB" w:rsidRDefault="00BD3D35" w:rsidP="00BD3D35">
            <w:pPr>
              <w:pStyle w:val="ListBullet"/>
              <w:numPr>
                <w:ilvl w:val="0"/>
                <w:numId w:val="1"/>
              </w:numPr>
              <w:cnfStyle w:val="000000000000" w:firstRow="0" w:lastRow="0" w:firstColumn="0" w:lastColumn="0" w:oddVBand="0" w:evenVBand="0" w:oddHBand="0" w:evenHBand="0" w:firstRowFirstColumn="0" w:firstRowLastColumn="0" w:lastRowFirstColumn="0" w:lastRowLastColumn="0"/>
            </w:pPr>
            <w:r>
              <w:t xml:space="preserve">Contribute to data collection, analysis, and reporting (eval and design) </w:t>
            </w:r>
          </w:p>
        </w:tc>
      </w:tr>
      <w:tr w:rsidR="00BD3D35" w14:paraId="50DBB9D8" w14:textId="77777777">
        <w:tc>
          <w:tcPr>
            <w:cnfStyle w:val="001000000000" w:firstRow="0" w:lastRow="0" w:firstColumn="1" w:lastColumn="0" w:oddVBand="0" w:evenVBand="0" w:oddHBand="0" w:evenHBand="0" w:firstRowFirstColumn="0" w:firstRowLastColumn="0" w:lastRowFirstColumn="0" w:lastRowLastColumn="0"/>
            <w:tcW w:w="0" w:type="auto"/>
          </w:tcPr>
          <w:p w14:paraId="1FC1F3B8" w14:textId="77777777" w:rsidR="00BD3D35" w:rsidRDefault="00BD3D35">
            <w:r>
              <w:t>Gabrielle Stewart</w:t>
            </w:r>
          </w:p>
        </w:tc>
        <w:tc>
          <w:tcPr>
            <w:tcW w:w="0" w:type="auto"/>
          </w:tcPr>
          <w:p w14:paraId="6EAFA0A6" w14:textId="77777777" w:rsidR="00BD3D35" w:rsidRDefault="00BD3D35" w:rsidP="00BD3D35">
            <w:pPr>
              <w:pStyle w:val="ListBullet"/>
              <w:numPr>
                <w:ilvl w:val="0"/>
                <w:numId w:val="1"/>
              </w:numPr>
              <w:cnfStyle w:val="000000000000" w:firstRow="0" w:lastRow="0" w:firstColumn="0" w:lastColumn="0" w:oddVBand="0" w:evenVBand="0" w:oddHBand="0" w:evenHBand="0" w:firstRowFirstColumn="0" w:firstRowLastColumn="0" w:lastRowFirstColumn="0" w:lastRowLastColumn="0"/>
            </w:pPr>
            <w:r>
              <w:t>Lead drafting of Evaluation Report</w:t>
            </w:r>
          </w:p>
          <w:p w14:paraId="62B2F318" w14:textId="77777777" w:rsidR="00BD3D35" w:rsidRDefault="00BD3D35" w:rsidP="00BD3D35">
            <w:pPr>
              <w:pStyle w:val="ListBullet"/>
              <w:numPr>
                <w:ilvl w:val="0"/>
                <w:numId w:val="1"/>
              </w:numPr>
              <w:cnfStyle w:val="000000000000" w:firstRow="0" w:lastRow="0" w:firstColumn="0" w:lastColumn="0" w:oddVBand="0" w:evenVBand="0" w:oddHBand="0" w:evenHBand="0" w:firstRowFirstColumn="0" w:firstRowLastColumn="0" w:lastRowFirstColumn="0" w:lastRowLastColumn="0"/>
            </w:pPr>
            <w:r>
              <w:t>Lead drafting of design plan</w:t>
            </w:r>
          </w:p>
          <w:p w14:paraId="0624C40D" w14:textId="77777777" w:rsidR="00BD3D35" w:rsidRDefault="00BD3D35" w:rsidP="00BD3D35">
            <w:pPr>
              <w:pStyle w:val="ListBullet"/>
              <w:numPr>
                <w:ilvl w:val="0"/>
                <w:numId w:val="1"/>
              </w:numPr>
              <w:cnfStyle w:val="000000000000" w:firstRow="0" w:lastRow="0" w:firstColumn="0" w:lastColumn="0" w:oddVBand="0" w:evenVBand="0" w:oddHBand="0" w:evenHBand="0" w:firstRowFirstColumn="0" w:firstRowLastColumn="0" w:lastRowFirstColumn="0" w:lastRowLastColumn="0"/>
            </w:pPr>
            <w:r>
              <w:t>Manage work plan implementation (see Appendix 1)</w:t>
            </w:r>
          </w:p>
          <w:p w14:paraId="4B81E284" w14:textId="77777777" w:rsidR="00BD3D35" w:rsidRPr="004F38AB" w:rsidRDefault="00BD3D35" w:rsidP="00BD3D35">
            <w:pPr>
              <w:pStyle w:val="ListBullet"/>
              <w:numPr>
                <w:ilvl w:val="0"/>
                <w:numId w:val="1"/>
              </w:numPr>
              <w:cnfStyle w:val="000000000000" w:firstRow="0" w:lastRow="0" w:firstColumn="0" w:lastColumn="0" w:oddVBand="0" w:evenVBand="0" w:oddHBand="0" w:evenHBand="0" w:firstRowFirstColumn="0" w:firstRowLastColumn="0" w:lastRowFirstColumn="0" w:lastRowLastColumn="0"/>
            </w:pPr>
            <w:r>
              <w:t xml:space="preserve">Contribute to data collection, analysis, and reporting (eval and design) </w:t>
            </w:r>
          </w:p>
        </w:tc>
      </w:tr>
      <w:tr w:rsidR="00BD3D35" w14:paraId="4AC59ED6" w14:textId="77777777">
        <w:tc>
          <w:tcPr>
            <w:cnfStyle w:val="001000000000" w:firstRow="0" w:lastRow="0" w:firstColumn="1" w:lastColumn="0" w:oddVBand="0" w:evenVBand="0" w:oddHBand="0" w:evenHBand="0" w:firstRowFirstColumn="0" w:firstRowLastColumn="0" w:lastRowFirstColumn="0" w:lastRowLastColumn="0"/>
            <w:tcW w:w="0" w:type="auto"/>
          </w:tcPr>
          <w:p w14:paraId="18756FC8" w14:textId="77777777" w:rsidR="00BD3D35" w:rsidRDefault="00BD3D35">
            <w:r>
              <w:t>Dave Green</w:t>
            </w:r>
          </w:p>
        </w:tc>
        <w:tc>
          <w:tcPr>
            <w:tcW w:w="0" w:type="auto"/>
          </w:tcPr>
          <w:p w14:paraId="6C4E1D1A" w14:textId="77777777" w:rsidR="00BD3D35" w:rsidRDefault="00BD3D35" w:rsidP="00BD3D35">
            <w:pPr>
              <w:pStyle w:val="ListBullet"/>
              <w:numPr>
                <w:ilvl w:val="0"/>
                <w:numId w:val="1"/>
              </w:numPr>
              <w:cnfStyle w:val="000000000000" w:firstRow="0" w:lastRow="0" w:firstColumn="0" w:lastColumn="0" w:oddVBand="0" w:evenVBand="0" w:oddHBand="0" w:evenHBand="0" w:firstRowFirstColumn="0" w:firstRowLastColumn="0" w:lastRowFirstColumn="0" w:lastRowLastColumn="0"/>
            </w:pPr>
            <w:r>
              <w:t xml:space="preserve">Lead drafting of evaluation plan </w:t>
            </w:r>
          </w:p>
          <w:p w14:paraId="0BBF594C" w14:textId="77777777" w:rsidR="00BD3D35" w:rsidRDefault="00BD3D35" w:rsidP="00BD3D35">
            <w:pPr>
              <w:pStyle w:val="ListBullet"/>
              <w:numPr>
                <w:ilvl w:val="0"/>
                <w:numId w:val="1"/>
              </w:numPr>
              <w:cnfStyle w:val="000000000000" w:firstRow="0" w:lastRow="0" w:firstColumn="0" w:lastColumn="0" w:oddVBand="0" w:evenVBand="0" w:oddHBand="0" w:evenHBand="0" w:firstRowFirstColumn="0" w:firstRowLastColumn="0" w:lastRowFirstColumn="0" w:lastRowLastColumn="0"/>
            </w:pPr>
            <w:r>
              <w:t>Lead Clear Horizon quality assurance</w:t>
            </w:r>
          </w:p>
          <w:p w14:paraId="46D16CFC" w14:textId="77777777" w:rsidR="00BD3D35" w:rsidRDefault="00BD3D35" w:rsidP="00BD3D35">
            <w:pPr>
              <w:pStyle w:val="ListBullet"/>
              <w:numPr>
                <w:ilvl w:val="0"/>
                <w:numId w:val="1"/>
              </w:numPr>
              <w:cnfStyle w:val="000000000000" w:firstRow="0" w:lastRow="0" w:firstColumn="0" w:lastColumn="0" w:oddVBand="0" w:evenVBand="0" w:oddHBand="0" w:evenHBand="0" w:firstRowFirstColumn="0" w:firstRowLastColumn="0" w:lastRowFirstColumn="0" w:lastRowLastColumn="0"/>
            </w:pPr>
            <w:r>
              <w:t>Contribute to data collection, analysis, and reporting (eval)</w:t>
            </w:r>
          </w:p>
          <w:p w14:paraId="6B4ED81C" w14:textId="77777777" w:rsidR="00BD3D35" w:rsidRPr="004F38AB" w:rsidRDefault="00BD3D35" w:rsidP="00BD3D35">
            <w:pPr>
              <w:pStyle w:val="ListBullet"/>
              <w:numPr>
                <w:ilvl w:val="0"/>
                <w:numId w:val="1"/>
              </w:numPr>
              <w:cnfStyle w:val="000000000000" w:firstRow="0" w:lastRow="0" w:firstColumn="0" w:lastColumn="0" w:oddVBand="0" w:evenVBand="0" w:oddHBand="0" w:evenHBand="0" w:firstRowFirstColumn="0" w:firstRowLastColumn="0" w:lastRowFirstColumn="0" w:lastRowLastColumn="0"/>
            </w:pPr>
            <w:r w:rsidRPr="05DC78EE">
              <w:lastRenderedPageBreak/>
              <w:t xml:space="preserve">Contribute to program logic and MEL development (design).  </w:t>
            </w:r>
          </w:p>
        </w:tc>
      </w:tr>
    </w:tbl>
    <w:p w14:paraId="1A6B4A8A" w14:textId="77777777" w:rsidR="00BD3D35" w:rsidRDefault="00BD3D35" w:rsidP="00BD3D35">
      <w:pPr>
        <w:pStyle w:val="NoSpacing"/>
      </w:pPr>
    </w:p>
    <w:p w14:paraId="21175EF6" w14:textId="77777777" w:rsidR="00BD3D35" w:rsidRDefault="00BD3D35" w:rsidP="00BD3D35">
      <w:r w:rsidRPr="05DC78EE">
        <w:t>DFAT and PRES will provide an indicative list of DFAT and PRES interviewees, assist with arranging interviews with DFAT and PRES staff, provide the evaluation team with relevant background documents, and provide timely, filtered feedback on the evaluation report (within two weeks). In addition, DFAT will oversee the evaluation team, coordinate feedback on the investment design document (within two weeks), attend some design phase meetings, and manage internal design quality assurance and approval processes. DFAT will also facilitate appropriate engagement with senior management (Assistant Secretary, Pacific Economic and Trade Branch).</w:t>
      </w:r>
    </w:p>
    <w:p w14:paraId="18A2BA24" w14:textId="77777777" w:rsidR="00BD3D35" w:rsidRPr="00622A1B" w:rsidRDefault="00BD3D35" w:rsidP="00BD3D35">
      <w:r>
        <w:t>DFAT will meet with the evaluation team fortnightly to check-in on progress, provide early feedback on key issues, and discuss any required adaptations to the work plan. PRES may be invited to attend some or all these meetings.</w:t>
      </w:r>
    </w:p>
    <w:p w14:paraId="35CBC874" w14:textId="77777777" w:rsidR="00BD3D35" w:rsidRDefault="00BD3D35" w:rsidP="00DE2ADD">
      <w:pPr>
        <w:pStyle w:val="Heading3nonumber"/>
      </w:pPr>
      <w:bookmarkStart w:id="127" w:name="_Toc188284690"/>
      <w:bookmarkStart w:id="128" w:name="_Toc195808995"/>
      <w:r>
        <w:t>Risks</w:t>
      </w:r>
      <w:bookmarkEnd w:id="127"/>
      <w:bookmarkEnd w:id="128"/>
    </w:p>
    <w:p w14:paraId="65D5C7A8" w14:textId="77777777" w:rsidR="00BD3D35" w:rsidRDefault="00BD3D35" w:rsidP="00BD3D35">
      <w:r>
        <w:t>Key risks and proposed management strategies are that:</w:t>
      </w:r>
    </w:p>
    <w:p w14:paraId="555956BD" w14:textId="77777777" w:rsidR="00BD3D35" w:rsidRDefault="00BD3D35" w:rsidP="00BD3D35">
      <w:pPr>
        <w:pStyle w:val="ListBullet"/>
        <w:numPr>
          <w:ilvl w:val="0"/>
          <w:numId w:val="1"/>
        </w:numPr>
      </w:pPr>
      <w:r w:rsidRPr="05DC78EE">
        <w:rPr>
          <w:i/>
          <w:iCs/>
        </w:rPr>
        <w:t>Access to interviewees is limited during January due to staff leave</w:t>
      </w:r>
      <w:r w:rsidRPr="05DC78EE">
        <w:t>. The team will be as flexible as possible in its availability for interviews during this time, to accommodate different staff leave periods. DFAT will also send an initial email to planned interviewees as early as possible to flag the interview request and identify interviewee availability constraints.</w:t>
      </w:r>
    </w:p>
    <w:p w14:paraId="5F618147" w14:textId="77777777" w:rsidR="00BD3D35" w:rsidRDefault="00BD3D35" w:rsidP="00BD3D35">
      <w:pPr>
        <w:pStyle w:val="ListBullet"/>
        <w:numPr>
          <w:ilvl w:val="0"/>
          <w:numId w:val="1"/>
        </w:numPr>
      </w:pPr>
      <w:r w:rsidRPr="05DC78EE">
        <w:rPr>
          <w:i/>
          <w:iCs/>
        </w:rPr>
        <w:t>DFAT is unable to indicate clear management responses to evaluation findings in time to inform the design process</w:t>
      </w:r>
      <w:r w:rsidRPr="05DC78EE">
        <w:t xml:space="preserve">. Regular check-ins with DFAT during this period will be used to highlight any pressing issues or questions about which the design team requires clear strategic direction by DFAT, informed by the evaluation.   </w:t>
      </w:r>
    </w:p>
    <w:p w14:paraId="2DC2D147" w14:textId="4E7F62F1" w:rsidR="00EA7563" w:rsidRDefault="00BD3D35" w:rsidP="00BD3D35">
      <w:pPr>
        <w:pStyle w:val="ListBullet"/>
        <w:numPr>
          <w:ilvl w:val="0"/>
          <w:numId w:val="1"/>
        </w:numPr>
        <w:sectPr w:rsidR="00EA7563" w:rsidSect="00EA7563">
          <w:pgSz w:w="11906" w:h="16838"/>
          <w:pgMar w:top="1440" w:right="1077" w:bottom="1440" w:left="1077" w:header="567" w:footer="567" w:gutter="0"/>
          <w:cols w:space="708"/>
          <w:docGrid w:linePitch="360"/>
        </w:sectPr>
      </w:pPr>
      <w:r w:rsidRPr="00A82DCA">
        <w:rPr>
          <w:i/>
          <w:iCs/>
        </w:rPr>
        <w:t>Evaluation findings do not adequately reflect the perspectives of PRES ‘end users</w:t>
      </w:r>
      <w:r>
        <w:rPr>
          <w:i/>
          <w:iCs/>
        </w:rPr>
        <w:t>’</w:t>
      </w:r>
      <w:r w:rsidRPr="00A82DCA">
        <w:rPr>
          <w:i/>
          <w:iCs/>
        </w:rPr>
        <w:t xml:space="preserve"> e.g. Pacific Island Country government counterparts</w:t>
      </w:r>
      <w:r>
        <w:t>. This will be noted as a limitation in the evaluation report. Given the primary focus of the evaluation and design on the effectiveness and efficiency of PRES as a delivery mechanism (rather than the end results achieved by its services), this is not considered a major concern. In addition, end user perspectives may be accessed from PRES monitoring and evaluation finding</w:t>
      </w:r>
      <w:r w:rsidR="00DE2ADD">
        <w:t>.</w:t>
      </w:r>
    </w:p>
    <w:p w14:paraId="18115C1F" w14:textId="5D98D5C1" w:rsidR="005B4472" w:rsidRDefault="008B24FA" w:rsidP="00DE2ADD">
      <w:pPr>
        <w:pStyle w:val="Heading1"/>
        <w:numPr>
          <w:ilvl w:val="0"/>
          <w:numId w:val="0"/>
        </w:numPr>
      </w:pPr>
      <w:bookmarkStart w:id="129" w:name="_Toc205992471"/>
      <w:bookmarkStart w:id="130" w:name="_Toc205992558"/>
      <w:r w:rsidRPr="0038492D">
        <w:rPr>
          <w:rStyle w:val="Heading2nonumberChar"/>
        </w:rPr>
        <w:lastRenderedPageBreak/>
        <w:t>Appendix A1: Work Plan</w:t>
      </w:r>
      <w:bookmarkEnd w:id="129"/>
      <w:bookmarkEnd w:id="1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490"/>
        <w:gridCol w:w="379"/>
        <w:gridCol w:w="379"/>
        <w:gridCol w:w="379"/>
        <w:gridCol w:w="298"/>
        <w:gridCol w:w="379"/>
        <w:gridCol w:w="379"/>
        <w:gridCol w:w="379"/>
        <w:gridCol w:w="310"/>
        <w:gridCol w:w="379"/>
        <w:gridCol w:w="379"/>
        <w:gridCol w:w="394"/>
        <w:gridCol w:w="310"/>
        <w:gridCol w:w="379"/>
        <w:gridCol w:w="379"/>
        <w:gridCol w:w="379"/>
        <w:gridCol w:w="379"/>
        <w:gridCol w:w="342"/>
        <w:gridCol w:w="379"/>
        <w:gridCol w:w="379"/>
        <w:gridCol w:w="394"/>
        <w:gridCol w:w="342"/>
        <w:gridCol w:w="379"/>
        <w:gridCol w:w="379"/>
        <w:gridCol w:w="379"/>
        <w:gridCol w:w="342"/>
        <w:gridCol w:w="310"/>
        <w:gridCol w:w="379"/>
        <w:gridCol w:w="379"/>
        <w:gridCol w:w="379"/>
      </w:tblGrid>
      <w:tr w:rsidR="005B4472" w:rsidRPr="004D6AEA" w14:paraId="642B4E66" w14:textId="77777777" w:rsidTr="00FA278E">
        <w:trPr>
          <w:trHeight w:val="315"/>
        </w:trPr>
        <w:tc>
          <w:tcPr>
            <w:tcW w:w="2580" w:type="dxa"/>
            <w:shd w:val="clear" w:color="auto" w:fill="0D3E67" w:themeFill="accent3"/>
            <w:vAlign w:val="center"/>
            <w:hideMark/>
          </w:tcPr>
          <w:p w14:paraId="69CA98BF" w14:textId="32137637" w:rsidR="005B4472" w:rsidRPr="005B4472" w:rsidRDefault="005B4472" w:rsidP="005B4472">
            <w:pPr>
              <w:spacing w:after="0" w:line="240" w:lineRule="auto"/>
              <w:rPr>
                <w:rFonts w:ascii="Arial" w:eastAsia="Times New Roman" w:hAnsi="Arial" w:cs="Arial"/>
                <w:b/>
                <w:bCs/>
                <w:color w:val="auto"/>
                <w:sz w:val="16"/>
                <w:szCs w:val="16"/>
                <w:lang w:eastAsia="en-AU"/>
              </w:rPr>
            </w:pPr>
            <w:r>
              <w:rPr>
                <w:rFonts w:ascii="Arial" w:eastAsia="Times New Roman" w:hAnsi="Arial" w:cs="Arial"/>
                <w:b/>
                <w:bCs/>
                <w:color w:val="auto"/>
                <w:sz w:val="16"/>
                <w:szCs w:val="16"/>
                <w:lang w:eastAsia="en-AU"/>
              </w:rPr>
              <w:t>Task</w:t>
            </w:r>
          </w:p>
        </w:tc>
        <w:tc>
          <w:tcPr>
            <w:tcW w:w="1627" w:type="dxa"/>
            <w:gridSpan w:val="4"/>
            <w:shd w:val="clear" w:color="auto" w:fill="0D3E67" w:themeFill="accent3"/>
            <w:noWrap/>
            <w:vAlign w:val="bottom"/>
            <w:hideMark/>
          </w:tcPr>
          <w:p w14:paraId="1C52BF9D" w14:textId="77777777" w:rsidR="005B4472" w:rsidRPr="009008C5" w:rsidRDefault="005B4472" w:rsidP="005B4472">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DEC</w:t>
            </w:r>
          </w:p>
        </w:tc>
        <w:tc>
          <w:tcPr>
            <w:tcW w:w="0" w:type="auto"/>
            <w:gridSpan w:val="4"/>
            <w:shd w:val="clear" w:color="auto" w:fill="0D3E67" w:themeFill="accent3"/>
            <w:noWrap/>
            <w:vAlign w:val="bottom"/>
            <w:hideMark/>
          </w:tcPr>
          <w:p w14:paraId="2D8DB6EA" w14:textId="77777777" w:rsidR="005B4472" w:rsidRPr="009008C5" w:rsidRDefault="005B4472" w:rsidP="005B4472">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JAN</w:t>
            </w:r>
          </w:p>
        </w:tc>
        <w:tc>
          <w:tcPr>
            <w:tcW w:w="0" w:type="auto"/>
            <w:gridSpan w:val="4"/>
            <w:shd w:val="clear" w:color="auto" w:fill="0D3E67" w:themeFill="accent3"/>
            <w:noWrap/>
            <w:vAlign w:val="bottom"/>
            <w:hideMark/>
          </w:tcPr>
          <w:p w14:paraId="30AEF06C" w14:textId="77777777" w:rsidR="005B4472" w:rsidRPr="009008C5" w:rsidRDefault="005B4472" w:rsidP="005B4472">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FEB</w:t>
            </w:r>
          </w:p>
        </w:tc>
        <w:tc>
          <w:tcPr>
            <w:tcW w:w="0" w:type="auto"/>
            <w:gridSpan w:val="5"/>
            <w:shd w:val="clear" w:color="auto" w:fill="0D3E67" w:themeFill="accent3"/>
            <w:noWrap/>
            <w:vAlign w:val="bottom"/>
            <w:hideMark/>
          </w:tcPr>
          <w:p w14:paraId="424A28AA" w14:textId="77777777" w:rsidR="005B4472" w:rsidRPr="009008C5" w:rsidRDefault="005B4472" w:rsidP="005B4472">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MAR</w:t>
            </w:r>
          </w:p>
        </w:tc>
        <w:tc>
          <w:tcPr>
            <w:tcW w:w="0" w:type="auto"/>
            <w:gridSpan w:val="4"/>
            <w:shd w:val="clear" w:color="auto" w:fill="0D3E67" w:themeFill="accent3"/>
            <w:noWrap/>
            <w:vAlign w:val="bottom"/>
            <w:hideMark/>
          </w:tcPr>
          <w:p w14:paraId="3206DBE6" w14:textId="77777777" w:rsidR="005B4472" w:rsidRPr="009008C5" w:rsidRDefault="005B4472" w:rsidP="005B4472">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APR (incl easter)</w:t>
            </w:r>
          </w:p>
        </w:tc>
        <w:tc>
          <w:tcPr>
            <w:tcW w:w="0" w:type="auto"/>
            <w:gridSpan w:val="4"/>
            <w:shd w:val="clear" w:color="auto" w:fill="0D3E67" w:themeFill="accent3"/>
            <w:noWrap/>
            <w:vAlign w:val="bottom"/>
            <w:hideMark/>
          </w:tcPr>
          <w:p w14:paraId="4C2ECDBC" w14:textId="77777777" w:rsidR="005B4472" w:rsidRPr="009008C5" w:rsidRDefault="005B4472" w:rsidP="005B4472">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MAY</w:t>
            </w:r>
          </w:p>
        </w:tc>
        <w:tc>
          <w:tcPr>
            <w:tcW w:w="0" w:type="auto"/>
            <w:gridSpan w:val="5"/>
            <w:shd w:val="clear" w:color="auto" w:fill="0D3E67" w:themeFill="accent3"/>
            <w:noWrap/>
            <w:vAlign w:val="bottom"/>
            <w:hideMark/>
          </w:tcPr>
          <w:p w14:paraId="3A979491" w14:textId="77777777" w:rsidR="005B4472" w:rsidRPr="009008C5" w:rsidRDefault="005B4472" w:rsidP="005B4472">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JUN</w:t>
            </w:r>
          </w:p>
        </w:tc>
      </w:tr>
      <w:tr w:rsidR="009008C5" w:rsidRPr="004D6AEA" w14:paraId="5DEE38F4" w14:textId="77777777" w:rsidTr="009008C5">
        <w:trPr>
          <w:trHeight w:val="300"/>
        </w:trPr>
        <w:tc>
          <w:tcPr>
            <w:tcW w:w="2580" w:type="dxa"/>
            <w:shd w:val="clear" w:color="auto" w:fill="F5A35F" w:themeFill="accent2" w:themeFillShade="BF"/>
            <w:noWrap/>
            <w:vAlign w:val="bottom"/>
            <w:hideMark/>
          </w:tcPr>
          <w:p w14:paraId="6C6B8315" w14:textId="77777777" w:rsidR="005B4472" w:rsidRPr="0028461A" w:rsidRDefault="005B4472" w:rsidP="005B4472">
            <w:pPr>
              <w:spacing w:after="0" w:line="240" w:lineRule="auto"/>
              <w:rPr>
                <w:rFonts w:ascii="Arial" w:eastAsia="Times New Roman" w:hAnsi="Arial" w:cs="Arial"/>
                <w:b/>
                <w:bCs/>
                <w:color w:val="auto"/>
                <w:sz w:val="16"/>
                <w:szCs w:val="16"/>
                <w:lang w:eastAsia="en-AU"/>
              </w:rPr>
            </w:pPr>
            <w:r w:rsidRPr="0028461A">
              <w:rPr>
                <w:rFonts w:ascii="Arial" w:eastAsia="Times New Roman" w:hAnsi="Arial" w:cs="Arial"/>
                <w:b/>
                <w:bCs/>
                <w:color w:val="auto"/>
                <w:sz w:val="16"/>
                <w:szCs w:val="16"/>
                <w:lang w:eastAsia="en-AU"/>
              </w:rPr>
              <w:t>Week commencing</w:t>
            </w:r>
          </w:p>
        </w:tc>
        <w:tc>
          <w:tcPr>
            <w:tcW w:w="490" w:type="dxa"/>
            <w:shd w:val="clear" w:color="auto" w:fill="F5A35F" w:themeFill="accent2" w:themeFillShade="BF"/>
            <w:noWrap/>
            <w:vAlign w:val="bottom"/>
            <w:hideMark/>
          </w:tcPr>
          <w:p w14:paraId="7390A946" w14:textId="77777777" w:rsidR="005B4472" w:rsidRPr="009008C5" w:rsidRDefault="005B4472" w:rsidP="005B4472">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9</w:t>
            </w:r>
          </w:p>
        </w:tc>
        <w:tc>
          <w:tcPr>
            <w:tcW w:w="0" w:type="auto"/>
            <w:shd w:val="clear" w:color="auto" w:fill="F5A35F" w:themeFill="accent2" w:themeFillShade="BF"/>
            <w:noWrap/>
            <w:vAlign w:val="bottom"/>
            <w:hideMark/>
          </w:tcPr>
          <w:p w14:paraId="0FBACAF5" w14:textId="77777777" w:rsidR="005B4472" w:rsidRPr="009008C5" w:rsidRDefault="005B4472" w:rsidP="005B4472">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16</w:t>
            </w:r>
          </w:p>
        </w:tc>
        <w:tc>
          <w:tcPr>
            <w:tcW w:w="0" w:type="auto"/>
            <w:shd w:val="clear" w:color="auto" w:fill="F5A35F" w:themeFill="accent2" w:themeFillShade="BF"/>
            <w:noWrap/>
            <w:vAlign w:val="bottom"/>
            <w:hideMark/>
          </w:tcPr>
          <w:p w14:paraId="0C08DB78" w14:textId="77777777" w:rsidR="005B4472" w:rsidRPr="009008C5" w:rsidRDefault="005B4472" w:rsidP="005B4472">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23</w:t>
            </w:r>
          </w:p>
        </w:tc>
        <w:tc>
          <w:tcPr>
            <w:tcW w:w="0" w:type="auto"/>
            <w:shd w:val="clear" w:color="auto" w:fill="F5A35F" w:themeFill="accent2" w:themeFillShade="BF"/>
            <w:noWrap/>
            <w:vAlign w:val="bottom"/>
            <w:hideMark/>
          </w:tcPr>
          <w:p w14:paraId="4AD8427D" w14:textId="77777777" w:rsidR="005B4472" w:rsidRPr="009008C5" w:rsidRDefault="005B4472" w:rsidP="005B4472">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30</w:t>
            </w:r>
          </w:p>
        </w:tc>
        <w:tc>
          <w:tcPr>
            <w:tcW w:w="0" w:type="auto"/>
            <w:shd w:val="clear" w:color="auto" w:fill="F5A35F" w:themeFill="accent2" w:themeFillShade="BF"/>
            <w:noWrap/>
            <w:vAlign w:val="bottom"/>
            <w:hideMark/>
          </w:tcPr>
          <w:p w14:paraId="657BA294" w14:textId="77777777" w:rsidR="005B4472" w:rsidRPr="009008C5" w:rsidRDefault="005B4472" w:rsidP="005B4472">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6</w:t>
            </w:r>
          </w:p>
        </w:tc>
        <w:tc>
          <w:tcPr>
            <w:tcW w:w="0" w:type="auto"/>
            <w:shd w:val="clear" w:color="auto" w:fill="F5A35F" w:themeFill="accent2" w:themeFillShade="BF"/>
            <w:noWrap/>
            <w:vAlign w:val="bottom"/>
            <w:hideMark/>
          </w:tcPr>
          <w:p w14:paraId="5318FA8E" w14:textId="77777777" w:rsidR="005B4472" w:rsidRPr="009008C5" w:rsidRDefault="005B4472" w:rsidP="005B4472">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13</w:t>
            </w:r>
          </w:p>
        </w:tc>
        <w:tc>
          <w:tcPr>
            <w:tcW w:w="0" w:type="auto"/>
            <w:shd w:val="clear" w:color="auto" w:fill="F5A35F" w:themeFill="accent2" w:themeFillShade="BF"/>
            <w:noWrap/>
            <w:vAlign w:val="bottom"/>
            <w:hideMark/>
          </w:tcPr>
          <w:p w14:paraId="0050FDEB" w14:textId="77777777" w:rsidR="005B4472" w:rsidRPr="009008C5" w:rsidRDefault="005B4472" w:rsidP="005B4472">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20</w:t>
            </w:r>
          </w:p>
        </w:tc>
        <w:tc>
          <w:tcPr>
            <w:tcW w:w="0" w:type="auto"/>
            <w:shd w:val="clear" w:color="auto" w:fill="F5A35F" w:themeFill="accent2" w:themeFillShade="BF"/>
            <w:noWrap/>
            <w:vAlign w:val="bottom"/>
            <w:hideMark/>
          </w:tcPr>
          <w:p w14:paraId="3E29DC2A" w14:textId="77777777" w:rsidR="005B4472" w:rsidRPr="009008C5" w:rsidRDefault="005B4472" w:rsidP="005B4472">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27</w:t>
            </w:r>
          </w:p>
        </w:tc>
        <w:tc>
          <w:tcPr>
            <w:tcW w:w="0" w:type="auto"/>
            <w:shd w:val="clear" w:color="auto" w:fill="F5A35F" w:themeFill="accent2" w:themeFillShade="BF"/>
            <w:noWrap/>
            <w:vAlign w:val="bottom"/>
            <w:hideMark/>
          </w:tcPr>
          <w:p w14:paraId="66F00F26" w14:textId="77777777" w:rsidR="005B4472" w:rsidRPr="009008C5" w:rsidRDefault="005B4472" w:rsidP="005B4472">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3</w:t>
            </w:r>
          </w:p>
        </w:tc>
        <w:tc>
          <w:tcPr>
            <w:tcW w:w="0" w:type="auto"/>
            <w:shd w:val="clear" w:color="auto" w:fill="F5A35F" w:themeFill="accent2" w:themeFillShade="BF"/>
            <w:noWrap/>
            <w:vAlign w:val="bottom"/>
            <w:hideMark/>
          </w:tcPr>
          <w:p w14:paraId="22820F81" w14:textId="77777777" w:rsidR="005B4472" w:rsidRPr="009008C5" w:rsidRDefault="005B4472" w:rsidP="005B4472">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10</w:t>
            </w:r>
          </w:p>
        </w:tc>
        <w:tc>
          <w:tcPr>
            <w:tcW w:w="0" w:type="auto"/>
            <w:shd w:val="clear" w:color="auto" w:fill="F5A35F" w:themeFill="accent2" w:themeFillShade="BF"/>
            <w:noWrap/>
            <w:vAlign w:val="bottom"/>
            <w:hideMark/>
          </w:tcPr>
          <w:p w14:paraId="72999483" w14:textId="77777777" w:rsidR="005B4472" w:rsidRPr="009008C5" w:rsidRDefault="005B4472" w:rsidP="005B4472">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17</w:t>
            </w:r>
          </w:p>
        </w:tc>
        <w:tc>
          <w:tcPr>
            <w:tcW w:w="0" w:type="auto"/>
            <w:shd w:val="clear" w:color="auto" w:fill="F5A35F" w:themeFill="accent2" w:themeFillShade="BF"/>
            <w:noWrap/>
            <w:vAlign w:val="bottom"/>
            <w:hideMark/>
          </w:tcPr>
          <w:p w14:paraId="08E35ED4" w14:textId="77777777" w:rsidR="005B4472" w:rsidRPr="009008C5" w:rsidRDefault="005B4472" w:rsidP="005B4472">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24</w:t>
            </w:r>
          </w:p>
        </w:tc>
        <w:tc>
          <w:tcPr>
            <w:tcW w:w="0" w:type="auto"/>
            <w:shd w:val="clear" w:color="auto" w:fill="F5A35F" w:themeFill="accent2" w:themeFillShade="BF"/>
            <w:noWrap/>
            <w:vAlign w:val="bottom"/>
            <w:hideMark/>
          </w:tcPr>
          <w:p w14:paraId="15B99A99" w14:textId="77777777" w:rsidR="005B4472" w:rsidRPr="009008C5" w:rsidRDefault="005B4472" w:rsidP="005B4472">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3</w:t>
            </w:r>
          </w:p>
        </w:tc>
        <w:tc>
          <w:tcPr>
            <w:tcW w:w="0" w:type="auto"/>
            <w:shd w:val="clear" w:color="auto" w:fill="F5A35F" w:themeFill="accent2" w:themeFillShade="BF"/>
            <w:noWrap/>
            <w:vAlign w:val="bottom"/>
            <w:hideMark/>
          </w:tcPr>
          <w:p w14:paraId="0C6CA02C" w14:textId="77777777" w:rsidR="005B4472" w:rsidRPr="009008C5" w:rsidRDefault="005B4472" w:rsidP="005B4472">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10</w:t>
            </w:r>
          </w:p>
        </w:tc>
        <w:tc>
          <w:tcPr>
            <w:tcW w:w="0" w:type="auto"/>
            <w:shd w:val="clear" w:color="auto" w:fill="F5A35F" w:themeFill="accent2" w:themeFillShade="BF"/>
            <w:noWrap/>
            <w:vAlign w:val="bottom"/>
            <w:hideMark/>
          </w:tcPr>
          <w:p w14:paraId="3E49817D" w14:textId="77777777" w:rsidR="005B4472" w:rsidRPr="009008C5" w:rsidRDefault="005B4472" w:rsidP="005B4472">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17</w:t>
            </w:r>
          </w:p>
        </w:tc>
        <w:tc>
          <w:tcPr>
            <w:tcW w:w="0" w:type="auto"/>
            <w:shd w:val="clear" w:color="auto" w:fill="F5A35F" w:themeFill="accent2" w:themeFillShade="BF"/>
            <w:noWrap/>
            <w:vAlign w:val="bottom"/>
            <w:hideMark/>
          </w:tcPr>
          <w:p w14:paraId="24F97985" w14:textId="77777777" w:rsidR="005B4472" w:rsidRPr="009008C5" w:rsidRDefault="005B4472" w:rsidP="005B4472">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24</w:t>
            </w:r>
          </w:p>
        </w:tc>
        <w:tc>
          <w:tcPr>
            <w:tcW w:w="0" w:type="auto"/>
            <w:shd w:val="clear" w:color="auto" w:fill="F5A35F" w:themeFill="accent2" w:themeFillShade="BF"/>
            <w:noWrap/>
            <w:vAlign w:val="bottom"/>
            <w:hideMark/>
          </w:tcPr>
          <w:p w14:paraId="11B7A661" w14:textId="77777777" w:rsidR="005B4472" w:rsidRPr="009008C5" w:rsidRDefault="005B4472" w:rsidP="005B4472">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31</w:t>
            </w:r>
          </w:p>
        </w:tc>
        <w:tc>
          <w:tcPr>
            <w:tcW w:w="0" w:type="auto"/>
            <w:shd w:val="clear" w:color="auto" w:fill="F5A35F" w:themeFill="accent2" w:themeFillShade="BF"/>
            <w:noWrap/>
            <w:vAlign w:val="bottom"/>
            <w:hideMark/>
          </w:tcPr>
          <w:p w14:paraId="4D76A085" w14:textId="77777777" w:rsidR="005B4472" w:rsidRPr="009008C5" w:rsidRDefault="005B4472" w:rsidP="005B4472">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7</w:t>
            </w:r>
          </w:p>
        </w:tc>
        <w:tc>
          <w:tcPr>
            <w:tcW w:w="0" w:type="auto"/>
            <w:shd w:val="clear" w:color="auto" w:fill="F5A35F" w:themeFill="accent2" w:themeFillShade="BF"/>
            <w:noWrap/>
            <w:vAlign w:val="bottom"/>
            <w:hideMark/>
          </w:tcPr>
          <w:p w14:paraId="5AF8DA84" w14:textId="77777777" w:rsidR="005B4472" w:rsidRPr="009008C5" w:rsidRDefault="005B4472" w:rsidP="005B4472">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14</w:t>
            </w:r>
          </w:p>
        </w:tc>
        <w:tc>
          <w:tcPr>
            <w:tcW w:w="0" w:type="auto"/>
            <w:shd w:val="clear" w:color="auto" w:fill="F5A35F" w:themeFill="accent2" w:themeFillShade="BF"/>
            <w:noWrap/>
            <w:vAlign w:val="bottom"/>
            <w:hideMark/>
          </w:tcPr>
          <w:p w14:paraId="17E3EFBE" w14:textId="77777777" w:rsidR="005B4472" w:rsidRPr="009008C5" w:rsidRDefault="005B4472" w:rsidP="005B4472">
            <w:pPr>
              <w:spacing w:after="0" w:line="240" w:lineRule="auto"/>
              <w:jc w:val="center"/>
              <w:rPr>
                <w:rFonts w:ascii="Calibri" w:eastAsia="Times New Roman" w:hAnsi="Calibri" w:cs="Calibri"/>
                <w:b/>
                <w:bCs/>
                <w:color w:val="F9F9F9"/>
                <w:sz w:val="16"/>
                <w:szCs w:val="16"/>
                <w:lang w:eastAsia="en-AU"/>
              </w:rPr>
            </w:pPr>
            <w:r w:rsidRPr="009008C5">
              <w:rPr>
                <w:rFonts w:ascii="Calibri" w:eastAsia="Times New Roman" w:hAnsi="Calibri" w:cs="Calibri"/>
                <w:b/>
                <w:bCs/>
                <w:color w:val="auto"/>
                <w:sz w:val="16"/>
                <w:szCs w:val="16"/>
                <w:lang w:eastAsia="en-AU"/>
              </w:rPr>
              <w:t>21</w:t>
            </w:r>
          </w:p>
        </w:tc>
        <w:tc>
          <w:tcPr>
            <w:tcW w:w="0" w:type="auto"/>
            <w:shd w:val="clear" w:color="auto" w:fill="F5A35F" w:themeFill="accent2" w:themeFillShade="BF"/>
            <w:noWrap/>
            <w:vAlign w:val="bottom"/>
            <w:hideMark/>
          </w:tcPr>
          <w:p w14:paraId="1E71142F" w14:textId="77777777" w:rsidR="005B4472" w:rsidRPr="009008C5" w:rsidRDefault="005B4472" w:rsidP="005B4472">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28</w:t>
            </w:r>
          </w:p>
        </w:tc>
        <w:tc>
          <w:tcPr>
            <w:tcW w:w="0" w:type="auto"/>
            <w:shd w:val="clear" w:color="auto" w:fill="F5A35F" w:themeFill="accent2" w:themeFillShade="BF"/>
            <w:noWrap/>
            <w:vAlign w:val="bottom"/>
            <w:hideMark/>
          </w:tcPr>
          <w:p w14:paraId="731FFF7A" w14:textId="77777777" w:rsidR="005B4472" w:rsidRPr="009008C5" w:rsidRDefault="005B4472" w:rsidP="005B4472">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5</w:t>
            </w:r>
          </w:p>
        </w:tc>
        <w:tc>
          <w:tcPr>
            <w:tcW w:w="0" w:type="auto"/>
            <w:shd w:val="clear" w:color="auto" w:fill="F5A35F" w:themeFill="accent2" w:themeFillShade="BF"/>
            <w:noWrap/>
            <w:vAlign w:val="bottom"/>
            <w:hideMark/>
          </w:tcPr>
          <w:p w14:paraId="2D98D233" w14:textId="77777777" w:rsidR="005B4472" w:rsidRPr="009008C5" w:rsidRDefault="005B4472" w:rsidP="005B4472">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12</w:t>
            </w:r>
          </w:p>
        </w:tc>
        <w:tc>
          <w:tcPr>
            <w:tcW w:w="0" w:type="auto"/>
            <w:shd w:val="clear" w:color="auto" w:fill="F5A35F" w:themeFill="accent2" w:themeFillShade="BF"/>
            <w:noWrap/>
            <w:vAlign w:val="bottom"/>
            <w:hideMark/>
          </w:tcPr>
          <w:p w14:paraId="5AC4B123" w14:textId="77777777" w:rsidR="005B4472" w:rsidRPr="009008C5" w:rsidRDefault="005B4472" w:rsidP="005B4472">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19</w:t>
            </w:r>
          </w:p>
        </w:tc>
        <w:tc>
          <w:tcPr>
            <w:tcW w:w="0" w:type="auto"/>
            <w:shd w:val="clear" w:color="auto" w:fill="F5A35F" w:themeFill="accent2" w:themeFillShade="BF"/>
            <w:noWrap/>
            <w:vAlign w:val="bottom"/>
            <w:hideMark/>
          </w:tcPr>
          <w:p w14:paraId="46CC77E9" w14:textId="77777777" w:rsidR="005B4472" w:rsidRPr="009008C5" w:rsidRDefault="005B4472" w:rsidP="005B4472">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26</w:t>
            </w:r>
          </w:p>
        </w:tc>
        <w:tc>
          <w:tcPr>
            <w:tcW w:w="0" w:type="auto"/>
            <w:shd w:val="clear" w:color="auto" w:fill="F5A35F" w:themeFill="accent2" w:themeFillShade="BF"/>
            <w:noWrap/>
            <w:vAlign w:val="bottom"/>
            <w:hideMark/>
          </w:tcPr>
          <w:p w14:paraId="2D210A93" w14:textId="77777777" w:rsidR="005B4472" w:rsidRPr="009008C5" w:rsidRDefault="005B4472" w:rsidP="005B4472">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2</w:t>
            </w:r>
          </w:p>
        </w:tc>
        <w:tc>
          <w:tcPr>
            <w:tcW w:w="0" w:type="auto"/>
            <w:shd w:val="clear" w:color="auto" w:fill="F5A35F" w:themeFill="accent2" w:themeFillShade="BF"/>
            <w:noWrap/>
            <w:vAlign w:val="bottom"/>
            <w:hideMark/>
          </w:tcPr>
          <w:p w14:paraId="679F7694" w14:textId="77777777" w:rsidR="005B4472" w:rsidRPr="009008C5" w:rsidRDefault="005B4472" w:rsidP="005B4472">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9</w:t>
            </w:r>
          </w:p>
        </w:tc>
        <w:tc>
          <w:tcPr>
            <w:tcW w:w="0" w:type="auto"/>
            <w:shd w:val="clear" w:color="auto" w:fill="F5A35F" w:themeFill="accent2" w:themeFillShade="BF"/>
            <w:noWrap/>
            <w:vAlign w:val="bottom"/>
            <w:hideMark/>
          </w:tcPr>
          <w:p w14:paraId="6B94E90D" w14:textId="77777777" w:rsidR="005B4472" w:rsidRPr="009008C5" w:rsidRDefault="005B4472" w:rsidP="005B4472">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16</w:t>
            </w:r>
          </w:p>
        </w:tc>
        <w:tc>
          <w:tcPr>
            <w:tcW w:w="0" w:type="auto"/>
            <w:shd w:val="clear" w:color="auto" w:fill="F5A35F" w:themeFill="accent2" w:themeFillShade="BF"/>
            <w:noWrap/>
            <w:vAlign w:val="bottom"/>
            <w:hideMark/>
          </w:tcPr>
          <w:p w14:paraId="4ABD7708" w14:textId="77777777" w:rsidR="005B4472" w:rsidRPr="009008C5" w:rsidRDefault="005B4472" w:rsidP="005B4472">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23</w:t>
            </w:r>
          </w:p>
        </w:tc>
        <w:tc>
          <w:tcPr>
            <w:tcW w:w="0" w:type="auto"/>
            <w:shd w:val="clear" w:color="auto" w:fill="F5A35F" w:themeFill="accent2" w:themeFillShade="BF"/>
            <w:noWrap/>
            <w:vAlign w:val="bottom"/>
            <w:hideMark/>
          </w:tcPr>
          <w:p w14:paraId="618C498B" w14:textId="77777777" w:rsidR="005B4472" w:rsidRPr="009008C5" w:rsidRDefault="005B4472" w:rsidP="005B4472">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30</w:t>
            </w:r>
          </w:p>
        </w:tc>
      </w:tr>
      <w:tr w:rsidR="005B4472" w:rsidRPr="004D6AEA" w14:paraId="41B9CF2D" w14:textId="77777777" w:rsidTr="007868DE">
        <w:trPr>
          <w:trHeight w:val="294"/>
        </w:trPr>
        <w:tc>
          <w:tcPr>
            <w:tcW w:w="2580" w:type="dxa"/>
            <w:shd w:val="clear" w:color="000000" w:fill="FFFFFF"/>
            <w:noWrap/>
            <w:vAlign w:val="center"/>
            <w:hideMark/>
          </w:tcPr>
          <w:p w14:paraId="170BD238" w14:textId="77777777" w:rsidR="005B4472" w:rsidRPr="0028461A" w:rsidRDefault="005B4472" w:rsidP="005B4472">
            <w:pPr>
              <w:spacing w:after="0" w:line="240" w:lineRule="auto"/>
              <w:rPr>
                <w:rFonts w:ascii="Arial" w:eastAsia="Times New Roman" w:hAnsi="Arial" w:cs="Arial"/>
                <w:color w:val="auto"/>
                <w:sz w:val="16"/>
                <w:szCs w:val="16"/>
                <w:lang w:eastAsia="en-AU"/>
              </w:rPr>
            </w:pPr>
            <w:r w:rsidRPr="0028461A">
              <w:rPr>
                <w:rFonts w:ascii="Arial" w:eastAsia="Times New Roman" w:hAnsi="Arial" w:cs="Arial"/>
                <w:color w:val="auto"/>
                <w:sz w:val="16"/>
                <w:szCs w:val="16"/>
                <w:lang w:eastAsia="en-AU"/>
              </w:rPr>
              <w:t>Team Meetings</w:t>
            </w:r>
          </w:p>
        </w:tc>
        <w:tc>
          <w:tcPr>
            <w:tcW w:w="490" w:type="dxa"/>
            <w:shd w:val="clear" w:color="auto" w:fill="auto"/>
            <w:noWrap/>
            <w:vAlign w:val="center"/>
            <w:hideMark/>
          </w:tcPr>
          <w:p w14:paraId="3B8C5F33" w14:textId="75995175"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Pr>
                <w:rFonts w:ascii="Arial" w:eastAsia="Times New Roman" w:hAnsi="Arial" w:cs="Arial"/>
                <w:b/>
                <w:bCs/>
                <w:color w:val="auto"/>
                <w:sz w:val="16"/>
                <w:szCs w:val="16"/>
                <w:lang w:eastAsia="en-AU"/>
              </w:rPr>
              <w:t>-</w:t>
            </w:r>
          </w:p>
        </w:tc>
        <w:tc>
          <w:tcPr>
            <w:tcW w:w="0" w:type="auto"/>
            <w:shd w:val="clear" w:color="000000" w:fill="FFFFFF"/>
            <w:noWrap/>
            <w:vAlign w:val="center"/>
            <w:hideMark/>
          </w:tcPr>
          <w:p w14:paraId="132CEB7E" w14:textId="77777777" w:rsidR="005B4472" w:rsidRPr="0028461A" w:rsidRDefault="005B4472" w:rsidP="005B4472">
            <w:pPr>
              <w:spacing w:after="0" w:line="240" w:lineRule="auto"/>
              <w:jc w:val="right"/>
              <w:rPr>
                <w:rFonts w:ascii="Wingdings" w:eastAsia="Times New Roman" w:hAnsi="Wingdings" w:cs="Calibri"/>
                <w:color w:val="auto"/>
                <w:sz w:val="16"/>
                <w:szCs w:val="16"/>
                <w:lang w:eastAsia="en-AU"/>
              </w:rPr>
            </w:pPr>
            <w:r w:rsidRPr="0028461A">
              <w:rPr>
                <w:rFonts w:ascii="Wingdings" w:eastAsia="Times New Roman" w:hAnsi="Wingdings" w:cs="Calibri"/>
                <w:color w:val="auto"/>
                <w:sz w:val="16"/>
                <w:szCs w:val="16"/>
                <w:lang w:eastAsia="en-AU"/>
              </w:rPr>
              <w:t>ü</w:t>
            </w:r>
          </w:p>
        </w:tc>
        <w:tc>
          <w:tcPr>
            <w:tcW w:w="0" w:type="auto"/>
            <w:shd w:val="pct12" w:color="000000" w:fill="FFFFFF"/>
            <w:noWrap/>
            <w:hideMark/>
          </w:tcPr>
          <w:p w14:paraId="3D52EA95" w14:textId="35AF4C62" w:rsidR="005B4472" w:rsidRPr="005B4472" w:rsidRDefault="005B4472" w:rsidP="005B4472">
            <w:pPr>
              <w:spacing w:after="0" w:line="240" w:lineRule="auto"/>
              <w:jc w:val="center"/>
              <w:rPr>
                <w:rFonts w:eastAsia="Times New Roman" w:cstheme="minorHAnsi"/>
                <w:color w:val="auto"/>
                <w:sz w:val="16"/>
                <w:szCs w:val="16"/>
                <w:lang w:eastAsia="en-AU"/>
              </w:rPr>
            </w:pPr>
            <w:r w:rsidRPr="005A7A64">
              <w:rPr>
                <w:rFonts w:ascii="Arial" w:eastAsia="Times New Roman" w:hAnsi="Arial" w:cs="Arial"/>
                <w:b/>
                <w:bCs/>
                <w:color w:val="auto"/>
                <w:sz w:val="16"/>
                <w:szCs w:val="16"/>
                <w:lang w:eastAsia="en-AU"/>
              </w:rPr>
              <w:t>-</w:t>
            </w:r>
          </w:p>
        </w:tc>
        <w:tc>
          <w:tcPr>
            <w:tcW w:w="0" w:type="auto"/>
            <w:shd w:val="pct12" w:color="000000" w:fill="FFFFFF"/>
            <w:noWrap/>
            <w:hideMark/>
          </w:tcPr>
          <w:p w14:paraId="30FE3D9B" w14:textId="10806702" w:rsidR="005B4472" w:rsidRPr="005B4472" w:rsidRDefault="005B4472" w:rsidP="005B4472">
            <w:pPr>
              <w:spacing w:after="0" w:line="240" w:lineRule="auto"/>
              <w:jc w:val="center"/>
              <w:rPr>
                <w:rFonts w:eastAsia="Times New Roman" w:cstheme="minorHAnsi"/>
                <w:color w:val="auto"/>
                <w:sz w:val="16"/>
                <w:szCs w:val="16"/>
                <w:lang w:eastAsia="en-AU"/>
              </w:rPr>
            </w:pPr>
            <w:r w:rsidRPr="005A7A64">
              <w:rPr>
                <w:rFonts w:ascii="Arial" w:eastAsia="Times New Roman" w:hAnsi="Arial" w:cs="Arial"/>
                <w:b/>
                <w:bCs/>
                <w:color w:val="auto"/>
                <w:sz w:val="16"/>
                <w:szCs w:val="16"/>
                <w:lang w:eastAsia="en-AU"/>
              </w:rPr>
              <w:t>-</w:t>
            </w:r>
          </w:p>
        </w:tc>
        <w:tc>
          <w:tcPr>
            <w:tcW w:w="0" w:type="auto"/>
            <w:shd w:val="clear" w:color="000000" w:fill="FFFFFF"/>
            <w:noWrap/>
            <w:hideMark/>
          </w:tcPr>
          <w:p w14:paraId="248E373B" w14:textId="1784D67A" w:rsidR="005B4472" w:rsidRPr="005B4472" w:rsidRDefault="005B4472" w:rsidP="005B4472">
            <w:pPr>
              <w:spacing w:after="0" w:line="240" w:lineRule="auto"/>
              <w:jc w:val="right"/>
              <w:rPr>
                <w:rFonts w:ascii="Wingdings" w:eastAsia="Times New Roman" w:hAnsi="Wingdings" w:cs="Calibri"/>
                <w:b/>
                <w:bCs/>
                <w:color w:val="auto"/>
                <w:sz w:val="16"/>
                <w:szCs w:val="16"/>
                <w:lang w:eastAsia="en-AU"/>
              </w:rPr>
            </w:pPr>
            <w:r w:rsidRPr="00D80A9A">
              <w:rPr>
                <w:rFonts w:ascii="Arial" w:eastAsia="Times New Roman" w:hAnsi="Arial" w:cs="Arial"/>
                <w:b/>
                <w:bCs/>
                <w:color w:val="auto"/>
                <w:sz w:val="16"/>
                <w:szCs w:val="16"/>
                <w:lang w:eastAsia="en-AU"/>
              </w:rPr>
              <w:t>-</w:t>
            </w:r>
          </w:p>
        </w:tc>
        <w:tc>
          <w:tcPr>
            <w:tcW w:w="0" w:type="auto"/>
            <w:shd w:val="clear" w:color="000000" w:fill="FFFFFF"/>
            <w:noWrap/>
            <w:vAlign w:val="center"/>
            <w:hideMark/>
          </w:tcPr>
          <w:p w14:paraId="7EE996B1" w14:textId="77777777" w:rsidR="005B4472" w:rsidRPr="005B4472" w:rsidRDefault="005B4472" w:rsidP="005B4472">
            <w:pPr>
              <w:spacing w:after="0" w:line="240" w:lineRule="auto"/>
              <w:jc w:val="right"/>
              <w:rPr>
                <w:rFonts w:ascii="Wingdings" w:eastAsia="Times New Roman" w:hAnsi="Wingdings" w:cs="Calibri"/>
                <w:b/>
                <w:bCs/>
                <w:color w:val="auto"/>
                <w:sz w:val="16"/>
                <w:szCs w:val="16"/>
                <w:lang w:eastAsia="en-AU"/>
              </w:rPr>
            </w:pPr>
            <w:r w:rsidRPr="005B4472">
              <w:rPr>
                <w:rFonts w:ascii="Wingdings" w:eastAsia="Times New Roman" w:hAnsi="Wingdings" w:cs="Calibri"/>
                <w:b/>
                <w:bCs/>
                <w:color w:val="auto"/>
                <w:sz w:val="16"/>
                <w:szCs w:val="16"/>
                <w:lang w:eastAsia="en-AU"/>
              </w:rPr>
              <w:t>ü</w:t>
            </w:r>
          </w:p>
        </w:tc>
        <w:tc>
          <w:tcPr>
            <w:tcW w:w="0" w:type="auto"/>
            <w:shd w:val="clear" w:color="000000" w:fill="FFFFFF"/>
            <w:noWrap/>
            <w:vAlign w:val="center"/>
            <w:hideMark/>
          </w:tcPr>
          <w:p w14:paraId="6246F058" w14:textId="77777777" w:rsidR="005B4472" w:rsidRPr="0028461A" w:rsidRDefault="005B4472" w:rsidP="005B4472">
            <w:pPr>
              <w:spacing w:after="0" w:line="240" w:lineRule="auto"/>
              <w:jc w:val="right"/>
              <w:rPr>
                <w:rFonts w:ascii="Wingdings" w:eastAsia="Times New Roman" w:hAnsi="Wingdings" w:cs="Calibri"/>
                <w:color w:val="auto"/>
                <w:sz w:val="16"/>
                <w:szCs w:val="16"/>
                <w:lang w:eastAsia="en-AU"/>
              </w:rPr>
            </w:pPr>
            <w:r w:rsidRPr="0028461A">
              <w:rPr>
                <w:rFonts w:ascii="Wingdings" w:eastAsia="Times New Roman" w:hAnsi="Times New Roman" w:cs="Calibri"/>
                <w:color w:val="auto"/>
                <w:sz w:val="16"/>
                <w:szCs w:val="16"/>
                <w:lang w:eastAsia="en-AU"/>
              </w:rPr>
              <w:t> </w:t>
            </w:r>
          </w:p>
        </w:tc>
        <w:tc>
          <w:tcPr>
            <w:tcW w:w="0" w:type="auto"/>
            <w:shd w:val="clear" w:color="000000" w:fill="FFFFFF"/>
            <w:noWrap/>
            <w:vAlign w:val="center"/>
            <w:hideMark/>
          </w:tcPr>
          <w:p w14:paraId="567F5D79" w14:textId="77777777" w:rsidR="005B4472" w:rsidRPr="0028461A" w:rsidRDefault="005B4472" w:rsidP="005B4472">
            <w:pPr>
              <w:spacing w:after="0" w:line="240" w:lineRule="auto"/>
              <w:jc w:val="right"/>
              <w:rPr>
                <w:rFonts w:ascii="Wingdings" w:eastAsia="Times New Roman" w:hAnsi="Wingdings" w:cs="Calibri"/>
                <w:color w:val="auto"/>
                <w:sz w:val="16"/>
                <w:szCs w:val="16"/>
                <w:lang w:eastAsia="en-AU"/>
              </w:rPr>
            </w:pPr>
            <w:r w:rsidRPr="0028461A">
              <w:rPr>
                <w:rFonts w:ascii="Wingdings" w:eastAsia="Times New Roman" w:hAnsi="Wingdings" w:cs="Calibri"/>
                <w:color w:val="auto"/>
                <w:sz w:val="16"/>
                <w:szCs w:val="16"/>
                <w:lang w:eastAsia="en-AU"/>
              </w:rPr>
              <w:t>ü</w:t>
            </w:r>
          </w:p>
        </w:tc>
        <w:tc>
          <w:tcPr>
            <w:tcW w:w="0" w:type="auto"/>
            <w:shd w:val="clear" w:color="000000" w:fill="FFFFFF"/>
            <w:noWrap/>
            <w:vAlign w:val="center"/>
            <w:hideMark/>
          </w:tcPr>
          <w:p w14:paraId="6F31CE4F" w14:textId="0CA04C9E" w:rsidR="005B4472" w:rsidRPr="0028461A" w:rsidRDefault="005B4472" w:rsidP="005B4472">
            <w:pPr>
              <w:spacing w:after="0" w:line="240" w:lineRule="auto"/>
              <w:jc w:val="right"/>
              <w:rPr>
                <w:rFonts w:ascii="Wingdings" w:eastAsia="Times New Roman" w:hAnsi="Wingdings" w:cs="Calibri"/>
                <w:color w:val="auto"/>
                <w:sz w:val="16"/>
                <w:szCs w:val="16"/>
                <w:lang w:eastAsia="en-AU"/>
              </w:rPr>
            </w:pPr>
            <w:r>
              <w:rPr>
                <w:rFonts w:ascii="Arial" w:eastAsia="Times New Roman" w:hAnsi="Arial" w:cs="Arial"/>
                <w:b/>
                <w:bCs/>
                <w:color w:val="auto"/>
                <w:sz w:val="16"/>
                <w:szCs w:val="16"/>
                <w:lang w:eastAsia="en-AU"/>
              </w:rPr>
              <w:t>-</w:t>
            </w:r>
            <w:r w:rsidRPr="0028461A">
              <w:rPr>
                <w:rFonts w:ascii="Wingdings" w:eastAsia="Times New Roman" w:hAnsi="Times New Roman" w:cs="Calibri"/>
                <w:color w:val="auto"/>
                <w:sz w:val="16"/>
                <w:szCs w:val="16"/>
                <w:lang w:eastAsia="en-AU"/>
              </w:rPr>
              <w:t> </w:t>
            </w:r>
          </w:p>
        </w:tc>
        <w:tc>
          <w:tcPr>
            <w:tcW w:w="0" w:type="auto"/>
            <w:shd w:val="clear" w:color="000000" w:fill="FFFFFF"/>
            <w:noWrap/>
            <w:vAlign w:val="center"/>
            <w:hideMark/>
          </w:tcPr>
          <w:p w14:paraId="64C4A75B" w14:textId="77777777" w:rsidR="005B4472" w:rsidRPr="0028461A" w:rsidRDefault="005B4472" w:rsidP="005B4472">
            <w:pPr>
              <w:spacing w:after="0" w:line="240" w:lineRule="auto"/>
              <w:jc w:val="right"/>
              <w:rPr>
                <w:rFonts w:ascii="Wingdings" w:eastAsia="Times New Roman" w:hAnsi="Wingdings" w:cs="Calibri"/>
                <w:color w:val="auto"/>
                <w:sz w:val="16"/>
                <w:szCs w:val="16"/>
                <w:lang w:eastAsia="en-AU"/>
              </w:rPr>
            </w:pPr>
            <w:r w:rsidRPr="0028461A">
              <w:rPr>
                <w:rFonts w:ascii="Wingdings" w:eastAsia="Times New Roman" w:hAnsi="Wingdings" w:cs="Calibri"/>
                <w:color w:val="auto"/>
                <w:sz w:val="16"/>
                <w:szCs w:val="16"/>
                <w:lang w:eastAsia="en-AU"/>
              </w:rPr>
              <w:t>ü</w:t>
            </w:r>
          </w:p>
        </w:tc>
        <w:tc>
          <w:tcPr>
            <w:tcW w:w="0" w:type="auto"/>
            <w:shd w:val="clear" w:color="000000" w:fill="FFFFFF"/>
            <w:noWrap/>
            <w:vAlign w:val="center"/>
            <w:hideMark/>
          </w:tcPr>
          <w:p w14:paraId="6755353C" w14:textId="7CA80111" w:rsidR="005B4472" w:rsidRPr="0028461A" w:rsidRDefault="005B4472" w:rsidP="005B4472">
            <w:pPr>
              <w:spacing w:after="0" w:line="240" w:lineRule="auto"/>
              <w:jc w:val="right"/>
              <w:rPr>
                <w:rFonts w:ascii="Wingdings" w:eastAsia="Times New Roman" w:hAnsi="Wingdings" w:cs="Calibri"/>
                <w:color w:val="auto"/>
                <w:sz w:val="16"/>
                <w:szCs w:val="16"/>
                <w:lang w:eastAsia="en-AU"/>
              </w:rPr>
            </w:pPr>
            <w:r>
              <w:rPr>
                <w:rFonts w:ascii="Arial" w:eastAsia="Times New Roman" w:hAnsi="Arial" w:cs="Arial"/>
                <w:b/>
                <w:bCs/>
                <w:color w:val="auto"/>
                <w:sz w:val="16"/>
                <w:szCs w:val="16"/>
                <w:lang w:eastAsia="en-AU"/>
              </w:rPr>
              <w:t>-</w:t>
            </w:r>
            <w:r w:rsidRPr="0028461A">
              <w:rPr>
                <w:rFonts w:ascii="Wingdings" w:eastAsia="Times New Roman" w:hAnsi="Times New Roman" w:cs="Calibri"/>
                <w:color w:val="auto"/>
                <w:sz w:val="16"/>
                <w:szCs w:val="16"/>
                <w:lang w:eastAsia="en-AU"/>
              </w:rPr>
              <w:t> </w:t>
            </w:r>
          </w:p>
        </w:tc>
        <w:tc>
          <w:tcPr>
            <w:tcW w:w="0" w:type="auto"/>
            <w:shd w:val="clear" w:color="000000" w:fill="FFFFFF"/>
            <w:noWrap/>
            <w:vAlign w:val="center"/>
            <w:hideMark/>
          </w:tcPr>
          <w:p w14:paraId="4AE81D35" w14:textId="77777777" w:rsidR="005B4472" w:rsidRPr="0028461A" w:rsidRDefault="005B4472" w:rsidP="005B4472">
            <w:pPr>
              <w:spacing w:after="0" w:line="240" w:lineRule="auto"/>
              <w:jc w:val="right"/>
              <w:rPr>
                <w:rFonts w:ascii="Wingdings" w:eastAsia="Times New Roman" w:hAnsi="Wingdings" w:cs="Calibri"/>
                <w:color w:val="auto"/>
                <w:sz w:val="16"/>
                <w:szCs w:val="16"/>
                <w:lang w:eastAsia="en-AU"/>
              </w:rPr>
            </w:pPr>
            <w:r w:rsidRPr="0028461A">
              <w:rPr>
                <w:rFonts w:ascii="Wingdings" w:eastAsia="Times New Roman" w:hAnsi="Wingdings" w:cs="Calibri"/>
                <w:color w:val="auto"/>
                <w:sz w:val="16"/>
                <w:szCs w:val="16"/>
                <w:lang w:eastAsia="en-AU"/>
              </w:rPr>
              <w:t>ü</w:t>
            </w:r>
          </w:p>
        </w:tc>
        <w:tc>
          <w:tcPr>
            <w:tcW w:w="0" w:type="auto"/>
            <w:shd w:val="clear" w:color="000000" w:fill="FFFFFF"/>
            <w:noWrap/>
            <w:vAlign w:val="center"/>
            <w:hideMark/>
          </w:tcPr>
          <w:p w14:paraId="45B54EFF" w14:textId="543DE7CE" w:rsidR="005B4472" w:rsidRPr="0028461A" w:rsidRDefault="005B4472" w:rsidP="005B4472">
            <w:pPr>
              <w:spacing w:after="0" w:line="240" w:lineRule="auto"/>
              <w:jc w:val="right"/>
              <w:rPr>
                <w:rFonts w:ascii="Wingdings" w:eastAsia="Times New Roman" w:hAnsi="Wingdings" w:cs="Calibri"/>
                <w:color w:val="auto"/>
                <w:sz w:val="16"/>
                <w:szCs w:val="16"/>
                <w:lang w:eastAsia="en-AU"/>
              </w:rPr>
            </w:pPr>
            <w:r w:rsidRPr="0028461A">
              <w:rPr>
                <w:rFonts w:ascii="Wingdings" w:eastAsia="Times New Roman" w:hAnsi="Times New Roman" w:cs="Calibri"/>
                <w:color w:val="auto"/>
                <w:sz w:val="16"/>
                <w:szCs w:val="16"/>
                <w:lang w:eastAsia="en-AU"/>
              </w:rPr>
              <w:t> </w:t>
            </w:r>
            <w:r>
              <w:rPr>
                <w:rFonts w:ascii="Arial" w:eastAsia="Times New Roman" w:hAnsi="Arial" w:cs="Arial"/>
                <w:b/>
                <w:bCs/>
                <w:color w:val="auto"/>
                <w:sz w:val="16"/>
                <w:szCs w:val="16"/>
                <w:lang w:eastAsia="en-AU"/>
              </w:rPr>
              <w:t>-</w:t>
            </w:r>
          </w:p>
        </w:tc>
        <w:tc>
          <w:tcPr>
            <w:tcW w:w="0" w:type="auto"/>
            <w:shd w:val="clear" w:color="000000" w:fill="FFFFFF"/>
            <w:noWrap/>
            <w:vAlign w:val="center"/>
            <w:hideMark/>
          </w:tcPr>
          <w:p w14:paraId="57A4772F" w14:textId="77777777" w:rsidR="005B4472" w:rsidRPr="0028461A" w:rsidRDefault="005B4472" w:rsidP="005B4472">
            <w:pPr>
              <w:spacing w:after="0" w:line="240" w:lineRule="auto"/>
              <w:jc w:val="right"/>
              <w:rPr>
                <w:rFonts w:ascii="Wingdings" w:eastAsia="Times New Roman" w:hAnsi="Wingdings" w:cs="Calibri"/>
                <w:color w:val="auto"/>
                <w:sz w:val="16"/>
                <w:szCs w:val="16"/>
                <w:lang w:eastAsia="en-AU"/>
              </w:rPr>
            </w:pPr>
            <w:r w:rsidRPr="0028461A">
              <w:rPr>
                <w:rFonts w:ascii="Wingdings" w:eastAsia="Times New Roman" w:hAnsi="Wingdings" w:cs="Calibri"/>
                <w:color w:val="auto"/>
                <w:sz w:val="16"/>
                <w:szCs w:val="16"/>
                <w:lang w:eastAsia="en-AU"/>
              </w:rPr>
              <w:t>ü</w:t>
            </w:r>
          </w:p>
        </w:tc>
        <w:tc>
          <w:tcPr>
            <w:tcW w:w="0" w:type="auto"/>
            <w:shd w:val="clear" w:color="000000" w:fill="FFFFFF"/>
            <w:noWrap/>
            <w:vAlign w:val="center"/>
            <w:hideMark/>
          </w:tcPr>
          <w:p w14:paraId="5B7D2B27" w14:textId="65F2A2C6" w:rsidR="005B4472" w:rsidRPr="0028461A" w:rsidRDefault="005B4472" w:rsidP="005B4472">
            <w:pPr>
              <w:spacing w:after="0" w:line="240" w:lineRule="auto"/>
              <w:jc w:val="right"/>
              <w:rPr>
                <w:rFonts w:ascii="Wingdings" w:eastAsia="Times New Roman" w:hAnsi="Wingdings" w:cs="Calibri"/>
                <w:color w:val="auto"/>
                <w:sz w:val="16"/>
                <w:szCs w:val="16"/>
                <w:lang w:eastAsia="en-AU"/>
              </w:rPr>
            </w:pPr>
            <w:r>
              <w:rPr>
                <w:rFonts w:ascii="Arial" w:eastAsia="Times New Roman" w:hAnsi="Arial" w:cs="Arial"/>
                <w:b/>
                <w:bCs/>
                <w:color w:val="auto"/>
                <w:sz w:val="16"/>
                <w:szCs w:val="16"/>
                <w:lang w:eastAsia="en-AU"/>
              </w:rPr>
              <w:t>-</w:t>
            </w:r>
            <w:r w:rsidRPr="0028461A">
              <w:rPr>
                <w:rFonts w:ascii="Wingdings" w:eastAsia="Times New Roman" w:hAnsi="Times New Roman" w:cs="Calibri"/>
                <w:color w:val="auto"/>
                <w:sz w:val="16"/>
                <w:szCs w:val="16"/>
                <w:lang w:eastAsia="en-AU"/>
              </w:rPr>
              <w:t> </w:t>
            </w:r>
          </w:p>
        </w:tc>
        <w:tc>
          <w:tcPr>
            <w:tcW w:w="0" w:type="auto"/>
            <w:shd w:val="clear" w:color="000000" w:fill="FFFFFF"/>
            <w:noWrap/>
            <w:vAlign w:val="center"/>
            <w:hideMark/>
          </w:tcPr>
          <w:p w14:paraId="6BED5247" w14:textId="77777777" w:rsidR="005B4472" w:rsidRPr="0028461A" w:rsidRDefault="005B4472" w:rsidP="005B4472">
            <w:pPr>
              <w:spacing w:after="0" w:line="240" w:lineRule="auto"/>
              <w:jc w:val="right"/>
              <w:rPr>
                <w:rFonts w:ascii="Wingdings" w:eastAsia="Times New Roman" w:hAnsi="Wingdings" w:cs="Calibri"/>
                <w:color w:val="auto"/>
                <w:sz w:val="16"/>
                <w:szCs w:val="16"/>
                <w:lang w:eastAsia="en-AU"/>
              </w:rPr>
            </w:pPr>
            <w:r w:rsidRPr="0028461A">
              <w:rPr>
                <w:rFonts w:ascii="Wingdings" w:eastAsia="Times New Roman" w:hAnsi="Wingdings" w:cs="Calibri"/>
                <w:color w:val="auto"/>
                <w:sz w:val="16"/>
                <w:szCs w:val="16"/>
                <w:lang w:eastAsia="en-AU"/>
              </w:rPr>
              <w:t>ü</w:t>
            </w:r>
          </w:p>
        </w:tc>
        <w:tc>
          <w:tcPr>
            <w:tcW w:w="0" w:type="auto"/>
            <w:shd w:val="clear" w:color="000000" w:fill="FFFFFF"/>
            <w:noWrap/>
            <w:vAlign w:val="center"/>
            <w:hideMark/>
          </w:tcPr>
          <w:p w14:paraId="0A7A6934" w14:textId="285B7713" w:rsidR="005B4472" w:rsidRPr="0028461A" w:rsidRDefault="005B4472" w:rsidP="005B4472">
            <w:pPr>
              <w:spacing w:after="0" w:line="240" w:lineRule="auto"/>
              <w:jc w:val="right"/>
              <w:rPr>
                <w:rFonts w:ascii="Wingdings" w:eastAsia="Times New Roman" w:hAnsi="Wingdings" w:cs="Calibri"/>
                <w:color w:val="auto"/>
                <w:sz w:val="16"/>
                <w:szCs w:val="16"/>
                <w:lang w:eastAsia="en-AU"/>
              </w:rPr>
            </w:pPr>
            <w:r>
              <w:rPr>
                <w:rFonts w:ascii="Arial" w:eastAsia="Times New Roman" w:hAnsi="Arial" w:cs="Arial"/>
                <w:b/>
                <w:bCs/>
                <w:color w:val="auto"/>
                <w:sz w:val="16"/>
                <w:szCs w:val="16"/>
                <w:lang w:eastAsia="en-AU"/>
              </w:rPr>
              <w:t>-</w:t>
            </w:r>
            <w:r w:rsidRPr="0028461A">
              <w:rPr>
                <w:rFonts w:ascii="Wingdings" w:eastAsia="Times New Roman" w:hAnsi="Times New Roman" w:cs="Calibri"/>
                <w:color w:val="auto"/>
                <w:sz w:val="16"/>
                <w:szCs w:val="16"/>
                <w:lang w:eastAsia="en-AU"/>
              </w:rPr>
              <w:t> </w:t>
            </w:r>
          </w:p>
        </w:tc>
        <w:tc>
          <w:tcPr>
            <w:tcW w:w="0" w:type="auto"/>
            <w:shd w:val="clear" w:color="000000" w:fill="FFFFFF"/>
            <w:noWrap/>
            <w:vAlign w:val="center"/>
            <w:hideMark/>
          </w:tcPr>
          <w:p w14:paraId="1522A9AA" w14:textId="77777777" w:rsidR="005B4472" w:rsidRPr="0028461A" w:rsidRDefault="005B4472" w:rsidP="005B4472">
            <w:pPr>
              <w:spacing w:after="0" w:line="240" w:lineRule="auto"/>
              <w:jc w:val="right"/>
              <w:rPr>
                <w:rFonts w:ascii="Wingdings" w:eastAsia="Times New Roman" w:hAnsi="Wingdings" w:cs="Calibri"/>
                <w:color w:val="auto"/>
                <w:sz w:val="16"/>
                <w:szCs w:val="16"/>
                <w:lang w:eastAsia="en-AU"/>
              </w:rPr>
            </w:pPr>
            <w:r w:rsidRPr="0028461A">
              <w:rPr>
                <w:rFonts w:ascii="Wingdings" w:eastAsia="Times New Roman" w:hAnsi="Wingdings" w:cs="Calibri"/>
                <w:color w:val="auto"/>
                <w:sz w:val="16"/>
                <w:szCs w:val="16"/>
                <w:lang w:eastAsia="en-AU"/>
              </w:rPr>
              <w:t>ü</w:t>
            </w:r>
          </w:p>
        </w:tc>
        <w:tc>
          <w:tcPr>
            <w:tcW w:w="0" w:type="auto"/>
            <w:shd w:val="clear" w:color="000000" w:fill="FFFFFF"/>
            <w:noWrap/>
            <w:vAlign w:val="center"/>
            <w:hideMark/>
          </w:tcPr>
          <w:p w14:paraId="6DD393F4" w14:textId="57F3D204" w:rsidR="005B4472" w:rsidRPr="0028461A" w:rsidRDefault="005B4472" w:rsidP="005B4472">
            <w:pPr>
              <w:spacing w:after="0" w:line="240" w:lineRule="auto"/>
              <w:jc w:val="right"/>
              <w:rPr>
                <w:rFonts w:ascii="Wingdings" w:eastAsia="Times New Roman" w:hAnsi="Wingdings" w:cs="Calibri"/>
                <w:color w:val="auto"/>
                <w:sz w:val="16"/>
                <w:szCs w:val="16"/>
                <w:lang w:eastAsia="en-AU"/>
              </w:rPr>
            </w:pPr>
            <w:r>
              <w:rPr>
                <w:rFonts w:ascii="Arial" w:eastAsia="Times New Roman" w:hAnsi="Arial" w:cs="Arial"/>
                <w:b/>
                <w:bCs/>
                <w:color w:val="auto"/>
                <w:sz w:val="16"/>
                <w:szCs w:val="16"/>
                <w:lang w:eastAsia="en-AU"/>
              </w:rPr>
              <w:t>-</w:t>
            </w:r>
            <w:r w:rsidRPr="0028461A">
              <w:rPr>
                <w:rFonts w:ascii="Wingdings" w:eastAsia="Times New Roman" w:hAnsi="Times New Roman" w:cs="Calibri"/>
                <w:color w:val="auto"/>
                <w:sz w:val="16"/>
                <w:szCs w:val="16"/>
                <w:lang w:eastAsia="en-AU"/>
              </w:rPr>
              <w:t> </w:t>
            </w:r>
          </w:p>
        </w:tc>
        <w:tc>
          <w:tcPr>
            <w:tcW w:w="0" w:type="auto"/>
            <w:shd w:val="thinDiagCross" w:color="auto" w:fill="auto"/>
            <w:noWrap/>
            <w:vAlign w:val="center"/>
            <w:hideMark/>
          </w:tcPr>
          <w:p w14:paraId="68DFF67E" w14:textId="77777777" w:rsidR="005B4472" w:rsidRPr="0028461A" w:rsidRDefault="005B4472" w:rsidP="005B4472">
            <w:pPr>
              <w:spacing w:after="0" w:line="240" w:lineRule="auto"/>
              <w:jc w:val="right"/>
              <w:rPr>
                <w:rFonts w:ascii="Wingdings" w:eastAsia="Times New Roman" w:hAnsi="Wingdings" w:cs="Calibri"/>
                <w:color w:val="auto"/>
                <w:sz w:val="16"/>
                <w:szCs w:val="16"/>
                <w:lang w:eastAsia="en-AU"/>
              </w:rPr>
            </w:pPr>
            <w:r w:rsidRPr="0028461A">
              <w:rPr>
                <w:rFonts w:ascii="Wingdings" w:eastAsia="Times New Roman" w:hAnsi="Wingdings" w:cs="Calibri"/>
                <w:color w:val="auto"/>
                <w:sz w:val="16"/>
                <w:szCs w:val="16"/>
                <w:lang w:eastAsia="en-AU"/>
              </w:rPr>
              <w:t>ü</w:t>
            </w:r>
          </w:p>
        </w:tc>
        <w:tc>
          <w:tcPr>
            <w:tcW w:w="0" w:type="auto"/>
            <w:shd w:val="clear" w:color="000000" w:fill="FFFFFF"/>
            <w:noWrap/>
            <w:vAlign w:val="center"/>
            <w:hideMark/>
          </w:tcPr>
          <w:p w14:paraId="73002D8A" w14:textId="3FCCD38C" w:rsidR="005B4472" w:rsidRPr="0028461A" w:rsidRDefault="005B4472" w:rsidP="005B4472">
            <w:pPr>
              <w:spacing w:after="0" w:line="240" w:lineRule="auto"/>
              <w:jc w:val="right"/>
              <w:rPr>
                <w:rFonts w:ascii="Wingdings" w:eastAsia="Times New Roman" w:hAnsi="Wingdings" w:cs="Calibri"/>
                <w:color w:val="auto"/>
                <w:sz w:val="16"/>
                <w:szCs w:val="16"/>
                <w:lang w:eastAsia="en-AU"/>
              </w:rPr>
            </w:pPr>
            <w:r>
              <w:rPr>
                <w:rFonts w:ascii="Arial" w:eastAsia="Times New Roman" w:hAnsi="Arial" w:cs="Arial"/>
                <w:b/>
                <w:bCs/>
                <w:color w:val="auto"/>
                <w:sz w:val="16"/>
                <w:szCs w:val="16"/>
                <w:lang w:eastAsia="en-AU"/>
              </w:rPr>
              <w:t>-</w:t>
            </w:r>
            <w:r w:rsidRPr="0028461A">
              <w:rPr>
                <w:rFonts w:ascii="Wingdings" w:eastAsia="Times New Roman" w:hAnsi="Times New Roman" w:cs="Calibri"/>
                <w:color w:val="auto"/>
                <w:sz w:val="16"/>
                <w:szCs w:val="16"/>
                <w:lang w:eastAsia="en-AU"/>
              </w:rPr>
              <w:t> </w:t>
            </w:r>
          </w:p>
        </w:tc>
        <w:tc>
          <w:tcPr>
            <w:tcW w:w="0" w:type="auto"/>
            <w:shd w:val="clear" w:color="000000" w:fill="FFFFFF"/>
            <w:noWrap/>
            <w:vAlign w:val="center"/>
            <w:hideMark/>
          </w:tcPr>
          <w:p w14:paraId="68E00B4E" w14:textId="77777777" w:rsidR="005B4472" w:rsidRPr="0028461A" w:rsidRDefault="005B4472" w:rsidP="005B4472">
            <w:pPr>
              <w:spacing w:after="0" w:line="240" w:lineRule="auto"/>
              <w:jc w:val="right"/>
              <w:rPr>
                <w:rFonts w:ascii="Wingdings" w:eastAsia="Times New Roman" w:hAnsi="Wingdings" w:cs="Calibri"/>
                <w:color w:val="auto"/>
                <w:sz w:val="16"/>
                <w:szCs w:val="16"/>
                <w:lang w:eastAsia="en-AU"/>
              </w:rPr>
            </w:pPr>
            <w:r w:rsidRPr="0028461A">
              <w:rPr>
                <w:rFonts w:ascii="Wingdings" w:eastAsia="Times New Roman" w:hAnsi="Wingdings" w:cs="Calibri"/>
                <w:color w:val="auto"/>
                <w:sz w:val="16"/>
                <w:szCs w:val="16"/>
                <w:lang w:eastAsia="en-AU"/>
              </w:rPr>
              <w:t>ü</w:t>
            </w:r>
          </w:p>
        </w:tc>
        <w:tc>
          <w:tcPr>
            <w:tcW w:w="0" w:type="auto"/>
            <w:shd w:val="clear" w:color="000000" w:fill="FFFFFF"/>
            <w:noWrap/>
            <w:vAlign w:val="center"/>
            <w:hideMark/>
          </w:tcPr>
          <w:p w14:paraId="761E990F" w14:textId="2FDC7182" w:rsidR="005B4472" w:rsidRPr="0028461A" w:rsidRDefault="005B4472" w:rsidP="005B4472">
            <w:pPr>
              <w:spacing w:after="0" w:line="240" w:lineRule="auto"/>
              <w:jc w:val="right"/>
              <w:rPr>
                <w:rFonts w:ascii="Wingdings" w:eastAsia="Times New Roman" w:hAnsi="Wingdings" w:cs="Calibri"/>
                <w:color w:val="auto"/>
                <w:sz w:val="16"/>
                <w:szCs w:val="16"/>
                <w:lang w:eastAsia="en-AU"/>
              </w:rPr>
            </w:pPr>
            <w:r>
              <w:rPr>
                <w:rFonts w:ascii="Arial" w:eastAsia="Times New Roman" w:hAnsi="Arial" w:cs="Arial"/>
                <w:b/>
                <w:bCs/>
                <w:color w:val="auto"/>
                <w:sz w:val="16"/>
                <w:szCs w:val="16"/>
                <w:lang w:eastAsia="en-AU"/>
              </w:rPr>
              <w:t>-</w:t>
            </w:r>
            <w:r w:rsidRPr="0028461A">
              <w:rPr>
                <w:rFonts w:ascii="Wingdings" w:eastAsia="Times New Roman" w:hAnsi="Times New Roman" w:cs="Calibri"/>
                <w:color w:val="auto"/>
                <w:sz w:val="16"/>
                <w:szCs w:val="16"/>
                <w:lang w:eastAsia="en-AU"/>
              </w:rPr>
              <w:t> </w:t>
            </w:r>
          </w:p>
        </w:tc>
        <w:tc>
          <w:tcPr>
            <w:tcW w:w="0" w:type="auto"/>
            <w:shd w:val="clear" w:color="000000" w:fill="FFFFFF"/>
            <w:noWrap/>
            <w:vAlign w:val="center"/>
            <w:hideMark/>
          </w:tcPr>
          <w:p w14:paraId="0EE2B99B" w14:textId="77777777" w:rsidR="005B4472" w:rsidRPr="0028461A" w:rsidRDefault="005B4472" w:rsidP="005B4472">
            <w:pPr>
              <w:spacing w:after="0" w:line="240" w:lineRule="auto"/>
              <w:jc w:val="right"/>
              <w:rPr>
                <w:rFonts w:ascii="Wingdings" w:eastAsia="Times New Roman" w:hAnsi="Wingdings" w:cs="Calibri"/>
                <w:color w:val="auto"/>
                <w:sz w:val="16"/>
                <w:szCs w:val="16"/>
                <w:lang w:eastAsia="en-AU"/>
              </w:rPr>
            </w:pPr>
            <w:r w:rsidRPr="0028461A">
              <w:rPr>
                <w:rFonts w:ascii="Wingdings" w:eastAsia="Times New Roman" w:hAnsi="Wingdings" w:cs="Calibri"/>
                <w:color w:val="auto"/>
                <w:sz w:val="16"/>
                <w:szCs w:val="16"/>
                <w:lang w:eastAsia="en-AU"/>
              </w:rPr>
              <w:t>ü</w:t>
            </w:r>
          </w:p>
        </w:tc>
        <w:tc>
          <w:tcPr>
            <w:tcW w:w="0" w:type="auto"/>
            <w:shd w:val="clear" w:color="000000" w:fill="FFFFFF"/>
            <w:noWrap/>
            <w:vAlign w:val="center"/>
            <w:hideMark/>
          </w:tcPr>
          <w:p w14:paraId="2AF72B2E" w14:textId="36FB654A" w:rsidR="005B4472" w:rsidRPr="0028461A" w:rsidRDefault="005B4472" w:rsidP="005B4472">
            <w:pPr>
              <w:spacing w:after="0" w:line="240" w:lineRule="auto"/>
              <w:jc w:val="right"/>
              <w:rPr>
                <w:rFonts w:ascii="Wingdings" w:eastAsia="Times New Roman" w:hAnsi="Wingdings" w:cs="Calibri"/>
                <w:color w:val="auto"/>
                <w:sz w:val="16"/>
                <w:szCs w:val="16"/>
                <w:lang w:eastAsia="en-AU"/>
              </w:rPr>
            </w:pPr>
            <w:r>
              <w:rPr>
                <w:rFonts w:ascii="Arial" w:eastAsia="Times New Roman" w:hAnsi="Arial" w:cs="Arial"/>
                <w:b/>
                <w:bCs/>
                <w:color w:val="auto"/>
                <w:sz w:val="16"/>
                <w:szCs w:val="16"/>
                <w:lang w:eastAsia="en-AU"/>
              </w:rPr>
              <w:t>-</w:t>
            </w:r>
            <w:r w:rsidRPr="0028461A">
              <w:rPr>
                <w:rFonts w:ascii="Wingdings" w:eastAsia="Times New Roman" w:hAnsi="Times New Roman" w:cs="Calibri"/>
                <w:color w:val="auto"/>
                <w:sz w:val="16"/>
                <w:szCs w:val="16"/>
                <w:lang w:eastAsia="en-AU"/>
              </w:rPr>
              <w:t> </w:t>
            </w:r>
          </w:p>
        </w:tc>
        <w:tc>
          <w:tcPr>
            <w:tcW w:w="0" w:type="auto"/>
            <w:shd w:val="clear" w:color="000000" w:fill="FFFFFF"/>
            <w:noWrap/>
            <w:vAlign w:val="center"/>
            <w:hideMark/>
          </w:tcPr>
          <w:p w14:paraId="67403C34" w14:textId="77777777" w:rsidR="005B4472" w:rsidRPr="0028461A" w:rsidRDefault="005B4472" w:rsidP="005B4472">
            <w:pPr>
              <w:spacing w:after="0" w:line="240" w:lineRule="auto"/>
              <w:jc w:val="right"/>
              <w:rPr>
                <w:rFonts w:ascii="Wingdings" w:eastAsia="Times New Roman" w:hAnsi="Wingdings" w:cs="Calibri"/>
                <w:color w:val="auto"/>
                <w:sz w:val="16"/>
                <w:szCs w:val="16"/>
                <w:lang w:eastAsia="en-AU"/>
              </w:rPr>
            </w:pPr>
            <w:r w:rsidRPr="0028461A">
              <w:rPr>
                <w:rFonts w:ascii="Wingdings" w:eastAsia="Times New Roman" w:hAnsi="Wingdings" w:cs="Calibri"/>
                <w:color w:val="auto"/>
                <w:sz w:val="16"/>
                <w:szCs w:val="16"/>
                <w:lang w:eastAsia="en-AU"/>
              </w:rPr>
              <w:t>ü</w:t>
            </w:r>
          </w:p>
        </w:tc>
        <w:tc>
          <w:tcPr>
            <w:tcW w:w="0" w:type="auto"/>
            <w:shd w:val="clear" w:color="000000" w:fill="FFFFFF"/>
            <w:noWrap/>
            <w:vAlign w:val="center"/>
            <w:hideMark/>
          </w:tcPr>
          <w:p w14:paraId="26529572" w14:textId="65699249" w:rsidR="005B4472" w:rsidRPr="0028461A" w:rsidRDefault="005B4472" w:rsidP="005B4472">
            <w:pPr>
              <w:spacing w:after="0" w:line="240" w:lineRule="auto"/>
              <w:jc w:val="right"/>
              <w:rPr>
                <w:rFonts w:ascii="Wingdings" w:eastAsia="Times New Roman" w:hAnsi="Wingdings" w:cs="Calibri"/>
                <w:color w:val="auto"/>
                <w:sz w:val="16"/>
                <w:szCs w:val="16"/>
                <w:lang w:eastAsia="en-AU"/>
              </w:rPr>
            </w:pPr>
            <w:r w:rsidRPr="0028461A">
              <w:rPr>
                <w:rFonts w:ascii="Wingdings" w:eastAsia="Times New Roman" w:hAnsi="Times New Roman" w:cs="Calibri"/>
                <w:color w:val="auto"/>
                <w:sz w:val="16"/>
                <w:szCs w:val="16"/>
                <w:lang w:eastAsia="en-AU"/>
              </w:rPr>
              <w:t> </w:t>
            </w:r>
            <w:r>
              <w:rPr>
                <w:rFonts w:ascii="Arial" w:eastAsia="Times New Roman" w:hAnsi="Arial" w:cs="Arial"/>
                <w:b/>
                <w:bCs/>
                <w:color w:val="auto"/>
                <w:sz w:val="16"/>
                <w:szCs w:val="16"/>
                <w:lang w:eastAsia="en-AU"/>
              </w:rPr>
              <w:t>-</w:t>
            </w:r>
          </w:p>
        </w:tc>
        <w:tc>
          <w:tcPr>
            <w:tcW w:w="0" w:type="auto"/>
            <w:shd w:val="clear" w:color="000000" w:fill="FFFFFF"/>
            <w:noWrap/>
            <w:vAlign w:val="center"/>
            <w:hideMark/>
          </w:tcPr>
          <w:p w14:paraId="493C083C" w14:textId="77777777" w:rsidR="005B4472" w:rsidRPr="0028461A" w:rsidRDefault="005B4472" w:rsidP="005B4472">
            <w:pPr>
              <w:spacing w:after="0" w:line="240" w:lineRule="auto"/>
              <w:jc w:val="right"/>
              <w:rPr>
                <w:rFonts w:ascii="Wingdings" w:eastAsia="Times New Roman" w:hAnsi="Wingdings" w:cs="Calibri"/>
                <w:color w:val="auto"/>
                <w:sz w:val="16"/>
                <w:szCs w:val="16"/>
                <w:lang w:eastAsia="en-AU"/>
              </w:rPr>
            </w:pPr>
            <w:r w:rsidRPr="0028461A">
              <w:rPr>
                <w:rFonts w:ascii="Wingdings" w:eastAsia="Times New Roman" w:hAnsi="Wingdings" w:cs="Calibri"/>
                <w:color w:val="auto"/>
                <w:sz w:val="16"/>
                <w:szCs w:val="16"/>
                <w:lang w:eastAsia="en-AU"/>
              </w:rPr>
              <w:t>ü</w:t>
            </w:r>
          </w:p>
        </w:tc>
        <w:tc>
          <w:tcPr>
            <w:tcW w:w="0" w:type="auto"/>
            <w:shd w:val="clear" w:color="000000" w:fill="FFFFFF"/>
            <w:noWrap/>
            <w:vAlign w:val="center"/>
            <w:hideMark/>
          </w:tcPr>
          <w:p w14:paraId="1F14CD20" w14:textId="1E1DE286" w:rsidR="005B4472" w:rsidRPr="0028461A" w:rsidRDefault="005B4472" w:rsidP="005B4472">
            <w:pPr>
              <w:spacing w:after="0" w:line="240" w:lineRule="auto"/>
              <w:jc w:val="right"/>
              <w:rPr>
                <w:rFonts w:ascii="Wingdings" w:eastAsia="Times New Roman" w:hAnsi="Wingdings" w:cs="Calibri"/>
                <w:color w:val="auto"/>
                <w:sz w:val="16"/>
                <w:szCs w:val="16"/>
                <w:lang w:eastAsia="en-AU"/>
              </w:rPr>
            </w:pPr>
            <w:r>
              <w:rPr>
                <w:rFonts w:ascii="Arial" w:eastAsia="Times New Roman" w:hAnsi="Arial" w:cs="Arial"/>
                <w:b/>
                <w:bCs/>
                <w:color w:val="auto"/>
                <w:sz w:val="16"/>
                <w:szCs w:val="16"/>
                <w:lang w:eastAsia="en-AU"/>
              </w:rPr>
              <w:t>-</w:t>
            </w:r>
            <w:r w:rsidRPr="0028461A">
              <w:rPr>
                <w:rFonts w:ascii="Wingdings" w:eastAsia="Times New Roman" w:hAnsi="Times New Roman" w:cs="Calibri"/>
                <w:color w:val="auto"/>
                <w:sz w:val="16"/>
                <w:szCs w:val="16"/>
                <w:lang w:eastAsia="en-AU"/>
              </w:rPr>
              <w:t> </w:t>
            </w:r>
          </w:p>
        </w:tc>
        <w:tc>
          <w:tcPr>
            <w:tcW w:w="0" w:type="auto"/>
            <w:shd w:val="clear" w:color="000000" w:fill="FFFFFF"/>
            <w:noWrap/>
            <w:vAlign w:val="center"/>
            <w:hideMark/>
          </w:tcPr>
          <w:p w14:paraId="7C0E0A9B" w14:textId="77777777" w:rsidR="005B4472" w:rsidRPr="0028461A" w:rsidRDefault="005B4472" w:rsidP="005B4472">
            <w:pPr>
              <w:spacing w:after="0" w:line="240" w:lineRule="auto"/>
              <w:jc w:val="right"/>
              <w:rPr>
                <w:rFonts w:ascii="Wingdings" w:eastAsia="Times New Roman" w:hAnsi="Wingdings" w:cs="Calibri"/>
                <w:color w:val="auto"/>
                <w:sz w:val="16"/>
                <w:szCs w:val="16"/>
                <w:lang w:eastAsia="en-AU"/>
              </w:rPr>
            </w:pPr>
            <w:r w:rsidRPr="0028461A">
              <w:rPr>
                <w:rFonts w:ascii="Wingdings" w:eastAsia="Times New Roman" w:hAnsi="Wingdings" w:cs="Calibri"/>
                <w:color w:val="auto"/>
                <w:sz w:val="16"/>
                <w:szCs w:val="16"/>
                <w:lang w:eastAsia="en-AU"/>
              </w:rPr>
              <w:t>ü</w:t>
            </w:r>
          </w:p>
        </w:tc>
      </w:tr>
      <w:tr w:rsidR="009008C5" w:rsidRPr="004D6AEA" w14:paraId="1F11CF2E" w14:textId="77777777" w:rsidTr="009008C5">
        <w:trPr>
          <w:trHeight w:val="300"/>
        </w:trPr>
        <w:tc>
          <w:tcPr>
            <w:tcW w:w="2580" w:type="dxa"/>
            <w:shd w:val="clear" w:color="auto" w:fill="F5A35F" w:themeFill="accent2" w:themeFillShade="BF"/>
            <w:noWrap/>
            <w:vAlign w:val="bottom"/>
            <w:hideMark/>
          </w:tcPr>
          <w:p w14:paraId="104DB65C" w14:textId="77777777" w:rsidR="005B4472" w:rsidRPr="0028461A" w:rsidRDefault="005B4472" w:rsidP="005B4472">
            <w:pPr>
              <w:spacing w:after="0" w:line="240" w:lineRule="auto"/>
              <w:rPr>
                <w:rFonts w:ascii="Arial" w:eastAsia="Times New Roman" w:hAnsi="Arial" w:cs="Arial"/>
                <w:b/>
                <w:bCs/>
                <w:color w:val="auto"/>
                <w:sz w:val="16"/>
                <w:szCs w:val="16"/>
                <w:lang w:eastAsia="en-AU"/>
              </w:rPr>
            </w:pPr>
            <w:r w:rsidRPr="0028461A">
              <w:rPr>
                <w:rFonts w:ascii="Arial" w:eastAsia="Times New Roman" w:hAnsi="Arial" w:cs="Arial"/>
                <w:b/>
                <w:bCs/>
                <w:color w:val="auto"/>
                <w:sz w:val="16"/>
                <w:szCs w:val="16"/>
                <w:lang w:eastAsia="en-AU"/>
              </w:rPr>
              <w:t>PHASE 1 DEVELOPMENT</w:t>
            </w:r>
          </w:p>
        </w:tc>
        <w:tc>
          <w:tcPr>
            <w:tcW w:w="490" w:type="dxa"/>
            <w:shd w:val="clear" w:color="auto" w:fill="F5A35F" w:themeFill="accent2" w:themeFillShade="BF"/>
            <w:noWrap/>
            <w:hideMark/>
          </w:tcPr>
          <w:p w14:paraId="1059A611" w14:textId="43B8D04F"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0912B3">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5A4487F5" w14:textId="10C059BA"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55670E">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12209B2C" w14:textId="4FC8D682" w:rsidR="005B4472" w:rsidRPr="005B4472" w:rsidRDefault="005B4472" w:rsidP="005B4472">
            <w:pPr>
              <w:spacing w:after="0" w:line="240" w:lineRule="auto"/>
              <w:jc w:val="center"/>
              <w:rPr>
                <w:rFonts w:eastAsia="Times New Roman" w:cstheme="minorHAnsi"/>
                <w:color w:val="auto"/>
                <w:sz w:val="16"/>
                <w:szCs w:val="16"/>
                <w:lang w:eastAsia="en-AU"/>
              </w:rPr>
            </w:pPr>
            <w:r w:rsidRPr="005A7A64">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07EDA04F" w14:textId="7924BEFA" w:rsidR="005B4472" w:rsidRPr="005B4472" w:rsidRDefault="005B4472" w:rsidP="005B4472">
            <w:pPr>
              <w:spacing w:after="0" w:line="240" w:lineRule="auto"/>
              <w:jc w:val="center"/>
              <w:rPr>
                <w:rFonts w:eastAsia="Times New Roman" w:cstheme="minorHAnsi"/>
                <w:color w:val="auto"/>
                <w:sz w:val="16"/>
                <w:szCs w:val="16"/>
                <w:lang w:eastAsia="en-AU"/>
              </w:rPr>
            </w:pPr>
            <w:r w:rsidRPr="005A7A64">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422BA874" w14:textId="43B344DD" w:rsidR="005B4472" w:rsidRPr="005B4472" w:rsidRDefault="005B4472" w:rsidP="005B4472">
            <w:pPr>
              <w:spacing w:after="0" w:line="240" w:lineRule="auto"/>
              <w:jc w:val="center"/>
              <w:rPr>
                <w:rFonts w:ascii="Calibri" w:eastAsia="Times New Roman" w:hAnsi="Calibri" w:cs="Calibri"/>
                <w:b/>
                <w:bCs/>
                <w:color w:val="auto"/>
                <w:sz w:val="16"/>
                <w:szCs w:val="16"/>
                <w:lang w:eastAsia="en-AU"/>
              </w:rPr>
            </w:pPr>
            <w:r w:rsidRPr="00D80A9A">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1FEA34FF" w14:textId="16681528" w:rsidR="005B4472" w:rsidRPr="005B4472" w:rsidRDefault="005B4472" w:rsidP="005B4472">
            <w:pPr>
              <w:spacing w:after="0" w:line="240" w:lineRule="auto"/>
              <w:jc w:val="center"/>
              <w:rPr>
                <w:rFonts w:ascii="Calibri" w:eastAsia="Times New Roman" w:hAnsi="Calibri" w:cs="Calibri"/>
                <w:b/>
                <w:bCs/>
                <w:color w:val="auto"/>
                <w:sz w:val="16"/>
                <w:szCs w:val="16"/>
                <w:lang w:eastAsia="en-AU"/>
              </w:rPr>
            </w:pPr>
            <w:r w:rsidRPr="009A7CA0">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76FFDFB8" w14:textId="55B489BC"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9A7CA0">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513681D1" w14:textId="41638E70"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9C2860">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331EFF06" w14:textId="11B41EB0"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9C2860">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472A69B0" w14:textId="0EE76735"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41255CFA" w14:textId="771432CB"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516CCD11" w14:textId="2EE14B85"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5603F4BE" w14:textId="7312F791"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70D1089E" w14:textId="3B33149F"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1E448F4F" w14:textId="6E1A7DDC"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473A918E" w14:textId="2BCC69EA"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2CEED5D8" w14:textId="1E422EDB"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618E9077" w14:textId="1FCCCFE9"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35490CA2" w14:textId="69E3401C"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4E766FCD" w14:textId="79087B4E" w:rsidR="005B4472" w:rsidRPr="0028461A" w:rsidRDefault="005B4472" w:rsidP="005B4472">
            <w:pPr>
              <w:spacing w:after="0" w:line="240" w:lineRule="auto"/>
              <w:jc w:val="center"/>
              <w:rPr>
                <w:rFonts w:ascii="Calibri" w:eastAsia="Times New Roman" w:hAnsi="Calibri" w:cs="Calibri"/>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30ABFA38" w14:textId="255F2DE8"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50AAFBA7" w14:textId="24AB8539"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4A85102E" w14:textId="7B973A51"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6DCA9EBB" w14:textId="1A4CDEE5"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11386CF7" w14:textId="24372373"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3CB8EB1D" w14:textId="3795AFC3"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1D2097E5" w14:textId="5E80DEF7"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066FF64D" w14:textId="373244EE"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10488DBD" w14:textId="164A155D"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4A72541E" w14:textId="34827184"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r>
      <w:tr w:rsidR="005B4472" w:rsidRPr="004D6AEA" w14:paraId="6090C1C4" w14:textId="77777777" w:rsidTr="005E3060">
        <w:trPr>
          <w:trHeight w:val="255"/>
        </w:trPr>
        <w:tc>
          <w:tcPr>
            <w:tcW w:w="2580" w:type="dxa"/>
            <w:shd w:val="clear" w:color="000000" w:fill="D9D9D9"/>
            <w:noWrap/>
            <w:vAlign w:val="bottom"/>
            <w:hideMark/>
          </w:tcPr>
          <w:p w14:paraId="0945C7BE" w14:textId="77777777" w:rsidR="005B4472" w:rsidRPr="0028461A" w:rsidRDefault="005B4472" w:rsidP="005B4472">
            <w:pPr>
              <w:spacing w:after="0" w:line="240" w:lineRule="auto"/>
              <w:rPr>
                <w:rFonts w:ascii="Arial" w:eastAsia="Times New Roman" w:hAnsi="Arial" w:cs="Arial"/>
                <w:b/>
                <w:bCs/>
                <w:color w:val="auto"/>
                <w:sz w:val="16"/>
                <w:szCs w:val="16"/>
                <w:lang w:eastAsia="en-AU"/>
              </w:rPr>
            </w:pPr>
            <w:r w:rsidRPr="0028461A">
              <w:rPr>
                <w:rFonts w:ascii="Arial" w:eastAsia="Times New Roman" w:hAnsi="Arial" w:cs="Arial"/>
                <w:b/>
                <w:bCs/>
                <w:color w:val="auto"/>
                <w:sz w:val="16"/>
                <w:szCs w:val="16"/>
                <w:lang w:eastAsia="en-AU"/>
              </w:rPr>
              <w:t>WORK PLAN &amp; KICK OFF</w:t>
            </w:r>
          </w:p>
        </w:tc>
        <w:tc>
          <w:tcPr>
            <w:tcW w:w="490" w:type="dxa"/>
            <w:shd w:val="clear" w:color="000000" w:fill="D9D9D9"/>
            <w:noWrap/>
            <w:hideMark/>
          </w:tcPr>
          <w:p w14:paraId="550C880F" w14:textId="6B51FAE3"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0912B3">
              <w:rPr>
                <w:rFonts w:ascii="Arial" w:eastAsia="Times New Roman" w:hAnsi="Arial" w:cs="Arial"/>
                <w:b/>
                <w:bCs/>
                <w:color w:val="auto"/>
                <w:sz w:val="16"/>
                <w:szCs w:val="16"/>
                <w:lang w:eastAsia="en-AU"/>
              </w:rPr>
              <w:t>-</w:t>
            </w:r>
          </w:p>
        </w:tc>
        <w:tc>
          <w:tcPr>
            <w:tcW w:w="0" w:type="auto"/>
            <w:shd w:val="clear" w:color="000000" w:fill="D9D9D9"/>
            <w:noWrap/>
            <w:hideMark/>
          </w:tcPr>
          <w:p w14:paraId="5CCC7E97" w14:textId="0F307C56"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55670E">
              <w:rPr>
                <w:rFonts w:ascii="Arial" w:eastAsia="Times New Roman" w:hAnsi="Arial" w:cs="Arial"/>
                <w:b/>
                <w:bCs/>
                <w:color w:val="auto"/>
                <w:sz w:val="16"/>
                <w:szCs w:val="16"/>
                <w:lang w:eastAsia="en-AU"/>
              </w:rPr>
              <w:t>-</w:t>
            </w:r>
          </w:p>
        </w:tc>
        <w:tc>
          <w:tcPr>
            <w:tcW w:w="0" w:type="auto"/>
            <w:shd w:val="clear" w:color="000000" w:fill="D9D9D9"/>
            <w:noWrap/>
            <w:hideMark/>
          </w:tcPr>
          <w:p w14:paraId="2C214A36" w14:textId="56E3A74E" w:rsidR="005B4472" w:rsidRPr="005B4472" w:rsidRDefault="005B4472" w:rsidP="005B4472">
            <w:pPr>
              <w:spacing w:after="0" w:line="240" w:lineRule="auto"/>
              <w:jc w:val="center"/>
              <w:rPr>
                <w:rFonts w:eastAsia="Times New Roman" w:cstheme="minorHAnsi"/>
                <w:b/>
                <w:bCs/>
                <w:color w:val="auto"/>
                <w:sz w:val="16"/>
                <w:szCs w:val="16"/>
                <w:lang w:eastAsia="en-AU"/>
              </w:rPr>
            </w:pPr>
            <w:r w:rsidRPr="005A7A64">
              <w:rPr>
                <w:rFonts w:ascii="Arial" w:eastAsia="Times New Roman" w:hAnsi="Arial" w:cs="Arial"/>
                <w:b/>
                <w:bCs/>
                <w:color w:val="auto"/>
                <w:sz w:val="16"/>
                <w:szCs w:val="16"/>
                <w:lang w:eastAsia="en-AU"/>
              </w:rPr>
              <w:t>-</w:t>
            </w:r>
          </w:p>
        </w:tc>
        <w:tc>
          <w:tcPr>
            <w:tcW w:w="0" w:type="auto"/>
            <w:shd w:val="clear" w:color="000000" w:fill="D9D9D9"/>
            <w:noWrap/>
            <w:hideMark/>
          </w:tcPr>
          <w:p w14:paraId="1428CDEA" w14:textId="7B993093" w:rsidR="005B4472" w:rsidRPr="005B4472" w:rsidRDefault="005B4472" w:rsidP="005B4472">
            <w:pPr>
              <w:spacing w:after="0" w:line="240" w:lineRule="auto"/>
              <w:jc w:val="center"/>
              <w:rPr>
                <w:rFonts w:eastAsia="Times New Roman" w:cstheme="minorHAnsi"/>
                <w:b/>
                <w:bCs/>
                <w:color w:val="auto"/>
                <w:sz w:val="16"/>
                <w:szCs w:val="16"/>
                <w:lang w:eastAsia="en-AU"/>
              </w:rPr>
            </w:pPr>
            <w:r w:rsidRPr="005A7A64">
              <w:rPr>
                <w:rFonts w:ascii="Arial" w:eastAsia="Times New Roman" w:hAnsi="Arial" w:cs="Arial"/>
                <w:b/>
                <w:bCs/>
                <w:color w:val="auto"/>
                <w:sz w:val="16"/>
                <w:szCs w:val="16"/>
                <w:lang w:eastAsia="en-AU"/>
              </w:rPr>
              <w:t>-</w:t>
            </w:r>
          </w:p>
        </w:tc>
        <w:tc>
          <w:tcPr>
            <w:tcW w:w="0" w:type="auto"/>
            <w:shd w:val="clear" w:color="000000" w:fill="D9D9D9"/>
            <w:noWrap/>
            <w:hideMark/>
          </w:tcPr>
          <w:p w14:paraId="7C704ABE" w14:textId="0D187BD0" w:rsidR="005B4472" w:rsidRPr="005B4472" w:rsidRDefault="005B4472" w:rsidP="005B4472">
            <w:pPr>
              <w:spacing w:after="0" w:line="240" w:lineRule="auto"/>
              <w:rPr>
                <w:rFonts w:ascii="Arial" w:eastAsia="Times New Roman" w:hAnsi="Arial" w:cs="Arial"/>
                <w:b/>
                <w:bCs/>
                <w:color w:val="auto"/>
                <w:sz w:val="16"/>
                <w:szCs w:val="16"/>
                <w:lang w:eastAsia="en-AU"/>
              </w:rPr>
            </w:pPr>
            <w:r w:rsidRPr="00D80A9A">
              <w:rPr>
                <w:rFonts w:ascii="Arial" w:eastAsia="Times New Roman" w:hAnsi="Arial" w:cs="Arial"/>
                <w:b/>
                <w:bCs/>
                <w:color w:val="auto"/>
                <w:sz w:val="16"/>
                <w:szCs w:val="16"/>
                <w:lang w:eastAsia="en-AU"/>
              </w:rPr>
              <w:t>-</w:t>
            </w:r>
          </w:p>
        </w:tc>
        <w:tc>
          <w:tcPr>
            <w:tcW w:w="0" w:type="auto"/>
            <w:shd w:val="clear" w:color="000000" w:fill="D9D9D9"/>
            <w:noWrap/>
            <w:hideMark/>
          </w:tcPr>
          <w:p w14:paraId="7AF058D3" w14:textId="5282D9A1" w:rsidR="005B4472" w:rsidRPr="005B4472" w:rsidRDefault="005B4472" w:rsidP="005B4472">
            <w:pPr>
              <w:spacing w:after="0" w:line="240" w:lineRule="auto"/>
              <w:jc w:val="center"/>
              <w:rPr>
                <w:rFonts w:ascii="Arial" w:eastAsia="Times New Roman" w:hAnsi="Arial" w:cs="Arial"/>
                <w:b/>
                <w:bCs/>
                <w:color w:val="auto"/>
                <w:sz w:val="16"/>
                <w:szCs w:val="16"/>
                <w:lang w:eastAsia="en-AU"/>
              </w:rPr>
            </w:pPr>
            <w:r w:rsidRPr="009A7CA0">
              <w:rPr>
                <w:rFonts w:ascii="Arial" w:eastAsia="Times New Roman" w:hAnsi="Arial" w:cs="Arial"/>
                <w:b/>
                <w:bCs/>
                <w:color w:val="auto"/>
                <w:sz w:val="16"/>
                <w:szCs w:val="16"/>
                <w:lang w:eastAsia="en-AU"/>
              </w:rPr>
              <w:t>-</w:t>
            </w:r>
          </w:p>
        </w:tc>
        <w:tc>
          <w:tcPr>
            <w:tcW w:w="0" w:type="auto"/>
            <w:shd w:val="clear" w:color="000000" w:fill="D9D9D9"/>
            <w:noWrap/>
            <w:hideMark/>
          </w:tcPr>
          <w:p w14:paraId="718C95F4" w14:textId="5D70D07A"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9A7CA0">
              <w:rPr>
                <w:rFonts w:ascii="Arial" w:eastAsia="Times New Roman" w:hAnsi="Arial" w:cs="Arial"/>
                <w:b/>
                <w:bCs/>
                <w:color w:val="auto"/>
                <w:sz w:val="16"/>
                <w:szCs w:val="16"/>
                <w:lang w:eastAsia="en-AU"/>
              </w:rPr>
              <w:t>-</w:t>
            </w:r>
          </w:p>
        </w:tc>
        <w:tc>
          <w:tcPr>
            <w:tcW w:w="0" w:type="auto"/>
            <w:shd w:val="clear" w:color="000000" w:fill="D9D9D9"/>
            <w:noWrap/>
            <w:hideMark/>
          </w:tcPr>
          <w:p w14:paraId="3961A2DC" w14:textId="25A37130"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9C2860">
              <w:rPr>
                <w:rFonts w:ascii="Arial" w:eastAsia="Times New Roman" w:hAnsi="Arial" w:cs="Arial"/>
                <w:b/>
                <w:bCs/>
                <w:color w:val="auto"/>
                <w:sz w:val="16"/>
                <w:szCs w:val="16"/>
                <w:lang w:eastAsia="en-AU"/>
              </w:rPr>
              <w:t>-</w:t>
            </w:r>
          </w:p>
        </w:tc>
        <w:tc>
          <w:tcPr>
            <w:tcW w:w="0" w:type="auto"/>
            <w:shd w:val="clear" w:color="000000" w:fill="D9D9D9"/>
            <w:noWrap/>
            <w:hideMark/>
          </w:tcPr>
          <w:p w14:paraId="71B19714" w14:textId="090559EC"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9C2860">
              <w:rPr>
                <w:rFonts w:ascii="Arial" w:eastAsia="Times New Roman" w:hAnsi="Arial" w:cs="Arial"/>
                <w:b/>
                <w:bCs/>
                <w:color w:val="auto"/>
                <w:sz w:val="16"/>
                <w:szCs w:val="16"/>
                <w:lang w:eastAsia="en-AU"/>
              </w:rPr>
              <w:t>-</w:t>
            </w:r>
          </w:p>
        </w:tc>
        <w:tc>
          <w:tcPr>
            <w:tcW w:w="0" w:type="auto"/>
            <w:shd w:val="clear" w:color="000000" w:fill="D9D9D9"/>
            <w:noWrap/>
            <w:hideMark/>
          </w:tcPr>
          <w:p w14:paraId="44FDCD35" w14:textId="65BE2A79"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57B6364E" w14:textId="22FD0D40"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044E3631" w14:textId="6C58B66A"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47819FD6" w14:textId="3D2EFDF5"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52DDAAC2" w14:textId="04B041E2"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1CECC266" w14:textId="0DA4C8AC"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41EA8870" w14:textId="3BC2301A"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5D81122B" w14:textId="2DEB06CD"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3BA2E186" w14:textId="2D75C147"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72B2ACB7" w14:textId="22F8B226"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thinDiagCross" w:color="auto" w:fill="auto"/>
            <w:noWrap/>
            <w:hideMark/>
          </w:tcPr>
          <w:p w14:paraId="4B98DCEB" w14:textId="297AE7DE" w:rsidR="005B4472" w:rsidRPr="0028461A" w:rsidRDefault="005B4472" w:rsidP="005B4472">
            <w:pPr>
              <w:spacing w:after="0" w:line="240" w:lineRule="auto"/>
              <w:jc w:val="center"/>
              <w:rPr>
                <w:rFonts w:ascii="Arial" w:eastAsia="Times New Roman" w:hAnsi="Arial" w:cs="Arial"/>
                <w:b/>
                <w:bCs/>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426007B3" w14:textId="392A4FF0"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7914402E" w14:textId="4425DE58"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18EF22F8" w14:textId="22D3A100"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291D3A1E" w14:textId="7E46F176"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614B6950" w14:textId="29974602"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251408CB" w14:textId="6DA72EF8"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0CA20859" w14:textId="5FF95D7B"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3F270570" w14:textId="5C9D036C"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570881FD" w14:textId="447F1190"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7C6F9AC0" w14:textId="233C8502"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r>
      <w:tr w:rsidR="005B4472" w:rsidRPr="004D6AEA" w14:paraId="30946C81" w14:textId="77777777" w:rsidTr="005E3060">
        <w:trPr>
          <w:trHeight w:val="289"/>
        </w:trPr>
        <w:tc>
          <w:tcPr>
            <w:tcW w:w="2580" w:type="dxa"/>
            <w:shd w:val="clear" w:color="auto" w:fill="auto"/>
            <w:noWrap/>
            <w:vAlign w:val="bottom"/>
            <w:hideMark/>
          </w:tcPr>
          <w:p w14:paraId="2C666C86" w14:textId="251E9DDB" w:rsidR="005B4472" w:rsidRPr="0028461A" w:rsidRDefault="005B4472" w:rsidP="005B4472">
            <w:pPr>
              <w:spacing w:after="0" w:line="240" w:lineRule="auto"/>
              <w:rPr>
                <w:rFonts w:ascii="Arial" w:eastAsia="Times New Roman" w:hAnsi="Arial" w:cs="Arial"/>
                <w:color w:val="auto"/>
                <w:sz w:val="16"/>
                <w:szCs w:val="16"/>
                <w:lang w:eastAsia="en-AU"/>
              </w:rPr>
            </w:pPr>
            <w:r w:rsidRPr="0028461A">
              <w:rPr>
                <w:rFonts w:ascii="Arial" w:eastAsia="Times New Roman" w:hAnsi="Arial" w:cs="Arial"/>
                <w:color w:val="auto"/>
                <w:sz w:val="16"/>
                <w:szCs w:val="16"/>
                <w:lang w:eastAsia="en-AU"/>
              </w:rPr>
              <w:t>Summary eval</w:t>
            </w:r>
            <w:r w:rsidR="00FA278E">
              <w:rPr>
                <w:rFonts w:ascii="Arial" w:eastAsia="Times New Roman" w:hAnsi="Arial" w:cs="Arial"/>
                <w:color w:val="auto"/>
                <w:sz w:val="16"/>
                <w:szCs w:val="16"/>
                <w:lang w:eastAsia="en-AU"/>
              </w:rPr>
              <w:t>uation</w:t>
            </w:r>
            <w:r w:rsidRPr="0028461A">
              <w:rPr>
                <w:rFonts w:ascii="Arial" w:eastAsia="Times New Roman" w:hAnsi="Arial" w:cs="Arial"/>
                <w:color w:val="auto"/>
                <w:sz w:val="16"/>
                <w:szCs w:val="16"/>
                <w:lang w:eastAsia="en-AU"/>
              </w:rPr>
              <w:t xml:space="preserve"> and design work plan submitted</w:t>
            </w:r>
          </w:p>
        </w:tc>
        <w:tc>
          <w:tcPr>
            <w:tcW w:w="490" w:type="dxa"/>
            <w:shd w:val="clear" w:color="000000" w:fill="FFFFFF"/>
            <w:noWrap/>
            <w:hideMark/>
          </w:tcPr>
          <w:p w14:paraId="705E0EDE" w14:textId="44383613"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0912B3">
              <w:rPr>
                <w:rFonts w:ascii="Arial" w:eastAsia="Times New Roman" w:hAnsi="Arial" w:cs="Arial"/>
                <w:b/>
                <w:bCs/>
                <w:color w:val="auto"/>
                <w:sz w:val="16"/>
                <w:szCs w:val="16"/>
                <w:lang w:eastAsia="en-AU"/>
              </w:rPr>
              <w:t>-</w:t>
            </w:r>
          </w:p>
        </w:tc>
        <w:tc>
          <w:tcPr>
            <w:tcW w:w="0" w:type="auto"/>
            <w:shd w:val="clear" w:color="000000" w:fill="808080"/>
            <w:noWrap/>
            <w:vAlign w:val="bottom"/>
            <w:hideMark/>
          </w:tcPr>
          <w:p w14:paraId="636D51B5" w14:textId="77777777"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28461A">
              <w:rPr>
                <w:rFonts w:ascii="Calibri" w:eastAsia="Times New Roman" w:hAnsi="Calibri" w:cs="Calibri"/>
                <w:color w:val="auto"/>
                <w:sz w:val="16"/>
                <w:szCs w:val="16"/>
                <w:lang w:eastAsia="en-AU"/>
              </w:rPr>
              <w:t>20</w:t>
            </w:r>
          </w:p>
        </w:tc>
        <w:tc>
          <w:tcPr>
            <w:tcW w:w="0" w:type="auto"/>
            <w:shd w:val="pct12" w:color="000000" w:fill="FFFFFF"/>
            <w:noWrap/>
            <w:hideMark/>
          </w:tcPr>
          <w:p w14:paraId="73E47EB8" w14:textId="7BADEF14" w:rsidR="005B4472" w:rsidRPr="005B4472" w:rsidRDefault="005B4472" w:rsidP="005B4472">
            <w:pPr>
              <w:spacing w:after="0" w:line="240" w:lineRule="auto"/>
              <w:jc w:val="center"/>
              <w:rPr>
                <w:rFonts w:eastAsia="Times New Roman" w:cstheme="minorHAnsi"/>
                <w:color w:val="auto"/>
                <w:sz w:val="16"/>
                <w:szCs w:val="16"/>
                <w:lang w:eastAsia="en-AU"/>
              </w:rPr>
            </w:pPr>
            <w:r w:rsidRPr="005A7A64">
              <w:rPr>
                <w:rFonts w:ascii="Arial" w:eastAsia="Times New Roman" w:hAnsi="Arial" w:cs="Arial"/>
                <w:b/>
                <w:bCs/>
                <w:color w:val="auto"/>
                <w:sz w:val="16"/>
                <w:szCs w:val="16"/>
                <w:lang w:eastAsia="en-AU"/>
              </w:rPr>
              <w:t>-</w:t>
            </w:r>
          </w:p>
        </w:tc>
        <w:tc>
          <w:tcPr>
            <w:tcW w:w="0" w:type="auto"/>
            <w:shd w:val="pct12" w:color="000000" w:fill="FFFFFF"/>
            <w:noWrap/>
            <w:hideMark/>
          </w:tcPr>
          <w:p w14:paraId="1FDE3D40" w14:textId="1BF1FA67" w:rsidR="005B4472" w:rsidRPr="005B4472" w:rsidRDefault="005B4472" w:rsidP="005B4472">
            <w:pPr>
              <w:spacing w:after="0" w:line="240" w:lineRule="auto"/>
              <w:jc w:val="center"/>
              <w:rPr>
                <w:rFonts w:eastAsia="Times New Roman" w:cstheme="minorHAnsi"/>
                <w:color w:val="auto"/>
                <w:sz w:val="16"/>
                <w:szCs w:val="16"/>
                <w:lang w:eastAsia="en-AU"/>
              </w:rPr>
            </w:pPr>
            <w:r w:rsidRPr="005A7A64">
              <w:rPr>
                <w:rFonts w:ascii="Arial" w:eastAsia="Times New Roman" w:hAnsi="Arial" w:cs="Arial"/>
                <w:b/>
                <w:bCs/>
                <w:color w:val="auto"/>
                <w:sz w:val="16"/>
                <w:szCs w:val="16"/>
                <w:lang w:eastAsia="en-AU"/>
              </w:rPr>
              <w:t>-</w:t>
            </w:r>
          </w:p>
        </w:tc>
        <w:tc>
          <w:tcPr>
            <w:tcW w:w="0" w:type="auto"/>
            <w:shd w:val="clear" w:color="auto" w:fill="auto"/>
            <w:noWrap/>
            <w:hideMark/>
          </w:tcPr>
          <w:p w14:paraId="2BE08303" w14:textId="1FFA0675" w:rsidR="005B4472" w:rsidRPr="005B4472" w:rsidRDefault="005B4472" w:rsidP="005B4472">
            <w:pPr>
              <w:spacing w:after="0" w:line="240" w:lineRule="auto"/>
              <w:jc w:val="center"/>
              <w:rPr>
                <w:rFonts w:ascii="Calibri" w:eastAsia="Times New Roman" w:hAnsi="Calibri" w:cs="Calibri"/>
                <w:b/>
                <w:bCs/>
                <w:color w:val="auto"/>
                <w:sz w:val="16"/>
                <w:szCs w:val="16"/>
                <w:lang w:eastAsia="en-AU"/>
              </w:rPr>
            </w:pPr>
            <w:r w:rsidRPr="00D80A9A">
              <w:rPr>
                <w:rFonts w:ascii="Arial" w:eastAsia="Times New Roman" w:hAnsi="Arial" w:cs="Arial"/>
                <w:b/>
                <w:bCs/>
                <w:color w:val="auto"/>
                <w:sz w:val="16"/>
                <w:szCs w:val="16"/>
                <w:lang w:eastAsia="en-AU"/>
              </w:rPr>
              <w:t>-</w:t>
            </w:r>
          </w:p>
        </w:tc>
        <w:tc>
          <w:tcPr>
            <w:tcW w:w="0" w:type="auto"/>
            <w:shd w:val="clear" w:color="auto" w:fill="auto"/>
            <w:noWrap/>
            <w:hideMark/>
          </w:tcPr>
          <w:p w14:paraId="5F0EDDDC" w14:textId="3FCEED17" w:rsidR="005B4472" w:rsidRPr="005B4472" w:rsidRDefault="005B4472" w:rsidP="005B4472">
            <w:pPr>
              <w:spacing w:after="0" w:line="240" w:lineRule="auto"/>
              <w:jc w:val="center"/>
              <w:rPr>
                <w:rFonts w:ascii="Calibri" w:eastAsia="Times New Roman" w:hAnsi="Calibri" w:cs="Calibri"/>
                <w:b/>
                <w:bCs/>
                <w:color w:val="auto"/>
                <w:sz w:val="16"/>
                <w:szCs w:val="16"/>
                <w:lang w:eastAsia="en-AU"/>
              </w:rPr>
            </w:pPr>
            <w:r w:rsidRPr="009A7CA0">
              <w:rPr>
                <w:rFonts w:ascii="Arial" w:eastAsia="Times New Roman" w:hAnsi="Arial" w:cs="Arial"/>
                <w:b/>
                <w:bCs/>
                <w:color w:val="auto"/>
                <w:sz w:val="16"/>
                <w:szCs w:val="16"/>
                <w:lang w:eastAsia="en-AU"/>
              </w:rPr>
              <w:t>-</w:t>
            </w:r>
          </w:p>
        </w:tc>
        <w:tc>
          <w:tcPr>
            <w:tcW w:w="0" w:type="auto"/>
            <w:shd w:val="clear" w:color="auto" w:fill="auto"/>
            <w:noWrap/>
            <w:hideMark/>
          </w:tcPr>
          <w:p w14:paraId="58621D9B" w14:textId="6D606BBE"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9A7CA0">
              <w:rPr>
                <w:rFonts w:ascii="Arial" w:eastAsia="Times New Roman" w:hAnsi="Arial" w:cs="Arial"/>
                <w:b/>
                <w:bCs/>
                <w:color w:val="auto"/>
                <w:sz w:val="16"/>
                <w:szCs w:val="16"/>
                <w:lang w:eastAsia="en-AU"/>
              </w:rPr>
              <w:t>-</w:t>
            </w:r>
          </w:p>
        </w:tc>
        <w:tc>
          <w:tcPr>
            <w:tcW w:w="0" w:type="auto"/>
            <w:shd w:val="clear" w:color="auto" w:fill="auto"/>
            <w:noWrap/>
            <w:hideMark/>
          </w:tcPr>
          <w:p w14:paraId="4716B799" w14:textId="706C1CDA"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9C2860">
              <w:rPr>
                <w:rFonts w:ascii="Arial" w:eastAsia="Times New Roman" w:hAnsi="Arial" w:cs="Arial"/>
                <w:b/>
                <w:bCs/>
                <w:color w:val="auto"/>
                <w:sz w:val="16"/>
                <w:szCs w:val="16"/>
                <w:lang w:eastAsia="en-AU"/>
              </w:rPr>
              <w:t>-</w:t>
            </w:r>
          </w:p>
        </w:tc>
        <w:tc>
          <w:tcPr>
            <w:tcW w:w="0" w:type="auto"/>
            <w:shd w:val="clear" w:color="auto" w:fill="auto"/>
            <w:noWrap/>
            <w:hideMark/>
          </w:tcPr>
          <w:p w14:paraId="4D8E3ED3" w14:textId="0EC4E29A"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9C2860">
              <w:rPr>
                <w:rFonts w:ascii="Arial" w:eastAsia="Times New Roman" w:hAnsi="Arial" w:cs="Arial"/>
                <w:b/>
                <w:bCs/>
                <w:color w:val="auto"/>
                <w:sz w:val="16"/>
                <w:szCs w:val="16"/>
                <w:lang w:eastAsia="en-AU"/>
              </w:rPr>
              <w:t>-</w:t>
            </w:r>
          </w:p>
        </w:tc>
        <w:tc>
          <w:tcPr>
            <w:tcW w:w="0" w:type="auto"/>
            <w:shd w:val="clear" w:color="auto" w:fill="auto"/>
            <w:noWrap/>
            <w:hideMark/>
          </w:tcPr>
          <w:p w14:paraId="650D011D" w14:textId="310FF275"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auto"/>
            <w:noWrap/>
            <w:hideMark/>
          </w:tcPr>
          <w:p w14:paraId="3EF094EB" w14:textId="3FE4A3FA"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auto"/>
            <w:noWrap/>
            <w:hideMark/>
          </w:tcPr>
          <w:p w14:paraId="2E8DDDFA" w14:textId="184B3709"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auto"/>
            <w:noWrap/>
            <w:hideMark/>
          </w:tcPr>
          <w:p w14:paraId="13899B29" w14:textId="54CC0A2F"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auto"/>
            <w:noWrap/>
            <w:hideMark/>
          </w:tcPr>
          <w:p w14:paraId="2112377B" w14:textId="30054BAF"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auto"/>
            <w:noWrap/>
            <w:hideMark/>
          </w:tcPr>
          <w:p w14:paraId="52E73D61" w14:textId="47C56286"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auto"/>
            <w:noWrap/>
            <w:hideMark/>
          </w:tcPr>
          <w:p w14:paraId="0C2A87F6" w14:textId="025E1880"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auto"/>
            <w:noWrap/>
            <w:hideMark/>
          </w:tcPr>
          <w:p w14:paraId="56AE940D" w14:textId="7D188886"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auto"/>
            <w:noWrap/>
            <w:hideMark/>
          </w:tcPr>
          <w:p w14:paraId="02728C98" w14:textId="0A927F8D"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auto"/>
            <w:noWrap/>
            <w:hideMark/>
          </w:tcPr>
          <w:p w14:paraId="7F885CD6" w14:textId="0F547693"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thinDiagCross" w:color="auto" w:fill="auto"/>
            <w:noWrap/>
            <w:hideMark/>
          </w:tcPr>
          <w:p w14:paraId="2D5E71BC" w14:textId="79C0B931" w:rsidR="005B4472" w:rsidRPr="0028461A" w:rsidRDefault="005B4472" w:rsidP="005B4472">
            <w:pPr>
              <w:spacing w:after="0" w:line="240" w:lineRule="auto"/>
              <w:jc w:val="center"/>
              <w:rPr>
                <w:rFonts w:ascii="Calibri" w:eastAsia="Times New Roman" w:hAnsi="Calibri" w:cs="Calibri"/>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auto"/>
            <w:noWrap/>
            <w:hideMark/>
          </w:tcPr>
          <w:p w14:paraId="1B3E0ABF" w14:textId="49D6982A"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auto"/>
            <w:noWrap/>
            <w:hideMark/>
          </w:tcPr>
          <w:p w14:paraId="362F05DF" w14:textId="69536CF9"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auto"/>
            <w:noWrap/>
            <w:hideMark/>
          </w:tcPr>
          <w:p w14:paraId="4501169A" w14:textId="091D69EC"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auto"/>
            <w:noWrap/>
            <w:hideMark/>
          </w:tcPr>
          <w:p w14:paraId="55CCDC93" w14:textId="581FCCAA"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auto"/>
            <w:noWrap/>
            <w:hideMark/>
          </w:tcPr>
          <w:p w14:paraId="2F36C9F2" w14:textId="7107671B"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auto"/>
            <w:noWrap/>
            <w:hideMark/>
          </w:tcPr>
          <w:p w14:paraId="63EE1AE2" w14:textId="44C9A0BD"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auto"/>
            <w:noWrap/>
            <w:hideMark/>
          </w:tcPr>
          <w:p w14:paraId="408A455D" w14:textId="731102CC"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auto"/>
            <w:noWrap/>
            <w:hideMark/>
          </w:tcPr>
          <w:p w14:paraId="1393E4E4" w14:textId="23FA445E"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auto"/>
            <w:noWrap/>
            <w:hideMark/>
          </w:tcPr>
          <w:p w14:paraId="2BC0CC15" w14:textId="5AD22679"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auto"/>
            <w:noWrap/>
            <w:hideMark/>
          </w:tcPr>
          <w:p w14:paraId="1E61FF86" w14:textId="73F2A1FC"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r>
      <w:tr w:rsidR="005B4472" w:rsidRPr="004D6AEA" w14:paraId="08E7E153" w14:textId="77777777" w:rsidTr="005E3060">
        <w:trPr>
          <w:trHeight w:val="289"/>
        </w:trPr>
        <w:tc>
          <w:tcPr>
            <w:tcW w:w="2580" w:type="dxa"/>
            <w:shd w:val="clear" w:color="auto" w:fill="auto"/>
            <w:noWrap/>
            <w:vAlign w:val="bottom"/>
            <w:hideMark/>
          </w:tcPr>
          <w:p w14:paraId="49136CE0" w14:textId="77777777" w:rsidR="005B4472" w:rsidRPr="0028461A" w:rsidRDefault="005B4472" w:rsidP="005B4472">
            <w:pPr>
              <w:spacing w:after="0" w:line="240" w:lineRule="auto"/>
              <w:rPr>
                <w:rFonts w:ascii="Arial" w:eastAsia="Times New Roman" w:hAnsi="Arial" w:cs="Arial"/>
                <w:color w:val="auto"/>
                <w:sz w:val="16"/>
                <w:szCs w:val="16"/>
                <w:lang w:eastAsia="en-AU"/>
              </w:rPr>
            </w:pPr>
            <w:r w:rsidRPr="0028461A">
              <w:rPr>
                <w:rFonts w:ascii="Arial" w:eastAsia="Times New Roman" w:hAnsi="Arial" w:cs="Arial"/>
                <w:color w:val="auto"/>
                <w:sz w:val="16"/>
                <w:szCs w:val="16"/>
                <w:lang w:eastAsia="en-AU"/>
              </w:rPr>
              <w:t>Document familiarisation</w:t>
            </w:r>
          </w:p>
        </w:tc>
        <w:tc>
          <w:tcPr>
            <w:tcW w:w="490" w:type="dxa"/>
            <w:shd w:val="clear" w:color="000000" w:fill="FFFFFF"/>
            <w:noWrap/>
            <w:hideMark/>
          </w:tcPr>
          <w:p w14:paraId="0944A951" w14:textId="2029651A"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0912B3">
              <w:rPr>
                <w:rFonts w:ascii="Arial" w:eastAsia="Times New Roman" w:hAnsi="Arial" w:cs="Arial"/>
                <w:b/>
                <w:bCs/>
                <w:color w:val="auto"/>
                <w:sz w:val="16"/>
                <w:szCs w:val="16"/>
                <w:lang w:eastAsia="en-AU"/>
              </w:rPr>
              <w:t>-</w:t>
            </w:r>
          </w:p>
        </w:tc>
        <w:tc>
          <w:tcPr>
            <w:tcW w:w="0" w:type="auto"/>
            <w:shd w:val="clear" w:color="000000" w:fill="808080"/>
            <w:noWrap/>
            <w:hideMark/>
          </w:tcPr>
          <w:p w14:paraId="2A203708" w14:textId="4BE434DF"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D72AD9">
              <w:rPr>
                <w:rFonts w:ascii="Arial" w:eastAsia="Times New Roman" w:hAnsi="Arial" w:cs="Arial"/>
                <w:b/>
                <w:bCs/>
                <w:color w:val="auto"/>
                <w:sz w:val="16"/>
                <w:szCs w:val="16"/>
                <w:lang w:eastAsia="en-AU"/>
              </w:rPr>
              <w:t>-</w:t>
            </w:r>
          </w:p>
        </w:tc>
        <w:tc>
          <w:tcPr>
            <w:tcW w:w="0" w:type="auto"/>
            <w:shd w:val="pct12" w:color="000000" w:fill="FFFFFF"/>
            <w:noWrap/>
            <w:hideMark/>
          </w:tcPr>
          <w:p w14:paraId="30EC06FF" w14:textId="223A0078" w:rsidR="005B4472" w:rsidRPr="005B4472" w:rsidRDefault="005B4472" w:rsidP="005B4472">
            <w:pPr>
              <w:spacing w:after="0" w:line="240" w:lineRule="auto"/>
              <w:jc w:val="center"/>
              <w:rPr>
                <w:rFonts w:eastAsia="Times New Roman" w:cstheme="minorHAnsi"/>
                <w:color w:val="auto"/>
                <w:sz w:val="16"/>
                <w:szCs w:val="16"/>
                <w:lang w:eastAsia="en-AU"/>
              </w:rPr>
            </w:pPr>
            <w:r w:rsidRPr="005A7A64">
              <w:rPr>
                <w:rFonts w:ascii="Arial" w:eastAsia="Times New Roman" w:hAnsi="Arial" w:cs="Arial"/>
                <w:b/>
                <w:bCs/>
                <w:color w:val="auto"/>
                <w:sz w:val="16"/>
                <w:szCs w:val="16"/>
                <w:lang w:eastAsia="en-AU"/>
              </w:rPr>
              <w:t>-</w:t>
            </w:r>
          </w:p>
        </w:tc>
        <w:tc>
          <w:tcPr>
            <w:tcW w:w="0" w:type="auto"/>
            <w:shd w:val="pct12" w:color="000000" w:fill="FFFFFF"/>
            <w:noWrap/>
            <w:hideMark/>
          </w:tcPr>
          <w:p w14:paraId="69D53D59" w14:textId="4010CF32" w:rsidR="005B4472" w:rsidRPr="005B4472" w:rsidRDefault="005B4472" w:rsidP="005B4472">
            <w:pPr>
              <w:spacing w:after="0" w:line="240" w:lineRule="auto"/>
              <w:jc w:val="center"/>
              <w:rPr>
                <w:rFonts w:eastAsia="Times New Roman" w:cstheme="minorHAnsi"/>
                <w:color w:val="auto"/>
                <w:sz w:val="16"/>
                <w:szCs w:val="16"/>
                <w:lang w:eastAsia="en-AU"/>
              </w:rPr>
            </w:pPr>
            <w:r w:rsidRPr="005A7A64">
              <w:rPr>
                <w:rFonts w:ascii="Arial" w:eastAsia="Times New Roman" w:hAnsi="Arial" w:cs="Arial"/>
                <w:b/>
                <w:bCs/>
                <w:color w:val="auto"/>
                <w:sz w:val="16"/>
                <w:szCs w:val="16"/>
                <w:lang w:eastAsia="en-AU"/>
              </w:rPr>
              <w:t>-</w:t>
            </w:r>
          </w:p>
        </w:tc>
        <w:tc>
          <w:tcPr>
            <w:tcW w:w="0" w:type="auto"/>
            <w:shd w:val="clear" w:color="auto" w:fill="auto"/>
            <w:noWrap/>
            <w:hideMark/>
          </w:tcPr>
          <w:p w14:paraId="349F81EF" w14:textId="21B7654D" w:rsidR="005B4472" w:rsidRPr="005B4472" w:rsidRDefault="005B4472" w:rsidP="005B4472">
            <w:pPr>
              <w:spacing w:after="0" w:line="240" w:lineRule="auto"/>
              <w:rPr>
                <w:rFonts w:ascii="Arial" w:eastAsia="Times New Roman" w:hAnsi="Arial" w:cs="Arial"/>
                <w:b/>
                <w:bCs/>
                <w:color w:val="auto"/>
                <w:sz w:val="16"/>
                <w:szCs w:val="16"/>
                <w:lang w:eastAsia="en-AU"/>
              </w:rPr>
            </w:pPr>
            <w:r w:rsidRPr="00D80A9A">
              <w:rPr>
                <w:rFonts w:ascii="Arial" w:eastAsia="Times New Roman" w:hAnsi="Arial" w:cs="Arial"/>
                <w:b/>
                <w:bCs/>
                <w:color w:val="auto"/>
                <w:sz w:val="16"/>
                <w:szCs w:val="16"/>
                <w:lang w:eastAsia="en-AU"/>
              </w:rPr>
              <w:t>-</w:t>
            </w:r>
          </w:p>
        </w:tc>
        <w:tc>
          <w:tcPr>
            <w:tcW w:w="0" w:type="auto"/>
            <w:shd w:val="clear" w:color="auto" w:fill="auto"/>
            <w:noWrap/>
            <w:hideMark/>
          </w:tcPr>
          <w:p w14:paraId="6648784D" w14:textId="0E5419CF" w:rsidR="005B4472" w:rsidRPr="005B4472" w:rsidRDefault="005B4472" w:rsidP="005B4472">
            <w:pPr>
              <w:spacing w:after="0" w:line="240" w:lineRule="auto"/>
              <w:jc w:val="center"/>
              <w:rPr>
                <w:rFonts w:ascii="Arial" w:eastAsia="Times New Roman" w:hAnsi="Arial" w:cs="Arial"/>
                <w:b/>
                <w:bCs/>
                <w:color w:val="auto"/>
                <w:sz w:val="16"/>
                <w:szCs w:val="16"/>
                <w:lang w:eastAsia="en-AU"/>
              </w:rPr>
            </w:pPr>
            <w:r w:rsidRPr="009A7CA0">
              <w:rPr>
                <w:rFonts w:ascii="Arial" w:eastAsia="Times New Roman" w:hAnsi="Arial" w:cs="Arial"/>
                <w:b/>
                <w:bCs/>
                <w:color w:val="auto"/>
                <w:sz w:val="16"/>
                <w:szCs w:val="16"/>
                <w:lang w:eastAsia="en-AU"/>
              </w:rPr>
              <w:t>-</w:t>
            </w:r>
          </w:p>
        </w:tc>
        <w:tc>
          <w:tcPr>
            <w:tcW w:w="0" w:type="auto"/>
            <w:shd w:val="clear" w:color="auto" w:fill="auto"/>
            <w:noWrap/>
            <w:hideMark/>
          </w:tcPr>
          <w:p w14:paraId="053C10F2" w14:textId="040C2F33"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9A7CA0">
              <w:rPr>
                <w:rFonts w:ascii="Arial" w:eastAsia="Times New Roman" w:hAnsi="Arial" w:cs="Arial"/>
                <w:b/>
                <w:bCs/>
                <w:color w:val="auto"/>
                <w:sz w:val="16"/>
                <w:szCs w:val="16"/>
                <w:lang w:eastAsia="en-AU"/>
              </w:rPr>
              <w:t>-</w:t>
            </w:r>
          </w:p>
        </w:tc>
        <w:tc>
          <w:tcPr>
            <w:tcW w:w="0" w:type="auto"/>
            <w:shd w:val="clear" w:color="auto" w:fill="auto"/>
            <w:noWrap/>
            <w:hideMark/>
          </w:tcPr>
          <w:p w14:paraId="6C62C7C3" w14:textId="3A52E502"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9C2860">
              <w:rPr>
                <w:rFonts w:ascii="Arial" w:eastAsia="Times New Roman" w:hAnsi="Arial" w:cs="Arial"/>
                <w:b/>
                <w:bCs/>
                <w:color w:val="auto"/>
                <w:sz w:val="16"/>
                <w:szCs w:val="16"/>
                <w:lang w:eastAsia="en-AU"/>
              </w:rPr>
              <w:t>-</w:t>
            </w:r>
          </w:p>
        </w:tc>
        <w:tc>
          <w:tcPr>
            <w:tcW w:w="0" w:type="auto"/>
            <w:shd w:val="clear" w:color="auto" w:fill="auto"/>
            <w:noWrap/>
            <w:hideMark/>
          </w:tcPr>
          <w:p w14:paraId="2496785B" w14:textId="56F08B19"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9C2860">
              <w:rPr>
                <w:rFonts w:ascii="Arial" w:eastAsia="Times New Roman" w:hAnsi="Arial" w:cs="Arial"/>
                <w:b/>
                <w:bCs/>
                <w:color w:val="auto"/>
                <w:sz w:val="16"/>
                <w:szCs w:val="16"/>
                <w:lang w:eastAsia="en-AU"/>
              </w:rPr>
              <w:t>-</w:t>
            </w:r>
          </w:p>
        </w:tc>
        <w:tc>
          <w:tcPr>
            <w:tcW w:w="0" w:type="auto"/>
            <w:shd w:val="clear" w:color="auto" w:fill="auto"/>
            <w:noWrap/>
            <w:hideMark/>
          </w:tcPr>
          <w:p w14:paraId="3B93FFEB" w14:textId="4E3B1C08"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auto"/>
            <w:noWrap/>
            <w:hideMark/>
          </w:tcPr>
          <w:p w14:paraId="37CDB170" w14:textId="04F4F4EE"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auto"/>
            <w:noWrap/>
            <w:hideMark/>
          </w:tcPr>
          <w:p w14:paraId="691CF212" w14:textId="2C27745B"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auto"/>
            <w:noWrap/>
            <w:hideMark/>
          </w:tcPr>
          <w:p w14:paraId="167F9B52" w14:textId="13DD24EA"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auto"/>
            <w:noWrap/>
            <w:hideMark/>
          </w:tcPr>
          <w:p w14:paraId="38765927" w14:textId="5399A15B"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auto"/>
            <w:noWrap/>
            <w:hideMark/>
          </w:tcPr>
          <w:p w14:paraId="2F470822" w14:textId="0DA7A67F"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auto"/>
            <w:noWrap/>
            <w:hideMark/>
          </w:tcPr>
          <w:p w14:paraId="530FC775" w14:textId="6E94A8AC"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auto"/>
            <w:noWrap/>
            <w:hideMark/>
          </w:tcPr>
          <w:p w14:paraId="1F63BBCE" w14:textId="2ADE86F9"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auto"/>
            <w:noWrap/>
            <w:hideMark/>
          </w:tcPr>
          <w:p w14:paraId="5028A1AE" w14:textId="31E05DA2"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auto"/>
            <w:noWrap/>
            <w:hideMark/>
          </w:tcPr>
          <w:p w14:paraId="41CF73DE" w14:textId="0E551037"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thinDiagCross" w:color="auto" w:fill="auto"/>
            <w:noWrap/>
            <w:hideMark/>
          </w:tcPr>
          <w:p w14:paraId="4E9CD574" w14:textId="5DD1B7D5" w:rsidR="005B4472" w:rsidRPr="0028461A" w:rsidRDefault="005B4472" w:rsidP="005B4472">
            <w:pPr>
              <w:spacing w:after="0" w:line="240" w:lineRule="auto"/>
              <w:jc w:val="center"/>
              <w:rPr>
                <w:rFonts w:ascii="Arial" w:eastAsia="Times New Roman" w:hAnsi="Arial" w:cs="Arial"/>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auto"/>
            <w:noWrap/>
            <w:hideMark/>
          </w:tcPr>
          <w:p w14:paraId="71B599C1" w14:textId="17D0DE6A"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auto"/>
            <w:noWrap/>
            <w:hideMark/>
          </w:tcPr>
          <w:p w14:paraId="5ED8806A" w14:textId="4F109D84"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auto"/>
            <w:noWrap/>
            <w:hideMark/>
          </w:tcPr>
          <w:p w14:paraId="32C353BA" w14:textId="55AD3045"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auto"/>
            <w:noWrap/>
            <w:hideMark/>
          </w:tcPr>
          <w:p w14:paraId="0A6FCBA8" w14:textId="07E3BE87"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auto"/>
            <w:noWrap/>
            <w:hideMark/>
          </w:tcPr>
          <w:p w14:paraId="7DE4B1A3" w14:textId="064646D3"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auto"/>
            <w:noWrap/>
            <w:hideMark/>
          </w:tcPr>
          <w:p w14:paraId="497FB09A" w14:textId="50E0D522"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auto"/>
            <w:noWrap/>
            <w:hideMark/>
          </w:tcPr>
          <w:p w14:paraId="42A6DD7C" w14:textId="52121CFD"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auto"/>
            <w:noWrap/>
            <w:hideMark/>
          </w:tcPr>
          <w:p w14:paraId="168BBA36" w14:textId="3231BDB5"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auto"/>
            <w:noWrap/>
            <w:hideMark/>
          </w:tcPr>
          <w:p w14:paraId="09736D22" w14:textId="61F53827"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auto"/>
            <w:noWrap/>
            <w:hideMark/>
          </w:tcPr>
          <w:p w14:paraId="2C2E57B7" w14:textId="4F964FBD"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r>
      <w:tr w:rsidR="005B4472" w:rsidRPr="004D6AEA" w14:paraId="5E6D341B" w14:textId="77777777" w:rsidTr="005E3060">
        <w:trPr>
          <w:trHeight w:val="255"/>
        </w:trPr>
        <w:tc>
          <w:tcPr>
            <w:tcW w:w="2580" w:type="dxa"/>
            <w:shd w:val="clear" w:color="000000" w:fill="D9D9D9"/>
            <w:noWrap/>
            <w:vAlign w:val="bottom"/>
            <w:hideMark/>
          </w:tcPr>
          <w:p w14:paraId="42BBD876" w14:textId="77777777" w:rsidR="005B4472" w:rsidRPr="0028461A" w:rsidRDefault="005B4472" w:rsidP="005B4472">
            <w:pPr>
              <w:spacing w:after="0" w:line="240" w:lineRule="auto"/>
              <w:rPr>
                <w:rFonts w:ascii="Arial" w:eastAsia="Times New Roman" w:hAnsi="Arial" w:cs="Arial"/>
                <w:b/>
                <w:bCs/>
                <w:color w:val="auto"/>
                <w:sz w:val="16"/>
                <w:szCs w:val="16"/>
                <w:lang w:eastAsia="en-AU"/>
              </w:rPr>
            </w:pPr>
            <w:r w:rsidRPr="0028461A">
              <w:rPr>
                <w:rFonts w:ascii="Arial" w:eastAsia="Times New Roman" w:hAnsi="Arial" w:cs="Arial"/>
                <w:b/>
                <w:bCs/>
                <w:color w:val="auto"/>
                <w:sz w:val="16"/>
                <w:szCs w:val="16"/>
                <w:lang w:eastAsia="en-AU"/>
              </w:rPr>
              <w:t>DESKTOP REVIEW</w:t>
            </w:r>
          </w:p>
        </w:tc>
        <w:tc>
          <w:tcPr>
            <w:tcW w:w="490" w:type="dxa"/>
            <w:shd w:val="clear" w:color="000000" w:fill="D9D9D9"/>
            <w:noWrap/>
            <w:hideMark/>
          </w:tcPr>
          <w:p w14:paraId="3B6C0042" w14:textId="1220912D"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0912B3">
              <w:rPr>
                <w:rFonts w:ascii="Arial" w:eastAsia="Times New Roman" w:hAnsi="Arial" w:cs="Arial"/>
                <w:b/>
                <w:bCs/>
                <w:color w:val="auto"/>
                <w:sz w:val="16"/>
                <w:szCs w:val="16"/>
                <w:lang w:eastAsia="en-AU"/>
              </w:rPr>
              <w:t>-</w:t>
            </w:r>
          </w:p>
        </w:tc>
        <w:tc>
          <w:tcPr>
            <w:tcW w:w="0" w:type="auto"/>
            <w:shd w:val="clear" w:color="000000" w:fill="D9D9D9"/>
            <w:noWrap/>
            <w:hideMark/>
          </w:tcPr>
          <w:p w14:paraId="3952B234" w14:textId="347172B5"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D72AD9">
              <w:rPr>
                <w:rFonts w:ascii="Arial" w:eastAsia="Times New Roman" w:hAnsi="Arial" w:cs="Arial"/>
                <w:b/>
                <w:bCs/>
                <w:color w:val="auto"/>
                <w:sz w:val="16"/>
                <w:szCs w:val="16"/>
                <w:lang w:eastAsia="en-AU"/>
              </w:rPr>
              <w:t>-</w:t>
            </w:r>
          </w:p>
        </w:tc>
        <w:tc>
          <w:tcPr>
            <w:tcW w:w="0" w:type="auto"/>
            <w:shd w:val="clear" w:color="000000" w:fill="D9D9D9"/>
            <w:noWrap/>
            <w:hideMark/>
          </w:tcPr>
          <w:p w14:paraId="348B40A5" w14:textId="369EE15B" w:rsidR="005B4472" w:rsidRPr="005B4472" w:rsidRDefault="005B4472" w:rsidP="005B4472">
            <w:pPr>
              <w:spacing w:after="0" w:line="240" w:lineRule="auto"/>
              <w:jc w:val="center"/>
              <w:rPr>
                <w:rFonts w:eastAsia="Times New Roman" w:cstheme="minorHAnsi"/>
                <w:b/>
                <w:bCs/>
                <w:color w:val="auto"/>
                <w:sz w:val="16"/>
                <w:szCs w:val="16"/>
                <w:lang w:eastAsia="en-AU"/>
              </w:rPr>
            </w:pPr>
            <w:r w:rsidRPr="005A7A64">
              <w:rPr>
                <w:rFonts w:ascii="Arial" w:eastAsia="Times New Roman" w:hAnsi="Arial" w:cs="Arial"/>
                <w:b/>
                <w:bCs/>
                <w:color w:val="auto"/>
                <w:sz w:val="16"/>
                <w:szCs w:val="16"/>
                <w:lang w:eastAsia="en-AU"/>
              </w:rPr>
              <w:t>-</w:t>
            </w:r>
          </w:p>
        </w:tc>
        <w:tc>
          <w:tcPr>
            <w:tcW w:w="0" w:type="auto"/>
            <w:shd w:val="clear" w:color="000000" w:fill="D9D9D9"/>
            <w:noWrap/>
            <w:hideMark/>
          </w:tcPr>
          <w:p w14:paraId="5D3BC5EB" w14:textId="1F6C412E" w:rsidR="005B4472" w:rsidRPr="005B4472" w:rsidRDefault="005B4472" w:rsidP="005B4472">
            <w:pPr>
              <w:spacing w:after="0" w:line="240" w:lineRule="auto"/>
              <w:jc w:val="center"/>
              <w:rPr>
                <w:rFonts w:eastAsia="Times New Roman" w:cstheme="minorHAnsi"/>
                <w:b/>
                <w:bCs/>
                <w:color w:val="auto"/>
                <w:sz w:val="16"/>
                <w:szCs w:val="16"/>
                <w:lang w:eastAsia="en-AU"/>
              </w:rPr>
            </w:pPr>
            <w:r w:rsidRPr="005A7A64">
              <w:rPr>
                <w:rFonts w:ascii="Arial" w:eastAsia="Times New Roman" w:hAnsi="Arial" w:cs="Arial"/>
                <w:b/>
                <w:bCs/>
                <w:color w:val="auto"/>
                <w:sz w:val="16"/>
                <w:szCs w:val="16"/>
                <w:lang w:eastAsia="en-AU"/>
              </w:rPr>
              <w:t>-</w:t>
            </w:r>
          </w:p>
        </w:tc>
        <w:tc>
          <w:tcPr>
            <w:tcW w:w="0" w:type="auto"/>
            <w:shd w:val="clear" w:color="000000" w:fill="D9D9D9"/>
            <w:noWrap/>
            <w:hideMark/>
          </w:tcPr>
          <w:p w14:paraId="5924A941" w14:textId="475B2E80" w:rsidR="005B4472" w:rsidRPr="005B4472" w:rsidRDefault="005B4472" w:rsidP="005B4472">
            <w:pPr>
              <w:spacing w:after="0" w:line="240" w:lineRule="auto"/>
              <w:rPr>
                <w:rFonts w:ascii="Arial" w:eastAsia="Times New Roman" w:hAnsi="Arial" w:cs="Arial"/>
                <w:b/>
                <w:bCs/>
                <w:color w:val="auto"/>
                <w:sz w:val="16"/>
                <w:szCs w:val="16"/>
                <w:lang w:eastAsia="en-AU"/>
              </w:rPr>
            </w:pPr>
            <w:r w:rsidRPr="00D80A9A">
              <w:rPr>
                <w:rFonts w:ascii="Arial" w:eastAsia="Times New Roman" w:hAnsi="Arial" w:cs="Arial"/>
                <w:b/>
                <w:bCs/>
                <w:color w:val="auto"/>
                <w:sz w:val="16"/>
                <w:szCs w:val="16"/>
                <w:lang w:eastAsia="en-AU"/>
              </w:rPr>
              <w:t>-</w:t>
            </w:r>
          </w:p>
        </w:tc>
        <w:tc>
          <w:tcPr>
            <w:tcW w:w="0" w:type="auto"/>
            <w:shd w:val="clear" w:color="000000" w:fill="D9D9D9"/>
            <w:noWrap/>
            <w:hideMark/>
          </w:tcPr>
          <w:p w14:paraId="6E7DF721" w14:textId="773C6758" w:rsidR="005B4472" w:rsidRPr="005B4472" w:rsidRDefault="005B4472" w:rsidP="005B4472">
            <w:pPr>
              <w:spacing w:after="0" w:line="240" w:lineRule="auto"/>
              <w:jc w:val="center"/>
              <w:rPr>
                <w:rFonts w:ascii="Arial" w:eastAsia="Times New Roman" w:hAnsi="Arial" w:cs="Arial"/>
                <w:b/>
                <w:bCs/>
                <w:color w:val="auto"/>
                <w:sz w:val="16"/>
                <w:szCs w:val="16"/>
                <w:lang w:eastAsia="en-AU"/>
              </w:rPr>
            </w:pPr>
            <w:r w:rsidRPr="009A7CA0">
              <w:rPr>
                <w:rFonts w:ascii="Arial" w:eastAsia="Times New Roman" w:hAnsi="Arial" w:cs="Arial"/>
                <w:b/>
                <w:bCs/>
                <w:color w:val="auto"/>
                <w:sz w:val="16"/>
                <w:szCs w:val="16"/>
                <w:lang w:eastAsia="en-AU"/>
              </w:rPr>
              <w:t>-</w:t>
            </w:r>
          </w:p>
        </w:tc>
        <w:tc>
          <w:tcPr>
            <w:tcW w:w="0" w:type="auto"/>
            <w:shd w:val="clear" w:color="000000" w:fill="D9D9D9"/>
            <w:noWrap/>
            <w:hideMark/>
          </w:tcPr>
          <w:p w14:paraId="717EA8FE" w14:textId="3503E8AE"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9A7CA0">
              <w:rPr>
                <w:rFonts w:ascii="Arial" w:eastAsia="Times New Roman" w:hAnsi="Arial" w:cs="Arial"/>
                <w:b/>
                <w:bCs/>
                <w:color w:val="auto"/>
                <w:sz w:val="16"/>
                <w:szCs w:val="16"/>
                <w:lang w:eastAsia="en-AU"/>
              </w:rPr>
              <w:t>-</w:t>
            </w:r>
          </w:p>
        </w:tc>
        <w:tc>
          <w:tcPr>
            <w:tcW w:w="0" w:type="auto"/>
            <w:shd w:val="clear" w:color="000000" w:fill="D9D9D9"/>
            <w:noWrap/>
            <w:hideMark/>
          </w:tcPr>
          <w:p w14:paraId="232609CB" w14:textId="3B412C85"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9C2860">
              <w:rPr>
                <w:rFonts w:ascii="Arial" w:eastAsia="Times New Roman" w:hAnsi="Arial" w:cs="Arial"/>
                <w:b/>
                <w:bCs/>
                <w:color w:val="auto"/>
                <w:sz w:val="16"/>
                <w:szCs w:val="16"/>
                <w:lang w:eastAsia="en-AU"/>
              </w:rPr>
              <w:t>-</w:t>
            </w:r>
          </w:p>
        </w:tc>
        <w:tc>
          <w:tcPr>
            <w:tcW w:w="0" w:type="auto"/>
            <w:shd w:val="clear" w:color="000000" w:fill="D9D9D9"/>
            <w:noWrap/>
            <w:hideMark/>
          </w:tcPr>
          <w:p w14:paraId="05526B6B" w14:textId="74F30E06"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9C2860">
              <w:rPr>
                <w:rFonts w:ascii="Arial" w:eastAsia="Times New Roman" w:hAnsi="Arial" w:cs="Arial"/>
                <w:b/>
                <w:bCs/>
                <w:color w:val="auto"/>
                <w:sz w:val="16"/>
                <w:szCs w:val="16"/>
                <w:lang w:eastAsia="en-AU"/>
              </w:rPr>
              <w:t>-</w:t>
            </w:r>
          </w:p>
        </w:tc>
        <w:tc>
          <w:tcPr>
            <w:tcW w:w="0" w:type="auto"/>
            <w:shd w:val="clear" w:color="000000" w:fill="D9D9D9"/>
            <w:noWrap/>
            <w:hideMark/>
          </w:tcPr>
          <w:p w14:paraId="45EFA3F7" w14:textId="7A76D9AA"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15720822" w14:textId="6FC0A01C"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52AECC2E" w14:textId="39E2C895"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16DBD3A9" w14:textId="4C00309F"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0A53B0CC" w14:textId="11E37085"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47B230A4" w14:textId="0493D297"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1A00D5B4" w14:textId="20507681"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2D1310DD" w14:textId="56CBB477"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4F7ACA26" w14:textId="2702ED58"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34A9E1CE" w14:textId="0961AAF7"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thinDiagCross" w:color="auto" w:fill="auto"/>
            <w:noWrap/>
            <w:hideMark/>
          </w:tcPr>
          <w:p w14:paraId="7448790B" w14:textId="2AB5C3D7" w:rsidR="005B4472" w:rsidRPr="0028461A" w:rsidRDefault="005B4472" w:rsidP="005B4472">
            <w:pPr>
              <w:spacing w:after="0" w:line="240" w:lineRule="auto"/>
              <w:jc w:val="center"/>
              <w:rPr>
                <w:rFonts w:ascii="Arial" w:eastAsia="Times New Roman" w:hAnsi="Arial" w:cs="Arial"/>
                <w:b/>
                <w:bCs/>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1B5899B4" w14:textId="3AC24DCA"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310D47DD" w14:textId="4C72164B"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658AA8F9" w14:textId="54633EBF"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1381416F" w14:textId="6F8FEED9"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60B80528" w14:textId="1707659A"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0EAAB477" w14:textId="01B242F8"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45D9E00B" w14:textId="3795F440"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5274E348" w14:textId="07C3261B"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69402076" w14:textId="769458D2"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5C2A50DE" w14:textId="7A5EB567"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r>
      <w:tr w:rsidR="005B4472" w:rsidRPr="004D6AEA" w14:paraId="250042B5" w14:textId="77777777" w:rsidTr="005E3060">
        <w:trPr>
          <w:trHeight w:val="285"/>
        </w:trPr>
        <w:tc>
          <w:tcPr>
            <w:tcW w:w="2580" w:type="dxa"/>
            <w:shd w:val="clear" w:color="000000" w:fill="FFFFFF"/>
            <w:vAlign w:val="bottom"/>
            <w:hideMark/>
          </w:tcPr>
          <w:p w14:paraId="1E74D963" w14:textId="77777777" w:rsidR="005B4472" w:rsidRPr="0028461A" w:rsidRDefault="005B4472" w:rsidP="005B4472">
            <w:pPr>
              <w:spacing w:after="0" w:line="240" w:lineRule="auto"/>
              <w:rPr>
                <w:rFonts w:ascii="Arial" w:eastAsia="Times New Roman" w:hAnsi="Arial" w:cs="Arial"/>
                <w:color w:val="auto"/>
                <w:sz w:val="16"/>
                <w:szCs w:val="16"/>
                <w:lang w:eastAsia="en-AU"/>
              </w:rPr>
            </w:pPr>
            <w:r w:rsidRPr="0028461A">
              <w:rPr>
                <w:rFonts w:ascii="Arial" w:eastAsia="Times New Roman" w:hAnsi="Arial" w:cs="Arial"/>
                <w:color w:val="auto"/>
                <w:sz w:val="16"/>
                <w:szCs w:val="16"/>
                <w:lang w:eastAsia="en-AU"/>
              </w:rPr>
              <w:t>Conduct desk-based review of documents provided by DFAT</w:t>
            </w:r>
          </w:p>
        </w:tc>
        <w:tc>
          <w:tcPr>
            <w:tcW w:w="490" w:type="dxa"/>
            <w:shd w:val="clear" w:color="auto" w:fill="auto"/>
            <w:noWrap/>
            <w:hideMark/>
          </w:tcPr>
          <w:p w14:paraId="03C45BD2" w14:textId="4B61C226"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0912B3">
              <w:rPr>
                <w:rFonts w:ascii="Arial" w:eastAsia="Times New Roman" w:hAnsi="Arial" w:cs="Arial"/>
                <w:b/>
                <w:bCs/>
                <w:color w:val="auto"/>
                <w:sz w:val="16"/>
                <w:szCs w:val="16"/>
                <w:lang w:eastAsia="en-AU"/>
              </w:rPr>
              <w:t>-</w:t>
            </w:r>
          </w:p>
        </w:tc>
        <w:tc>
          <w:tcPr>
            <w:tcW w:w="0" w:type="auto"/>
            <w:shd w:val="clear" w:color="000000" w:fill="808080"/>
            <w:noWrap/>
            <w:hideMark/>
          </w:tcPr>
          <w:p w14:paraId="1F034B40" w14:textId="60E1D229"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D72AD9">
              <w:rPr>
                <w:rFonts w:ascii="Arial" w:eastAsia="Times New Roman" w:hAnsi="Arial" w:cs="Arial"/>
                <w:b/>
                <w:bCs/>
                <w:color w:val="auto"/>
                <w:sz w:val="16"/>
                <w:szCs w:val="16"/>
                <w:lang w:eastAsia="en-AU"/>
              </w:rPr>
              <w:t>-</w:t>
            </w:r>
          </w:p>
        </w:tc>
        <w:tc>
          <w:tcPr>
            <w:tcW w:w="0" w:type="auto"/>
            <w:shd w:val="pct12" w:color="000000" w:fill="FFFFFF"/>
            <w:noWrap/>
            <w:hideMark/>
          </w:tcPr>
          <w:p w14:paraId="5C6AA66C" w14:textId="6F1DA937" w:rsidR="005B4472" w:rsidRPr="005B4472" w:rsidRDefault="005B4472" w:rsidP="005B4472">
            <w:pPr>
              <w:spacing w:after="0" w:line="240" w:lineRule="auto"/>
              <w:jc w:val="center"/>
              <w:rPr>
                <w:rFonts w:eastAsia="Times New Roman" w:cstheme="minorHAnsi"/>
                <w:color w:val="auto"/>
                <w:sz w:val="16"/>
                <w:szCs w:val="16"/>
                <w:lang w:eastAsia="en-AU"/>
              </w:rPr>
            </w:pPr>
            <w:r w:rsidRPr="005A7A64">
              <w:rPr>
                <w:rFonts w:ascii="Arial" w:eastAsia="Times New Roman" w:hAnsi="Arial" w:cs="Arial"/>
                <w:b/>
                <w:bCs/>
                <w:color w:val="auto"/>
                <w:sz w:val="16"/>
                <w:szCs w:val="16"/>
                <w:lang w:eastAsia="en-AU"/>
              </w:rPr>
              <w:t>-</w:t>
            </w:r>
          </w:p>
        </w:tc>
        <w:tc>
          <w:tcPr>
            <w:tcW w:w="0" w:type="auto"/>
            <w:shd w:val="pct12" w:color="000000" w:fill="FFFFFF"/>
            <w:noWrap/>
            <w:hideMark/>
          </w:tcPr>
          <w:p w14:paraId="027F64B7" w14:textId="7589ACE2" w:rsidR="005B4472" w:rsidRPr="005B4472" w:rsidRDefault="005B4472" w:rsidP="005B4472">
            <w:pPr>
              <w:spacing w:after="0" w:line="240" w:lineRule="auto"/>
              <w:jc w:val="center"/>
              <w:rPr>
                <w:rFonts w:eastAsia="Times New Roman" w:cstheme="minorHAnsi"/>
                <w:color w:val="auto"/>
                <w:sz w:val="16"/>
                <w:szCs w:val="16"/>
                <w:lang w:eastAsia="en-AU"/>
              </w:rPr>
            </w:pPr>
            <w:r w:rsidRPr="005A7A64">
              <w:rPr>
                <w:rFonts w:ascii="Arial" w:eastAsia="Times New Roman" w:hAnsi="Arial" w:cs="Arial"/>
                <w:b/>
                <w:bCs/>
                <w:color w:val="auto"/>
                <w:sz w:val="16"/>
                <w:szCs w:val="16"/>
                <w:lang w:eastAsia="en-AU"/>
              </w:rPr>
              <w:t>-</w:t>
            </w:r>
          </w:p>
        </w:tc>
        <w:tc>
          <w:tcPr>
            <w:tcW w:w="0" w:type="auto"/>
            <w:shd w:val="clear" w:color="000000" w:fill="808080"/>
            <w:noWrap/>
            <w:hideMark/>
          </w:tcPr>
          <w:p w14:paraId="6C476E09" w14:textId="5E187CB1" w:rsidR="005B4472" w:rsidRPr="005B4472" w:rsidRDefault="005B4472" w:rsidP="005B4472">
            <w:pPr>
              <w:spacing w:after="0" w:line="240" w:lineRule="auto"/>
              <w:rPr>
                <w:rFonts w:ascii="Arial" w:eastAsia="Times New Roman" w:hAnsi="Arial" w:cs="Arial"/>
                <w:b/>
                <w:bCs/>
                <w:color w:val="auto"/>
                <w:sz w:val="16"/>
                <w:szCs w:val="16"/>
                <w:lang w:eastAsia="en-AU"/>
              </w:rPr>
            </w:pPr>
            <w:r w:rsidRPr="00D80A9A">
              <w:rPr>
                <w:rFonts w:ascii="Arial" w:eastAsia="Times New Roman" w:hAnsi="Arial" w:cs="Arial"/>
                <w:b/>
                <w:bCs/>
                <w:color w:val="auto"/>
                <w:sz w:val="16"/>
                <w:szCs w:val="16"/>
                <w:lang w:eastAsia="en-AU"/>
              </w:rPr>
              <w:t>-</w:t>
            </w:r>
          </w:p>
        </w:tc>
        <w:tc>
          <w:tcPr>
            <w:tcW w:w="0" w:type="auto"/>
            <w:shd w:val="clear" w:color="000000" w:fill="808080"/>
            <w:noWrap/>
            <w:hideMark/>
          </w:tcPr>
          <w:p w14:paraId="0B5539E6" w14:textId="629F81CD" w:rsidR="005B4472" w:rsidRPr="005B4472" w:rsidRDefault="005B4472" w:rsidP="005B4472">
            <w:pPr>
              <w:spacing w:after="0" w:line="240" w:lineRule="auto"/>
              <w:jc w:val="center"/>
              <w:rPr>
                <w:rFonts w:ascii="Arial" w:eastAsia="Times New Roman" w:hAnsi="Arial" w:cs="Arial"/>
                <w:b/>
                <w:bCs/>
                <w:color w:val="auto"/>
                <w:sz w:val="16"/>
                <w:szCs w:val="16"/>
                <w:lang w:eastAsia="en-AU"/>
              </w:rPr>
            </w:pPr>
            <w:r w:rsidRPr="009A7CA0">
              <w:rPr>
                <w:rFonts w:ascii="Arial" w:eastAsia="Times New Roman" w:hAnsi="Arial" w:cs="Arial"/>
                <w:b/>
                <w:bCs/>
                <w:color w:val="auto"/>
                <w:sz w:val="16"/>
                <w:szCs w:val="16"/>
                <w:lang w:eastAsia="en-AU"/>
              </w:rPr>
              <w:t>-</w:t>
            </w:r>
          </w:p>
        </w:tc>
        <w:tc>
          <w:tcPr>
            <w:tcW w:w="0" w:type="auto"/>
            <w:shd w:val="clear" w:color="000000" w:fill="808080"/>
            <w:noWrap/>
            <w:hideMark/>
          </w:tcPr>
          <w:p w14:paraId="5F9AE2E0" w14:textId="5A18E120"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9A7CA0">
              <w:rPr>
                <w:rFonts w:ascii="Arial" w:eastAsia="Times New Roman" w:hAnsi="Arial" w:cs="Arial"/>
                <w:b/>
                <w:bCs/>
                <w:color w:val="auto"/>
                <w:sz w:val="16"/>
                <w:szCs w:val="16"/>
                <w:lang w:eastAsia="en-AU"/>
              </w:rPr>
              <w:t>-</w:t>
            </w:r>
          </w:p>
        </w:tc>
        <w:tc>
          <w:tcPr>
            <w:tcW w:w="0" w:type="auto"/>
            <w:shd w:val="clear" w:color="auto" w:fill="auto"/>
            <w:noWrap/>
            <w:hideMark/>
          </w:tcPr>
          <w:p w14:paraId="53FE9FAA" w14:textId="4CF6B152"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9C2860">
              <w:rPr>
                <w:rFonts w:ascii="Arial" w:eastAsia="Times New Roman" w:hAnsi="Arial" w:cs="Arial"/>
                <w:b/>
                <w:bCs/>
                <w:color w:val="auto"/>
                <w:sz w:val="16"/>
                <w:szCs w:val="16"/>
                <w:lang w:eastAsia="en-AU"/>
              </w:rPr>
              <w:t>-</w:t>
            </w:r>
          </w:p>
        </w:tc>
        <w:tc>
          <w:tcPr>
            <w:tcW w:w="0" w:type="auto"/>
            <w:shd w:val="clear" w:color="000000" w:fill="FFFFFF"/>
            <w:noWrap/>
            <w:hideMark/>
          </w:tcPr>
          <w:p w14:paraId="6A4012FF" w14:textId="35724D9C"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9C2860">
              <w:rPr>
                <w:rFonts w:ascii="Arial" w:eastAsia="Times New Roman" w:hAnsi="Arial" w:cs="Arial"/>
                <w:b/>
                <w:bCs/>
                <w:color w:val="auto"/>
                <w:sz w:val="16"/>
                <w:szCs w:val="16"/>
                <w:lang w:eastAsia="en-AU"/>
              </w:rPr>
              <w:t>-</w:t>
            </w:r>
          </w:p>
        </w:tc>
        <w:tc>
          <w:tcPr>
            <w:tcW w:w="0" w:type="auto"/>
            <w:shd w:val="clear" w:color="000000" w:fill="FFFFFF"/>
            <w:noWrap/>
            <w:hideMark/>
          </w:tcPr>
          <w:p w14:paraId="3725C376" w14:textId="7BD4D775"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3EC86540" w14:textId="50F62C46"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28E12ADB" w14:textId="4536AC92"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6135EEE5" w14:textId="0A557C21"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6D1AB123" w14:textId="56A40296"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340A85C6" w14:textId="1C11051B"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12BAD2BA" w14:textId="078AC588"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2432DC39" w14:textId="5C19E7A5"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4E374874" w14:textId="696DE838"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39E36A80" w14:textId="2DF15BBC"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thinDiagCross" w:color="auto" w:fill="auto"/>
            <w:noWrap/>
            <w:hideMark/>
          </w:tcPr>
          <w:p w14:paraId="64797A9A" w14:textId="5DC9CB5E" w:rsidR="005B4472" w:rsidRPr="0028461A" w:rsidRDefault="005B4472" w:rsidP="005B4472">
            <w:pPr>
              <w:spacing w:after="0" w:line="240" w:lineRule="auto"/>
              <w:jc w:val="center"/>
              <w:rPr>
                <w:rFonts w:ascii="Arial" w:eastAsia="Times New Roman" w:hAnsi="Arial" w:cs="Arial"/>
                <w:b/>
                <w:bCs/>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23615870" w14:textId="68651884"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688A8924" w14:textId="2F0ECA0C"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25BC1CB8" w14:textId="6B831215"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3CA6953D" w14:textId="291E993E"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5DB80932" w14:textId="2F781134"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78459A4D" w14:textId="12C05691"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213D85B1" w14:textId="2DBE1AF1"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503EABBF" w14:textId="74D61845"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0F4F8D11" w14:textId="5C34DBC2"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79E36E02" w14:textId="38B66C83"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r>
      <w:tr w:rsidR="009008C5" w:rsidRPr="004D6AEA" w14:paraId="67B69578" w14:textId="77777777" w:rsidTr="009008C5">
        <w:trPr>
          <w:trHeight w:val="300"/>
        </w:trPr>
        <w:tc>
          <w:tcPr>
            <w:tcW w:w="2580" w:type="dxa"/>
            <w:shd w:val="clear" w:color="auto" w:fill="F5A35F" w:themeFill="accent2" w:themeFillShade="BF"/>
            <w:noWrap/>
            <w:vAlign w:val="bottom"/>
            <w:hideMark/>
          </w:tcPr>
          <w:p w14:paraId="160BD686" w14:textId="77777777" w:rsidR="005B4472" w:rsidRPr="0028461A" w:rsidRDefault="005B4472" w:rsidP="005B4472">
            <w:pPr>
              <w:spacing w:after="0" w:line="240" w:lineRule="auto"/>
              <w:rPr>
                <w:rFonts w:ascii="Arial" w:eastAsia="Times New Roman" w:hAnsi="Arial" w:cs="Arial"/>
                <w:b/>
                <w:bCs/>
                <w:color w:val="auto"/>
                <w:sz w:val="16"/>
                <w:szCs w:val="16"/>
                <w:lang w:eastAsia="en-AU"/>
              </w:rPr>
            </w:pPr>
            <w:r w:rsidRPr="0028461A">
              <w:rPr>
                <w:rFonts w:ascii="Arial" w:eastAsia="Times New Roman" w:hAnsi="Arial" w:cs="Arial"/>
                <w:b/>
                <w:bCs/>
                <w:color w:val="auto"/>
                <w:sz w:val="16"/>
                <w:szCs w:val="16"/>
                <w:lang w:eastAsia="en-AU"/>
              </w:rPr>
              <w:t>PHASE 2 AND 3 EVALUATION AND DESIGN PREPARATION</w:t>
            </w:r>
          </w:p>
        </w:tc>
        <w:tc>
          <w:tcPr>
            <w:tcW w:w="490" w:type="dxa"/>
            <w:shd w:val="clear" w:color="auto" w:fill="F5A35F" w:themeFill="accent2" w:themeFillShade="BF"/>
            <w:noWrap/>
            <w:hideMark/>
          </w:tcPr>
          <w:p w14:paraId="5F319211" w14:textId="4CD28D5A"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0912B3">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0BBD89A5" w14:textId="3CBBC7B5"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D72AD9">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01562EE6" w14:textId="54BD6BDB" w:rsidR="005B4472" w:rsidRPr="005B4472" w:rsidRDefault="005B4472" w:rsidP="005B4472">
            <w:pPr>
              <w:spacing w:after="0" w:line="240" w:lineRule="auto"/>
              <w:jc w:val="center"/>
              <w:rPr>
                <w:rFonts w:eastAsia="Times New Roman" w:cstheme="minorHAnsi"/>
                <w:color w:val="auto"/>
                <w:sz w:val="16"/>
                <w:szCs w:val="16"/>
                <w:lang w:eastAsia="en-AU"/>
              </w:rPr>
            </w:pPr>
            <w:r w:rsidRPr="005A7A64">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6251EA9F" w14:textId="31D68C1F" w:rsidR="005B4472" w:rsidRPr="005B4472" w:rsidRDefault="005B4472" w:rsidP="005B4472">
            <w:pPr>
              <w:spacing w:after="0" w:line="240" w:lineRule="auto"/>
              <w:jc w:val="center"/>
              <w:rPr>
                <w:rFonts w:eastAsia="Times New Roman" w:cstheme="minorHAnsi"/>
                <w:color w:val="auto"/>
                <w:sz w:val="16"/>
                <w:szCs w:val="16"/>
                <w:lang w:eastAsia="en-AU"/>
              </w:rPr>
            </w:pPr>
            <w:r w:rsidRPr="005A7A64">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7BA2B106" w14:textId="4DC68050" w:rsidR="005B4472" w:rsidRPr="005B4472" w:rsidRDefault="005B4472" w:rsidP="005B4472">
            <w:pPr>
              <w:spacing w:after="0" w:line="240" w:lineRule="auto"/>
              <w:jc w:val="center"/>
              <w:rPr>
                <w:rFonts w:ascii="Calibri" w:eastAsia="Times New Roman" w:hAnsi="Calibri" w:cs="Calibri"/>
                <w:b/>
                <w:bCs/>
                <w:color w:val="auto"/>
                <w:sz w:val="16"/>
                <w:szCs w:val="16"/>
                <w:lang w:eastAsia="en-AU"/>
              </w:rPr>
            </w:pPr>
            <w:r w:rsidRPr="00D80A9A">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2B6E21A0" w14:textId="646526F6" w:rsidR="005B4472" w:rsidRPr="005B4472" w:rsidRDefault="005B4472" w:rsidP="005B4472">
            <w:pPr>
              <w:spacing w:after="0" w:line="240" w:lineRule="auto"/>
              <w:jc w:val="center"/>
              <w:rPr>
                <w:rFonts w:ascii="Calibri" w:eastAsia="Times New Roman" w:hAnsi="Calibri" w:cs="Calibri"/>
                <w:b/>
                <w:bCs/>
                <w:color w:val="auto"/>
                <w:sz w:val="16"/>
                <w:szCs w:val="16"/>
                <w:lang w:eastAsia="en-AU"/>
              </w:rPr>
            </w:pPr>
            <w:r w:rsidRPr="009A7CA0">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3B0CC713" w14:textId="0C3AA36B"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9A7CA0">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743DF678" w14:textId="4D970DFC"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9C2860">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0825603E" w14:textId="20F38300"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9C2860">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1CE9EDBD" w14:textId="419ADBD8"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55521C83" w14:textId="10E0C5F8"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4A1CB7EA" w14:textId="271D69BD"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4AC85C2E" w14:textId="4A8AEC9A"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03853831" w14:textId="4F16EB04"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28C95D5C" w14:textId="45D3A14E"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500F56AE" w14:textId="38D5C92E"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777D3D41" w14:textId="5716D2B6"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1AA3E3F9" w14:textId="221E8ADC"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1C6D7697" w14:textId="351464D8"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2E6B3C00" w14:textId="06DBF08D" w:rsidR="005B4472" w:rsidRPr="0028461A" w:rsidRDefault="005B4472" w:rsidP="005B4472">
            <w:pPr>
              <w:spacing w:after="0" w:line="240" w:lineRule="auto"/>
              <w:jc w:val="center"/>
              <w:rPr>
                <w:rFonts w:ascii="Calibri" w:eastAsia="Times New Roman" w:hAnsi="Calibri" w:cs="Calibri"/>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62E987DE" w14:textId="52763639"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340E2E82" w14:textId="2C934330"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1F1B096B" w14:textId="6FCCE65E"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6B451FB1" w14:textId="3FC155C1"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55DDB0A0" w14:textId="1AE123F6"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34CDD68C" w14:textId="777B0E0A"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57AC8C54" w14:textId="67C50CDD"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119059B2" w14:textId="1D359CDA"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69CDB9B5" w14:textId="06B5141F"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auto" w:fill="F5A35F" w:themeFill="accent2" w:themeFillShade="BF"/>
            <w:noWrap/>
            <w:hideMark/>
          </w:tcPr>
          <w:p w14:paraId="145A4FDD" w14:textId="0EB304B3"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8161FD">
              <w:rPr>
                <w:rFonts w:ascii="Arial" w:eastAsia="Times New Roman" w:hAnsi="Arial" w:cs="Arial"/>
                <w:b/>
                <w:bCs/>
                <w:color w:val="auto"/>
                <w:sz w:val="16"/>
                <w:szCs w:val="16"/>
                <w:lang w:eastAsia="en-AU"/>
              </w:rPr>
              <w:t>-</w:t>
            </w:r>
          </w:p>
        </w:tc>
      </w:tr>
      <w:tr w:rsidR="005B4472" w:rsidRPr="004D6AEA" w14:paraId="412CD371" w14:textId="77777777" w:rsidTr="005E3060">
        <w:trPr>
          <w:trHeight w:val="255"/>
        </w:trPr>
        <w:tc>
          <w:tcPr>
            <w:tcW w:w="2580" w:type="dxa"/>
            <w:shd w:val="clear" w:color="000000" w:fill="D9D9D9"/>
            <w:noWrap/>
            <w:vAlign w:val="bottom"/>
            <w:hideMark/>
          </w:tcPr>
          <w:p w14:paraId="629101AC" w14:textId="77777777" w:rsidR="005B4472" w:rsidRPr="0028461A" w:rsidRDefault="005B4472" w:rsidP="005B4472">
            <w:pPr>
              <w:spacing w:after="0" w:line="240" w:lineRule="auto"/>
              <w:rPr>
                <w:rFonts w:ascii="Arial" w:eastAsia="Times New Roman" w:hAnsi="Arial" w:cs="Arial"/>
                <w:b/>
                <w:bCs/>
                <w:color w:val="auto"/>
                <w:sz w:val="16"/>
                <w:szCs w:val="16"/>
                <w:lang w:eastAsia="en-AU"/>
              </w:rPr>
            </w:pPr>
            <w:r w:rsidRPr="0028461A">
              <w:rPr>
                <w:rFonts w:ascii="Arial" w:eastAsia="Times New Roman" w:hAnsi="Arial" w:cs="Arial"/>
                <w:b/>
                <w:bCs/>
                <w:color w:val="auto"/>
                <w:sz w:val="16"/>
                <w:szCs w:val="16"/>
                <w:lang w:eastAsia="en-AU"/>
              </w:rPr>
              <w:t>CONSULTATIONS (Round 1)</w:t>
            </w:r>
          </w:p>
        </w:tc>
        <w:tc>
          <w:tcPr>
            <w:tcW w:w="490" w:type="dxa"/>
            <w:shd w:val="clear" w:color="000000" w:fill="D9D9D9"/>
            <w:noWrap/>
            <w:hideMark/>
          </w:tcPr>
          <w:p w14:paraId="6FF9FE98" w14:textId="54AC4622"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0912B3">
              <w:rPr>
                <w:rFonts w:ascii="Arial" w:eastAsia="Times New Roman" w:hAnsi="Arial" w:cs="Arial"/>
                <w:b/>
                <w:bCs/>
                <w:color w:val="auto"/>
                <w:sz w:val="16"/>
                <w:szCs w:val="16"/>
                <w:lang w:eastAsia="en-AU"/>
              </w:rPr>
              <w:t>-</w:t>
            </w:r>
          </w:p>
        </w:tc>
        <w:tc>
          <w:tcPr>
            <w:tcW w:w="0" w:type="auto"/>
            <w:shd w:val="clear" w:color="000000" w:fill="D9D9D9"/>
            <w:noWrap/>
            <w:hideMark/>
          </w:tcPr>
          <w:p w14:paraId="64A908A0" w14:textId="311ED6B8"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D72AD9">
              <w:rPr>
                <w:rFonts w:ascii="Arial" w:eastAsia="Times New Roman" w:hAnsi="Arial" w:cs="Arial"/>
                <w:b/>
                <w:bCs/>
                <w:color w:val="auto"/>
                <w:sz w:val="16"/>
                <w:szCs w:val="16"/>
                <w:lang w:eastAsia="en-AU"/>
              </w:rPr>
              <w:t>-</w:t>
            </w:r>
          </w:p>
        </w:tc>
        <w:tc>
          <w:tcPr>
            <w:tcW w:w="0" w:type="auto"/>
            <w:shd w:val="clear" w:color="000000" w:fill="D9D9D9"/>
            <w:noWrap/>
            <w:hideMark/>
          </w:tcPr>
          <w:p w14:paraId="43BCC242" w14:textId="7A4E3FE2" w:rsidR="005B4472" w:rsidRPr="005B4472" w:rsidRDefault="005B4472" w:rsidP="005B4472">
            <w:pPr>
              <w:spacing w:after="0" w:line="240" w:lineRule="auto"/>
              <w:jc w:val="center"/>
              <w:rPr>
                <w:rFonts w:eastAsia="Times New Roman" w:cstheme="minorHAnsi"/>
                <w:b/>
                <w:bCs/>
                <w:color w:val="auto"/>
                <w:sz w:val="16"/>
                <w:szCs w:val="16"/>
                <w:lang w:eastAsia="en-AU"/>
              </w:rPr>
            </w:pPr>
            <w:r w:rsidRPr="005A7A64">
              <w:rPr>
                <w:rFonts w:ascii="Arial" w:eastAsia="Times New Roman" w:hAnsi="Arial" w:cs="Arial"/>
                <w:b/>
                <w:bCs/>
                <w:color w:val="auto"/>
                <w:sz w:val="16"/>
                <w:szCs w:val="16"/>
                <w:lang w:eastAsia="en-AU"/>
              </w:rPr>
              <w:t>-</w:t>
            </w:r>
          </w:p>
        </w:tc>
        <w:tc>
          <w:tcPr>
            <w:tcW w:w="0" w:type="auto"/>
            <w:shd w:val="clear" w:color="000000" w:fill="D9D9D9"/>
            <w:noWrap/>
            <w:hideMark/>
          </w:tcPr>
          <w:p w14:paraId="3B75398A" w14:textId="00D70B7F" w:rsidR="005B4472" w:rsidRPr="005B4472" w:rsidRDefault="005B4472" w:rsidP="005B4472">
            <w:pPr>
              <w:spacing w:after="0" w:line="240" w:lineRule="auto"/>
              <w:jc w:val="center"/>
              <w:rPr>
                <w:rFonts w:eastAsia="Times New Roman" w:cstheme="minorHAnsi"/>
                <w:b/>
                <w:bCs/>
                <w:color w:val="auto"/>
                <w:sz w:val="16"/>
                <w:szCs w:val="16"/>
                <w:lang w:eastAsia="en-AU"/>
              </w:rPr>
            </w:pPr>
            <w:r w:rsidRPr="005A7A64">
              <w:rPr>
                <w:rFonts w:ascii="Arial" w:eastAsia="Times New Roman" w:hAnsi="Arial" w:cs="Arial"/>
                <w:b/>
                <w:bCs/>
                <w:color w:val="auto"/>
                <w:sz w:val="16"/>
                <w:szCs w:val="16"/>
                <w:lang w:eastAsia="en-AU"/>
              </w:rPr>
              <w:t>-</w:t>
            </w:r>
          </w:p>
        </w:tc>
        <w:tc>
          <w:tcPr>
            <w:tcW w:w="0" w:type="auto"/>
            <w:shd w:val="clear" w:color="000000" w:fill="D9D9D9"/>
            <w:noWrap/>
            <w:hideMark/>
          </w:tcPr>
          <w:p w14:paraId="1B2D3BA0" w14:textId="40DDA762" w:rsidR="005B4472" w:rsidRPr="005B4472" w:rsidRDefault="005B4472" w:rsidP="005B4472">
            <w:pPr>
              <w:spacing w:after="0" w:line="240" w:lineRule="auto"/>
              <w:rPr>
                <w:rFonts w:ascii="Arial" w:eastAsia="Times New Roman" w:hAnsi="Arial" w:cs="Arial"/>
                <w:b/>
                <w:bCs/>
                <w:color w:val="auto"/>
                <w:sz w:val="16"/>
                <w:szCs w:val="16"/>
                <w:lang w:eastAsia="en-AU"/>
              </w:rPr>
            </w:pPr>
            <w:r w:rsidRPr="00D80A9A">
              <w:rPr>
                <w:rFonts w:ascii="Arial" w:eastAsia="Times New Roman" w:hAnsi="Arial" w:cs="Arial"/>
                <w:b/>
                <w:bCs/>
                <w:color w:val="auto"/>
                <w:sz w:val="16"/>
                <w:szCs w:val="16"/>
                <w:lang w:eastAsia="en-AU"/>
              </w:rPr>
              <w:t>-</w:t>
            </w:r>
          </w:p>
        </w:tc>
        <w:tc>
          <w:tcPr>
            <w:tcW w:w="0" w:type="auto"/>
            <w:shd w:val="clear" w:color="000000" w:fill="D9D9D9"/>
            <w:noWrap/>
            <w:hideMark/>
          </w:tcPr>
          <w:p w14:paraId="31553075" w14:textId="3C19C223" w:rsidR="005B4472" w:rsidRPr="005B4472" w:rsidRDefault="005B4472" w:rsidP="005B4472">
            <w:pPr>
              <w:spacing w:after="0" w:line="240" w:lineRule="auto"/>
              <w:jc w:val="center"/>
              <w:rPr>
                <w:rFonts w:ascii="Arial" w:eastAsia="Times New Roman" w:hAnsi="Arial" w:cs="Arial"/>
                <w:b/>
                <w:bCs/>
                <w:color w:val="auto"/>
                <w:sz w:val="16"/>
                <w:szCs w:val="16"/>
                <w:lang w:eastAsia="en-AU"/>
              </w:rPr>
            </w:pPr>
            <w:r w:rsidRPr="009A7CA0">
              <w:rPr>
                <w:rFonts w:ascii="Arial" w:eastAsia="Times New Roman" w:hAnsi="Arial" w:cs="Arial"/>
                <w:b/>
                <w:bCs/>
                <w:color w:val="auto"/>
                <w:sz w:val="16"/>
                <w:szCs w:val="16"/>
                <w:lang w:eastAsia="en-AU"/>
              </w:rPr>
              <w:t>-</w:t>
            </w:r>
          </w:p>
        </w:tc>
        <w:tc>
          <w:tcPr>
            <w:tcW w:w="0" w:type="auto"/>
            <w:shd w:val="clear" w:color="000000" w:fill="D9D9D9"/>
            <w:noWrap/>
            <w:hideMark/>
          </w:tcPr>
          <w:p w14:paraId="2C30CF59" w14:textId="3CAD8E28"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9A7CA0">
              <w:rPr>
                <w:rFonts w:ascii="Arial" w:eastAsia="Times New Roman" w:hAnsi="Arial" w:cs="Arial"/>
                <w:b/>
                <w:bCs/>
                <w:color w:val="auto"/>
                <w:sz w:val="16"/>
                <w:szCs w:val="16"/>
                <w:lang w:eastAsia="en-AU"/>
              </w:rPr>
              <w:t>-</w:t>
            </w:r>
          </w:p>
        </w:tc>
        <w:tc>
          <w:tcPr>
            <w:tcW w:w="0" w:type="auto"/>
            <w:shd w:val="clear" w:color="000000" w:fill="D9D9D9"/>
            <w:noWrap/>
            <w:hideMark/>
          </w:tcPr>
          <w:p w14:paraId="678F50D0" w14:textId="24521661"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9C2860">
              <w:rPr>
                <w:rFonts w:ascii="Arial" w:eastAsia="Times New Roman" w:hAnsi="Arial" w:cs="Arial"/>
                <w:b/>
                <w:bCs/>
                <w:color w:val="auto"/>
                <w:sz w:val="16"/>
                <w:szCs w:val="16"/>
                <w:lang w:eastAsia="en-AU"/>
              </w:rPr>
              <w:t>-</w:t>
            </w:r>
          </w:p>
        </w:tc>
        <w:tc>
          <w:tcPr>
            <w:tcW w:w="0" w:type="auto"/>
            <w:shd w:val="clear" w:color="000000" w:fill="D9D9D9"/>
            <w:noWrap/>
            <w:hideMark/>
          </w:tcPr>
          <w:p w14:paraId="001C2058" w14:textId="39F9C529"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9C2860">
              <w:rPr>
                <w:rFonts w:ascii="Arial" w:eastAsia="Times New Roman" w:hAnsi="Arial" w:cs="Arial"/>
                <w:b/>
                <w:bCs/>
                <w:color w:val="auto"/>
                <w:sz w:val="16"/>
                <w:szCs w:val="16"/>
                <w:lang w:eastAsia="en-AU"/>
              </w:rPr>
              <w:t>-</w:t>
            </w:r>
          </w:p>
        </w:tc>
        <w:tc>
          <w:tcPr>
            <w:tcW w:w="0" w:type="auto"/>
            <w:shd w:val="clear" w:color="000000" w:fill="D9D9D9"/>
            <w:noWrap/>
            <w:hideMark/>
          </w:tcPr>
          <w:p w14:paraId="52118F35" w14:textId="6E28FBB4"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06AFC9C9" w14:textId="11A5F572"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20DCEA9B" w14:textId="58C67258"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5620F3D4" w14:textId="7A9DD431"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4936FCB5" w14:textId="499B411F"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5D898CC9" w14:textId="49B381AC"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00EADD7B" w14:textId="4B998BB4"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4D3F5EB9" w14:textId="578FB3F0"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1321AB0A" w14:textId="133E56B0"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0DAB56AF" w14:textId="04230D1D"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thinDiagCross" w:color="auto" w:fill="auto"/>
            <w:noWrap/>
            <w:hideMark/>
          </w:tcPr>
          <w:p w14:paraId="012925F6" w14:textId="4F86D02A" w:rsidR="005B4472" w:rsidRPr="0028461A" w:rsidRDefault="005B4472" w:rsidP="005B4472">
            <w:pPr>
              <w:spacing w:after="0" w:line="240" w:lineRule="auto"/>
              <w:jc w:val="center"/>
              <w:rPr>
                <w:rFonts w:ascii="Arial" w:eastAsia="Times New Roman" w:hAnsi="Arial" w:cs="Arial"/>
                <w:b/>
                <w:bCs/>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22A1EC31" w14:textId="70B4E0C4"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38EED285" w14:textId="1E6EA29B"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3D0EF891" w14:textId="1EDB99ED"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0262B656" w14:textId="6211B158"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1FF9A4B0" w14:textId="48C1FD44"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472FA432" w14:textId="328C757D"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09BADBBF" w14:textId="37E481BE"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608CF019" w14:textId="1E045838"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19E3D463" w14:textId="64400747"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5457A39E" w14:textId="0899C4C1"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r>
      <w:tr w:rsidR="005B4472" w:rsidRPr="004D6AEA" w14:paraId="32E4B857" w14:textId="77777777" w:rsidTr="005E3060">
        <w:trPr>
          <w:trHeight w:val="285"/>
        </w:trPr>
        <w:tc>
          <w:tcPr>
            <w:tcW w:w="2580" w:type="dxa"/>
            <w:shd w:val="clear" w:color="000000" w:fill="FFFFFF"/>
            <w:noWrap/>
            <w:vAlign w:val="bottom"/>
            <w:hideMark/>
          </w:tcPr>
          <w:p w14:paraId="6FB8773B" w14:textId="77777777" w:rsidR="005B4472" w:rsidRPr="0028461A" w:rsidRDefault="005B4472" w:rsidP="005B4472">
            <w:pPr>
              <w:spacing w:after="0" w:line="240" w:lineRule="auto"/>
              <w:rPr>
                <w:rFonts w:ascii="Arial" w:eastAsia="Times New Roman" w:hAnsi="Arial" w:cs="Arial"/>
                <w:color w:val="auto"/>
                <w:sz w:val="16"/>
                <w:szCs w:val="16"/>
                <w:lang w:eastAsia="en-AU"/>
              </w:rPr>
            </w:pPr>
            <w:r w:rsidRPr="0028461A">
              <w:rPr>
                <w:rFonts w:ascii="Arial" w:eastAsia="Times New Roman" w:hAnsi="Arial" w:cs="Arial"/>
                <w:color w:val="auto"/>
                <w:sz w:val="16"/>
                <w:szCs w:val="16"/>
                <w:lang w:eastAsia="en-AU"/>
              </w:rPr>
              <w:t xml:space="preserve">Finalise consultation questions and consultation list  </w:t>
            </w:r>
          </w:p>
        </w:tc>
        <w:tc>
          <w:tcPr>
            <w:tcW w:w="490" w:type="dxa"/>
            <w:shd w:val="clear" w:color="000000" w:fill="FFFFFF"/>
            <w:noWrap/>
            <w:hideMark/>
          </w:tcPr>
          <w:p w14:paraId="12C302D4" w14:textId="700B7A1D"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0912B3">
              <w:rPr>
                <w:rFonts w:ascii="Arial" w:eastAsia="Times New Roman" w:hAnsi="Arial" w:cs="Arial"/>
                <w:b/>
                <w:bCs/>
                <w:color w:val="auto"/>
                <w:sz w:val="16"/>
                <w:szCs w:val="16"/>
                <w:lang w:eastAsia="en-AU"/>
              </w:rPr>
              <w:t>-</w:t>
            </w:r>
          </w:p>
        </w:tc>
        <w:tc>
          <w:tcPr>
            <w:tcW w:w="0" w:type="auto"/>
            <w:shd w:val="clear" w:color="000000" w:fill="808080"/>
            <w:noWrap/>
            <w:hideMark/>
          </w:tcPr>
          <w:p w14:paraId="5E50442C" w14:textId="07203088"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D72AD9">
              <w:rPr>
                <w:rFonts w:ascii="Arial" w:eastAsia="Times New Roman" w:hAnsi="Arial" w:cs="Arial"/>
                <w:b/>
                <w:bCs/>
                <w:color w:val="auto"/>
                <w:sz w:val="16"/>
                <w:szCs w:val="16"/>
                <w:lang w:eastAsia="en-AU"/>
              </w:rPr>
              <w:t>-</w:t>
            </w:r>
          </w:p>
        </w:tc>
        <w:tc>
          <w:tcPr>
            <w:tcW w:w="0" w:type="auto"/>
            <w:shd w:val="pct12" w:color="000000" w:fill="FFFFFF"/>
            <w:noWrap/>
            <w:hideMark/>
          </w:tcPr>
          <w:p w14:paraId="48543EED" w14:textId="26F5C295" w:rsidR="005B4472" w:rsidRPr="005B4472" w:rsidRDefault="005B4472" w:rsidP="005B4472">
            <w:pPr>
              <w:spacing w:after="0" w:line="240" w:lineRule="auto"/>
              <w:jc w:val="center"/>
              <w:rPr>
                <w:rFonts w:eastAsia="Times New Roman" w:cstheme="minorHAnsi"/>
                <w:color w:val="auto"/>
                <w:sz w:val="16"/>
                <w:szCs w:val="16"/>
                <w:lang w:eastAsia="en-AU"/>
              </w:rPr>
            </w:pPr>
            <w:r w:rsidRPr="005A7A64">
              <w:rPr>
                <w:rFonts w:ascii="Arial" w:eastAsia="Times New Roman" w:hAnsi="Arial" w:cs="Arial"/>
                <w:b/>
                <w:bCs/>
                <w:color w:val="auto"/>
                <w:sz w:val="16"/>
                <w:szCs w:val="16"/>
                <w:lang w:eastAsia="en-AU"/>
              </w:rPr>
              <w:t>-</w:t>
            </w:r>
          </w:p>
        </w:tc>
        <w:tc>
          <w:tcPr>
            <w:tcW w:w="0" w:type="auto"/>
            <w:shd w:val="pct12" w:color="000000" w:fill="FFFFFF"/>
            <w:noWrap/>
            <w:hideMark/>
          </w:tcPr>
          <w:p w14:paraId="62FED600" w14:textId="54E0BBE3" w:rsidR="005B4472" w:rsidRPr="005B4472" w:rsidRDefault="005B4472" w:rsidP="005B4472">
            <w:pPr>
              <w:spacing w:after="0" w:line="240" w:lineRule="auto"/>
              <w:jc w:val="center"/>
              <w:rPr>
                <w:rFonts w:eastAsia="Times New Roman" w:cstheme="minorHAnsi"/>
                <w:color w:val="auto"/>
                <w:sz w:val="16"/>
                <w:szCs w:val="16"/>
                <w:lang w:eastAsia="en-AU"/>
              </w:rPr>
            </w:pPr>
            <w:r w:rsidRPr="005A7A64">
              <w:rPr>
                <w:rFonts w:ascii="Arial" w:eastAsia="Times New Roman" w:hAnsi="Arial" w:cs="Arial"/>
                <w:b/>
                <w:bCs/>
                <w:color w:val="auto"/>
                <w:sz w:val="16"/>
                <w:szCs w:val="16"/>
                <w:lang w:eastAsia="en-AU"/>
              </w:rPr>
              <w:t>-</w:t>
            </w:r>
          </w:p>
        </w:tc>
        <w:tc>
          <w:tcPr>
            <w:tcW w:w="0" w:type="auto"/>
            <w:shd w:val="clear" w:color="000000" w:fill="808080"/>
            <w:noWrap/>
            <w:hideMark/>
          </w:tcPr>
          <w:p w14:paraId="656497E9" w14:textId="126B2E00" w:rsidR="005B4472" w:rsidRPr="005B4472" w:rsidRDefault="005B4472" w:rsidP="005B4472">
            <w:pPr>
              <w:spacing w:after="0" w:line="240" w:lineRule="auto"/>
              <w:jc w:val="center"/>
              <w:rPr>
                <w:rFonts w:ascii="Arial" w:eastAsia="Times New Roman" w:hAnsi="Arial" w:cs="Arial"/>
                <w:b/>
                <w:bCs/>
                <w:color w:val="auto"/>
                <w:sz w:val="16"/>
                <w:szCs w:val="16"/>
                <w:lang w:eastAsia="en-AU"/>
              </w:rPr>
            </w:pPr>
            <w:r w:rsidRPr="00D80A9A">
              <w:rPr>
                <w:rFonts w:ascii="Arial" w:eastAsia="Times New Roman" w:hAnsi="Arial" w:cs="Arial"/>
                <w:b/>
                <w:bCs/>
                <w:color w:val="auto"/>
                <w:sz w:val="16"/>
                <w:szCs w:val="16"/>
                <w:lang w:eastAsia="en-AU"/>
              </w:rPr>
              <w:t>-</w:t>
            </w:r>
          </w:p>
        </w:tc>
        <w:tc>
          <w:tcPr>
            <w:tcW w:w="0" w:type="auto"/>
            <w:shd w:val="clear" w:color="000000" w:fill="808080"/>
            <w:noWrap/>
            <w:hideMark/>
          </w:tcPr>
          <w:p w14:paraId="5F24C4A5" w14:textId="43398464" w:rsidR="005B4472" w:rsidRPr="005B4472" w:rsidRDefault="005B4472" w:rsidP="005B4472">
            <w:pPr>
              <w:spacing w:after="0" w:line="240" w:lineRule="auto"/>
              <w:jc w:val="center"/>
              <w:rPr>
                <w:rFonts w:ascii="Arial" w:eastAsia="Times New Roman" w:hAnsi="Arial" w:cs="Arial"/>
                <w:b/>
                <w:bCs/>
                <w:color w:val="auto"/>
                <w:sz w:val="16"/>
                <w:szCs w:val="16"/>
                <w:lang w:eastAsia="en-AU"/>
              </w:rPr>
            </w:pPr>
            <w:r w:rsidRPr="009A7CA0">
              <w:rPr>
                <w:rFonts w:ascii="Arial" w:eastAsia="Times New Roman" w:hAnsi="Arial" w:cs="Arial"/>
                <w:b/>
                <w:bCs/>
                <w:color w:val="auto"/>
                <w:sz w:val="16"/>
                <w:szCs w:val="16"/>
                <w:lang w:eastAsia="en-AU"/>
              </w:rPr>
              <w:t>-</w:t>
            </w:r>
          </w:p>
        </w:tc>
        <w:tc>
          <w:tcPr>
            <w:tcW w:w="0" w:type="auto"/>
            <w:shd w:val="clear" w:color="000000" w:fill="FFFFFF"/>
            <w:noWrap/>
            <w:hideMark/>
          </w:tcPr>
          <w:p w14:paraId="2098E993" w14:textId="693362FB"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9A7CA0">
              <w:rPr>
                <w:rFonts w:ascii="Arial" w:eastAsia="Times New Roman" w:hAnsi="Arial" w:cs="Arial"/>
                <w:b/>
                <w:bCs/>
                <w:color w:val="auto"/>
                <w:sz w:val="16"/>
                <w:szCs w:val="16"/>
                <w:lang w:eastAsia="en-AU"/>
              </w:rPr>
              <w:t>-</w:t>
            </w:r>
          </w:p>
        </w:tc>
        <w:tc>
          <w:tcPr>
            <w:tcW w:w="0" w:type="auto"/>
            <w:shd w:val="clear" w:color="000000" w:fill="FFFFFF"/>
            <w:noWrap/>
            <w:hideMark/>
          </w:tcPr>
          <w:p w14:paraId="25457B01" w14:textId="7C3146B3"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9C2860">
              <w:rPr>
                <w:rFonts w:ascii="Arial" w:eastAsia="Times New Roman" w:hAnsi="Arial" w:cs="Arial"/>
                <w:b/>
                <w:bCs/>
                <w:color w:val="auto"/>
                <w:sz w:val="16"/>
                <w:szCs w:val="16"/>
                <w:lang w:eastAsia="en-AU"/>
              </w:rPr>
              <w:t>-</w:t>
            </w:r>
          </w:p>
        </w:tc>
        <w:tc>
          <w:tcPr>
            <w:tcW w:w="0" w:type="auto"/>
            <w:shd w:val="clear" w:color="000000" w:fill="FFFFFF"/>
            <w:noWrap/>
            <w:hideMark/>
          </w:tcPr>
          <w:p w14:paraId="758C9D97" w14:textId="3E0D7A4E"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9C2860">
              <w:rPr>
                <w:rFonts w:ascii="Arial" w:eastAsia="Times New Roman" w:hAnsi="Arial" w:cs="Arial"/>
                <w:b/>
                <w:bCs/>
                <w:color w:val="auto"/>
                <w:sz w:val="16"/>
                <w:szCs w:val="16"/>
                <w:lang w:eastAsia="en-AU"/>
              </w:rPr>
              <w:t>-</w:t>
            </w:r>
          </w:p>
        </w:tc>
        <w:tc>
          <w:tcPr>
            <w:tcW w:w="0" w:type="auto"/>
            <w:shd w:val="clear" w:color="000000" w:fill="FFFFFF"/>
            <w:noWrap/>
            <w:hideMark/>
          </w:tcPr>
          <w:p w14:paraId="2E86ADF5" w14:textId="354D0EF8"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7FCC4C78" w14:textId="26C5C938"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5B9E87D6" w14:textId="501D7EBF"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6BCDFA7A" w14:textId="13E26260"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580EFD13" w14:textId="641E24A4"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520FAB53" w14:textId="06827AC8"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3E2C7ECC" w14:textId="5C91651C"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4C092450" w14:textId="3EF6EF7B"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15C2E07D" w14:textId="59905C5A"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702AE390" w14:textId="4FBABE57"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thinDiagCross" w:color="auto" w:fill="auto"/>
            <w:noWrap/>
            <w:hideMark/>
          </w:tcPr>
          <w:p w14:paraId="38690872" w14:textId="7056D87A" w:rsidR="005B4472" w:rsidRPr="0028461A" w:rsidRDefault="005B4472" w:rsidP="005B4472">
            <w:pPr>
              <w:spacing w:after="0" w:line="240" w:lineRule="auto"/>
              <w:jc w:val="center"/>
              <w:rPr>
                <w:rFonts w:ascii="Arial" w:eastAsia="Times New Roman" w:hAnsi="Arial" w:cs="Arial"/>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3075BE14" w14:textId="661FB0DE"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3009D5BD" w14:textId="1560E9CE"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045990A6" w14:textId="69ACEB11"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7B0EF3BD" w14:textId="5BCD777A"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07A985C9" w14:textId="551DFA36"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0D7E27B2" w14:textId="51840B16"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3BC58991" w14:textId="54522752"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243B5878" w14:textId="27B91E48"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13BDB070" w14:textId="07641A9E"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6F267F0B" w14:textId="0E1DC26F"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r>
      <w:tr w:rsidR="005B4472" w:rsidRPr="004D6AEA" w14:paraId="6C0EDC25" w14:textId="77777777" w:rsidTr="005E3060">
        <w:trPr>
          <w:trHeight w:val="240"/>
        </w:trPr>
        <w:tc>
          <w:tcPr>
            <w:tcW w:w="2580" w:type="dxa"/>
            <w:shd w:val="clear" w:color="000000" w:fill="FFFFFF"/>
            <w:noWrap/>
            <w:vAlign w:val="bottom"/>
            <w:hideMark/>
          </w:tcPr>
          <w:p w14:paraId="0B80B873" w14:textId="77777777" w:rsidR="005B4472" w:rsidRPr="0028461A" w:rsidRDefault="005B4472" w:rsidP="005B4472">
            <w:pPr>
              <w:spacing w:after="0" w:line="240" w:lineRule="auto"/>
              <w:rPr>
                <w:rFonts w:ascii="Arial" w:eastAsia="Times New Roman" w:hAnsi="Arial" w:cs="Arial"/>
                <w:color w:val="auto"/>
                <w:sz w:val="16"/>
                <w:szCs w:val="16"/>
                <w:lang w:eastAsia="en-AU"/>
              </w:rPr>
            </w:pPr>
            <w:r w:rsidRPr="0028461A">
              <w:rPr>
                <w:rFonts w:ascii="Arial" w:eastAsia="Times New Roman" w:hAnsi="Arial" w:cs="Arial"/>
                <w:color w:val="auto"/>
                <w:sz w:val="16"/>
                <w:szCs w:val="16"/>
                <w:lang w:eastAsia="en-AU"/>
              </w:rPr>
              <w:t>Conduct online consultations</w:t>
            </w:r>
          </w:p>
        </w:tc>
        <w:tc>
          <w:tcPr>
            <w:tcW w:w="490" w:type="dxa"/>
            <w:shd w:val="clear" w:color="auto" w:fill="auto"/>
            <w:noWrap/>
            <w:hideMark/>
          </w:tcPr>
          <w:p w14:paraId="6430DB42" w14:textId="03589CBB"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0912B3">
              <w:rPr>
                <w:rFonts w:ascii="Arial" w:eastAsia="Times New Roman" w:hAnsi="Arial" w:cs="Arial"/>
                <w:b/>
                <w:bCs/>
                <w:color w:val="auto"/>
                <w:sz w:val="16"/>
                <w:szCs w:val="16"/>
                <w:lang w:eastAsia="en-AU"/>
              </w:rPr>
              <w:t>-</w:t>
            </w:r>
          </w:p>
        </w:tc>
        <w:tc>
          <w:tcPr>
            <w:tcW w:w="0" w:type="auto"/>
            <w:shd w:val="clear" w:color="auto" w:fill="auto"/>
            <w:noWrap/>
            <w:hideMark/>
          </w:tcPr>
          <w:p w14:paraId="415857C1" w14:textId="78F28328"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D72AD9">
              <w:rPr>
                <w:rFonts w:ascii="Arial" w:eastAsia="Times New Roman" w:hAnsi="Arial" w:cs="Arial"/>
                <w:b/>
                <w:bCs/>
                <w:color w:val="auto"/>
                <w:sz w:val="16"/>
                <w:szCs w:val="16"/>
                <w:lang w:eastAsia="en-AU"/>
              </w:rPr>
              <w:t>-</w:t>
            </w:r>
          </w:p>
        </w:tc>
        <w:tc>
          <w:tcPr>
            <w:tcW w:w="0" w:type="auto"/>
            <w:shd w:val="pct12" w:color="000000" w:fill="FFFFFF"/>
            <w:noWrap/>
            <w:hideMark/>
          </w:tcPr>
          <w:p w14:paraId="752B6CB7" w14:textId="3D3693E3" w:rsidR="005B4472" w:rsidRPr="005B4472" w:rsidRDefault="005B4472" w:rsidP="005B4472">
            <w:pPr>
              <w:spacing w:after="0" w:line="240" w:lineRule="auto"/>
              <w:jc w:val="center"/>
              <w:rPr>
                <w:rFonts w:eastAsia="Times New Roman" w:cstheme="minorHAnsi"/>
                <w:color w:val="auto"/>
                <w:sz w:val="16"/>
                <w:szCs w:val="16"/>
                <w:lang w:eastAsia="en-AU"/>
              </w:rPr>
            </w:pPr>
            <w:r w:rsidRPr="005A7A64">
              <w:rPr>
                <w:rFonts w:ascii="Arial" w:eastAsia="Times New Roman" w:hAnsi="Arial" w:cs="Arial"/>
                <w:b/>
                <w:bCs/>
                <w:color w:val="auto"/>
                <w:sz w:val="16"/>
                <w:szCs w:val="16"/>
                <w:lang w:eastAsia="en-AU"/>
              </w:rPr>
              <w:t>-</w:t>
            </w:r>
          </w:p>
        </w:tc>
        <w:tc>
          <w:tcPr>
            <w:tcW w:w="0" w:type="auto"/>
            <w:shd w:val="pct12" w:color="000000" w:fill="FFFFFF"/>
            <w:noWrap/>
            <w:hideMark/>
          </w:tcPr>
          <w:p w14:paraId="1DF68E03" w14:textId="4C94C882" w:rsidR="005B4472" w:rsidRPr="005B4472" w:rsidRDefault="005B4472" w:rsidP="005B4472">
            <w:pPr>
              <w:spacing w:after="0" w:line="240" w:lineRule="auto"/>
              <w:jc w:val="center"/>
              <w:rPr>
                <w:rFonts w:eastAsia="Times New Roman" w:cstheme="minorHAnsi"/>
                <w:color w:val="auto"/>
                <w:sz w:val="16"/>
                <w:szCs w:val="16"/>
                <w:lang w:eastAsia="en-AU"/>
              </w:rPr>
            </w:pPr>
            <w:r w:rsidRPr="005A7A64">
              <w:rPr>
                <w:rFonts w:ascii="Arial" w:eastAsia="Times New Roman" w:hAnsi="Arial" w:cs="Arial"/>
                <w:b/>
                <w:bCs/>
                <w:color w:val="auto"/>
                <w:sz w:val="16"/>
                <w:szCs w:val="16"/>
                <w:lang w:eastAsia="en-AU"/>
              </w:rPr>
              <w:t>-</w:t>
            </w:r>
          </w:p>
        </w:tc>
        <w:tc>
          <w:tcPr>
            <w:tcW w:w="0" w:type="auto"/>
            <w:shd w:val="clear" w:color="000000" w:fill="FFFFFF"/>
            <w:noWrap/>
            <w:hideMark/>
          </w:tcPr>
          <w:p w14:paraId="16B2C15D" w14:textId="34D06FD8" w:rsidR="005B4472" w:rsidRPr="005B4472" w:rsidRDefault="005B4472" w:rsidP="005B4472">
            <w:pPr>
              <w:spacing w:after="0" w:line="240" w:lineRule="auto"/>
              <w:jc w:val="center"/>
              <w:rPr>
                <w:rFonts w:ascii="Arial" w:eastAsia="Times New Roman" w:hAnsi="Arial" w:cs="Arial"/>
                <w:b/>
                <w:bCs/>
                <w:color w:val="auto"/>
                <w:sz w:val="16"/>
                <w:szCs w:val="16"/>
                <w:lang w:eastAsia="en-AU"/>
              </w:rPr>
            </w:pPr>
            <w:r w:rsidRPr="00D80A9A">
              <w:rPr>
                <w:rFonts w:ascii="Arial" w:eastAsia="Times New Roman" w:hAnsi="Arial" w:cs="Arial"/>
                <w:b/>
                <w:bCs/>
                <w:color w:val="auto"/>
                <w:sz w:val="16"/>
                <w:szCs w:val="16"/>
                <w:lang w:eastAsia="en-AU"/>
              </w:rPr>
              <w:t>-</w:t>
            </w:r>
          </w:p>
        </w:tc>
        <w:tc>
          <w:tcPr>
            <w:tcW w:w="0" w:type="auto"/>
            <w:shd w:val="clear" w:color="000000" w:fill="808080"/>
            <w:noWrap/>
            <w:hideMark/>
          </w:tcPr>
          <w:p w14:paraId="62B0D012" w14:textId="1098DBB4" w:rsidR="005B4472" w:rsidRPr="005B4472" w:rsidRDefault="005B4472" w:rsidP="005B4472">
            <w:pPr>
              <w:spacing w:after="0" w:line="240" w:lineRule="auto"/>
              <w:jc w:val="center"/>
              <w:rPr>
                <w:rFonts w:ascii="Arial" w:eastAsia="Times New Roman" w:hAnsi="Arial" w:cs="Arial"/>
                <w:b/>
                <w:bCs/>
                <w:color w:val="auto"/>
                <w:sz w:val="16"/>
                <w:szCs w:val="16"/>
                <w:lang w:eastAsia="en-AU"/>
              </w:rPr>
            </w:pPr>
            <w:r w:rsidRPr="009A7CA0">
              <w:rPr>
                <w:rFonts w:ascii="Arial" w:eastAsia="Times New Roman" w:hAnsi="Arial" w:cs="Arial"/>
                <w:b/>
                <w:bCs/>
                <w:color w:val="auto"/>
                <w:sz w:val="16"/>
                <w:szCs w:val="16"/>
                <w:lang w:eastAsia="en-AU"/>
              </w:rPr>
              <w:t>-</w:t>
            </w:r>
          </w:p>
        </w:tc>
        <w:tc>
          <w:tcPr>
            <w:tcW w:w="0" w:type="auto"/>
            <w:shd w:val="clear" w:color="000000" w:fill="808080"/>
            <w:noWrap/>
            <w:hideMark/>
          </w:tcPr>
          <w:p w14:paraId="342B20BA" w14:textId="736917D7"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9A7CA0">
              <w:rPr>
                <w:rFonts w:ascii="Arial" w:eastAsia="Times New Roman" w:hAnsi="Arial" w:cs="Arial"/>
                <w:b/>
                <w:bCs/>
                <w:color w:val="auto"/>
                <w:sz w:val="16"/>
                <w:szCs w:val="16"/>
                <w:lang w:eastAsia="en-AU"/>
              </w:rPr>
              <w:t>-</w:t>
            </w:r>
          </w:p>
        </w:tc>
        <w:tc>
          <w:tcPr>
            <w:tcW w:w="0" w:type="auto"/>
            <w:shd w:val="clear" w:color="000000" w:fill="808080"/>
            <w:noWrap/>
            <w:hideMark/>
          </w:tcPr>
          <w:p w14:paraId="75933F68" w14:textId="09723B77"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9C2860">
              <w:rPr>
                <w:rFonts w:ascii="Arial" w:eastAsia="Times New Roman" w:hAnsi="Arial" w:cs="Arial"/>
                <w:b/>
                <w:bCs/>
                <w:color w:val="auto"/>
                <w:sz w:val="16"/>
                <w:szCs w:val="16"/>
                <w:lang w:eastAsia="en-AU"/>
              </w:rPr>
              <w:t>-</w:t>
            </w:r>
          </w:p>
        </w:tc>
        <w:tc>
          <w:tcPr>
            <w:tcW w:w="0" w:type="auto"/>
            <w:shd w:val="clear" w:color="000000" w:fill="808080"/>
            <w:noWrap/>
            <w:hideMark/>
          </w:tcPr>
          <w:p w14:paraId="2CF46FB2" w14:textId="2619D5F5"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9C2860">
              <w:rPr>
                <w:rFonts w:ascii="Arial" w:eastAsia="Times New Roman" w:hAnsi="Arial" w:cs="Arial"/>
                <w:b/>
                <w:bCs/>
                <w:color w:val="auto"/>
                <w:sz w:val="16"/>
                <w:szCs w:val="16"/>
                <w:lang w:eastAsia="en-AU"/>
              </w:rPr>
              <w:t>-</w:t>
            </w:r>
          </w:p>
        </w:tc>
        <w:tc>
          <w:tcPr>
            <w:tcW w:w="0" w:type="auto"/>
            <w:shd w:val="clear" w:color="000000" w:fill="FFFFFF"/>
            <w:noWrap/>
            <w:hideMark/>
          </w:tcPr>
          <w:p w14:paraId="386DBD55" w14:textId="68440D31"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65052C29" w14:textId="0CC522AB"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127C0946" w14:textId="16944AFE"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3B7C76E1" w14:textId="6EE4B90A"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30E97546" w14:textId="7370945F"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0744C89D" w14:textId="56ACEF38"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74D0DBC4" w14:textId="50E0D284"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0B8BD8E8" w14:textId="224E0DBD"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0F0CE293" w14:textId="1233CE4D"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7C5CCDE8" w14:textId="4A250145"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thinDiagCross" w:color="auto" w:fill="auto"/>
            <w:noWrap/>
            <w:hideMark/>
          </w:tcPr>
          <w:p w14:paraId="0F543971" w14:textId="1163198D" w:rsidR="005B4472" w:rsidRPr="0028461A" w:rsidRDefault="005B4472" w:rsidP="005B4472">
            <w:pPr>
              <w:spacing w:after="0" w:line="240" w:lineRule="auto"/>
              <w:jc w:val="center"/>
              <w:rPr>
                <w:rFonts w:ascii="Arial" w:eastAsia="Times New Roman" w:hAnsi="Arial" w:cs="Arial"/>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2D2C56C7" w14:textId="68D1239D"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1909E903" w14:textId="41F640FA"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2C3CCDF7" w14:textId="29C2E071"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33B64736" w14:textId="746D5C7B"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72D6AB38" w14:textId="7A14C1A8"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307383EC" w14:textId="51AA1A31"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5A98C2E2" w14:textId="6EBB51B3"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31794340" w14:textId="03CB8401"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1415BE5A" w14:textId="265DE17D"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FFFFFF"/>
            <w:noWrap/>
            <w:hideMark/>
          </w:tcPr>
          <w:p w14:paraId="21343CD8" w14:textId="26B8D725"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8161FD">
              <w:rPr>
                <w:rFonts w:ascii="Arial" w:eastAsia="Times New Roman" w:hAnsi="Arial" w:cs="Arial"/>
                <w:b/>
                <w:bCs/>
                <w:color w:val="auto"/>
                <w:sz w:val="16"/>
                <w:szCs w:val="16"/>
                <w:lang w:eastAsia="en-AU"/>
              </w:rPr>
              <w:t>-</w:t>
            </w:r>
          </w:p>
        </w:tc>
      </w:tr>
      <w:tr w:rsidR="005B4472" w:rsidRPr="004D6AEA" w14:paraId="49F05AD5" w14:textId="77777777" w:rsidTr="005E3060">
        <w:trPr>
          <w:trHeight w:val="240"/>
        </w:trPr>
        <w:tc>
          <w:tcPr>
            <w:tcW w:w="2580" w:type="dxa"/>
            <w:shd w:val="clear" w:color="000000" w:fill="D9D9D9"/>
            <w:noWrap/>
            <w:vAlign w:val="bottom"/>
            <w:hideMark/>
          </w:tcPr>
          <w:p w14:paraId="112061B1" w14:textId="77777777" w:rsidR="005B4472" w:rsidRPr="0028461A" w:rsidRDefault="005B4472" w:rsidP="005B4472">
            <w:pPr>
              <w:spacing w:after="0" w:line="240" w:lineRule="auto"/>
              <w:rPr>
                <w:rFonts w:ascii="Arial" w:eastAsia="Times New Roman" w:hAnsi="Arial" w:cs="Arial"/>
                <w:b/>
                <w:bCs/>
                <w:color w:val="auto"/>
                <w:sz w:val="16"/>
                <w:szCs w:val="16"/>
                <w:lang w:eastAsia="en-AU"/>
              </w:rPr>
            </w:pPr>
            <w:r w:rsidRPr="0028461A">
              <w:rPr>
                <w:rFonts w:ascii="Arial" w:eastAsia="Times New Roman" w:hAnsi="Arial" w:cs="Arial"/>
                <w:b/>
                <w:bCs/>
                <w:color w:val="auto"/>
                <w:sz w:val="16"/>
                <w:szCs w:val="16"/>
                <w:lang w:eastAsia="en-AU"/>
              </w:rPr>
              <w:t>DESIGN PLAN UPDATE</w:t>
            </w:r>
          </w:p>
        </w:tc>
        <w:tc>
          <w:tcPr>
            <w:tcW w:w="490" w:type="dxa"/>
            <w:shd w:val="clear" w:color="000000" w:fill="D9D9D9"/>
            <w:noWrap/>
            <w:hideMark/>
          </w:tcPr>
          <w:p w14:paraId="22508CA8" w14:textId="79815E83"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0912B3">
              <w:rPr>
                <w:rFonts w:ascii="Arial" w:eastAsia="Times New Roman" w:hAnsi="Arial" w:cs="Arial"/>
                <w:b/>
                <w:bCs/>
                <w:color w:val="auto"/>
                <w:sz w:val="16"/>
                <w:szCs w:val="16"/>
                <w:lang w:eastAsia="en-AU"/>
              </w:rPr>
              <w:t>-</w:t>
            </w:r>
          </w:p>
        </w:tc>
        <w:tc>
          <w:tcPr>
            <w:tcW w:w="0" w:type="auto"/>
            <w:shd w:val="clear" w:color="000000" w:fill="D9D9D9"/>
            <w:noWrap/>
            <w:hideMark/>
          </w:tcPr>
          <w:p w14:paraId="0730DC35" w14:textId="0A9E86C0"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D72AD9">
              <w:rPr>
                <w:rFonts w:ascii="Arial" w:eastAsia="Times New Roman" w:hAnsi="Arial" w:cs="Arial"/>
                <w:b/>
                <w:bCs/>
                <w:color w:val="auto"/>
                <w:sz w:val="16"/>
                <w:szCs w:val="16"/>
                <w:lang w:eastAsia="en-AU"/>
              </w:rPr>
              <w:t>-</w:t>
            </w:r>
          </w:p>
        </w:tc>
        <w:tc>
          <w:tcPr>
            <w:tcW w:w="0" w:type="auto"/>
            <w:shd w:val="clear" w:color="000000" w:fill="D9D9D9"/>
            <w:noWrap/>
            <w:hideMark/>
          </w:tcPr>
          <w:p w14:paraId="787C8231" w14:textId="71D4496C" w:rsidR="005B4472" w:rsidRPr="005B4472" w:rsidRDefault="005B4472" w:rsidP="005B4472">
            <w:pPr>
              <w:spacing w:after="0" w:line="240" w:lineRule="auto"/>
              <w:jc w:val="center"/>
              <w:rPr>
                <w:rFonts w:eastAsia="Times New Roman" w:cstheme="minorHAnsi"/>
                <w:b/>
                <w:bCs/>
                <w:color w:val="auto"/>
                <w:sz w:val="16"/>
                <w:szCs w:val="16"/>
                <w:lang w:eastAsia="en-AU"/>
              </w:rPr>
            </w:pPr>
            <w:r w:rsidRPr="005A7A64">
              <w:rPr>
                <w:rFonts w:ascii="Arial" w:eastAsia="Times New Roman" w:hAnsi="Arial" w:cs="Arial"/>
                <w:b/>
                <w:bCs/>
                <w:color w:val="auto"/>
                <w:sz w:val="16"/>
                <w:szCs w:val="16"/>
                <w:lang w:eastAsia="en-AU"/>
              </w:rPr>
              <w:t>-</w:t>
            </w:r>
          </w:p>
        </w:tc>
        <w:tc>
          <w:tcPr>
            <w:tcW w:w="0" w:type="auto"/>
            <w:shd w:val="clear" w:color="000000" w:fill="D9D9D9"/>
            <w:noWrap/>
            <w:hideMark/>
          </w:tcPr>
          <w:p w14:paraId="5B9B80B1" w14:textId="02DD0EC1" w:rsidR="005B4472" w:rsidRPr="005B4472" w:rsidRDefault="005B4472" w:rsidP="005B4472">
            <w:pPr>
              <w:spacing w:after="0" w:line="240" w:lineRule="auto"/>
              <w:jc w:val="center"/>
              <w:rPr>
                <w:rFonts w:eastAsia="Times New Roman" w:cstheme="minorHAnsi"/>
                <w:b/>
                <w:bCs/>
                <w:color w:val="auto"/>
                <w:sz w:val="16"/>
                <w:szCs w:val="16"/>
                <w:lang w:eastAsia="en-AU"/>
              </w:rPr>
            </w:pPr>
            <w:r w:rsidRPr="005A7A64">
              <w:rPr>
                <w:rFonts w:ascii="Arial" w:eastAsia="Times New Roman" w:hAnsi="Arial" w:cs="Arial"/>
                <w:b/>
                <w:bCs/>
                <w:color w:val="auto"/>
                <w:sz w:val="16"/>
                <w:szCs w:val="16"/>
                <w:lang w:eastAsia="en-AU"/>
              </w:rPr>
              <w:t>-</w:t>
            </w:r>
          </w:p>
        </w:tc>
        <w:tc>
          <w:tcPr>
            <w:tcW w:w="0" w:type="auto"/>
            <w:shd w:val="clear" w:color="000000" w:fill="D9D9D9"/>
            <w:noWrap/>
            <w:hideMark/>
          </w:tcPr>
          <w:p w14:paraId="77A4FFE8" w14:textId="3B5F9400" w:rsidR="005B4472" w:rsidRPr="005B4472" w:rsidRDefault="005B4472" w:rsidP="005B4472">
            <w:pPr>
              <w:spacing w:after="0" w:line="240" w:lineRule="auto"/>
              <w:jc w:val="center"/>
              <w:rPr>
                <w:rFonts w:ascii="Arial" w:eastAsia="Times New Roman" w:hAnsi="Arial" w:cs="Arial"/>
                <w:b/>
                <w:bCs/>
                <w:color w:val="auto"/>
                <w:sz w:val="16"/>
                <w:szCs w:val="16"/>
                <w:lang w:eastAsia="en-AU"/>
              </w:rPr>
            </w:pPr>
            <w:r w:rsidRPr="00D80A9A">
              <w:rPr>
                <w:rFonts w:ascii="Arial" w:eastAsia="Times New Roman" w:hAnsi="Arial" w:cs="Arial"/>
                <w:b/>
                <w:bCs/>
                <w:color w:val="auto"/>
                <w:sz w:val="16"/>
                <w:szCs w:val="16"/>
                <w:lang w:eastAsia="en-AU"/>
              </w:rPr>
              <w:t>-</w:t>
            </w:r>
          </w:p>
        </w:tc>
        <w:tc>
          <w:tcPr>
            <w:tcW w:w="0" w:type="auto"/>
            <w:shd w:val="clear" w:color="000000" w:fill="D9D9D9"/>
            <w:noWrap/>
            <w:hideMark/>
          </w:tcPr>
          <w:p w14:paraId="0FFA5FEB" w14:textId="53314708" w:rsidR="005B4472" w:rsidRPr="005B4472" w:rsidRDefault="005B4472" w:rsidP="005B4472">
            <w:pPr>
              <w:spacing w:after="0" w:line="240" w:lineRule="auto"/>
              <w:jc w:val="center"/>
              <w:rPr>
                <w:rFonts w:ascii="Arial" w:eastAsia="Times New Roman" w:hAnsi="Arial" w:cs="Arial"/>
                <w:b/>
                <w:bCs/>
                <w:color w:val="auto"/>
                <w:sz w:val="16"/>
                <w:szCs w:val="16"/>
                <w:lang w:eastAsia="en-AU"/>
              </w:rPr>
            </w:pPr>
            <w:r w:rsidRPr="009A7CA0">
              <w:rPr>
                <w:rFonts w:ascii="Arial" w:eastAsia="Times New Roman" w:hAnsi="Arial" w:cs="Arial"/>
                <w:b/>
                <w:bCs/>
                <w:color w:val="auto"/>
                <w:sz w:val="16"/>
                <w:szCs w:val="16"/>
                <w:lang w:eastAsia="en-AU"/>
              </w:rPr>
              <w:t>-</w:t>
            </w:r>
          </w:p>
        </w:tc>
        <w:tc>
          <w:tcPr>
            <w:tcW w:w="0" w:type="auto"/>
            <w:shd w:val="clear" w:color="000000" w:fill="D9D9D9"/>
            <w:noWrap/>
            <w:hideMark/>
          </w:tcPr>
          <w:p w14:paraId="133E7EEF" w14:textId="21C47916"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9A7CA0">
              <w:rPr>
                <w:rFonts w:ascii="Arial" w:eastAsia="Times New Roman" w:hAnsi="Arial" w:cs="Arial"/>
                <w:b/>
                <w:bCs/>
                <w:color w:val="auto"/>
                <w:sz w:val="16"/>
                <w:szCs w:val="16"/>
                <w:lang w:eastAsia="en-AU"/>
              </w:rPr>
              <w:t>-</w:t>
            </w:r>
          </w:p>
        </w:tc>
        <w:tc>
          <w:tcPr>
            <w:tcW w:w="0" w:type="auto"/>
            <w:shd w:val="clear" w:color="000000" w:fill="D9D9D9"/>
            <w:noWrap/>
            <w:hideMark/>
          </w:tcPr>
          <w:p w14:paraId="5F985204" w14:textId="7E5FF036"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9C2860">
              <w:rPr>
                <w:rFonts w:ascii="Arial" w:eastAsia="Times New Roman" w:hAnsi="Arial" w:cs="Arial"/>
                <w:b/>
                <w:bCs/>
                <w:color w:val="auto"/>
                <w:sz w:val="16"/>
                <w:szCs w:val="16"/>
                <w:lang w:eastAsia="en-AU"/>
              </w:rPr>
              <w:t>-</w:t>
            </w:r>
          </w:p>
        </w:tc>
        <w:tc>
          <w:tcPr>
            <w:tcW w:w="0" w:type="auto"/>
            <w:shd w:val="clear" w:color="000000" w:fill="D9D9D9"/>
            <w:noWrap/>
            <w:hideMark/>
          </w:tcPr>
          <w:p w14:paraId="718F5052" w14:textId="4831E6C1"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9C2860">
              <w:rPr>
                <w:rFonts w:ascii="Arial" w:eastAsia="Times New Roman" w:hAnsi="Arial" w:cs="Arial"/>
                <w:b/>
                <w:bCs/>
                <w:color w:val="auto"/>
                <w:sz w:val="16"/>
                <w:szCs w:val="16"/>
                <w:lang w:eastAsia="en-AU"/>
              </w:rPr>
              <w:t>-</w:t>
            </w:r>
          </w:p>
        </w:tc>
        <w:tc>
          <w:tcPr>
            <w:tcW w:w="0" w:type="auto"/>
            <w:shd w:val="clear" w:color="000000" w:fill="D9D9D9"/>
            <w:noWrap/>
            <w:hideMark/>
          </w:tcPr>
          <w:p w14:paraId="22095712" w14:textId="15BB0D7C"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5B5E1BFD" w14:textId="01CFABE1"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44649991" w14:textId="520DB170"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626435A7" w14:textId="579BAF5D"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396B29AD" w14:textId="40F8F6D3"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5F2A9BCD" w14:textId="436229C2"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00A7EC08" w14:textId="5BF8E8A5"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4516993E" w14:textId="2771CD26"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0F01AB0E" w14:textId="687E1F23"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4E0BFA9F" w14:textId="08AEA2F7"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thinDiagCross" w:color="auto" w:fill="auto"/>
            <w:noWrap/>
            <w:hideMark/>
          </w:tcPr>
          <w:p w14:paraId="3C9A8AFE" w14:textId="21D7F038" w:rsidR="005B4472" w:rsidRPr="0028461A" w:rsidRDefault="005B4472" w:rsidP="005B4472">
            <w:pPr>
              <w:spacing w:after="0" w:line="240" w:lineRule="auto"/>
              <w:jc w:val="center"/>
              <w:rPr>
                <w:rFonts w:ascii="Arial" w:eastAsia="Times New Roman" w:hAnsi="Arial" w:cs="Arial"/>
                <w:b/>
                <w:bCs/>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0FD2F4F6" w14:textId="3A503E9D"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2B0C4E2C" w14:textId="1F27990E"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121FA86E" w14:textId="34290CCB"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638D5183" w14:textId="2281E0BC"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3F7CE85B" w14:textId="09563449"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35EAB5C3" w14:textId="05BBA36B"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084BD75B" w14:textId="233A22DC"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6091658B" w14:textId="3193D7A8"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44F17B22" w14:textId="7AA033D3"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c>
          <w:tcPr>
            <w:tcW w:w="0" w:type="auto"/>
            <w:shd w:val="clear" w:color="000000" w:fill="D9D9D9"/>
            <w:noWrap/>
            <w:hideMark/>
          </w:tcPr>
          <w:p w14:paraId="7F0DA7EE" w14:textId="1C227079"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8161FD">
              <w:rPr>
                <w:rFonts w:ascii="Arial" w:eastAsia="Times New Roman" w:hAnsi="Arial" w:cs="Arial"/>
                <w:b/>
                <w:bCs/>
                <w:color w:val="auto"/>
                <w:sz w:val="16"/>
                <w:szCs w:val="16"/>
                <w:lang w:eastAsia="en-AU"/>
              </w:rPr>
              <w:t>-</w:t>
            </w:r>
          </w:p>
        </w:tc>
      </w:tr>
      <w:tr w:rsidR="005B4472" w:rsidRPr="004D6AEA" w14:paraId="50E710ED" w14:textId="77777777" w:rsidTr="007506F4">
        <w:trPr>
          <w:trHeight w:val="285"/>
        </w:trPr>
        <w:tc>
          <w:tcPr>
            <w:tcW w:w="2580" w:type="dxa"/>
            <w:shd w:val="clear" w:color="000000" w:fill="FFFFFF"/>
            <w:noWrap/>
            <w:vAlign w:val="bottom"/>
            <w:hideMark/>
          </w:tcPr>
          <w:p w14:paraId="24D98382" w14:textId="77777777" w:rsidR="005B4472" w:rsidRPr="0028461A" w:rsidRDefault="005B4472" w:rsidP="005B4472">
            <w:pPr>
              <w:spacing w:after="0" w:line="240" w:lineRule="auto"/>
              <w:rPr>
                <w:rFonts w:ascii="Arial" w:eastAsia="Times New Roman" w:hAnsi="Arial" w:cs="Arial"/>
                <w:color w:val="auto"/>
                <w:sz w:val="16"/>
                <w:szCs w:val="16"/>
                <w:lang w:eastAsia="en-AU"/>
              </w:rPr>
            </w:pPr>
            <w:r w:rsidRPr="0028461A">
              <w:rPr>
                <w:rFonts w:ascii="Arial" w:eastAsia="Times New Roman" w:hAnsi="Arial" w:cs="Arial"/>
                <w:color w:val="auto"/>
                <w:sz w:val="16"/>
                <w:szCs w:val="16"/>
                <w:lang w:eastAsia="en-AU"/>
              </w:rPr>
              <w:t>Revise design plan (including consultation list) and resubmit</w:t>
            </w:r>
          </w:p>
        </w:tc>
        <w:tc>
          <w:tcPr>
            <w:tcW w:w="490" w:type="dxa"/>
            <w:shd w:val="clear" w:color="000000" w:fill="FFFFFF"/>
            <w:noWrap/>
            <w:hideMark/>
          </w:tcPr>
          <w:p w14:paraId="4796DBCE" w14:textId="7313CAB6"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0912B3">
              <w:rPr>
                <w:rFonts w:ascii="Arial" w:eastAsia="Times New Roman" w:hAnsi="Arial" w:cs="Arial"/>
                <w:b/>
                <w:bCs/>
                <w:color w:val="auto"/>
                <w:sz w:val="16"/>
                <w:szCs w:val="16"/>
                <w:lang w:eastAsia="en-AU"/>
              </w:rPr>
              <w:t>-</w:t>
            </w:r>
          </w:p>
        </w:tc>
        <w:tc>
          <w:tcPr>
            <w:tcW w:w="0" w:type="auto"/>
            <w:shd w:val="clear" w:color="000000" w:fill="FFFFFF"/>
            <w:noWrap/>
            <w:hideMark/>
          </w:tcPr>
          <w:p w14:paraId="017B55EA" w14:textId="7EA438E8"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D72AD9">
              <w:rPr>
                <w:rFonts w:ascii="Arial" w:eastAsia="Times New Roman" w:hAnsi="Arial" w:cs="Arial"/>
                <w:b/>
                <w:bCs/>
                <w:color w:val="auto"/>
                <w:sz w:val="16"/>
                <w:szCs w:val="16"/>
                <w:lang w:eastAsia="en-AU"/>
              </w:rPr>
              <w:t>-</w:t>
            </w:r>
          </w:p>
        </w:tc>
        <w:tc>
          <w:tcPr>
            <w:tcW w:w="0" w:type="auto"/>
            <w:shd w:val="pct12" w:color="000000" w:fill="FFFFFF"/>
            <w:noWrap/>
            <w:hideMark/>
          </w:tcPr>
          <w:p w14:paraId="739BB0F2" w14:textId="7811ABE4" w:rsidR="005B4472" w:rsidRPr="005B4472" w:rsidRDefault="005B4472" w:rsidP="005B4472">
            <w:pPr>
              <w:spacing w:after="0" w:line="240" w:lineRule="auto"/>
              <w:jc w:val="center"/>
              <w:rPr>
                <w:rFonts w:eastAsia="Times New Roman" w:cstheme="minorHAnsi"/>
                <w:color w:val="auto"/>
                <w:sz w:val="16"/>
                <w:szCs w:val="16"/>
                <w:lang w:eastAsia="en-AU"/>
              </w:rPr>
            </w:pPr>
            <w:r w:rsidRPr="005A7A64">
              <w:rPr>
                <w:rFonts w:ascii="Arial" w:eastAsia="Times New Roman" w:hAnsi="Arial" w:cs="Arial"/>
                <w:b/>
                <w:bCs/>
                <w:color w:val="auto"/>
                <w:sz w:val="16"/>
                <w:szCs w:val="16"/>
                <w:lang w:eastAsia="en-AU"/>
              </w:rPr>
              <w:t>-</w:t>
            </w:r>
          </w:p>
        </w:tc>
        <w:tc>
          <w:tcPr>
            <w:tcW w:w="0" w:type="auto"/>
            <w:shd w:val="pct12" w:color="000000" w:fill="FFFFFF"/>
            <w:noWrap/>
            <w:hideMark/>
          </w:tcPr>
          <w:p w14:paraId="36E023EF" w14:textId="758BA853" w:rsidR="005B4472" w:rsidRPr="005B4472" w:rsidRDefault="005B4472" w:rsidP="005B4472">
            <w:pPr>
              <w:spacing w:after="0" w:line="240" w:lineRule="auto"/>
              <w:jc w:val="center"/>
              <w:rPr>
                <w:rFonts w:eastAsia="Times New Roman" w:cstheme="minorHAnsi"/>
                <w:color w:val="auto"/>
                <w:sz w:val="16"/>
                <w:szCs w:val="16"/>
                <w:lang w:eastAsia="en-AU"/>
              </w:rPr>
            </w:pPr>
            <w:r w:rsidRPr="005A7A64">
              <w:rPr>
                <w:rFonts w:ascii="Arial" w:eastAsia="Times New Roman" w:hAnsi="Arial" w:cs="Arial"/>
                <w:b/>
                <w:bCs/>
                <w:color w:val="auto"/>
                <w:sz w:val="16"/>
                <w:szCs w:val="16"/>
                <w:lang w:eastAsia="en-AU"/>
              </w:rPr>
              <w:t>-</w:t>
            </w:r>
          </w:p>
        </w:tc>
        <w:tc>
          <w:tcPr>
            <w:tcW w:w="0" w:type="auto"/>
            <w:shd w:val="clear" w:color="000000" w:fill="FFFFFF"/>
            <w:noWrap/>
            <w:hideMark/>
          </w:tcPr>
          <w:p w14:paraId="4FCF5C1E" w14:textId="5CBD985E" w:rsidR="005B4472" w:rsidRPr="005B4472" w:rsidRDefault="005B4472" w:rsidP="005B4472">
            <w:pPr>
              <w:spacing w:after="0" w:line="240" w:lineRule="auto"/>
              <w:jc w:val="center"/>
              <w:rPr>
                <w:rFonts w:ascii="Arial" w:eastAsia="Times New Roman" w:hAnsi="Arial" w:cs="Arial"/>
                <w:b/>
                <w:bCs/>
                <w:color w:val="auto"/>
                <w:sz w:val="16"/>
                <w:szCs w:val="16"/>
                <w:lang w:eastAsia="en-AU"/>
              </w:rPr>
            </w:pPr>
            <w:r w:rsidRPr="00D80A9A">
              <w:rPr>
                <w:rFonts w:ascii="Arial" w:eastAsia="Times New Roman" w:hAnsi="Arial" w:cs="Arial"/>
                <w:b/>
                <w:bCs/>
                <w:color w:val="auto"/>
                <w:sz w:val="16"/>
                <w:szCs w:val="16"/>
                <w:lang w:eastAsia="en-AU"/>
              </w:rPr>
              <w:t>-</w:t>
            </w:r>
          </w:p>
        </w:tc>
        <w:tc>
          <w:tcPr>
            <w:tcW w:w="0" w:type="auto"/>
            <w:shd w:val="clear" w:color="000000" w:fill="FFFFFF"/>
            <w:noWrap/>
            <w:hideMark/>
          </w:tcPr>
          <w:p w14:paraId="610DD200" w14:textId="247ED20D" w:rsidR="005B4472" w:rsidRPr="005B4472" w:rsidRDefault="005B4472" w:rsidP="005B4472">
            <w:pPr>
              <w:spacing w:after="0" w:line="240" w:lineRule="auto"/>
              <w:jc w:val="center"/>
              <w:rPr>
                <w:rFonts w:ascii="Arial" w:eastAsia="Times New Roman" w:hAnsi="Arial" w:cs="Arial"/>
                <w:b/>
                <w:bCs/>
                <w:color w:val="auto"/>
                <w:sz w:val="16"/>
                <w:szCs w:val="16"/>
                <w:lang w:eastAsia="en-AU"/>
              </w:rPr>
            </w:pPr>
            <w:r w:rsidRPr="009A7CA0">
              <w:rPr>
                <w:rFonts w:ascii="Arial" w:eastAsia="Times New Roman" w:hAnsi="Arial" w:cs="Arial"/>
                <w:b/>
                <w:bCs/>
                <w:color w:val="auto"/>
                <w:sz w:val="16"/>
                <w:szCs w:val="16"/>
                <w:lang w:eastAsia="en-AU"/>
              </w:rPr>
              <w:t>-</w:t>
            </w:r>
          </w:p>
        </w:tc>
        <w:tc>
          <w:tcPr>
            <w:tcW w:w="0" w:type="auto"/>
            <w:shd w:val="clear" w:color="000000" w:fill="FFFFFF"/>
            <w:noWrap/>
            <w:hideMark/>
          </w:tcPr>
          <w:p w14:paraId="6A3E2170" w14:textId="0965FCB7"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9A7CA0">
              <w:rPr>
                <w:rFonts w:ascii="Arial" w:eastAsia="Times New Roman" w:hAnsi="Arial" w:cs="Arial"/>
                <w:b/>
                <w:bCs/>
                <w:color w:val="auto"/>
                <w:sz w:val="16"/>
                <w:szCs w:val="16"/>
                <w:lang w:eastAsia="en-AU"/>
              </w:rPr>
              <w:t>-</w:t>
            </w:r>
          </w:p>
        </w:tc>
        <w:tc>
          <w:tcPr>
            <w:tcW w:w="0" w:type="auto"/>
            <w:shd w:val="clear" w:color="000000" w:fill="FFFFFF"/>
            <w:noWrap/>
            <w:hideMark/>
          </w:tcPr>
          <w:p w14:paraId="6C95C4EA" w14:textId="418F395C"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9C2860">
              <w:rPr>
                <w:rFonts w:ascii="Arial" w:eastAsia="Times New Roman" w:hAnsi="Arial" w:cs="Arial"/>
                <w:b/>
                <w:bCs/>
                <w:color w:val="auto"/>
                <w:sz w:val="16"/>
                <w:szCs w:val="16"/>
                <w:lang w:eastAsia="en-AU"/>
              </w:rPr>
              <w:t>-</w:t>
            </w:r>
          </w:p>
        </w:tc>
        <w:tc>
          <w:tcPr>
            <w:tcW w:w="0" w:type="auto"/>
            <w:shd w:val="clear" w:color="auto" w:fill="auto"/>
            <w:noWrap/>
            <w:hideMark/>
          </w:tcPr>
          <w:p w14:paraId="48B02F2E" w14:textId="3D6E5048"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9C2860">
              <w:rPr>
                <w:rFonts w:ascii="Arial" w:eastAsia="Times New Roman" w:hAnsi="Arial" w:cs="Arial"/>
                <w:b/>
                <w:bCs/>
                <w:color w:val="auto"/>
                <w:sz w:val="16"/>
                <w:szCs w:val="16"/>
                <w:lang w:eastAsia="en-AU"/>
              </w:rPr>
              <w:t>-</w:t>
            </w:r>
          </w:p>
        </w:tc>
        <w:tc>
          <w:tcPr>
            <w:tcW w:w="0" w:type="auto"/>
            <w:shd w:val="clear" w:color="auto" w:fill="auto"/>
            <w:noWrap/>
            <w:hideMark/>
          </w:tcPr>
          <w:p w14:paraId="2A0EE063" w14:textId="6A499E36"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B40D52">
              <w:rPr>
                <w:rFonts w:ascii="Arial" w:eastAsia="Times New Roman" w:hAnsi="Arial" w:cs="Arial"/>
                <w:b/>
                <w:bCs/>
                <w:color w:val="auto"/>
                <w:sz w:val="16"/>
                <w:szCs w:val="16"/>
                <w:lang w:eastAsia="en-AU"/>
              </w:rPr>
              <w:t>-</w:t>
            </w:r>
          </w:p>
        </w:tc>
        <w:tc>
          <w:tcPr>
            <w:tcW w:w="0" w:type="auto"/>
            <w:shd w:val="clear" w:color="000000" w:fill="808080"/>
            <w:noWrap/>
            <w:hideMark/>
          </w:tcPr>
          <w:p w14:paraId="17C3064A" w14:textId="64807605"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B40D52">
              <w:rPr>
                <w:rFonts w:ascii="Arial" w:eastAsia="Times New Roman" w:hAnsi="Arial" w:cs="Arial"/>
                <w:b/>
                <w:bCs/>
                <w:color w:val="auto"/>
                <w:sz w:val="16"/>
                <w:szCs w:val="16"/>
                <w:lang w:eastAsia="en-AU"/>
              </w:rPr>
              <w:t>-</w:t>
            </w:r>
          </w:p>
        </w:tc>
        <w:tc>
          <w:tcPr>
            <w:tcW w:w="0" w:type="auto"/>
            <w:shd w:val="clear" w:color="000000" w:fill="808080"/>
            <w:noWrap/>
            <w:vAlign w:val="center"/>
            <w:hideMark/>
          </w:tcPr>
          <w:p w14:paraId="2FD513EF" w14:textId="77777777"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28461A">
              <w:rPr>
                <w:rFonts w:ascii="Arial" w:eastAsia="Times New Roman" w:hAnsi="Arial" w:cs="Arial"/>
                <w:color w:val="auto"/>
                <w:sz w:val="16"/>
                <w:szCs w:val="16"/>
                <w:lang w:eastAsia="en-AU"/>
              </w:rPr>
              <w:t>25</w:t>
            </w:r>
          </w:p>
        </w:tc>
        <w:tc>
          <w:tcPr>
            <w:tcW w:w="0" w:type="auto"/>
            <w:shd w:val="clear" w:color="000000" w:fill="FFFFFF"/>
            <w:noWrap/>
            <w:hideMark/>
          </w:tcPr>
          <w:p w14:paraId="1C6A8381" w14:textId="6BB84D08"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5C6679">
              <w:rPr>
                <w:rFonts w:ascii="Arial" w:eastAsia="Times New Roman" w:hAnsi="Arial" w:cs="Arial"/>
                <w:b/>
                <w:bCs/>
                <w:color w:val="auto"/>
                <w:sz w:val="16"/>
                <w:szCs w:val="16"/>
                <w:lang w:eastAsia="en-AU"/>
              </w:rPr>
              <w:t>-</w:t>
            </w:r>
          </w:p>
        </w:tc>
        <w:tc>
          <w:tcPr>
            <w:tcW w:w="0" w:type="auto"/>
            <w:shd w:val="clear" w:color="000000" w:fill="FFFFFF"/>
            <w:noWrap/>
            <w:hideMark/>
          </w:tcPr>
          <w:p w14:paraId="3D43B0DF" w14:textId="1870200C"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5C6679">
              <w:rPr>
                <w:rFonts w:ascii="Arial" w:eastAsia="Times New Roman" w:hAnsi="Arial" w:cs="Arial"/>
                <w:b/>
                <w:bCs/>
                <w:color w:val="auto"/>
                <w:sz w:val="16"/>
                <w:szCs w:val="16"/>
                <w:lang w:eastAsia="en-AU"/>
              </w:rPr>
              <w:t>-</w:t>
            </w:r>
          </w:p>
        </w:tc>
        <w:tc>
          <w:tcPr>
            <w:tcW w:w="0" w:type="auto"/>
            <w:shd w:val="clear" w:color="000000" w:fill="FFFFFF"/>
            <w:noWrap/>
            <w:hideMark/>
          </w:tcPr>
          <w:p w14:paraId="68E54003" w14:textId="208A34D1"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5C6679">
              <w:rPr>
                <w:rFonts w:ascii="Arial" w:eastAsia="Times New Roman" w:hAnsi="Arial" w:cs="Arial"/>
                <w:b/>
                <w:bCs/>
                <w:color w:val="auto"/>
                <w:sz w:val="16"/>
                <w:szCs w:val="16"/>
                <w:lang w:eastAsia="en-AU"/>
              </w:rPr>
              <w:t>-</w:t>
            </w:r>
          </w:p>
        </w:tc>
        <w:tc>
          <w:tcPr>
            <w:tcW w:w="0" w:type="auto"/>
            <w:shd w:val="clear" w:color="000000" w:fill="FFFFFF"/>
            <w:noWrap/>
            <w:hideMark/>
          </w:tcPr>
          <w:p w14:paraId="3DD5AD99" w14:textId="71190233"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5C6679">
              <w:rPr>
                <w:rFonts w:ascii="Arial" w:eastAsia="Times New Roman" w:hAnsi="Arial" w:cs="Arial"/>
                <w:b/>
                <w:bCs/>
                <w:color w:val="auto"/>
                <w:sz w:val="16"/>
                <w:szCs w:val="16"/>
                <w:lang w:eastAsia="en-AU"/>
              </w:rPr>
              <w:t>-</w:t>
            </w:r>
          </w:p>
        </w:tc>
        <w:tc>
          <w:tcPr>
            <w:tcW w:w="0" w:type="auto"/>
            <w:shd w:val="clear" w:color="000000" w:fill="FFFFFF"/>
            <w:noWrap/>
            <w:hideMark/>
          </w:tcPr>
          <w:p w14:paraId="49719FBF" w14:textId="67765B48"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5C6679">
              <w:rPr>
                <w:rFonts w:ascii="Arial" w:eastAsia="Times New Roman" w:hAnsi="Arial" w:cs="Arial"/>
                <w:b/>
                <w:bCs/>
                <w:color w:val="auto"/>
                <w:sz w:val="16"/>
                <w:szCs w:val="16"/>
                <w:lang w:eastAsia="en-AU"/>
              </w:rPr>
              <w:t>-</w:t>
            </w:r>
          </w:p>
        </w:tc>
        <w:tc>
          <w:tcPr>
            <w:tcW w:w="0" w:type="auto"/>
            <w:shd w:val="clear" w:color="000000" w:fill="FFFFFF"/>
            <w:noWrap/>
            <w:hideMark/>
          </w:tcPr>
          <w:p w14:paraId="270A4212" w14:textId="4298C3A1"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5C6679">
              <w:rPr>
                <w:rFonts w:ascii="Arial" w:eastAsia="Times New Roman" w:hAnsi="Arial" w:cs="Arial"/>
                <w:b/>
                <w:bCs/>
                <w:color w:val="auto"/>
                <w:sz w:val="16"/>
                <w:szCs w:val="16"/>
                <w:lang w:eastAsia="en-AU"/>
              </w:rPr>
              <w:t>-</w:t>
            </w:r>
          </w:p>
        </w:tc>
        <w:tc>
          <w:tcPr>
            <w:tcW w:w="0" w:type="auto"/>
            <w:shd w:val="clear" w:color="000000" w:fill="FFFFFF"/>
            <w:noWrap/>
            <w:hideMark/>
          </w:tcPr>
          <w:p w14:paraId="4F9584A7" w14:textId="7995D598"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5C6679">
              <w:rPr>
                <w:rFonts w:ascii="Arial" w:eastAsia="Times New Roman" w:hAnsi="Arial" w:cs="Arial"/>
                <w:b/>
                <w:bCs/>
                <w:color w:val="auto"/>
                <w:sz w:val="16"/>
                <w:szCs w:val="16"/>
                <w:lang w:eastAsia="en-AU"/>
              </w:rPr>
              <w:t>-</w:t>
            </w:r>
          </w:p>
        </w:tc>
        <w:tc>
          <w:tcPr>
            <w:tcW w:w="0" w:type="auto"/>
            <w:shd w:val="thinDiagCross" w:color="auto" w:fill="auto"/>
            <w:noWrap/>
            <w:hideMark/>
          </w:tcPr>
          <w:p w14:paraId="360EEBE3" w14:textId="04302DD2" w:rsidR="005B4472" w:rsidRPr="0028461A" w:rsidRDefault="005B4472" w:rsidP="005B4472">
            <w:pPr>
              <w:spacing w:after="0" w:line="240" w:lineRule="auto"/>
              <w:jc w:val="center"/>
              <w:rPr>
                <w:rFonts w:ascii="Arial" w:eastAsia="Times New Roman" w:hAnsi="Arial" w:cs="Arial"/>
                <w:sz w:val="16"/>
                <w:szCs w:val="16"/>
                <w:lang w:eastAsia="en-AU"/>
              </w:rPr>
            </w:pPr>
            <w:r w:rsidRPr="005C6679">
              <w:rPr>
                <w:rFonts w:ascii="Arial" w:eastAsia="Times New Roman" w:hAnsi="Arial" w:cs="Arial"/>
                <w:b/>
                <w:bCs/>
                <w:color w:val="auto"/>
                <w:sz w:val="16"/>
                <w:szCs w:val="16"/>
                <w:lang w:eastAsia="en-AU"/>
              </w:rPr>
              <w:t>-</w:t>
            </w:r>
          </w:p>
        </w:tc>
        <w:tc>
          <w:tcPr>
            <w:tcW w:w="0" w:type="auto"/>
            <w:shd w:val="clear" w:color="000000" w:fill="FFFFFF"/>
            <w:noWrap/>
            <w:hideMark/>
          </w:tcPr>
          <w:p w14:paraId="757C288C" w14:textId="475A7FAB"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5C6679">
              <w:rPr>
                <w:rFonts w:ascii="Arial" w:eastAsia="Times New Roman" w:hAnsi="Arial" w:cs="Arial"/>
                <w:b/>
                <w:bCs/>
                <w:color w:val="auto"/>
                <w:sz w:val="16"/>
                <w:szCs w:val="16"/>
                <w:lang w:eastAsia="en-AU"/>
              </w:rPr>
              <w:t>-</w:t>
            </w:r>
          </w:p>
        </w:tc>
        <w:tc>
          <w:tcPr>
            <w:tcW w:w="0" w:type="auto"/>
            <w:shd w:val="clear" w:color="000000" w:fill="FFFFFF"/>
            <w:noWrap/>
            <w:hideMark/>
          </w:tcPr>
          <w:p w14:paraId="372C6ED5" w14:textId="75E0ADAB"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5C6679">
              <w:rPr>
                <w:rFonts w:ascii="Arial" w:eastAsia="Times New Roman" w:hAnsi="Arial" w:cs="Arial"/>
                <w:b/>
                <w:bCs/>
                <w:color w:val="auto"/>
                <w:sz w:val="16"/>
                <w:szCs w:val="16"/>
                <w:lang w:eastAsia="en-AU"/>
              </w:rPr>
              <w:t>-</w:t>
            </w:r>
          </w:p>
        </w:tc>
        <w:tc>
          <w:tcPr>
            <w:tcW w:w="0" w:type="auto"/>
            <w:shd w:val="clear" w:color="000000" w:fill="FFFFFF"/>
            <w:noWrap/>
            <w:hideMark/>
          </w:tcPr>
          <w:p w14:paraId="3EA4B17A" w14:textId="47735E33"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5C6679">
              <w:rPr>
                <w:rFonts w:ascii="Arial" w:eastAsia="Times New Roman" w:hAnsi="Arial" w:cs="Arial"/>
                <w:b/>
                <w:bCs/>
                <w:color w:val="auto"/>
                <w:sz w:val="16"/>
                <w:szCs w:val="16"/>
                <w:lang w:eastAsia="en-AU"/>
              </w:rPr>
              <w:t>-</w:t>
            </w:r>
          </w:p>
        </w:tc>
        <w:tc>
          <w:tcPr>
            <w:tcW w:w="0" w:type="auto"/>
            <w:shd w:val="clear" w:color="000000" w:fill="FFFFFF"/>
            <w:noWrap/>
            <w:hideMark/>
          </w:tcPr>
          <w:p w14:paraId="4F3975D4" w14:textId="2FF1A5B7"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5C6679">
              <w:rPr>
                <w:rFonts w:ascii="Arial" w:eastAsia="Times New Roman" w:hAnsi="Arial" w:cs="Arial"/>
                <w:b/>
                <w:bCs/>
                <w:color w:val="auto"/>
                <w:sz w:val="16"/>
                <w:szCs w:val="16"/>
                <w:lang w:eastAsia="en-AU"/>
              </w:rPr>
              <w:t>-</w:t>
            </w:r>
          </w:p>
        </w:tc>
        <w:tc>
          <w:tcPr>
            <w:tcW w:w="0" w:type="auto"/>
            <w:shd w:val="clear" w:color="000000" w:fill="FFFFFF"/>
            <w:noWrap/>
            <w:hideMark/>
          </w:tcPr>
          <w:p w14:paraId="6A6A1E0E" w14:textId="646F397E"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5C6679">
              <w:rPr>
                <w:rFonts w:ascii="Arial" w:eastAsia="Times New Roman" w:hAnsi="Arial" w:cs="Arial"/>
                <w:b/>
                <w:bCs/>
                <w:color w:val="auto"/>
                <w:sz w:val="16"/>
                <w:szCs w:val="16"/>
                <w:lang w:eastAsia="en-AU"/>
              </w:rPr>
              <w:t>-</w:t>
            </w:r>
          </w:p>
        </w:tc>
        <w:tc>
          <w:tcPr>
            <w:tcW w:w="0" w:type="auto"/>
            <w:shd w:val="clear" w:color="000000" w:fill="FFFFFF"/>
            <w:noWrap/>
            <w:hideMark/>
          </w:tcPr>
          <w:p w14:paraId="040FE957" w14:textId="19FD72B7"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5C6679">
              <w:rPr>
                <w:rFonts w:ascii="Arial" w:eastAsia="Times New Roman" w:hAnsi="Arial" w:cs="Arial"/>
                <w:b/>
                <w:bCs/>
                <w:color w:val="auto"/>
                <w:sz w:val="16"/>
                <w:szCs w:val="16"/>
                <w:lang w:eastAsia="en-AU"/>
              </w:rPr>
              <w:t>-</w:t>
            </w:r>
          </w:p>
        </w:tc>
        <w:tc>
          <w:tcPr>
            <w:tcW w:w="0" w:type="auto"/>
            <w:shd w:val="clear" w:color="000000" w:fill="FFFFFF"/>
            <w:noWrap/>
            <w:hideMark/>
          </w:tcPr>
          <w:p w14:paraId="71775172" w14:textId="2B268516"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5C6679">
              <w:rPr>
                <w:rFonts w:ascii="Arial" w:eastAsia="Times New Roman" w:hAnsi="Arial" w:cs="Arial"/>
                <w:b/>
                <w:bCs/>
                <w:color w:val="auto"/>
                <w:sz w:val="16"/>
                <w:szCs w:val="16"/>
                <w:lang w:eastAsia="en-AU"/>
              </w:rPr>
              <w:t>-</w:t>
            </w:r>
          </w:p>
        </w:tc>
        <w:tc>
          <w:tcPr>
            <w:tcW w:w="0" w:type="auto"/>
            <w:shd w:val="clear" w:color="000000" w:fill="FFFFFF"/>
            <w:noWrap/>
            <w:hideMark/>
          </w:tcPr>
          <w:p w14:paraId="097C6E04" w14:textId="7FCC7614"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5C6679">
              <w:rPr>
                <w:rFonts w:ascii="Arial" w:eastAsia="Times New Roman" w:hAnsi="Arial" w:cs="Arial"/>
                <w:b/>
                <w:bCs/>
                <w:color w:val="auto"/>
                <w:sz w:val="16"/>
                <w:szCs w:val="16"/>
                <w:lang w:eastAsia="en-AU"/>
              </w:rPr>
              <w:t>-</w:t>
            </w:r>
          </w:p>
        </w:tc>
        <w:tc>
          <w:tcPr>
            <w:tcW w:w="0" w:type="auto"/>
            <w:shd w:val="clear" w:color="000000" w:fill="FFFFFF"/>
            <w:noWrap/>
            <w:hideMark/>
          </w:tcPr>
          <w:p w14:paraId="05953CA4" w14:textId="61DADC58"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5C6679">
              <w:rPr>
                <w:rFonts w:ascii="Arial" w:eastAsia="Times New Roman" w:hAnsi="Arial" w:cs="Arial"/>
                <w:b/>
                <w:bCs/>
                <w:color w:val="auto"/>
                <w:sz w:val="16"/>
                <w:szCs w:val="16"/>
                <w:lang w:eastAsia="en-AU"/>
              </w:rPr>
              <w:t>-</w:t>
            </w:r>
          </w:p>
        </w:tc>
        <w:tc>
          <w:tcPr>
            <w:tcW w:w="0" w:type="auto"/>
            <w:shd w:val="clear" w:color="000000" w:fill="FFFFFF"/>
            <w:noWrap/>
            <w:hideMark/>
          </w:tcPr>
          <w:p w14:paraId="494400FF" w14:textId="2443F835"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5C6679">
              <w:rPr>
                <w:rFonts w:ascii="Arial" w:eastAsia="Times New Roman" w:hAnsi="Arial" w:cs="Arial"/>
                <w:b/>
                <w:bCs/>
                <w:color w:val="auto"/>
                <w:sz w:val="16"/>
                <w:szCs w:val="16"/>
                <w:lang w:eastAsia="en-AU"/>
              </w:rPr>
              <w:t>-</w:t>
            </w:r>
          </w:p>
        </w:tc>
      </w:tr>
      <w:tr w:rsidR="005B4472" w:rsidRPr="004D6AEA" w14:paraId="1297424C" w14:textId="77777777" w:rsidTr="00420843">
        <w:trPr>
          <w:trHeight w:val="255"/>
        </w:trPr>
        <w:tc>
          <w:tcPr>
            <w:tcW w:w="2580" w:type="dxa"/>
            <w:shd w:val="clear" w:color="auto" w:fill="auto"/>
            <w:noWrap/>
            <w:vAlign w:val="bottom"/>
            <w:hideMark/>
          </w:tcPr>
          <w:p w14:paraId="4B812937" w14:textId="77777777" w:rsidR="005B4472" w:rsidRPr="0028461A" w:rsidRDefault="005B4472" w:rsidP="005B4472">
            <w:pPr>
              <w:spacing w:after="0" w:line="240" w:lineRule="auto"/>
              <w:rPr>
                <w:rFonts w:ascii="Arial" w:eastAsia="Times New Roman" w:hAnsi="Arial" w:cs="Arial"/>
                <w:color w:val="auto"/>
                <w:sz w:val="16"/>
                <w:szCs w:val="16"/>
                <w:lang w:eastAsia="en-AU"/>
              </w:rPr>
            </w:pPr>
            <w:r w:rsidRPr="0028461A">
              <w:rPr>
                <w:rFonts w:ascii="Arial" w:eastAsia="Times New Roman" w:hAnsi="Arial" w:cs="Arial"/>
                <w:color w:val="auto"/>
                <w:sz w:val="16"/>
                <w:szCs w:val="16"/>
                <w:lang w:eastAsia="en-AU"/>
              </w:rPr>
              <w:t>DFAT review and feedback on revised design plan</w:t>
            </w:r>
          </w:p>
        </w:tc>
        <w:tc>
          <w:tcPr>
            <w:tcW w:w="490" w:type="dxa"/>
            <w:shd w:val="clear" w:color="auto" w:fill="auto"/>
            <w:noWrap/>
            <w:hideMark/>
          </w:tcPr>
          <w:p w14:paraId="35170A02" w14:textId="5954A386"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0912B3">
              <w:rPr>
                <w:rFonts w:ascii="Arial" w:eastAsia="Times New Roman" w:hAnsi="Arial" w:cs="Arial"/>
                <w:b/>
                <w:bCs/>
                <w:color w:val="auto"/>
                <w:sz w:val="16"/>
                <w:szCs w:val="16"/>
                <w:lang w:eastAsia="en-AU"/>
              </w:rPr>
              <w:t>-</w:t>
            </w:r>
          </w:p>
        </w:tc>
        <w:tc>
          <w:tcPr>
            <w:tcW w:w="0" w:type="auto"/>
            <w:shd w:val="clear" w:color="auto" w:fill="auto"/>
            <w:noWrap/>
            <w:hideMark/>
          </w:tcPr>
          <w:p w14:paraId="4FE7BF33" w14:textId="7D280F38"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D72AD9">
              <w:rPr>
                <w:rFonts w:ascii="Arial" w:eastAsia="Times New Roman" w:hAnsi="Arial" w:cs="Arial"/>
                <w:b/>
                <w:bCs/>
                <w:color w:val="auto"/>
                <w:sz w:val="16"/>
                <w:szCs w:val="16"/>
                <w:lang w:eastAsia="en-AU"/>
              </w:rPr>
              <w:t>-</w:t>
            </w:r>
          </w:p>
        </w:tc>
        <w:tc>
          <w:tcPr>
            <w:tcW w:w="0" w:type="auto"/>
            <w:shd w:val="clear" w:color="auto" w:fill="auto"/>
            <w:noWrap/>
            <w:hideMark/>
          </w:tcPr>
          <w:p w14:paraId="089EE484" w14:textId="58FC4D2D" w:rsidR="005B4472" w:rsidRPr="005B4472" w:rsidRDefault="005B4472" w:rsidP="005B4472">
            <w:pPr>
              <w:spacing w:after="0" w:line="240" w:lineRule="auto"/>
              <w:jc w:val="center"/>
              <w:rPr>
                <w:rFonts w:eastAsia="Times New Roman" w:cstheme="minorHAnsi"/>
                <w:color w:val="auto"/>
                <w:sz w:val="16"/>
                <w:szCs w:val="16"/>
                <w:lang w:eastAsia="en-AU"/>
              </w:rPr>
            </w:pPr>
            <w:r w:rsidRPr="005A7A64">
              <w:rPr>
                <w:rFonts w:ascii="Arial" w:eastAsia="Times New Roman" w:hAnsi="Arial" w:cs="Arial"/>
                <w:b/>
                <w:bCs/>
                <w:color w:val="auto"/>
                <w:sz w:val="16"/>
                <w:szCs w:val="16"/>
                <w:lang w:eastAsia="en-AU"/>
              </w:rPr>
              <w:t>-</w:t>
            </w:r>
          </w:p>
        </w:tc>
        <w:tc>
          <w:tcPr>
            <w:tcW w:w="0" w:type="auto"/>
            <w:shd w:val="clear" w:color="auto" w:fill="auto"/>
            <w:noWrap/>
            <w:hideMark/>
          </w:tcPr>
          <w:p w14:paraId="52B15F63" w14:textId="09C56A6D" w:rsidR="005B4472" w:rsidRPr="005B4472" w:rsidRDefault="005B4472" w:rsidP="005B4472">
            <w:pPr>
              <w:spacing w:after="0" w:line="240" w:lineRule="auto"/>
              <w:jc w:val="center"/>
              <w:rPr>
                <w:rFonts w:eastAsia="Times New Roman" w:cstheme="minorHAnsi"/>
                <w:color w:val="auto"/>
                <w:sz w:val="16"/>
                <w:szCs w:val="16"/>
                <w:lang w:eastAsia="en-AU"/>
              </w:rPr>
            </w:pPr>
            <w:r w:rsidRPr="005A7A64">
              <w:rPr>
                <w:rFonts w:ascii="Arial" w:eastAsia="Times New Roman" w:hAnsi="Arial" w:cs="Arial"/>
                <w:b/>
                <w:bCs/>
                <w:color w:val="auto"/>
                <w:sz w:val="16"/>
                <w:szCs w:val="16"/>
                <w:lang w:eastAsia="en-AU"/>
              </w:rPr>
              <w:t>-</w:t>
            </w:r>
          </w:p>
        </w:tc>
        <w:tc>
          <w:tcPr>
            <w:tcW w:w="0" w:type="auto"/>
            <w:shd w:val="clear" w:color="auto" w:fill="auto"/>
            <w:noWrap/>
            <w:hideMark/>
          </w:tcPr>
          <w:p w14:paraId="79A54515" w14:textId="708B3C37" w:rsidR="005B4472" w:rsidRPr="005B4472" w:rsidRDefault="005B4472" w:rsidP="005B4472">
            <w:pPr>
              <w:spacing w:after="0" w:line="240" w:lineRule="auto"/>
              <w:jc w:val="center"/>
              <w:rPr>
                <w:rFonts w:ascii="Arial" w:eastAsia="Times New Roman" w:hAnsi="Arial" w:cs="Arial"/>
                <w:b/>
                <w:bCs/>
                <w:color w:val="auto"/>
                <w:sz w:val="16"/>
                <w:szCs w:val="16"/>
                <w:lang w:eastAsia="en-AU"/>
              </w:rPr>
            </w:pPr>
            <w:r w:rsidRPr="00D80A9A">
              <w:rPr>
                <w:rFonts w:ascii="Arial" w:eastAsia="Times New Roman" w:hAnsi="Arial" w:cs="Arial"/>
                <w:b/>
                <w:bCs/>
                <w:color w:val="auto"/>
                <w:sz w:val="16"/>
                <w:szCs w:val="16"/>
                <w:lang w:eastAsia="en-AU"/>
              </w:rPr>
              <w:t>-</w:t>
            </w:r>
          </w:p>
        </w:tc>
        <w:tc>
          <w:tcPr>
            <w:tcW w:w="0" w:type="auto"/>
            <w:shd w:val="clear" w:color="auto" w:fill="auto"/>
            <w:noWrap/>
            <w:hideMark/>
          </w:tcPr>
          <w:p w14:paraId="54583AF4" w14:textId="304D15E3" w:rsidR="005B4472" w:rsidRPr="005B4472" w:rsidRDefault="005B4472" w:rsidP="005B4472">
            <w:pPr>
              <w:spacing w:after="0" w:line="240" w:lineRule="auto"/>
              <w:jc w:val="center"/>
              <w:rPr>
                <w:rFonts w:ascii="Arial" w:eastAsia="Times New Roman" w:hAnsi="Arial" w:cs="Arial"/>
                <w:b/>
                <w:bCs/>
                <w:color w:val="auto"/>
                <w:sz w:val="16"/>
                <w:szCs w:val="16"/>
                <w:lang w:eastAsia="en-AU"/>
              </w:rPr>
            </w:pPr>
            <w:r w:rsidRPr="009A7CA0">
              <w:rPr>
                <w:rFonts w:ascii="Arial" w:eastAsia="Times New Roman" w:hAnsi="Arial" w:cs="Arial"/>
                <w:b/>
                <w:bCs/>
                <w:color w:val="auto"/>
                <w:sz w:val="16"/>
                <w:szCs w:val="16"/>
                <w:lang w:eastAsia="en-AU"/>
              </w:rPr>
              <w:t>-</w:t>
            </w:r>
          </w:p>
        </w:tc>
        <w:tc>
          <w:tcPr>
            <w:tcW w:w="0" w:type="auto"/>
            <w:shd w:val="clear" w:color="auto" w:fill="auto"/>
            <w:noWrap/>
            <w:hideMark/>
          </w:tcPr>
          <w:p w14:paraId="57DA7416" w14:textId="289CA30B"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9A7CA0">
              <w:rPr>
                <w:rFonts w:ascii="Arial" w:eastAsia="Times New Roman" w:hAnsi="Arial" w:cs="Arial"/>
                <w:b/>
                <w:bCs/>
                <w:color w:val="auto"/>
                <w:sz w:val="16"/>
                <w:szCs w:val="16"/>
                <w:lang w:eastAsia="en-AU"/>
              </w:rPr>
              <w:t>-</w:t>
            </w:r>
          </w:p>
        </w:tc>
        <w:tc>
          <w:tcPr>
            <w:tcW w:w="0" w:type="auto"/>
            <w:shd w:val="clear" w:color="auto" w:fill="auto"/>
            <w:noWrap/>
            <w:hideMark/>
          </w:tcPr>
          <w:p w14:paraId="72A45AD6" w14:textId="2E984E12"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9C2860">
              <w:rPr>
                <w:rFonts w:ascii="Arial" w:eastAsia="Times New Roman" w:hAnsi="Arial" w:cs="Arial"/>
                <w:b/>
                <w:bCs/>
                <w:color w:val="auto"/>
                <w:sz w:val="16"/>
                <w:szCs w:val="16"/>
                <w:lang w:eastAsia="en-AU"/>
              </w:rPr>
              <w:t>-</w:t>
            </w:r>
          </w:p>
        </w:tc>
        <w:tc>
          <w:tcPr>
            <w:tcW w:w="0" w:type="auto"/>
            <w:shd w:val="clear" w:color="auto" w:fill="auto"/>
            <w:noWrap/>
            <w:hideMark/>
          </w:tcPr>
          <w:p w14:paraId="263DC4B2" w14:textId="4C0AAFA6"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9C2860">
              <w:rPr>
                <w:rFonts w:ascii="Arial" w:eastAsia="Times New Roman" w:hAnsi="Arial" w:cs="Arial"/>
                <w:b/>
                <w:bCs/>
                <w:color w:val="auto"/>
                <w:sz w:val="16"/>
                <w:szCs w:val="16"/>
                <w:lang w:eastAsia="en-AU"/>
              </w:rPr>
              <w:t>-</w:t>
            </w:r>
          </w:p>
        </w:tc>
        <w:tc>
          <w:tcPr>
            <w:tcW w:w="0" w:type="auto"/>
            <w:shd w:val="clear" w:color="auto" w:fill="auto"/>
            <w:noWrap/>
            <w:hideMark/>
          </w:tcPr>
          <w:p w14:paraId="2AAFAB5F" w14:textId="25477D55"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B40D52">
              <w:rPr>
                <w:rFonts w:ascii="Arial" w:eastAsia="Times New Roman" w:hAnsi="Arial" w:cs="Arial"/>
                <w:b/>
                <w:bCs/>
                <w:color w:val="auto"/>
                <w:sz w:val="16"/>
                <w:szCs w:val="16"/>
                <w:lang w:eastAsia="en-AU"/>
              </w:rPr>
              <w:t>-</w:t>
            </w:r>
          </w:p>
        </w:tc>
        <w:tc>
          <w:tcPr>
            <w:tcW w:w="0" w:type="auto"/>
            <w:shd w:val="clear" w:color="auto" w:fill="auto"/>
            <w:noWrap/>
            <w:hideMark/>
          </w:tcPr>
          <w:p w14:paraId="304E12A9" w14:textId="2F3C89DD"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B40D52">
              <w:rPr>
                <w:rFonts w:ascii="Arial" w:eastAsia="Times New Roman" w:hAnsi="Arial" w:cs="Arial"/>
                <w:b/>
                <w:bCs/>
                <w:color w:val="auto"/>
                <w:sz w:val="16"/>
                <w:szCs w:val="16"/>
                <w:lang w:eastAsia="en-AU"/>
              </w:rPr>
              <w:t>-</w:t>
            </w:r>
          </w:p>
        </w:tc>
        <w:tc>
          <w:tcPr>
            <w:tcW w:w="0" w:type="auto"/>
            <w:shd w:val="clear" w:color="auto" w:fill="auto"/>
            <w:noWrap/>
            <w:hideMark/>
          </w:tcPr>
          <w:p w14:paraId="3E2EAB3F" w14:textId="78DB4BEB"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000000" w:fill="808080"/>
            <w:noWrap/>
            <w:hideMark/>
          </w:tcPr>
          <w:p w14:paraId="1F6C5F2A" w14:textId="0B0D32CE"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1B8B887B" w14:textId="2D2FE68C"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52FF8F54" w14:textId="60BC27ED"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312A6FA5" w14:textId="794783E8"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4409D685" w14:textId="7CE75308"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48779464" w14:textId="5AED68BA"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2E84A5A2" w14:textId="7B9CE939"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thinDiagCross" w:color="auto" w:fill="auto"/>
            <w:noWrap/>
            <w:hideMark/>
          </w:tcPr>
          <w:p w14:paraId="31D30182" w14:textId="55FB7012" w:rsidR="005B4472" w:rsidRPr="0028461A" w:rsidRDefault="005B4472" w:rsidP="005B4472">
            <w:pPr>
              <w:spacing w:after="0" w:line="240" w:lineRule="auto"/>
              <w:jc w:val="center"/>
              <w:rPr>
                <w:rFonts w:ascii="Arial" w:eastAsia="Times New Roman" w:hAnsi="Arial" w:cs="Arial"/>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06EDA0E9" w14:textId="22D2F0E9"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6542C576" w14:textId="0F140794"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4D9E3042" w14:textId="19B5FD43"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48AE3F80" w14:textId="41121785"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5FC6DE13" w14:textId="1A3B7B5C"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6B42712A" w14:textId="4667F30E"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6EFC5888" w14:textId="6DE3CF9B"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61DD5868" w14:textId="0264C7E6"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0395897E" w14:textId="4409933F"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1AC855FB" w14:textId="7B70E973"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r>
      <w:tr w:rsidR="005B4472" w:rsidRPr="004D6AEA" w14:paraId="4914221F" w14:textId="77777777" w:rsidTr="00420843">
        <w:trPr>
          <w:trHeight w:val="255"/>
        </w:trPr>
        <w:tc>
          <w:tcPr>
            <w:tcW w:w="2580" w:type="dxa"/>
            <w:shd w:val="clear" w:color="000000" w:fill="D9D9D9"/>
            <w:noWrap/>
            <w:vAlign w:val="bottom"/>
            <w:hideMark/>
          </w:tcPr>
          <w:p w14:paraId="4FD7155B" w14:textId="77777777" w:rsidR="005B4472" w:rsidRPr="0028461A" w:rsidRDefault="005B4472" w:rsidP="005B4472">
            <w:pPr>
              <w:spacing w:after="0" w:line="240" w:lineRule="auto"/>
              <w:rPr>
                <w:rFonts w:ascii="Arial" w:eastAsia="Times New Roman" w:hAnsi="Arial" w:cs="Arial"/>
                <w:b/>
                <w:bCs/>
                <w:color w:val="auto"/>
                <w:sz w:val="16"/>
                <w:szCs w:val="16"/>
                <w:lang w:eastAsia="en-AU"/>
              </w:rPr>
            </w:pPr>
            <w:r w:rsidRPr="0028461A">
              <w:rPr>
                <w:rFonts w:ascii="Arial" w:eastAsia="Times New Roman" w:hAnsi="Arial" w:cs="Arial"/>
                <w:b/>
                <w:bCs/>
                <w:color w:val="auto"/>
                <w:sz w:val="16"/>
                <w:szCs w:val="16"/>
                <w:lang w:eastAsia="en-AU"/>
              </w:rPr>
              <w:t>EVALUATION REPORTING</w:t>
            </w:r>
          </w:p>
        </w:tc>
        <w:tc>
          <w:tcPr>
            <w:tcW w:w="490" w:type="dxa"/>
            <w:shd w:val="clear" w:color="000000" w:fill="D9D9D9"/>
            <w:noWrap/>
            <w:hideMark/>
          </w:tcPr>
          <w:p w14:paraId="095B234C" w14:textId="1F122BD1"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0912B3">
              <w:rPr>
                <w:rFonts w:ascii="Arial" w:eastAsia="Times New Roman" w:hAnsi="Arial" w:cs="Arial"/>
                <w:b/>
                <w:bCs/>
                <w:color w:val="auto"/>
                <w:sz w:val="16"/>
                <w:szCs w:val="16"/>
                <w:lang w:eastAsia="en-AU"/>
              </w:rPr>
              <w:t>-</w:t>
            </w:r>
          </w:p>
        </w:tc>
        <w:tc>
          <w:tcPr>
            <w:tcW w:w="0" w:type="auto"/>
            <w:shd w:val="clear" w:color="000000" w:fill="D9D9D9"/>
            <w:noWrap/>
            <w:hideMark/>
          </w:tcPr>
          <w:p w14:paraId="0865C8EB" w14:textId="04DCC9C3"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D72AD9">
              <w:rPr>
                <w:rFonts w:ascii="Arial" w:eastAsia="Times New Roman" w:hAnsi="Arial" w:cs="Arial"/>
                <w:b/>
                <w:bCs/>
                <w:color w:val="auto"/>
                <w:sz w:val="16"/>
                <w:szCs w:val="16"/>
                <w:lang w:eastAsia="en-AU"/>
              </w:rPr>
              <w:t>-</w:t>
            </w:r>
          </w:p>
        </w:tc>
        <w:tc>
          <w:tcPr>
            <w:tcW w:w="0" w:type="auto"/>
            <w:shd w:val="clear" w:color="000000" w:fill="D9D9D9"/>
            <w:noWrap/>
            <w:hideMark/>
          </w:tcPr>
          <w:p w14:paraId="43D99C96" w14:textId="6229A138" w:rsidR="005B4472" w:rsidRPr="005B4472" w:rsidRDefault="005B4472" w:rsidP="005B4472">
            <w:pPr>
              <w:spacing w:after="0" w:line="240" w:lineRule="auto"/>
              <w:jc w:val="center"/>
              <w:rPr>
                <w:rFonts w:eastAsia="Times New Roman" w:cstheme="minorHAnsi"/>
                <w:b/>
                <w:bCs/>
                <w:color w:val="auto"/>
                <w:sz w:val="16"/>
                <w:szCs w:val="16"/>
                <w:lang w:eastAsia="en-AU"/>
              </w:rPr>
            </w:pPr>
            <w:r w:rsidRPr="005A7A64">
              <w:rPr>
                <w:rFonts w:ascii="Arial" w:eastAsia="Times New Roman" w:hAnsi="Arial" w:cs="Arial"/>
                <w:b/>
                <w:bCs/>
                <w:color w:val="auto"/>
                <w:sz w:val="16"/>
                <w:szCs w:val="16"/>
                <w:lang w:eastAsia="en-AU"/>
              </w:rPr>
              <w:t>-</w:t>
            </w:r>
          </w:p>
        </w:tc>
        <w:tc>
          <w:tcPr>
            <w:tcW w:w="0" w:type="auto"/>
            <w:shd w:val="clear" w:color="000000" w:fill="D9D9D9"/>
            <w:noWrap/>
            <w:hideMark/>
          </w:tcPr>
          <w:p w14:paraId="0E590FB2" w14:textId="75907BC9" w:rsidR="005B4472" w:rsidRPr="005B4472" w:rsidRDefault="005B4472" w:rsidP="005B4472">
            <w:pPr>
              <w:spacing w:after="0" w:line="240" w:lineRule="auto"/>
              <w:jc w:val="center"/>
              <w:rPr>
                <w:rFonts w:eastAsia="Times New Roman" w:cstheme="minorHAnsi"/>
                <w:b/>
                <w:bCs/>
                <w:color w:val="auto"/>
                <w:sz w:val="16"/>
                <w:szCs w:val="16"/>
                <w:lang w:eastAsia="en-AU"/>
              </w:rPr>
            </w:pPr>
            <w:r w:rsidRPr="005A7A64">
              <w:rPr>
                <w:rFonts w:ascii="Arial" w:eastAsia="Times New Roman" w:hAnsi="Arial" w:cs="Arial"/>
                <w:b/>
                <w:bCs/>
                <w:color w:val="auto"/>
                <w:sz w:val="16"/>
                <w:szCs w:val="16"/>
                <w:lang w:eastAsia="en-AU"/>
              </w:rPr>
              <w:t>-</w:t>
            </w:r>
          </w:p>
        </w:tc>
        <w:tc>
          <w:tcPr>
            <w:tcW w:w="0" w:type="auto"/>
            <w:shd w:val="clear" w:color="000000" w:fill="D9D9D9"/>
            <w:noWrap/>
            <w:hideMark/>
          </w:tcPr>
          <w:p w14:paraId="09BBD40B" w14:textId="289203AA" w:rsidR="005B4472" w:rsidRPr="005B4472" w:rsidRDefault="005B4472" w:rsidP="005B4472">
            <w:pPr>
              <w:spacing w:after="0" w:line="240" w:lineRule="auto"/>
              <w:jc w:val="center"/>
              <w:rPr>
                <w:rFonts w:ascii="Arial" w:eastAsia="Times New Roman" w:hAnsi="Arial" w:cs="Arial"/>
                <w:b/>
                <w:bCs/>
                <w:color w:val="auto"/>
                <w:sz w:val="16"/>
                <w:szCs w:val="16"/>
                <w:lang w:eastAsia="en-AU"/>
              </w:rPr>
            </w:pPr>
            <w:r w:rsidRPr="00D80A9A">
              <w:rPr>
                <w:rFonts w:ascii="Arial" w:eastAsia="Times New Roman" w:hAnsi="Arial" w:cs="Arial"/>
                <w:b/>
                <w:bCs/>
                <w:color w:val="auto"/>
                <w:sz w:val="16"/>
                <w:szCs w:val="16"/>
                <w:lang w:eastAsia="en-AU"/>
              </w:rPr>
              <w:t>-</w:t>
            </w:r>
          </w:p>
        </w:tc>
        <w:tc>
          <w:tcPr>
            <w:tcW w:w="0" w:type="auto"/>
            <w:shd w:val="clear" w:color="000000" w:fill="D9D9D9"/>
            <w:noWrap/>
            <w:hideMark/>
          </w:tcPr>
          <w:p w14:paraId="05C25C34" w14:textId="184D8527" w:rsidR="005B4472" w:rsidRPr="005B4472" w:rsidRDefault="005B4472" w:rsidP="005B4472">
            <w:pPr>
              <w:spacing w:after="0" w:line="240" w:lineRule="auto"/>
              <w:jc w:val="center"/>
              <w:rPr>
                <w:rFonts w:ascii="Arial" w:eastAsia="Times New Roman" w:hAnsi="Arial" w:cs="Arial"/>
                <w:b/>
                <w:bCs/>
                <w:color w:val="auto"/>
                <w:sz w:val="16"/>
                <w:szCs w:val="16"/>
                <w:lang w:eastAsia="en-AU"/>
              </w:rPr>
            </w:pPr>
            <w:r w:rsidRPr="009A7CA0">
              <w:rPr>
                <w:rFonts w:ascii="Arial" w:eastAsia="Times New Roman" w:hAnsi="Arial" w:cs="Arial"/>
                <w:b/>
                <w:bCs/>
                <w:color w:val="auto"/>
                <w:sz w:val="16"/>
                <w:szCs w:val="16"/>
                <w:lang w:eastAsia="en-AU"/>
              </w:rPr>
              <w:t>-</w:t>
            </w:r>
          </w:p>
        </w:tc>
        <w:tc>
          <w:tcPr>
            <w:tcW w:w="0" w:type="auto"/>
            <w:shd w:val="clear" w:color="000000" w:fill="D9D9D9"/>
            <w:noWrap/>
            <w:hideMark/>
          </w:tcPr>
          <w:p w14:paraId="0C57DED5" w14:textId="1C279711"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9A7CA0">
              <w:rPr>
                <w:rFonts w:ascii="Arial" w:eastAsia="Times New Roman" w:hAnsi="Arial" w:cs="Arial"/>
                <w:b/>
                <w:bCs/>
                <w:color w:val="auto"/>
                <w:sz w:val="16"/>
                <w:szCs w:val="16"/>
                <w:lang w:eastAsia="en-AU"/>
              </w:rPr>
              <w:t>-</w:t>
            </w:r>
          </w:p>
        </w:tc>
        <w:tc>
          <w:tcPr>
            <w:tcW w:w="0" w:type="auto"/>
            <w:shd w:val="clear" w:color="000000" w:fill="D9D9D9"/>
            <w:noWrap/>
            <w:hideMark/>
          </w:tcPr>
          <w:p w14:paraId="220C3DBD" w14:textId="23F7E59A"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9C2860">
              <w:rPr>
                <w:rFonts w:ascii="Arial" w:eastAsia="Times New Roman" w:hAnsi="Arial" w:cs="Arial"/>
                <w:b/>
                <w:bCs/>
                <w:color w:val="auto"/>
                <w:sz w:val="16"/>
                <w:szCs w:val="16"/>
                <w:lang w:eastAsia="en-AU"/>
              </w:rPr>
              <w:t>-</w:t>
            </w:r>
          </w:p>
        </w:tc>
        <w:tc>
          <w:tcPr>
            <w:tcW w:w="0" w:type="auto"/>
            <w:shd w:val="clear" w:color="000000" w:fill="D9D9D9"/>
            <w:noWrap/>
            <w:hideMark/>
          </w:tcPr>
          <w:p w14:paraId="4AA94384" w14:textId="510156CF"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9C2860">
              <w:rPr>
                <w:rFonts w:ascii="Arial" w:eastAsia="Times New Roman" w:hAnsi="Arial" w:cs="Arial"/>
                <w:b/>
                <w:bCs/>
                <w:color w:val="auto"/>
                <w:sz w:val="16"/>
                <w:szCs w:val="16"/>
                <w:lang w:eastAsia="en-AU"/>
              </w:rPr>
              <w:t>-</w:t>
            </w:r>
          </w:p>
        </w:tc>
        <w:tc>
          <w:tcPr>
            <w:tcW w:w="0" w:type="auto"/>
            <w:shd w:val="clear" w:color="000000" w:fill="D9D9D9"/>
            <w:noWrap/>
            <w:hideMark/>
          </w:tcPr>
          <w:p w14:paraId="5A900035" w14:textId="429FECD6"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B40D52">
              <w:rPr>
                <w:rFonts w:ascii="Arial" w:eastAsia="Times New Roman" w:hAnsi="Arial" w:cs="Arial"/>
                <w:b/>
                <w:bCs/>
                <w:color w:val="auto"/>
                <w:sz w:val="16"/>
                <w:szCs w:val="16"/>
                <w:lang w:eastAsia="en-AU"/>
              </w:rPr>
              <w:t>-</w:t>
            </w:r>
          </w:p>
        </w:tc>
        <w:tc>
          <w:tcPr>
            <w:tcW w:w="0" w:type="auto"/>
            <w:shd w:val="clear" w:color="000000" w:fill="D9D9D9"/>
            <w:noWrap/>
            <w:hideMark/>
          </w:tcPr>
          <w:p w14:paraId="6164E89D" w14:textId="4081BA47"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B40D52">
              <w:rPr>
                <w:rFonts w:ascii="Arial" w:eastAsia="Times New Roman" w:hAnsi="Arial" w:cs="Arial"/>
                <w:b/>
                <w:bCs/>
                <w:color w:val="auto"/>
                <w:sz w:val="16"/>
                <w:szCs w:val="16"/>
                <w:lang w:eastAsia="en-AU"/>
              </w:rPr>
              <w:t>-</w:t>
            </w:r>
          </w:p>
        </w:tc>
        <w:tc>
          <w:tcPr>
            <w:tcW w:w="0" w:type="auto"/>
            <w:shd w:val="clear" w:color="000000" w:fill="D9D9D9"/>
            <w:noWrap/>
            <w:hideMark/>
          </w:tcPr>
          <w:p w14:paraId="773CB66F" w14:textId="0FFC6BC9"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000000" w:fill="D9D9D9"/>
            <w:noWrap/>
            <w:hideMark/>
          </w:tcPr>
          <w:p w14:paraId="6F2FB3A3" w14:textId="1462B3FF"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000000" w:fill="D9D9D9"/>
            <w:noWrap/>
            <w:hideMark/>
          </w:tcPr>
          <w:p w14:paraId="140B6309" w14:textId="21AC61F4"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000000" w:fill="D9D9D9"/>
            <w:noWrap/>
            <w:hideMark/>
          </w:tcPr>
          <w:p w14:paraId="13E31CA0" w14:textId="2D5491A1"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000000" w:fill="D9D9D9"/>
            <w:noWrap/>
            <w:hideMark/>
          </w:tcPr>
          <w:p w14:paraId="0ACDDD20" w14:textId="479C5903"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000000" w:fill="D9D9D9"/>
            <w:noWrap/>
            <w:hideMark/>
          </w:tcPr>
          <w:p w14:paraId="16A8D48B" w14:textId="51696499"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000000" w:fill="D9D9D9"/>
            <w:noWrap/>
            <w:hideMark/>
          </w:tcPr>
          <w:p w14:paraId="65EE89A6" w14:textId="60D78C92"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000000" w:fill="D9D9D9"/>
            <w:noWrap/>
            <w:hideMark/>
          </w:tcPr>
          <w:p w14:paraId="0B238524" w14:textId="4DAC2FFC"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thinDiagCross" w:color="auto" w:fill="auto"/>
            <w:noWrap/>
            <w:hideMark/>
          </w:tcPr>
          <w:p w14:paraId="6CB775C4" w14:textId="2A0757A8" w:rsidR="005B4472" w:rsidRPr="0028461A" w:rsidRDefault="005B4472" w:rsidP="005B4472">
            <w:pPr>
              <w:spacing w:after="0" w:line="240" w:lineRule="auto"/>
              <w:jc w:val="center"/>
              <w:rPr>
                <w:rFonts w:ascii="Arial" w:eastAsia="Times New Roman" w:hAnsi="Arial" w:cs="Arial"/>
                <w:b/>
                <w:bCs/>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000000" w:fill="D9D9D9"/>
            <w:noWrap/>
            <w:hideMark/>
          </w:tcPr>
          <w:p w14:paraId="552DC92D" w14:textId="1170EDAB"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000000" w:fill="D9D9D9"/>
            <w:noWrap/>
            <w:hideMark/>
          </w:tcPr>
          <w:p w14:paraId="588BAF9E" w14:textId="0E7376CF"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000000" w:fill="D9D9D9"/>
            <w:noWrap/>
            <w:hideMark/>
          </w:tcPr>
          <w:p w14:paraId="01DD2C4D" w14:textId="75C1A89C"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000000" w:fill="D9D9D9"/>
            <w:noWrap/>
            <w:hideMark/>
          </w:tcPr>
          <w:p w14:paraId="1CF928AB" w14:textId="6E1D1152"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000000" w:fill="D9D9D9"/>
            <w:noWrap/>
            <w:hideMark/>
          </w:tcPr>
          <w:p w14:paraId="1D99DF6C" w14:textId="76F83F9A"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000000" w:fill="D9D9D9"/>
            <w:noWrap/>
            <w:hideMark/>
          </w:tcPr>
          <w:p w14:paraId="331CFEAA" w14:textId="1CE44A1D"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000000" w:fill="D9D9D9"/>
            <w:noWrap/>
            <w:hideMark/>
          </w:tcPr>
          <w:p w14:paraId="7A627DB8" w14:textId="57A051B6"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000000" w:fill="D9D9D9"/>
            <w:noWrap/>
            <w:hideMark/>
          </w:tcPr>
          <w:p w14:paraId="2F7E045D" w14:textId="6F556E3C"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000000" w:fill="D9D9D9"/>
            <w:noWrap/>
            <w:hideMark/>
          </w:tcPr>
          <w:p w14:paraId="107A3BD4" w14:textId="3E62AB0F"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000000" w:fill="D9D9D9"/>
            <w:noWrap/>
            <w:hideMark/>
          </w:tcPr>
          <w:p w14:paraId="3C55F7E7" w14:textId="35B8E028" w:rsidR="005B4472" w:rsidRPr="0028461A" w:rsidRDefault="005B4472" w:rsidP="005B4472">
            <w:pPr>
              <w:spacing w:after="0" w:line="240" w:lineRule="auto"/>
              <w:jc w:val="center"/>
              <w:rPr>
                <w:rFonts w:ascii="Arial" w:eastAsia="Times New Roman" w:hAnsi="Arial" w:cs="Arial"/>
                <w:b/>
                <w:bCs/>
                <w:color w:val="auto"/>
                <w:sz w:val="16"/>
                <w:szCs w:val="16"/>
                <w:lang w:eastAsia="en-AU"/>
              </w:rPr>
            </w:pPr>
            <w:r w:rsidRPr="00447950">
              <w:rPr>
                <w:rFonts w:ascii="Arial" w:eastAsia="Times New Roman" w:hAnsi="Arial" w:cs="Arial"/>
                <w:b/>
                <w:bCs/>
                <w:color w:val="auto"/>
                <w:sz w:val="16"/>
                <w:szCs w:val="16"/>
                <w:lang w:eastAsia="en-AU"/>
              </w:rPr>
              <w:t>-</w:t>
            </w:r>
          </w:p>
        </w:tc>
      </w:tr>
      <w:tr w:rsidR="005B4472" w:rsidRPr="004D6AEA" w14:paraId="35047C57" w14:textId="77777777" w:rsidTr="00420843">
        <w:trPr>
          <w:trHeight w:val="285"/>
        </w:trPr>
        <w:tc>
          <w:tcPr>
            <w:tcW w:w="2580" w:type="dxa"/>
            <w:shd w:val="clear" w:color="auto" w:fill="auto"/>
            <w:noWrap/>
            <w:vAlign w:val="bottom"/>
            <w:hideMark/>
          </w:tcPr>
          <w:p w14:paraId="246DEADC" w14:textId="77777777" w:rsidR="005B4472" w:rsidRPr="0028461A" w:rsidRDefault="005B4472" w:rsidP="005B4472">
            <w:pPr>
              <w:spacing w:after="0" w:line="240" w:lineRule="auto"/>
              <w:rPr>
                <w:rFonts w:ascii="Arial" w:eastAsia="Times New Roman" w:hAnsi="Arial" w:cs="Arial"/>
                <w:color w:val="auto"/>
                <w:sz w:val="16"/>
                <w:szCs w:val="16"/>
                <w:lang w:eastAsia="en-AU"/>
              </w:rPr>
            </w:pPr>
            <w:r w:rsidRPr="0028461A">
              <w:rPr>
                <w:rFonts w:ascii="Arial" w:eastAsia="Times New Roman" w:hAnsi="Arial" w:cs="Arial"/>
                <w:color w:val="auto"/>
                <w:sz w:val="16"/>
                <w:szCs w:val="16"/>
                <w:lang w:eastAsia="en-AU"/>
              </w:rPr>
              <w:t>Data analysis</w:t>
            </w:r>
          </w:p>
        </w:tc>
        <w:tc>
          <w:tcPr>
            <w:tcW w:w="490" w:type="dxa"/>
            <w:shd w:val="clear" w:color="auto" w:fill="auto"/>
            <w:noWrap/>
            <w:hideMark/>
          </w:tcPr>
          <w:p w14:paraId="27D7CD78" w14:textId="1727A621"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0912B3">
              <w:rPr>
                <w:rFonts w:ascii="Arial" w:eastAsia="Times New Roman" w:hAnsi="Arial" w:cs="Arial"/>
                <w:b/>
                <w:bCs/>
                <w:color w:val="auto"/>
                <w:sz w:val="16"/>
                <w:szCs w:val="16"/>
                <w:lang w:eastAsia="en-AU"/>
              </w:rPr>
              <w:t>-</w:t>
            </w:r>
          </w:p>
        </w:tc>
        <w:tc>
          <w:tcPr>
            <w:tcW w:w="0" w:type="auto"/>
            <w:shd w:val="clear" w:color="auto" w:fill="auto"/>
            <w:noWrap/>
            <w:hideMark/>
          </w:tcPr>
          <w:p w14:paraId="1CF23C61" w14:textId="2534FF67"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D72AD9">
              <w:rPr>
                <w:rFonts w:ascii="Arial" w:eastAsia="Times New Roman" w:hAnsi="Arial" w:cs="Arial"/>
                <w:b/>
                <w:bCs/>
                <w:color w:val="auto"/>
                <w:sz w:val="16"/>
                <w:szCs w:val="16"/>
                <w:lang w:eastAsia="en-AU"/>
              </w:rPr>
              <w:t>-</w:t>
            </w:r>
          </w:p>
        </w:tc>
        <w:tc>
          <w:tcPr>
            <w:tcW w:w="0" w:type="auto"/>
            <w:shd w:val="pct12" w:color="000000" w:fill="FFFFFF"/>
            <w:noWrap/>
            <w:hideMark/>
          </w:tcPr>
          <w:p w14:paraId="1403092B" w14:textId="721AD46E" w:rsidR="005B4472" w:rsidRPr="005B4472" w:rsidRDefault="005B4472" w:rsidP="005B4472">
            <w:pPr>
              <w:spacing w:after="0" w:line="240" w:lineRule="auto"/>
              <w:jc w:val="center"/>
              <w:rPr>
                <w:rFonts w:eastAsia="Times New Roman" w:cstheme="minorHAnsi"/>
                <w:color w:val="auto"/>
                <w:sz w:val="16"/>
                <w:szCs w:val="16"/>
                <w:lang w:eastAsia="en-AU"/>
              </w:rPr>
            </w:pPr>
            <w:r w:rsidRPr="005A7A64">
              <w:rPr>
                <w:rFonts w:ascii="Arial" w:eastAsia="Times New Roman" w:hAnsi="Arial" w:cs="Arial"/>
                <w:b/>
                <w:bCs/>
                <w:color w:val="auto"/>
                <w:sz w:val="16"/>
                <w:szCs w:val="16"/>
                <w:lang w:eastAsia="en-AU"/>
              </w:rPr>
              <w:t>-</w:t>
            </w:r>
          </w:p>
        </w:tc>
        <w:tc>
          <w:tcPr>
            <w:tcW w:w="0" w:type="auto"/>
            <w:shd w:val="pct12" w:color="000000" w:fill="FFFFFF"/>
            <w:noWrap/>
            <w:hideMark/>
          </w:tcPr>
          <w:p w14:paraId="53836560" w14:textId="42E9C3F5" w:rsidR="005B4472" w:rsidRPr="005B4472" w:rsidRDefault="005B4472" w:rsidP="005B4472">
            <w:pPr>
              <w:spacing w:after="0" w:line="240" w:lineRule="auto"/>
              <w:jc w:val="center"/>
              <w:rPr>
                <w:rFonts w:eastAsia="Times New Roman" w:cstheme="minorHAnsi"/>
                <w:color w:val="auto"/>
                <w:sz w:val="16"/>
                <w:szCs w:val="16"/>
                <w:lang w:eastAsia="en-AU"/>
              </w:rPr>
            </w:pPr>
            <w:r w:rsidRPr="005A7A64">
              <w:rPr>
                <w:rFonts w:ascii="Arial" w:eastAsia="Times New Roman" w:hAnsi="Arial" w:cs="Arial"/>
                <w:b/>
                <w:bCs/>
                <w:color w:val="auto"/>
                <w:sz w:val="16"/>
                <w:szCs w:val="16"/>
                <w:lang w:eastAsia="en-AU"/>
              </w:rPr>
              <w:t>-</w:t>
            </w:r>
          </w:p>
        </w:tc>
        <w:tc>
          <w:tcPr>
            <w:tcW w:w="0" w:type="auto"/>
            <w:shd w:val="clear" w:color="000000" w:fill="FFFFFF"/>
            <w:noWrap/>
            <w:hideMark/>
          </w:tcPr>
          <w:p w14:paraId="72D4FAE6" w14:textId="04A36A00" w:rsidR="005B4472" w:rsidRPr="005B4472" w:rsidRDefault="005B4472" w:rsidP="005B4472">
            <w:pPr>
              <w:spacing w:after="0" w:line="240" w:lineRule="auto"/>
              <w:jc w:val="center"/>
              <w:rPr>
                <w:rFonts w:ascii="Arial" w:eastAsia="Times New Roman" w:hAnsi="Arial" w:cs="Arial"/>
                <w:b/>
                <w:bCs/>
                <w:color w:val="auto"/>
                <w:sz w:val="16"/>
                <w:szCs w:val="16"/>
                <w:lang w:eastAsia="en-AU"/>
              </w:rPr>
            </w:pPr>
            <w:r w:rsidRPr="00D80A9A">
              <w:rPr>
                <w:rFonts w:ascii="Arial" w:eastAsia="Times New Roman" w:hAnsi="Arial" w:cs="Arial"/>
                <w:b/>
                <w:bCs/>
                <w:color w:val="auto"/>
                <w:sz w:val="16"/>
                <w:szCs w:val="16"/>
                <w:lang w:eastAsia="en-AU"/>
              </w:rPr>
              <w:t>-</w:t>
            </w:r>
          </w:p>
        </w:tc>
        <w:tc>
          <w:tcPr>
            <w:tcW w:w="0" w:type="auto"/>
            <w:shd w:val="clear" w:color="000000" w:fill="FFFFFF"/>
            <w:noWrap/>
            <w:hideMark/>
          </w:tcPr>
          <w:p w14:paraId="6FAA4063" w14:textId="70F9DAEB" w:rsidR="005B4472" w:rsidRPr="005B4472" w:rsidRDefault="005B4472" w:rsidP="005B4472">
            <w:pPr>
              <w:spacing w:after="0" w:line="240" w:lineRule="auto"/>
              <w:jc w:val="center"/>
              <w:rPr>
                <w:rFonts w:ascii="Arial" w:eastAsia="Times New Roman" w:hAnsi="Arial" w:cs="Arial"/>
                <w:b/>
                <w:bCs/>
                <w:color w:val="auto"/>
                <w:sz w:val="16"/>
                <w:szCs w:val="16"/>
                <w:lang w:eastAsia="en-AU"/>
              </w:rPr>
            </w:pPr>
            <w:r w:rsidRPr="009A7CA0">
              <w:rPr>
                <w:rFonts w:ascii="Arial" w:eastAsia="Times New Roman" w:hAnsi="Arial" w:cs="Arial"/>
                <w:b/>
                <w:bCs/>
                <w:color w:val="auto"/>
                <w:sz w:val="16"/>
                <w:szCs w:val="16"/>
                <w:lang w:eastAsia="en-AU"/>
              </w:rPr>
              <w:t>-</w:t>
            </w:r>
          </w:p>
        </w:tc>
        <w:tc>
          <w:tcPr>
            <w:tcW w:w="0" w:type="auto"/>
            <w:shd w:val="clear" w:color="auto" w:fill="auto"/>
            <w:noWrap/>
            <w:hideMark/>
          </w:tcPr>
          <w:p w14:paraId="71751976" w14:textId="35DB3840"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9A7CA0">
              <w:rPr>
                <w:rFonts w:ascii="Arial" w:eastAsia="Times New Roman" w:hAnsi="Arial" w:cs="Arial"/>
                <w:b/>
                <w:bCs/>
                <w:color w:val="auto"/>
                <w:sz w:val="16"/>
                <w:szCs w:val="16"/>
                <w:lang w:eastAsia="en-AU"/>
              </w:rPr>
              <w:t>-</w:t>
            </w:r>
          </w:p>
        </w:tc>
        <w:tc>
          <w:tcPr>
            <w:tcW w:w="0" w:type="auto"/>
            <w:shd w:val="clear" w:color="auto" w:fill="auto"/>
            <w:noWrap/>
            <w:hideMark/>
          </w:tcPr>
          <w:p w14:paraId="345EBBAE" w14:textId="78300F59"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9C2860">
              <w:rPr>
                <w:rFonts w:ascii="Arial" w:eastAsia="Times New Roman" w:hAnsi="Arial" w:cs="Arial"/>
                <w:b/>
                <w:bCs/>
                <w:color w:val="auto"/>
                <w:sz w:val="16"/>
                <w:szCs w:val="16"/>
                <w:lang w:eastAsia="en-AU"/>
              </w:rPr>
              <w:t>-</w:t>
            </w:r>
          </w:p>
        </w:tc>
        <w:tc>
          <w:tcPr>
            <w:tcW w:w="0" w:type="auto"/>
            <w:shd w:val="clear" w:color="auto" w:fill="auto"/>
            <w:noWrap/>
            <w:hideMark/>
          </w:tcPr>
          <w:p w14:paraId="3152C6C6" w14:textId="3B6C256E"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9C2860">
              <w:rPr>
                <w:rFonts w:ascii="Arial" w:eastAsia="Times New Roman" w:hAnsi="Arial" w:cs="Arial"/>
                <w:b/>
                <w:bCs/>
                <w:color w:val="auto"/>
                <w:sz w:val="16"/>
                <w:szCs w:val="16"/>
                <w:lang w:eastAsia="en-AU"/>
              </w:rPr>
              <w:t>-</w:t>
            </w:r>
          </w:p>
        </w:tc>
        <w:tc>
          <w:tcPr>
            <w:tcW w:w="0" w:type="auto"/>
            <w:shd w:val="clear" w:color="000000" w:fill="808080"/>
            <w:noWrap/>
            <w:hideMark/>
          </w:tcPr>
          <w:p w14:paraId="4FA0551F" w14:textId="0C4DA81C"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B40D52">
              <w:rPr>
                <w:rFonts w:ascii="Arial" w:eastAsia="Times New Roman" w:hAnsi="Arial" w:cs="Arial"/>
                <w:b/>
                <w:bCs/>
                <w:color w:val="auto"/>
                <w:sz w:val="16"/>
                <w:szCs w:val="16"/>
                <w:lang w:eastAsia="en-AU"/>
              </w:rPr>
              <w:t>-</w:t>
            </w:r>
          </w:p>
        </w:tc>
        <w:tc>
          <w:tcPr>
            <w:tcW w:w="0" w:type="auto"/>
            <w:shd w:val="clear" w:color="000000" w:fill="808080"/>
            <w:noWrap/>
            <w:hideMark/>
          </w:tcPr>
          <w:p w14:paraId="54EE7322" w14:textId="4BD40B36"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B40D52">
              <w:rPr>
                <w:rFonts w:ascii="Arial" w:eastAsia="Times New Roman" w:hAnsi="Arial" w:cs="Arial"/>
                <w:b/>
                <w:bCs/>
                <w:color w:val="auto"/>
                <w:sz w:val="16"/>
                <w:szCs w:val="16"/>
                <w:lang w:eastAsia="en-AU"/>
              </w:rPr>
              <w:t>-</w:t>
            </w:r>
          </w:p>
        </w:tc>
        <w:tc>
          <w:tcPr>
            <w:tcW w:w="0" w:type="auto"/>
            <w:shd w:val="clear" w:color="auto" w:fill="auto"/>
            <w:noWrap/>
            <w:hideMark/>
          </w:tcPr>
          <w:p w14:paraId="5AC3B644" w14:textId="61BFC9C5"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21344385" w14:textId="29A00917"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6D0EFF9C" w14:textId="6D367FFD"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7370E9A5" w14:textId="2063A1DC"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4DC06763" w14:textId="540F9A23"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694B11F6" w14:textId="534523D0"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7FFCF1C4" w14:textId="4838B78C"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25D3DF85" w14:textId="61B9C643"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thinDiagCross" w:color="auto" w:fill="auto"/>
            <w:noWrap/>
            <w:hideMark/>
          </w:tcPr>
          <w:p w14:paraId="4C32B9C6" w14:textId="76BA834C" w:rsidR="005B4472" w:rsidRPr="0028461A" w:rsidRDefault="005B4472" w:rsidP="005B4472">
            <w:pPr>
              <w:spacing w:after="0" w:line="240" w:lineRule="auto"/>
              <w:jc w:val="center"/>
              <w:rPr>
                <w:rFonts w:ascii="Arial" w:eastAsia="Times New Roman" w:hAnsi="Arial" w:cs="Arial"/>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510DAD35" w14:textId="345A767D"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14BAA0A6" w14:textId="7EA1A5F5"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56B1C457" w14:textId="216E6E7F"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7CC614BE" w14:textId="6C2E65FB"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5616C6BE" w14:textId="2CACE637"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42D33B78" w14:textId="7CFBEED5"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3C9D3945" w14:textId="3C6B9C3E"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76AADB43" w14:textId="3B72F008"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13AA9952" w14:textId="6A4929C0"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12C89B8F" w14:textId="107C3048"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r>
      <w:tr w:rsidR="005B4472" w:rsidRPr="004D6AEA" w14:paraId="1A77E2B2" w14:textId="77777777" w:rsidTr="00420843">
        <w:trPr>
          <w:trHeight w:val="285"/>
        </w:trPr>
        <w:tc>
          <w:tcPr>
            <w:tcW w:w="2580" w:type="dxa"/>
            <w:shd w:val="clear" w:color="auto" w:fill="auto"/>
            <w:noWrap/>
            <w:vAlign w:val="bottom"/>
            <w:hideMark/>
          </w:tcPr>
          <w:p w14:paraId="0822E2B6" w14:textId="77777777" w:rsidR="005B4472" w:rsidRPr="0028461A" w:rsidRDefault="005B4472" w:rsidP="005B4472">
            <w:pPr>
              <w:spacing w:after="0" w:line="240" w:lineRule="auto"/>
              <w:rPr>
                <w:rFonts w:ascii="Arial" w:eastAsia="Times New Roman" w:hAnsi="Arial" w:cs="Arial"/>
                <w:color w:val="auto"/>
                <w:sz w:val="16"/>
                <w:szCs w:val="16"/>
                <w:lang w:eastAsia="en-AU"/>
              </w:rPr>
            </w:pPr>
            <w:r w:rsidRPr="0028461A">
              <w:rPr>
                <w:rFonts w:ascii="Arial" w:eastAsia="Times New Roman" w:hAnsi="Arial" w:cs="Arial"/>
                <w:color w:val="auto"/>
                <w:sz w:val="16"/>
                <w:szCs w:val="16"/>
                <w:lang w:eastAsia="en-AU"/>
              </w:rPr>
              <w:t>Drafting</w:t>
            </w:r>
          </w:p>
        </w:tc>
        <w:tc>
          <w:tcPr>
            <w:tcW w:w="490" w:type="dxa"/>
            <w:shd w:val="clear" w:color="auto" w:fill="auto"/>
            <w:noWrap/>
            <w:hideMark/>
          </w:tcPr>
          <w:p w14:paraId="3D601012" w14:textId="671CF21D"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0912B3">
              <w:rPr>
                <w:rFonts w:ascii="Arial" w:eastAsia="Times New Roman" w:hAnsi="Arial" w:cs="Arial"/>
                <w:b/>
                <w:bCs/>
                <w:color w:val="auto"/>
                <w:sz w:val="16"/>
                <w:szCs w:val="16"/>
                <w:lang w:eastAsia="en-AU"/>
              </w:rPr>
              <w:t>-</w:t>
            </w:r>
          </w:p>
        </w:tc>
        <w:tc>
          <w:tcPr>
            <w:tcW w:w="0" w:type="auto"/>
            <w:shd w:val="clear" w:color="auto" w:fill="auto"/>
            <w:noWrap/>
            <w:hideMark/>
          </w:tcPr>
          <w:p w14:paraId="295565F8" w14:textId="7D36E9C8"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D72AD9">
              <w:rPr>
                <w:rFonts w:ascii="Arial" w:eastAsia="Times New Roman" w:hAnsi="Arial" w:cs="Arial"/>
                <w:b/>
                <w:bCs/>
                <w:color w:val="auto"/>
                <w:sz w:val="16"/>
                <w:szCs w:val="16"/>
                <w:lang w:eastAsia="en-AU"/>
              </w:rPr>
              <w:t>-</w:t>
            </w:r>
          </w:p>
        </w:tc>
        <w:tc>
          <w:tcPr>
            <w:tcW w:w="0" w:type="auto"/>
            <w:shd w:val="pct12" w:color="000000" w:fill="FFFFFF"/>
            <w:noWrap/>
            <w:hideMark/>
          </w:tcPr>
          <w:p w14:paraId="4C35B65B" w14:textId="0A54802B" w:rsidR="005B4472" w:rsidRPr="005B4472" w:rsidRDefault="005B4472" w:rsidP="005B4472">
            <w:pPr>
              <w:spacing w:after="0" w:line="240" w:lineRule="auto"/>
              <w:jc w:val="center"/>
              <w:rPr>
                <w:rFonts w:eastAsia="Times New Roman" w:cstheme="minorHAnsi"/>
                <w:color w:val="auto"/>
                <w:sz w:val="16"/>
                <w:szCs w:val="16"/>
                <w:lang w:eastAsia="en-AU"/>
              </w:rPr>
            </w:pPr>
            <w:r w:rsidRPr="005A7A64">
              <w:rPr>
                <w:rFonts w:ascii="Arial" w:eastAsia="Times New Roman" w:hAnsi="Arial" w:cs="Arial"/>
                <w:b/>
                <w:bCs/>
                <w:color w:val="auto"/>
                <w:sz w:val="16"/>
                <w:szCs w:val="16"/>
                <w:lang w:eastAsia="en-AU"/>
              </w:rPr>
              <w:t>-</w:t>
            </w:r>
          </w:p>
        </w:tc>
        <w:tc>
          <w:tcPr>
            <w:tcW w:w="0" w:type="auto"/>
            <w:shd w:val="pct12" w:color="000000" w:fill="FFFFFF"/>
            <w:noWrap/>
            <w:hideMark/>
          </w:tcPr>
          <w:p w14:paraId="43A1A40A" w14:textId="1D0F6440" w:rsidR="005B4472" w:rsidRPr="005B4472" w:rsidRDefault="005B4472" w:rsidP="005B4472">
            <w:pPr>
              <w:spacing w:after="0" w:line="240" w:lineRule="auto"/>
              <w:jc w:val="center"/>
              <w:rPr>
                <w:rFonts w:eastAsia="Times New Roman" w:cstheme="minorHAnsi"/>
                <w:color w:val="auto"/>
                <w:sz w:val="16"/>
                <w:szCs w:val="16"/>
                <w:lang w:eastAsia="en-AU"/>
              </w:rPr>
            </w:pPr>
            <w:r w:rsidRPr="005A7A64">
              <w:rPr>
                <w:rFonts w:ascii="Arial" w:eastAsia="Times New Roman" w:hAnsi="Arial" w:cs="Arial"/>
                <w:b/>
                <w:bCs/>
                <w:color w:val="auto"/>
                <w:sz w:val="16"/>
                <w:szCs w:val="16"/>
                <w:lang w:eastAsia="en-AU"/>
              </w:rPr>
              <w:t>-</w:t>
            </w:r>
          </w:p>
        </w:tc>
        <w:tc>
          <w:tcPr>
            <w:tcW w:w="0" w:type="auto"/>
            <w:shd w:val="clear" w:color="000000" w:fill="FFFFFF"/>
            <w:noWrap/>
            <w:hideMark/>
          </w:tcPr>
          <w:p w14:paraId="2B1EEB73" w14:textId="0C26424B" w:rsidR="005B4472" w:rsidRPr="005B4472" w:rsidRDefault="005B4472" w:rsidP="005B4472">
            <w:pPr>
              <w:spacing w:after="0" w:line="240" w:lineRule="auto"/>
              <w:jc w:val="center"/>
              <w:rPr>
                <w:rFonts w:ascii="Arial" w:eastAsia="Times New Roman" w:hAnsi="Arial" w:cs="Arial"/>
                <w:b/>
                <w:bCs/>
                <w:color w:val="auto"/>
                <w:sz w:val="16"/>
                <w:szCs w:val="16"/>
                <w:lang w:eastAsia="en-AU"/>
              </w:rPr>
            </w:pPr>
            <w:r w:rsidRPr="00D80A9A">
              <w:rPr>
                <w:rFonts w:ascii="Arial" w:eastAsia="Times New Roman" w:hAnsi="Arial" w:cs="Arial"/>
                <w:b/>
                <w:bCs/>
                <w:color w:val="auto"/>
                <w:sz w:val="16"/>
                <w:szCs w:val="16"/>
                <w:lang w:eastAsia="en-AU"/>
              </w:rPr>
              <w:t>-</w:t>
            </w:r>
          </w:p>
        </w:tc>
        <w:tc>
          <w:tcPr>
            <w:tcW w:w="0" w:type="auto"/>
            <w:shd w:val="clear" w:color="000000" w:fill="FFFFFF"/>
            <w:noWrap/>
            <w:hideMark/>
          </w:tcPr>
          <w:p w14:paraId="5C3B701F" w14:textId="3C505A97" w:rsidR="005B4472" w:rsidRPr="005B4472" w:rsidRDefault="005B4472" w:rsidP="005B4472">
            <w:pPr>
              <w:spacing w:after="0" w:line="240" w:lineRule="auto"/>
              <w:jc w:val="center"/>
              <w:rPr>
                <w:rFonts w:ascii="Arial" w:eastAsia="Times New Roman" w:hAnsi="Arial" w:cs="Arial"/>
                <w:b/>
                <w:bCs/>
                <w:color w:val="auto"/>
                <w:sz w:val="16"/>
                <w:szCs w:val="16"/>
                <w:lang w:eastAsia="en-AU"/>
              </w:rPr>
            </w:pPr>
            <w:r w:rsidRPr="009A7CA0">
              <w:rPr>
                <w:rFonts w:ascii="Arial" w:eastAsia="Times New Roman" w:hAnsi="Arial" w:cs="Arial"/>
                <w:b/>
                <w:bCs/>
                <w:color w:val="auto"/>
                <w:sz w:val="16"/>
                <w:szCs w:val="16"/>
                <w:lang w:eastAsia="en-AU"/>
              </w:rPr>
              <w:t>-</w:t>
            </w:r>
          </w:p>
        </w:tc>
        <w:tc>
          <w:tcPr>
            <w:tcW w:w="0" w:type="auto"/>
            <w:shd w:val="clear" w:color="auto" w:fill="auto"/>
            <w:noWrap/>
            <w:hideMark/>
          </w:tcPr>
          <w:p w14:paraId="6F492AD4" w14:textId="3609B742"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9A7CA0">
              <w:rPr>
                <w:rFonts w:ascii="Arial" w:eastAsia="Times New Roman" w:hAnsi="Arial" w:cs="Arial"/>
                <w:b/>
                <w:bCs/>
                <w:color w:val="auto"/>
                <w:sz w:val="16"/>
                <w:szCs w:val="16"/>
                <w:lang w:eastAsia="en-AU"/>
              </w:rPr>
              <w:t>-</w:t>
            </w:r>
          </w:p>
        </w:tc>
        <w:tc>
          <w:tcPr>
            <w:tcW w:w="0" w:type="auto"/>
            <w:shd w:val="clear" w:color="auto" w:fill="auto"/>
            <w:noWrap/>
            <w:hideMark/>
          </w:tcPr>
          <w:p w14:paraId="64FCF17D" w14:textId="66C9B155"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9C2860">
              <w:rPr>
                <w:rFonts w:ascii="Arial" w:eastAsia="Times New Roman" w:hAnsi="Arial" w:cs="Arial"/>
                <w:b/>
                <w:bCs/>
                <w:color w:val="auto"/>
                <w:sz w:val="16"/>
                <w:szCs w:val="16"/>
                <w:lang w:eastAsia="en-AU"/>
              </w:rPr>
              <w:t>-</w:t>
            </w:r>
          </w:p>
        </w:tc>
        <w:tc>
          <w:tcPr>
            <w:tcW w:w="0" w:type="auto"/>
            <w:shd w:val="clear" w:color="auto" w:fill="auto"/>
            <w:noWrap/>
            <w:hideMark/>
          </w:tcPr>
          <w:p w14:paraId="56C92698" w14:textId="3EE4CBD2"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9C2860">
              <w:rPr>
                <w:rFonts w:ascii="Arial" w:eastAsia="Times New Roman" w:hAnsi="Arial" w:cs="Arial"/>
                <w:b/>
                <w:bCs/>
                <w:color w:val="auto"/>
                <w:sz w:val="16"/>
                <w:szCs w:val="16"/>
                <w:lang w:eastAsia="en-AU"/>
              </w:rPr>
              <w:t>-</w:t>
            </w:r>
          </w:p>
        </w:tc>
        <w:tc>
          <w:tcPr>
            <w:tcW w:w="0" w:type="auto"/>
            <w:shd w:val="clear" w:color="auto" w:fill="auto"/>
            <w:noWrap/>
            <w:hideMark/>
          </w:tcPr>
          <w:p w14:paraId="7DDA7B6B" w14:textId="1A36EFE6"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B40D52">
              <w:rPr>
                <w:rFonts w:ascii="Arial" w:eastAsia="Times New Roman" w:hAnsi="Arial" w:cs="Arial"/>
                <w:b/>
                <w:bCs/>
                <w:color w:val="auto"/>
                <w:sz w:val="16"/>
                <w:szCs w:val="16"/>
                <w:lang w:eastAsia="en-AU"/>
              </w:rPr>
              <w:t>-</w:t>
            </w:r>
          </w:p>
        </w:tc>
        <w:tc>
          <w:tcPr>
            <w:tcW w:w="0" w:type="auto"/>
            <w:shd w:val="clear" w:color="auto" w:fill="auto"/>
            <w:noWrap/>
            <w:hideMark/>
          </w:tcPr>
          <w:p w14:paraId="41BDAEC8" w14:textId="20BEF328"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B40D52">
              <w:rPr>
                <w:rFonts w:ascii="Arial" w:eastAsia="Times New Roman" w:hAnsi="Arial" w:cs="Arial"/>
                <w:b/>
                <w:bCs/>
                <w:color w:val="auto"/>
                <w:sz w:val="16"/>
                <w:szCs w:val="16"/>
                <w:lang w:eastAsia="en-AU"/>
              </w:rPr>
              <w:t>-</w:t>
            </w:r>
          </w:p>
        </w:tc>
        <w:tc>
          <w:tcPr>
            <w:tcW w:w="0" w:type="auto"/>
            <w:shd w:val="clear" w:color="000000" w:fill="808080"/>
            <w:noWrap/>
            <w:hideMark/>
          </w:tcPr>
          <w:p w14:paraId="24E712B0" w14:textId="15AC7CE9"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000000" w:fill="808080"/>
            <w:noWrap/>
            <w:hideMark/>
          </w:tcPr>
          <w:p w14:paraId="4FC4B038" w14:textId="7B898DD2"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000000" w:fill="808080"/>
            <w:noWrap/>
            <w:hideMark/>
          </w:tcPr>
          <w:p w14:paraId="47A93CB8" w14:textId="5ED90F82"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428B39A8" w14:textId="29453CA1"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722FC190" w14:textId="75990694"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2D21A1DB" w14:textId="1E7BC16D"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7E4B21CD" w14:textId="42E64F06"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235CAE1C" w14:textId="2EF7F1E0"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thinDiagCross" w:color="auto" w:fill="auto"/>
            <w:noWrap/>
            <w:hideMark/>
          </w:tcPr>
          <w:p w14:paraId="35902CBB" w14:textId="6C4BEE72" w:rsidR="005B4472" w:rsidRPr="0028461A" w:rsidRDefault="005B4472" w:rsidP="005B4472">
            <w:pPr>
              <w:spacing w:after="0" w:line="240" w:lineRule="auto"/>
              <w:jc w:val="center"/>
              <w:rPr>
                <w:rFonts w:ascii="Arial" w:eastAsia="Times New Roman" w:hAnsi="Arial" w:cs="Arial"/>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7710E37D" w14:textId="0D806A30"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5DF41F48" w14:textId="1A68A224"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7960E425" w14:textId="2491C180"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151D5B3A" w14:textId="4B0B3D4D"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2241763F" w14:textId="00089BC9"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44620EE0" w14:textId="68065956"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00E185DD" w14:textId="0755CA4C"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66D924A2" w14:textId="436F339B"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335F4148" w14:textId="13D399A6"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685831B5" w14:textId="0754F428"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r>
      <w:tr w:rsidR="005B4472" w:rsidRPr="004D6AEA" w14:paraId="65D2F464" w14:textId="77777777" w:rsidTr="00420843">
        <w:trPr>
          <w:trHeight w:val="285"/>
        </w:trPr>
        <w:tc>
          <w:tcPr>
            <w:tcW w:w="2580" w:type="dxa"/>
            <w:shd w:val="clear" w:color="auto" w:fill="auto"/>
            <w:noWrap/>
            <w:vAlign w:val="bottom"/>
            <w:hideMark/>
          </w:tcPr>
          <w:p w14:paraId="04407666" w14:textId="77777777" w:rsidR="005B4472" w:rsidRPr="0028461A" w:rsidRDefault="005B4472" w:rsidP="005B4472">
            <w:pPr>
              <w:spacing w:after="0" w:line="240" w:lineRule="auto"/>
              <w:rPr>
                <w:rFonts w:ascii="Arial" w:eastAsia="Times New Roman" w:hAnsi="Arial" w:cs="Arial"/>
                <w:color w:val="auto"/>
                <w:sz w:val="16"/>
                <w:szCs w:val="16"/>
                <w:lang w:eastAsia="en-AU"/>
              </w:rPr>
            </w:pPr>
            <w:r w:rsidRPr="0028461A">
              <w:rPr>
                <w:rFonts w:ascii="Arial" w:eastAsia="Times New Roman" w:hAnsi="Arial" w:cs="Arial"/>
                <w:color w:val="auto"/>
                <w:sz w:val="16"/>
                <w:szCs w:val="16"/>
                <w:lang w:eastAsia="en-AU"/>
              </w:rPr>
              <w:t>Workshop - prelim findings and design issues</w:t>
            </w:r>
          </w:p>
        </w:tc>
        <w:tc>
          <w:tcPr>
            <w:tcW w:w="490" w:type="dxa"/>
            <w:shd w:val="clear" w:color="auto" w:fill="auto"/>
            <w:noWrap/>
            <w:hideMark/>
          </w:tcPr>
          <w:p w14:paraId="380ACF38" w14:textId="5C81303B"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0912B3">
              <w:rPr>
                <w:rFonts w:ascii="Arial" w:eastAsia="Times New Roman" w:hAnsi="Arial" w:cs="Arial"/>
                <w:b/>
                <w:bCs/>
                <w:color w:val="auto"/>
                <w:sz w:val="16"/>
                <w:szCs w:val="16"/>
                <w:lang w:eastAsia="en-AU"/>
              </w:rPr>
              <w:t>-</w:t>
            </w:r>
          </w:p>
        </w:tc>
        <w:tc>
          <w:tcPr>
            <w:tcW w:w="0" w:type="auto"/>
            <w:shd w:val="clear" w:color="auto" w:fill="auto"/>
            <w:noWrap/>
            <w:hideMark/>
          </w:tcPr>
          <w:p w14:paraId="11BC589C" w14:textId="3EB395EB"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D72AD9">
              <w:rPr>
                <w:rFonts w:ascii="Arial" w:eastAsia="Times New Roman" w:hAnsi="Arial" w:cs="Arial"/>
                <w:b/>
                <w:bCs/>
                <w:color w:val="auto"/>
                <w:sz w:val="16"/>
                <w:szCs w:val="16"/>
                <w:lang w:eastAsia="en-AU"/>
              </w:rPr>
              <w:t>-</w:t>
            </w:r>
          </w:p>
        </w:tc>
        <w:tc>
          <w:tcPr>
            <w:tcW w:w="0" w:type="auto"/>
            <w:shd w:val="pct12" w:color="000000" w:fill="FFFFFF"/>
            <w:noWrap/>
            <w:hideMark/>
          </w:tcPr>
          <w:p w14:paraId="01A0142B" w14:textId="66C59D01" w:rsidR="005B4472" w:rsidRPr="005B4472" w:rsidRDefault="005B4472" w:rsidP="005B4472">
            <w:pPr>
              <w:spacing w:after="0" w:line="240" w:lineRule="auto"/>
              <w:jc w:val="center"/>
              <w:rPr>
                <w:rFonts w:eastAsia="Times New Roman" w:cstheme="minorHAnsi"/>
                <w:color w:val="auto"/>
                <w:sz w:val="16"/>
                <w:szCs w:val="16"/>
                <w:lang w:eastAsia="en-AU"/>
              </w:rPr>
            </w:pPr>
            <w:r w:rsidRPr="005A7A64">
              <w:rPr>
                <w:rFonts w:ascii="Arial" w:eastAsia="Times New Roman" w:hAnsi="Arial" w:cs="Arial"/>
                <w:b/>
                <w:bCs/>
                <w:color w:val="auto"/>
                <w:sz w:val="16"/>
                <w:szCs w:val="16"/>
                <w:lang w:eastAsia="en-AU"/>
              </w:rPr>
              <w:t>-</w:t>
            </w:r>
          </w:p>
        </w:tc>
        <w:tc>
          <w:tcPr>
            <w:tcW w:w="0" w:type="auto"/>
            <w:shd w:val="pct12" w:color="000000" w:fill="FFFFFF"/>
            <w:noWrap/>
            <w:hideMark/>
          </w:tcPr>
          <w:p w14:paraId="753271A3" w14:textId="7285A158" w:rsidR="005B4472" w:rsidRPr="005B4472" w:rsidRDefault="005B4472" w:rsidP="005B4472">
            <w:pPr>
              <w:spacing w:after="0" w:line="240" w:lineRule="auto"/>
              <w:jc w:val="center"/>
              <w:rPr>
                <w:rFonts w:eastAsia="Times New Roman" w:cstheme="minorHAnsi"/>
                <w:color w:val="auto"/>
                <w:sz w:val="16"/>
                <w:szCs w:val="16"/>
                <w:lang w:eastAsia="en-AU"/>
              </w:rPr>
            </w:pPr>
            <w:r w:rsidRPr="005A7A64">
              <w:rPr>
                <w:rFonts w:ascii="Arial" w:eastAsia="Times New Roman" w:hAnsi="Arial" w:cs="Arial"/>
                <w:b/>
                <w:bCs/>
                <w:color w:val="auto"/>
                <w:sz w:val="16"/>
                <w:szCs w:val="16"/>
                <w:lang w:eastAsia="en-AU"/>
              </w:rPr>
              <w:t>-</w:t>
            </w:r>
          </w:p>
        </w:tc>
        <w:tc>
          <w:tcPr>
            <w:tcW w:w="0" w:type="auto"/>
            <w:shd w:val="clear" w:color="000000" w:fill="FFFFFF"/>
            <w:noWrap/>
            <w:hideMark/>
          </w:tcPr>
          <w:p w14:paraId="2B3E6703" w14:textId="32C9E4E1" w:rsidR="005B4472" w:rsidRPr="005B4472" w:rsidRDefault="005B4472" w:rsidP="005B4472">
            <w:pPr>
              <w:spacing w:after="0" w:line="240" w:lineRule="auto"/>
              <w:jc w:val="center"/>
              <w:rPr>
                <w:rFonts w:ascii="Arial" w:eastAsia="Times New Roman" w:hAnsi="Arial" w:cs="Arial"/>
                <w:b/>
                <w:bCs/>
                <w:color w:val="auto"/>
                <w:sz w:val="16"/>
                <w:szCs w:val="16"/>
                <w:lang w:eastAsia="en-AU"/>
              </w:rPr>
            </w:pPr>
            <w:r w:rsidRPr="00D80A9A">
              <w:rPr>
                <w:rFonts w:ascii="Arial" w:eastAsia="Times New Roman" w:hAnsi="Arial" w:cs="Arial"/>
                <w:b/>
                <w:bCs/>
                <w:color w:val="auto"/>
                <w:sz w:val="16"/>
                <w:szCs w:val="16"/>
                <w:lang w:eastAsia="en-AU"/>
              </w:rPr>
              <w:t>-</w:t>
            </w:r>
          </w:p>
        </w:tc>
        <w:tc>
          <w:tcPr>
            <w:tcW w:w="0" w:type="auto"/>
            <w:shd w:val="clear" w:color="000000" w:fill="FFFFFF"/>
            <w:noWrap/>
            <w:hideMark/>
          </w:tcPr>
          <w:p w14:paraId="1402B995" w14:textId="71B01803" w:rsidR="005B4472" w:rsidRPr="005B4472" w:rsidRDefault="005B4472" w:rsidP="005B4472">
            <w:pPr>
              <w:spacing w:after="0" w:line="240" w:lineRule="auto"/>
              <w:jc w:val="center"/>
              <w:rPr>
                <w:rFonts w:ascii="Arial" w:eastAsia="Times New Roman" w:hAnsi="Arial" w:cs="Arial"/>
                <w:b/>
                <w:bCs/>
                <w:color w:val="auto"/>
                <w:sz w:val="16"/>
                <w:szCs w:val="16"/>
                <w:lang w:eastAsia="en-AU"/>
              </w:rPr>
            </w:pPr>
            <w:r w:rsidRPr="009A7CA0">
              <w:rPr>
                <w:rFonts w:ascii="Arial" w:eastAsia="Times New Roman" w:hAnsi="Arial" w:cs="Arial"/>
                <w:b/>
                <w:bCs/>
                <w:color w:val="auto"/>
                <w:sz w:val="16"/>
                <w:szCs w:val="16"/>
                <w:lang w:eastAsia="en-AU"/>
              </w:rPr>
              <w:t>-</w:t>
            </w:r>
          </w:p>
        </w:tc>
        <w:tc>
          <w:tcPr>
            <w:tcW w:w="0" w:type="auto"/>
            <w:shd w:val="clear" w:color="000000" w:fill="FFFFFF"/>
            <w:noWrap/>
            <w:hideMark/>
          </w:tcPr>
          <w:p w14:paraId="4796344A" w14:textId="2DC827CF"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9A7CA0">
              <w:rPr>
                <w:rFonts w:ascii="Arial" w:eastAsia="Times New Roman" w:hAnsi="Arial" w:cs="Arial"/>
                <w:b/>
                <w:bCs/>
                <w:color w:val="auto"/>
                <w:sz w:val="16"/>
                <w:szCs w:val="16"/>
                <w:lang w:eastAsia="en-AU"/>
              </w:rPr>
              <w:t>-</w:t>
            </w:r>
          </w:p>
        </w:tc>
        <w:tc>
          <w:tcPr>
            <w:tcW w:w="0" w:type="auto"/>
            <w:shd w:val="clear" w:color="000000" w:fill="FFFFFF"/>
            <w:noWrap/>
            <w:hideMark/>
          </w:tcPr>
          <w:p w14:paraId="6860C655" w14:textId="62A4E836"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9C2860">
              <w:rPr>
                <w:rFonts w:ascii="Arial" w:eastAsia="Times New Roman" w:hAnsi="Arial" w:cs="Arial"/>
                <w:b/>
                <w:bCs/>
                <w:color w:val="auto"/>
                <w:sz w:val="16"/>
                <w:szCs w:val="16"/>
                <w:lang w:eastAsia="en-AU"/>
              </w:rPr>
              <w:t>-</w:t>
            </w:r>
          </w:p>
        </w:tc>
        <w:tc>
          <w:tcPr>
            <w:tcW w:w="0" w:type="auto"/>
            <w:shd w:val="clear" w:color="auto" w:fill="auto"/>
            <w:noWrap/>
            <w:hideMark/>
          </w:tcPr>
          <w:p w14:paraId="63A5A7B5" w14:textId="6A6C0F7A"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9C2860">
              <w:rPr>
                <w:rFonts w:ascii="Arial" w:eastAsia="Times New Roman" w:hAnsi="Arial" w:cs="Arial"/>
                <w:b/>
                <w:bCs/>
                <w:color w:val="auto"/>
                <w:sz w:val="16"/>
                <w:szCs w:val="16"/>
                <w:lang w:eastAsia="en-AU"/>
              </w:rPr>
              <w:t>-</w:t>
            </w:r>
          </w:p>
        </w:tc>
        <w:tc>
          <w:tcPr>
            <w:tcW w:w="0" w:type="auto"/>
            <w:shd w:val="clear" w:color="000000" w:fill="FFFFFF"/>
            <w:noWrap/>
            <w:hideMark/>
          </w:tcPr>
          <w:p w14:paraId="651FBC1E" w14:textId="489E0719"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B40D52">
              <w:rPr>
                <w:rFonts w:ascii="Arial" w:eastAsia="Times New Roman" w:hAnsi="Arial" w:cs="Arial"/>
                <w:b/>
                <w:bCs/>
                <w:color w:val="auto"/>
                <w:sz w:val="16"/>
                <w:szCs w:val="16"/>
                <w:lang w:eastAsia="en-AU"/>
              </w:rPr>
              <w:t>-</w:t>
            </w:r>
          </w:p>
        </w:tc>
        <w:tc>
          <w:tcPr>
            <w:tcW w:w="0" w:type="auto"/>
            <w:shd w:val="clear" w:color="000000" w:fill="FFFFFF"/>
            <w:noWrap/>
            <w:hideMark/>
          </w:tcPr>
          <w:p w14:paraId="0D80C449" w14:textId="58830585"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B40D52">
              <w:rPr>
                <w:rFonts w:ascii="Arial" w:eastAsia="Times New Roman" w:hAnsi="Arial" w:cs="Arial"/>
                <w:b/>
                <w:bCs/>
                <w:color w:val="auto"/>
                <w:sz w:val="16"/>
                <w:szCs w:val="16"/>
                <w:lang w:eastAsia="en-AU"/>
              </w:rPr>
              <w:t>-</w:t>
            </w:r>
          </w:p>
        </w:tc>
        <w:tc>
          <w:tcPr>
            <w:tcW w:w="0" w:type="auto"/>
            <w:shd w:val="clear" w:color="000000" w:fill="FFFFFF"/>
            <w:noWrap/>
            <w:hideMark/>
          </w:tcPr>
          <w:p w14:paraId="1FF6E1E3" w14:textId="1540B12B"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5D44923C" w14:textId="6712A2A7"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2AAB00A8" w14:textId="4834DF25"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000000" w:fill="808080"/>
            <w:noWrap/>
            <w:hideMark/>
          </w:tcPr>
          <w:p w14:paraId="7D450658" w14:textId="6033BFCF"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5C114B96" w14:textId="0A9E621E"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1E8DAFCE" w14:textId="0CB8246E"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3C9E4468" w14:textId="187278DE"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1EB32A11" w14:textId="7906E9AD"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thinDiagCross" w:color="auto" w:fill="auto"/>
            <w:noWrap/>
            <w:hideMark/>
          </w:tcPr>
          <w:p w14:paraId="5A61914F" w14:textId="380784B9" w:rsidR="005B4472" w:rsidRPr="0028461A" w:rsidRDefault="005B4472" w:rsidP="005B4472">
            <w:pPr>
              <w:spacing w:after="0" w:line="240" w:lineRule="auto"/>
              <w:jc w:val="center"/>
              <w:rPr>
                <w:rFonts w:ascii="Arial" w:eastAsia="Times New Roman" w:hAnsi="Arial" w:cs="Arial"/>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6C107A4F" w14:textId="12765F93"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4F311725" w14:textId="3B20F58D"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2951B664" w14:textId="06B90A4B"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3ECEECE6" w14:textId="093B9B34"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236313D7" w14:textId="654D0C4A"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2AFCE23E" w14:textId="569E311A"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428034C6" w14:textId="013E7BF0"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4B755803" w14:textId="1C1B8CD7"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6FBE3AE3" w14:textId="37BA2230"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6FE60176" w14:textId="61274645"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r>
      <w:tr w:rsidR="005B4472" w:rsidRPr="004D6AEA" w14:paraId="360D001F" w14:textId="77777777" w:rsidTr="00420843">
        <w:trPr>
          <w:trHeight w:val="285"/>
        </w:trPr>
        <w:tc>
          <w:tcPr>
            <w:tcW w:w="2580" w:type="dxa"/>
            <w:shd w:val="clear" w:color="auto" w:fill="auto"/>
            <w:noWrap/>
            <w:vAlign w:val="bottom"/>
            <w:hideMark/>
          </w:tcPr>
          <w:p w14:paraId="68F68927" w14:textId="77777777" w:rsidR="005B4472" w:rsidRPr="0028461A" w:rsidRDefault="005B4472" w:rsidP="005B4472">
            <w:pPr>
              <w:spacing w:after="0" w:line="240" w:lineRule="auto"/>
              <w:rPr>
                <w:rFonts w:ascii="Arial" w:eastAsia="Times New Roman" w:hAnsi="Arial" w:cs="Arial"/>
                <w:color w:val="auto"/>
                <w:sz w:val="16"/>
                <w:szCs w:val="16"/>
                <w:lang w:eastAsia="en-AU"/>
              </w:rPr>
            </w:pPr>
            <w:r w:rsidRPr="0028461A">
              <w:rPr>
                <w:rFonts w:ascii="Arial" w:eastAsia="Times New Roman" w:hAnsi="Arial" w:cs="Arial"/>
                <w:color w:val="auto"/>
                <w:sz w:val="16"/>
                <w:szCs w:val="16"/>
                <w:lang w:eastAsia="en-AU"/>
              </w:rPr>
              <w:t>First draft submission</w:t>
            </w:r>
          </w:p>
        </w:tc>
        <w:tc>
          <w:tcPr>
            <w:tcW w:w="490" w:type="dxa"/>
            <w:shd w:val="clear" w:color="auto" w:fill="auto"/>
            <w:noWrap/>
            <w:hideMark/>
          </w:tcPr>
          <w:p w14:paraId="54F87B6D" w14:textId="63241E46"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0912B3">
              <w:rPr>
                <w:rFonts w:ascii="Arial" w:eastAsia="Times New Roman" w:hAnsi="Arial" w:cs="Arial"/>
                <w:b/>
                <w:bCs/>
                <w:color w:val="auto"/>
                <w:sz w:val="16"/>
                <w:szCs w:val="16"/>
                <w:lang w:eastAsia="en-AU"/>
              </w:rPr>
              <w:t>-</w:t>
            </w:r>
          </w:p>
        </w:tc>
        <w:tc>
          <w:tcPr>
            <w:tcW w:w="0" w:type="auto"/>
            <w:shd w:val="clear" w:color="auto" w:fill="auto"/>
            <w:noWrap/>
            <w:hideMark/>
          </w:tcPr>
          <w:p w14:paraId="5BA3F1C4" w14:textId="0A8B2061"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D72AD9">
              <w:rPr>
                <w:rFonts w:ascii="Arial" w:eastAsia="Times New Roman" w:hAnsi="Arial" w:cs="Arial"/>
                <w:b/>
                <w:bCs/>
                <w:color w:val="auto"/>
                <w:sz w:val="16"/>
                <w:szCs w:val="16"/>
                <w:lang w:eastAsia="en-AU"/>
              </w:rPr>
              <w:t>-</w:t>
            </w:r>
          </w:p>
        </w:tc>
        <w:tc>
          <w:tcPr>
            <w:tcW w:w="0" w:type="auto"/>
            <w:shd w:val="pct12" w:color="000000" w:fill="FFFFFF"/>
            <w:noWrap/>
            <w:hideMark/>
          </w:tcPr>
          <w:p w14:paraId="3B7EDEFE" w14:textId="46250FB9" w:rsidR="005B4472" w:rsidRPr="005B4472" w:rsidRDefault="005B4472" w:rsidP="005B4472">
            <w:pPr>
              <w:spacing w:after="0" w:line="240" w:lineRule="auto"/>
              <w:jc w:val="center"/>
              <w:rPr>
                <w:rFonts w:eastAsia="Times New Roman" w:cstheme="minorHAnsi"/>
                <w:color w:val="auto"/>
                <w:sz w:val="16"/>
                <w:szCs w:val="16"/>
                <w:lang w:eastAsia="en-AU"/>
              </w:rPr>
            </w:pPr>
            <w:r w:rsidRPr="005A7A64">
              <w:rPr>
                <w:rFonts w:ascii="Arial" w:eastAsia="Times New Roman" w:hAnsi="Arial" w:cs="Arial"/>
                <w:b/>
                <w:bCs/>
                <w:color w:val="auto"/>
                <w:sz w:val="16"/>
                <w:szCs w:val="16"/>
                <w:lang w:eastAsia="en-AU"/>
              </w:rPr>
              <w:t>-</w:t>
            </w:r>
          </w:p>
        </w:tc>
        <w:tc>
          <w:tcPr>
            <w:tcW w:w="0" w:type="auto"/>
            <w:shd w:val="pct12" w:color="000000" w:fill="FFFFFF"/>
            <w:noWrap/>
            <w:hideMark/>
          </w:tcPr>
          <w:p w14:paraId="0D3D9A9B" w14:textId="0B8BB2B8" w:rsidR="005B4472" w:rsidRPr="005B4472" w:rsidRDefault="005B4472" w:rsidP="005B4472">
            <w:pPr>
              <w:spacing w:after="0" w:line="240" w:lineRule="auto"/>
              <w:jc w:val="center"/>
              <w:rPr>
                <w:rFonts w:eastAsia="Times New Roman" w:cstheme="minorHAnsi"/>
                <w:color w:val="auto"/>
                <w:sz w:val="16"/>
                <w:szCs w:val="16"/>
                <w:lang w:eastAsia="en-AU"/>
              </w:rPr>
            </w:pPr>
            <w:r w:rsidRPr="005A7A64">
              <w:rPr>
                <w:rFonts w:ascii="Arial" w:eastAsia="Times New Roman" w:hAnsi="Arial" w:cs="Arial"/>
                <w:b/>
                <w:bCs/>
                <w:color w:val="auto"/>
                <w:sz w:val="16"/>
                <w:szCs w:val="16"/>
                <w:lang w:eastAsia="en-AU"/>
              </w:rPr>
              <w:t>-</w:t>
            </w:r>
          </w:p>
        </w:tc>
        <w:tc>
          <w:tcPr>
            <w:tcW w:w="0" w:type="auto"/>
            <w:shd w:val="clear" w:color="000000" w:fill="FFFFFF"/>
            <w:noWrap/>
            <w:hideMark/>
          </w:tcPr>
          <w:p w14:paraId="0F60E81B" w14:textId="065E56F8" w:rsidR="005B4472" w:rsidRPr="005B4472" w:rsidRDefault="005B4472" w:rsidP="005B4472">
            <w:pPr>
              <w:spacing w:after="0" w:line="240" w:lineRule="auto"/>
              <w:jc w:val="center"/>
              <w:rPr>
                <w:rFonts w:ascii="Arial" w:eastAsia="Times New Roman" w:hAnsi="Arial" w:cs="Arial"/>
                <w:b/>
                <w:bCs/>
                <w:color w:val="auto"/>
                <w:sz w:val="16"/>
                <w:szCs w:val="16"/>
                <w:lang w:eastAsia="en-AU"/>
              </w:rPr>
            </w:pPr>
            <w:r w:rsidRPr="00D80A9A">
              <w:rPr>
                <w:rFonts w:ascii="Arial" w:eastAsia="Times New Roman" w:hAnsi="Arial" w:cs="Arial"/>
                <w:b/>
                <w:bCs/>
                <w:color w:val="auto"/>
                <w:sz w:val="16"/>
                <w:szCs w:val="16"/>
                <w:lang w:eastAsia="en-AU"/>
              </w:rPr>
              <w:t>-</w:t>
            </w:r>
          </w:p>
        </w:tc>
        <w:tc>
          <w:tcPr>
            <w:tcW w:w="0" w:type="auto"/>
            <w:shd w:val="clear" w:color="000000" w:fill="FFFFFF"/>
            <w:noWrap/>
            <w:hideMark/>
          </w:tcPr>
          <w:p w14:paraId="13B50557" w14:textId="0B961E09" w:rsidR="005B4472" w:rsidRPr="005B4472" w:rsidRDefault="005B4472" w:rsidP="005B4472">
            <w:pPr>
              <w:spacing w:after="0" w:line="240" w:lineRule="auto"/>
              <w:jc w:val="center"/>
              <w:rPr>
                <w:rFonts w:ascii="Arial" w:eastAsia="Times New Roman" w:hAnsi="Arial" w:cs="Arial"/>
                <w:b/>
                <w:bCs/>
                <w:color w:val="auto"/>
                <w:sz w:val="16"/>
                <w:szCs w:val="16"/>
                <w:lang w:eastAsia="en-AU"/>
              </w:rPr>
            </w:pPr>
            <w:r w:rsidRPr="009A7CA0">
              <w:rPr>
                <w:rFonts w:ascii="Arial" w:eastAsia="Times New Roman" w:hAnsi="Arial" w:cs="Arial"/>
                <w:b/>
                <w:bCs/>
                <w:color w:val="auto"/>
                <w:sz w:val="16"/>
                <w:szCs w:val="16"/>
                <w:lang w:eastAsia="en-AU"/>
              </w:rPr>
              <w:t>-</w:t>
            </w:r>
          </w:p>
        </w:tc>
        <w:tc>
          <w:tcPr>
            <w:tcW w:w="0" w:type="auto"/>
            <w:shd w:val="clear" w:color="000000" w:fill="FFFFFF"/>
            <w:noWrap/>
            <w:hideMark/>
          </w:tcPr>
          <w:p w14:paraId="229A908E" w14:textId="72ABF8F4"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9A7CA0">
              <w:rPr>
                <w:rFonts w:ascii="Arial" w:eastAsia="Times New Roman" w:hAnsi="Arial" w:cs="Arial"/>
                <w:b/>
                <w:bCs/>
                <w:color w:val="auto"/>
                <w:sz w:val="16"/>
                <w:szCs w:val="16"/>
                <w:lang w:eastAsia="en-AU"/>
              </w:rPr>
              <w:t>-</w:t>
            </w:r>
          </w:p>
        </w:tc>
        <w:tc>
          <w:tcPr>
            <w:tcW w:w="0" w:type="auto"/>
            <w:shd w:val="clear" w:color="000000" w:fill="FFFFFF"/>
            <w:noWrap/>
            <w:hideMark/>
          </w:tcPr>
          <w:p w14:paraId="1EA86909" w14:textId="6B6D53C1"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9C2860">
              <w:rPr>
                <w:rFonts w:ascii="Arial" w:eastAsia="Times New Roman" w:hAnsi="Arial" w:cs="Arial"/>
                <w:b/>
                <w:bCs/>
                <w:color w:val="auto"/>
                <w:sz w:val="16"/>
                <w:szCs w:val="16"/>
                <w:lang w:eastAsia="en-AU"/>
              </w:rPr>
              <w:t>-</w:t>
            </w:r>
          </w:p>
        </w:tc>
        <w:tc>
          <w:tcPr>
            <w:tcW w:w="0" w:type="auto"/>
            <w:shd w:val="clear" w:color="auto" w:fill="auto"/>
            <w:noWrap/>
            <w:hideMark/>
          </w:tcPr>
          <w:p w14:paraId="3DD242C1" w14:textId="4E9AB381"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9C2860">
              <w:rPr>
                <w:rFonts w:ascii="Arial" w:eastAsia="Times New Roman" w:hAnsi="Arial" w:cs="Arial"/>
                <w:b/>
                <w:bCs/>
                <w:color w:val="auto"/>
                <w:sz w:val="16"/>
                <w:szCs w:val="16"/>
                <w:lang w:eastAsia="en-AU"/>
              </w:rPr>
              <w:t>-</w:t>
            </w:r>
          </w:p>
        </w:tc>
        <w:tc>
          <w:tcPr>
            <w:tcW w:w="0" w:type="auto"/>
            <w:shd w:val="clear" w:color="000000" w:fill="FFFFFF"/>
            <w:noWrap/>
            <w:hideMark/>
          </w:tcPr>
          <w:p w14:paraId="4657C0B4" w14:textId="71831AED"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B40D52">
              <w:rPr>
                <w:rFonts w:ascii="Arial" w:eastAsia="Times New Roman" w:hAnsi="Arial" w:cs="Arial"/>
                <w:b/>
                <w:bCs/>
                <w:color w:val="auto"/>
                <w:sz w:val="16"/>
                <w:szCs w:val="16"/>
                <w:lang w:eastAsia="en-AU"/>
              </w:rPr>
              <w:t>-</w:t>
            </w:r>
          </w:p>
        </w:tc>
        <w:tc>
          <w:tcPr>
            <w:tcW w:w="0" w:type="auto"/>
            <w:shd w:val="clear" w:color="000000" w:fill="FFFFFF"/>
            <w:noWrap/>
            <w:hideMark/>
          </w:tcPr>
          <w:p w14:paraId="2F888405" w14:textId="35779DCD"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B40D52">
              <w:rPr>
                <w:rFonts w:ascii="Arial" w:eastAsia="Times New Roman" w:hAnsi="Arial" w:cs="Arial"/>
                <w:b/>
                <w:bCs/>
                <w:color w:val="auto"/>
                <w:sz w:val="16"/>
                <w:szCs w:val="16"/>
                <w:lang w:eastAsia="en-AU"/>
              </w:rPr>
              <w:t>-</w:t>
            </w:r>
          </w:p>
        </w:tc>
        <w:tc>
          <w:tcPr>
            <w:tcW w:w="0" w:type="auto"/>
            <w:shd w:val="clear" w:color="000000" w:fill="FFFFFF"/>
            <w:noWrap/>
            <w:hideMark/>
          </w:tcPr>
          <w:p w14:paraId="233D8A5C" w14:textId="6DD96CC6"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0AF1BD66" w14:textId="50F6DA20"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76FB9A96" w14:textId="2F615E04"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2D6676F6" w14:textId="3C524170"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000000" w:fill="808080"/>
            <w:noWrap/>
            <w:hideMark/>
          </w:tcPr>
          <w:p w14:paraId="4EEE889E" w14:textId="5EA9A57F"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2FFBF9A7" w14:textId="0F5A3B6C"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70A556DA" w14:textId="7A938E66"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1201EB93" w14:textId="193F80BF"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thinDiagCross" w:color="auto" w:fill="auto"/>
            <w:noWrap/>
            <w:hideMark/>
          </w:tcPr>
          <w:p w14:paraId="6EB71BF9" w14:textId="137B8A0C" w:rsidR="005B4472" w:rsidRPr="0028461A" w:rsidRDefault="005B4472" w:rsidP="005B4472">
            <w:pPr>
              <w:spacing w:after="0" w:line="240" w:lineRule="auto"/>
              <w:jc w:val="center"/>
              <w:rPr>
                <w:rFonts w:ascii="Arial" w:eastAsia="Times New Roman" w:hAnsi="Arial" w:cs="Arial"/>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01B91ACB" w14:textId="623D3D5A"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354590A0" w14:textId="7A78FE15"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48CA0A6A" w14:textId="03CC9AF8"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09FE6F82" w14:textId="4EBDC067"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01089064" w14:textId="57DD5B68"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40980EB7" w14:textId="0DCE8BC3"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247959C6" w14:textId="55254DC0"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5E75D752" w14:textId="67F6CB2D"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69D24F2F" w14:textId="7ABE5DB5"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4434BB94" w14:textId="3ABFB78F"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r>
      <w:tr w:rsidR="005B4472" w:rsidRPr="004D6AEA" w14:paraId="41A65C77" w14:textId="77777777" w:rsidTr="00420843">
        <w:trPr>
          <w:trHeight w:val="285"/>
        </w:trPr>
        <w:tc>
          <w:tcPr>
            <w:tcW w:w="2580" w:type="dxa"/>
            <w:shd w:val="clear" w:color="auto" w:fill="auto"/>
            <w:noWrap/>
            <w:vAlign w:val="bottom"/>
            <w:hideMark/>
          </w:tcPr>
          <w:p w14:paraId="2BCA798F" w14:textId="4160B7E9" w:rsidR="005B4472" w:rsidRPr="0028461A" w:rsidRDefault="005B4472" w:rsidP="005B4472">
            <w:pPr>
              <w:spacing w:after="0" w:line="240" w:lineRule="auto"/>
              <w:rPr>
                <w:rFonts w:ascii="Arial" w:eastAsia="Times New Roman" w:hAnsi="Arial" w:cs="Arial"/>
                <w:color w:val="auto"/>
                <w:sz w:val="16"/>
                <w:szCs w:val="16"/>
                <w:lang w:eastAsia="en-AU"/>
              </w:rPr>
            </w:pPr>
            <w:r w:rsidRPr="0028461A">
              <w:rPr>
                <w:rFonts w:ascii="Arial" w:eastAsia="Times New Roman" w:hAnsi="Arial" w:cs="Arial"/>
                <w:color w:val="auto"/>
                <w:sz w:val="16"/>
                <w:szCs w:val="16"/>
                <w:lang w:eastAsia="en-AU"/>
              </w:rPr>
              <w:t xml:space="preserve">DFAT </w:t>
            </w:r>
            <w:r w:rsidR="00FA278E">
              <w:rPr>
                <w:rFonts w:ascii="Arial" w:eastAsia="Times New Roman" w:hAnsi="Arial" w:cs="Arial"/>
                <w:color w:val="auto"/>
                <w:sz w:val="16"/>
                <w:szCs w:val="16"/>
                <w:lang w:eastAsia="en-AU"/>
              </w:rPr>
              <w:t>r</w:t>
            </w:r>
            <w:r w:rsidRPr="0028461A">
              <w:rPr>
                <w:rFonts w:ascii="Arial" w:eastAsia="Times New Roman" w:hAnsi="Arial" w:cs="Arial"/>
                <w:color w:val="auto"/>
                <w:sz w:val="16"/>
                <w:szCs w:val="16"/>
                <w:lang w:eastAsia="en-AU"/>
              </w:rPr>
              <w:t xml:space="preserve">eview </w:t>
            </w:r>
            <w:r w:rsidR="00FA278E">
              <w:rPr>
                <w:rFonts w:ascii="Arial" w:eastAsia="Times New Roman" w:hAnsi="Arial" w:cs="Arial"/>
                <w:color w:val="auto"/>
                <w:sz w:val="16"/>
                <w:szCs w:val="16"/>
                <w:lang w:eastAsia="en-AU"/>
              </w:rPr>
              <w:t>and</w:t>
            </w:r>
            <w:r w:rsidRPr="0028461A">
              <w:rPr>
                <w:rFonts w:ascii="Arial" w:eastAsia="Times New Roman" w:hAnsi="Arial" w:cs="Arial"/>
                <w:color w:val="auto"/>
                <w:sz w:val="16"/>
                <w:szCs w:val="16"/>
                <w:lang w:eastAsia="en-AU"/>
              </w:rPr>
              <w:t xml:space="preserve"> </w:t>
            </w:r>
            <w:r w:rsidR="00FA278E">
              <w:rPr>
                <w:rFonts w:ascii="Arial" w:eastAsia="Times New Roman" w:hAnsi="Arial" w:cs="Arial"/>
                <w:color w:val="auto"/>
                <w:sz w:val="16"/>
                <w:szCs w:val="16"/>
                <w:lang w:eastAsia="en-AU"/>
              </w:rPr>
              <w:t>f</w:t>
            </w:r>
            <w:r w:rsidRPr="0028461A">
              <w:rPr>
                <w:rFonts w:ascii="Arial" w:eastAsia="Times New Roman" w:hAnsi="Arial" w:cs="Arial"/>
                <w:color w:val="auto"/>
                <w:sz w:val="16"/>
                <w:szCs w:val="16"/>
                <w:lang w:eastAsia="en-AU"/>
              </w:rPr>
              <w:t>eedback</w:t>
            </w:r>
          </w:p>
        </w:tc>
        <w:tc>
          <w:tcPr>
            <w:tcW w:w="490" w:type="dxa"/>
            <w:shd w:val="clear" w:color="auto" w:fill="auto"/>
            <w:noWrap/>
            <w:hideMark/>
          </w:tcPr>
          <w:p w14:paraId="11A623B1" w14:textId="7BAA5145"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0912B3">
              <w:rPr>
                <w:rFonts w:ascii="Arial" w:eastAsia="Times New Roman" w:hAnsi="Arial" w:cs="Arial"/>
                <w:b/>
                <w:bCs/>
                <w:color w:val="auto"/>
                <w:sz w:val="16"/>
                <w:szCs w:val="16"/>
                <w:lang w:eastAsia="en-AU"/>
              </w:rPr>
              <w:t>-</w:t>
            </w:r>
          </w:p>
        </w:tc>
        <w:tc>
          <w:tcPr>
            <w:tcW w:w="0" w:type="auto"/>
            <w:shd w:val="clear" w:color="auto" w:fill="auto"/>
            <w:noWrap/>
            <w:hideMark/>
          </w:tcPr>
          <w:p w14:paraId="2DB3EE61" w14:textId="1665F212"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D72AD9">
              <w:rPr>
                <w:rFonts w:ascii="Arial" w:eastAsia="Times New Roman" w:hAnsi="Arial" w:cs="Arial"/>
                <w:b/>
                <w:bCs/>
                <w:color w:val="auto"/>
                <w:sz w:val="16"/>
                <w:szCs w:val="16"/>
                <w:lang w:eastAsia="en-AU"/>
              </w:rPr>
              <w:t>-</w:t>
            </w:r>
          </w:p>
        </w:tc>
        <w:tc>
          <w:tcPr>
            <w:tcW w:w="0" w:type="auto"/>
            <w:shd w:val="pct12" w:color="000000" w:fill="FFFFFF"/>
            <w:noWrap/>
            <w:hideMark/>
          </w:tcPr>
          <w:p w14:paraId="6ACCD81A" w14:textId="16D8F650" w:rsidR="005B4472" w:rsidRPr="005B4472" w:rsidRDefault="005B4472" w:rsidP="005B4472">
            <w:pPr>
              <w:spacing w:after="0" w:line="240" w:lineRule="auto"/>
              <w:jc w:val="center"/>
              <w:rPr>
                <w:rFonts w:eastAsia="Times New Roman" w:cstheme="minorHAnsi"/>
                <w:color w:val="auto"/>
                <w:sz w:val="16"/>
                <w:szCs w:val="16"/>
                <w:lang w:eastAsia="en-AU"/>
              </w:rPr>
            </w:pPr>
            <w:r w:rsidRPr="005A7A64">
              <w:rPr>
                <w:rFonts w:ascii="Arial" w:eastAsia="Times New Roman" w:hAnsi="Arial" w:cs="Arial"/>
                <w:b/>
                <w:bCs/>
                <w:color w:val="auto"/>
                <w:sz w:val="16"/>
                <w:szCs w:val="16"/>
                <w:lang w:eastAsia="en-AU"/>
              </w:rPr>
              <w:t>-</w:t>
            </w:r>
          </w:p>
        </w:tc>
        <w:tc>
          <w:tcPr>
            <w:tcW w:w="0" w:type="auto"/>
            <w:shd w:val="pct12" w:color="000000" w:fill="FFFFFF"/>
            <w:noWrap/>
            <w:hideMark/>
          </w:tcPr>
          <w:p w14:paraId="4F8B479E" w14:textId="0953F92A" w:rsidR="005B4472" w:rsidRPr="005B4472" w:rsidRDefault="005B4472" w:rsidP="005B4472">
            <w:pPr>
              <w:spacing w:after="0" w:line="240" w:lineRule="auto"/>
              <w:jc w:val="center"/>
              <w:rPr>
                <w:rFonts w:eastAsia="Times New Roman" w:cstheme="minorHAnsi"/>
                <w:color w:val="auto"/>
                <w:sz w:val="16"/>
                <w:szCs w:val="16"/>
                <w:lang w:eastAsia="en-AU"/>
              </w:rPr>
            </w:pPr>
            <w:r w:rsidRPr="005A7A64">
              <w:rPr>
                <w:rFonts w:ascii="Arial" w:eastAsia="Times New Roman" w:hAnsi="Arial" w:cs="Arial"/>
                <w:b/>
                <w:bCs/>
                <w:color w:val="auto"/>
                <w:sz w:val="16"/>
                <w:szCs w:val="16"/>
                <w:lang w:eastAsia="en-AU"/>
              </w:rPr>
              <w:t>-</w:t>
            </w:r>
          </w:p>
        </w:tc>
        <w:tc>
          <w:tcPr>
            <w:tcW w:w="0" w:type="auto"/>
            <w:shd w:val="clear" w:color="000000" w:fill="FFFFFF"/>
            <w:noWrap/>
            <w:hideMark/>
          </w:tcPr>
          <w:p w14:paraId="2D476113" w14:textId="6C3B29A7" w:rsidR="005B4472" w:rsidRPr="005B4472" w:rsidRDefault="005B4472" w:rsidP="005B4472">
            <w:pPr>
              <w:spacing w:after="0" w:line="240" w:lineRule="auto"/>
              <w:jc w:val="center"/>
              <w:rPr>
                <w:rFonts w:ascii="Arial" w:eastAsia="Times New Roman" w:hAnsi="Arial" w:cs="Arial"/>
                <w:b/>
                <w:bCs/>
                <w:color w:val="auto"/>
                <w:sz w:val="16"/>
                <w:szCs w:val="16"/>
                <w:lang w:eastAsia="en-AU"/>
              </w:rPr>
            </w:pPr>
            <w:r w:rsidRPr="00D80A9A">
              <w:rPr>
                <w:rFonts w:ascii="Arial" w:eastAsia="Times New Roman" w:hAnsi="Arial" w:cs="Arial"/>
                <w:b/>
                <w:bCs/>
                <w:color w:val="auto"/>
                <w:sz w:val="16"/>
                <w:szCs w:val="16"/>
                <w:lang w:eastAsia="en-AU"/>
              </w:rPr>
              <w:t>-</w:t>
            </w:r>
          </w:p>
        </w:tc>
        <w:tc>
          <w:tcPr>
            <w:tcW w:w="0" w:type="auto"/>
            <w:shd w:val="clear" w:color="000000" w:fill="FFFFFF"/>
            <w:noWrap/>
            <w:hideMark/>
          </w:tcPr>
          <w:p w14:paraId="2663E63A" w14:textId="190AE4F6" w:rsidR="005B4472" w:rsidRPr="005B4472" w:rsidRDefault="005B4472" w:rsidP="005B4472">
            <w:pPr>
              <w:spacing w:after="0" w:line="240" w:lineRule="auto"/>
              <w:jc w:val="center"/>
              <w:rPr>
                <w:rFonts w:ascii="Arial" w:eastAsia="Times New Roman" w:hAnsi="Arial" w:cs="Arial"/>
                <w:b/>
                <w:bCs/>
                <w:color w:val="auto"/>
                <w:sz w:val="16"/>
                <w:szCs w:val="16"/>
                <w:lang w:eastAsia="en-AU"/>
              </w:rPr>
            </w:pPr>
            <w:r w:rsidRPr="009A7CA0">
              <w:rPr>
                <w:rFonts w:ascii="Arial" w:eastAsia="Times New Roman" w:hAnsi="Arial" w:cs="Arial"/>
                <w:b/>
                <w:bCs/>
                <w:color w:val="auto"/>
                <w:sz w:val="16"/>
                <w:szCs w:val="16"/>
                <w:lang w:eastAsia="en-AU"/>
              </w:rPr>
              <w:t>-</w:t>
            </w:r>
          </w:p>
        </w:tc>
        <w:tc>
          <w:tcPr>
            <w:tcW w:w="0" w:type="auto"/>
            <w:shd w:val="clear" w:color="000000" w:fill="FFFFFF"/>
            <w:noWrap/>
            <w:hideMark/>
          </w:tcPr>
          <w:p w14:paraId="61840E1E" w14:textId="4A7A90CA"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9A7CA0">
              <w:rPr>
                <w:rFonts w:ascii="Arial" w:eastAsia="Times New Roman" w:hAnsi="Arial" w:cs="Arial"/>
                <w:b/>
                <w:bCs/>
                <w:color w:val="auto"/>
                <w:sz w:val="16"/>
                <w:szCs w:val="16"/>
                <w:lang w:eastAsia="en-AU"/>
              </w:rPr>
              <w:t>-</w:t>
            </w:r>
          </w:p>
        </w:tc>
        <w:tc>
          <w:tcPr>
            <w:tcW w:w="0" w:type="auto"/>
            <w:shd w:val="clear" w:color="auto" w:fill="auto"/>
            <w:noWrap/>
            <w:hideMark/>
          </w:tcPr>
          <w:p w14:paraId="221E86F1" w14:textId="5C3301C8" w:rsidR="005B4472" w:rsidRPr="0028461A" w:rsidRDefault="005B4472" w:rsidP="005B4472">
            <w:pPr>
              <w:spacing w:after="0" w:line="240" w:lineRule="auto"/>
              <w:jc w:val="center"/>
              <w:rPr>
                <w:rFonts w:ascii="Wingdings" w:eastAsia="Times New Roman" w:hAnsi="Wingdings" w:cs="Calibri"/>
                <w:color w:val="auto"/>
                <w:sz w:val="16"/>
                <w:szCs w:val="16"/>
                <w:lang w:eastAsia="en-AU"/>
              </w:rPr>
            </w:pPr>
            <w:r w:rsidRPr="009C2860">
              <w:rPr>
                <w:rFonts w:ascii="Arial" w:eastAsia="Times New Roman" w:hAnsi="Arial" w:cs="Arial"/>
                <w:b/>
                <w:bCs/>
                <w:color w:val="auto"/>
                <w:sz w:val="16"/>
                <w:szCs w:val="16"/>
                <w:lang w:eastAsia="en-AU"/>
              </w:rPr>
              <w:t>-</w:t>
            </w:r>
          </w:p>
        </w:tc>
        <w:tc>
          <w:tcPr>
            <w:tcW w:w="0" w:type="auto"/>
            <w:shd w:val="clear" w:color="auto" w:fill="auto"/>
            <w:noWrap/>
            <w:hideMark/>
          </w:tcPr>
          <w:p w14:paraId="082B9090" w14:textId="1FE54331"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9C2860">
              <w:rPr>
                <w:rFonts w:ascii="Arial" w:eastAsia="Times New Roman" w:hAnsi="Arial" w:cs="Arial"/>
                <w:b/>
                <w:bCs/>
                <w:color w:val="auto"/>
                <w:sz w:val="16"/>
                <w:szCs w:val="16"/>
                <w:lang w:eastAsia="en-AU"/>
              </w:rPr>
              <w:t>-</w:t>
            </w:r>
          </w:p>
        </w:tc>
        <w:tc>
          <w:tcPr>
            <w:tcW w:w="0" w:type="auto"/>
            <w:shd w:val="clear" w:color="000000" w:fill="FFFFFF"/>
            <w:noWrap/>
            <w:hideMark/>
          </w:tcPr>
          <w:p w14:paraId="0A55A2F5" w14:textId="4DACF5ED"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B40D52">
              <w:rPr>
                <w:rFonts w:ascii="Arial" w:eastAsia="Times New Roman" w:hAnsi="Arial" w:cs="Arial"/>
                <w:b/>
                <w:bCs/>
                <w:color w:val="auto"/>
                <w:sz w:val="16"/>
                <w:szCs w:val="16"/>
                <w:lang w:eastAsia="en-AU"/>
              </w:rPr>
              <w:t>-</w:t>
            </w:r>
          </w:p>
        </w:tc>
        <w:tc>
          <w:tcPr>
            <w:tcW w:w="0" w:type="auto"/>
            <w:shd w:val="clear" w:color="000000" w:fill="FFFFFF"/>
            <w:noWrap/>
            <w:hideMark/>
          </w:tcPr>
          <w:p w14:paraId="12593ECA" w14:textId="48ED9D2F"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B40D52">
              <w:rPr>
                <w:rFonts w:ascii="Arial" w:eastAsia="Times New Roman" w:hAnsi="Arial" w:cs="Arial"/>
                <w:b/>
                <w:bCs/>
                <w:color w:val="auto"/>
                <w:sz w:val="16"/>
                <w:szCs w:val="16"/>
                <w:lang w:eastAsia="en-AU"/>
              </w:rPr>
              <w:t>-</w:t>
            </w:r>
          </w:p>
        </w:tc>
        <w:tc>
          <w:tcPr>
            <w:tcW w:w="0" w:type="auto"/>
            <w:shd w:val="clear" w:color="000000" w:fill="FFFFFF"/>
            <w:noWrap/>
            <w:hideMark/>
          </w:tcPr>
          <w:p w14:paraId="04CA7E30" w14:textId="492EE3F0"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6757B0C1" w14:textId="291AE853"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2A24DA98" w14:textId="4560958C"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62E2C412" w14:textId="3AA54C57"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3088D1FD" w14:textId="2D3EE1F6"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000000" w:fill="808080"/>
            <w:noWrap/>
            <w:hideMark/>
          </w:tcPr>
          <w:p w14:paraId="0BEC9C86" w14:textId="13A65F33"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000000" w:fill="808080"/>
            <w:noWrap/>
            <w:hideMark/>
          </w:tcPr>
          <w:p w14:paraId="0F3D6A58" w14:textId="09CAD046"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42256525" w14:textId="343ACC45"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thinDiagCross" w:color="auto" w:fill="auto"/>
            <w:noWrap/>
            <w:hideMark/>
          </w:tcPr>
          <w:p w14:paraId="2FA6189B" w14:textId="056BA3DD" w:rsidR="005B4472" w:rsidRPr="0028461A" w:rsidRDefault="005B4472" w:rsidP="005B4472">
            <w:pPr>
              <w:spacing w:after="0" w:line="240" w:lineRule="auto"/>
              <w:jc w:val="center"/>
              <w:rPr>
                <w:rFonts w:ascii="Arial" w:eastAsia="Times New Roman" w:hAnsi="Arial" w:cs="Arial"/>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120AB5D2" w14:textId="62679350"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3FEE0604" w14:textId="0EB85FFF"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2969A14B" w14:textId="5B61C6A7"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545D8BEB" w14:textId="608B1731"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23CD8FC3" w14:textId="62089B2B"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2010FA11" w14:textId="47D47F19"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465629EE" w14:textId="132494FF"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72935B6F" w14:textId="01DD6A99"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1A27B893" w14:textId="741DD386"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00E08DA3" w14:textId="67F1B167"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r>
      <w:tr w:rsidR="005B4472" w:rsidRPr="004D6AEA" w14:paraId="2FDF4D95" w14:textId="77777777" w:rsidTr="00420843">
        <w:trPr>
          <w:trHeight w:val="285"/>
        </w:trPr>
        <w:tc>
          <w:tcPr>
            <w:tcW w:w="2580" w:type="dxa"/>
            <w:shd w:val="clear" w:color="auto" w:fill="auto"/>
            <w:noWrap/>
            <w:vAlign w:val="bottom"/>
            <w:hideMark/>
          </w:tcPr>
          <w:p w14:paraId="26360831" w14:textId="77777777" w:rsidR="005B4472" w:rsidRPr="0028461A" w:rsidRDefault="005B4472" w:rsidP="005B4472">
            <w:pPr>
              <w:spacing w:after="0" w:line="240" w:lineRule="auto"/>
              <w:rPr>
                <w:rFonts w:ascii="Arial" w:eastAsia="Times New Roman" w:hAnsi="Arial" w:cs="Arial"/>
                <w:color w:val="auto"/>
                <w:sz w:val="16"/>
                <w:szCs w:val="16"/>
                <w:lang w:eastAsia="en-AU"/>
              </w:rPr>
            </w:pPr>
            <w:r w:rsidRPr="0028461A">
              <w:rPr>
                <w:rFonts w:ascii="Arial" w:eastAsia="Times New Roman" w:hAnsi="Arial" w:cs="Arial"/>
                <w:color w:val="auto"/>
                <w:sz w:val="16"/>
                <w:szCs w:val="16"/>
                <w:lang w:eastAsia="en-AU"/>
              </w:rPr>
              <w:t>Team revises</w:t>
            </w:r>
          </w:p>
        </w:tc>
        <w:tc>
          <w:tcPr>
            <w:tcW w:w="490" w:type="dxa"/>
            <w:shd w:val="clear" w:color="auto" w:fill="auto"/>
            <w:noWrap/>
            <w:hideMark/>
          </w:tcPr>
          <w:p w14:paraId="01E4FF45" w14:textId="4FFCCF35"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0912B3">
              <w:rPr>
                <w:rFonts w:ascii="Arial" w:eastAsia="Times New Roman" w:hAnsi="Arial" w:cs="Arial"/>
                <w:b/>
                <w:bCs/>
                <w:color w:val="auto"/>
                <w:sz w:val="16"/>
                <w:szCs w:val="16"/>
                <w:lang w:eastAsia="en-AU"/>
              </w:rPr>
              <w:t>-</w:t>
            </w:r>
          </w:p>
        </w:tc>
        <w:tc>
          <w:tcPr>
            <w:tcW w:w="0" w:type="auto"/>
            <w:shd w:val="clear" w:color="auto" w:fill="auto"/>
            <w:noWrap/>
            <w:hideMark/>
          </w:tcPr>
          <w:p w14:paraId="4921A7C6" w14:textId="6004654B"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D72AD9">
              <w:rPr>
                <w:rFonts w:ascii="Arial" w:eastAsia="Times New Roman" w:hAnsi="Arial" w:cs="Arial"/>
                <w:b/>
                <w:bCs/>
                <w:color w:val="auto"/>
                <w:sz w:val="16"/>
                <w:szCs w:val="16"/>
                <w:lang w:eastAsia="en-AU"/>
              </w:rPr>
              <w:t>-</w:t>
            </w:r>
          </w:p>
        </w:tc>
        <w:tc>
          <w:tcPr>
            <w:tcW w:w="0" w:type="auto"/>
            <w:shd w:val="pct12" w:color="000000" w:fill="FFFFFF"/>
            <w:noWrap/>
            <w:hideMark/>
          </w:tcPr>
          <w:p w14:paraId="2B2E2921" w14:textId="1C6E2731" w:rsidR="005B4472" w:rsidRPr="005B4472" w:rsidRDefault="005B4472" w:rsidP="005B4472">
            <w:pPr>
              <w:spacing w:after="0" w:line="240" w:lineRule="auto"/>
              <w:jc w:val="center"/>
              <w:rPr>
                <w:rFonts w:eastAsia="Times New Roman" w:cstheme="minorHAnsi"/>
                <w:color w:val="auto"/>
                <w:sz w:val="16"/>
                <w:szCs w:val="16"/>
                <w:lang w:eastAsia="en-AU"/>
              </w:rPr>
            </w:pPr>
            <w:r w:rsidRPr="005A7A64">
              <w:rPr>
                <w:rFonts w:ascii="Arial" w:eastAsia="Times New Roman" w:hAnsi="Arial" w:cs="Arial"/>
                <w:b/>
                <w:bCs/>
                <w:color w:val="auto"/>
                <w:sz w:val="16"/>
                <w:szCs w:val="16"/>
                <w:lang w:eastAsia="en-AU"/>
              </w:rPr>
              <w:t>-</w:t>
            </w:r>
          </w:p>
        </w:tc>
        <w:tc>
          <w:tcPr>
            <w:tcW w:w="0" w:type="auto"/>
            <w:shd w:val="pct12" w:color="000000" w:fill="FFFFFF"/>
            <w:noWrap/>
            <w:hideMark/>
          </w:tcPr>
          <w:p w14:paraId="24ECAB6F" w14:textId="758A7C33" w:rsidR="005B4472" w:rsidRPr="005B4472" w:rsidRDefault="005B4472" w:rsidP="005B4472">
            <w:pPr>
              <w:spacing w:after="0" w:line="240" w:lineRule="auto"/>
              <w:jc w:val="center"/>
              <w:rPr>
                <w:rFonts w:eastAsia="Times New Roman" w:cstheme="minorHAnsi"/>
                <w:color w:val="auto"/>
                <w:sz w:val="16"/>
                <w:szCs w:val="16"/>
                <w:lang w:eastAsia="en-AU"/>
              </w:rPr>
            </w:pPr>
            <w:r w:rsidRPr="005A7A64">
              <w:rPr>
                <w:rFonts w:ascii="Arial" w:eastAsia="Times New Roman" w:hAnsi="Arial" w:cs="Arial"/>
                <w:b/>
                <w:bCs/>
                <w:color w:val="auto"/>
                <w:sz w:val="16"/>
                <w:szCs w:val="16"/>
                <w:lang w:eastAsia="en-AU"/>
              </w:rPr>
              <w:t>-</w:t>
            </w:r>
          </w:p>
        </w:tc>
        <w:tc>
          <w:tcPr>
            <w:tcW w:w="0" w:type="auto"/>
            <w:shd w:val="clear" w:color="000000" w:fill="FFFFFF"/>
            <w:noWrap/>
            <w:hideMark/>
          </w:tcPr>
          <w:p w14:paraId="26799000" w14:textId="34B9E966" w:rsidR="005B4472" w:rsidRPr="005B4472" w:rsidRDefault="005B4472" w:rsidP="005B4472">
            <w:pPr>
              <w:spacing w:after="0" w:line="240" w:lineRule="auto"/>
              <w:jc w:val="center"/>
              <w:rPr>
                <w:rFonts w:ascii="Arial" w:eastAsia="Times New Roman" w:hAnsi="Arial" w:cs="Arial"/>
                <w:b/>
                <w:bCs/>
                <w:color w:val="auto"/>
                <w:sz w:val="16"/>
                <w:szCs w:val="16"/>
                <w:lang w:eastAsia="en-AU"/>
              </w:rPr>
            </w:pPr>
            <w:r w:rsidRPr="00D80A9A">
              <w:rPr>
                <w:rFonts w:ascii="Arial" w:eastAsia="Times New Roman" w:hAnsi="Arial" w:cs="Arial"/>
                <w:b/>
                <w:bCs/>
                <w:color w:val="auto"/>
                <w:sz w:val="16"/>
                <w:szCs w:val="16"/>
                <w:lang w:eastAsia="en-AU"/>
              </w:rPr>
              <w:t>-</w:t>
            </w:r>
          </w:p>
        </w:tc>
        <w:tc>
          <w:tcPr>
            <w:tcW w:w="0" w:type="auto"/>
            <w:shd w:val="clear" w:color="000000" w:fill="FFFFFF"/>
            <w:noWrap/>
            <w:hideMark/>
          </w:tcPr>
          <w:p w14:paraId="20961F34" w14:textId="51FE72DB" w:rsidR="005B4472" w:rsidRPr="005B4472" w:rsidRDefault="005B4472" w:rsidP="005B4472">
            <w:pPr>
              <w:spacing w:after="0" w:line="240" w:lineRule="auto"/>
              <w:jc w:val="center"/>
              <w:rPr>
                <w:rFonts w:ascii="Arial" w:eastAsia="Times New Roman" w:hAnsi="Arial" w:cs="Arial"/>
                <w:b/>
                <w:bCs/>
                <w:color w:val="auto"/>
                <w:sz w:val="16"/>
                <w:szCs w:val="16"/>
                <w:lang w:eastAsia="en-AU"/>
              </w:rPr>
            </w:pPr>
            <w:r w:rsidRPr="009A7CA0">
              <w:rPr>
                <w:rFonts w:ascii="Arial" w:eastAsia="Times New Roman" w:hAnsi="Arial" w:cs="Arial"/>
                <w:b/>
                <w:bCs/>
                <w:color w:val="auto"/>
                <w:sz w:val="16"/>
                <w:szCs w:val="16"/>
                <w:lang w:eastAsia="en-AU"/>
              </w:rPr>
              <w:t>-</w:t>
            </w:r>
          </w:p>
        </w:tc>
        <w:tc>
          <w:tcPr>
            <w:tcW w:w="0" w:type="auto"/>
            <w:shd w:val="clear" w:color="000000" w:fill="FFFFFF"/>
            <w:noWrap/>
            <w:hideMark/>
          </w:tcPr>
          <w:p w14:paraId="3A37C124" w14:textId="5B1181CD"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9A7CA0">
              <w:rPr>
                <w:rFonts w:ascii="Arial" w:eastAsia="Times New Roman" w:hAnsi="Arial" w:cs="Arial"/>
                <w:b/>
                <w:bCs/>
                <w:color w:val="auto"/>
                <w:sz w:val="16"/>
                <w:szCs w:val="16"/>
                <w:lang w:eastAsia="en-AU"/>
              </w:rPr>
              <w:t>-</w:t>
            </w:r>
          </w:p>
        </w:tc>
        <w:tc>
          <w:tcPr>
            <w:tcW w:w="0" w:type="auto"/>
            <w:shd w:val="clear" w:color="auto" w:fill="auto"/>
            <w:noWrap/>
            <w:hideMark/>
          </w:tcPr>
          <w:p w14:paraId="07F96536" w14:textId="2BD83A70" w:rsidR="005B4472" w:rsidRPr="0028461A" w:rsidRDefault="005B4472" w:rsidP="005B4472">
            <w:pPr>
              <w:spacing w:after="0" w:line="240" w:lineRule="auto"/>
              <w:jc w:val="center"/>
              <w:rPr>
                <w:rFonts w:ascii="Wingdings" w:eastAsia="Times New Roman" w:hAnsi="Wingdings" w:cs="Calibri"/>
                <w:color w:val="auto"/>
                <w:sz w:val="16"/>
                <w:szCs w:val="16"/>
                <w:lang w:eastAsia="en-AU"/>
              </w:rPr>
            </w:pPr>
            <w:r w:rsidRPr="009C2860">
              <w:rPr>
                <w:rFonts w:ascii="Arial" w:eastAsia="Times New Roman" w:hAnsi="Arial" w:cs="Arial"/>
                <w:b/>
                <w:bCs/>
                <w:color w:val="auto"/>
                <w:sz w:val="16"/>
                <w:szCs w:val="16"/>
                <w:lang w:eastAsia="en-AU"/>
              </w:rPr>
              <w:t>-</w:t>
            </w:r>
          </w:p>
        </w:tc>
        <w:tc>
          <w:tcPr>
            <w:tcW w:w="0" w:type="auto"/>
            <w:shd w:val="clear" w:color="auto" w:fill="auto"/>
            <w:noWrap/>
            <w:hideMark/>
          </w:tcPr>
          <w:p w14:paraId="05AC8803" w14:textId="394F74C9"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9C2860">
              <w:rPr>
                <w:rFonts w:ascii="Arial" w:eastAsia="Times New Roman" w:hAnsi="Arial" w:cs="Arial"/>
                <w:b/>
                <w:bCs/>
                <w:color w:val="auto"/>
                <w:sz w:val="16"/>
                <w:szCs w:val="16"/>
                <w:lang w:eastAsia="en-AU"/>
              </w:rPr>
              <w:t>-</w:t>
            </w:r>
          </w:p>
        </w:tc>
        <w:tc>
          <w:tcPr>
            <w:tcW w:w="0" w:type="auto"/>
            <w:shd w:val="clear" w:color="000000" w:fill="FFFFFF"/>
            <w:noWrap/>
            <w:hideMark/>
          </w:tcPr>
          <w:p w14:paraId="46EA81D4" w14:textId="7F635A70"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B40D52">
              <w:rPr>
                <w:rFonts w:ascii="Arial" w:eastAsia="Times New Roman" w:hAnsi="Arial" w:cs="Arial"/>
                <w:b/>
                <w:bCs/>
                <w:color w:val="auto"/>
                <w:sz w:val="16"/>
                <w:szCs w:val="16"/>
                <w:lang w:eastAsia="en-AU"/>
              </w:rPr>
              <w:t>-</w:t>
            </w:r>
          </w:p>
        </w:tc>
        <w:tc>
          <w:tcPr>
            <w:tcW w:w="0" w:type="auto"/>
            <w:shd w:val="clear" w:color="000000" w:fill="FFFFFF"/>
            <w:noWrap/>
            <w:hideMark/>
          </w:tcPr>
          <w:p w14:paraId="2D837856" w14:textId="5EB3FA80"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B40D52">
              <w:rPr>
                <w:rFonts w:ascii="Arial" w:eastAsia="Times New Roman" w:hAnsi="Arial" w:cs="Arial"/>
                <w:b/>
                <w:bCs/>
                <w:color w:val="auto"/>
                <w:sz w:val="16"/>
                <w:szCs w:val="16"/>
                <w:lang w:eastAsia="en-AU"/>
              </w:rPr>
              <w:t>-</w:t>
            </w:r>
          </w:p>
        </w:tc>
        <w:tc>
          <w:tcPr>
            <w:tcW w:w="0" w:type="auto"/>
            <w:shd w:val="clear" w:color="000000" w:fill="FFFFFF"/>
            <w:noWrap/>
            <w:hideMark/>
          </w:tcPr>
          <w:p w14:paraId="27AC3850" w14:textId="26EB3958"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14F909F7" w14:textId="084F84CF"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31000559" w14:textId="2555EA63"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68D9FF25" w14:textId="726E7999"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0E1E2A27" w14:textId="606F78A0"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3643C960" w14:textId="709EED82"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61912BFC" w14:textId="44A4D297"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000000" w:fill="808080"/>
            <w:noWrap/>
            <w:hideMark/>
          </w:tcPr>
          <w:p w14:paraId="195140A9" w14:textId="4EBB4556"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thinDiagCross" w:color="auto" w:fill="auto"/>
            <w:noWrap/>
            <w:hideMark/>
          </w:tcPr>
          <w:p w14:paraId="5D2A4C43" w14:textId="0D79FCED" w:rsidR="005B4472" w:rsidRPr="0028461A" w:rsidRDefault="005B4472" w:rsidP="005B4472">
            <w:pPr>
              <w:spacing w:after="0" w:line="240" w:lineRule="auto"/>
              <w:jc w:val="center"/>
              <w:rPr>
                <w:rFonts w:ascii="Arial" w:eastAsia="Times New Roman" w:hAnsi="Arial" w:cs="Arial"/>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3ABCA15F" w14:textId="3A8B5A4D"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71879D17" w14:textId="5247708F"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7AA2648D" w14:textId="510ED51A"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42F87653" w14:textId="5305A298"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50E026CB" w14:textId="7F359A28"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423D0F04" w14:textId="3E1CB1F5"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3B75DB0E" w14:textId="7D74BC32"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33617051" w14:textId="264F1C9E"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3C1EB129" w14:textId="3748B5BD"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c>
          <w:tcPr>
            <w:tcW w:w="0" w:type="auto"/>
            <w:shd w:val="clear" w:color="auto" w:fill="auto"/>
            <w:noWrap/>
            <w:hideMark/>
          </w:tcPr>
          <w:p w14:paraId="007F54A7" w14:textId="3E2FAF0F"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447950">
              <w:rPr>
                <w:rFonts w:ascii="Arial" w:eastAsia="Times New Roman" w:hAnsi="Arial" w:cs="Arial"/>
                <w:b/>
                <w:bCs/>
                <w:color w:val="auto"/>
                <w:sz w:val="16"/>
                <w:szCs w:val="16"/>
                <w:lang w:eastAsia="en-AU"/>
              </w:rPr>
              <w:t>-</w:t>
            </w:r>
          </w:p>
        </w:tc>
      </w:tr>
      <w:tr w:rsidR="005B4472" w:rsidRPr="004D6AEA" w14:paraId="4B6F77B4" w14:textId="77777777" w:rsidTr="0094300A">
        <w:trPr>
          <w:trHeight w:val="285"/>
        </w:trPr>
        <w:tc>
          <w:tcPr>
            <w:tcW w:w="2580" w:type="dxa"/>
            <w:shd w:val="clear" w:color="auto" w:fill="auto"/>
            <w:noWrap/>
            <w:vAlign w:val="bottom"/>
            <w:hideMark/>
          </w:tcPr>
          <w:p w14:paraId="24B0087A" w14:textId="77777777" w:rsidR="005B4472" w:rsidRPr="0028461A" w:rsidRDefault="005B4472" w:rsidP="005B4472">
            <w:pPr>
              <w:spacing w:after="0" w:line="240" w:lineRule="auto"/>
              <w:rPr>
                <w:rFonts w:ascii="Arial" w:eastAsia="Times New Roman" w:hAnsi="Arial" w:cs="Arial"/>
                <w:color w:val="auto"/>
                <w:sz w:val="16"/>
                <w:szCs w:val="16"/>
                <w:lang w:eastAsia="en-AU"/>
              </w:rPr>
            </w:pPr>
            <w:r w:rsidRPr="0028461A">
              <w:rPr>
                <w:rFonts w:ascii="Arial" w:eastAsia="Times New Roman" w:hAnsi="Arial" w:cs="Arial"/>
                <w:color w:val="auto"/>
                <w:sz w:val="16"/>
                <w:szCs w:val="16"/>
                <w:lang w:eastAsia="en-AU"/>
              </w:rPr>
              <w:t>Final submission</w:t>
            </w:r>
          </w:p>
        </w:tc>
        <w:tc>
          <w:tcPr>
            <w:tcW w:w="490" w:type="dxa"/>
            <w:shd w:val="clear" w:color="auto" w:fill="auto"/>
            <w:noWrap/>
            <w:hideMark/>
          </w:tcPr>
          <w:p w14:paraId="1041E9E8" w14:textId="30A609EF"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0912B3">
              <w:rPr>
                <w:rFonts w:ascii="Arial" w:eastAsia="Times New Roman" w:hAnsi="Arial" w:cs="Arial"/>
                <w:b/>
                <w:bCs/>
                <w:color w:val="auto"/>
                <w:sz w:val="16"/>
                <w:szCs w:val="16"/>
                <w:lang w:eastAsia="en-AU"/>
              </w:rPr>
              <w:t>-</w:t>
            </w:r>
          </w:p>
        </w:tc>
        <w:tc>
          <w:tcPr>
            <w:tcW w:w="0" w:type="auto"/>
            <w:shd w:val="clear" w:color="auto" w:fill="auto"/>
            <w:noWrap/>
            <w:hideMark/>
          </w:tcPr>
          <w:p w14:paraId="4BB7203E" w14:textId="23AED666"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D72AD9">
              <w:rPr>
                <w:rFonts w:ascii="Arial" w:eastAsia="Times New Roman" w:hAnsi="Arial" w:cs="Arial"/>
                <w:b/>
                <w:bCs/>
                <w:color w:val="auto"/>
                <w:sz w:val="16"/>
                <w:szCs w:val="16"/>
                <w:lang w:eastAsia="en-AU"/>
              </w:rPr>
              <w:t>-</w:t>
            </w:r>
          </w:p>
        </w:tc>
        <w:tc>
          <w:tcPr>
            <w:tcW w:w="0" w:type="auto"/>
            <w:shd w:val="pct12" w:color="000000" w:fill="FFFFFF"/>
            <w:noWrap/>
            <w:hideMark/>
          </w:tcPr>
          <w:p w14:paraId="4B5CBA22" w14:textId="48E24B42" w:rsidR="005B4472" w:rsidRPr="005B4472" w:rsidRDefault="005B4472" w:rsidP="005B4472">
            <w:pPr>
              <w:spacing w:after="0" w:line="240" w:lineRule="auto"/>
              <w:jc w:val="center"/>
              <w:rPr>
                <w:rFonts w:eastAsia="Times New Roman" w:cstheme="minorHAnsi"/>
                <w:color w:val="auto"/>
                <w:sz w:val="16"/>
                <w:szCs w:val="16"/>
                <w:lang w:eastAsia="en-AU"/>
              </w:rPr>
            </w:pPr>
            <w:r w:rsidRPr="005A7A64">
              <w:rPr>
                <w:rFonts w:ascii="Arial" w:eastAsia="Times New Roman" w:hAnsi="Arial" w:cs="Arial"/>
                <w:b/>
                <w:bCs/>
                <w:color w:val="auto"/>
                <w:sz w:val="16"/>
                <w:szCs w:val="16"/>
                <w:lang w:eastAsia="en-AU"/>
              </w:rPr>
              <w:t>-</w:t>
            </w:r>
          </w:p>
        </w:tc>
        <w:tc>
          <w:tcPr>
            <w:tcW w:w="0" w:type="auto"/>
            <w:shd w:val="pct12" w:color="000000" w:fill="FFFFFF"/>
            <w:noWrap/>
            <w:hideMark/>
          </w:tcPr>
          <w:p w14:paraId="3F5D9726" w14:textId="5CCB965A" w:rsidR="005B4472" w:rsidRPr="005B4472" w:rsidRDefault="005B4472" w:rsidP="005B4472">
            <w:pPr>
              <w:spacing w:after="0" w:line="240" w:lineRule="auto"/>
              <w:jc w:val="center"/>
              <w:rPr>
                <w:rFonts w:eastAsia="Times New Roman" w:cstheme="minorHAnsi"/>
                <w:color w:val="auto"/>
                <w:sz w:val="16"/>
                <w:szCs w:val="16"/>
                <w:lang w:eastAsia="en-AU"/>
              </w:rPr>
            </w:pPr>
            <w:r w:rsidRPr="005A7A64">
              <w:rPr>
                <w:rFonts w:ascii="Arial" w:eastAsia="Times New Roman" w:hAnsi="Arial" w:cs="Arial"/>
                <w:b/>
                <w:bCs/>
                <w:color w:val="auto"/>
                <w:sz w:val="16"/>
                <w:szCs w:val="16"/>
                <w:lang w:eastAsia="en-AU"/>
              </w:rPr>
              <w:t>-</w:t>
            </w:r>
          </w:p>
        </w:tc>
        <w:tc>
          <w:tcPr>
            <w:tcW w:w="0" w:type="auto"/>
            <w:shd w:val="clear" w:color="000000" w:fill="FFFFFF"/>
            <w:noWrap/>
            <w:hideMark/>
          </w:tcPr>
          <w:p w14:paraId="047C5CC2" w14:textId="5B3BC01A" w:rsidR="005B4472" w:rsidRPr="005B4472" w:rsidRDefault="005B4472" w:rsidP="005B4472">
            <w:pPr>
              <w:spacing w:after="0" w:line="240" w:lineRule="auto"/>
              <w:jc w:val="center"/>
              <w:rPr>
                <w:rFonts w:ascii="Arial" w:eastAsia="Times New Roman" w:hAnsi="Arial" w:cs="Arial"/>
                <w:b/>
                <w:bCs/>
                <w:color w:val="auto"/>
                <w:sz w:val="16"/>
                <w:szCs w:val="16"/>
                <w:lang w:eastAsia="en-AU"/>
              </w:rPr>
            </w:pPr>
            <w:r w:rsidRPr="00D80A9A">
              <w:rPr>
                <w:rFonts w:ascii="Arial" w:eastAsia="Times New Roman" w:hAnsi="Arial" w:cs="Arial"/>
                <w:b/>
                <w:bCs/>
                <w:color w:val="auto"/>
                <w:sz w:val="16"/>
                <w:szCs w:val="16"/>
                <w:lang w:eastAsia="en-AU"/>
              </w:rPr>
              <w:t>-</w:t>
            </w:r>
          </w:p>
        </w:tc>
        <w:tc>
          <w:tcPr>
            <w:tcW w:w="0" w:type="auto"/>
            <w:shd w:val="clear" w:color="000000" w:fill="FFFFFF"/>
            <w:noWrap/>
            <w:hideMark/>
          </w:tcPr>
          <w:p w14:paraId="31FF2AAF" w14:textId="29890BF5" w:rsidR="005B4472" w:rsidRPr="005B4472" w:rsidRDefault="005B4472" w:rsidP="005B4472">
            <w:pPr>
              <w:spacing w:after="0" w:line="240" w:lineRule="auto"/>
              <w:jc w:val="center"/>
              <w:rPr>
                <w:rFonts w:ascii="Arial" w:eastAsia="Times New Roman" w:hAnsi="Arial" w:cs="Arial"/>
                <w:b/>
                <w:bCs/>
                <w:color w:val="auto"/>
                <w:sz w:val="16"/>
                <w:szCs w:val="16"/>
                <w:lang w:eastAsia="en-AU"/>
              </w:rPr>
            </w:pPr>
            <w:r w:rsidRPr="009A7CA0">
              <w:rPr>
                <w:rFonts w:ascii="Arial" w:eastAsia="Times New Roman" w:hAnsi="Arial" w:cs="Arial"/>
                <w:b/>
                <w:bCs/>
                <w:color w:val="auto"/>
                <w:sz w:val="16"/>
                <w:szCs w:val="16"/>
                <w:lang w:eastAsia="en-AU"/>
              </w:rPr>
              <w:t>-</w:t>
            </w:r>
          </w:p>
        </w:tc>
        <w:tc>
          <w:tcPr>
            <w:tcW w:w="0" w:type="auto"/>
            <w:shd w:val="clear" w:color="000000" w:fill="FFFFFF"/>
            <w:noWrap/>
            <w:hideMark/>
          </w:tcPr>
          <w:p w14:paraId="25155BDC" w14:textId="49AD8F4E"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9A7CA0">
              <w:rPr>
                <w:rFonts w:ascii="Arial" w:eastAsia="Times New Roman" w:hAnsi="Arial" w:cs="Arial"/>
                <w:b/>
                <w:bCs/>
                <w:color w:val="auto"/>
                <w:sz w:val="16"/>
                <w:szCs w:val="16"/>
                <w:lang w:eastAsia="en-AU"/>
              </w:rPr>
              <w:t>-</w:t>
            </w:r>
          </w:p>
        </w:tc>
        <w:tc>
          <w:tcPr>
            <w:tcW w:w="0" w:type="auto"/>
            <w:shd w:val="clear" w:color="auto" w:fill="auto"/>
            <w:noWrap/>
            <w:hideMark/>
          </w:tcPr>
          <w:p w14:paraId="3F71CA0F" w14:textId="214699EE"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9C2860">
              <w:rPr>
                <w:rFonts w:ascii="Arial" w:eastAsia="Times New Roman" w:hAnsi="Arial" w:cs="Arial"/>
                <w:b/>
                <w:bCs/>
                <w:color w:val="auto"/>
                <w:sz w:val="16"/>
                <w:szCs w:val="16"/>
                <w:lang w:eastAsia="en-AU"/>
              </w:rPr>
              <w:t>-</w:t>
            </w:r>
          </w:p>
        </w:tc>
        <w:tc>
          <w:tcPr>
            <w:tcW w:w="0" w:type="auto"/>
            <w:shd w:val="clear" w:color="auto" w:fill="auto"/>
            <w:noWrap/>
            <w:hideMark/>
          </w:tcPr>
          <w:p w14:paraId="0B6171B3" w14:textId="38400F86" w:rsidR="005B4472" w:rsidRPr="0028461A" w:rsidRDefault="005B4472" w:rsidP="005B4472">
            <w:pPr>
              <w:spacing w:after="0" w:line="240" w:lineRule="auto"/>
              <w:jc w:val="center"/>
              <w:rPr>
                <w:rFonts w:ascii="Wingdings" w:eastAsia="Times New Roman" w:hAnsi="Wingdings" w:cs="Calibri"/>
                <w:color w:val="auto"/>
                <w:sz w:val="16"/>
                <w:szCs w:val="16"/>
                <w:lang w:eastAsia="en-AU"/>
              </w:rPr>
            </w:pPr>
            <w:r w:rsidRPr="009C2860">
              <w:rPr>
                <w:rFonts w:ascii="Arial" w:eastAsia="Times New Roman" w:hAnsi="Arial" w:cs="Arial"/>
                <w:b/>
                <w:bCs/>
                <w:color w:val="auto"/>
                <w:sz w:val="16"/>
                <w:szCs w:val="16"/>
                <w:lang w:eastAsia="en-AU"/>
              </w:rPr>
              <w:t>-</w:t>
            </w:r>
          </w:p>
        </w:tc>
        <w:tc>
          <w:tcPr>
            <w:tcW w:w="0" w:type="auto"/>
            <w:shd w:val="clear" w:color="000000" w:fill="FFFFFF"/>
            <w:noWrap/>
            <w:hideMark/>
          </w:tcPr>
          <w:p w14:paraId="3453A81C" w14:textId="2191769F"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B40D52">
              <w:rPr>
                <w:rFonts w:ascii="Arial" w:eastAsia="Times New Roman" w:hAnsi="Arial" w:cs="Arial"/>
                <w:b/>
                <w:bCs/>
                <w:color w:val="auto"/>
                <w:sz w:val="16"/>
                <w:szCs w:val="16"/>
                <w:lang w:eastAsia="en-AU"/>
              </w:rPr>
              <w:t>-</w:t>
            </w:r>
          </w:p>
        </w:tc>
        <w:tc>
          <w:tcPr>
            <w:tcW w:w="0" w:type="auto"/>
            <w:shd w:val="clear" w:color="000000" w:fill="FFFFFF"/>
            <w:noWrap/>
            <w:hideMark/>
          </w:tcPr>
          <w:p w14:paraId="086509F9" w14:textId="399DE5F4"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B40D52">
              <w:rPr>
                <w:rFonts w:ascii="Arial" w:eastAsia="Times New Roman" w:hAnsi="Arial" w:cs="Arial"/>
                <w:b/>
                <w:bCs/>
                <w:color w:val="auto"/>
                <w:sz w:val="16"/>
                <w:szCs w:val="16"/>
                <w:lang w:eastAsia="en-AU"/>
              </w:rPr>
              <w:t>-</w:t>
            </w:r>
          </w:p>
        </w:tc>
        <w:tc>
          <w:tcPr>
            <w:tcW w:w="0" w:type="auto"/>
            <w:shd w:val="clear" w:color="000000" w:fill="FFFFFF"/>
            <w:noWrap/>
            <w:hideMark/>
          </w:tcPr>
          <w:p w14:paraId="273C5A18" w14:textId="29039F90"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51590CE1" w14:textId="6DA6A5B4"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604FFC7D" w14:textId="6C0D993A"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77961EB3" w14:textId="133BD42D"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5524AA51" w14:textId="2F737F4C"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7AA6D7D7" w14:textId="1C0A8718"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6DB33AF4" w14:textId="022FB770"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auto" w:fill="auto"/>
            <w:noWrap/>
            <w:hideMark/>
          </w:tcPr>
          <w:p w14:paraId="0FE9998E" w14:textId="015FDF05"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E544AD">
              <w:rPr>
                <w:rFonts w:ascii="Arial" w:eastAsia="Times New Roman" w:hAnsi="Arial" w:cs="Arial"/>
                <w:b/>
                <w:bCs/>
                <w:color w:val="auto"/>
                <w:sz w:val="16"/>
                <w:szCs w:val="16"/>
                <w:lang w:eastAsia="en-AU"/>
              </w:rPr>
              <w:t>-</w:t>
            </w:r>
          </w:p>
        </w:tc>
        <w:tc>
          <w:tcPr>
            <w:tcW w:w="0" w:type="auto"/>
            <w:shd w:val="thinDiagCross" w:color="auto" w:fill="auto"/>
            <w:noWrap/>
            <w:hideMark/>
          </w:tcPr>
          <w:p w14:paraId="0FB49A41" w14:textId="1BE8C6F3" w:rsidR="005B4472" w:rsidRPr="0028461A" w:rsidRDefault="005B4472" w:rsidP="005B4472">
            <w:pPr>
              <w:spacing w:after="0" w:line="240" w:lineRule="auto"/>
              <w:jc w:val="center"/>
              <w:rPr>
                <w:rFonts w:ascii="Arial" w:eastAsia="Times New Roman" w:hAnsi="Arial" w:cs="Arial"/>
                <w:sz w:val="16"/>
                <w:szCs w:val="16"/>
                <w:lang w:eastAsia="en-AU"/>
              </w:rPr>
            </w:pPr>
            <w:r w:rsidRPr="00E544AD">
              <w:rPr>
                <w:rFonts w:ascii="Arial" w:eastAsia="Times New Roman" w:hAnsi="Arial" w:cs="Arial"/>
                <w:b/>
                <w:bCs/>
                <w:color w:val="auto"/>
                <w:sz w:val="16"/>
                <w:szCs w:val="16"/>
                <w:lang w:eastAsia="en-AU"/>
              </w:rPr>
              <w:t>-</w:t>
            </w:r>
          </w:p>
        </w:tc>
        <w:tc>
          <w:tcPr>
            <w:tcW w:w="0" w:type="auto"/>
            <w:shd w:val="clear" w:color="000000" w:fill="808080"/>
            <w:noWrap/>
            <w:vAlign w:val="center"/>
            <w:hideMark/>
          </w:tcPr>
          <w:p w14:paraId="1E8E75E6" w14:textId="77777777"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28461A">
              <w:rPr>
                <w:rFonts w:ascii="Arial" w:eastAsia="Times New Roman" w:hAnsi="Arial" w:cs="Arial"/>
                <w:color w:val="auto"/>
                <w:sz w:val="16"/>
                <w:szCs w:val="16"/>
                <w:lang w:eastAsia="en-AU"/>
              </w:rPr>
              <w:t>30</w:t>
            </w:r>
          </w:p>
        </w:tc>
        <w:tc>
          <w:tcPr>
            <w:tcW w:w="0" w:type="auto"/>
            <w:shd w:val="clear" w:color="auto" w:fill="auto"/>
            <w:noWrap/>
            <w:hideMark/>
          </w:tcPr>
          <w:p w14:paraId="5A4DBA91" w14:textId="1B9F61C1"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D634B2">
              <w:rPr>
                <w:rFonts w:ascii="Arial" w:eastAsia="Times New Roman" w:hAnsi="Arial" w:cs="Arial"/>
                <w:b/>
                <w:bCs/>
                <w:color w:val="auto"/>
                <w:sz w:val="16"/>
                <w:szCs w:val="16"/>
                <w:lang w:eastAsia="en-AU"/>
              </w:rPr>
              <w:t>-</w:t>
            </w:r>
          </w:p>
        </w:tc>
        <w:tc>
          <w:tcPr>
            <w:tcW w:w="0" w:type="auto"/>
            <w:shd w:val="clear" w:color="auto" w:fill="auto"/>
            <w:noWrap/>
            <w:hideMark/>
          </w:tcPr>
          <w:p w14:paraId="72FB277C" w14:textId="4C75E9C7"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D634B2">
              <w:rPr>
                <w:rFonts w:ascii="Arial" w:eastAsia="Times New Roman" w:hAnsi="Arial" w:cs="Arial"/>
                <w:b/>
                <w:bCs/>
                <w:color w:val="auto"/>
                <w:sz w:val="16"/>
                <w:szCs w:val="16"/>
                <w:lang w:eastAsia="en-AU"/>
              </w:rPr>
              <w:t>-</w:t>
            </w:r>
          </w:p>
        </w:tc>
        <w:tc>
          <w:tcPr>
            <w:tcW w:w="0" w:type="auto"/>
            <w:shd w:val="clear" w:color="auto" w:fill="auto"/>
            <w:noWrap/>
            <w:hideMark/>
          </w:tcPr>
          <w:p w14:paraId="2826C5F2" w14:textId="629647C4"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D634B2">
              <w:rPr>
                <w:rFonts w:ascii="Arial" w:eastAsia="Times New Roman" w:hAnsi="Arial" w:cs="Arial"/>
                <w:b/>
                <w:bCs/>
                <w:color w:val="auto"/>
                <w:sz w:val="16"/>
                <w:szCs w:val="16"/>
                <w:lang w:eastAsia="en-AU"/>
              </w:rPr>
              <w:t>-</w:t>
            </w:r>
          </w:p>
        </w:tc>
        <w:tc>
          <w:tcPr>
            <w:tcW w:w="0" w:type="auto"/>
            <w:shd w:val="clear" w:color="auto" w:fill="auto"/>
            <w:noWrap/>
            <w:hideMark/>
          </w:tcPr>
          <w:p w14:paraId="72849F2A" w14:textId="3A4C0731"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D634B2">
              <w:rPr>
                <w:rFonts w:ascii="Arial" w:eastAsia="Times New Roman" w:hAnsi="Arial" w:cs="Arial"/>
                <w:b/>
                <w:bCs/>
                <w:color w:val="auto"/>
                <w:sz w:val="16"/>
                <w:szCs w:val="16"/>
                <w:lang w:eastAsia="en-AU"/>
              </w:rPr>
              <w:t>-</w:t>
            </w:r>
          </w:p>
        </w:tc>
        <w:tc>
          <w:tcPr>
            <w:tcW w:w="0" w:type="auto"/>
            <w:shd w:val="clear" w:color="auto" w:fill="auto"/>
            <w:noWrap/>
            <w:hideMark/>
          </w:tcPr>
          <w:p w14:paraId="64DB0EAF" w14:textId="11BCA63D"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D634B2">
              <w:rPr>
                <w:rFonts w:ascii="Arial" w:eastAsia="Times New Roman" w:hAnsi="Arial" w:cs="Arial"/>
                <w:b/>
                <w:bCs/>
                <w:color w:val="auto"/>
                <w:sz w:val="16"/>
                <w:szCs w:val="16"/>
                <w:lang w:eastAsia="en-AU"/>
              </w:rPr>
              <w:t>-</w:t>
            </w:r>
          </w:p>
        </w:tc>
        <w:tc>
          <w:tcPr>
            <w:tcW w:w="0" w:type="auto"/>
            <w:shd w:val="clear" w:color="auto" w:fill="auto"/>
            <w:noWrap/>
            <w:hideMark/>
          </w:tcPr>
          <w:p w14:paraId="42CF364D" w14:textId="0D4237EC"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D634B2">
              <w:rPr>
                <w:rFonts w:ascii="Arial" w:eastAsia="Times New Roman" w:hAnsi="Arial" w:cs="Arial"/>
                <w:b/>
                <w:bCs/>
                <w:color w:val="auto"/>
                <w:sz w:val="16"/>
                <w:szCs w:val="16"/>
                <w:lang w:eastAsia="en-AU"/>
              </w:rPr>
              <w:t>-</w:t>
            </w:r>
          </w:p>
        </w:tc>
        <w:tc>
          <w:tcPr>
            <w:tcW w:w="0" w:type="auto"/>
            <w:shd w:val="clear" w:color="auto" w:fill="auto"/>
            <w:noWrap/>
            <w:hideMark/>
          </w:tcPr>
          <w:p w14:paraId="226302F0" w14:textId="40681055"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D634B2">
              <w:rPr>
                <w:rFonts w:ascii="Arial" w:eastAsia="Times New Roman" w:hAnsi="Arial" w:cs="Arial"/>
                <w:b/>
                <w:bCs/>
                <w:color w:val="auto"/>
                <w:sz w:val="16"/>
                <w:szCs w:val="16"/>
                <w:lang w:eastAsia="en-AU"/>
              </w:rPr>
              <w:t>-</w:t>
            </w:r>
          </w:p>
        </w:tc>
        <w:tc>
          <w:tcPr>
            <w:tcW w:w="0" w:type="auto"/>
            <w:shd w:val="clear" w:color="auto" w:fill="auto"/>
            <w:noWrap/>
            <w:hideMark/>
          </w:tcPr>
          <w:p w14:paraId="4B74784B" w14:textId="73475E2C"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D634B2">
              <w:rPr>
                <w:rFonts w:ascii="Arial" w:eastAsia="Times New Roman" w:hAnsi="Arial" w:cs="Arial"/>
                <w:b/>
                <w:bCs/>
                <w:color w:val="auto"/>
                <w:sz w:val="16"/>
                <w:szCs w:val="16"/>
                <w:lang w:eastAsia="en-AU"/>
              </w:rPr>
              <w:t>-</w:t>
            </w:r>
          </w:p>
        </w:tc>
        <w:tc>
          <w:tcPr>
            <w:tcW w:w="0" w:type="auto"/>
            <w:shd w:val="clear" w:color="auto" w:fill="auto"/>
            <w:noWrap/>
            <w:hideMark/>
          </w:tcPr>
          <w:p w14:paraId="4E37BD8C" w14:textId="13F4C143" w:rsidR="005B4472" w:rsidRPr="0028461A" w:rsidRDefault="005B4472" w:rsidP="005B4472">
            <w:pPr>
              <w:spacing w:after="0" w:line="240" w:lineRule="auto"/>
              <w:jc w:val="center"/>
              <w:rPr>
                <w:rFonts w:ascii="Arial" w:eastAsia="Times New Roman" w:hAnsi="Arial" w:cs="Arial"/>
                <w:color w:val="auto"/>
                <w:sz w:val="16"/>
                <w:szCs w:val="16"/>
                <w:lang w:eastAsia="en-AU"/>
              </w:rPr>
            </w:pPr>
            <w:r w:rsidRPr="00D634B2">
              <w:rPr>
                <w:rFonts w:ascii="Arial" w:eastAsia="Times New Roman" w:hAnsi="Arial" w:cs="Arial"/>
                <w:b/>
                <w:bCs/>
                <w:color w:val="auto"/>
                <w:sz w:val="16"/>
                <w:szCs w:val="16"/>
                <w:lang w:eastAsia="en-AU"/>
              </w:rPr>
              <w:t>-</w:t>
            </w:r>
          </w:p>
        </w:tc>
      </w:tr>
    </w:tbl>
    <w:p w14:paraId="23BA0984" w14:textId="1CFD4429" w:rsidR="005B4472" w:rsidRDefault="005B4472" w:rsidP="00936B79"/>
    <w:p w14:paraId="3B2CA360" w14:textId="77777777" w:rsidR="005B4472" w:rsidRDefault="005B4472">
      <w:r>
        <w:br w:type="page"/>
      </w:r>
    </w:p>
    <w:p w14:paraId="3F3630DC" w14:textId="77777777" w:rsidR="005B4472" w:rsidRDefault="005B4472" w:rsidP="00936B7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490"/>
        <w:gridCol w:w="379"/>
        <w:gridCol w:w="379"/>
        <w:gridCol w:w="379"/>
        <w:gridCol w:w="298"/>
        <w:gridCol w:w="379"/>
        <w:gridCol w:w="379"/>
        <w:gridCol w:w="379"/>
        <w:gridCol w:w="298"/>
        <w:gridCol w:w="379"/>
        <w:gridCol w:w="379"/>
        <w:gridCol w:w="379"/>
        <w:gridCol w:w="298"/>
        <w:gridCol w:w="379"/>
        <w:gridCol w:w="379"/>
        <w:gridCol w:w="379"/>
        <w:gridCol w:w="379"/>
        <w:gridCol w:w="298"/>
        <w:gridCol w:w="379"/>
        <w:gridCol w:w="379"/>
        <w:gridCol w:w="379"/>
        <w:gridCol w:w="298"/>
        <w:gridCol w:w="379"/>
        <w:gridCol w:w="394"/>
        <w:gridCol w:w="379"/>
        <w:gridCol w:w="298"/>
        <w:gridCol w:w="298"/>
        <w:gridCol w:w="394"/>
        <w:gridCol w:w="379"/>
        <w:gridCol w:w="379"/>
      </w:tblGrid>
      <w:tr w:rsidR="005B4472" w:rsidRPr="0030219E" w14:paraId="53D2D21B" w14:textId="77777777" w:rsidTr="00FA278E">
        <w:trPr>
          <w:trHeight w:val="315"/>
        </w:trPr>
        <w:tc>
          <w:tcPr>
            <w:tcW w:w="2580" w:type="dxa"/>
            <w:shd w:val="clear" w:color="auto" w:fill="0D3E67" w:themeFill="accent3"/>
            <w:vAlign w:val="center"/>
            <w:hideMark/>
          </w:tcPr>
          <w:p w14:paraId="530AB1C2" w14:textId="64BA0733" w:rsidR="005B4472" w:rsidRPr="009008C5" w:rsidRDefault="009008C5" w:rsidP="001A4425">
            <w:pPr>
              <w:spacing w:after="0" w:line="240" w:lineRule="auto"/>
              <w:rPr>
                <w:rFonts w:ascii="Arial" w:eastAsia="Times New Roman" w:hAnsi="Arial" w:cs="Arial"/>
                <w:b/>
                <w:bCs/>
                <w:color w:val="FFFFFF"/>
                <w:sz w:val="16"/>
                <w:szCs w:val="16"/>
                <w:lang w:eastAsia="en-AU"/>
              </w:rPr>
            </w:pPr>
            <w:r w:rsidRPr="009008C5">
              <w:rPr>
                <w:rFonts w:ascii="Arial" w:eastAsia="Times New Roman" w:hAnsi="Arial" w:cs="Arial"/>
                <w:b/>
                <w:bCs/>
                <w:color w:val="auto"/>
                <w:sz w:val="16"/>
                <w:szCs w:val="16"/>
                <w:lang w:eastAsia="en-AU"/>
              </w:rPr>
              <w:t>Task</w:t>
            </w:r>
          </w:p>
        </w:tc>
        <w:tc>
          <w:tcPr>
            <w:tcW w:w="1627" w:type="dxa"/>
            <w:gridSpan w:val="4"/>
            <w:shd w:val="clear" w:color="auto" w:fill="0D3E67" w:themeFill="accent3"/>
            <w:noWrap/>
            <w:vAlign w:val="bottom"/>
            <w:hideMark/>
          </w:tcPr>
          <w:p w14:paraId="5C524A06" w14:textId="77777777" w:rsidR="005B4472" w:rsidRPr="009008C5" w:rsidRDefault="005B4472" w:rsidP="001A4425">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DEC</w:t>
            </w:r>
          </w:p>
        </w:tc>
        <w:tc>
          <w:tcPr>
            <w:tcW w:w="0" w:type="auto"/>
            <w:gridSpan w:val="4"/>
            <w:shd w:val="clear" w:color="auto" w:fill="0D3E67" w:themeFill="accent3"/>
            <w:noWrap/>
            <w:vAlign w:val="bottom"/>
            <w:hideMark/>
          </w:tcPr>
          <w:p w14:paraId="5BEEAD42" w14:textId="77777777" w:rsidR="005B4472" w:rsidRPr="009008C5" w:rsidRDefault="005B4472" w:rsidP="001A4425">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JAN</w:t>
            </w:r>
          </w:p>
        </w:tc>
        <w:tc>
          <w:tcPr>
            <w:tcW w:w="0" w:type="auto"/>
            <w:gridSpan w:val="4"/>
            <w:shd w:val="clear" w:color="auto" w:fill="0D3E67" w:themeFill="accent3"/>
            <w:noWrap/>
            <w:vAlign w:val="bottom"/>
            <w:hideMark/>
          </w:tcPr>
          <w:p w14:paraId="6E799816" w14:textId="77777777" w:rsidR="005B4472" w:rsidRPr="009008C5" w:rsidRDefault="005B4472" w:rsidP="001A4425">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FEB</w:t>
            </w:r>
          </w:p>
        </w:tc>
        <w:tc>
          <w:tcPr>
            <w:tcW w:w="0" w:type="auto"/>
            <w:gridSpan w:val="5"/>
            <w:shd w:val="clear" w:color="auto" w:fill="0D3E67" w:themeFill="accent3"/>
            <w:noWrap/>
            <w:vAlign w:val="bottom"/>
            <w:hideMark/>
          </w:tcPr>
          <w:p w14:paraId="49CC7F66" w14:textId="77777777" w:rsidR="005B4472" w:rsidRPr="009008C5" w:rsidRDefault="005B4472" w:rsidP="001A4425">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MAR</w:t>
            </w:r>
          </w:p>
        </w:tc>
        <w:tc>
          <w:tcPr>
            <w:tcW w:w="0" w:type="auto"/>
            <w:gridSpan w:val="4"/>
            <w:shd w:val="clear" w:color="auto" w:fill="0D3E67" w:themeFill="accent3"/>
            <w:noWrap/>
            <w:vAlign w:val="bottom"/>
            <w:hideMark/>
          </w:tcPr>
          <w:p w14:paraId="45404C30" w14:textId="77777777" w:rsidR="005B4472" w:rsidRPr="00FA278E" w:rsidRDefault="005B4472" w:rsidP="001A4425">
            <w:pPr>
              <w:spacing w:after="0" w:line="240" w:lineRule="auto"/>
              <w:jc w:val="center"/>
              <w:rPr>
                <w:rFonts w:ascii="Calibri" w:eastAsia="Times New Roman" w:hAnsi="Calibri" w:cs="Calibri"/>
                <w:b/>
                <w:bCs/>
                <w:color w:val="FFFFFF" w:themeColor="background1"/>
                <w:sz w:val="16"/>
                <w:szCs w:val="16"/>
                <w:lang w:eastAsia="en-AU"/>
              </w:rPr>
            </w:pPr>
            <w:r w:rsidRPr="00FA278E">
              <w:rPr>
                <w:rFonts w:ascii="Calibri" w:eastAsia="Times New Roman" w:hAnsi="Calibri" w:cs="Calibri"/>
                <w:b/>
                <w:bCs/>
                <w:color w:val="FFFFFF" w:themeColor="background1"/>
                <w:sz w:val="16"/>
                <w:szCs w:val="16"/>
                <w:lang w:eastAsia="en-AU"/>
              </w:rPr>
              <w:t>APR (incl easter)</w:t>
            </w:r>
          </w:p>
        </w:tc>
        <w:tc>
          <w:tcPr>
            <w:tcW w:w="0" w:type="auto"/>
            <w:gridSpan w:val="4"/>
            <w:shd w:val="clear" w:color="auto" w:fill="0D3E67" w:themeFill="accent3"/>
            <w:noWrap/>
            <w:vAlign w:val="bottom"/>
            <w:hideMark/>
          </w:tcPr>
          <w:p w14:paraId="4EB7A900" w14:textId="77777777" w:rsidR="005B4472" w:rsidRPr="009008C5" w:rsidRDefault="005B4472" w:rsidP="001A4425">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MAY</w:t>
            </w:r>
          </w:p>
        </w:tc>
        <w:tc>
          <w:tcPr>
            <w:tcW w:w="0" w:type="auto"/>
            <w:gridSpan w:val="5"/>
            <w:shd w:val="clear" w:color="auto" w:fill="0D3E67" w:themeFill="accent3"/>
            <w:noWrap/>
            <w:vAlign w:val="bottom"/>
            <w:hideMark/>
          </w:tcPr>
          <w:p w14:paraId="76DB3D7D" w14:textId="77777777" w:rsidR="005B4472" w:rsidRPr="009008C5" w:rsidRDefault="005B4472" w:rsidP="001A4425">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JUN</w:t>
            </w:r>
          </w:p>
        </w:tc>
      </w:tr>
      <w:tr w:rsidR="009008C5" w:rsidRPr="0028461A" w14:paraId="300F2379" w14:textId="77777777" w:rsidTr="009008C5">
        <w:trPr>
          <w:trHeight w:val="300"/>
        </w:trPr>
        <w:tc>
          <w:tcPr>
            <w:tcW w:w="2580" w:type="dxa"/>
            <w:shd w:val="clear" w:color="auto" w:fill="F5A35F" w:themeFill="accent2" w:themeFillShade="BF"/>
            <w:noWrap/>
            <w:vAlign w:val="bottom"/>
            <w:hideMark/>
          </w:tcPr>
          <w:p w14:paraId="59D32CA6" w14:textId="77777777" w:rsidR="005B4472" w:rsidRPr="0028461A" w:rsidRDefault="005B4472" w:rsidP="001A4425">
            <w:pPr>
              <w:spacing w:after="0" w:line="240" w:lineRule="auto"/>
              <w:rPr>
                <w:rFonts w:ascii="Arial" w:eastAsia="Times New Roman" w:hAnsi="Arial" w:cs="Arial"/>
                <w:b/>
                <w:bCs/>
                <w:color w:val="auto"/>
                <w:sz w:val="16"/>
                <w:szCs w:val="16"/>
                <w:lang w:eastAsia="en-AU"/>
              </w:rPr>
            </w:pPr>
            <w:r w:rsidRPr="0028461A">
              <w:rPr>
                <w:rFonts w:ascii="Arial" w:eastAsia="Times New Roman" w:hAnsi="Arial" w:cs="Arial"/>
                <w:b/>
                <w:bCs/>
                <w:color w:val="auto"/>
                <w:sz w:val="16"/>
                <w:szCs w:val="16"/>
                <w:lang w:eastAsia="en-AU"/>
              </w:rPr>
              <w:t>Week commencing</w:t>
            </w:r>
          </w:p>
        </w:tc>
        <w:tc>
          <w:tcPr>
            <w:tcW w:w="490" w:type="dxa"/>
            <w:shd w:val="clear" w:color="auto" w:fill="F5A35F" w:themeFill="accent2" w:themeFillShade="BF"/>
            <w:noWrap/>
            <w:vAlign w:val="bottom"/>
            <w:hideMark/>
          </w:tcPr>
          <w:p w14:paraId="1564CA27" w14:textId="77777777" w:rsidR="005B4472" w:rsidRPr="009008C5" w:rsidRDefault="005B4472" w:rsidP="001A4425">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9</w:t>
            </w:r>
          </w:p>
        </w:tc>
        <w:tc>
          <w:tcPr>
            <w:tcW w:w="0" w:type="auto"/>
            <w:shd w:val="clear" w:color="auto" w:fill="F5A35F" w:themeFill="accent2" w:themeFillShade="BF"/>
            <w:noWrap/>
            <w:vAlign w:val="bottom"/>
            <w:hideMark/>
          </w:tcPr>
          <w:p w14:paraId="56ABF895" w14:textId="77777777" w:rsidR="005B4472" w:rsidRPr="009008C5" w:rsidRDefault="005B4472" w:rsidP="001A4425">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16</w:t>
            </w:r>
          </w:p>
        </w:tc>
        <w:tc>
          <w:tcPr>
            <w:tcW w:w="0" w:type="auto"/>
            <w:shd w:val="clear" w:color="auto" w:fill="F5A35F" w:themeFill="accent2" w:themeFillShade="BF"/>
            <w:noWrap/>
            <w:vAlign w:val="bottom"/>
            <w:hideMark/>
          </w:tcPr>
          <w:p w14:paraId="1E6C51BC" w14:textId="77777777" w:rsidR="005B4472" w:rsidRPr="009008C5" w:rsidRDefault="005B4472" w:rsidP="001A4425">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23</w:t>
            </w:r>
          </w:p>
        </w:tc>
        <w:tc>
          <w:tcPr>
            <w:tcW w:w="0" w:type="auto"/>
            <w:shd w:val="clear" w:color="auto" w:fill="F5A35F" w:themeFill="accent2" w:themeFillShade="BF"/>
            <w:noWrap/>
            <w:vAlign w:val="bottom"/>
            <w:hideMark/>
          </w:tcPr>
          <w:p w14:paraId="3C885876" w14:textId="77777777" w:rsidR="005B4472" w:rsidRPr="009008C5" w:rsidRDefault="005B4472" w:rsidP="001A4425">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30</w:t>
            </w:r>
          </w:p>
        </w:tc>
        <w:tc>
          <w:tcPr>
            <w:tcW w:w="0" w:type="auto"/>
            <w:shd w:val="clear" w:color="auto" w:fill="F5A35F" w:themeFill="accent2" w:themeFillShade="BF"/>
            <w:noWrap/>
            <w:vAlign w:val="bottom"/>
            <w:hideMark/>
          </w:tcPr>
          <w:p w14:paraId="55B6856D" w14:textId="77777777" w:rsidR="005B4472" w:rsidRPr="009008C5" w:rsidRDefault="005B4472" w:rsidP="001A4425">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6</w:t>
            </w:r>
          </w:p>
        </w:tc>
        <w:tc>
          <w:tcPr>
            <w:tcW w:w="0" w:type="auto"/>
            <w:shd w:val="clear" w:color="auto" w:fill="F5A35F" w:themeFill="accent2" w:themeFillShade="BF"/>
            <w:noWrap/>
            <w:vAlign w:val="bottom"/>
            <w:hideMark/>
          </w:tcPr>
          <w:p w14:paraId="56298947" w14:textId="77777777" w:rsidR="005B4472" w:rsidRPr="009008C5" w:rsidRDefault="005B4472" w:rsidP="001A4425">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13</w:t>
            </w:r>
          </w:p>
        </w:tc>
        <w:tc>
          <w:tcPr>
            <w:tcW w:w="0" w:type="auto"/>
            <w:shd w:val="clear" w:color="auto" w:fill="F5A35F" w:themeFill="accent2" w:themeFillShade="BF"/>
            <w:noWrap/>
            <w:vAlign w:val="bottom"/>
            <w:hideMark/>
          </w:tcPr>
          <w:p w14:paraId="12844B1A" w14:textId="77777777" w:rsidR="005B4472" w:rsidRPr="009008C5" w:rsidRDefault="005B4472" w:rsidP="001A4425">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20</w:t>
            </w:r>
          </w:p>
        </w:tc>
        <w:tc>
          <w:tcPr>
            <w:tcW w:w="0" w:type="auto"/>
            <w:shd w:val="clear" w:color="auto" w:fill="F5A35F" w:themeFill="accent2" w:themeFillShade="BF"/>
            <w:noWrap/>
            <w:vAlign w:val="bottom"/>
            <w:hideMark/>
          </w:tcPr>
          <w:p w14:paraId="7841E3E8" w14:textId="77777777" w:rsidR="005B4472" w:rsidRPr="009008C5" w:rsidRDefault="005B4472" w:rsidP="001A4425">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27</w:t>
            </w:r>
          </w:p>
        </w:tc>
        <w:tc>
          <w:tcPr>
            <w:tcW w:w="0" w:type="auto"/>
            <w:shd w:val="clear" w:color="auto" w:fill="F5A35F" w:themeFill="accent2" w:themeFillShade="BF"/>
            <w:noWrap/>
            <w:vAlign w:val="bottom"/>
            <w:hideMark/>
          </w:tcPr>
          <w:p w14:paraId="12D135B8" w14:textId="77777777" w:rsidR="005B4472" w:rsidRPr="009008C5" w:rsidRDefault="005B4472" w:rsidP="001A4425">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3</w:t>
            </w:r>
          </w:p>
        </w:tc>
        <w:tc>
          <w:tcPr>
            <w:tcW w:w="0" w:type="auto"/>
            <w:shd w:val="clear" w:color="auto" w:fill="F5A35F" w:themeFill="accent2" w:themeFillShade="BF"/>
            <w:noWrap/>
            <w:vAlign w:val="bottom"/>
            <w:hideMark/>
          </w:tcPr>
          <w:p w14:paraId="7F067FD3" w14:textId="77777777" w:rsidR="005B4472" w:rsidRPr="009008C5" w:rsidRDefault="005B4472" w:rsidP="001A4425">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10</w:t>
            </w:r>
          </w:p>
        </w:tc>
        <w:tc>
          <w:tcPr>
            <w:tcW w:w="0" w:type="auto"/>
            <w:shd w:val="clear" w:color="auto" w:fill="F5A35F" w:themeFill="accent2" w:themeFillShade="BF"/>
            <w:noWrap/>
            <w:vAlign w:val="bottom"/>
            <w:hideMark/>
          </w:tcPr>
          <w:p w14:paraId="3762B365" w14:textId="77777777" w:rsidR="005B4472" w:rsidRPr="009008C5" w:rsidRDefault="005B4472" w:rsidP="001A4425">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17</w:t>
            </w:r>
          </w:p>
        </w:tc>
        <w:tc>
          <w:tcPr>
            <w:tcW w:w="0" w:type="auto"/>
            <w:shd w:val="clear" w:color="auto" w:fill="F5A35F" w:themeFill="accent2" w:themeFillShade="BF"/>
            <w:noWrap/>
            <w:vAlign w:val="bottom"/>
            <w:hideMark/>
          </w:tcPr>
          <w:p w14:paraId="6088F957" w14:textId="77777777" w:rsidR="005B4472" w:rsidRPr="009008C5" w:rsidRDefault="005B4472" w:rsidP="001A4425">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24</w:t>
            </w:r>
          </w:p>
        </w:tc>
        <w:tc>
          <w:tcPr>
            <w:tcW w:w="0" w:type="auto"/>
            <w:shd w:val="clear" w:color="auto" w:fill="F5A35F" w:themeFill="accent2" w:themeFillShade="BF"/>
            <w:noWrap/>
            <w:vAlign w:val="bottom"/>
            <w:hideMark/>
          </w:tcPr>
          <w:p w14:paraId="01D25BAC" w14:textId="77777777" w:rsidR="005B4472" w:rsidRPr="009008C5" w:rsidRDefault="005B4472" w:rsidP="001A4425">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3</w:t>
            </w:r>
          </w:p>
        </w:tc>
        <w:tc>
          <w:tcPr>
            <w:tcW w:w="0" w:type="auto"/>
            <w:shd w:val="clear" w:color="auto" w:fill="F5A35F" w:themeFill="accent2" w:themeFillShade="BF"/>
            <w:noWrap/>
            <w:vAlign w:val="bottom"/>
            <w:hideMark/>
          </w:tcPr>
          <w:p w14:paraId="7E137985" w14:textId="77777777" w:rsidR="005B4472" w:rsidRPr="009008C5" w:rsidRDefault="005B4472" w:rsidP="001A4425">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10</w:t>
            </w:r>
          </w:p>
        </w:tc>
        <w:tc>
          <w:tcPr>
            <w:tcW w:w="0" w:type="auto"/>
            <w:shd w:val="clear" w:color="auto" w:fill="F5A35F" w:themeFill="accent2" w:themeFillShade="BF"/>
            <w:noWrap/>
            <w:vAlign w:val="bottom"/>
            <w:hideMark/>
          </w:tcPr>
          <w:p w14:paraId="4C29F1AF" w14:textId="77777777" w:rsidR="005B4472" w:rsidRPr="009008C5" w:rsidRDefault="005B4472" w:rsidP="001A4425">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17</w:t>
            </w:r>
          </w:p>
        </w:tc>
        <w:tc>
          <w:tcPr>
            <w:tcW w:w="0" w:type="auto"/>
            <w:shd w:val="clear" w:color="auto" w:fill="F5A35F" w:themeFill="accent2" w:themeFillShade="BF"/>
            <w:noWrap/>
            <w:vAlign w:val="bottom"/>
            <w:hideMark/>
          </w:tcPr>
          <w:p w14:paraId="002995A1" w14:textId="77777777" w:rsidR="005B4472" w:rsidRPr="009008C5" w:rsidRDefault="005B4472" w:rsidP="001A4425">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24</w:t>
            </w:r>
          </w:p>
        </w:tc>
        <w:tc>
          <w:tcPr>
            <w:tcW w:w="0" w:type="auto"/>
            <w:shd w:val="clear" w:color="auto" w:fill="F5A35F" w:themeFill="accent2" w:themeFillShade="BF"/>
            <w:noWrap/>
            <w:vAlign w:val="bottom"/>
            <w:hideMark/>
          </w:tcPr>
          <w:p w14:paraId="565DE6CD" w14:textId="77777777" w:rsidR="005B4472" w:rsidRPr="009008C5" w:rsidRDefault="005B4472" w:rsidP="001A4425">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31</w:t>
            </w:r>
          </w:p>
        </w:tc>
        <w:tc>
          <w:tcPr>
            <w:tcW w:w="0" w:type="auto"/>
            <w:shd w:val="clear" w:color="auto" w:fill="F5A35F" w:themeFill="accent2" w:themeFillShade="BF"/>
            <w:noWrap/>
            <w:vAlign w:val="bottom"/>
            <w:hideMark/>
          </w:tcPr>
          <w:p w14:paraId="6B6C31D8" w14:textId="77777777" w:rsidR="005B4472" w:rsidRPr="009008C5" w:rsidRDefault="005B4472" w:rsidP="001A4425">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7</w:t>
            </w:r>
          </w:p>
        </w:tc>
        <w:tc>
          <w:tcPr>
            <w:tcW w:w="0" w:type="auto"/>
            <w:shd w:val="clear" w:color="auto" w:fill="F5A35F" w:themeFill="accent2" w:themeFillShade="BF"/>
            <w:noWrap/>
            <w:vAlign w:val="bottom"/>
            <w:hideMark/>
          </w:tcPr>
          <w:p w14:paraId="30C11EDC" w14:textId="77777777" w:rsidR="005B4472" w:rsidRPr="009008C5" w:rsidRDefault="005B4472" w:rsidP="001A4425">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14</w:t>
            </w:r>
          </w:p>
        </w:tc>
        <w:tc>
          <w:tcPr>
            <w:tcW w:w="0" w:type="auto"/>
            <w:shd w:val="clear" w:color="auto" w:fill="F5A35F" w:themeFill="accent2" w:themeFillShade="BF"/>
            <w:noWrap/>
            <w:vAlign w:val="bottom"/>
            <w:hideMark/>
          </w:tcPr>
          <w:p w14:paraId="7BC9AD45" w14:textId="77777777" w:rsidR="005B4472" w:rsidRPr="009008C5" w:rsidRDefault="005B4472" w:rsidP="001A4425">
            <w:pPr>
              <w:spacing w:after="0" w:line="240" w:lineRule="auto"/>
              <w:jc w:val="center"/>
              <w:rPr>
                <w:rFonts w:ascii="Calibri" w:eastAsia="Times New Roman" w:hAnsi="Calibri" w:cs="Calibri"/>
                <w:b/>
                <w:bCs/>
                <w:color w:val="F9F9F9"/>
                <w:sz w:val="16"/>
                <w:szCs w:val="16"/>
                <w:lang w:eastAsia="en-AU"/>
              </w:rPr>
            </w:pPr>
            <w:r w:rsidRPr="009008C5">
              <w:rPr>
                <w:rFonts w:ascii="Calibri" w:eastAsia="Times New Roman" w:hAnsi="Calibri" w:cs="Calibri"/>
                <w:b/>
                <w:bCs/>
                <w:color w:val="auto"/>
                <w:sz w:val="16"/>
                <w:szCs w:val="16"/>
                <w:lang w:eastAsia="en-AU"/>
              </w:rPr>
              <w:t>21</w:t>
            </w:r>
          </w:p>
        </w:tc>
        <w:tc>
          <w:tcPr>
            <w:tcW w:w="0" w:type="auto"/>
            <w:shd w:val="clear" w:color="auto" w:fill="F5A35F" w:themeFill="accent2" w:themeFillShade="BF"/>
            <w:noWrap/>
            <w:vAlign w:val="bottom"/>
            <w:hideMark/>
          </w:tcPr>
          <w:p w14:paraId="0309179F" w14:textId="77777777" w:rsidR="005B4472" w:rsidRPr="009008C5" w:rsidRDefault="005B4472" w:rsidP="001A4425">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28</w:t>
            </w:r>
          </w:p>
        </w:tc>
        <w:tc>
          <w:tcPr>
            <w:tcW w:w="0" w:type="auto"/>
            <w:shd w:val="clear" w:color="auto" w:fill="F5A35F" w:themeFill="accent2" w:themeFillShade="BF"/>
            <w:noWrap/>
            <w:vAlign w:val="bottom"/>
            <w:hideMark/>
          </w:tcPr>
          <w:p w14:paraId="0EDBE371" w14:textId="77777777" w:rsidR="005B4472" w:rsidRPr="009008C5" w:rsidRDefault="005B4472" w:rsidP="001A4425">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5</w:t>
            </w:r>
          </w:p>
        </w:tc>
        <w:tc>
          <w:tcPr>
            <w:tcW w:w="0" w:type="auto"/>
            <w:shd w:val="clear" w:color="auto" w:fill="F5A35F" w:themeFill="accent2" w:themeFillShade="BF"/>
            <w:noWrap/>
            <w:vAlign w:val="bottom"/>
            <w:hideMark/>
          </w:tcPr>
          <w:p w14:paraId="24B10DC4" w14:textId="77777777" w:rsidR="005B4472" w:rsidRPr="009008C5" w:rsidRDefault="005B4472" w:rsidP="001A4425">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12</w:t>
            </w:r>
          </w:p>
        </w:tc>
        <w:tc>
          <w:tcPr>
            <w:tcW w:w="0" w:type="auto"/>
            <w:shd w:val="clear" w:color="auto" w:fill="F5A35F" w:themeFill="accent2" w:themeFillShade="BF"/>
            <w:noWrap/>
            <w:vAlign w:val="bottom"/>
            <w:hideMark/>
          </w:tcPr>
          <w:p w14:paraId="3769ED06" w14:textId="77777777" w:rsidR="005B4472" w:rsidRPr="009008C5" w:rsidRDefault="005B4472" w:rsidP="001A4425">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19</w:t>
            </w:r>
          </w:p>
        </w:tc>
        <w:tc>
          <w:tcPr>
            <w:tcW w:w="0" w:type="auto"/>
            <w:shd w:val="clear" w:color="auto" w:fill="F5A35F" w:themeFill="accent2" w:themeFillShade="BF"/>
            <w:noWrap/>
            <w:vAlign w:val="bottom"/>
            <w:hideMark/>
          </w:tcPr>
          <w:p w14:paraId="75B6CA54" w14:textId="77777777" w:rsidR="005B4472" w:rsidRPr="009008C5" w:rsidRDefault="005B4472" w:rsidP="001A4425">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26</w:t>
            </w:r>
          </w:p>
        </w:tc>
        <w:tc>
          <w:tcPr>
            <w:tcW w:w="0" w:type="auto"/>
            <w:shd w:val="clear" w:color="auto" w:fill="F5A35F" w:themeFill="accent2" w:themeFillShade="BF"/>
            <w:noWrap/>
            <w:vAlign w:val="bottom"/>
            <w:hideMark/>
          </w:tcPr>
          <w:p w14:paraId="007CFFD7" w14:textId="77777777" w:rsidR="005B4472" w:rsidRPr="009008C5" w:rsidRDefault="005B4472" w:rsidP="001A4425">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2</w:t>
            </w:r>
          </w:p>
        </w:tc>
        <w:tc>
          <w:tcPr>
            <w:tcW w:w="0" w:type="auto"/>
            <w:shd w:val="clear" w:color="auto" w:fill="F5A35F" w:themeFill="accent2" w:themeFillShade="BF"/>
            <w:noWrap/>
            <w:vAlign w:val="bottom"/>
            <w:hideMark/>
          </w:tcPr>
          <w:p w14:paraId="566F9061" w14:textId="77777777" w:rsidR="005B4472" w:rsidRPr="009008C5" w:rsidRDefault="005B4472" w:rsidP="001A4425">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9</w:t>
            </w:r>
          </w:p>
        </w:tc>
        <w:tc>
          <w:tcPr>
            <w:tcW w:w="0" w:type="auto"/>
            <w:shd w:val="clear" w:color="auto" w:fill="F5A35F" w:themeFill="accent2" w:themeFillShade="BF"/>
            <w:noWrap/>
            <w:vAlign w:val="bottom"/>
            <w:hideMark/>
          </w:tcPr>
          <w:p w14:paraId="1102B8B4" w14:textId="77777777" w:rsidR="005B4472" w:rsidRPr="009008C5" w:rsidRDefault="005B4472" w:rsidP="001A4425">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16</w:t>
            </w:r>
          </w:p>
        </w:tc>
        <w:tc>
          <w:tcPr>
            <w:tcW w:w="0" w:type="auto"/>
            <w:shd w:val="clear" w:color="auto" w:fill="F5A35F" w:themeFill="accent2" w:themeFillShade="BF"/>
            <w:noWrap/>
            <w:vAlign w:val="bottom"/>
            <w:hideMark/>
          </w:tcPr>
          <w:p w14:paraId="307479B4" w14:textId="77777777" w:rsidR="005B4472" w:rsidRPr="009008C5" w:rsidRDefault="005B4472" w:rsidP="001A4425">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23</w:t>
            </w:r>
          </w:p>
        </w:tc>
        <w:tc>
          <w:tcPr>
            <w:tcW w:w="0" w:type="auto"/>
            <w:shd w:val="clear" w:color="auto" w:fill="F5A35F" w:themeFill="accent2" w:themeFillShade="BF"/>
            <w:noWrap/>
            <w:vAlign w:val="bottom"/>
            <w:hideMark/>
          </w:tcPr>
          <w:p w14:paraId="7F6DBD96" w14:textId="77777777" w:rsidR="005B4472" w:rsidRPr="009008C5" w:rsidRDefault="005B4472" w:rsidP="001A4425">
            <w:pPr>
              <w:spacing w:after="0" w:line="240" w:lineRule="auto"/>
              <w:jc w:val="center"/>
              <w:rPr>
                <w:rFonts w:ascii="Calibri" w:eastAsia="Times New Roman" w:hAnsi="Calibri" w:cs="Calibri"/>
                <w:b/>
                <w:bCs/>
                <w:color w:val="auto"/>
                <w:sz w:val="16"/>
                <w:szCs w:val="16"/>
                <w:lang w:eastAsia="en-AU"/>
              </w:rPr>
            </w:pPr>
            <w:r w:rsidRPr="009008C5">
              <w:rPr>
                <w:rFonts w:ascii="Calibri" w:eastAsia="Times New Roman" w:hAnsi="Calibri" w:cs="Calibri"/>
                <w:b/>
                <w:bCs/>
                <w:color w:val="auto"/>
                <w:sz w:val="16"/>
                <w:szCs w:val="16"/>
                <w:lang w:eastAsia="en-AU"/>
              </w:rPr>
              <w:t>30</w:t>
            </w:r>
          </w:p>
        </w:tc>
      </w:tr>
      <w:tr w:rsidR="009008C5" w:rsidRPr="0028461A" w14:paraId="275A7B62" w14:textId="77777777" w:rsidTr="009008C5">
        <w:trPr>
          <w:trHeight w:val="300"/>
        </w:trPr>
        <w:tc>
          <w:tcPr>
            <w:tcW w:w="2580" w:type="dxa"/>
            <w:shd w:val="clear" w:color="auto" w:fill="F5A35F" w:themeFill="accent2" w:themeFillShade="BF"/>
            <w:noWrap/>
            <w:vAlign w:val="bottom"/>
          </w:tcPr>
          <w:p w14:paraId="042EE51B" w14:textId="72DD6FB5" w:rsidR="005B4472" w:rsidRPr="0028461A" w:rsidRDefault="005B4472" w:rsidP="005B4472">
            <w:pPr>
              <w:spacing w:after="0" w:line="240" w:lineRule="auto"/>
              <w:rPr>
                <w:rFonts w:ascii="Arial" w:eastAsia="Times New Roman" w:hAnsi="Arial" w:cs="Arial"/>
                <w:b/>
                <w:bCs/>
                <w:color w:val="auto"/>
                <w:sz w:val="16"/>
                <w:szCs w:val="16"/>
                <w:lang w:eastAsia="en-AU"/>
              </w:rPr>
            </w:pPr>
            <w:r w:rsidRPr="0028461A">
              <w:rPr>
                <w:rFonts w:ascii="Arial" w:eastAsia="Times New Roman" w:hAnsi="Arial" w:cs="Arial"/>
                <w:b/>
                <w:bCs/>
                <w:color w:val="auto"/>
                <w:sz w:val="16"/>
                <w:szCs w:val="16"/>
                <w:lang w:eastAsia="en-AU"/>
              </w:rPr>
              <w:t>PHASE 4 DESIGN</w:t>
            </w:r>
          </w:p>
        </w:tc>
        <w:tc>
          <w:tcPr>
            <w:tcW w:w="490" w:type="dxa"/>
            <w:shd w:val="clear" w:color="auto" w:fill="F5A35F" w:themeFill="accent2" w:themeFillShade="BF"/>
            <w:noWrap/>
          </w:tcPr>
          <w:p w14:paraId="1617DE9B" w14:textId="34136BFD"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F5A35F" w:themeFill="accent2" w:themeFillShade="BF"/>
            <w:noWrap/>
          </w:tcPr>
          <w:p w14:paraId="2CC390B7" w14:textId="68229EDA"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F5A35F" w:themeFill="accent2" w:themeFillShade="BF"/>
            <w:noWrap/>
          </w:tcPr>
          <w:p w14:paraId="65937CFE" w14:textId="1334F826"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F5A35F" w:themeFill="accent2" w:themeFillShade="BF"/>
            <w:noWrap/>
          </w:tcPr>
          <w:p w14:paraId="662F052C" w14:textId="7220934E"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F5A35F" w:themeFill="accent2" w:themeFillShade="BF"/>
            <w:noWrap/>
          </w:tcPr>
          <w:p w14:paraId="34E64E37" w14:textId="66C01ECE"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F5A35F" w:themeFill="accent2" w:themeFillShade="BF"/>
            <w:noWrap/>
          </w:tcPr>
          <w:p w14:paraId="025356AC" w14:textId="736AAE42"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F5A35F" w:themeFill="accent2" w:themeFillShade="BF"/>
            <w:noWrap/>
          </w:tcPr>
          <w:p w14:paraId="5230AAEC" w14:textId="5EAC099E"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F5A35F" w:themeFill="accent2" w:themeFillShade="BF"/>
            <w:noWrap/>
          </w:tcPr>
          <w:p w14:paraId="301A008C" w14:textId="08F9E51E"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F5A35F" w:themeFill="accent2" w:themeFillShade="BF"/>
            <w:noWrap/>
          </w:tcPr>
          <w:p w14:paraId="7093B90C" w14:textId="75D766E5"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F5A35F" w:themeFill="accent2" w:themeFillShade="BF"/>
            <w:noWrap/>
          </w:tcPr>
          <w:p w14:paraId="6E2EF86B" w14:textId="63934577"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F5A35F" w:themeFill="accent2" w:themeFillShade="BF"/>
            <w:noWrap/>
          </w:tcPr>
          <w:p w14:paraId="1AFD12D7" w14:textId="23DCE430"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F5A35F" w:themeFill="accent2" w:themeFillShade="BF"/>
            <w:noWrap/>
          </w:tcPr>
          <w:p w14:paraId="79C88038" w14:textId="6C2AC5E0"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F5A35F" w:themeFill="accent2" w:themeFillShade="BF"/>
            <w:noWrap/>
          </w:tcPr>
          <w:p w14:paraId="1BEBD470" w14:textId="3FF6044E"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F5A35F" w:themeFill="accent2" w:themeFillShade="BF"/>
            <w:noWrap/>
          </w:tcPr>
          <w:p w14:paraId="41419C56" w14:textId="5C100DC2"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F5A35F" w:themeFill="accent2" w:themeFillShade="BF"/>
            <w:noWrap/>
          </w:tcPr>
          <w:p w14:paraId="0D176C4E" w14:textId="6EECBB1E"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F5A35F" w:themeFill="accent2" w:themeFillShade="BF"/>
            <w:noWrap/>
          </w:tcPr>
          <w:p w14:paraId="56A2B6BD" w14:textId="0AD36078"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F5A35F" w:themeFill="accent2" w:themeFillShade="BF"/>
            <w:noWrap/>
          </w:tcPr>
          <w:p w14:paraId="3B4958A9" w14:textId="6A2884BA"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F5A35F" w:themeFill="accent2" w:themeFillShade="BF"/>
            <w:noWrap/>
          </w:tcPr>
          <w:p w14:paraId="07DB29BC" w14:textId="2F78C90F"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F5A35F" w:themeFill="accent2" w:themeFillShade="BF"/>
            <w:noWrap/>
          </w:tcPr>
          <w:p w14:paraId="7DDCB8B5" w14:textId="47C61718"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F5A35F" w:themeFill="accent2" w:themeFillShade="BF"/>
            <w:noWrap/>
          </w:tcPr>
          <w:p w14:paraId="17A6E66D" w14:textId="1570DAF9" w:rsidR="005B4472" w:rsidRPr="0028461A" w:rsidRDefault="005B4472" w:rsidP="005B4472">
            <w:pPr>
              <w:spacing w:after="0" w:line="240" w:lineRule="auto"/>
              <w:jc w:val="center"/>
              <w:rPr>
                <w:rFonts w:ascii="Calibri" w:eastAsia="Times New Roman" w:hAnsi="Calibri" w:cs="Calibri"/>
                <w:color w:val="F9F9F9"/>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F5A35F" w:themeFill="accent2" w:themeFillShade="BF"/>
            <w:noWrap/>
          </w:tcPr>
          <w:p w14:paraId="78E2A203" w14:textId="258D4179"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F5A35F" w:themeFill="accent2" w:themeFillShade="BF"/>
            <w:noWrap/>
          </w:tcPr>
          <w:p w14:paraId="296E32B2" w14:textId="37158F95"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F5A35F" w:themeFill="accent2" w:themeFillShade="BF"/>
            <w:noWrap/>
          </w:tcPr>
          <w:p w14:paraId="039B95D5" w14:textId="51320BB0"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F5A35F" w:themeFill="accent2" w:themeFillShade="BF"/>
            <w:noWrap/>
          </w:tcPr>
          <w:p w14:paraId="02CFC494" w14:textId="07F7407F"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F5A35F" w:themeFill="accent2" w:themeFillShade="BF"/>
            <w:noWrap/>
          </w:tcPr>
          <w:p w14:paraId="77B51E14" w14:textId="33720EA5"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F5A35F" w:themeFill="accent2" w:themeFillShade="BF"/>
            <w:noWrap/>
          </w:tcPr>
          <w:p w14:paraId="7A4FEDEF" w14:textId="39A8A6DC"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F5A35F" w:themeFill="accent2" w:themeFillShade="BF"/>
            <w:noWrap/>
          </w:tcPr>
          <w:p w14:paraId="6767E6BA" w14:textId="16161460"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F5A35F" w:themeFill="accent2" w:themeFillShade="BF"/>
            <w:noWrap/>
          </w:tcPr>
          <w:p w14:paraId="180B65FC" w14:textId="6818612B"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F5A35F" w:themeFill="accent2" w:themeFillShade="BF"/>
            <w:noWrap/>
          </w:tcPr>
          <w:p w14:paraId="0854240E" w14:textId="0A54949A"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F5A35F" w:themeFill="accent2" w:themeFillShade="BF"/>
            <w:noWrap/>
          </w:tcPr>
          <w:p w14:paraId="1EF7E6B5" w14:textId="69D59396" w:rsidR="005B4472" w:rsidRPr="0028461A" w:rsidRDefault="005B4472" w:rsidP="005B4472">
            <w:pPr>
              <w:spacing w:after="0" w:line="240" w:lineRule="auto"/>
              <w:jc w:val="center"/>
              <w:rPr>
                <w:rFonts w:ascii="Calibri" w:eastAsia="Times New Roman" w:hAnsi="Calibri" w:cs="Calibri"/>
                <w:color w:val="auto"/>
                <w:sz w:val="16"/>
                <w:szCs w:val="16"/>
                <w:lang w:eastAsia="en-AU"/>
              </w:rPr>
            </w:pPr>
            <w:r w:rsidRPr="009B3E82">
              <w:rPr>
                <w:rFonts w:ascii="Arial" w:eastAsia="Times New Roman" w:hAnsi="Arial" w:cs="Arial"/>
                <w:b/>
                <w:bCs/>
                <w:color w:val="auto"/>
                <w:sz w:val="16"/>
                <w:szCs w:val="16"/>
                <w:lang w:eastAsia="en-AU"/>
              </w:rPr>
              <w:t>-</w:t>
            </w:r>
          </w:p>
        </w:tc>
      </w:tr>
      <w:tr w:rsidR="009008C5" w:rsidRPr="0028461A" w14:paraId="1CD4DCC8" w14:textId="77777777" w:rsidTr="00A6389D">
        <w:trPr>
          <w:trHeight w:val="255"/>
        </w:trPr>
        <w:tc>
          <w:tcPr>
            <w:tcW w:w="2580" w:type="dxa"/>
            <w:shd w:val="clear" w:color="000000" w:fill="D9D9D9"/>
            <w:noWrap/>
            <w:vAlign w:val="bottom"/>
            <w:hideMark/>
          </w:tcPr>
          <w:p w14:paraId="4FD095B9" w14:textId="77777777" w:rsidR="009008C5" w:rsidRPr="0028461A" w:rsidRDefault="009008C5" w:rsidP="009008C5">
            <w:pPr>
              <w:spacing w:after="0" w:line="240" w:lineRule="auto"/>
              <w:rPr>
                <w:rFonts w:ascii="Arial" w:eastAsia="Times New Roman" w:hAnsi="Arial" w:cs="Arial"/>
                <w:b/>
                <w:bCs/>
                <w:color w:val="auto"/>
                <w:sz w:val="16"/>
                <w:szCs w:val="16"/>
                <w:lang w:eastAsia="en-AU"/>
              </w:rPr>
            </w:pPr>
            <w:r w:rsidRPr="0028461A">
              <w:rPr>
                <w:rFonts w:ascii="Arial" w:eastAsia="Times New Roman" w:hAnsi="Arial" w:cs="Arial"/>
                <w:b/>
                <w:bCs/>
                <w:color w:val="auto"/>
                <w:sz w:val="16"/>
                <w:szCs w:val="16"/>
                <w:lang w:eastAsia="en-AU"/>
              </w:rPr>
              <w:t>CONSULTATIONS (Round 2)</w:t>
            </w:r>
          </w:p>
        </w:tc>
        <w:tc>
          <w:tcPr>
            <w:tcW w:w="490" w:type="dxa"/>
            <w:shd w:val="clear" w:color="000000" w:fill="D9D9D9"/>
            <w:noWrap/>
            <w:hideMark/>
          </w:tcPr>
          <w:p w14:paraId="100CBFF7" w14:textId="64B3F8C8"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542D0D78" w14:textId="675BF369"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5F6A8AE9" w14:textId="4D95EC6B"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155FF014" w14:textId="0B9BA695"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1C89E42B" w14:textId="6D525035"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7103023C" w14:textId="09DBF64C"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1B79B5FB" w14:textId="56846A98"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27470D2A" w14:textId="30FA30C5"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6BD0D9D3" w14:textId="092DD075"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46415E20" w14:textId="3DA2D8A5"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54C4CFCF" w14:textId="2B5DF800"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1D651E67" w14:textId="4EFFEB78"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4B4C25F7" w14:textId="4AF941C5"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435958AF" w14:textId="575D00FA"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55AC1740" w14:textId="25FB4B91"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4604DEBF" w14:textId="348EBDDD"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43E21FD3" w14:textId="63168600"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54EBC4B5" w14:textId="721F891C"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73E63289" w14:textId="3EDBF294"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thinDiagCross" w:color="auto" w:fill="auto"/>
            <w:noWrap/>
            <w:hideMark/>
          </w:tcPr>
          <w:p w14:paraId="612DA95A" w14:textId="11633850" w:rsidR="009008C5" w:rsidRPr="0028461A" w:rsidRDefault="009008C5" w:rsidP="009008C5">
            <w:pPr>
              <w:spacing w:after="0" w:line="240" w:lineRule="auto"/>
              <w:jc w:val="center"/>
              <w:rPr>
                <w:rFonts w:ascii="Arial" w:eastAsia="Times New Roman" w:hAnsi="Arial" w:cs="Arial"/>
                <w:b/>
                <w:bCs/>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2FC6DE01" w14:textId="2BE88931"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7B3F8CF3" w14:textId="138B1C3D"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500F3625" w14:textId="50AEA815"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729D0A9F" w14:textId="23CF366E"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0DAD6628" w14:textId="39256B6A"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5034D1B0" w14:textId="092B6F7A"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155D3FE1" w14:textId="37F2D14F"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356866A4" w14:textId="640DCB92"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01367B7F" w14:textId="3B030BB7"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222C696A" w14:textId="0FE9F13A"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r>
      <w:tr w:rsidR="009008C5" w:rsidRPr="0028461A" w14:paraId="6FE6AA70" w14:textId="77777777" w:rsidTr="00A6389D">
        <w:trPr>
          <w:trHeight w:val="285"/>
        </w:trPr>
        <w:tc>
          <w:tcPr>
            <w:tcW w:w="2580" w:type="dxa"/>
            <w:shd w:val="clear" w:color="000000" w:fill="FFFFFF"/>
            <w:noWrap/>
            <w:vAlign w:val="bottom"/>
            <w:hideMark/>
          </w:tcPr>
          <w:p w14:paraId="2D269865" w14:textId="77777777" w:rsidR="009008C5" w:rsidRPr="0028461A" w:rsidRDefault="009008C5" w:rsidP="009008C5">
            <w:pPr>
              <w:spacing w:after="0" w:line="240" w:lineRule="auto"/>
              <w:rPr>
                <w:rFonts w:ascii="Arial" w:eastAsia="Times New Roman" w:hAnsi="Arial" w:cs="Arial"/>
                <w:color w:val="auto"/>
                <w:sz w:val="16"/>
                <w:szCs w:val="16"/>
                <w:lang w:eastAsia="en-AU"/>
              </w:rPr>
            </w:pPr>
            <w:r w:rsidRPr="0028461A">
              <w:rPr>
                <w:rFonts w:ascii="Arial" w:eastAsia="Times New Roman" w:hAnsi="Arial" w:cs="Arial"/>
                <w:color w:val="auto"/>
                <w:sz w:val="16"/>
                <w:szCs w:val="16"/>
                <w:lang w:eastAsia="en-AU"/>
              </w:rPr>
              <w:t>Conduct online consultations</w:t>
            </w:r>
          </w:p>
        </w:tc>
        <w:tc>
          <w:tcPr>
            <w:tcW w:w="490" w:type="dxa"/>
            <w:shd w:val="clear" w:color="auto" w:fill="auto"/>
            <w:noWrap/>
            <w:hideMark/>
          </w:tcPr>
          <w:p w14:paraId="3CB13192" w14:textId="16F5F7E7"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FFFFFF"/>
            <w:noWrap/>
            <w:hideMark/>
          </w:tcPr>
          <w:p w14:paraId="74C78C2F" w14:textId="75340E1D"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pct12" w:color="000000" w:fill="FFFFFF"/>
            <w:noWrap/>
            <w:hideMark/>
          </w:tcPr>
          <w:p w14:paraId="2659DD03" w14:textId="690E6D63" w:rsidR="009008C5" w:rsidRPr="0028461A" w:rsidRDefault="009008C5" w:rsidP="009008C5">
            <w:pPr>
              <w:spacing w:after="0" w:line="240" w:lineRule="auto"/>
              <w:jc w:val="center"/>
              <w:rPr>
                <w:rFonts w:ascii="Wingdings" w:eastAsia="Times New Roman" w:hAnsi="Wingdings" w:cs="Calibri"/>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pct12" w:color="000000" w:fill="FFFFFF"/>
            <w:noWrap/>
            <w:hideMark/>
          </w:tcPr>
          <w:p w14:paraId="60809255" w14:textId="69875CBC" w:rsidR="009008C5" w:rsidRPr="0028461A" w:rsidRDefault="009008C5" w:rsidP="009008C5">
            <w:pPr>
              <w:spacing w:after="0" w:line="240" w:lineRule="auto"/>
              <w:jc w:val="center"/>
              <w:rPr>
                <w:rFonts w:ascii="Wingdings" w:eastAsia="Times New Roman" w:hAnsi="Wingdings" w:cs="Calibri"/>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FFFFFF"/>
            <w:noWrap/>
            <w:hideMark/>
          </w:tcPr>
          <w:p w14:paraId="3F7AA357" w14:textId="08FD761C"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FFFFFF"/>
            <w:noWrap/>
            <w:hideMark/>
          </w:tcPr>
          <w:p w14:paraId="5ED91FFD" w14:textId="7EA8D387"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FFFFFF"/>
            <w:noWrap/>
            <w:hideMark/>
          </w:tcPr>
          <w:p w14:paraId="4AAD0F84" w14:textId="2DC7ED90"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FFFFFF"/>
            <w:noWrap/>
            <w:hideMark/>
          </w:tcPr>
          <w:p w14:paraId="6C39164A" w14:textId="69F1692E"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FFFFFF"/>
            <w:noWrap/>
            <w:hideMark/>
          </w:tcPr>
          <w:p w14:paraId="6518FED4" w14:textId="6D5CE891"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FFFFFF"/>
            <w:noWrap/>
            <w:hideMark/>
          </w:tcPr>
          <w:p w14:paraId="0AF5053A" w14:textId="2053013B"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74D63F5C" w14:textId="2B630655"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5A499C97" w14:textId="10F6B2D0"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5509238C" w14:textId="6336976C"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5AA591C4" w14:textId="405BFD79"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1CD5F93A" w14:textId="2417F2BC"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808080"/>
            <w:noWrap/>
            <w:hideMark/>
          </w:tcPr>
          <w:p w14:paraId="57C6E48F" w14:textId="45C7DFBA"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808080"/>
            <w:noWrap/>
            <w:hideMark/>
          </w:tcPr>
          <w:p w14:paraId="043B2E86" w14:textId="1FDEBCB6"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808080"/>
            <w:noWrap/>
            <w:hideMark/>
          </w:tcPr>
          <w:p w14:paraId="6D7485B9" w14:textId="3EFA594D"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2A3AE925" w14:textId="2540A7E1"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thinDiagCross" w:color="auto" w:fill="auto"/>
            <w:noWrap/>
            <w:hideMark/>
          </w:tcPr>
          <w:p w14:paraId="310EE950" w14:textId="26740BFD" w:rsidR="009008C5" w:rsidRPr="0028461A" w:rsidRDefault="009008C5" w:rsidP="009008C5">
            <w:pPr>
              <w:spacing w:after="0" w:line="240" w:lineRule="auto"/>
              <w:jc w:val="center"/>
              <w:rPr>
                <w:rFonts w:ascii="Arial" w:eastAsia="Times New Roman" w:hAnsi="Arial" w:cs="Arial"/>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241976BC" w14:textId="12E3DDEB"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7FECC782" w14:textId="5AC70848"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39AED5CA" w14:textId="57731D45"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034C8120" w14:textId="5F67E3D7"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29025AD4" w14:textId="6B96A276"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5A634551" w14:textId="6260474D"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2D671E27" w14:textId="79549658"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67FC7CF5" w14:textId="004782E0"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5C52A515" w14:textId="7EE531D6"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69940DEA" w14:textId="1CD7FC7D"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r>
      <w:tr w:rsidR="009008C5" w:rsidRPr="0028461A" w14:paraId="502EDE39" w14:textId="77777777" w:rsidTr="00A6389D">
        <w:trPr>
          <w:trHeight w:val="255"/>
        </w:trPr>
        <w:tc>
          <w:tcPr>
            <w:tcW w:w="2580" w:type="dxa"/>
            <w:shd w:val="clear" w:color="000000" w:fill="D9D9D9"/>
            <w:noWrap/>
            <w:vAlign w:val="center"/>
            <w:hideMark/>
          </w:tcPr>
          <w:p w14:paraId="7F25821F" w14:textId="77777777" w:rsidR="009008C5" w:rsidRPr="0028461A" w:rsidRDefault="009008C5" w:rsidP="009008C5">
            <w:pPr>
              <w:spacing w:after="0" w:line="240" w:lineRule="auto"/>
              <w:rPr>
                <w:rFonts w:ascii="Arial" w:eastAsia="Times New Roman" w:hAnsi="Arial" w:cs="Arial"/>
                <w:b/>
                <w:bCs/>
                <w:color w:val="auto"/>
                <w:sz w:val="16"/>
                <w:szCs w:val="16"/>
                <w:lang w:eastAsia="en-AU"/>
              </w:rPr>
            </w:pPr>
            <w:r w:rsidRPr="0028461A">
              <w:rPr>
                <w:rFonts w:ascii="Arial" w:eastAsia="Times New Roman" w:hAnsi="Arial" w:cs="Arial"/>
                <w:b/>
                <w:bCs/>
                <w:color w:val="auto"/>
                <w:sz w:val="16"/>
                <w:szCs w:val="16"/>
                <w:lang w:eastAsia="en-AU"/>
              </w:rPr>
              <w:t>IDD DRAFTING</w:t>
            </w:r>
          </w:p>
        </w:tc>
        <w:tc>
          <w:tcPr>
            <w:tcW w:w="490" w:type="dxa"/>
            <w:shd w:val="clear" w:color="000000" w:fill="D9D9D9"/>
            <w:noWrap/>
            <w:hideMark/>
          </w:tcPr>
          <w:p w14:paraId="5CFDCDC8" w14:textId="3C753276"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0FCC4880" w14:textId="771DBCE5"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2B061DFC" w14:textId="4AE489D6"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24B90AF7" w14:textId="3C88BF45"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69E664F8" w14:textId="651E7C73"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46BC639F" w14:textId="5D99456E"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4446A952" w14:textId="5C097E40"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65DA9178" w14:textId="733D4FAA"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0D0B8AE7" w14:textId="1226149D"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0EDC7F63" w14:textId="59F17538"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3C0FA6AC" w14:textId="1F2AC94D"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3F79E6AE" w14:textId="47794E49"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42938504" w14:textId="13BD3305"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3062C232" w14:textId="5C5AFAE4"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57C0C68A" w14:textId="2957DFE3"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198D75D3" w14:textId="2B34BFE3"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62EDE363" w14:textId="21B238B0"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5B392E98" w14:textId="4D358DE1"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3BBD710F" w14:textId="1A90D7B1"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thinDiagCross" w:color="auto" w:fill="auto"/>
            <w:noWrap/>
            <w:hideMark/>
          </w:tcPr>
          <w:p w14:paraId="6DA71F3E" w14:textId="4CFCA1DB" w:rsidR="009008C5" w:rsidRPr="0028461A" w:rsidRDefault="009008C5" w:rsidP="009008C5">
            <w:pPr>
              <w:spacing w:after="0" w:line="240" w:lineRule="auto"/>
              <w:jc w:val="center"/>
              <w:rPr>
                <w:rFonts w:ascii="Arial" w:eastAsia="Times New Roman" w:hAnsi="Arial" w:cs="Arial"/>
                <w:b/>
                <w:bCs/>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3F6682B6" w14:textId="4AC52DED"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5AB15D40" w14:textId="20958DDF"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615357FC" w14:textId="7636D2A1"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5563426D" w14:textId="2F9C8CB1"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5BF82E4E" w14:textId="0CE38AB9"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5B1556F4" w14:textId="229C46B7"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5CB5A8B4" w14:textId="3D189538"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4015E7F8" w14:textId="52746EE4"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2370E21F" w14:textId="39B5CE16"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D9D9D9"/>
            <w:noWrap/>
            <w:hideMark/>
          </w:tcPr>
          <w:p w14:paraId="3C9F8E9C" w14:textId="24FE06A7" w:rsidR="009008C5" w:rsidRPr="0028461A" w:rsidRDefault="009008C5" w:rsidP="009008C5">
            <w:pPr>
              <w:spacing w:after="0" w:line="240" w:lineRule="auto"/>
              <w:jc w:val="center"/>
              <w:rPr>
                <w:rFonts w:ascii="Arial" w:eastAsia="Times New Roman" w:hAnsi="Arial" w:cs="Arial"/>
                <w:b/>
                <w:bCs/>
                <w:color w:val="auto"/>
                <w:sz w:val="16"/>
                <w:szCs w:val="16"/>
                <w:lang w:eastAsia="en-AU"/>
              </w:rPr>
            </w:pPr>
            <w:r w:rsidRPr="009B3E82">
              <w:rPr>
                <w:rFonts w:ascii="Arial" w:eastAsia="Times New Roman" w:hAnsi="Arial" w:cs="Arial"/>
                <w:b/>
                <w:bCs/>
                <w:color w:val="auto"/>
                <w:sz w:val="16"/>
                <w:szCs w:val="16"/>
                <w:lang w:eastAsia="en-AU"/>
              </w:rPr>
              <w:t>-</w:t>
            </w:r>
          </w:p>
        </w:tc>
      </w:tr>
      <w:tr w:rsidR="009008C5" w:rsidRPr="0028461A" w14:paraId="196E3BD1" w14:textId="77777777" w:rsidTr="00A6389D">
        <w:trPr>
          <w:trHeight w:val="285"/>
        </w:trPr>
        <w:tc>
          <w:tcPr>
            <w:tcW w:w="2580" w:type="dxa"/>
            <w:shd w:val="clear" w:color="auto" w:fill="auto"/>
            <w:vAlign w:val="bottom"/>
            <w:hideMark/>
          </w:tcPr>
          <w:p w14:paraId="31100B99" w14:textId="77777777" w:rsidR="009008C5" w:rsidRPr="0028461A" w:rsidRDefault="009008C5" w:rsidP="009008C5">
            <w:pPr>
              <w:spacing w:after="0" w:line="240" w:lineRule="auto"/>
              <w:rPr>
                <w:rFonts w:ascii="Arial" w:eastAsia="Times New Roman" w:hAnsi="Arial" w:cs="Arial"/>
                <w:color w:val="auto"/>
                <w:sz w:val="16"/>
                <w:szCs w:val="16"/>
                <w:lang w:eastAsia="en-AU"/>
              </w:rPr>
            </w:pPr>
            <w:r w:rsidRPr="0028461A">
              <w:rPr>
                <w:rFonts w:ascii="Arial" w:eastAsia="Times New Roman" w:hAnsi="Arial" w:cs="Arial"/>
                <w:color w:val="auto"/>
                <w:sz w:val="16"/>
                <w:szCs w:val="16"/>
                <w:lang w:eastAsia="en-AU"/>
              </w:rPr>
              <w:t>Drafting of IDD</w:t>
            </w:r>
          </w:p>
        </w:tc>
        <w:tc>
          <w:tcPr>
            <w:tcW w:w="490" w:type="dxa"/>
            <w:shd w:val="clear" w:color="auto" w:fill="auto"/>
            <w:noWrap/>
            <w:hideMark/>
          </w:tcPr>
          <w:p w14:paraId="4F99ACB8" w14:textId="41AF6ACE"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FFFFFF"/>
            <w:noWrap/>
            <w:hideMark/>
          </w:tcPr>
          <w:p w14:paraId="5583FB44" w14:textId="01A141F2" w:rsidR="009008C5" w:rsidRPr="0028461A" w:rsidRDefault="009008C5" w:rsidP="009008C5">
            <w:pPr>
              <w:spacing w:after="0" w:line="240" w:lineRule="auto"/>
              <w:jc w:val="center"/>
              <w:rPr>
                <w:rFonts w:ascii="Wingdings" w:eastAsia="Times New Roman" w:hAnsi="Wingdings" w:cs="Calibri"/>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pct12" w:color="000000" w:fill="FFFFFF"/>
            <w:noWrap/>
            <w:hideMark/>
          </w:tcPr>
          <w:p w14:paraId="434B332C" w14:textId="226BA3FA" w:rsidR="009008C5" w:rsidRPr="0028461A" w:rsidRDefault="009008C5" w:rsidP="009008C5">
            <w:pPr>
              <w:spacing w:after="0" w:line="240" w:lineRule="auto"/>
              <w:jc w:val="center"/>
              <w:rPr>
                <w:rFonts w:ascii="Wingdings" w:eastAsia="Times New Roman" w:hAnsi="Wingdings" w:cs="Calibri"/>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pct12" w:color="000000" w:fill="FFFFFF"/>
            <w:noWrap/>
            <w:hideMark/>
          </w:tcPr>
          <w:p w14:paraId="36F70629" w14:textId="167E771B" w:rsidR="009008C5" w:rsidRPr="0028461A" w:rsidRDefault="009008C5" w:rsidP="009008C5">
            <w:pPr>
              <w:spacing w:after="0" w:line="240" w:lineRule="auto"/>
              <w:jc w:val="center"/>
              <w:rPr>
                <w:rFonts w:ascii="Wingdings" w:eastAsia="Times New Roman" w:hAnsi="Wingdings" w:cs="Calibri"/>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3DB4314E" w14:textId="0CABF827"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44D45214" w14:textId="3C5BA7E1"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205DB3D1" w14:textId="23442B4F"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FFFFFF"/>
            <w:noWrap/>
            <w:hideMark/>
          </w:tcPr>
          <w:p w14:paraId="45C817A4" w14:textId="093E394A"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FFFFFF"/>
            <w:noWrap/>
            <w:hideMark/>
          </w:tcPr>
          <w:p w14:paraId="283FC9B1" w14:textId="33287937"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FFFFFF"/>
            <w:noWrap/>
            <w:hideMark/>
          </w:tcPr>
          <w:p w14:paraId="32296058" w14:textId="32BF08B3"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7861F006" w14:textId="65BD8D12"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60421123" w14:textId="33D9E7C5"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61984866" w14:textId="499D508D"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2A1E6558" w14:textId="3327FED9"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6B22B735" w14:textId="2068AB91"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2DDB6F15" w14:textId="6A8AA042"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808080"/>
            <w:noWrap/>
            <w:hideMark/>
          </w:tcPr>
          <w:p w14:paraId="564131CC" w14:textId="6332E1DC"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808080"/>
            <w:noWrap/>
            <w:hideMark/>
          </w:tcPr>
          <w:p w14:paraId="1E204FA7" w14:textId="320FA59D"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808080"/>
            <w:noWrap/>
            <w:hideMark/>
          </w:tcPr>
          <w:p w14:paraId="589C8CC3" w14:textId="1D515912"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thinDiagCross" w:color="auto" w:fill="auto"/>
            <w:noWrap/>
            <w:hideMark/>
          </w:tcPr>
          <w:p w14:paraId="08D0FF8B" w14:textId="12DA2A33" w:rsidR="009008C5" w:rsidRPr="0028461A" w:rsidRDefault="009008C5" w:rsidP="009008C5">
            <w:pPr>
              <w:spacing w:after="0" w:line="240" w:lineRule="auto"/>
              <w:jc w:val="center"/>
              <w:rPr>
                <w:rFonts w:ascii="Arial" w:eastAsia="Times New Roman" w:hAnsi="Arial" w:cs="Arial"/>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808080"/>
            <w:noWrap/>
            <w:hideMark/>
          </w:tcPr>
          <w:p w14:paraId="54E81DC9" w14:textId="097FC7B9"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808080"/>
            <w:noWrap/>
            <w:hideMark/>
          </w:tcPr>
          <w:p w14:paraId="67CB7AE3" w14:textId="24706414"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808080"/>
            <w:noWrap/>
            <w:hideMark/>
          </w:tcPr>
          <w:p w14:paraId="043652A0" w14:textId="303B6047"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330C76C7" w14:textId="23CE371F"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0035820B" w14:textId="104D8672"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1FCA99FE" w14:textId="6051A9FA"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3A826F61" w14:textId="73216ADE"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38F7B6C1" w14:textId="57CEFE6A"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122ACDC7" w14:textId="0EAFF8D6"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0F24FF99" w14:textId="4051F3D5"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r>
      <w:tr w:rsidR="009008C5" w:rsidRPr="0028461A" w14:paraId="304ACC48" w14:textId="77777777" w:rsidTr="0021184E">
        <w:trPr>
          <w:trHeight w:val="319"/>
        </w:trPr>
        <w:tc>
          <w:tcPr>
            <w:tcW w:w="2580" w:type="dxa"/>
            <w:shd w:val="clear" w:color="auto" w:fill="auto"/>
            <w:noWrap/>
            <w:vAlign w:val="bottom"/>
            <w:hideMark/>
          </w:tcPr>
          <w:p w14:paraId="34F99359" w14:textId="77777777" w:rsidR="009008C5" w:rsidRPr="0028461A" w:rsidRDefault="009008C5" w:rsidP="009008C5">
            <w:pPr>
              <w:spacing w:after="0" w:line="240" w:lineRule="auto"/>
              <w:rPr>
                <w:rFonts w:ascii="Arial" w:eastAsia="Times New Roman" w:hAnsi="Arial" w:cs="Arial"/>
                <w:color w:val="auto"/>
                <w:sz w:val="16"/>
                <w:szCs w:val="16"/>
                <w:lang w:eastAsia="en-AU"/>
              </w:rPr>
            </w:pPr>
            <w:r w:rsidRPr="0028461A">
              <w:rPr>
                <w:rFonts w:ascii="Arial" w:eastAsia="Times New Roman" w:hAnsi="Arial" w:cs="Arial"/>
                <w:color w:val="auto"/>
                <w:sz w:val="16"/>
                <w:szCs w:val="16"/>
                <w:lang w:eastAsia="en-AU"/>
              </w:rPr>
              <w:t xml:space="preserve">Submit Draft </w:t>
            </w:r>
          </w:p>
        </w:tc>
        <w:tc>
          <w:tcPr>
            <w:tcW w:w="490" w:type="dxa"/>
            <w:shd w:val="clear" w:color="auto" w:fill="auto"/>
            <w:noWrap/>
            <w:hideMark/>
          </w:tcPr>
          <w:p w14:paraId="65968FAD" w14:textId="54D2C3A1"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5C12D196" w14:textId="34A7EB41"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pct12" w:color="000000" w:fill="FFFFFF"/>
            <w:noWrap/>
            <w:hideMark/>
          </w:tcPr>
          <w:p w14:paraId="58FF5D5A" w14:textId="28F8E871" w:rsidR="009008C5" w:rsidRPr="0028461A" w:rsidRDefault="009008C5" w:rsidP="009008C5">
            <w:pPr>
              <w:spacing w:after="0" w:line="240" w:lineRule="auto"/>
              <w:jc w:val="center"/>
              <w:rPr>
                <w:rFonts w:ascii="Wingdings" w:eastAsia="Times New Roman" w:hAnsi="Wingdings" w:cs="Calibri"/>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pct12" w:color="000000" w:fill="FFFFFF"/>
            <w:noWrap/>
            <w:hideMark/>
          </w:tcPr>
          <w:p w14:paraId="57AD3B2F" w14:textId="6FFA09FE" w:rsidR="009008C5" w:rsidRPr="0028461A" w:rsidRDefault="009008C5" w:rsidP="009008C5">
            <w:pPr>
              <w:spacing w:after="0" w:line="240" w:lineRule="auto"/>
              <w:jc w:val="center"/>
              <w:rPr>
                <w:rFonts w:ascii="Wingdings" w:eastAsia="Times New Roman" w:hAnsi="Wingdings" w:cs="Calibri"/>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2BC44CB9" w14:textId="665E5865"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24C01619" w14:textId="4C721619"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781C7C18" w14:textId="4FC69D24"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FFFFFF"/>
            <w:noWrap/>
            <w:hideMark/>
          </w:tcPr>
          <w:p w14:paraId="77D19BB4" w14:textId="118742AD"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FFFFFF"/>
            <w:noWrap/>
            <w:hideMark/>
          </w:tcPr>
          <w:p w14:paraId="3F4F3350" w14:textId="0D159D19"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FFFFFF"/>
            <w:noWrap/>
            <w:hideMark/>
          </w:tcPr>
          <w:p w14:paraId="5C7065B1" w14:textId="11388F0B"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FFFFFF"/>
            <w:noWrap/>
            <w:hideMark/>
          </w:tcPr>
          <w:p w14:paraId="5EFA2B23" w14:textId="41D44CFF"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FFFFFF"/>
            <w:noWrap/>
            <w:hideMark/>
          </w:tcPr>
          <w:p w14:paraId="3E55D6E0" w14:textId="089AAEBA"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FFFFFF"/>
            <w:noWrap/>
            <w:hideMark/>
          </w:tcPr>
          <w:p w14:paraId="7E211E32" w14:textId="312DD21D"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FFFFFF"/>
            <w:noWrap/>
            <w:hideMark/>
          </w:tcPr>
          <w:p w14:paraId="579067A9" w14:textId="45E27362"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FFFFFF"/>
            <w:noWrap/>
            <w:hideMark/>
          </w:tcPr>
          <w:p w14:paraId="59E5B634" w14:textId="1B715012"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FFFFFF"/>
            <w:noWrap/>
            <w:hideMark/>
          </w:tcPr>
          <w:p w14:paraId="5C8BD3BD" w14:textId="6519715E"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7B46D43F" w14:textId="1C1F1125" w:rsidR="009008C5" w:rsidRPr="0028461A" w:rsidRDefault="009008C5" w:rsidP="009008C5">
            <w:pPr>
              <w:spacing w:after="0" w:line="240" w:lineRule="auto"/>
              <w:jc w:val="center"/>
              <w:rPr>
                <w:rFonts w:ascii="Wingdings" w:eastAsia="Times New Roman" w:hAnsi="Wingdings" w:cs="Calibri"/>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674965E0" w14:textId="6EE184CA"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05D63F49" w14:textId="5CB03D1B"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thinDiagCross" w:color="auto" w:fill="auto"/>
            <w:noWrap/>
            <w:hideMark/>
          </w:tcPr>
          <w:p w14:paraId="07467F22" w14:textId="56919F9F" w:rsidR="009008C5" w:rsidRPr="0028461A" w:rsidRDefault="009008C5" w:rsidP="009008C5">
            <w:pPr>
              <w:spacing w:after="0" w:line="240" w:lineRule="auto"/>
              <w:jc w:val="center"/>
              <w:rPr>
                <w:rFonts w:ascii="Arial" w:eastAsia="Times New Roman" w:hAnsi="Arial" w:cs="Arial"/>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3687E3E4" w14:textId="061DC9E5"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163E5F92" w14:textId="06BC125C"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71E5314A" w14:textId="70E94BF2"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808080"/>
            <w:noWrap/>
            <w:vAlign w:val="center"/>
            <w:hideMark/>
          </w:tcPr>
          <w:p w14:paraId="00A0C824" w14:textId="77777777"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28461A">
              <w:rPr>
                <w:rFonts w:ascii="Arial" w:eastAsia="Times New Roman" w:hAnsi="Arial" w:cs="Arial"/>
                <w:color w:val="auto"/>
                <w:sz w:val="16"/>
                <w:szCs w:val="16"/>
                <w:lang w:eastAsia="en-AU"/>
              </w:rPr>
              <w:t>20</w:t>
            </w:r>
          </w:p>
        </w:tc>
        <w:tc>
          <w:tcPr>
            <w:tcW w:w="0" w:type="auto"/>
            <w:shd w:val="clear" w:color="auto" w:fill="auto"/>
            <w:noWrap/>
            <w:hideMark/>
          </w:tcPr>
          <w:p w14:paraId="332AC20E" w14:textId="24590372"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0A6356AD" w14:textId="643A40E8"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2000E3AF" w14:textId="7FC85D30"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5D2B6E93" w14:textId="15E629E1"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663DF639" w14:textId="13CC3FC9"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721BD1C1" w14:textId="2C477479"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r>
      <w:tr w:rsidR="009008C5" w:rsidRPr="0028461A" w14:paraId="49FDEA52" w14:textId="77777777" w:rsidTr="008343A5">
        <w:trPr>
          <w:trHeight w:val="285"/>
        </w:trPr>
        <w:tc>
          <w:tcPr>
            <w:tcW w:w="2580" w:type="dxa"/>
            <w:shd w:val="clear" w:color="auto" w:fill="auto"/>
            <w:noWrap/>
            <w:vAlign w:val="bottom"/>
            <w:hideMark/>
          </w:tcPr>
          <w:p w14:paraId="408BA0AD" w14:textId="77777777" w:rsidR="009008C5" w:rsidRPr="0028461A" w:rsidRDefault="009008C5" w:rsidP="009008C5">
            <w:pPr>
              <w:spacing w:after="0" w:line="240" w:lineRule="auto"/>
              <w:rPr>
                <w:rFonts w:ascii="Arial" w:eastAsia="Times New Roman" w:hAnsi="Arial" w:cs="Arial"/>
                <w:color w:val="auto"/>
                <w:sz w:val="16"/>
                <w:szCs w:val="16"/>
                <w:lang w:eastAsia="en-AU"/>
              </w:rPr>
            </w:pPr>
            <w:r w:rsidRPr="0028461A">
              <w:rPr>
                <w:rFonts w:ascii="Arial" w:eastAsia="Times New Roman" w:hAnsi="Arial" w:cs="Arial"/>
                <w:color w:val="auto"/>
                <w:sz w:val="16"/>
                <w:szCs w:val="16"/>
                <w:lang w:eastAsia="en-AU"/>
              </w:rPr>
              <w:t>DFAT reviews and provides feedback</w:t>
            </w:r>
          </w:p>
        </w:tc>
        <w:tc>
          <w:tcPr>
            <w:tcW w:w="490" w:type="dxa"/>
            <w:shd w:val="clear" w:color="auto" w:fill="auto"/>
            <w:noWrap/>
            <w:hideMark/>
          </w:tcPr>
          <w:p w14:paraId="479FE15E" w14:textId="70251B3C" w:rsidR="009008C5" w:rsidRPr="0028461A" w:rsidRDefault="009008C5" w:rsidP="009008C5">
            <w:pPr>
              <w:spacing w:after="0" w:line="240" w:lineRule="auto"/>
              <w:jc w:val="center"/>
              <w:rPr>
                <w:rFonts w:ascii="Wingdings" w:eastAsia="Times New Roman" w:hAnsi="Wingdings" w:cs="Calibri"/>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5B95A8CA" w14:textId="5A92B240"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pct12" w:color="000000" w:fill="FFFFFF"/>
            <w:noWrap/>
            <w:hideMark/>
          </w:tcPr>
          <w:p w14:paraId="17793ED4" w14:textId="48CD18FE" w:rsidR="009008C5" w:rsidRPr="0028461A" w:rsidRDefault="009008C5" w:rsidP="009008C5">
            <w:pPr>
              <w:spacing w:after="0" w:line="240" w:lineRule="auto"/>
              <w:jc w:val="center"/>
              <w:rPr>
                <w:rFonts w:ascii="Wingdings" w:eastAsia="Times New Roman" w:hAnsi="Wingdings" w:cs="Calibri"/>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pct12" w:color="000000" w:fill="FFFFFF"/>
            <w:noWrap/>
            <w:hideMark/>
          </w:tcPr>
          <w:p w14:paraId="216BFEA5" w14:textId="7F4496A5" w:rsidR="009008C5" w:rsidRPr="0028461A" w:rsidRDefault="009008C5" w:rsidP="009008C5">
            <w:pPr>
              <w:spacing w:after="0" w:line="240" w:lineRule="auto"/>
              <w:jc w:val="center"/>
              <w:rPr>
                <w:rFonts w:ascii="Wingdings" w:eastAsia="Times New Roman" w:hAnsi="Wingdings" w:cs="Calibri"/>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4714B930" w14:textId="055437FF"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01113797" w14:textId="0AF4F573"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0C8E4478" w14:textId="7278FF03"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FFFFFF"/>
            <w:noWrap/>
            <w:hideMark/>
          </w:tcPr>
          <w:p w14:paraId="48E5744E" w14:textId="26DC05CF"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FFFFFF"/>
            <w:noWrap/>
            <w:hideMark/>
          </w:tcPr>
          <w:p w14:paraId="25ABA8F8" w14:textId="61D7A971"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FFFFFF"/>
            <w:noWrap/>
            <w:hideMark/>
          </w:tcPr>
          <w:p w14:paraId="457DFEF8" w14:textId="298C4CB0"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FFFFFF"/>
            <w:noWrap/>
            <w:hideMark/>
          </w:tcPr>
          <w:p w14:paraId="0DAB57DF" w14:textId="0666C05A"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FFFFFF"/>
            <w:noWrap/>
            <w:hideMark/>
          </w:tcPr>
          <w:p w14:paraId="0156CF72" w14:textId="2EEDE9F4"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FFFFFF"/>
            <w:noWrap/>
            <w:hideMark/>
          </w:tcPr>
          <w:p w14:paraId="7A60FC30" w14:textId="78350463" w:rsidR="009008C5" w:rsidRPr="0028461A" w:rsidRDefault="009008C5" w:rsidP="009008C5">
            <w:pPr>
              <w:spacing w:after="0" w:line="240" w:lineRule="auto"/>
              <w:jc w:val="center"/>
              <w:rPr>
                <w:rFonts w:ascii="Wingdings" w:eastAsia="Times New Roman" w:hAnsi="Wingdings" w:cs="Calibri"/>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FFFFFF"/>
            <w:noWrap/>
            <w:hideMark/>
          </w:tcPr>
          <w:p w14:paraId="75B7AAFB" w14:textId="24F6467F"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FFFFFF"/>
            <w:noWrap/>
            <w:hideMark/>
          </w:tcPr>
          <w:p w14:paraId="222759FE" w14:textId="16FB4BC8"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FFFFFF"/>
            <w:noWrap/>
            <w:hideMark/>
          </w:tcPr>
          <w:p w14:paraId="5AB43406" w14:textId="419702BC"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4E3CA059" w14:textId="5950C049"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06E04BD4" w14:textId="09ED9022"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FFFFFF"/>
            <w:noWrap/>
            <w:hideMark/>
          </w:tcPr>
          <w:p w14:paraId="65C9C128" w14:textId="79BF1322"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thinDiagCross" w:color="auto" w:fill="auto"/>
            <w:noWrap/>
            <w:hideMark/>
          </w:tcPr>
          <w:p w14:paraId="0803FDC4" w14:textId="2BA58056" w:rsidR="009008C5" w:rsidRPr="0028461A" w:rsidRDefault="009008C5" w:rsidP="009008C5">
            <w:pPr>
              <w:spacing w:after="0" w:line="240" w:lineRule="auto"/>
              <w:jc w:val="center"/>
              <w:rPr>
                <w:rFonts w:ascii="Arial" w:eastAsia="Times New Roman" w:hAnsi="Arial" w:cs="Arial"/>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1C2B00B4" w14:textId="3FD706D2"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38C6AB38" w14:textId="781904A6"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38A3552B" w14:textId="4113800B"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6D071395" w14:textId="545C7EFB"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808080"/>
            <w:noWrap/>
            <w:hideMark/>
          </w:tcPr>
          <w:p w14:paraId="4387277A" w14:textId="28ACA5F9"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808080"/>
            <w:noWrap/>
            <w:hideMark/>
          </w:tcPr>
          <w:p w14:paraId="33023FF9" w14:textId="4A048C0C"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785D0653" w14:textId="6EE0BEF6"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23C89A50" w14:textId="2018BD4D"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61D4A1CA" w14:textId="228E2FD4"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354F9B19" w14:textId="2141A57F"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r>
      <w:tr w:rsidR="009008C5" w:rsidRPr="0028461A" w14:paraId="3FEACCB4" w14:textId="77777777" w:rsidTr="00177EAA">
        <w:trPr>
          <w:trHeight w:val="285"/>
        </w:trPr>
        <w:tc>
          <w:tcPr>
            <w:tcW w:w="2580" w:type="dxa"/>
            <w:shd w:val="clear" w:color="auto" w:fill="auto"/>
            <w:noWrap/>
            <w:vAlign w:val="bottom"/>
            <w:hideMark/>
          </w:tcPr>
          <w:p w14:paraId="2D131645" w14:textId="77777777" w:rsidR="009008C5" w:rsidRPr="0028461A" w:rsidRDefault="009008C5" w:rsidP="009008C5">
            <w:pPr>
              <w:spacing w:after="0" w:line="240" w:lineRule="auto"/>
              <w:rPr>
                <w:rFonts w:ascii="Arial" w:eastAsia="Times New Roman" w:hAnsi="Arial" w:cs="Arial"/>
                <w:color w:val="auto"/>
                <w:sz w:val="16"/>
                <w:szCs w:val="16"/>
                <w:lang w:eastAsia="en-AU"/>
              </w:rPr>
            </w:pPr>
            <w:r w:rsidRPr="0028461A">
              <w:rPr>
                <w:rFonts w:ascii="Arial" w:eastAsia="Times New Roman" w:hAnsi="Arial" w:cs="Arial"/>
                <w:color w:val="auto"/>
                <w:sz w:val="16"/>
                <w:szCs w:val="16"/>
                <w:lang w:eastAsia="en-AU"/>
              </w:rPr>
              <w:t xml:space="preserve">Team revises </w:t>
            </w:r>
          </w:p>
        </w:tc>
        <w:tc>
          <w:tcPr>
            <w:tcW w:w="490" w:type="dxa"/>
            <w:shd w:val="clear" w:color="auto" w:fill="auto"/>
            <w:noWrap/>
            <w:hideMark/>
          </w:tcPr>
          <w:p w14:paraId="504A1DAC" w14:textId="324DF4B1" w:rsidR="009008C5" w:rsidRPr="0028461A" w:rsidRDefault="009008C5" w:rsidP="009008C5">
            <w:pPr>
              <w:spacing w:after="0" w:line="240" w:lineRule="auto"/>
              <w:jc w:val="center"/>
              <w:rPr>
                <w:rFonts w:ascii="Wingdings" w:eastAsia="Times New Roman" w:hAnsi="Wingdings" w:cs="Calibri"/>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466129B3" w14:textId="73B0EF28"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pct12" w:color="000000" w:fill="FFFFFF"/>
            <w:noWrap/>
            <w:hideMark/>
          </w:tcPr>
          <w:p w14:paraId="1889862E" w14:textId="65D3CEF6" w:rsidR="009008C5" w:rsidRPr="0028461A" w:rsidRDefault="009008C5" w:rsidP="009008C5">
            <w:pPr>
              <w:spacing w:after="0" w:line="240" w:lineRule="auto"/>
              <w:jc w:val="center"/>
              <w:rPr>
                <w:rFonts w:ascii="Wingdings" w:eastAsia="Times New Roman" w:hAnsi="Wingdings" w:cs="Calibri"/>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pct12" w:color="000000" w:fill="FFFFFF"/>
            <w:noWrap/>
            <w:hideMark/>
          </w:tcPr>
          <w:p w14:paraId="6EED577E" w14:textId="09B78FE8" w:rsidR="009008C5" w:rsidRPr="0028461A" w:rsidRDefault="009008C5" w:rsidP="009008C5">
            <w:pPr>
              <w:spacing w:after="0" w:line="240" w:lineRule="auto"/>
              <w:jc w:val="center"/>
              <w:rPr>
                <w:rFonts w:ascii="Wingdings" w:eastAsia="Times New Roman" w:hAnsi="Wingdings" w:cs="Calibri"/>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2242733D" w14:textId="62187745"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6A4BA561" w14:textId="5FA4708D"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7314593F" w14:textId="427EACEF"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FFFFFF"/>
            <w:noWrap/>
            <w:hideMark/>
          </w:tcPr>
          <w:p w14:paraId="6EB0AC03" w14:textId="10BD3341"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FFFFFF"/>
            <w:noWrap/>
            <w:hideMark/>
          </w:tcPr>
          <w:p w14:paraId="0AC3DF1C" w14:textId="456403B4"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FFFFFF"/>
            <w:noWrap/>
            <w:hideMark/>
          </w:tcPr>
          <w:p w14:paraId="1752FDEE" w14:textId="28EEE7FC"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FFFFFF"/>
            <w:noWrap/>
            <w:hideMark/>
          </w:tcPr>
          <w:p w14:paraId="65E4553F" w14:textId="70466EFC"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FFFFFF"/>
            <w:noWrap/>
            <w:hideMark/>
          </w:tcPr>
          <w:p w14:paraId="03A73E29" w14:textId="591C9B7A"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FFFFFF"/>
            <w:noWrap/>
            <w:hideMark/>
          </w:tcPr>
          <w:p w14:paraId="4208706E" w14:textId="398580BF"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FFFFFF"/>
            <w:noWrap/>
            <w:hideMark/>
          </w:tcPr>
          <w:p w14:paraId="58CDF504" w14:textId="51A8E8AA"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FFFFFF"/>
            <w:noWrap/>
            <w:hideMark/>
          </w:tcPr>
          <w:p w14:paraId="703D781C" w14:textId="57F2B452"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FFFFFF"/>
            <w:noWrap/>
            <w:hideMark/>
          </w:tcPr>
          <w:p w14:paraId="0135CC54" w14:textId="14FCA394"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07EC5343" w14:textId="3B1C2CEC"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1042F348" w14:textId="42F43080"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737BCA23" w14:textId="2CF58561"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thinDiagCross" w:color="auto" w:fill="auto"/>
            <w:noWrap/>
            <w:hideMark/>
          </w:tcPr>
          <w:p w14:paraId="6F069304" w14:textId="07393A76" w:rsidR="009008C5" w:rsidRPr="0028461A" w:rsidRDefault="009008C5" w:rsidP="009008C5">
            <w:pPr>
              <w:spacing w:after="0" w:line="240" w:lineRule="auto"/>
              <w:jc w:val="center"/>
              <w:rPr>
                <w:rFonts w:ascii="Arial" w:eastAsia="Times New Roman" w:hAnsi="Arial" w:cs="Arial"/>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6A42F111" w14:textId="372D7BB5"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252719AE" w14:textId="72D43B1B"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6810EF64" w14:textId="24240D06"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6CBCBE98" w14:textId="7B805239"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1FE8C34F" w14:textId="026809EB"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3F996B5E" w14:textId="2B7D7683"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808080"/>
            <w:noWrap/>
            <w:hideMark/>
          </w:tcPr>
          <w:p w14:paraId="7BB8BB6E" w14:textId="3F0AE1C6"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78FB5355" w14:textId="7022F5CE"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5CB8E521" w14:textId="39BD7B97"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3C3B0991" w14:textId="386272DB"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r>
      <w:tr w:rsidR="009008C5" w:rsidRPr="0028461A" w14:paraId="2EA3277A" w14:textId="77777777" w:rsidTr="008343A5">
        <w:trPr>
          <w:trHeight w:val="285"/>
        </w:trPr>
        <w:tc>
          <w:tcPr>
            <w:tcW w:w="2580" w:type="dxa"/>
            <w:shd w:val="clear" w:color="auto" w:fill="auto"/>
            <w:noWrap/>
            <w:vAlign w:val="bottom"/>
            <w:hideMark/>
          </w:tcPr>
          <w:p w14:paraId="2DBBE4BE" w14:textId="77777777" w:rsidR="009008C5" w:rsidRPr="0028461A" w:rsidRDefault="009008C5" w:rsidP="009008C5">
            <w:pPr>
              <w:spacing w:after="0" w:line="240" w:lineRule="auto"/>
              <w:rPr>
                <w:rFonts w:ascii="Arial" w:eastAsia="Times New Roman" w:hAnsi="Arial" w:cs="Arial"/>
                <w:color w:val="auto"/>
                <w:sz w:val="16"/>
                <w:szCs w:val="16"/>
                <w:lang w:eastAsia="en-AU"/>
              </w:rPr>
            </w:pPr>
            <w:r w:rsidRPr="0028461A">
              <w:rPr>
                <w:rFonts w:ascii="Arial" w:eastAsia="Times New Roman" w:hAnsi="Arial" w:cs="Arial"/>
                <w:color w:val="auto"/>
                <w:sz w:val="16"/>
                <w:szCs w:val="16"/>
                <w:lang w:eastAsia="en-AU"/>
              </w:rPr>
              <w:t>Submit Final Draft</w:t>
            </w:r>
          </w:p>
        </w:tc>
        <w:tc>
          <w:tcPr>
            <w:tcW w:w="490" w:type="dxa"/>
            <w:shd w:val="clear" w:color="auto" w:fill="auto"/>
            <w:noWrap/>
            <w:hideMark/>
          </w:tcPr>
          <w:p w14:paraId="1C430E37" w14:textId="620A9CC6" w:rsidR="009008C5" w:rsidRPr="0028461A" w:rsidRDefault="009008C5" w:rsidP="009008C5">
            <w:pPr>
              <w:spacing w:after="0" w:line="240" w:lineRule="auto"/>
              <w:jc w:val="center"/>
              <w:rPr>
                <w:rFonts w:ascii="Wingdings" w:eastAsia="Times New Roman" w:hAnsi="Wingdings" w:cs="Calibri"/>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53850881" w14:textId="4C2D3D28"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pct12" w:color="000000" w:fill="FFFFFF"/>
            <w:noWrap/>
            <w:hideMark/>
          </w:tcPr>
          <w:p w14:paraId="31A4235E" w14:textId="7E901094" w:rsidR="009008C5" w:rsidRPr="0028461A" w:rsidRDefault="009008C5" w:rsidP="009008C5">
            <w:pPr>
              <w:spacing w:after="0" w:line="240" w:lineRule="auto"/>
              <w:jc w:val="center"/>
              <w:rPr>
                <w:rFonts w:ascii="Wingdings" w:eastAsia="Times New Roman" w:hAnsi="Wingdings" w:cs="Calibri"/>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pct12" w:color="000000" w:fill="FFFFFF"/>
            <w:noWrap/>
            <w:hideMark/>
          </w:tcPr>
          <w:p w14:paraId="00ED9336" w14:textId="77D8F0ED" w:rsidR="009008C5" w:rsidRPr="0028461A" w:rsidRDefault="009008C5" w:rsidP="009008C5">
            <w:pPr>
              <w:spacing w:after="0" w:line="240" w:lineRule="auto"/>
              <w:jc w:val="center"/>
              <w:rPr>
                <w:rFonts w:ascii="Wingdings" w:eastAsia="Times New Roman" w:hAnsi="Wingdings" w:cs="Calibri"/>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35352BBA" w14:textId="589FBB58"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53DB3F62" w14:textId="02E2F391"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1D1B7C84" w14:textId="57A6B7EC"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FFFFFF"/>
            <w:noWrap/>
            <w:hideMark/>
          </w:tcPr>
          <w:p w14:paraId="428490F2" w14:textId="31EAC60F"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FFFFFF"/>
            <w:noWrap/>
            <w:hideMark/>
          </w:tcPr>
          <w:p w14:paraId="72B96835" w14:textId="16BCF875"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FFFFFF"/>
            <w:noWrap/>
            <w:hideMark/>
          </w:tcPr>
          <w:p w14:paraId="4DDFA05B" w14:textId="6A944D29"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FFFFFF"/>
            <w:noWrap/>
            <w:hideMark/>
          </w:tcPr>
          <w:p w14:paraId="17179A81" w14:textId="5661019F"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FFFFFF"/>
            <w:noWrap/>
            <w:hideMark/>
          </w:tcPr>
          <w:p w14:paraId="7F8EF95D" w14:textId="628827E5"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FFFFFF"/>
            <w:noWrap/>
            <w:hideMark/>
          </w:tcPr>
          <w:p w14:paraId="2B014EF6" w14:textId="1C6F750E"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FFFFFF"/>
            <w:noWrap/>
            <w:hideMark/>
          </w:tcPr>
          <w:p w14:paraId="6C3EF5AD" w14:textId="7AEA4D09"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FFFFFF"/>
            <w:noWrap/>
            <w:hideMark/>
          </w:tcPr>
          <w:p w14:paraId="4663E489" w14:textId="099A3FE5"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FFFFFF"/>
            <w:noWrap/>
            <w:hideMark/>
          </w:tcPr>
          <w:p w14:paraId="01432AD3" w14:textId="7D91DDC6"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FFFFFF"/>
            <w:noWrap/>
            <w:hideMark/>
          </w:tcPr>
          <w:p w14:paraId="08CE85F8" w14:textId="5FF5EDDD"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FFFFFF"/>
            <w:noWrap/>
            <w:hideMark/>
          </w:tcPr>
          <w:p w14:paraId="75F6401A" w14:textId="78B317B7"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030615F4" w14:textId="09A1BEEB" w:rsidR="009008C5" w:rsidRPr="0028461A" w:rsidRDefault="009008C5" w:rsidP="009008C5">
            <w:pPr>
              <w:spacing w:after="0" w:line="240" w:lineRule="auto"/>
              <w:jc w:val="center"/>
              <w:rPr>
                <w:rFonts w:ascii="Wingdings" w:eastAsia="Times New Roman" w:hAnsi="Wingdings" w:cs="Calibri"/>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thinDiagCross" w:color="auto" w:fill="auto"/>
            <w:noWrap/>
            <w:hideMark/>
          </w:tcPr>
          <w:p w14:paraId="1B84EE1C" w14:textId="398484D4" w:rsidR="009008C5" w:rsidRPr="0028461A" w:rsidRDefault="009008C5" w:rsidP="009008C5">
            <w:pPr>
              <w:spacing w:after="0" w:line="240" w:lineRule="auto"/>
              <w:jc w:val="center"/>
              <w:rPr>
                <w:rFonts w:ascii="Arial" w:eastAsia="Times New Roman" w:hAnsi="Arial" w:cs="Arial"/>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55AF720D" w14:textId="66EFAB4A"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46B75150" w14:textId="52EC5CBD"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01B735D2" w14:textId="16146FA8"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6C985EE7" w14:textId="04DF5C42"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2C7DA4CE" w14:textId="6C512248"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6B2837FE" w14:textId="07384461"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auto" w:fill="auto"/>
            <w:noWrap/>
            <w:hideMark/>
          </w:tcPr>
          <w:p w14:paraId="00F8FE38" w14:textId="1F842CE4"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9B3E82">
              <w:rPr>
                <w:rFonts w:ascii="Arial" w:eastAsia="Times New Roman" w:hAnsi="Arial" w:cs="Arial"/>
                <w:b/>
                <w:bCs/>
                <w:color w:val="auto"/>
                <w:sz w:val="16"/>
                <w:szCs w:val="16"/>
                <w:lang w:eastAsia="en-AU"/>
              </w:rPr>
              <w:t>-</w:t>
            </w:r>
          </w:p>
        </w:tc>
        <w:tc>
          <w:tcPr>
            <w:tcW w:w="0" w:type="auto"/>
            <w:shd w:val="clear" w:color="000000" w:fill="808080"/>
            <w:noWrap/>
            <w:vAlign w:val="center"/>
            <w:hideMark/>
          </w:tcPr>
          <w:p w14:paraId="6B3D5008" w14:textId="77777777" w:rsidR="009008C5" w:rsidRPr="0028461A" w:rsidRDefault="009008C5" w:rsidP="009008C5">
            <w:pPr>
              <w:spacing w:after="0" w:line="240" w:lineRule="auto"/>
              <w:jc w:val="center"/>
              <w:rPr>
                <w:rFonts w:ascii="Arial" w:eastAsia="Times New Roman" w:hAnsi="Arial" w:cs="Arial"/>
                <w:color w:val="auto"/>
                <w:sz w:val="16"/>
                <w:szCs w:val="16"/>
                <w:lang w:eastAsia="en-AU"/>
              </w:rPr>
            </w:pPr>
            <w:r w:rsidRPr="0028461A">
              <w:rPr>
                <w:rFonts w:ascii="Arial" w:eastAsia="Times New Roman" w:hAnsi="Arial" w:cs="Arial"/>
                <w:color w:val="auto"/>
                <w:sz w:val="16"/>
                <w:szCs w:val="16"/>
                <w:lang w:eastAsia="en-AU"/>
              </w:rPr>
              <w:t>20</w:t>
            </w:r>
          </w:p>
        </w:tc>
        <w:tc>
          <w:tcPr>
            <w:tcW w:w="0" w:type="auto"/>
            <w:shd w:val="clear" w:color="auto" w:fill="auto"/>
            <w:noWrap/>
            <w:vAlign w:val="center"/>
            <w:hideMark/>
          </w:tcPr>
          <w:p w14:paraId="2A342AC2" w14:textId="77777777" w:rsidR="009008C5" w:rsidRPr="0028461A" w:rsidRDefault="009008C5" w:rsidP="009008C5">
            <w:pPr>
              <w:spacing w:after="0" w:line="240" w:lineRule="auto"/>
              <w:jc w:val="center"/>
              <w:rPr>
                <w:rFonts w:ascii="Arial" w:eastAsia="Times New Roman" w:hAnsi="Arial" w:cs="Arial"/>
                <w:color w:val="auto"/>
                <w:sz w:val="16"/>
                <w:szCs w:val="16"/>
                <w:lang w:eastAsia="en-AU"/>
              </w:rPr>
            </w:pPr>
          </w:p>
        </w:tc>
        <w:tc>
          <w:tcPr>
            <w:tcW w:w="0" w:type="auto"/>
            <w:shd w:val="clear" w:color="auto" w:fill="auto"/>
            <w:noWrap/>
            <w:vAlign w:val="center"/>
            <w:hideMark/>
          </w:tcPr>
          <w:p w14:paraId="2E59306A" w14:textId="77777777" w:rsidR="009008C5" w:rsidRPr="0028461A" w:rsidRDefault="009008C5" w:rsidP="009008C5">
            <w:pPr>
              <w:spacing w:after="0" w:line="240" w:lineRule="auto"/>
              <w:jc w:val="center"/>
              <w:rPr>
                <w:rFonts w:ascii="Arial" w:eastAsia="Times New Roman" w:hAnsi="Arial" w:cs="Arial"/>
                <w:color w:val="auto"/>
                <w:sz w:val="16"/>
                <w:szCs w:val="16"/>
                <w:lang w:eastAsia="en-AU"/>
              </w:rPr>
            </w:pPr>
          </w:p>
        </w:tc>
      </w:tr>
    </w:tbl>
    <w:p w14:paraId="07A29003" w14:textId="77777777" w:rsidR="005B4472" w:rsidRDefault="005B4472" w:rsidP="00936B79"/>
    <w:p w14:paraId="1FB58160" w14:textId="6C3D5CC8" w:rsidR="00BD3D35" w:rsidRDefault="00936B79" w:rsidP="00936B79">
      <w:r>
        <w:br/>
      </w:r>
    </w:p>
    <w:p w14:paraId="11310111" w14:textId="77777777" w:rsidR="00BD3D35" w:rsidRDefault="00BD3D35" w:rsidP="00BD3D35">
      <w:pPr>
        <w:pStyle w:val="Heading1"/>
        <w:numPr>
          <w:ilvl w:val="0"/>
          <w:numId w:val="0"/>
        </w:numPr>
        <w:sectPr w:rsidR="00BD3D35" w:rsidSect="00EA7563">
          <w:pgSz w:w="16838" w:h="11906" w:orient="landscape"/>
          <w:pgMar w:top="1077" w:right="1440" w:bottom="1077" w:left="1440" w:header="567" w:footer="567" w:gutter="0"/>
          <w:cols w:space="708"/>
          <w:docGrid w:linePitch="360"/>
        </w:sectPr>
      </w:pPr>
    </w:p>
    <w:p w14:paraId="76DA0BD1" w14:textId="51B3403E" w:rsidR="00BD3D35" w:rsidRDefault="00BD3D35" w:rsidP="00BD3D35">
      <w:pPr>
        <w:pStyle w:val="Heading1"/>
        <w:numPr>
          <w:ilvl w:val="0"/>
          <w:numId w:val="0"/>
        </w:numPr>
      </w:pPr>
      <w:bookmarkStart w:id="131" w:name="_Toc195808997"/>
      <w:bookmarkStart w:id="132" w:name="_Toc205992472"/>
      <w:bookmarkStart w:id="133" w:name="_Toc205992559"/>
      <w:r>
        <w:lastRenderedPageBreak/>
        <w:t xml:space="preserve">Appendix </w:t>
      </w:r>
      <w:r w:rsidR="007A6121">
        <w:t>A</w:t>
      </w:r>
      <w:r>
        <w:t>2: Data Collection Tools</w:t>
      </w:r>
      <w:bookmarkEnd w:id="131"/>
      <w:bookmarkEnd w:id="132"/>
      <w:bookmarkEnd w:id="133"/>
    </w:p>
    <w:p w14:paraId="26045421" w14:textId="77777777" w:rsidR="00BD3D35" w:rsidRPr="001301F5" w:rsidRDefault="00BD3D35" w:rsidP="00BD3D35">
      <w:pPr>
        <w:rPr>
          <w:i/>
          <w:iCs/>
        </w:rPr>
      </w:pPr>
      <w:r>
        <w:rPr>
          <w:i/>
          <w:iCs/>
        </w:rPr>
        <w:t xml:space="preserve">Note: </w:t>
      </w:r>
      <w:r w:rsidRPr="001301F5">
        <w:rPr>
          <w:i/>
          <w:iCs/>
        </w:rPr>
        <w:t>These interview guides are draft only. They will be revised after key program documents are reviewed</w:t>
      </w:r>
      <w:r>
        <w:rPr>
          <w:i/>
          <w:iCs/>
        </w:rPr>
        <w:t xml:space="preserve"> and will be tailored to each respondent based on their role and level of PRES knowledge/experience.</w:t>
      </w:r>
      <w:r w:rsidRPr="001301F5">
        <w:rPr>
          <w:i/>
          <w:iCs/>
        </w:rPr>
        <w:t xml:space="preserve"> </w:t>
      </w:r>
      <w:r>
        <w:rPr>
          <w:i/>
          <w:iCs/>
        </w:rPr>
        <w:t>Interviews will range from 45-90 minutes depending on respondent.</w:t>
      </w:r>
    </w:p>
    <w:p w14:paraId="0F1C2B91" w14:textId="77777777" w:rsidR="00BD3D35" w:rsidRDefault="00BD3D35" w:rsidP="00BD3D35">
      <w:pPr>
        <w:pStyle w:val="Subheading"/>
      </w:pPr>
      <w:r>
        <w:t>Interview Guides</w:t>
      </w:r>
    </w:p>
    <w:p w14:paraId="46C00848" w14:textId="77777777" w:rsidR="00BD3D35" w:rsidRDefault="00BD3D35" w:rsidP="00BD3D35">
      <w:pPr>
        <w:pStyle w:val="Heading3nonumber"/>
      </w:pPr>
      <w:r>
        <w:t>Preamble</w:t>
      </w:r>
    </w:p>
    <w:p w14:paraId="500A8B3F" w14:textId="77777777" w:rsidR="00BD3D35" w:rsidRDefault="00BD3D35" w:rsidP="00BD3D35">
      <w:r>
        <w:t xml:space="preserve">Hello, my name is ___________ from [Equity Economics/ Clear Horizon]. </w:t>
      </w:r>
    </w:p>
    <w:p w14:paraId="3F8CC89A" w14:textId="77777777" w:rsidR="00BD3D35" w:rsidRDefault="00BD3D35" w:rsidP="00BD3D35">
      <w:r>
        <w:t xml:space="preserve">We have been contracted by DFAT to carry out an evaluation of PRES. </w:t>
      </w:r>
      <w:r w:rsidRPr="008547F7">
        <w:t xml:space="preserve">The </w:t>
      </w:r>
      <w:r>
        <w:t xml:space="preserve">evaluation is </w:t>
      </w:r>
      <w:r w:rsidRPr="008547F7">
        <w:t xml:space="preserve">looking at </w:t>
      </w:r>
      <w:r>
        <w:t xml:space="preserve">strengths and weaknesses of PRES, in relation to key DFAT’s investment-level quality criteria i.e. effectiveness, efficiency, relevance, GEDSI, MEL and sustainability. </w:t>
      </w:r>
    </w:p>
    <w:p w14:paraId="16F8982F" w14:textId="77777777" w:rsidR="00BD3D35" w:rsidRDefault="00BD3D35" w:rsidP="00BD3D35">
      <w:r>
        <w:t>The purpose of this interview is to explore your experiences with PRES. We are interested in hearing your perspectives, both positive and negative, including any areas for improvement, that could inform the design of PRES 2.</w:t>
      </w:r>
    </w:p>
    <w:p w14:paraId="59F30D8D" w14:textId="77777777" w:rsidR="00BD3D35" w:rsidRDefault="00BD3D35" w:rsidP="00BD3D35">
      <w:r w:rsidRPr="05DC78EE">
        <w:t>Participation is voluntary, and you have the right to withdraw from participating at any stage. I/We will record notes from your consultation. However, any information obtained in connection with this review that can identify you will remain confidential. Only members of the review team will have access to the data.</w:t>
      </w:r>
    </w:p>
    <w:p w14:paraId="5C5BC931" w14:textId="77777777" w:rsidR="00BD3D35" w:rsidRDefault="00BD3D35" w:rsidP="00BD3D35">
      <w:r>
        <w:t>The information will be analysed with other responses and will be used to inform the evaluation findings, as well as the PRES 2 design. If necessary, we may request a second interview with you during the design phase to follow-up on key issues.</w:t>
      </w:r>
    </w:p>
    <w:p w14:paraId="48423704" w14:textId="5C873A01" w:rsidR="00BD3D35" w:rsidRDefault="00BD3D35" w:rsidP="00BD3D35">
      <w:r>
        <w:t xml:space="preserve">The interview will take around </w:t>
      </w:r>
      <w:r w:rsidR="00706FCB">
        <w:t>X</w:t>
      </w:r>
      <w:r>
        <w:t xml:space="preserve"> minutes of your time. </w:t>
      </w:r>
    </w:p>
    <w:p w14:paraId="2F45629B" w14:textId="77777777" w:rsidR="00BD3D35" w:rsidRDefault="00BD3D35" w:rsidP="00BD3D35">
      <w:pPr>
        <w:pStyle w:val="ListBullet"/>
        <w:numPr>
          <w:ilvl w:val="0"/>
          <w:numId w:val="1"/>
        </w:numPr>
      </w:pPr>
      <w:r>
        <w:t>Do you have any questions before we begin?</w:t>
      </w:r>
    </w:p>
    <w:p w14:paraId="13E49919" w14:textId="77777777" w:rsidR="00BD3D35" w:rsidRDefault="00BD3D35" w:rsidP="00BD3D35">
      <w:pPr>
        <w:pStyle w:val="ListBullet"/>
        <w:numPr>
          <w:ilvl w:val="0"/>
          <w:numId w:val="1"/>
        </w:numPr>
      </w:pPr>
      <w:r w:rsidRPr="05DC78EE">
        <w:t>Are you willing to proceed with the interview?</w:t>
      </w:r>
    </w:p>
    <w:p w14:paraId="43D1FDD1" w14:textId="77777777" w:rsidR="00BD3D35" w:rsidRDefault="00BD3D35" w:rsidP="00BD3D35">
      <w:pPr>
        <w:pStyle w:val="Heading3nonumber"/>
      </w:pPr>
      <w:r>
        <w:t>Questions</w:t>
      </w:r>
    </w:p>
    <w:p w14:paraId="6A031B6E" w14:textId="77777777" w:rsidR="00BD3D35" w:rsidRDefault="00BD3D35" w:rsidP="00BD3D35">
      <w:pPr>
        <w:pStyle w:val="Heading4nonumber"/>
      </w:pPr>
      <w:r>
        <w:t>1) DFAT managers of PRES 2) PRES staff /core team</w:t>
      </w:r>
    </w:p>
    <w:p w14:paraId="1440495E" w14:textId="77777777" w:rsidR="00BD3D35" w:rsidRDefault="00BD3D35" w:rsidP="00BD3D35">
      <w:pPr>
        <w:pStyle w:val="ListBullet"/>
        <w:numPr>
          <w:ilvl w:val="0"/>
          <w:numId w:val="1"/>
        </w:numPr>
      </w:pPr>
      <w:r>
        <w:t>For how long have you been / were you involved with PRES and what is / was your role?</w:t>
      </w:r>
    </w:p>
    <w:p w14:paraId="014B5F0A" w14:textId="77777777" w:rsidR="00BD3D35" w:rsidRDefault="00BD3D35" w:rsidP="00BD3D35">
      <w:pPr>
        <w:pStyle w:val="ListBullet"/>
        <w:numPr>
          <w:ilvl w:val="0"/>
          <w:numId w:val="0"/>
        </w:numPr>
        <w:ind w:left="360" w:hanging="360"/>
        <w:rPr>
          <w:u w:val="single"/>
        </w:rPr>
      </w:pPr>
    </w:p>
    <w:p w14:paraId="4389A579" w14:textId="77777777" w:rsidR="00BD3D35" w:rsidRPr="00F6331F" w:rsidRDefault="00BD3D35" w:rsidP="00BD3D35">
      <w:pPr>
        <w:pStyle w:val="ListBullet"/>
        <w:numPr>
          <w:ilvl w:val="0"/>
          <w:numId w:val="0"/>
        </w:numPr>
        <w:ind w:left="360" w:hanging="360"/>
        <w:rPr>
          <w:u w:val="single"/>
        </w:rPr>
      </w:pPr>
      <w:r w:rsidRPr="00F6331F">
        <w:rPr>
          <w:u w:val="single"/>
        </w:rPr>
        <w:t>Effectiveness</w:t>
      </w:r>
      <w:r>
        <w:rPr>
          <w:u w:val="single"/>
        </w:rPr>
        <w:t xml:space="preserve"> and sustainability</w:t>
      </w:r>
    </w:p>
    <w:p w14:paraId="129DFE8F" w14:textId="77777777" w:rsidR="00BD3D35" w:rsidRDefault="00BD3D35" w:rsidP="00BD3D35">
      <w:pPr>
        <w:pStyle w:val="ListBullet"/>
        <w:numPr>
          <w:ilvl w:val="0"/>
          <w:numId w:val="0"/>
        </w:numPr>
        <w:ind w:left="360"/>
      </w:pPr>
    </w:p>
    <w:p w14:paraId="523B6C98" w14:textId="77777777" w:rsidR="00BD3D35" w:rsidRDefault="00BD3D35" w:rsidP="00BD3D35">
      <w:pPr>
        <w:pStyle w:val="ListBullet"/>
        <w:numPr>
          <w:ilvl w:val="0"/>
          <w:numId w:val="1"/>
        </w:numPr>
      </w:pPr>
      <w:r>
        <w:t>How did the aims and scope of PRES change over time?</w:t>
      </w:r>
    </w:p>
    <w:p w14:paraId="4CC1E958" w14:textId="77777777" w:rsidR="00BD3D35" w:rsidRDefault="00BD3D35" w:rsidP="00BD3D35">
      <w:pPr>
        <w:pStyle w:val="ListBullet"/>
        <w:numPr>
          <w:ilvl w:val="0"/>
          <w:numId w:val="1"/>
        </w:numPr>
      </w:pPr>
      <w:r>
        <w:t xml:space="preserve">Overall, how well do you think PRES has progressed against its current expected outcomes? </w:t>
      </w:r>
    </w:p>
    <w:p w14:paraId="4621C4E9" w14:textId="397789C5" w:rsidR="00BD3D35" w:rsidRDefault="00BD3D35" w:rsidP="00BD3D35">
      <w:pPr>
        <w:pStyle w:val="ListBullet"/>
        <w:numPr>
          <w:ilvl w:val="0"/>
          <w:numId w:val="0"/>
        </w:numPr>
        <w:ind w:left="360"/>
      </w:pPr>
      <w:r w:rsidRPr="00C92D74">
        <w:rPr>
          <w:i/>
          <w:iCs/>
        </w:rPr>
        <w:t>Prompts – informing DFAT</w:t>
      </w:r>
      <w:r>
        <w:rPr>
          <w:i/>
          <w:iCs/>
        </w:rPr>
        <w:t xml:space="preserve"> policy and </w:t>
      </w:r>
      <w:r w:rsidRPr="00C92D74">
        <w:rPr>
          <w:i/>
          <w:iCs/>
        </w:rPr>
        <w:t>strategy</w:t>
      </w:r>
      <w:r>
        <w:rPr>
          <w:i/>
          <w:iCs/>
        </w:rPr>
        <w:t xml:space="preserve">; supporting </w:t>
      </w:r>
      <w:r w:rsidRPr="00C92D74">
        <w:rPr>
          <w:i/>
          <w:iCs/>
        </w:rPr>
        <w:t xml:space="preserve">and investment </w:t>
      </w:r>
      <w:r>
        <w:rPr>
          <w:i/>
          <w:iCs/>
        </w:rPr>
        <w:t xml:space="preserve">design and </w:t>
      </w:r>
      <w:r w:rsidRPr="00C92D74">
        <w:rPr>
          <w:i/>
          <w:iCs/>
        </w:rPr>
        <w:t>management; improving knowledge management and learning within PEB</w:t>
      </w:r>
      <w:r>
        <w:rPr>
          <w:i/>
          <w:iCs/>
        </w:rPr>
        <w:t xml:space="preserve">; </w:t>
      </w:r>
      <w:r w:rsidR="00FC3868">
        <w:rPr>
          <w:i/>
          <w:iCs/>
        </w:rPr>
        <w:t>other.</w:t>
      </w:r>
    </w:p>
    <w:p w14:paraId="188C06B9" w14:textId="77777777" w:rsidR="00BD3D35" w:rsidRDefault="00BD3D35" w:rsidP="00BD3D35">
      <w:pPr>
        <w:pStyle w:val="ListBullet2"/>
        <w:numPr>
          <w:ilvl w:val="1"/>
          <w:numId w:val="1"/>
        </w:numPr>
      </w:pPr>
      <w:r>
        <w:t>Where do you think progress has been most positive and why?</w:t>
      </w:r>
    </w:p>
    <w:p w14:paraId="4EEAA625" w14:textId="77777777" w:rsidR="00BD3D35" w:rsidRPr="00D56AA3" w:rsidRDefault="00BD3D35" w:rsidP="00BD3D35">
      <w:pPr>
        <w:pStyle w:val="ListBullet2"/>
        <w:numPr>
          <w:ilvl w:val="1"/>
          <w:numId w:val="1"/>
        </w:numPr>
      </w:pPr>
      <w:r>
        <w:t xml:space="preserve"> Where do you think progress has been most challenging and why?</w:t>
      </w:r>
    </w:p>
    <w:p w14:paraId="1AF4C976" w14:textId="77777777" w:rsidR="00BD3D35" w:rsidRDefault="00BD3D35" w:rsidP="00BD3D35">
      <w:pPr>
        <w:pStyle w:val="ListBullet"/>
        <w:numPr>
          <w:ilvl w:val="0"/>
          <w:numId w:val="1"/>
        </w:numPr>
      </w:pPr>
      <w:r>
        <w:t>To what extent is it clear what benefits, supported by PRES, are expected to endure after it ends?</w:t>
      </w:r>
    </w:p>
    <w:p w14:paraId="3BE17C8C" w14:textId="77777777" w:rsidR="00BD3D35" w:rsidRDefault="00BD3D35" w:rsidP="00BD3D35">
      <w:pPr>
        <w:pStyle w:val="ListBullet"/>
        <w:numPr>
          <w:ilvl w:val="0"/>
          <w:numId w:val="0"/>
        </w:numPr>
        <w:ind w:left="360"/>
      </w:pPr>
      <w:r w:rsidRPr="00C92D74">
        <w:rPr>
          <w:i/>
          <w:iCs/>
        </w:rPr>
        <w:lastRenderedPageBreak/>
        <w:t xml:space="preserve">Prompts – </w:t>
      </w:r>
      <w:r>
        <w:rPr>
          <w:i/>
          <w:iCs/>
        </w:rPr>
        <w:t xml:space="preserve">program level (e.g. knowledge management systems) v task/activity level </w:t>
      </w:r>
    </w:p>
    <w:p w14:paraId="5473E80A" w14:textId="77777777" w:rsidR="00BD3D35" w:rsidRDefault="00BD3D35" w:rsidP="00BD3D35">
      <w:pPr>
        <w:pStyle w:val="ListBullet2"/>
        <w:numPr>
          <w:ilvl w:val="1"/>
          <w:numId w:val="1"/>
        </w:numPr>
      </w:pPr>
      <w:r>
        <w:t xml:space="preserve">How have these expectations played out in reality? </w:t>
      </w:r>
    </w:p>
    <w:p w14:paraId="7D99B806" w14:textId="77777777" w:rsidR="00BD3D35" w:rsidRPr="00783B3E" w:rsidRDefault="00BD3D35" w:rsidP="00BD3D35">
      <w:pPr>
        <w:pStyle w:val="ListBullet2"/>
        <w:ind w:firstLine="0"/>
        <w:rPr>
          <w:i/>
          <w:iCs/>
        </w:rPr>
      </w:pPr>
      <w:r w:rsidRPr="00783B3E">
        <w:rPr>
          <w:i/>
          <w:iCs/>
        </w:rPr>
        <w:t>Prompts – reasons for main achievements and challenges</w:t>
      </w:r>
    </w:p>
    <w:p w14:paraId="0D35A9B5" w14:textId="77777777" w:rsidR="00BD3D35" w:rsidRDefault="00BD3D35" w:rsidP="00BD3D35">
      <w:pPr>
        <w:pStyle w:val="ListBullet"/>
        <w:numPr>
          <w:ilvl w:val="0"/>
          <w:numId w:val="1"/>
        </w:numPr>
      </w:pPr>
      <w:r>
        <w:t>Given PRES achievements and challenges relating to effectiveness and sustainability, what changes do you think could be considered in the design of PRES 2?</w:t>
      </w:r>
    </w:p>
    <w:p w14:paraId="5EBC2B0A" w14:textId="77777777" w:rsidR="00BD3D35" w:rsidRDefault="00BD3D35" w:rsidP="00BD3D35">
      <w:pPr>
        <w:pStyle w:val="ListBullet"/>
        <w:numPr>
          <w:ilvl w:val="0"/>
          <w:numId w:val="0"/>
        </w:numPr>
        <w:ind w:left="360"/>
        <w:rPr>
          <w:i/>
          <w:iCs/>
        </w:rPr>
      </w:pPr>
      <w:r w:rsidRPr="000E2DC4">
        <w:rPr>
          <w:i/>
          <w:iCs/>
        </w:rPr>
        <w:t xml:space="preserve">Prompts – changes to </w:t>
      </w:r>
      <w:r>
        <w:rPr>
          <w:i/>
          <w:iCs/>
        </w:rPr>
        <w:t>logic (</w:t>
      </w:r>
      <w:r w:rsidRPr="000E2DC4">
        <w:rPr>
          <w:i/>
          <w:iCs/>
        </w:rPr>
        <w:t>scope, ambition,</w:t>
      </w:r>
      <w:r>
        <w:rPr>
          <w:i/>
          <w:iCs/>
        </w:rPr>
        <w:t xml:space="preserve"> specificity), implementation arrangements, </w:t>
      </w:r>
      <w:r w:rsidRPr="000E2DC4">
        <w:rPr>
          <w:i/>
          <w:iCs/>
        </w:rPr>
        <w:t xml:space="preserve">resourcing, </w:t>
      </w:r>
      <w:r>
        <w:rPr>
          <w:i/>
          <w:iCs/>
        </w:rPr>
        <w:t>etc.</w:t>
      </w:r>
    </w:p>
    <w:p w14:paraId="73CC17DD" w14:textId="77777777" w:rsidR="00BD3D35" w:rsidRPr="000E2DC4" w:rsidRDefault="00BD3D35" w:rsidP="00BD3D35">
      <w:pPr>
        <w:pStyle w:val="ListBullet"/>
        <w:numPr>
          <w:ilvl w:val="0"/>
          <w:numId w:val="0"/>
        </w:numPr>
        <w:ind w:left="360" w:hanging="360"/>
        <w:rPr>
          <w:i/>
          <w:iCs/>
        </w:rPr>
      </w:pPr>
    </w:p>
    <w:p w14:paraId="77BC7570" w14:textId="77777777" w:rsidR="00BD3D35" w:rsidRPr="00F6331F" w:rsidRDefault="00BD3D35" w:rsidP="00BD3D35">
      <w:pPr>
        <w:pStyle w:val="ListBullet"/>
        <w:numPr>
          <w:ilvl w:val="0"/>
          <w:numId w:val="0"/>
        </w:numPr>
        <w:ind w:left="360" w:hanging="360"/>
        <w:rPr>
          <w:u w:val="single"/>
        </w:rPr>
      </w:pPr>
      <w:r>
        <w:rPr>
          <w:u w:val="single"/>
        </w:rPr>
        <w:t>Efficiency</w:t>
      </w:r>
    </w:p>
    <w:p w14:paraId="13F24925" w14:textId="77777777" w:rsidR="00BD3D35" w:rsidRDefault="00BD3D35" w:rsidP="00BD3D35">
      <w:pPr>
        <w:pStyle w:val="ListBullet"/>
        <w:numPr>
          <w:ilvl w:val="0"/>
          <w:numId w:val="0"/>
        </w:numPr>
        <w:ind w:left="360"/>
      </w:pPr>
    </w:p>
    <w:p w14:paraId="50ECC2DE" w14:textId="77777777" w:rsidR="00BD3D35" w:rsidRDefault="00BD3D35" w:rsidP="00BD3D35">
      <w:pPr>
        <w:pStyle w:val="ListBullet"/>
        <w:numPr>
          <w:ilvl w:val="0"/>
          <w:numId w:val="1"/>
        </w:numPr>
      </w:pPr>
      <w:r>
        <w:t>Overall, how efficient was PRES’ delivery approach and implementation arrangements? What do you see as its main strengths and weaknesses in this regard? Can you provide examples?</w:t>
      </w:r>
    </w:p>
    <w:p w14:paraId="25FCA1DB" w14:textId="77777777" w:rsidR="00BD3D35" w:rsidRDefault="00BD3D35" w:rsidP="00BD3D35">
      <w:pPr>
        <w:pStyle w:val="ListBullet"/>
        <w:numPr>
          <w:ilvl w:val="0"/>
          <w:numId w:val="0"/>
        </w:numPr>
        <w:ind w:left="360"/>
        <w:rPr>
          <w:i/>
          <w:iCs/>
        </w:rPr>
      </w:pPr>
      <w:r w:rsidRPr="0083202E">
        <w:rPr>
          <w:i/>
          <w:iCs/>
        </w:rPr>
        <w:t xml:space="preserve">Prompts – </w:t>
      </w:r>
    </w:p>
    <w:p w14:paraId="67DA14EA" w14:textId="77777777" w:rsidR="00BD3D35" w:rsidRPr="0091043D" w:rsidRDefault="00BD3D35" w:rsidP="00BD3D35">
      <w:pPr>
        <w:pStyle w:val="ListBullet2"/>
        <w:numPr>
          <w:ilvl w:val="1"/>
          <w:numId w:val="1"/>
        </w:numPr>
        <w:rPr>
          <w:i/>
          <w:iCs/>
        </w:rPr>
      </w:pPr>
      <w:r>
        <w:rPr>
          <w:i/>
          <w:iCs/>
        </w:rPr>
        <w:t>F</w:t>
      </w:r>
      <w:r w:rsidRPr="0091043D">
        <w:rPr>
          <w:i/>
          <w:iCs/>
        </w:rPr>
        <w:t>lexibility and timeliness?</w:t>
      </w:r>
    </w:p>
    <w:p w14:paraId="3461445A" w14:textId="77777777" w:rsidR="00BD3D35" w:rsidRPr="008B459C" w:rsidRDefault="00BD3D35" w:rsidP="00BD3D35">
      <w:pPr>
        <w:pStyle w:val="ListBullet2"/>
        <w:numPr>
          <w:ilvl w:val="1"/>
          <w:numId w:val="1"/>
        </w:numPr>
        <w:rPr>
          <w:i/>
          <w:iCs/>
        </w:rPr>
      </w:pPr>
      <w:r w:rsidRPr="05DC78EE">
        <w:rPr>
          <w:i/>
          <w:iCs/>
        </w:rPr>
        <w:t>Balance of resource allocation right between its core team, embedded advisers, and short-term technical assistance – adapting the technical modality to the need</w:t>
      </w:r>
    </w:p>
    <w:p w14:paraId="12880764" w14:textId="77777777" w:rsidR="00BD3D35" w:rsidRPr="008B459C" w:rsidRDefault="00BD3D35" w:rsidP="00BD3D35">
      <w:pPr>
        <w:pStyle w:val="ListBullet2"/>
        <w:numPr>
          <w:ilvl w:val="1"/>
          <w:numId w:val="1"/>
        </w:numPr>
        <w:rPr>
          <w:i/>
          <w:iCs/>
        </w:rPr>
      </w:pPr>
      <w:r w:rsidRPr="008B459C">
        <w:rPr>
          <w:i/>
          <w:iCs/>
        </w:rPr>
        <w:t>Operating as an integrated program within PEB – in line with PRES partnership and One-Team approach</w:t>
      </w:r>
    </w:p>
    <w:p w14:paraId="079040E0" w14:textId="77777777" w:rsidR="00BD3D35" w:rsidRPr="00FF7AD4" w:rsidRDefault="00BD3D35" w:rsidP="00BD3D35">
      <w:pPr>
        <w:pStyle w:val="ListBullet2"/>
        <w:numPr>
          <w:ilvl w:val="1"/>
          <w:numId w:val="1"/>
        </w:numPr>
        <w:rPr>
          <w:i/>
          <w:iCs/>
        </w:rPr>
      </w:pPr>
      <w:r w:rsidRPr="00FF7AD4">
        <w:rPr>
          <w:i/>
          <w:iCs/>
        </w:rPr>
        <w:t>Governance arrangements, including the Program Advisory Group</w:t>
      </w:r>
    </w:p>
    <w:p w14:paraId="44159808" w14:textId="77777777" w:rsidR="00BD3D35" w:rsidRDefault="00BD3D35" w:rsidP="00BD3D35">
      <w:pPr>
        <w:pStyle w:val="ListBullet2"/>
        <w:numPr>
          <w:ilvl w:val="1"/>
          <w:numId w:val="1"/>
        </w:numPr>
        <w:rPr>
          <w:i/>
          <w:iCs/>
        </w:rPr>
      </w:pPr>
      <w:r w:rsidRPr="00FF7AD4">
        <w:rPr>
          <w:i/>
          <w:iCs/>
        </w:rPr>
        <w:t xml:space="preserve">Contracting arrangements </w:t>
      </w:r>
      <w:r>
        <w:rPr>
          <w:i/>
          <w:iCs/>
        </w:rPr>
        <w:t xml:space="preserve">- tasking note process, basis of payments structure, other  </w:t>
      </w:r>
    </w:p>
    <w:p w14:paraId="0B764FC3" w14:textId="77777777" w:rsidR="00BD3D35" w:rsidRDefault="00BD3D35" w:rsidP="00BD3D35">
      <w:pPr>
        <w:pStyle w:val="ListBullet"/>
        <w:numPr>
          <w:ilvl w:val="0"/>
          <w:numId w:val="1"/>
        </w:numPr>
      </w:pPr>
      <w:r>
        <w:t>Given these efficiency achievements and challenges, what changes do you think could be considered in the design of PRES 2?</w:t>
      </w:r>
    </w:p>
    <w:p w14:paraId="54DEB20C" w14:textId="77777777" w:rsidR="00BD3D35" w:rsidRPr="000E2DC4" w:rsidRDefault="00BD3D35" w:rsidP="00BD3D35">
      <w:pPr>
        <w:pStyle w:val="ListBullet"/>
        <w:numPr>
          <w:ilvl w:val="0"/>
          <w:numId w:val="0"/>
        </w:numPr>
        <w:ind w:left="360"/>
        <w:rPr>
          <w:i/>
          <w:iCs/>
        </w:rPr>
      </w:pPr>
      <w:r w:rsidRPr="000E2DC4">
        <w:rPr>
          <w:i/>
          <w:iCs/>
        </w:rPr>
        <w:t xml:space="preserve">Prompts – changes to </w:t>
      </w:r>
      <w:r>
        <w:rPr>
          <w:i/>
          <w:iCs/>
        </w:rPr>
        <w:t xml:space="preserve">delivery approach, management/governance arrangements, contract structure, </w:t>
      </w:r>
      <w:r w:rsidRPr="000E2DC4">
        <w:rPr>
          <w:i/>
          <w:iCs/>
        </w:rPr>
        <w:t xml:space="preserve">resourcing, </w:t>
      </w:r>
      <w:r>
        <w:rPr>
          <w:i/>
          <w:iCs/>
        </w:rPr>
        <w:t>etc.</w:t>
      </w:r>
    </w:p>
    <w:p w14:paraId="7E6157C3" w14:textId="77777777" w:rsidR="00BD3D35" w:rsidRDefault="00BD3D35" w:rsidP="00BD3D35">
      <w:pPr>
        <w:pStyle w:val="ListBullet"/>
        <w:numPr>
          <w:ilvl w:val="0"/>
          <w:numId w:val="0"/>
        </w:numPr>
      </w:pPr>
    </w:p>
    <w:p w14:paraId="7770D922" w14:textId="77777777" w:rsidR="00BD3D35" w:rsidRDefault="00BD3D35" w:rsidP="00BD3D35">
      <w:pPr>
        <w:pStyle w:val="ListBullet"/>
        <w:numPr>
          <w:ilvl w:val="0"/>
          <w:numId w:val="0"/>
        </w:numPr>
        <w:rPr>
          <w:u w:val="single"/>
        </w:rPr>
      </w:pPr>
      <w:r w:rsidRPr="00CD7BE7">
        <w:rPr>
          <w:u w:val="single"/>
        </w:rPr>
        <w:t>Relevance</w:t>
      </w:r>
    </w:p>
    <w:p w14:paraId="3F46F2F3" w14:textId="77777777" w:rsidR="00BD3D35" w:rsidRPr="00CD7BE7" w:rsidRDefault="00BD3D35" w:rsidP="00BD3D35">
      <w:pPr>
        <w:pStyle w:val="ListBullet"/>
        <w:numPr>
          <w:ilvl w:val="0"/>
          <w:numId w:val="0"/>
        </w:numPr>
        <w:rPr>
          <w:u w:val="single"/>
        </w:rPr>
      </w:pPr>
    </w:p>
    <w:p w14:paraId="1FE32906" w14:textId="77777777" w:rsidR="00BD3D35" w:rsidRDefault="00BD3D35" w:rsidP="00BD3D35">
      <w:pPr>
        <w:pStyle w:val="ListBullet"/>
        <w:numPr>
          <w:ilvl w:val="0"/>
          <w:numId w:val="1"/>
        </w:numPr>
      </w:pPr>
      <w:r>
        <w:t>Overall, how well-aligned was PRES to DFAT staff needs, policy priorities and operating context? Did this change over time?</w:t>
      </w:r>
    </w:p>
    <w:p w14:paraId="68A98F5D" w14:textId="77777777" w:rsidR="00BD3D35" w:rsidRDefault="00BD3D35" w:rsidP="00BD3D35">
      <w:pPr>
        <w:pStyle w:val="ListBullet"/>
        <w:numPr>
          <w:ilvl w:val="0"/>
          <w:numId w:val="0"/>
        </w:numPr>
        <w:ind w:left="360"/>
        <w:rPr>
          <w:i/>
          <w:iCs/>
        </w:rPr>
      </w:pPr>
      <w:r w:rsidRPr="05DC78EE">
        <w:rPr>
          <w:i/>
          <w:iCs/>
        </w:rPr>
        <w:t xml:space="preserve">Prompts – relevance of thematic focus, suitability of mechanism to DFAT needs, balance between discrete/one-off and programmatic offerings, proactive v reactive approach, etc.  </w:t>
      </w:r>
    </w:p>
    <w:p w14:paraId="4BEDC7DD" w14:textId="77777777" w:rsidR="00BD3D35" w:rsidRDefault="00BD3D35" w:rsidP="00BD3D35">
      <w:pPr>
        <w:pStyle w:val="ListBullet"/>
        <w:numPr>
          <w:ilvl w:val="0"/>
          <w:numId w:val="1"/>
        </w:numPr>
      </w:pPr>
      <w:r>
        <w:t>Looking forward, how might DFAT’s needs, policy priorities, and operating context continue to evolve?</w:t>
      </w:r>
    </w:p>
    <w:p w14:paraId="7C194465" w14:textId="77777777" w:rsidR="00BD3D35" w:rsidRDefault="00BD3D35" w:rsidP="00BD3D35">
      <w:pPr>
        <w:pStyle w:val="ListBullet"/>
        <w:numPr>
          <w:ilvl w:val="0"/>
          <w:numId w:val="1"/>
        </w:numPr>
      </w:pPr>
      <w:r>
        <w:t>Given this, what changes do you think could be considered in the design of PRES 2?</w:t>
      </w:r>
    </w:p>
    <w:p w14:paraId="7061D218" w14:textId="77777777" w:rsidR="00BD3D35" w:rsidRPr="008A4A81" w:rsidRDefault="00BD3D35" w:rsidP="00BD3D35">
      <w:pPr>
        <w:pStyle w:val="ListBullet"/>
        <w:numPr>
          <w:ilvl w:val="0"/>
          <w:numId w:val="0"/>
        </w:numPr>
        <w:ind w:left="360"/>
        <w:rPr>
          <w:i/>
          <w:iCs/>
        </w:rPr>
      </w:pPr>
      <w:r w:rsidRPr="008A4A81">
        <w:rPr>
          <w:i/>
          <w:iCs/>
        </w:rPr>
        <w:t xml:space="preserve">Prompts – changes to logic, </w:t>
      </w:r>
      <w:r>
        <w:rPr>
          <w:i/>
          <w:iCs/>
        </w:rPr>
        <w:t>delivery approach</w:t>
      </w:r>
      <w:r w:rsidRPr="008A4A81">
        <w:rPr>
          <w:i/>
          <w:iCs/>
        </w:rPr>
        <w:t xml:space="preserve">, types of offerings, proactive v reactive approach, etc. </w:t>
      </w:r>
    </w:p>
    <w:p w14:paraId="73C5E936" w14:textId="77777777" w:rsidR="00BD3D35" w:rsidRPr="00EE0CC4" w:rsidRDefault="00BD3D35" w:rsidP="00BD3D35">
      <w:pPr>
        <w:rPr>
          <w:u w:val="single"/>
        </w:rPr>
      </w:pPr>
      <w:r w:rsidRPr="00EE0CC4">
        <w:rPr>
          <w:u w:val="single"/>
        </w:rPr>
        <w:t>GEDSI</w:t>
      </w:r>
    </w:p>
    <w:p w14:paraId="0A90BE9F" w14:textId="77777777" w:rsidR="00BD3D35" w:rsidRDefault="00BD3D35" w:rsidP="00BD3D35">
      <w:pPr>
        <w:pStyle w:val="ListBullet"/>
        <w:numPr>
          <w:ilvl w:val="0"/>
          <w:numId w:val="1"/>
        </w:numPr>
      </w:pPr>
      <w:r>
        <w:t xml:space="preserve">What were PRES’ main achievements and challenges in relation to promoting GEDSI? </w:t>
      </w:r>
    </w:p>
    <w:p w14:paraId="6DED92EE" w14:textId="77777777" w:rsidR="00BD3D35" w:rsidRDefault="00BD3D35" w:rsidP="00BD3D35">
      <w:pPr>
        <w:pStyle w:val="ListBullet"/>
        <w:numPr>
          <w:ilvl w:val="0"/>
          <w:numId w:val="0"/>
        </w:numPr>
        <w:ind w:left="360"/>
        <w:rPr>
          <w:i/>
          <w:iCs/>
        </w:rPr>
      </w:pPr>
      <w:r w:rsidRPr="0083202E">
        <w:rPr>
          <w:i/>
          <w:iCs/>
        </w:rPr>
        <w:t xml:space="preserve">Prompts – </w:t>
      </w:r>
    </w:p>
    <w:p w14:paraId="4E2AA501" w14:textId="77777777" w:rsidR="00BD3D35" w:rsidRDefault="00BD3D35" w:rsidP="00BD3D35">
      <w:pPr>
        <w:pStyle w:val="ListBullet2"/>
        <w:numPr>
          <w:ilvl w:val="1"/>
          <w:numId w:val="1"/>
        </w:numPr>
        <w:rPr>
          <w:i/>
          <w:iCs/>
        </w:rPr>
      </w:pPr>
      <w:r>
        <w:rPr>
          <w:i/>
          <w:iCs/>
        </w:rPr>
        <w:t xml:space="preserve">GEDSI strategy – evidence base, clarity, feasibility, </w:t>
      </w:r>
    </w:p>
    <w:p w14:paraId="5508EA9C" w14:textId="1B5D7285" w:rsidR="00BD3D35" w:rsidRDefault="00BD3D35" w:rsidP="00BD3D35">
      <w:pPr>
        <w:pStyle w:val="ListBullet2"/>
        <w:numPr>
          <w:ilvl w:val="1"/>
          <w:numId w:val="1"/>
        </w:numPr>
        <w:rPr>
          <w:i/>
          <w:iCs/>
        </w:rPr>
      </w:pPr>
      <w:r w:rsidRPr="05DC78EE">
        <w:rPr>
          <w:i/>
          <w:iCs/>
        </w:rPr>
        <w:t xml:space="preserve">GEDSI management – Resource allocation, staffing diversity, integration in management systems, tasking process etc. </w:t>
      </w:r>
    </w:p>
    <w:p w14:paraId="521D34F1" w14:textId="77777777" w:rsidR="00BD3D35" w:rsidRPr="008245CC" w:rsidRDefault="00BD3D35" w:rsidP="00BD3D35">
      <w:pPr>
        <w:pStyle w:val="ListBullet2"/>
        <w:numPr>
          <w:ilvl w:val="1"/>
          <w:numId w:val="1"/>
        </w:numPr>
        <w:rPr>
          <w:i/>
          <w:iCs/>
        </w:rPr>
      </w:pPr>
      <w:r>
        <w:rPr>
          <w:i/>
          <w:iCs/>
        </w:rPr>
        <w:t>GEDSI outcomes - k</w:t>
      </w:r>
      <w:r w:rsidRPr="008245CC">
        <w:rPr>
          <w:i/>
          <w:iCs/>
        </w:rPr>
        <w:t xml:space="preserve">ey results / </w:t>
      </w:r>
      <w:r>
        <w:rPr>
          <w:i/>
          <w:iCs/>
        </w:rPr>
        <w:t>challenges</w:t>
      </w:r>
      <w:r w:rsidRPr="008245CC">
        <w:rPr>
          <w:i/>
          <w:iCs/>
        </w:rPr>
        <w:t>?</w:t>
      </w:r>
    </w:p>
    <w:p w14:paraId="4584EC53" w14:textId="77777777" w:rsidR="00BD3D35" w:rsidRDefault="00BD3D35" w:rsidP="00BD3D35">
      <w:pPr>
        <w:pStyle w:val="ListBullet"/>
        <w:numPr>
          <w:ilvl w:val="0"/>
          <w:numId w:val="1"/>
        </w:numPr>
      </w:pPr>
      <w:r>
        <w:t>What changes do you think could be considered in the design of PRES 2 to promote GEDSI?</w:t>
      </w:r>
    </w:p>
    <w:p w14:paraId="176AFFC6" w14:textId="77777777" w:rsidR="00BD3D35" w:rsidRPr="008A4A81" w:rsidRDefault="00BD3D35" w:rsidP="00BD3D35">
      <w:pPr>
        <w:pStyle w:val="ListBullet"/>
        <w:numPr>
          <w:ilvl w:val="0"/>
          <w:numId w:val="0"/>
        </w:numPr>
        <w:ind w:left="360"/>
        <w:rPr>
          <w:i/>
          <w:iCs/>
        </w:rPr>
      </w:pPr>
      <w:r w:rsidRPr="008A4A81">
        <w:rPr>
          <w:i/>
          <w:iCs/>
        </w:rPr>
        <w:t xml:space="preserve">Prompts – changes to logic, </w:t>
      </w:r>
      <w:r>
        <w:rPr>
          <w:i/>
          <w:iCs/>
        </w:rPr>
        <w:t>delivery approach</w:t>
      </w:r>
      <w:r w:rsidRPr="008A4A81">
        <w:rPr>
          <w:i/>
          <w:iCs/>
        </w:rPr>
        <w:t xml:space="preserve">, </w:t>
      </w:r>
      <w:r>
        <w:rPr>
          <w:i/>
          <w:iCs/>
        </w:rPr>
        <w:t>management arrangements, budget, etc.</w:t>
      </w:r>
      <w:r w:rsidRPr="008A4A81">
        <w:rPr>
          <w:i/>
          <w:iCs/>
        </w:rPr>
        <w:t xml:space="preserve"> </w:t>
      </w:r>
    </w:p>
    <w:p w14:paraId="3C728DE4" w14:textId="77777777" w:rsidR="009C3D84" w:rsidRDefault="009C3D84">
      <w:pPr>
        <w:rPr>
          <w:u w:val="single"/>
        </w:rPr>
      </w:pPr>
      <w:r>
        <w:rPr>
          <w:u w:val="single"/>
        </w:rPr>
        <w:br w:type="page"/>
      </w:r>
    </w:p>
    <w:p w14:paraId="7EE31DAD" w14:textId="416AE225" w:rsidR="00BD3D35" w:rsidRPr="00EE0CC4" w:rsidRDefault="00BD3D35" w:rsidP="00BD3D35">
      <w:pPr>
        <w:rPr>
          <w:u w:val="single"/>
        </w:rPr>
      </w:pPr>
      <w:r>
        <w:rPr>
          <w:u w:val="single"/>
        </w:rPr>
        <w:lastRenderedPageBreak/>
        <w:t>MEL</w:t>
      </w:r>
    </w:p>
    <w:p w14:paraId="69F67260" w14:textId="77777777" w:rsidR="00BD3D35" w:rsidRPr="0083202E" w:rsidRDefault="00BD3D35" w:rsidP="00BD3D35">
      <w:pPr>
        <w:pStyle w:val="ListBullet"/>
        <w:numPr>
          <w:ilvl w:val="0"/>
          <w:numId w:val="1"/>
        </w:numPr>
        <w:rPr>
          <w:i/>
          <w:iCs/>
        </w:rPr>
      </w:pPr>
      <w:r>
        <w:t>How well did the MEL system incl. PAF support program improvement and reporting?</w:t>
      </w:r>
    </w:p>
    <w:p w14:paraId="2E8EC8E2" w14:textId="77777777" w:rsidR="00BD3D35" w:rsidRPr="001639E3" w:rsidRDefault="00BD3D35" w:rsidP="00BD3D35">
      <w:pPr>
        <w:pStyle w:val="ListBullet"/>
        <w:numPr>
          <w:ilvl w:val="0"/>
          <w:numId w:val="0"/>
        </w:numPr>
        <w:ind w:left="360"/>
        <w:rPr>
          <w:i/>
          <w:iCs/>
        </w:rPr>
      </w:pPr>
      <w:r w:rsidRPr="001639E3">
        <w:rPr>
          <w:i/>
          <w:iCs/>
        </w:rPr>
        <w:t xml:space="preserve">Prompts: </w:t>
      </w:r>
    </w:p>
    <w:p w14:paraId="36BD512E" w14:textId="77777777" w:rsidR="00BD3D35" w:rsidRPr="001639E3" w:rsidRDefault="00BD3D35" w:rsidP="00BD3D35">
      <w:pPr>
        <w:pStyle w:val="ListBullet2"/>
        <w:numPr>
          <w:ilvl w:val="1"/>
          <w:numId w:val="1"/>
        </w:numPr>
        <w:rPr>
          <w:i/>
          <w:iCs/>
        </w:rPr>
      </w:pPr>
      <w:r w:rsidRPr="001639E3">
        <w:rPr>
          <w:i/>
          <w:iCs/>
        </w:rPr>
        <w:t>DFAT information needs – inform overall program oversight and IMR / ad hoc reporting; inform oversight of individual tasks/activities</w:t>
      </w:r>
    </w:p>
    <w:p w14:paraId="17E02BB4" w14:textId="2043C555" w:rsidR="00BD3D35" w:rsidRPr="001639E3" w:rsidRDefault="00BD3D35" w:rsidP="00BD3D35">
      <w:pPr>
        <w:pStyle w:val="ListBullet2"/>
        <w:numPr>
          <w:ilvl w:val="1"/>
          <w:numId w:val="1"/>
        </w:numPr>
        <w:rPr>
          <w:i/>
          <w:iCs/>
        </w:rPr>
      </w:pPr>
      <w:r w:rsidRPr="001639E3">
        <w:rPr>
          <w:i/>
          <w:iCs/>
        </w:rPr>
        <w:t xml:space="preserve">PRES information needs – inform program management, task/activity management, progress reporting </w:t>
      </w:r>
    </w:p>
    <w:p w14:paraId="0DF951A4" w14:textId="77777777" w:rsidR="00BD3D35" w:rsidRDefault="00BD3D35" w:rsidP="00BD3D35">
      <w:pPr>
        <w:pStyle w:val="ListBullet"/>
        <w:numPr>
          <w:ilvl w:val="0"/>
          <w:numId w:val="1"/>
        </w:numPr>
      </w:pPr>
      <w:r>
        <w:t>What MEL-related changes do you think could be considered in the design of PRES 2?</w:t>
      </w:r>
    </w:p>
    <w:p w14:paraId="30BDAB5D" w14:textId="77777777" w:rsidR="00BD3D35" w:rsidRDefault="00BD3D35" w:rsidP="00BD3D35">
      <w:pPr>
        <w:pStyle w:val="Heading4nonumber"/>
      </w:pPr>
      <w:r>
        <w:t xml:space="preserve">3) DFAT clients/users of PRES and </w:t>
      </w:r>
      <w:bookmarkStart w:id="134" w:name="_Hlk185512203"/>
      <w:r>
        <w:t>4) PRES embedded advisers and STA</w:t>
      </w:r>
      <w:bookmarkEnd w:id="134"/>
    </w:p>
    <w:p w14:paraId="7763DDC2" w14:textId="77777777" w:rsidR="00BD3D35" w:rsidRDefault="00BD3D35" w:rsidP="00BD3D35">
      <w:pPr>
        <w:pStyle w:val="ListBullet"/>
        <w:numPr>
          <w:ilvl w:val="0"/>
          <w:numId w:val="1"/>
        </w:numPr>
      </w:pPr>
      <w:r>
        <w:t>What has been your role in relation to PRES-funded activities?</w:t>
      </w:r>
    </w:p>
    <w:p w14:paraId="4D3F468C" w14:textId="77777777" w:rsidR="00BD3D35" w:rsidRDefault="00BD3D35" w:rsidP="00BD3D35">
      <w:pPr>
        <w:pStyle w:val="ListBullet"/>
        <w:numPr>
          <w:ilvl w:val="0"/>
          <w:numId w:val="0"/>
        </w:numPr>
        <w:ind w:left="360" w:hanging="360"/>
        <w:rPr>
          <w:u w:val="single"/>
        </w:rPr>
      </w:pPr>
    </w:p>
    <w:p w14:paraId="0F82586E" w14:textId="77777777" w:rsidR="00BD3D35" w:rsidRPr="00F6331F" w:rsidRDefault="00BD3D35" w:rsidP="00BD3D35">
      <w:pPr>
        <w:pStyle w:val="ListBullet"/>
        <w:numPr>
          <w:ilvl w:val="0"/>
          <w:numId w:val="0"/>
        </w:numPr>
        <w:ind w:left="360" w:hanging="360"/>
        <w:rPr>
          <w:u w:val="single"/>
        </w:rPr>
      </w:pPr>
      <w:r w:rsidRPr="00F6331F">
        <w:rPr>
          <w:u w:val="single"/>
        </w:rPr>
        <w:t>Effectiveness</w:t>
      </w:r>
      <w:r>
        <w:rPr>
          <w:u w:val="single"/>
        </w:rPr>
        <w:t xml:space="preserve"> and sustainability</w:t>
      </w:r>
    </w:p>
    <w:p w14:paraId="16873933" w14:textId="77777777" w:rsidR="00BD3D35" w:rsidRDefault="00BD3D35" w:rsidP="00BD3D35">
      <w:pPr>
        <w:pStyle w:val="ListBullet"/>
        <w:numPr>
          <w:ilvl w:val="0"/>
          <w:numId w:val="0"/>
        </w:numPr>
        <w:ind w:left="360"/>
      </w:pPr>
    </w:p>
    <w:p w14:paraId="5CAA06B5" w14:textId="77777777" w:rsidR="00BD3D35" w:rsidRDefault="00BD3D35" w:rsidP="00BD3D35">
      <w:pPr>
        <w:pStyle w:val="ListBullet"/>
        <w:numPr>
          <w:ilvl w:val="0"/>
          <w:numId w:val="1"/>
        </w:numPr>
      </w:pPr>
      <w:r>
        <w:t>How effective were the PRES-funded activities you have been involved in?</w:t>
      </w:r>
    </w:p>
    <w:p w14:paraId="01D03BE7" w14:textId="77777777" w:rsidR="00BD3D35" w:rsidRPr="00493215" w:rsidRDefault="00BD3D35" w:rsidP="00BD3D35">
      <w:pPr>
        <w:pStyle w:val="ListBullet"/>
        <w:numPr>
          <w:ilvl w:val="0"/>
          <w:numId w:val="0"/>
        </w:numPr>
        <w:ind w:left="360"/>
        <w:rPr>
          <w:i/>
          <w:iCs/>
        </w:rPr>
      </w:pPr>
      <w:r w:rsidRPr="00493215">
        <w:rPr>
          <w:i/>
          <w:iCs/>
        </w:rPr>
        <w:t xml:space="preserve">Prompts – </w:t>
      </w:r>
      <w:r>
        <w:rPr>
          <w:i/>
          <w:iCs/>
        </w:rPr>
        <w:t>key results, challenges</w:t>
      </w:r>
    </w:p>
    <w:p w14:paraId="2C96C0D8" w14:textId="77777777" w:rsidR="00BD3D35" w:rsidRDefault="00BD3D35" w:rsidP="00BD3D35">
      <w:pPr>
        <w:pStyle w:val="ListBullet"/>
        <w:numPr>
          <w:ilvl w:val="0"/>
          <w:numId w:val="1"/>
        </w:numPr>
      </w:pPr>
      <w:r>
        <w:t xml:space="preserve">More generally, how well do you think PRES has progressed against its current expected outcomes? </w:t>
      </w:r>
    </w:p>
    <w:p w14:paraId="2E70F397" w14:textId="77777777" w:rsidR="00BD3D35" w:rsidRDefault="00BD3D35" w:rsidP="00BD3D35">
      <w:pPr>
        <w:pStyle w:val="ListBullet"/>
        <w:numPr>
          <w:ilvl w:val="0"/>
          <w:numId w:val="0"/>
        </w:numPr>
        <w:ind w:left="360"/>
      </w:pPr>
      <w:r w:rsidRPr="00C92D74">
        <w:rPr>
          <w:i/>
          <w:iCs/>
        </w:rPr>
        <w:t>Prompts – informing DFAT</w:t>
      </w:r>
      <w:r>
        <w:rPr>
          <w:i/>
          <w:iCs/>
        </w:rPr>
        <w:t xml:space="preserve"> policy and </w:t>
      </w:r>
      <w:r w:rsidRPr="00C92D74">
        <w:rPr>
          <w:i/>
          <w:iCs/>
        </w:rPr>
        <w:t>strategy</w:t>
      </w:r>
      <w:r>
        <w:rPr>
          <w:i/>
          <w:iCs/>
        </w:rPr>
        <w:t xml:space="preserve">; supporting </w:t>
      </w:r>
      <w:r w:rsidRPr="00C92D74">
        <w:rPr>
          <w:i/>
          <w:iCs/>
        </w:rPr>
        <w:t xml:space="preserve">and investment </w:t>
      </w:r>
      <w:r>
        <w:rPr>
          <w:i/>
          <w:iCs/>
        </w:rPr>
        <w:t xml:space="preserve">design and </w:t>
      </w:r>
      <w:r w:rsidRPr="00C92D74">
        <w:rPr>
          <w:i/>
          <w:iCs/>
        </w:rPr>
        <w:t>management; improving knowledge management and learning within PEB</w:t>
      </w:r>
      <w:r>
        <w:rPr>
          <w:i/>
          <w:iCs/>
        </w:rPr>
        <w:t>; other</w:t>
      </w:r>
    </w:p>
    <w:p w14:paraId="3E3DBF86" w14:textId="77777777" w:rsidR="00BD3D35" w:rsidRDefault="00BD3D35" w:rsidP="00BD3D35">
      <w:pPr>
        <w:pStyle w:val="ListBullet"/>
        <w:numPr>
          <w:ilvl w:val="0"/>
          <w:numId w:val="1"/>
        </w:numPr>
      </w:pPr>
      <w:r>
        <w:t>To what extent is it clear what benefits, supported by PRES, are expected to endure after it ends?</w:t>
      </w:r>
    </w:p>
    <w:p w14:paraId="61E93F16" w14:textId="77777777" w:rsidR="00BD3D35" w:rsidRDefault="00BD3D35" w:rsidP="00BD3D35">
      <w:pPr>
        <w:pStyle w:val="ListBullet"/>
        <w:numPr>
          <w:ilvl w:val="0"/>
          <w:numId w:val="0"/>
        </w:numPr>
        <w:ind w:left="360"/>
      </w:pPr>
      <w:r w:rsidRPr="00C92D74">
        <w:rPr>
          <w:i/>
          <w:iCs/>
        </w:rPr>
        <w:t xml:space="preserve">Prompts – </w:t>
      </w:r>
      <w:r>
        <w:rPr>
          <w:i/>
          <w:iCs/>
        </w:rPr>
        <w:t xml:space="preserve">program level (e.g. knowledge management systems) v task/activity level </w:t>
      </w:r>
    </w:p>
    <w:p w14:paraId="4C260CCD" w14:textId="77777777" w:rsidR="00BD3D35" w:rsidRDefault="00BD3D35" w:rsidP="00BD3D35">
      <w:pPr>
        <w:pStyle w:val="ListBullet2"/>
        <w:numPr>
          <w:ilvl w:val="1"/>
          <w:numId w:val="1"/>
        </w:numPr>
      </w:pPr>
      <w:r>
        <w:t xml:space="preserve">How have these expectations played out in reality? </w:t>
      </w:r>
    </w:p>
    <w:p w14:paraId="6AC5FE32" w14:textId="77777777" w:rsidR="00BD3D35" w:rsidRPr="00783B3E" w:rsidRDefault="00BD3D35" w:rsidP="00BD3D35">
      <w:pPr>
        <w:pStyle w:val="ListBullet2"/>
        <w:ind w:firstLine="0"/>
        <w:rPr>
          <w:i/>
          <w:iCs/>
        </w:rPr>
      </w:pPr>
      <w:r w:rsidRPr="00783B3E">
        <w:rPr>
          <w:i/>
          <w:iCs/>
        </w:rPr>
        <w:t>Prompts – reasons for main achievements and challenges</w:t>
      </w:r>
    </w:p>
    <w:p w14:paraId="48B5A951" w14:textId="77777777" w:rsidR="00BD3D35" w:rsidRDefault="00BD3D35" w:rsidP="00BD3D35">
      <w:pPr>
        <w:pStyle w:val="ListBullet"/>
        <w:numPr>
          <w:ilvl w:val="0"/>
          <w:numId w:val="1"/>
        </w:numPr>
      </w:pPr>
      <w:r>
        <w:t>Given PRES achievements and challenges relating to effectiveness and sustainability, what changes do you think could be considered in the design of PRES 2?</w:t>
      </w:r>
    </w:p>
    <w:p w14:paraId="7C2D6AA7" w14:textId="77777777" w:rsidR="00BD3D35" w:rsidRDefault="00BD3D35" w:rsidP="00BD3D35">
      <w:pPr>
        <w:pStyle w:val="ListBullet"/>
        <w:numPr>
          <w:ilvl w:val="0"/>
          <w:numId w:val="0"/>
        </w:numPr>
        <w:ind w:left="360"/>
        <w:rPr>
          <w:i/>
          <w:iCs/>
        </w:rPr>
      </w:pPr>
      <w:r w:rsidRPr="000E2DC4">
        <w:rPr>
          <w:i/>
          <w:iCs/>
        </w:rPr>
        <w:t xml:space="preserve">Prompts – changes to </w:t>
      </w:r>
      <w:r>
        <w:rPr>
          <w:i/>
          <w:iCs/>
        </w:rPr>
        <w:t>logic (</w:t>
      </w:r>
      <w:r w:rsidRPr="000E2DC4">
        <w:rPr>
          <w:i/>
          <w:iCs/>
        </w:rPr>
        <w:t>scope, ambition,</w:t>
      </w:r>
      <w:r>
        <w:rPr>
          <w:i/>
          <w:iCs/>
        </w:rPr>
        <w:t xml:space="preserve"> specificity), implementation arrangements, </w:t>
      </w:r>
      <w:r w:rsidRPr="000E2DC4">
        <w:rPr>
          <w:i/>
          <w:iCs/>
        </w:rPr>
        <w:t xml:space="preserve">resourcing, </w:t>
      </w:r>
      <w:r>
        <w:rPr>
          <w:i/>
          <w:iCs/>
        </w:rPr>
        <w:t>etc.</w:t>
      </w:r>
    </w:p>
    <w:p w14:paraId="75618DE3" w14:textId="77777777" w:rsidR="00BD3D35" w:rsidRPr="000E2DC4" w:rsidRDefault="00BD3D35" w:rsidP="00BD3D35">
      <w:pPr>
        <w:pStyle w:val="ListBullet"/>
        <w:numPr>
          <w:ilvl w:val="0"/>
          <w:numId w:val="0"/>
        </w:numPr>
        <w:ind w:left="360" w:hanging="360"/>
        <w:rPr>
          <w:i/>
          <w:iCs/>
        </w:rPr>
      </w:pPr>
    </w:p>
    <w:p w14:paraId="3A8D3C2B" w14:textId="77777777" w:rsidR="00BD3D35" w:rsidRPr="00F6331F" w:rsidRDefault="00BD3D35" w:rsidP="00BD3D35">
      <w:pPr>
        <w:pStyle w:val="ListBullet"/>
        <w:numPr>
          <w:ilvl w:val="0"/>
          <w:numId w:val="0"/>
        </w:numPr>
        <w:ind w:left="360" w:hanging="360"/>
        <w:rPr>
          <w:u w:val="single"/>
        </w:rPr>
      </w:pPr>
      <w:r>
        <w:rPr>
          <w:u w:val="single"/>
        </w:rPr>
        <w:t>Efficiency</w:t>
      </w:r>
    </w:p>
    <w:p w14:paraId="574A1D74" w14:textId="77777777" w:rsidR="00BD3D35" w:rsidRDefault="00BD3D35" w:rsidP="00BD3D35">
      <w:pPr>
        <w:pStyle w:val="ListBullet"/>
        <w:numPr>
          <w:ilvl w:val="0"/>
          <w:numId w:val="0"/>
        </w:numPr>
        <w:ind w:left="360"/>
      </w:pPr>
    </w:p>
    <w:p w14:paraId="5158D131" w14:textId="77777777" w:rsidR="00BD3D35" w:rsidRDefault="00BD3D35" w:rsidP="00BD3D35">
      <w:pPr>
        <w:pStyle w:val="ListBullet"/>
        <w:numPr>
          <w:ilvl w:val="0"/>
          <w:numId w:val="1"/>
        </w:numPr>
      </w:pPr>
      <w:r>
        <w:t>How efficient have you found PRES implementation arrangements? Can you provide examples?</w:t>
      </w:r>
    </w:p>
    <w:p w14:paraId="575E2DC6" w14:textId="77777777" w:rsidR="00BD3D35" w:rsidRDefault="00BD3D35" w:rsidP="00BD3D35">
      <w:pPr>
        <w:pStyle w:val="ListBullet"/>
        <w:numPr>
          <w:ilvl w:val="0"/>
          <w:numId w:val="0"/>
        </w:numPr>
        <w:ind w:left="360"/>
        <w:rPr>
          <w:i/>
          <w:iCs/>
        </w:rPr>
      </w:pPr>
      <w:r w:rsidRPr="0083202E">
        <w:rPr>
          <w:i/>
          <w:iCs/>
        </w:rPr>
        <w:t xml:space="preserve">Prompts – </w:t>
      </w:r>
    </w:p>
    <w:p w14:paraId="530EF120" w14:textId="77777777" w:rsidR="00BD3D35" w:rsidRDefault="00BD3D35" w:rsidP="00BD3D35">
      <w:pPr>
        <w:pStyle w:val="ListBullet2"/>
        <w:numPr>
          <w:ilvl w:val="1"/>
          <w:numId w:val="1"/>
        </w:numPr>
        <w:rPr>
          <w:i/>
          <w:iCs/>
        </w:rPr>
      </w:pPr>
      <w:r>
        <w:rPr>
          <w:i/>
          <w:iCs/>
        </w:rPr>
        <w:t>Tasking process</w:t>
      </w:r>
    </w:p>
    <w:p w14:paraId="7F453D8D" w14:textId="77777777" w:rsidR="00BD3D35" w:rsidRDefault="00BD3D35" w:rsidP="00BD3D35">
      <w:pPr>
        <w:pStyle w:val="ListBullet2"/>
        <w:numPr>
          <w:ilvl w:val="1"/>
          <w:numId w:val="1"/>
        </w:numPr>
        <w:rPr>
          <w:i/>
          <w:iCs/>
        </w:rPr>
      </w:pPr>
      <w:r>
        <w:rPr>
          <w:i/>
          <w:iCs/>
        </w:rPr>
        <w:t>Recruitment and mobilisation process</w:t>
      </w:r>
    </w:p>
    <w:p w14:paraId="1E573DC4" w14:textId="77777777" w:rsidR="00BD3D35" w:rsidRPr="00DD0927" w:rsidRDefault="00BD3D35" w:rsidP="00BD3D35">
      <w:pPr>
        <w:pStyle w:val="ListBullet2"/>
        <w:numPr>
          <w:ilvl w:val="1"/>
          <w:numId w:val="1"/>
        </w:numPr>
        <w:rPr>
          <w:i/>
          <w:iCs/>
        </w:rPr>
      </w:pPr>
      <w:r w:rsidRPr="05DC78EE">
        <w:rPr>
          <w:i/>
          <w:iCs/>
        </w:rPr>
        <w:t>Balance of resource allocation right between its core team, embedded advisers, and short-term technical assistance – adapting the technical modality to the need</w:t>
      </w:r>
    </w:p>
    <w:p w14:paraId="13E93F47" w14:textId="77777777" w:rsidR="00BD3D35" w:rsidRDefault="00BD3D35" w:rsidP="00BD3D35">
      <w:pPr>
        <w:pStyle w:val="ListBullet"/>
        <w:numPr>
          <w:ilvl w:val="0"/>
          <w:numId w:val="1"/>
        </w:numPr>
      </w:pPr>
      <w:r>
        <w:t>Given these efficiency achievements and challenges, what changes do you think could be considered in the design of PRES 2?</w:t>
      </w:r>
    </w:p>
    <w:p w14:paraId="762D4DAC" w14:textId="77777777" w:rsidR="00BD3D35" w:rsidRPr="000E2DC4" w:rsidRDefault="00BD3D35" w:rsidP="00BD3D35">
      <w:pPr>
        <w:pStyle w:val="ListBullet"/>
        <w:numPr>
          <w:ilvl w:val="0"/>
          <w:numId w:val="0"/>
        </w:numPr>
        <w:ind w:left="360"/>
        <w:rPr>
          <w:i/>
          <w:iCs/>
        </w:rPr>
      </w:pPr>
      <w:r w:rsidRPr="000E2DC4">
        <w:rPr>
          <w:i/>
          <w:iCs/>
        </w:rPr>
        <w:t xml:space="preserve">Prompts – changes to </w:t>
      </w:r>
      <w:r>
        <w:rPr>
          <w:i/>
          <w:iCs/>
        </w:rPr>
        <w:t xml:space="preserve">delivery approach, management/governance arrangements, contract structure, </w:t>
      </w:r>
      <w:r w:rsidRPr="000E2DC4">
        <w:rPr>
          <w:i/>
          <w:iCs/>
        </w:rPr>
        <w:t xml:space="preserve">resourcing, </w:t>
      </w:r>
      <w:r>
        <w:rPr>
          <w:i/>
          <w:iCs/>
        </w:rPr>
        <w:t>etc.</w:t>
      </w:r>
    </w:p>
    <w:p w14:paraId="4309B93E" w14:textId="77777777" w:rsidR="00BD3D35" w:rsidRDefault="00BD3D35" w:rsidP="00BD3D35">
      <w:pPr>
        <w:pStyle w:val="ListBullet"/>
        <w:numPr>
          <w:ilvl w:val="0"/>
          <w:numId w:val="0"/>
        </w:numPr>
      </w:pPr>
    </w:p>
    <w:p w14:paraId="67145FCE" w14:textId="77777777" w:rsidR="00BD3D35" w:rsidRDefault="00BD3D35" w:rsidP="00BD3D35">
      <w:pPr>
        <w:pStyle w:val="ListBullet"/>
        <w:numPr>
          <w:ilvl w:val="0"/>
          <w:numId w:val="0"/>
        </w:numPr>
        <w:rPr>
          <w:u w:val="single"/>
        </w:rPr>
      </w:pPr>
      <w:r w:rsidRPr="00CD7BE7">
        <w:rPr>
          <w:u w:val="single"/>
        </w:rPr>
        <w:t>Relevance</w:t>
      </w:r>
    </w:p>
    <w:p w14:paraId="13AC4B57" w14:textId="77777777" w:rsidR="00BD3D35" w:rsidRPr="00CD7BE7" w:rsidRDefault="00BD3D35" w:rsidP="00BD3D35">
      <w:pPr>
        <w:pStyle w:val="ListBullet"/>
        <w:numPr>
          <w:ilvl w:val="0"/>
          <w:numId w:val="0"/>
        </w:numPr>
        <w:rPr>
          <w:u w:val="single"/>
        </w:rPr>
      </w:pPr>
    </w:p>
    <w:p w14:paraId="53D2F27D" w14:textId="77777777" w:rsidR="00BD3D35" w:rsidRDefault="00BD3D35" w:rsidP="00BD3D35">
      <w:pPr>
        <w:pStyle w:val="ListBullet"/>
        <w:numPr>
          <w:ilvl w:val="0"/>
          <w:numId w:val="1"/>
        </w:numPr>
      </w:pPr>
      <w:r>
        <w:t>Overall, how well-aligned do you think PRES is to DFAT staff needs, policy priorities and operating context? Has this changed over time?</w:t>
      </w:r>
    </w:p>
    <w:p w14:paraId="5EAD93DA" w14:textId="77777777" w:rsidR="00BD3D35" w:rsidRDefault="00BD3D35" w:rsidP="00BD3D35">
      <w:pPr>
        <w:pStyle w:val="ListBullet"/>
        <w:numPr>
          <w:ilvl w:val="0"/>
          <w:numId w:val="0"/>
        </w:numPr>
        <w:ind w:left="360"/>
        <w:rPr>
          <w:i/>
          <w:iCs/>
        </w:rPr>
      </w:pPr>
      <w:r w:rsidRPr="05DC78EE">
        <w:rPr>
          <w:i/>
          <w:iCs/>
        </w:rPr>
        <w:lastRenderedPageBreak/>
        <w:t xml:space="preserve">Prompts – relevance of thematic focus, suitability of mechanism to DFAT needs, balance between discrete/one-off and programmatic offerings, proactive v reactive approach, etc.  </w:t>
      </w:r>
    </w:p>
    <w:p w14:paraId="440E085B" w14:textId="77777777" w:rsidR="00BD3D35" w:rsidRDefault="00BD3D35" w:rsidP="00BD3D35">
      <w:pPr>
        <w:pStyle w:val="ListBullet"/>
        <w:numPr>
          <w:ilvl w:val="0"/>
          <w:numId w:val="1"/>
        </w:numPr>
      </w:pPr>
      <w:r>
        <w:t>Looking forward, how might DFAT’s needs, policy priorities, and operating context continue to evolve?</w:t>
      </w:r>
    </w:p>
    <w:p w14:paraId="6963760E" w14:textId="77777777" w:rsidR="00BD3D35" w:rsidRDefault="00BD3D35" w:rsidP="00BD3D35">
      <w:pPr>
        <w:pStyle w:val="ListBullet"/>
        <w:numPr>
          <w:ilvl w:val="0"/>
          <w:numId w:val="1"/>
        </w:numPr>
      </w:pPr>
      <w:r>
        <w:t>Given this, what changes do you think could be considered in the design of PRES 2?</w:t>
      </w:r>
    </w:p>
    <w:p w14:paraId="27B4DF9D" w14:textId="77777777" w:rsidR="00BD3D35" w:rsidRPr="008A4A81" w:rsidRDefault="00BD3D35" w:rsidP="00BD3D35">
      <w:pPr>
        <w:pStyle w:val="ListBullet"/>
        <w:numPr>
          <w:ilvl w:val="0"/>
          <w:numId w:val="0"/>
        </w:numPr>
        <w:ind w:left="360"/>
        <w:rPr>
          <w:i/>
          <w:iCs/>
        </w:rPr>
      </w:pPr>
      <w:r w:rsidRPr="008A4A81">
        <w:rPr>
          <w:i/>
          <w:iCs/>
        </w:rPr>
        <w:t xml:space="preserve">Prompts – changes to logic, </w:t>
      </w:r>
      <w:r>
        <w:rPr>
          <w:i/>
          <w:iCs/>
        </w:rPr>
        <w:t>delivery approach</w:t>
      </w:r>
      <w:r w:rsidRPr="008A4A81">
        <w:rPr>
          <w:i/>
          <w:iCs/>
        </w:rPr>
        <w:t xml:space="preserve">, types of offerings, proactive v reactive approach, etc. </w:t>
      </w:r>
    </w:p>
    <w:p w14:paraId="60F34C6C" w14:textId="77777777" w:rsidR="00BD3D35" w:rsidRPr="00EE0CC4" w:rsidRDefault="00BD3D35" w:rsidP="00BD3D35">
      <w:pPr>
        <w:rPr>
          <w:u w:val="single"/>
        </w:rPr>
      </w:pPr>
      <w:r w:rsidRPr="00EE0CC4">
        <w:rPr>
          <w:u w:val="single"/>
        </w:rPr>
        <w:t>GEDSI</w:t>
      </w:r>
    </w:p>
    <w:p w14:paraId="70C7A286" w14:textId="77777777" w:rsidR="00BD3D35" w:rsidRDefault="00BD3D35" w:rsidP="00BD3D35">
      <w:pPr>
        <w:pStyle w:val="ListBullet"/>
        <w:numPr>
          <w:ilvl w:val="0"/>
          <w:numId w:val="1"/>
        </w:numPr>
      </w:pPr>
      <w:r>
        <w:t xml:space="preserve">What were PRES’ main achievements and challenges in relation to promoting GEDSI? </w:t>
      </w:r>
    </w:p>
    <w:p w14:paraId="35B2DFF9" w14:textId="77777777" w:rsidR="00BD3D35" w:rsidRDefault="00BD3D35" w:rsidP="00BD3D35">
      <w:pPr>
        <w:pStyle w:val="ListBullet"/>
        <w:numPr>
          <w:ilvl w:val="0"/>
          <w:numId w:val="0"/>
        </w:numPr>
        <w:ind w:left="360"/>
        <w:rPr>
          <w:i/>
          <w:iCs/>
        </w:rPr>
      </w:pPr>
      <w:r w:rsidRPr="0083202E">
        <w:rPr>
          <w:i/>
          <w:iCs/>
        </w:rPr>
        <w:t xml:space="preserve">Prompts – </w:t>
      </w:r>
    </w:p>
    <w:p w14:paraId="2A471F83" w14:textId="77777777" w:rsidR="00BD3D35" w:rsidRDefault="00BD3D35" w:rsidP="00BD3D35">
      <w:pPr>
        <w:pStyle w:val="ListBullet2"/>
        <w:numPr>
          <w:ilvl w:val="1"/>
          <w:numId w:val="1"/>
        </w:numPr>
        <w:rPr>
          <w:i/>
          <w:iCs/>
        </w:rPr>
      </w:pPr>
      <w:r>
        <w:rPr>
          <w:i/>
          <w:iCs/>
        </w:rPr>
        <w:t>Task/activity level – GEDSI analysis, considerations during scoping/tasking process</w:t>
      </w:r>
    </w:p>
    <w:p w14:paraId="0590A615" w14:textId="77777777" w:rsidR="00BD3D35" w:rsidRPr="008245CC" w:rsidRDefault="00BD3D35" w:rsidP="00BD3D35">
      <w:pPr>
        <w:pStyle w:val="ListBullet2"/>
        <w:numPr>
          <w:ilvl w:val="1"/>
          <w:numId w:val="1"/>
        </w:numPr>
        <w:rPr>
          <w:i/>
          <w:iCs/>
        </w:rPr>
      </w:pPr>
      <w:r>
        <w:rPr>
          <w:i/>
          <w:iCs/>
        </w:rPr>
        <w:t>Program-level – GEDSI strategy, management outcomes [if aware]</w:t>
      </w:r>
    </w:p>
    <w:p w14:paraId="19401DAB" w14:textId="77777777" w:rsidR="00BD3D35" w:rsidRPr="008245CC" w:rsidRDefault="00BD3D35" w:rsidP="00BD3D35">
      <w:pPr>
        <w:pStyle w:val="ListBullet2"/>
        <w:rPr>
          <w:i/>
          <w:iCs/>
        </w:rPr>
      </w:pPr>
    </w:p>
    <w:p w14:paraId="4BBED8C6" w14:textId="77777777" w:rsidR="00BD3D35" w:rsidRDefault="00BD3D35" w:rsidP="00BD3D35">
      <w:pPr>
        <w:pStyle w:val="ListBullet"/>
        <w:numPr>
          <w:ilvl w:val="0"/>
          <w:numId w:val="1"/>
        </w:numPr>
      </w:pPr>
      <w:r>
        <w:t>What changes do you think could be considered in the design of PRES 2 to promote GEDSI?</w:t>
      </w:r>
    </w:p>
    <w:p w14:paraId="738F11D9" w14:textId="77777777" w:rsidR="00BD3D35" w:rsidRPr="008A4A81" w:rsidRDefault="00BD3D35" w:rsidP="00BD3D35">
      <w:pPr>
        <w:pStyle w:val="ListBullet"/>
        <w:numPr>
          <w:ilvl w:val="0"/>
          <w:numId w:val="0"/>
        </w:numPr>
        <w:ind w:left="360"/>
        <w:rPr>
          <w:i/>
          <w:iCs/>
        </w:rPr>
      </w:pPr>
      <w:r w:rsidRPr="008A4A81">
        <w:rPr>
          <w:i/>
          <w:iCs/>
        </w:rPr>
        <w:t xml:space="preserve">Prompts – changes to logic, </w:t>
      </w:r>
      <w:r>
        <w:rPr>
          <w:i/>
          <w:iCs/>
        </w:rPr>
        <w:t>delivery approach</w:t>
      </w:r>
      <w:r w:rsidRPr="008A4A81">
        <w:rPr>
          <w:i/>
          <w:iCs/>
        </w:rPr>
        <w:t xml:space="preserve">, </w:t>
      </w:r>
      <w:r>
        <w:rPr>
          <w:i/>
          <w:iCs/>
        </w:rPr>
        <w:t>management arrangements, budget, etc.</w:t>
      </w:r>
      <w:r w:rsidRPr="008A4A81">
        <w:rPr>
          <w:i/>
          <w:iCs/>
        </w:rPr>
        <w:t xml:space="preserve"> </w:t>
      </w:r>
    </w:p>
    <w:p w14:paraId="52AC9D94" w14:textId="77777777" w:rsidR="00BD3D35" w:rsidRPr="00EE0CC4" w:rsidRDefault="00BD3D35" w:rsidP="00BD3D35">
      <w:pPr>
        <w:rPr>
          <w:u w:val="single"/>
        </w:rPr>
      </w:pPr>
      <w:r>
        <w:rPr>
          <w:u w:val="single"/>
        </w:rPr>
        <w:t>MEL</w:t>
      </w:r>
    </w:p>
    <w:p w14:paraId="43261866" w14:textId="77777777" w:rsidR="00BD3D35" w:rsidRPr="00C47F19" w:rsidRDefault="00BD3D35" w:rsidP="00BD3D35">
      <w:pPr>
        <w:pStyle w:val="ListBullet"/>
        <w:numPr>
          <w:ilvl w:val="0"/>
          <w:numId w:val="1"/>
        </w:numPr>
        <w:rPr>
          <w:i/>
          <w:iCs/>
        </w:rPr>
      </w:pPr>
      <w:r>
        <w:t xml:space="preserve">How well did the MEL system inform reporting and improvement on the PRES-funded activities you were involved in? </w:t>
      </w:r>
    </w:p>
    <w:p w14:paraId="2782CE88" w14:textId="77777777" w:rsidR="00BD3D35" w:rsidRDefault="00BD3D35" w:rsidP="00BD3D35">
      <w:pPr>
        <w:pStyle w:val="ListBullet"/>
        <w:numPr>
          <w:ilvl w:val="0"/>
          <w:numId w:val="1"/>
        </w:numPr>
      </w:pPr>
      <w:r>
        <w:t>What MEL-related changes do you think could be considered in the design of PRES 2?</w:t>
      </w:r>
    </w:p>
    <w:p w14:paraId="603A0A33" w14:textId="77777777" w:rsidR="00BD3D35" w:rsidRDefault="00BD3D35" w:rsidP="00DE2ADD">
      <w:pPr>
        <w:pStyle w:val="Heading3nonumber"/>
      </w:pPr>
      <w:r>
        <w:t>Interview Records</w:t>
      </w:r>
    </w:p>
    <w:p w14:paraId="2DA63BB7" w14:textId="77777777" w:rsidR="00BD3D35" w:rsidRPr="00CB5CBC" w:rsidRDefault="00BD3D35" w:rsidP="00BD3D35">
      <w:pPr>
        <w:pStyle w:val="Heading3nonumber"/>
      </w:pPr>
      <w:r w:rsidRPr="00CB5CBC">
        <w:t>Interview</w:t>
      </w:r>
    </w:p>
    <w:p w14:paraId="5D4DB89D" w14:textId="77777777" w:rsidR="00BD3D35" w:rsidRDefault="00BD3D35" w:rsidP="00BD3D35">
      <w:pPr>
        <w:pStyle w:val="ListBullet"/>
        <w:numPr>
          <w:ilvl w:val="0"/>
          <w:numId w:val="0"/>
        </w:numPr>
        <w:ind w:left="360" w:hanging="360"/>
      </w:pPr>
      <w:r w:rsidRPr="0096710C">
        <w:rPr>
          <w:b/>
          <w:bCs/>
        </w:rPr>
        <w:t>Interviewer</w:t>
      </w:r>
      <w:r>
        <w:t>:</w:t>
      </w:r>
    </w:p>
    <w:p w14:paraId="09B056C6" w14:textId="77777777" w:rsidR="00BD3D35" w:rsidRDefault="00BD3D35" w:rsidP="00BD3D35">
      <w:pPr>
        <w:pStyle w:val="ListBullet"/>
        <w:numPr>
          <w:ilvl w:val="0"/>
          <w:numId w:val="0"/>
        </w:numPr>
        <w:ind w:left="360" w:hanging="360"/>
      </w:pPr>
      <w:r w:rsidRPr="0096710C">
        <w:rPr>
          <w:b/>
          <w:bCs/>
        </w:rPr>
        <w:t>Interviewee</w:t>
      </w:r>
      <w:r>
        <w:t>:</w:t>
      </w:r>
    </w:p>
    <w:p w14:paraId="4CFDA772" w14:textId="77777777" w:rsidR="00BD3D35" w:rsidRDefault="00BD3D35" w:rsidP="00BD3D35">
      <w:pPr>
        <w:pStyle w:val="ListBullet"/>
        <w:numPr>
          <w:ilvl w:val="0"/>
          <w:numId w:val="0"/>
        </w:numPr>
        <w:ind w:left="360" w:hanging="360"/>
      </w:pPr>
      <w:r w:rsidRPr="0096710C">
        <w:rPr>
          <w:b/>
          <w:bCs/>
        </w:rPr>
        <w:t>Date</w:t>
      </w:r>
      <w:r>
        <w:t>:</w:t>
      </w:r>
    </w:p>
    <w:p w14:paraId="3A0D9F20" w14:textId="77777777" w:rsidR="00BD3D35" w:rsidRDefault="00BD3D35" w:rsidP="00BD3D35">
      <w:pPr>
        <w:pStyle w:val="Heading3nonumber"/>
      </w:pPr>
      <w:r w:rsidRPr="00CB5CBC">
        <w:t xml:space="preserve">Notes </w:t>
      </w:r>
    </w:p>
    <w:p w14:paraId="379E58E1" w14:textId="77777777" w:rsidR="00BD3D35" w:rsidRDefault="00BD3D35" w:rsidP="00BD3D35">
      <w:pPr>
        <w:pStyle w:val="Heading4nonumber"/>
      </w:pPr>
      <w:r w:rsidRPr="00CB5CBC">
        <w:t>[</w:t>
      </w:r>
      <w:r>
        <w:t xml:space="preserve">Provide </w:t>
      </w:r>
      <w:r w:rsidRPr="00CB5CBC">
        <w:t>interviewer comments in parentheses]:</w:t>
      </w:r>
    </w:p>
    <w:p w14:paraId="50C489CD" w14:textId="77777777" w:rsidR="00BD3D35" w:rsidRPr="00CB5CBC" w:rsidRDefault="00BD3D35" w:rsidP="00BD3D35">
      <w:pPr>
        <w:pStyle w:val="ListBullet"/>
        <w:numPr>
          <w:ilvl w:val="0"/>
          <w:numId w:val="1"/>
        </w:numPr>
      </w:pPr>
    </w:p>
    <w:p w14:paraId="1EE7640D" w14:textId="77777777" w:rsidR="00BD3D35" w:rsidRPr="00CB5CBC" w:rsidRDefault="00BD3D35" w:rsidP="00BD3D35">
      <w:pPr>
        <w:pStyle w:val="Heading3nonumber"/>
      </w:pPr>
      <w:r w:rsidRPr="00CB5CBC">
        <w:t>Follow up actions (if any):</w:t>
      </w:r>
    </w:p>
    <w:p w14:paraId="2DF613C0" w14:textId="77777777" w:rsidR="00BD3D35" w:rsidRPr="001854A7" w:rsidRDefault="00BD3D35" w:rsidP="00BD3D35">
      <w:pPr>
        <w:pStyle w:val="ListBullet"/>
        <w:numPr>
          <w:ilvl w:val="0"/>
          <w:numId w:val="1"/>
        </w:numPr>
      </w:pPr>
    </w:p>
    <w:p w14:paraId="54607C19" w14:textId="01AE665F" w:rsidR="00BD3D35" w:rsidRDefault="00BD3D35" w:rsidP="00BD3D35">
      <w:pPr>
        <w:pStyle w:val="Heading1"/>
        <w:numPr>
          <w:ilvl w:val="0"/>
          <w:numId w:val="0"/>
        </w:numPr>
      </w:pPr>
      <w:bookmarkStart w:id="135" w:name="_Toc195808998"/>
      <w:bookmarkStart w:id="136" w:name="_Toc205992473"/>
      <w:bookmarkStart w:id="137" w:name="_Toc205992560"/>
      <w:r>
        <w:lastRenderedPageBreak/>
        <w:t xml:space="preserve">Appendix </w:t>
      </w:r>
      <w:r w:rsidR="007A6121">
        <w:t>A</w:t>
      </w:r>
      <w:r>
        <w:t>3: Data sources</w:t>
      </w:r>
      <w:bookmarkEnd w:id="135"/>
      <w:bookmarkEnd w:id="136"/>
      <w:bookmarkEnd w:id="137"/>
    </w:p>
    <w:p w14:paraId="1485B2A3" w14:textId="22DD346F" w:rsidR="00BD3D35" w:rsidRPr="00510FDA" w:rsidRDefault="00BD3D35" w:rsidP="00BD3D35">
      <w:r>
        <w:t xml:space="preserve">Below is an indicative list of interviewees and documents that will be the focus of data collection. This list will be updated throughout the evaluation and design process, particularly in February </w:t>
      </w:r>
      <w:r w:rsidR="00AC024F">
        <w:t xml:space="preserve">2025 </w:t>
      </w:r>
      <w:r>
        <w:t>when the design plan is elaborated in more detail.</w:t>
      </w:r>
    </w:p>
    <w:p w14:paraId="6822CBBD" w14:textId="77777777" w:rsidR="00BD3D35" w:rsidRDefault="00BD3D35" w:rsidP="00DE2ADD">
      <w:pPr>
        <w:pStyle w:val="Heading3nonumber"/>
      </w:pPr>
      <w:bookmarkStart w:id="138" w:name="_Toc185236846"/>
      <w:bookmarkStart w:id="139" w:name="_Toc185436132"/>
      <w:bookmarkStart w:id="140" w:name="_Toc188284694"/>
      <w:bookmarkStart w:id="141" w:name="_Toc195808999"/>
      <w:r>
        <w:t>Interviewees</w:t>
      </w:r>
      <w:bookmarkEnd w:id="138"/>
      <w:bookmarkEnd w:id="139"/>
      <w:bookmarkEnd w:id="140"/>
      <w:bookmarkEnd w:id="141"/>
    </w:p>
    <w:p w14:paraId="7099101E" w14:textId="7CA48BFB" w:rsidR="00EA37AE" w:rsidRPr="00EE4AC1" w:rsidRDefault="00EA37AE" w:rsidP="00EA37AE">
      <w:pPr>
        <w:rPr>
          <w:b/>
          <w:bCs/>
          <w:sz w:val="16"/>
          <w:szCs w:val="16"/>
        </w:rPr>
      </w:pPr>
      <w:r w:rsidRPr="00EE4AC1">
        <w:rPr>
          <w:b/>
          <w:bCs/>
          <w:sz w:val="16"/>
          <w:szCs w:val="16"/>
        </w:rPr>
        <w:t xml:space="preserve">PRES Core Team </w:t>
      </w:r>
    </w:p>
    <w:tbl>
      <w:tblPr>
        <w:tblStyle w:val="TableGrid"/>
        <w:tblW w:w="0" w:type="auto"/>
        <w:tblLook w:val="04A0" w:firstRow="1" w:lastRow="0" w:firstColumn="1" w:lastColumn="0" w:noHBand="0" w:noVBand="1"/>
      </w:tblPr>
      <w:tblGrid>
        <w:gridCol w:w="4536"/>
        <w:gridCol w:w="2977"/>
        <w:gridCol w:w="2239"/>
      </w:tblGrid>
      <w:tr w:rsidR="00EA37AE" w14:paraId="5D46234C" w14:textId="77777777" w:rsidTr="00AA13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65F5FCC8" w14:textId="502FDC13" w:rsidR="00EA37AE" w:rsidRPr="00EA37AE" w:rsidRDefault="00EA37AE" w:rsidP="00EA37AE">
            <w:r w:rsidRPr="00EA37AE">
              <w:rPr>
                <w:sz w:val="16"/>
                <w:szCs w:val="16"/>
              </w:rPr>
              <w:t>Team/Position</w:t>
            </w:r>
          </w:p>
        </w:tc>
        <w:tc>
          <w:tcPr>
            <w:tcW w:w="2977" w:type="dxa"/>
          </w:tcPr>
          <w:p w14:paraId="28EF69A9" w14:textId="571AA08A" w:rsidR="00EA37AE" w:rsidRDefault="00EA37AE" w:rsidP="00EA37AE">
            <w:pPr>
              <w:cnfStyle w:val="100000000000" w:firstRow="1" w:lastRow="0" w:firstColumn="0" w:lastColumn="0" w:oddVBand="0" w:evenVBand="0" w:oddHBand="0" w:evenHBand="0" w:firstRowFirstColumn="0" w:firstRowLastColumn="0" w:lastRowFirstColumn="0" w:lastRowLastColumn="0"/>
            </w:pPr>
            <w:r>
              <w:rPr>
                <w:sz w:val="16"/>
                <w:szCs w:val="16"/>
              </w:rPr>
              <w:t>Name</w:t>
            </w:r>
          </w:p>
        </w:tc>
        <w:tc>
          <w:tcPr>
            <w:tcW w:w="2239" w:type="dxa"/>
          </w:tcPr>
          <w:p w14:paraId="03B54C8B" w14:textId="338DAD98" w:rsidR="00EA37AE" w:rsidRDefault="00EA37AE" w:rsidP="00EA37AE">
            <w:pPr>
              <w:cnfStyle w:val="100000000000" w:firstRow="1" w:lastRow="0" w:firstColumn="0" w:lastColumn="0" w:oddVBand="0" w:evenVBand="0" w:oddHBand="0" w:evenHBand="0" w:firstRowFirstColumn="0" w:firstRowLastColumn="0" w:lastRowFirstColumn="0" w:lastRowLastColumn="0"/>
            </w:pPr>
            <w:r>
              <w:rPr>
                <w:sz w:val="16"/>
                <w:szCs w:val="16"/>
              </w:rPr>
              <w:t>Interview type</w:t>
            </w:r>
          </w:p>
        </w:tc>
      </w:tr>
      <w:tr w:rsidR="00EA37AE" w14:paraId="170949AA" w14:textId="77777777" w:rsidTr="00AA1394">
        <w:tc>
          <w:tcPr>
            <w:cnfStyle w:val="001000000000" w:firstRow="0" w:lastRow="0" w:firstColumn="1" w:lastColumn="0" w:oddVBand="0" w:evenVBand="0" w:oddHBand="0" w:evenHBand="0" w:firstRowFirstColumn="0" w:firstRowLastColumn="0" w:lastRowFirstColumn="0" w:lastRowLastColumn="0"/>
            <w:tcW w:w="4536" w:type="dxa"/>
          </w:tcPr>
          <w:p w14:paraId="66C4FA4A" w14:textId="5A37BD4B" w:rsidR="00EA37AE" w:rsidRPr="00EA37AE" w:rsidRDefault="00EA37AE" w:rsidP="00EA37AE">
            <w:pPr>
              <w:rPr>
                <w:b w:val="0"/>
                <w:bCs/>
              </w:rPr>
            </w:pPr>
            <w:r w:rsidRPr="00EA37AE">
              <w:rPr>
                <w:b w:val="0"/>
                <w:bCs/>
                <w:sz w:val="16"/>
                <w:szCs w:val="16"/>
              </w:rPr>
              <w:t>Director Asia Pacific, Adam Smith International</w:t>
            </w:r>
          </w:p>
        </w:tc>
        <w:tc>
          <w:tcPr>
            <w:tcW w:w="2977" w:type="dxa"/>
          </w:tcPr>
          <w:p w14:paraId="2DC2E75D" w14:textId="2765D7D7" w:rsidR="00EA37AE" w:rsidRDefault="00EA37AE" w:rsidP="00EA37AE">
            <w:pPr>
              <w:cnfStyle w:val="000000000000" w:firstRow="0" w:lastRow="0" w:firstColumn="0" w:lastColumn="0" w:oddVBand="0" w:evenVBand="0" w:oddHBand="0" w:evenHBand="0" w:firstRowFirstColumn="0" w:firstRowLastColumn="0" w:lastRowFirstColumn="0" w:lastRowLastColumn="0"/>
            </w:pPr>
            <w:r w:rsidRPr="00C8127C">
              <w:rPr>
                <w:sz w:val="16"/>
                <w:szCs w:val="16"/>
              </w:rPr>
              <w:t xml:space="preserve">Warren Turner </w:t>
            </w:r>
          </w:p>
        </w:tc>
        <w:tc>
          <w:tcPr>
            <w:tcW w:w="2239" w:type="dxa"/>
          </w:tcPr>
          <w:p w14:paraId="2932A5A4" w14:textId="09162BAD" w:rsidR="00EA37AE" w:rsidRDefault="00EA37AE" w:rsidP="00EA37AE">
            <w:pPr>
              <w:cnfStyle w:val="000000000000" w:firstRow="0" w:lastRow="0" w:firstColumn="0" w:lastColumn="0" w:oddVBand="0" w:evenVBand="0" w:oddHBand="0" w:evenHBand="0" w:firstRowFirstColumn="0" w:firstRowLastColumn="0" w:lastRowFirstColumn="0" w:lastRowLastColumn="0"/>
            </w:pPr>
            <w:r>
              <w:rPr>
                <w:sz w:val="16"/>
                <w:szCs w:val="16"/>
              </w:rPr>
              <w:t>Individual</w:t>
            </w:r>
          </w:p>
        </w:tc>
      </w:tr>
      <w:tr w:rsidR="00EA37AE" w14:paraId="12CE67D8" w14:textId="77777777" w:rsidTr="00AA1394">
        <w:tc>
          <w:tcPr>
            <w:cnfStyle w:val="001000000000" w:firstRow="0" w:lastRow="0" w:firstColumn="1" w:lastColumn="0" w:oddVBand="0" w:evenVBand="0" w:oddHBand="0" w:evenHBand="0" w:firstRowFirstColumn="0" w:firstRowLastColumn="0" w:lastRowFirstColumn="0" w:lastRowLastColumn="0"/>
            <w:tcW w:w="4536" w:type="dxa"/>
          </w:tcPr>
          <w:p w14:paraId="5A5BC45D" w14:textId="329633C9" w:rsidR="00EA37AE" w:rsidRPr="00EA37AE" w:rsidRDefault="00EA37AE" w:rsidP="00EA37AE">
            <w:pPr>
              <w:rPr>
                <w:b w:val="0"/>
                <w:bCs/>
              </w:rPr>
            </w:pPr>
            <w:r w:rsidRPr="00EA37AE">
              <w:rPr>
                <w:b w:val="0"/>
                <w:bCs/>
                <w:sz w:val="16"/>
                <w:szCs w:val="16"/>
              </w:rPr>
              <w:t>Former Program Director, PRES</w:t>
            </w:r>
          </w:p>
        </w:tc>
        <w:tc>
          <w:tcPr>
            <w:tcW w:w="2977" w:type="dxa"/>
          </w:tcPr>
          <w:p w14:paraId="0D891A2D" w14:textId="474D78BE" w:rsidR="00EA37AE" w:rsidRDefault="00EA37AE" w:rsidP="00EA37AE">
            <w:pPr>
              <w:cnfStyle w:val="000000000000" w:firstRow="0" w:lastRow="0" w:firstColumn="0" w:lastColumn="0" w:oddVBand="0" w:evenVBand="0" w:oddHBand="0" w:evenHBand="0" w:firstRowFirstColumn="0" w:firstRowLastColumn="0" w:lastRowFirstColumn="0" w:lastRowLastColumn="0"/>
            </w:pPr>
            <w:r w:rsidRPr="00C8127C">
              <w:rPr>
                <w:sz w:val="16"/>
                <w:szCs w:val="16"/>
              </w:rPr>
              <w:t xml:space="preserve">Nicholas Poletti </w:t>
            </w:r>
          </w:p>
        </w:tc>
        <w:tc>
          <w:tcPr>
            <w:tcW w:w="2239" w:type="dxa"/>
          </w:tcPr>
          <w:p w14:paraId="5FBDE386" w14:textId="021DD8E2" w:rsidR="00EA37AE" w:rsidRDefault="00EA37AE" w:rsidP="00EA37AE">
            <w:pPr>
              <w:cnfStyle w:val="000000000000" w:firstRow="0" w:lastRow="0" w:firstColumn="0" w:lastColumn="0" w:oddVBand="0" w:evenVBand="0" w:oddHBand="0" w:evenHBand="0" w:firstRowFirstColumn="0" w:firstRowLastColumn="0" w:lastRowFirstColumn="0" w:lastRowLastColumn="0"/>
            </w:pPr>
            <w:r>
              <w:rPr>
                <w:sz w:val="16"/>
                <w:szCs w:val="16"/>
              </w:rPr>
              <w:t>Individual</w:t>
            </w:r>
          </w:p>
        </w:tc>
      </w:tr>
      <w:tr w:rsidR="00EA37AE" w14:paraId="298ECD46" w14:textId="77777777" w:rsidTr="00AA1394">
        <w:tc>
          <w:tcPr>
            <w:cnfStyle w:val="001000000000" w:firstRow="0" w:lastRow="0" w:firstColumn="1" w:lastColumn="0" w:oddVBand="0" w:evenVBand="0" w:oddHBand="0" w:evenHBand="0" w:firstRowFirstColumn="0" w:firstRowLastColumn="0" w:lastRowFirstColumn="0" w:lastRowLastColumn="0"/>
            <w:tcW w:w="4536" w:type="dxa"/>
          </w:tcPr>
          <w:p w14:paraId="330887DD" w14:textId="6665BE35" w:rsidR="00EA37AE" w:rsidRPr="00EA37AE" w:rsidRDefault="00EA37AE" w:rsidP="00EA37AE">
            <w:pPr>
              <w:rPr>
                <w:b w:val="0"/>
                <w:bCs/>
                <w:sz w:val="16"/>
                <w:szCs w:val="16"/>
              </w:rPr>
            </w:pPr>
            <w:r w:rsidRPr="00EA37AE">
              <w:rPr>
                <w:b w:val="0"/>
                <w:bCs/>
                <w:sz w:val="16"/>
                <w:szCs w:val="16"/>
              </w:rPr>
              <w:t>PRES Team Leader</w:t>
            </w:r>
          </w:p>
        </w:tc>
        <w:tc>
          <w:tcPr>
            <w:tcW w:w="2977" w:type="dxa"/>
          </w:tcPr>
          <w:p w14:paraId="6950F27D" w14:textId="683EF7E7" w:rsidR="00EA37AE" w:rsidRPr="00C8127C" w:rsidRDefault="00EA37AE" w:rsidP="00EA37AE">
            <w:pPr>
              <w:cnfStyle w:val="000000000000" w:firstRow="0" w:lastRow="0" w:firstColumn="0" w:lastColumn="0" w:oddVBand="0" w:evenVBand="0" w:oddHBand="0" w:evenHBand="0" w:firstRowFirstColumn="0" w:firstRowLastColumn="0" w:lastRowFirstColumn="0" w:lastRowLastColumn="0"/>
              <w:rPr>
                <w:sz w:val="16"/>
                <w:szCs w:val="16"/>
              </w:rPr>
            </w:pPr>
            <w:r w:rsidRPr="00C8127C">
              <w:rPr>
                <w:sz w:val="16"/>
                <w:szCs w:val="16"/>
              </w:rPr>
              <w:t xml:space="preserve">Natalie Cooke </w:t>
            </w:r>
          </w:p>
        </w:tc>
        <w:tc>
          <w:tcPr>
            <w:tcW w:w="2239" w:type="dxa"/>
          </w:tcPr>
          <w:p w14:paraId="61739101" w14:textId="52B95466" w:rsidR="00EA37AE" w:rsidRDefault="00EA37AE" w:rsidP="00EA37AE">
            <w:pPr>
              <w:cnfStyle w:val="000000000000" w:firstRow="0" w:lastRow="0" w:firstColumn="0" w:lastColumn="0" w:oddVBand="0" w:evenVBand="0" w:oddHBand="0" w:evenHBand="0" w:firstRowFirstColumn="0" w:firstRowLastColumn="0" w:lastRowFirstColumn="0" w:lastRowLastColumn="0"/>
              <w:rPr>
                <w:sz w:val="16"/>
                <w:szCs w:val="16"/>
              </w:rPr>
            </w:pPr>
            <w:r w:rsidRPr="00C8127C">
              <w:rPr>
                <w:sz w:val="16"/>
                <w:szCs w:val="16"/>
              </w:rPr>
              <w:t>Group</w:t>
            </w:r>
          </w:p>
        </w:tc>
      </w:tr>
      <w:tr w:rsidR="00EA37AE" w14:paraId="63497FCB" w14:textId="77777777" w:rsidTr="00AA1394">
        <w:tc>
          <w:tcPr>
            <w:cnfStyle w:val="001000000000" w:firstRow="0" w:lastRow="0" w:firstColumn="1" w:lastColumn="0" w:oddVBand="0" w:evenVBand="0" w:oddHBand="0" w:evenHBand="0" w:firstRowFirstColumn="0" w:firstRowLastColumn="0" w:lastRowFirstColumn="0" w:lastRowLastColumn="0"/>
            <w:tcW w:w="4536" w:type="dxa"/>
          </w:tcPr>
          <w:p w14:paraId="364C89C3" w14:textId="15B86BA9" w:rsidR="00EA37AE" w:rsidRPr="00EA37AE" w:rsidRDefault="00EA37AE" w:rsidP="00EA37AE">
            <w:pPr>
              <w:rPr>
                <w:b w:val="0"/>
                <w:bCs/>
                <w:sz w:val="16"/>
                <w:szCs w:val="16"/>
              </w:rPr>
            </w:pPr>
            <w:r w:rsidRPr="00EA37AE">
              <w:rPr>
                <w:b w:val="0"/>
                <w:bCs/>
                <w:sz w:val="16"/>
                <w:szCs w:val="16"/>
              </w:rPr>
              <w:t>Deputy Team Leader</w:t>
            </w:r>
          </w:p>
        </w:tc>
        <w:tc>
          <w:tcPr>
            <w:tcW w:w="2977" w:type="dxa"/>
          </w:tcPr>
          <w:p w14:paraId="314DC399" w14:textId="5F06EEDC" w:rsidR="00EA37AE" w:rsidRPr="00C8127C" w:rsidRDefault="00EA37AE" w:rsidP="00EA37AE">
            <w:pPr>
              <w:cnfStyle w:val="000000000000" w:firstRow="0" w:lastRow="0" w:firstColumn="0" w:lastColumn="0" w:oddVBand="0" w:evenVBand="0" w:oddHBand="0" w:evenHBand="0" w:firstRowFirstColumn="0" w:firstRowLastColumn="0" w:lastRowFirstColumn="0" w:lastRowLastColumn="0"/>
              <w:rPr>
                <w:sz w:val="16"/>
                <w:szCs w:val="16"/>
              </w:rPr>
            </w:pPr>
            <w:r w:rsidRPr="00C8127C">
              <w:rPr>
                <w:sz w:val="16"/>
                <w:szCs w:val="16"/>
              </w:rPr>
              <w:t xml:space="preserve">Danielle Rossi </w:t>
            </w:r>
          </w:p>
        </w:tc>
        <w:tc>
          <w:tcPr>
            <w:tcW w:w="2239" w:type="dxa"/>
          </w:tcPr>
          <w:p w14:paraId="0F55A28C" w14:textId="28065E2B" w:rsidR="00EA37AE" w:rsidRPr="00C8127C" w:rsidRDefault="00EA37AE" w:rsidP="00EA37AE">
            <w:pPr>
              <w:cnfStyle w:val="000000000000" w:firstRow="0" w:lastRow="0" w:firstColumn="0" w:lastColumn="0" w:oddVBand="0" w:evenVBand="0" w:oddHBand="0" w:evenHBand="0" w:firstRowFirstColumn="0" w:firstRowLastColumn="0" w:lastRowFirstColumn="0" w:lastRowLastColumn="0"/>
              <w:rPr>
                <w:sz w:val="16"/>
                <w:szCs w:val="16"/>
              </w:rPr>
            </w:pPr>
            <w:r w:rsidRPr="00C8127C">
              <w:rPr>
                <w:sz w:val="16"/>
                <w:szCs w:val="16"/>
              </w:rPr>
              <w:t>Group</w:t>
            </w:r>
          </w:p>
        </w:tc>
      </w:tr>
      <w:tr w:rsidR="00EA37AE" w14:paraId="5A683569" w14:textId="77777777" w:rsidTr="00AA1394">
        <w:tc>
          <w:tcPr>
            <w:cnfStyle w:val="001000000000" w:firstRow="0" w:lastRow="0" w:firstColumn="1" w:lastColumn="0" w:oddVBand="0" w:evenVBand="0" w:oddHBand="0" w:evenHBand="0" w:firstRowFirstColumn="0" w:firstRowLastColumn="0" w:lastRowFirstColumn="0" w:lastRowLastColumn="0"/>
            <w:tcW w:w="4536" w:type="dxa"/>
          </w:tcPr>
          <w:p w14:paraId="340FE53A" w14:textId="6AD5D39C" w:rsidR="00EA37AE" w:rsidRPr="00EA37AE" w:rsidRDefault="00EA37AE" w:rsidP="00EA37AE">
            <w:pPr>
              <w:rPr>
                <w:b w:val="0"/>
                <w:bCs/>
                <w:sz w:val="16"/>
                <w:szCs w:val="16"/>
              </w:rPr>
            </w:pPr>
            <w:r w:rsidRPr="00EA37AE">
              <w:rPr>
                <w:b w:val="0"/>
                <w:bCs/>
                <w:sz w:val="16"/>
                <w:szCs w:val="16"/>
              </w:rPr>
              <w:t xml:space="preserve">Operations Manager </w:t>
            </w:r>
          </w:p>
        </w:tc>
        <w:tc>
          <w:tcPr>
            <w:tcW w:w="2977" w:type="dxa"/>
          </w:tcPr>
          <w:p w14:paraId="60D9BD8E" w14:textId="2823F90A" w:rsidR="00EA37AE" w:rsidRPr="00C8127C" w:rsidRDefault="00EA37AE" w:rsidP="00EA37AE">
            <w:pPr>
              <w:cnfStyle w:val="000000000000" w:firstRow="0" w:lastRow="0" w:firstColumn="0" w:lastColumn="0" w:oddVBand="0" w:evenVBand="0" w:oddHBand="0" w:evenHBand="0" w:firstRowFirstColumn="0" w:firstRowLastColumn="0" w:lastRowFirstColumn="0" w:lastRowLastColumn="0"/>
              <w:rPr>
                <w:sz w:val="16"/>
                <w:szCs w:val="16"/>
              </w:rPr>
            </w:pPr>
            <w:r w:rsidRPr="00C8127C">
              <w:rPr>
                <w:sz w:val="16"/>
                <w:szCs w:val="16"/>
              </w:rPr>
              <w:t xml:space="preserve">Angus Paterson </w:t>
            </w:r>
          </w:p>
        </w:tc>
        <w:tc>
          <w:tcPr>
            <w:tcW w:w="2239" w:type="dxa"/>
          </w:tcPr>
          <w:p w14:paraId="1C49E879" w14:textId="0715C7BB" w:rsidR="00EA37AE" w:rsidRPr="00C8127C" w:rsidRDefault="00EA37AE" w:rsidP="00EA37AE">
            <w:pPr>
              <w:cnfStyle w:val="000000000000" w:firstRow="0" w:lastRow="0" w:firstColumn="0" w:lastColumn="0" w:oddVBand="0" w:evenVBand="0" w:oddHBand="0" w:evenHBand="0" w:firstRowFirstColumn="0" w:firstRowLastColumn="0" w:lastRowFirstColumn="0" w:lastRowLastColumn="0"/>
              <w:rPr>
                <w:sz w:val="16"/>
                <w:szCs w:val="16"/>
              </w:rPr>
            </w:pPr>
            <w:r w:rsidRPr="00C8127C">
              <w:rPr>
                <w:sz w:val="16"/>
                <w:szCs w:val="16"/>
              </w:rPr>
              <w:t>Group</w:t>
            </w:r>
          </w:p>
        </w:tc>
      </w:tr>
      <w:tr w:rsidR="00EA37AE" w14:paraId="636EA940" w14:textId="77777777" w:rsidTr="00AA1394">
        <w:tc>
          <w:tcPr>
            <w:cnfStyle w:val="001000000000" w:firstRow="0" w:lastRow="0" w:firstColumn="1" w:lastColumn="0" w:oddVBand="0" w:evenVBand="0" w:oddHBand="0" w:evenHBand="0" w:firstRowFirstColumn="0" w:firstRowLastColumn="0" w:lastRowFirstColumn="0" w:lastRowLastColumn="0"/>
            <w:tcW w:w="4536" w:type="dxa"/>
          </w:tcPr>
          <w:p w14:paraId="3E48D746" w14:textId="275FECB8" w:rsidR="00EA37AE" w:rsidRPr="00EA37AE" w:rsidRDefault="00EA37AE" w:rsidP="00EA37AE">
            <w:pPr>
              <w:rPr>
                <w:b w:val="0"/>
                <w:bCs/>
                <w:sz w:val="16"/>
                <w:szCs w:val="16"/>
              </w:rPr>
            </w:pPr>
            <w:r w:rsidRPr="00EA37AE">
              <w:rPr>
                <w:b w:val="0"/>
                <w:bCs/>
                <w:sz w:val="16"/>
                <w:szCs w:val="16"/>
              </w:rPr>
              <w:t xml:space="preserve">PRES GEDSI Advisor </w:t>
            </w:r>
          </w:p>
        </w:tc>
        <w:tc>
          <w:tcPr>
            <w:tcW w:w="2977" w:type="dxa"/>
          </w:tcPr>
          <w:p w14:paraId="0B777173" w14:textId="2609295C" w:rsidR="00EA37AE" w:rsidRPr="00C8127C" w:rsidRDefault="00EA37AE" w:rsidP="00EA37AE">
            <w:pPr>
              <w:cnfStyle w:val="000000000000" w:firstRow="0" w:lastRow="0" w:firstColumn="0" w:lastColumn="0" w:oddVBand="0" w:evenVBand="0" w:oddHBand="0" w:evenHBand="0" w:firstRowFirstColumn="0" w:firstRowLastColumn="0" w:lastRowFirstColumn="0" w:lastRowLastColumn="0"/>
              <w:rPr>
                <w:sz w:val="16"/>
                <w:szCs w:val="16"/>
              </w:rPr>
            </w:pPr>
            <w:r w:rsidRPr="00C8127C">
              <w:rPr>
                <w:sz w:val="16"/>
                <w:szCs w:val="16"/>
              </w:rPr>
              <w:t xml:space="preserve">Abby McLeod </w:t>
            </w:r>
          </w:p>
        </w:tc>
        <w:tc>
          <w:tcPr>
            <w:tcW w:w="2239" w:type="dxa"/>
          </w:tcPr>
          <w:p w14:paraId="0047F42A" w14:textId="48847215" w:rsidR="00EA37AE" w:rsidRPr="00C8127C" w:rsidRDefault="00EA37AE" w:rsidP="00EA37AE">
            <w:pPr>
              <w:cnfStyle w:val="000000000000" w:firstRow="0" w:lastRow="0" w:firstColumn="0" w:lastColumn="0" w:oddVBand="0" w:evenVBand="0" w:oddHBand="0" w:evenHBand="0" w:firstRowFirstColumn="0" w:firstRowLastColumn="0" w:lastRowFirstColumn="0" w:lastRowLastColumn="0"/>
              <w:rPr>
                <w:sz w:val="16"/>
                <w:szCs w:val="16"/>
              </w:rPr>
            </w:pPr>
            <w:r w:rsidRPr="002D575B">
              <w:rPr>
                <w:sz w:val="16"/>
                <w:szCs w:val="16"/>
              </w:rPr>
              <w:t>Individual</w:t>
            </w:r>
          </w:p>
        </w:tc>
      </w:tr>
      <w:tr w:rsidR="00EA37AE" w14:paraId="3385606D" w14:textId="77777777" w:rsidTr="00AA1394">
        <w:tc>
          <w:tcPr>
            <w:cnfStyle w:val="001000000000" w:firstRow="0" w:lastRow="0" w:firstColumn="1" w:lastColumn="0" w:oddVBand="0" w:evenVBand="0" w:oddHBand="0" w:evenHBand="0" w:firstRowFirstColumn="0" w:firstRowLastColumn="0" w:lastRowFirstColumn="0" w:lastRowLastColumn="0"/>
            <w:tcW w:w="4536" w:type="dxa"/>
          </w:tcPr>
          <w:p w14:paraId="6F417D2C" w14:textId="1ED10480" w:rsidR="00EA37AE" w:rsidRPr="00EA37AE" w:rsidRDefault="00EA37AE" w:rsidP="00EA37AE">
            <w:pPr>
              <w:rPr>
                <w:b w:val="0"/>
                <w:bCs/>
                <w:sz w:val="16"/>
                <w:szCs w:val="16"/>
              </w:rPr>
            </w:pPr>
            <w:r w:rsidRPr="00EA37AE">
              <w:rPr>
                <w:b w:val="0"/>
                <w:bCs/>
                <w:sz w:val="16"/>
                <w:szCs w:val="16"/>
              </w:rPr>
              <w:t xml:space="preserve">MEL Advisor </w:t>
            </w:r>
          </w:p>
        </w:tc>
        <w:tc>
          <w:tcPr>
            <w:tcW w:w="2977" w:type="dxa"/>
          </w:tcPr>
          <w:p w14:paraId="3E6BF2CD" w14:textId="53A6603D" w:rsidR="00EA37AE" w:rsidRPr="00C8127C" w:rsidRDefault="00EA37AE" w:rsidP="00EA37AE">
            <w:pPr>
              <w:cnfStyle w:val="000000000000" w:firstRow="0" w:lastRow="0" w:firstColumn="0" w:lastColumn="0" w:oddVBand="0" w:evenVBand="0" w:oddHBand="0" w:evenHBand="0" w:firstRowFirstColumn="0" w:firstRowLastColumn="0" w:lastRowFirstColumn="0" w:lastRowLastColumn="0"/>
              <w:rPr>
                <w:sz w:val="16"/>
                <w:szCs w:val="16"/>
              </w:rPr>
            </w:pPr>
            <w:r w:rsidRPr="00C8127C">
              <w:rPr>
                <w:sz w:val="16"/>
                <w:szCs w:val="16"/>
              </w:rPr>
              <w:t xml:space="preserve">Kate Peacock </w:t>
            </w:r>
          </w:p>
        </w:tc>
        <w:tc>
          <w:tcPr>
            <w:tcW w:w="2239" w:type="dxa"/>
          </w:tcPr>
          <w:p w14:paraId="4E4E7904" w14:textId="30C6F7C7" w:rsidR="00EA37AE" w:rsidRPr="002D575B" w:rsidRDefault="00EA37AE" w:rsidP="00EA37AE">
            <w:pPr>
              <w:cnfStyle w:val="000000000000" w:firstRow="0" w:lastRow="0" w:firstColumn="0" w:lastColumn="0" w:oddVBand="0" w:evenVBand="0" w:oddHBand="0" w:evenHBand="0" w:firstRowFirstColumn="0" w:firstRowLastColumn="0" w:lastRowFirstColumn="0" w:lastRowLastColumn="0"/>
              <w:rPr>
                <w:sz w:val="16"/>
                <w:szCs w:val="16"/>
              </w:rPr>
            </w:pPr>
            <w:r w:rsidRPr="002D575B">
              <w:rPr>
                <w:sz w:val="16"/>
                <w:szCs w:val="16"/>
              </w:rPr>
              <w:t>Individual</w:t>
            </w:r>
          </w:p>
        </w:tc>
      </w:tr>
    </w:tbl>
    <w:p w14:paraId="7FBC62E8" w14:textId="3CE3692C" w:rsidR="00EA37AE" w:rsidRPr="00EE4AC1" w:rsidRDefault="00AA1394" w:rsidP="00EA37AE">
      <w:pPr>
        <w:rPr>
          <w:b/>
          <w:bCs/>
          <w:sz w:val="16"/>
          <w:szCs w:val="16"/>
        </w:rPr>
      </w:pPr>
      <w:r w:rsidRPr="00EE4AC1">
        <w:rPr>
          <w:b/>
          <w:bCs/>
          <w:sz w:val="16"/>
          <w:szCs w:val="16"/>
        </w:rPr>
        <w:br/>
      </w:r>
      <w:r w:rsidR="00EA37AE" w:rsidRPr="00EE4AC1">
        <w:rPr>
          <w:b/>
          <w:bCs/>
          <w:sz w:val="16"/>
          <w:szCs w:val="16"/>
        </w:rPr>
        <w:t>DFAT</w:t>
      </w:r>
      <w:r w:rsidRPr="00EE4AC1">
        <w:rPr>
          <w:b/>
          <w:bCs/>
          <w:sz w:val="16"/>
          <w:szCs w:val="16"/>
        </w:rPr>
        <w:t xml:space="preserve"> (PEB)</w:t>
      </w:r>
    </w:p>
    <w:tbl>
      <w:tblPr>
        <w:tblStyle w:val="TableGrid"/>
        <w:tblW w:w="0" w:type="auto"/>
        <w:tblLook w:val="04A0" w:firstRow="1" w:lastRow="0" w:firstColumn="1" w:lastColumn="0" w:noHBand="0" w:noVBand="1"/>
      </w:tblPr>
      <w:tblGrid>
        <w:gridCol w:w="4536"/>
        <w:gridCol w:w="2977"/>
        <w:gridCol w:w="2239"/>
      </w:tblGrid>
      <w:tr w:rsidR="00EA37AE" w14:paraId="4D4D458C" w14:textId="77777777" w:rsidTr="00AA13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64A08032" w14:textId="77777777" w:rsidR="00EA37AE" w:rsidRPr="00EA37AE" w:rsidRDefault="00EA37AE" w:rsidP="001A4425">
            <w:r w:rsidRPr="00EA37AE">
              <w:rPr>
                <w:sz w:val="16"/>
                <w:szCs w:val="16"/>
              </w:rPr>
              <w:t>Team/Position</w:t>
            </w:r>
          </w:p>
        </w:tc>
        <w:tc>
          <w:tcPr>
            <w:tcW w:w="2977" w:type="dxa"/>
          </w:tcPr>
          <w:p w14:paraId="7C62F599" w14:textId="77777777" w:rsidR="00EA37AE" w:rsidRDefault="00EA37AE" w:rsidP="001A4425">
            <w:pPr>
              <w:cnfStyle w:val="100000000000" w:firstRow="1" w:lastRow="0" w:firstColumn="0" w:lastColumn="0" w:oddVBand="0" w:evenVBand="0" w:oddHBand="0" w:evenHBand="0" w:firstRowFirstColumn="0" w:firstRowLastColumn="0" w:lastRowFirstColumn="0" w:lastRowLastColumn="0"/>
            </w:pPr>
            <w:r>
              <w:rPr>
                <w:sz w:val="16"/>
                <w:szCs w:val="16"/>
              </w:rPr>
              <w:t>Name</w:t>
            </w:r>
          </w:p>
        </w:tc>
        <w:tc>
          <w:tcPr>
            <w:tcW w:w="2239" w:type="dxa"/>
          </w:tcPr>
          <w:p w14:paraId="7B74DCF3" w14:textId="77777777" w:rsidR="00EA37AE" w:rsidRDefault="00EA37AE" w:rsidP="001A4425">
            <w:pPr>
              <w:cnfStyle w:val="100000000000" w:firstRow="1" w:lastRow="0" w:firstColumn="0" w:lastColumn="0" w:oddVBand="0" w:evenVBand="0" w:oddHBand="0" w:evenHBand="0" w:firstRowFirstColumn="0" w:firstRowLastColumn="0" w:lastRowFirstColumn="0" w:lastRowLastColumn="0"/>
            </w:pPr>
            <w:r>
              <w:rPr>
                <w:sz w:val="16"/>
                <w:szCs w:val="16"/>
              </w:rPr>
              <w:t>Interview type</w:t>
            </w:r>
          </w:p>
        </w:tc>
      </w:tr>
      <w:tr w:rsidR="00AA1394" w14:paraId="187194EE" w14:textId="77777777" w:rsidTr="00AA1394">
        <w:tc>
          <w:tcPr>
            <w:cnfStyle w:val="001000000000" w:firstRow="0" w:lastRow="0" w:firstColumn="1" w:lastColumn="0" w:oddVBand="0" w:evenVBand="0" w:oddHBand="0" w:evenHBand="0" w:firstRowFirstColumn="0" w:firstRowLastColumn="0" w:lastRowFirstColumn="0" w:lastRowLastColumn="0"/>
            <w:tcW w:w="4536" w:type="dxa"/>
          </w:tcPr>
          <w:p w14:paraId="2871DBA9" w14:textId="523E00E4" w:rsidR="00AA1394" w:rsidRPr="00D93E5B" w:rsidRDefault="00AA1394" w:rsidP="00AA1394">
            <w:pPr>
              <w:rPr>
                <w:b w:val="0"/>
                <w:bCs/>
              </w:rPr>
            </w:pPr>
            <w:r w:rsidRPr="00D93E5B">
              <w:rPr>
                <w:b w:val="0"/>
                <w:bCs/>
                <w:sz w:val="16"/>
                <w:szCs w:val="16"/>
              </w:rPr>
              <w:t>Assistant Secretary, PEB</w:t>
            </w:r>
          </w:p>
        </w:tc>
        <w:tc>
          <w:tcPr>
            <w:tcW w:w="2977" w:type="dxa"/>
          </w:tcPr>
          <w:p w14:paraId="3304A708" w14:textId="073C40D0" w:rsidR="00AA1394" w:rsidRDefault="00AA1394" w:rsidP="00AA1394">
            <w:pPr>
              <w:cnfStyle w:val="000000000000" w:firstRow="0" w:lastRow="0" w:firstColumn="0" w:lastColumn="0" w:oddVBand="0" w:evenVBand="0" w:oddHBand="0" w:evenHBand="0" w:firstRowFirstColumn="0" w:firstRowLastColumn="0" w:lastRowFirstColumn="0" w:lastRowLastColumn="0"/>
            </w:pPr>
            <w:r w:rsidRPr="00C8127C">
              <w:rPr>
                <w:sz w:val="16"/>
                <w:szCs w:val="16"/>
              </w:rPr>
              <w:t xml:space="preserve">Andrew Cumpston </w:t>
            </w:r>
          </w:p>
        </w:tc>
        <w:tc>
          <w:tcPr>
            <w:tcW w:w="2239" w:type="dxa"/>
          </w:tcPr>
          <w:p w14:paraId="5488A011" w14:textId="2D8F1812" w:rsidR="00AA1394" w:rsidRDefault="00AA1394" w:rsidP="00AA1394">
            <w:pPr>
              <w:cnfStyle w:val="000000000000" w:firstRow="0" w:lastRow="0" w:firstColumn="0" w:lastColumn="0" w:oddVBand="0" w:evenVBand="0" w:oddHBand="0" w:evenHBand="0" w:firstRowFirstColumn="0" w:firstRowLastColumn="0" w:lastRowFirstColumn="0" w:lastRowLastColumn="0"/>
            </w:pPr>
            <w:r w:rsidRPr="007F7809">
              <w:rPr>
                <w:sz w:val="16"/>
                <w:szCs w:val="16"/>
              </w:rPr>
              <w:t>Individual</w:t>
            </w:r>
          </w:p>
        </w:tc>
      </w:tr>
      <w:tr w:rsidR="00EA37AE" w14:paraId="0B75BE66" w14:textId="77777777" w:rsidTr="00AA1394">
        <w:tc>
          <w:tcPr>
            <w:cnfStyle w:val="001000000000" w:firstRow="0" w:lastRow="0" w:firstColumn="1" w:lastColumn="0" w:oddVBand="0" w:evenVBand="0" w:oddHBand="0" w:evenHBand="0" w:firstRowFirstColumn="0" w:firstRowLastColumn="0" w:lastRowFirstColumn="0" w:lastRowLastColumn="0"/>
            <w:tcW w:w="4536" w:type="dxa"/>
          </w:tcPr>
          <w:p w14:paraId="586B1F63" w14:textId="7F153D05" w:rsidR="00EA37AE" w:rsidRPr="00D93E5B" w:rsidRDefault="00AA1394" w:rsidP="001A4425">
            <w:pPr>
              <w:rPr>
                <w:b w:val="0"/>
                <w:bCs/>
              </w:rPr>
            </w:pPr>
            <w:r w:rsidRPr="00D93E5B">
              <w:rPr>
                <w:b w:val="0"/>
                <w:bCs/>
                <w:sz w:val="16"/>
                <w:szCs w:val="16"/>
              </w:rPr>
              <w:t>EPS</w:t>
            </w:r>
          </w:p>
        </w:tc>
        <w:tc>
          <w:tcPr>
            <w:tcW w:w="2977" w:type="dxa"/>
          </w:tcPr>
          <w:p w14:paraId="20A00A42" w14:textId="1B8FFD61" w:rsidR="00EA37AE" w:rsidRPr="00AA1394" w:rsidRDefault="00AA1394" w:rsidP="001A4425">
            <w:pPr>
              <w:cnfStyle w:val="000000000000" w:firstRow="0" w:lastRow="0" w:firstColumn="0" w:lastColumn="0" w:oddVBand="0" w:evenVBand="0" w:oddHBand="0" w:evenHBand="0" w:firstRowFirstColumn="0" w:firstRowLastColumn="0" w:lastRowFirstColumn="0" w:lastRowLastColumn="0"/>
              <w:rPr>
                <w:sz w:val="16"/>
                <w:szCs w:val="16"/>
              </w:rPr>
            </w:pPr>
            <w:r w:rsidRPr="0028461A">
              <w:rPr>
                <w:sz w:val="16"/>
                <w:szCs w:val="16"/>
              </w:rPr>
              <w:t xml:space="preserve">Tamika Underwood </w:t>
            </w:r>
          </w:p>
        </w:tc>
        <w:tc>
          <w:tcPr>
            <w:tcW w:w="2239" w:type="dxa"/>
          </w:tcPr>
          <w:p w14:paraId="36B65208" w14:textId="1CE1ACD0" w:rsidR="00EA37AE" w:rsidRDefault="00AA1394" w:rsidP="001A4425">
            <w:pPr>
              <w:cnfStyle w:val="000000000000" w:firstRow="0" w:lastRow="0" w:firstColumn="0" w:lastColumn="0" w:oddVBand="0" w:evenVBand="0" w:oddHBand="0" w:evenHBand="0" w:firstRowFirstColumn="0" w:firstRowLastColumn="0" w:lastRowFirstColumn="0" w:lastRowLastColumn="0"/>
            </w:pPr>
            <w:r w:rsidRPr="00C8127C">
              <w:rPr>
                <w:sz w:val="16"/>
                <w:szCs w:val="16"/>
              </w:rPr>
              <w:t>Group</w:t>
            </w:r>
          </w:p>
        </w:tc>
      </w:tr>
      <w:tr w:rsidR="00EA37AE" w14:paraId="1A1E0EB6" w14:textId="77777777" w:rsidTr="00AA1394">
        <w:tc>
          <w:tcPr>
            <w:cnfStyle w:val="001000000000" w:firstRow="0" w:lastRow="0" w:firstColumn="1" w:lastColumn="0" w:oddVBand="0" w:evenVBand="0" w:oddHBand="0" w:evenHBand="0" w:firstRowFirstColumn="0" w:firstRowLastColumn="0" w:lastRowFirstColumn="0" w:lastRowLastColumn="0"/>
            <w:tcW w:w="4536" w:type="dxa"/>
          </w:tcPr>
          <w:p w14:paraId="3F15F917" w14:textId="1BE3A9C5" w:rsidR="00EA37AE" w:rsidRPr="00D93E5B" w:rsidRDefault="00AA1394" w:rsidP="001A4425">
            <w:pPr>
              <w:rPr>
                <w:b w:val="0"/>
                <w:bCs/>
                <w:sz w:val="16"/>
                <w:szCs w:val="16"/>
              </w:rPr>
            </w:pPr>
            <w:r w:rsidRPr="00D93E5B">
              <w:rPr>
                <w:b w:val="0"/>
                <w:bCs/>
                <w:sz w:val="16"/>
                <w:szCs w:val="16"/>
              </w:rPr>
              <w:t>EPS</w:t>
            </w:r>
          </w:p>
        </w:tc>
        <w:tc>
          <w:tcPr>
            <w:tcW w:w="2977" w:type="dxa"/>
          </w:tcPr>
          <w:p w14:paraId="4901BD5F" w14:textId="3D162E71" w:rsidR="00EA37AE" w:rsidRPr="00C8127C" w:rsidRDefault="00AA1394" w:rsidP="001A4425">
            <w:pPr>
              <w:cnfStyle w:val="000000000000" w:firstRow="0" w:lastRow="0" w:firstColumn="0" w:lastColumn="0" w:oddVBand="0" w:evenVBand="0" w:oddHBand="0" w:evenHBand="0" w:firstRowFirstColumn="0" w:firstRowLastColumn="0" w:lastRowFirstColumn="0" w:lastRowLastColumn="0"/>
              <w:rPr>
                <w:sz w:val="16"/>
                <w:szCs w:val="16"/>
              </w:rPr>
            </w:pPr>
            <w:r w:rsidRPr="0028461A">
              <w:rPr>
                <w:sz w:val="16"/>
                <w:szCs w:val="16"/>
              </w:rPr>
              <w:t xml:space="preserve">Heather Randall </w:t>
            </w:r>
          </w:p>
        </w:tc>
        <w:tc>
          <w:tcPr>
            <w:tcW w:w="2239" w:type="dxa"/>
          </w:tcPr>
          <w:p w14:paraId="62CAD36E" w14:textId="18AF6BC0" w:rsidR="00EA37AE" w:rsidRDefault="00AA1394" w:rsidP="001A4425">
            <w:pPr>
              <w:cnfStyle w:val="000000000000" w:firstRow="0" w:lastRow="0" w:firstColumn="0" w:lastColumn="0" w:oddVBand="0" w:evenVBand="0" w:oddHBand="0" w:evenHBand="0" w:firstRowFirstColumn="0" w:firstRowLastColumn="0" w:lastRowFirstColumn="0" w:lastRowLastColumn="0"/>
              <w:rPr>
                <w:sz w:val="16"/>
                <w:szCs w:val="16"/>
              </w:rPr>
            </w:pPr>
            <w:r w:rsidRPr="00C8127C">
              <w:rPr>
                <w:sz w:val="16"/>
                <w:szCs w:val="16"/>
              </w:rPr>
              <w:t>Group</w:t>
            </w:r>
          </w:p>
        </w:tc>
      </w:tr>
      <w:tr w:rsidR="00EA37AE" w14:paraId="6BCF3E40" w14:textId="77777777" w:rsidTr="00AA1394">
        <w:tc>
          <w:tcPr>
            <w:cnfStyle w:val="001000000000" w:firstRow="0" w:lastRow="0" w:firstColumn="1" w:lastColumn="0" w:oddVBand="0" w:evenVBand="0" w:oddHBand="0" w:evenHBand="0" w:firstRowFirstColumn="0" w:firstRowLastColumn="0" w:lastRowFirstColumn="0" w:lastRowLastColumn="0"/>
            <w:tcW w:w="4536" w:type="dxa"/>
          </w:tcPr>
          <w:p w14:paraId="0E27173D" w14:textId="51AFD784" w:rsidR="00EA37AE" w:rsidRPr="00D93E5B" w:rsidRDefault="00AA1394" w:rsidP="001A4425">
            <w:pPr>
              <w:rPr>
                <w:b w:val="0"/>
                <w:bCs/>
                <w:sz w:val="16"/>
                <w:szCs w:val="16"/>
              </w:rPr>
            </w:pPr>
            <w:r w:rsidRPr="00D93E5B">
              <w:rPr>
                <w:b w:val="0"/>
                <w:bCs/>
                <w:sz w:val="16"/>
                <w:szCs w:val="16"/>
              </w:rPr>
              <w:t>EPS</w:t>
            </w:r>
          </w:p>
        </w:tc>
        <w:tc>
          <w:tcPr>
            <w:tcW w:w="2977" w:type="dxa"/>
          </w:tcPr>
          <w:p w14:paraId="0CB33EB4" w14:textId="70B015A8" w:rsidR="00EA37AE" w:rsidRPr="00C8127C" w:rsidRDefault="00AA1394" w:rsidP="001A4425">
            <w:pPr>
              <w:cnfStyle w:val="000000000000" w:firstRow="0" w:lastRow="0" w:firstColumn="0" w:lastColumn="0" w:oddVBand="0" w:evenVBand="0" w:oddHBand="0" w:evenHBand="0" w:firstRowFirstColumn="0" w:firstRowLastColumn="0" w:lastRowFirstColumn="0" w:lastRowLastColumn="0"/>
              <w:rPr>
                <w:sz w:val="16"/>
                <w:szCs w:val="16"/>
              </w:rPr>
            </w:pPr>
            <w:r w:rsidRPr="0028461A">
              <w:rPr>
                <w:sz w:val="16"/>
                <w:szCs w:val="16"/>
              </w:rPr>
              <w:t xml:space="preserve">Anna Szabo </w:t>
            </w:r>
          </w:p>
        </w:tc>
        <w:tc>
          <w:tcPr>
            <w:tcW w:w="2239" w:type="dxa"/>
          </w:tcPr>
          <w:p w14:paraId="53793410" w14:textId="1CC56378" w:rsidR="00EA37AE" w:rsidRPr="00C8127C" w:rsidRDefault="00AA1394" w:rsidP="001A4425">
            <w:pPr>
              <w:cnfStyle w:val="000000000000" w:firstRow="0" w:lastRow="0" w:firstColumn="0" w:lastColumn="0" w:oddVBand="0" w:evenVBand="0" w:oddHBand="0" w:evenHBand="0" w:firstRowFirstColumn="0" w:firstRowLastColumn="0" w:lastRowFirstColumn="0" w:lastRowLastColumn="0"/>
              <w:rPr>
                <w:sz w:val="16"/>
                <w:szCs w:val="16"/>
              </w:rPr>
            </w:pPr>
            <w:r w:rsidRPr="00C8127C">
              <w:rPr>
                <w:sz w:val="16"/>
                <w:szCs w:val="16"/>
              </w:rPr>
              <w:t>Group</w:t>
            </w:r>
          </w:p>
        </w:tc>
      </w:tr>
      <w:tr w:rsidR="00EA37AE" w14:paraId="0B79ACED" w14:textId="77777777" w:rsidTr="00AA1394">
        <w:tc>
          <w:tcPr>
            <w:cnfStyle w:val="001000000000" w:firstRow="0" w:lastRow="0" w:firstColumn="1" w:lastColumn="0" w:oddVBand="0" w:evenVBand="0" w:oddHBand="0" w:evenHBand="0" w:firstRowFirstColumn="0" w:firstRowLastColumn="0" w:lastRowFirstColumn="0" w:lastRowLastColumn="0"/>
            <w:tcW w:w="4536" w:type="dxa"/>
          </w:tcPr>
          <w:p w14:paraId="0894016F" w14:textId="2D6E55A2" w:rsidR="00EA37AE" w:rsidRPr="00D93E5B" w:rsidRDefault="00AA1394" w:rsidP="001A4425">
            <w:pPr>
              <w:rPr>
                <w:b w:val="0"/>
                <w:bCs/>
                <w:sz w:val="16"/>
                <w:szCs w:val="16"/>
              </w:rPr>
            </w:pPr>
            <w:r w:rsidRPr="00D93E5B">
              <w:rPr>
                <w:b w:val="0"/>
                <w:bCs/>
                <w:sz w:val="16"/>
                <w:szCs w:val="16"/>
              </w:rPr>
              <w:t>EPS</w:t>
            </w:r>
          </w:p>
        </w:tc>
        <w:tc>
          <w:tcPr>
            <w:tcW w:w="2977" w:type="dxa"/>
          </w:tcPr>
          <w:p w14:paraId="3107AD42" w14:textId="47C0A39F" w:rsidR="00EA37AE" w:rsidRPr="00C8127C" w:rsidRDefault="00AA1394" w:rsidP="001A4425">
            <w:pPr>
              <w:cnfStyle w:val="000000000000" w:firstRow="0" w:lastRow="0" w:firstColumn="0" w:lastColumn="0" w:oddVBand="0" w:evenVBand="0" w:oddHBand="0" w:evenHBand="0" w:firstRowFirstColumn="0" w:firstRowLastColumn="0" w:lastRowFirstColumn="0" w:lastRowLastColumn="0"/>
              <w:rPr>
                <w:sz w:val="16"/>
                <w:szCs w:val="16"/>
              </w:rPr>
            </w:pPr>
            <w:r w:rsidRPr="0028461A">
              <w:rPr>
                <w:sz w:val="16"/>
                <w:szCs w:val="16"/>
              </w:rPr>
              <w:t xml:space="preserve">Claire Birks </w:t>
            </w:r>
          </w:p>
        </w:tc>
        <w:tc>
          <w:tcPr>
            <w:tcW w:w="2239" w:type="dxa"/>
          </w:tcPr>
          <w:p w14:paraId="0E8E7DB8" w14:textId="5B85A758" w:rsidR="00EA37AE" w:rsidRPr="00C8127C" w:rsidRDefault="00AA1394" w:rsidP="001A4425">
            <w:pPr>
              <w:cnfStyle w:val="000000000000" w:firstRow="0" w:lastRow="0" w:firstColumn="0" w:lastColumn="0" w:oddVBand="0" w:evenVBand="0" w:oddHBand="0" w:evenHBand="0" w:firstRowFirstColumn="0" w:firstRowLastColumn="0" w:lastRowFirstColumn="0" w:lastRowLastColumn="0"/>
              <w:rPr>
                <w:sz w:val="16"/>
                <w:szCs w:val="16"/>
              </w:rPr>
            </w:pPr>
            <w:r w:rsidRPr="00C8127C">
              <w:rPr>
                <w:sz w:val="16"/>
                <w:szCs w:val="16"/>
              </w:rPr>
              <w:t>Group</w:t>
            </w:r>
          </w:p>
        </w:tc>
      </w:tr>
      <w:tr w:rsidR="00EA37AE" w14:paraId="635B82D5" w14:textId="77777777" w:rsidTr="00AA1394">
        <w:tc>
          <w:tcPr>
            <w:cnfStyle w:val="001000000000" w:firstRow="0" w:lastRow="0" w:firstColumn="1" w:lastColumn="0" w:oddVBand="0" w:evenVBand="0" w:oddHBand="0" w:evenHBand="0" w:firstRowFirstColumn="0" w:firstRowLastColumn="0" w:lastRowFirstColumn="0" w:lastRowLastColumn="0"/>
            <w:tcW w:w="4536" w:type="dxa"/>
          </w:tcPr>
          <w:p w14:paraId="55EBB299" w14:textId="03337298" w:rsidR="00EA37AE" w:rsidRPr="00D93E5B" w:rsidRDefault="00AA1394" w:rsidP="001A4425">
            <w:pPr>
              <w:rPr>
                <w:b w:val="0"/>
                <w:bCs/>
                <w:sz w:val="16"/>
                <w:szCs w:val="16"/>
              </w:rPr>
            </w:pPr>
            <w:r w:rsidRPr="00D93E5B">
              <w:rPr>
                <w:b w:val="0"/>
                <w:bCs/>
                <w:sz w:val="16"/>
                <w:szCs w:val="16"/>
              </w:rPr>
              <w:t>EPS</w:t>
            </w:r>
          </w:p>
        </w:tc>
        <w:tc>
          <w:tcPr>
            <w:tcW w:w="2977" w:type="dxa"/>
          </w:tcPr>
          <w:p w14:paraId="4E2F81C1" w14:textId="7CFEF3A8" w:rsidR="00EA37AE" w:rsidRPr="00C8127C" w:rsidRDefault="00AA1394" w:rsidP="001A4425">
            <w:pPr>
              <w:cnfStyle w:val="000000000000" w:firstRow="0" w:lastRow="0" w:firstColumn="0" w:lastColumn="0" w:oddVBand="0" w:evenVBand="0" w:oddHBand="0" w:evenHBand="0" w:firstRowFirstColumn="0" w:firstRowLastColumn="0" w:lastRowFirstColumn="0" w:lastRowLastColumn="0"/>
              <w:rPr>
                <w:sz w:val="16"/>
                <w:szCs w:val="16"/>
              </w:rPr>
            </w:pPr>
            <w:r w:rsidRPr="0028461A">
              <w:rPr>
                <w:sz w:val="16"/>
                <w:szCs w:val="16"/>
              </w:rPr>
              <w:t xml:space="preserve">Joanna Pickles </w:t>
            </w:r>
          </w:p>
        </w:tc>
        <w:tc>
          <w:tcPr>
            <w:tcW w:w="2239" w:type="dxa"/>
          </w:tcPr>
          <w:p w14:paraId="0F91B1B7" w14:textId="3171B003" w:rsidR="00EA37AE" w:rsidRPr="00C8127C" w:rsidRDefault="00AA1394" w:rsidP="001A4425">
            <w:pPr>
              <w:cnfStyle w:val="000000000000" w:firstRow="0" w:lastRow="0" w:firstColumn="0" w:lastColumn="0" w:oddVBand="0" w:evenVBand="0" w:oddHBand="0" w:evenHBand="0" w:firstRowFirstColumn="0" w:firstRowLastColumn="0" w:lastRowFirstColumn="0" w:lastRowLastColumn="0"/>
              <w:rPr>
                <w:sz w:val="16"/>
                <w:szCs w:val="16"/>
              </w:rPr>
            </w:pPr>
            <w:r w:rsidRPr="00C8127C">
              <w:rPr>
                <w:sz w:val="16"/>
                <w:szCs w:val="16"/>
              </w:rPr>
              <w:t>Group</w:t>
            </w:r>
          </w:p>
        </w:tc>
      </w:tr>
      <w:tr w:rsidR="00EA37AE" w14:paraId="27647D77" w14:textId="77777777" w:rsidTr="00AA1394">
        <w:tc>
          <w:tcPr>
            <w:cnfStyle w:val="001000000000" w:firstRow="0" w:lastRow="0" w:firstColumn="1" w:lastColumn="0" w:oddVBand="0" w:evenVBand="0" w:oddHBand="0" w:evenHBand="0" w:firstRowFirstColumn="0" w:firstRowLastColumn="0" w:lastRowFirstColumn="0" w:lastRowLastColumn="0"/>
            <w:tcW w:w="4536" w:type="dxa"/>
          </w:tcPr>
          <w:p w14:paraId="48B71EEA" w14:textId="4559AD7F" w:rsidR="00EA37AE" w:rsidRPr="00D93E5B" w:rsidRDefault="00AA1394" w:rsidP="001A4425">
            <w:pPr>
              <w:rPr>
                <w:b w:val="0"/>
                <w:bCs/>
                <w:sz w:val="16"/>
                <w:szCs w:val="16"/>
              </w:rPr>
            </w:pPr>
            <w:r w:rsidRPr="00D93E5B">
              <w:rPr>
                <w:b w:val="0"/>
                <w:bCs/>
                <w:sz w:val="16"/>
                <w:szCs w:val="16"/>
              </w:rPr>
              <w:t>EPS</w:t>
            </w:r>
          </w:p>
        </w:tc>
        <w:tc>
          <w:tcPr>
            <w:tcW w:w="2977" w:type="dxa"/>
          </w:tcPr>
          <w:p w14:paraId="3429C250" w14:textId="5EF6DE4F" w:rsidR="00EA37AE" w:rsidRPr="00C8127C" w:rsidRDefault="00AA1394" w:rsidP="001A4425">
            <w:pPr>
              <w:cnfStyle w:val="000000000000" w:firstRow="0" w:lastRow="0" w:firstColumn="0" w:lastColumn="0" w:oddVBand="0" w:evenVBand="0" w:oddHBand="0" w:evenHBand="0" w:firstRowFirstColumn="0" w:firstRowLastColumn="0" w:lastRowFirstColumn="0" w:lastRowLastColumn="0"/>
              <w:rPr>
                <w:sz w:val="16"/>
                <w:szCs w:val="16"/>
              </w:rPr>
            </w:pPr>
            <w:r w:rsidRPr="0028461A">
              <w:rPr>
                <w:sz w:val="16"/>
                <w:szCs w:val="16"/>
              </w:rPr>
              <w:t xml:space="preserve">Jonathan Perotti </w:t>
            </w:r>
          </w:p>
        </w:tc>
        <w:tc>
          <w:tcPr>
            <w:tcW w:w="2239" w:type="dxa"/>
          </w:tcPr>
          <w:p w14:paraId="41103F98" w14:textId="717A4325" w:rsidR="00EA37AE" w:rsidRPr="002D575B" w:rsidRDefault="00AA1394" w:rsidP="001A4425">
            <w:pPr>
              <w:cnfStyle w:val="000000000000" w:firstRow="0" w:lastRow="0" w:firstColumn="0" w:lastColumn="0" w:oddVBand="0" w:evenVBand="0" w:oddHBand="0" w:evenHBand="0" w:firstRowFirstColumn="0" w:firstRowLastColumn="0" w:lastRowFirstColumn="0" w:lastRowLastColumn="0"/>
              <w:rPr>
                <w:sz w:val="16"/>
                <w:szCs w:val="16"/>
              </w:rPr>
            </w:pPr>
            <w:r w:rsidRPr="00C8127C">
              <w:rPr>
                <w:sz w:val="16"/>
                <w:szCs w:val="16"/>
              </w:rPr>
              <w:t>Group</w:t>
            </w:r>
          </w:p>
        </w:tc>
      </w:tr>
      <w:tr w:rsidR="00AA1394" w14:paraId="6BF5A038" w14:textId="77777777" w:rsidTr="00AA1394">
        <w:tc>
          <w:tcPr>
            <w:cnfStyle w:val="001000000000" w:firstRow="0" w:lastRow="0" w:firstColumn="1" w:lastColumn="0" w:oddVBand="0" w:evenVBand="0" w:oddHBand="0" w:evenHBand="0" w:firstRowFirstColumn="0" w:firstRowLastColumn="0" w:lastRowFirstColumn="0" w:lastRowLastColumn="0"/>
            <w:tcW w:w="4536" w:type="dxa"/>
          </w:tcPr>
          <w:p w14:paraId="05C1CCC5" w14:textId="6D2670CA" w:rsidR="00AA1394" w:rsidRPr="00D93E5B" w:rsidRDefault="00AA1394" w:rsidP="001A4425">
            <w:pPr>
              <w:rPr>
                <w:b w:val="0"/>
                <w:bCs/>
                <w:sz w:val="16"/>
                <w:szCs w:val="16"/>
              </w:rPr>
            </w:pPr>
            <w:r w:rsidRPr="00D93E5B">
              <w:rPr>
                <w:b w:val="0"/>
                <w:bCs/>
                <w:sz w:val="16"/>
                <w:szCs w:val="16"/>
              </w:rPr>
              <w:t>EPS</w:t>
            </w:r>
          </w:p>
        </w:tc>
        <w:tc>
          <w:tcPr>
            <w:tcW w:w="2977" w:type="dxa"/>
          </w:tcPr>
          <w:p w14:paraId="76D9508B" w14:textId="62DC5641" w:rsidR="00AA1394" w:rsidRPr="0028461A" w:rsidRDefault="00AA1394" w:rsidP="001A4425">
            <w:pPr>
              <w:cnfStyle w:val="000000000000" w:firstRow="0" w:lastRow="0" w:firstColumn="0" w:lastColumn="0" w:oddVBand="0" w:evenVBand="0" w:oddHBand="0" w:evenHBand="0" w:firstRowFirstColumn="0" w:firstRowLastColumn="0" w:lastRowFirstColumn="0" w:lastRowLastColumn="0"/>
              <w:rPr>
                <w:sz w:val="16"/>
                <w:szCs w:val="16"/>
              </w:rPr>
            </w:pPr>
            <w:r w:rsidRPr="0028461A">
              <w:rPr>
                <w:sz w:val="16"/>
                <w:szCs w:val="16"/>
              </w:rPr>
              <w:t>Anisha Gupta</w:t>
            </w:r>
          </w:p>
        </w:tc>
        <w:tc>
          <w:tcPr>
            <w:tcW w:w="2239" w:type="dxa"/>
          </w:tcPr>
          <w:p w14:paraId="09F3E06E" w14:textId="7A6EDD65" w:rsidR="00AA1394" w:rsidRPr="002D575B" w:rsidRDefault="00AA1394" w:rsidP="001A4425">
            <w:pPr>
              <w:cnfStyle w:val="000000000000" w:firstRow="0" w:lastRow="0" w:firstColumn="0" w:lastColumn="0" w:oddVBand="0" w:evenVBand="0" w:oddHBand="0" w:evenHBand="0" w:firstRowFirstColumn="0" w:firstRowLastColumn="0" w:lastRowFirstColumn="0" w:lastRowLastColumn="0"/>
              <w:rPr>
                <w:sz w:val="16"/>
                <w:szCs w:val="16"/>
              </w:rPr>
            </w:pPr>
            <w:r w:rsidRPr="00C8127C">
              <w:rPr>
                <w:sz w:val="16"/>
                <w:szCs w:val="16"/>
              </w:rPr>
              <w:t>Group</w:t>
            </w:r>
          </w:p>
        </w:tc>
      </w:tr>
      <w:tr w:rsidR="00AA1394" w14:paraId="2E0675DC" w14:textId="77777777" w:rsidTr="00AA1394">
        <w:tc>
          <w:tcPr>
            <w:cnfStyle w:val="001000000000" w:firstRow="0" w:lastRow="0" w:firstColumn="1" w:lastColumn="0" w:oddVBand="0" w:evenVBand="0" w:oddHBand="0" w:evenHBand="0" w:firstRowFirstColumn="0" w:firstRowLastColumn="0" w:lastRowFirstColumn="0" w:lastRowLastColumn="0"/>
            <w:tcW w:w="4536" w:type="dxa"/>
          </w:tcPr>
          <w:p w14:paraId="2F0A204E" w14:textId="18832A26" w:rsidR="00AA1394" w:rsidRPr="00D93E5B" w:rsidRDefault="00AA1394" w:rsidP="00AA1394">
            <w:pPr>
              <w:rPr>
                <w:b w:val="0"/>
                <w:bCs/>
                <w:sz w:val="16"/>
                <w:szCs w:val="16"/>
              </w:rPr>
            </w:pPr>
            <w:r w:rsidRPr="00D93E5B">
              <w:rPr>
                <w:b w:val="0"/>
                <w:bCs/>
                <w:sz w:val="16"/>
                <w:szCs w:val="16"/>
              </w:rPr>
              <w:t xml:space="preserve">Former DFAT PRES Program Manager </w:t>
            </w:r>
          </w:p>
        </w:tc>
        <w:tc>
          <w:tcPr>
            <w:tcW w:w="2977" w:type="dxa"/>
          </w:tcPr>
          <w:p w14:paraId="32862023" w14:textId="7AF4AE8C" w:rsidR="00AA1394" w:rsidRPr="0028461A" w:rsidRDefault="00AA1394" w:rsidP="00AA1394">
            <w:pPr>
              <w:cnfStyle w:val="000000000000" w:firstRow="0" w:lastRow="0" w:firstColumn="0" w:lastColumn="0" w:oddVBand="0" w:evenVBand="0" w:oddHBand="0" w:evenHBand="0" w:firstRowFirstColumn="0" w:firstRowLastColumn="0" w:lastRowFirstColumn="0" w:lastRowLastColumn="0"/>
              <w:rPr>
                <w:sz w:val="16"/>
                <w:szCs w:val="16"/>
              </w:rPr>
            </w:pPr>
            <w:r w:rsidRPr="00C8127C">
              <w:rPr>
                <w:sz w:val="16"/>
                <w:szCs w:val="16"/>
              </w:rPr>
              <w:t xml:space="preserve">Angus Hinton </w:t>
            </w:r>
          </w:p>
        </w:tc>
        <w:tc>
          <w:tcPr>
            <w:tcW w:w="2239" w:type="dxa"/>
          </w:tcPr>
          <w:p w14:paraId="5E8BA359" w14:textId="17D91A49" w:rsidR="00AA1394" w:rsidRPr="00C8127C" w:rsidRDefault="00AA1394" w:rsidP="00AA1394">
            <w:pPr>
              <w:cnfStyle w:val="000000000000" w:firstRow="0" w:lastRow="0" w:firstColumn="0" w:lastColumn="0" w:oddVBand="0" w:evenVBand="0" w:oddHBand="0" w:evenHBand="0" w:firstRowFirstColumn="0" w:firstRowLastColumn="0" w:lastRowFirstColumn="0" w:lastRowLastColumn="0"/>
              <w:rPr>
                <w:sz w:val="16"/>
                <w:szCs w:val="16"/>
              </w:rPr>
            </w:pPr>
            <w:r w:rsidRPr="007F7809">
              <w:rPr>
                <w:sz w:val="16"/>
                <w:szCs w:val="16"/>
              </w:rPr>
              <w:t>Individual</w:t>
            </w:r>
          </w:p>
        </w:tc>
      </w:tr>
      <w:tr w:rsidR="00AA1394" w14:paraId="529E39FD" w14:textId="77777777" w:rsidTr="00AA1394">
        <w:tc>
          <w:tcPr>
            <w:cnfStyle w:val="001000000000" w:firstRow="0" w:lastRow="0" w:firstColumn="1" w:lastColumn="0" w:oddVBand="0" w:evenVBand="0" w:oddHBand="0" w:evenHBand="0" w:firstRowFirstColumn="0" w:firstRowLastColumn="0" w:lastRowFirstColumn="0" w:lastRowLastColumn="0"/>
            <w:tcW w:w="4536" w:type="dxa"/>
          </w:tcPr>
          <w:p w14:paraId="49B51C88" w14:textId="0CCC0EDB" w:rsidR="00AA1394" w:rsidRPr="00D93E5B" w:rsidRDefault="00AA1394" w:rsidP="00AA1394">
            <w:pPr>
              <w:rPr>
                <w:b w:val="0"/>
                <w:bCs/>
                <w:sz w:val="16"/>
                <w:szCs w:val="16"/>
              </w:rPr>
            </w:pPr>
            <w:r w:rsidRPr="00D93E5B">
              <w:rPr>
                <w:b w:val="0"/>
                <w:bCs/>
                <w:sz w:val="16"/>
                <w:szCs w:val="16"/>
              </w:rPr>
              <w:t>OTP Economics</w:t>
            </w:r>
          </w:p>
        </w:tc>
        <w:tc>
          <w:tcPr>
            <w:tcW w:w="2977" w:type="dxa"/>
          </w:tcPr>
          <w:p w14:paraId="44145869" w14:textId="69B28F05" w:rsidR="00AA1394" w:rsidRPr="00C8127C" w:rsidRDefault="00AA1394" w:rsidP="00AA1394">
            <w:pPr>
              <w:cnfStyle w:val="000000000000" w:firstRow="0" w:lastRow="0" w:firstColumn="0" w:lastColumn="0" w:oddVBand="0" w:evenVBand="0" w:oddHBand="0" w:evenHBand="0" w:firstRowFirstColumn="0" w:firstRowLastColumn="0" w:lastRowFirstColumn="0" w:lastRowLastColumn="0"/>
              <w:rPr>
                <w:sz w:val="16"/>
                <w:szCs w:val="16"/>
              </w:rPr>
            </w:pPr>
            <w:r w:rsidRPr="00C8127C">
              <w:rPr>
                <w:sz w:val="16"/>
                <w:szCs w:val="16"/>
              </w:rPr>
              <w:t>Jonathan Pryke</w:t>
            </w:r>
          </w:p>
        </w:tc>
        <w:tc>
          <w:tcPr>
            <w:tcW w:w="2239" w:type="dxa"/>
          </w:tcPr>
          <w:p w14:paraId="5B90872A" w14:textId="567441AD" w:rsidR="00AA1394" w:rsidRPr="007F7809" w:rsidRDefault="00AA1394" w:rsidP="00AA1394">
            <w:pPr>
              <w:cnfStyle w:val="000000000000" w:firstRow="0" w:lastRow="0" w:firstColumn="0" w:lastColumn="0" w:oddVBand="0" w:evenVBand="0" w:oddHBand="0" w:evenHBand="0" w:firstRowFirstColumn="0" w:firstRowLastColumn="0" w:lastRowFirstColumn="0" w:lastRowLastColumn="0"/>
              <w:rPr>
                <w:sz w:val="16"/>
                <w:szCs w:val="16"/>
              </w:rPr>
            </w:pPr>
            <w:r w:rsidRPr="00C8127C">
              <w:rPr>
                <w:sz w:val="16"/>
                <w:szCs w:val="16"/>
              </w:rPr>
              <w:t>Group</w:t>
            </w:r>
          </w:p>
        </w:tc>
      </w:tr>
      <w:tr w:rsidR="00AA1394" w14:paraId="0A8A3627" w14:textId="77777777" w:rsidTr="00AA1394">
        <w:tc>
          <w:tcPr>
            <w:cnfStyle w:val="001000000000" w:firstRow="0" w:lastRow="0" w:firstColumn="1" w:lastColumn="0" w:oddVBand="0" w:evenVBand="0" w:oddHBand="0" w:evenHBand="0" w:firstRowFirstColumn="0" w:firstRowLastColumn="0" w:lastRowFirstColumn="0" w:lastRowLastColumn="0"/>
            <w:tcW w:w="4536" w:type="dxa"/>
          </w:tcPr>
          <w:p w14:paraId="1488FFD9" w14:textId="732FDFCD" w:rsidR="00AA1394" w:rsidRPr="00D93E5B" w:rsidRDefault="00AA1394" w:rsidP="00AA1394">
            <w:pPr>
              <w:rPr>
                <w:b w:val="0"/>
                <w:bCs/>
                <w:sz w:val="16"/>
                <w:szCs w:val="16"/>
              </w:rPr>
            </w:pPr>
            <w:r w:rsidRPr="00D93E5B">
              <w:rPr>
                <w:b w:val="0"/>
                <w:bCs/>
                <w:sz w:val="16"/>
                <w:szCs w:val="16"/>
              </w:rPr>
              <w:t>OTP Economics</w:t>
            </w:r>
          </w:p>
        </w:tc>
        <w:tc>
          <w:tcPr>
            <w:tcW w:w="2977" w:type="dxa"/>
          </w:tcPr>
          <w:p w14:paraId="66CBD7B6" w14:textId="0225A383" w:rsidR="00AA1394" w:rsidRPr="00C8127C" w:rsidRDefault="00AA1394" w:rsidP="00AA1394">
            <w:pPr>
              <w:cnfStyle w:val="000000000000" w:firstRow="0" w:lastRow="0" w:firstColumn="0" w:lastColumn="0" w:oddVBand="0" w:evenVBand="0" w:oddHBand="0" w:evenHBand="0" w:firstRowFirstColumn="0" w:firstRowLastColumn="0" w:lastRowFirstColumn="0" w:lastRowLastColumn="0"/>
              <w:rPr>
                <w:sz w:val="16"/>
                <w:szCs w:val="16"/>
              </w:rPr>
            </w:pPr>
            <w:r w:rsidRPr="00C8127C">
              <w:rPr>
                <w:sz w:val="16"/>
                <w:szCs w:val="16"/>
              </w:rPr>
              <w:t>Ro McCrossin</w:t>
            </w:r>
          </w:p>
        </w:tc>
        <w:tc>
          <w:tcPr>
            <w:tcW w:w="2239" w:type="dxa"/>
          </w:tcPr>
          <w:p w14:paraId="351F3D94" w14:textId="45086F27" w:rsidR="00AA1394" w:rsidRPr="007F7809" w:rsidRDefault="00AA1394" w:rsidP="00AA1394">
            <w:pPr>
              <w:cnfStyle w:val="000000000000" w:firstRow="0" w:lastRow="0" w:firstColumn="0" w:lastColumn="0" w:oddVBand="0" w:evenVBand="0" w:oddHBand="0" w:evenHBand="0" w:firstRowFirstColumn="0" w:firstRowLastColumn="0" w:lastRowFirstColumn="0" w:lastRowLastColumn="0"/>
              <w:rPr>
                <w:sz w:val="16"/>
                <w:szCs w:val="16"/>
              </w:rPr>
            </w:pPr>
            <w:r w:rsidRPr="00C8127C">
              <w:rPr>
                <w:sz w:val="16"/>
                <w:szCs w:val="16"/>
              </w:rPr>
              <w:t>Group</w:t>
            </w:r>
          </w:p>
        </w:tc>
      </w:tr>
      <w:tr w:rsidR="00AA1394" w14:paraId="46FAF3B2" w14:textId="77777777" w:rsidTr="00AA1394">
        <w:tc>
          <w:tcPr>
            <w:cnfStyle w:val="001000000000" w:firstRow="0" w:lastRow="0" w:firstColumn="1" w:lastColumn="0" w:oddVBand="0" w:evenVBand="0" w:oddHBand="0" w:evenHBand="0" w:firstRowFirstColumn="0" w:firstRowLastColumn="0" w:lastRowFirstColumn="0" w:lastRowLastColumn="0"/>
            <w:tcW w:w="4536" w:type="dxa"/>
          </w:tcPr>
          <w:p w14:paraId="56A29304" w14:textId="0EA9AB92" w:rsidR="00AA1394" w:rsidRPr="00D93E5B" w:rsidRDefault="00AA1394" w:rsidP="00AA1394">
            <w:pPr>
              <w:rPr>
                <w:b w:val="0"/>
                <w:bCs/>
                <w:sz w:val="16"/>
                <w:szCs w:val="16"/>
              </w:rPr>
            </w:pPr>
            <w:r w:rsidRPr="00D93E5B">
              <w:rPr>
                <w:b w:val="0"/>
                <w:bCs/>
                <w:sz w:val="16"/>
                <w:szCs w:val="16"/>
              </w:rPr>
              <w:t>OTP Economics</w:t>
            </w:r>
          </w:p>
        </w:tc>
        <w:tc>
          <w:tcPr>
            <w:tcW w:w="2977" w:type="dxa"/>
          </w:tcPr>
          <w:p w14:paraId="35EED2CD" w14:textId="5740BD7F" w:rsidR="00AA1394" w:rsidRPr="00C8127C" w:rsidRDefault="00AA1394" w:rsidP="00AA1394">
            <w:pPr>
              <w:cnfStyle w:val="000000000000" w:firstRow="0" w:lastRow="0" w:firstColumn="0" w:lastColumn="0" w:oddVBand="0" w:evenVBand="0" w:oddHBand="0" w:evenHBand="0" w:firstRowFirstColumn="0" w:firstRowLastColumn="0" w:lastRowFirstColumn="0" w:lastRowLastColumn="0"/>
              <w:rPr>
                <w:sz w:val="16"/>
                <w:szCs w:val="16"/>
              </w:rPr>
            </w:pPr>
            <w:r w:rsidRPr="05DC78EE">
              <w:rPr>
                <w:sz w:val="16"/>
                <w:szCs w:val="16"/>
              </w:rPr>
              <w:t xml:space="preserve">Anngalee Toth </w:t>
            </w:r>
          </w:p>
        </w:tc>
        <w:tc>
          <w:tcPr>
            <w:tcW w:w="2239" w:type="dxa"/>
          </w:tcPr>
          <w:p w14:paraId="2619CDDA" w14:textId="6F9CF4D2" w:rsidR="00AA1394" w:rsidRPr="007F7809" w:rsidRDefault="00AA1394" w:rsidP="00AA1394">
            <w:pPr>
              <w:cnfStyle w:val="000000000000" w:firstRow="0" w:lastRow="0" w:firstColumn="0" w:lastColumn="0" w:oddVBand="0" w:evenVBand="0" w:oddHBand="0" w:evenHBand="0" w:firstRowFirstColumn="0" w:firstRowLastColumn="0" w:lastRowFirstColumn="0" w:lastRowLastColumn="0"/>
              <w:rPr>
                <w:sz w:val="16"/>
                <w:szCs w:val="16"/>
              </w:rPr>
            </w:pPr>
            <w:r w:rsidRPr="00C8127C">
              <w:rPr>
                <w:sz w:val="16"/>
                <w:szCs w:val="16"/>
              </w:rPr>
              <w:t>Group</w:t>
            </w:r>
          </w:p>
        </w:tc>
      </w:tr>
      <w:tr w:rsidR="00AA1394" w14:paraId="5B620CAE" w14:textId="77777777" w:rsidTr="00AA1394">
        <w:tc>
          <w:tcPr>
            <w:cnfStyle w:val="001000000000" w:firstRow="0" w:lastRow="0" w:firstColumn="1" w:lastColumn="0" w:oddVBand="0" w:evenVBand="0" w:oddHBand="0" w:evenHBand="0" w:firstRowFirstColumn="0" w:firstRowLastColumn="0" w:lastRowFirstColumn="0" w:lastRowLastColumn="0"/>
            <w:tcW w:w="4536" w:type="dxa"/>
          </w:tcPr>
          <w:p w14:paraId="1FF893C2" w14:textId="1E27A954" w:rsidR="00AA1394" w:rsidRPr="00D93E5B" w:rsidRDefault="00AA1394" w:rsidP="00AA1394">
            <w:pPr>
              <w:rPr>
                <w:b w:val="0"/>
                <w:bCs/>
                <w:sz w:val="16"/>
                <w:szCs w:val="16"/>
              </w:rPr>
            </w:pPr>
            <w:r w:rsidRPr="00D93E5B">
              <w:rPr>
                <w:b w:val="0"/>
                <w:bCs/>
                <w:sz w:val="16"/>
                <w:szCs w:val="16"/>
              </w:rPr>
              <w:t>OTP Economics</w:t>
            </w:r>
          </w:p>
        </w:tc>
        <w:tc>
          <w:tcPr>
            <w:tcW w:w="2977" w:type="dxa"/>
          </w:tcPr>
          <w:p w14:paraId="1E493FFD" w14:textId="5B8D4FF1" w:rsidR="00AA1394" w:rsidRPr="05DC78EE" w:rsidRDefault="00AA1394" w:rsidP="00AA1394">
            <w:pPr>
              <w:cnfStyle w:val="000000000000" w:firstRow="0" w:lastRow="0" w:firstColumn="0" w:lastColumn="0" w:oddVBand="0" w:evenVBand="0" w:oddHBand="0" w:evenHBand="0" w:firstRowFirstColumn="0" w:firstRowLastColumn="0" w:lastRowFirstColumn="0" w:lastRowLastColumn="0"/>
              <w:rPr>
                <w:sz w:val="16"/>
                <w:szCs w:val="16"/>
              </w:rPr>
            </w:pPr>
            <w:r w:rsidRPr="00C8127C">
              <w:rPr>
                <w:sz w:val="16"/>
                <w:szCs w:val="16"/>
              </w:rPr>
              <w:t>Wilma Gilles</w:t>
            </w:r>
          </w:p>
        </w:tc>
        <w:tc>
          <w:tcPr>
            <w:tcW w:w="2239" w:type="dxa"/>
          </w:tcPr>
          <w:p w14:paraId="7B287D76" w14:textId="73690B54" w:rsidR="00AA1394" w:rsidRPr="007F7809" w:rsidRDefault="00AA1394" w:rsidP="00AA1394">
            <w:pPr>
              <w:cnfStyle w:val="000000000000" w:firstRow="0" w:lastRow="0" w:firstColumn="0" w:lastColumn="0" w:oddVBand="0" w:evenVBand="0" w:oddHBand="0" w:evenHBand="0" w:firstRowFirstColumn="0" w:firstRowLastColumn="0" w:lastRowFirstColumn="0" w:lastRowLastColumn="0"/>
              <w:rPr>
                <w:sz w:val="16"/>
                <w:szCs w:val="16"/>
              </w:rPr>
            </w:pPr>
            <w:r w:rsidRPr="00C8127C">
              <w:rPr>
                <w:sz w:val="16"/>
                <w:szCs w:val="16"/>
              </w:rPr>
              <w:t>Group</w:t>
            </w:r>
          </w:p>
        </w:tc>
      </w:tr>
      <w:tr w:rsidR="00AA1394" w14:paraId="4B56F1DD" w14:textId="77777777" w:rsidTr="00AA1394">
        <w:tc>
          <w:tcPr>
            <w:cnfStyle w:val="001000000000" w:firstRow="0" w:lastRow="0" w:firstColumn="1" w:lastColumn="0" w:oddVBand="0" w:evenVBand="0" w:oddHBand="0" w:evenHBand="0" w:firstRowFirstColumn="0" w:firstRowLastColumn="0" w:lastRowFirstColumn="0" w:lastRowLastColumn="0"/>
            <w:tcW w:w="4536" w:type="dxa"/>
          </w:tcPr>
          <w:p w14:paraId="4959A65C" w14:textId="5D8CE119" w:rsidR="00AA1394" w:rsidRPr="00D93E5B" w:rsidRDefault="00AA1394" w:rsidP="00AA1394">
            <w:pPr>
              <w:rPr>
                <w:b w:val="0"/>
                <w:bCs/>
                <w:sz w:val="16"/>
                <w:szCs w:val="16"/>
              </w:rPr>
            </w:pPr>
            <w:r w:rsidRPr="00D93E5B">
              <w:rPr>
                <w:b w:val="0"/>
                <w:bCs/>
                <w:sz w:val="16"/>
                <w:szCs w:val="16"/>
              </w:rPr>
              <w:t>EGS</w:t>
            </w:r>
          </w:p>
        </w:tc>
        <w:tc>
          <w:tcPr>
            <w:tcW w:w="2977" w:type="dxa"/>
          </w:tcPr>
          <w:p w14:paraId="0F500306" w14:textId="02325FD1" w:rsidR="00AA1394" w:rsidRPr="00C8127C" w:rsidRDefault="00AA1394" w:rsidP="00AA1394">
            <w:pPr>
              <w:cnfStyle w:val="000000000000" w:firstRow="0" w:lastRow="0" w:firstColumn="0" w:lastColumn="0" w:oddVBand="0" w:evenVBand="0" w:oddHBand="0" w:evenHBand="0" w:firstRowFirstColumn="0" w:firstRowLastColumn="0" w:lastRowFirstColumn="0" w:lastRowLastColumn="0"/>
              <w:rPr>
                <w:sz w:val="16"/>
                <w:szCs w:val="16"/>
              </w:rPr>
            </w:pPr>
            <w:r w:rsidRPr="00EF7AE3">
              <w:rPr>
                <w:sz w:val="16"/>
                <w:szCs w:val="16"/>
              </w:rPr>
              <w:t xml:space="preserve">Ben Power </w:t>
            </w:r>
          </w:p>
        </w:tc>
        <w:tc>
          <w:tcPr>
            <w:tcW w:w="2239" w:type="dxa"/>
          </w:tcPr>
          <w:p w14:paraId="0B90C15E" w14:textId="034A9594" w:rsidR="00AA1394" w:rsidRPr="00C8127C" w:rsidRDefault="00AA1394" w:rsidP="00AA1394">
            <w:pPr>
              <w:cnfStyle w:val="000000000000" w:firstRow="0" w:lastRow="0" w:firstColumn="0" w:lastColumn="0" w:oddVBand="0" w:evenVBand="0" w:oddHBand="0" w:evenHBand="0" w:firstRowFirstColumn="0" w:firstRowLastColumn="0" w:lastRowFirstColumn="0" w:lastRowLastColumn="0"/>
              <w:rPr>
                <w:sz w:val="16"/>
                <w:szCs w:val="16"/>
              </w:rPr>
            </w:pPr>
            <w:r w:rsidRPr="00C8127C">
              <w:rPr>
                <w:sz w:val="16"/>
                <w:szCs w:val="16"/>
              </w:rPr>
              <w:t>Group</w:t>
            </w:r>
          </w:p>
        </w:tc>
      </w:tr>
      <w:tr w:rsidR="00AA1394" w14:paraId="24F245ED" w14:textId="77777777" w:rsidTr="00AA1394">
        <w:tc>
          <w:tcPr>
            <w:cnfStyle w:val="001000000000" w:firstRow="0" w:lastRow="0" w:firstColumn="1" w:lastColumn="0" w:oddVBand="0" w:evenVBand="0" w:oddHBand="0" w:evenHBand="0" w:firstRowFirstColumn="0" w:firstRowLastColumn="0" w:lastRowFirstColumn="0" w:lastRowLastColumn="0"/>
            <w:tcW w:w="4536" w:type="dxa"/>
          </w:tcPr>
          <w:p w14:paraId="6E86F8D1" w14:textId="5AD0C73B" w:rsidR="00AA1394" w:rsidRPr="00D93E5B" w:rsidRDefault="00AA1394" w:rsidP="00AA1394">
            <w:pPr>
              <w:rPr>
                <w:b w:val="0"/>
                <w:bCs/>
                <w:sz w:val="16"/>
                <w:szCs w:val="16"/>
              </w:rPr>
            </w:pPr>
            <w:r w:rsidRPr="00D93E5B">
              <w:rPr>
                <w:b w:val="0"/>
                <w:bCs/>
                <w:sz w:val="16"/>
                <w:szCs w:val="16"/>
              </w:rPr>
              <w:t>EGS</w:t>
            </w:r>
          </w:p>
        </w:tc>
        <w:tc>
          <w:tcPr>
            <w:tcW w:w="2977" w:type="dxa"/>
          </w:tcPr>
          <w:p w14:paraId="4B046B67" w14:textId="61928866" w:rsidR="00AA1394" w:rsidRPr="00C8127C" w:rsidRDefault="00AA1394" w:rsidP="00AA1394">
            <w:pPr>
              <w:cnfStyle w:val="000000000000" w:firstRow="0" w:lastRow="0" w:firstColumn="0" w:lastColumn="0" w:oddVBand="0" w:evenVBand="0" w:oddHBand="0" w:evenHBand="0" w:firstRowFirstColumn="0" w:firstRowLastColumn="0" w:lastRowFirstColumn="0" w:lastRowLastColumn="0"/>
              <w:rPr>
                <w:sz w:val="16"/>
                <w:szCs w:val="16"/>
              </w:rPr>
            </w:pPr>
            <w:r w:rsidRPr="00EF7AE3">
              <w:rPr>
                <w:sz w:val="16"/>
                <w:szCs w:val="16"/>
              </w:rPr>
              <w:t xml:space="preserve">Andrew Abel </w:t>
            </w:r>
          </w:p>
        </w:tc>
        <w:tc>
          <w:tcPr>
            <w:tcW w:w="2239" w:type="dxa"/>
          </w:tcPr>
          <w:p w14:paraId="03992377" w14:textId="5F590370" w:rsidR="00AA1394" w:rsidRPr="00C8127C" w:rsidRDefault="00AA1394" w:rsidP="00AA1394">
            <w:pPr>
              <w:cnfStyle w:val="000000000000" w:firstRow="0" w:lastRow="0" w:firstColumn="0" w:lastColumn="0" w:oddVBand="0" w:evenVBand="0" w:oddHBand="0" w:evenHBand="0" w:firstRowFirstColumn="0" w:firstRowLastColumn="0" w:lastRowFirstColumn="0" w:lastRowLastColumn="0"/>
              <w:rPr>
                <w:sz w:val="16"/>
                <w:szCs w:val="16"/>
              </w:rPr>
            </w:pPr>
            <w:r w:rsidRPr="00C8127C">
              <w:rPr>
                <w:sz w:val="16"/>
                <w:szCs w:val="16"/>
              </w:rPr>
              <w:t>Group</w:t>
            </w:r>
          </w:p>
        </w:tc>
      </w:tr>
      <w:tr w:rsidR="00AA1394" w14:paraId="0F7E4F4F" w14:textId="77777777" w:rsidTr="00AA1394">
        <w:tc>
          <w:tcPr>
            <w:cnfStyle w:val="001000000000" w:firstRow="0" w:lastRow="0" w:firstColumn="1" w:lastColumn="0" w:oddVBand="0" w:evenVBand="0" w:oddHBand="0" w:evenHBand="0" w:firstRowFirstColumn="0" w:firstRowLastColumn="0" w:lastRowFirstColumn="0" w:lastRowLastColumn="0"/>
            <w:tcW w:w="4536" w:type="dxa"/>
          </w:tcPr>
          <w:p w14:paraId="3101F819" w14:textId="16780B09" w:rsidR="00AA1394" w:rsidRPr="00D93E5B" w:rsidRDefault="00AA1394" w:rsidP="00AA1394">
            <w:pPr>
              <w:rPr>
                <w:b w:val="0"/>
                <w:bCs/>
                <w:sz w:val="16"/>
                <w:szCs w:val="16"/>
              </w:rPr>
            </w:pPr>
            <w:r w:rsidRPr="00D93E5B">
              <w:rPr>
                <w:b w:val="0"/>
                <w:bCs/>
                <w:sz w:val="16"/>
                <w:szCs w:val="16"/>
              </w:rPr>
              <w:t>EGS</w:t>
            </w:r>
          </w:p>
        </w:tc>
        <w:tc>
          <w:tcPr>
            <w:tcW w:w="2977" w:type="dxa"/>
          </w:tcPr>
          <w:p w14:paraId="3397A3CF" w14:textId="4D87A917" w:rsidR="00AA1394" w:rsidRPr="00C8127C" w:rsidRDefault="00AA1394" w:rsidP="00AA1394">
            <w:pPr>
              <w:cnfStyle w:val="000000000000" w:firstRow="0" w:lastRow="0" w:firstColumn="0" w:lastColumn="0" w:oddVBand="0" w:evenVBand="0" w:oddHBand="0" w:evenHBand="0" w:firstRowFirstColumn="0" w:firstRowLastColumn="0" w:lastRowFirstColumn="0" w:lastRowLastColumn="0"/>
              <w:rPr>
                <w:sz w:val="16"/>
                <w:szCs w:val="16"/>
              </w:rPr>
            </w:pPr>
            <w:r w:rsidRPr="00EF7AE3">
              <w:rPr>
                <w:sz w:val="16"/>
                <w:szCs w:val="16"/>
              </w:rPr>
              <w:t>Ria Bhagat</w:t>
            </w:r>
          </w:p>
        </w:tc>
        <w:tc>
          <w:tcPr>
            <w:tcW w:w="2239" w:type="dxa"/>
          </w:tcPr>
          <w:p w14:paraId="5B741609" w14:textId="74E5D420" w:rsidR="00AA1394" w:rsidRPr="00C8127C" w:rsidRDefault="00AA1394" w:rsidP="00AA1394">
            <w:pPr>
              <w:cnfStyle w:val="000000000000" w:firstRow="0" w:lastRow="0" w:firstColumn="0" w:lastColumn="0" w:oddVBand="0" w:evenVBand="0" w:oddHBand="0" w:evenHBand="0" w:firstRowFirstColumn="0" w:firstRowLastColumn="0" w:lastRowFirstColumn="0" w:lastRowLastColumn="0"/>
              <w:rPr>
                <w:sz w:val="16"/>
                <w:szCs w:val="16"/>
              </w:rPr>
            </w:pPr>
            <w:r w:rsidRPr="00C8127C">
              <w:rPr>
                <w:sz w:val="16"/>
                <w:szCs w:val="16"/>
              </w:rPr>
              <w:t>Group</w:t>
            </w:r>
          </w:p>
        </w:tc>
      </w:tr>
      <w:tr w:rsidR="00AA1394" w14:paraId="476B60EA" w14:textId="77777777" w:rsidTr="00AA1394">
        <w:tc>
          <w:tcPr>
            <w:cnfStyle w:val="001000000000" w:firstRow="0" w:lastRow="0" w:firstColumn="1" w:lastColumn="0" w:oddVBand="0" w:evenVBand="0" w:oddHBand="0" w:evenHBand="0" w:firstRowFirstColumn="0" w:firstRowLastColumn="0" w:lastRowFirstColumn="0" w:lastRowLastColumn="0"/>
            <w:tcW w:w="4536" w:type="dxa"/>
          </w:tcPr>
          <w:p w14:paraId="4CCFB456" w14:textId="164C21A1" w:rsidR="00AA1394" w:rsidRPr="00D93E5B" w:rsidRDefault="00AA1394" w:rsidP="00AA1394">
            <w:pPr>
              <w:rPr>
                <w:b w:val="0"/>
                <w:bCs/>
                <w:sz w:val="16"/>
                <w:szCs w:val="16"/>
              </w:rPr>
            </w:pPr>
            <w:r w:rsidRPr="00D93E5B">
              <w:rPr>
                <w:b w:val="0"/>
                <w:bCs/>
                <w:sz w:val="16"/>
                <w:szCs w:val="16"/>
              </w:rPr>
              <w:t>EGS</w:t>
            </w:r>
          </w:p>
        </w:tc>
        <w:tc>
          <w:tcPr>
            <w:tcW w:w="2977" w:type="dxa"/>
          </w:tcPr>
          <w:p w14:paraId="57462F17" w14:textId="686EC7BF" w:rsidR="00AA1394" w:rsidRPr="00C8127C" w:rsidRDefault="00AA1394" w:rsidP="00AA1394">
            <w:pPr>
              <w:cnfStyle w:val="000000000000" w:firstRow="0" w:lastRow="0" w:firstColumn="0" w:lastColumn="0" w:oddVBand="0" w:evenVBand="0" w:oddHBand="0" w:evenHBand="0" w:firstRowFirstColumn="0" w:firstRowLastColumn="0" w:lastRowFirstColumn="0" w:lastRowLastColumn="0"/>
              <w:rPr>
                <w:sz w:val="16"/>
                <w:szCs w:val="16"/>
              </w:rPr>
            </w:pPr>
            <w:r w:rsidRPr="00EF7AE3">
              <w:rPr>
                <w:sz w:val="16"/>
                <w:szCs w:val="16"/>
              </w:rPr>
              <w:t>Tash Payne</w:t>
            </w:r>
          </w:p>
        </w:tc>
        <w:tc>
          <w:tcPr>
            <w:tcW w:w="2239" w:type="dxa"/>
          </w:tcPr>
          <w:p w14:paraId="3A897C1E" w14:textId="3007CACF" w:rsidR="00AA1394" w:rsidRPr="00C8127C" w:rsidRDefault="00AA1394" w:rsidP="00AA1394">
            <w:pPr>
              <w:cnfStyle w:val="000000000000" w:firstRow="0" w:lastRow="0" w:firstColumn="0" w:lastColumn="0" w:oddVBand="0" w:evenVBand="0" w:oddHBand="0" w:evenHBand="0" w:firstRowFirstColumn="0" w:firstRowLastColumn="0" w:lastRowFirstColumn="0" w:lastRowLastColumn="0"/>
              <w:rPr>
                <w:sz w:val="16"/>
                <w:szCs w:val="16"/>
              </w:rPr>
            </w:pPr>
            <w:r w:rsidRPr="00C8127C">
              <w:rPr>
                <w:sz w:val="16"/>
                <w:szCs w:val="16"/>
              </w:rPr>
              <w:t>Group</w:t>
            </w:r>
          </w:p>
        </w:tc>
      </w:tr>
      <w:tr w:rsidR="00AA1394" w14:paraId="6C9C63F2" w14:textId="77777777" w:rsidTr="00AA1394">
        <w:tc>
          <w:tcPr>
            <w:cnfStyle w:val="001000000000" w:firstRow="0" w:lastRow="0" w:firstColumn="1" w:lastColumn="0" w:oddVBand="0" w:evenVBand="0" w:oddHBand="0" w:evenHBand="0" w:firstRowFirstColumn="0" w:firstRowLastColumn="0" w:lastRowFirstColumn="0" w:lastRowLastColumn="0"/>
            <w:tcW w:w="4536" w:type="dxa"/>
          </w:tcPr>
          <w:p w14:paraId="03BAE90F" w14:textId="232927C0" w:rsidR="00AA1394" w:rsidRPr="00D93E5B" w:rsidRDefault="00AA1394" w:rsidP="00AA1394">
            <w:pPr>
              <w:rPr>
                <w:b w:val="0"/>
                <w:bCs/>
                <w:sz w:val="16"/>
                <w:szCs w:val="16"/>
              </w:rPr>
            </w:pPr>
            <w:r w:rsidRPr="00D93E5B">
              <w:rPr>
                <w:b w:val="0"/>
                <w:bCs/>
                <w:sz w:val="16"/>
                <w:szCs w:val="16"/>
              </w:rPr>
              <w:t>Pacific Aviation Section (VNS)</w:t>
            </w:r>
          </w:p>
        </w:tc>
        <w:tc>
          <w:tcPr>
            <w:tcW w:w="2977" w:type="dxa"/>
          </w:tcPr>
          <w:p w14:paraId="348B898A" w14:textId="5B56BA4A" w:rsidR="00AA1394" w:rsidRPr="00EF7AE3" w:rsidRDefault="00AA1394" w:rsidP="00AA1394">
            <w:pPr>
              <w:cnfStyle w:val="000000000000" w:firstRow="0" w:lastRow="0" w:firstColumn="0" w:lastColumn="0" w:oddVBand="0" w:evenVBand="0" w:oddHBand="0" w:evenHBand="0" w:firstRowFirstColumn="0" w:firstRowLastColumn="0" w:lastRowFirstColumn="0" w:lastRowLastColumn="0"/>
              <w:rPr>
                <w:sz w:val="16"/>
                <w:szCs w:val="16"/>
              </w:rPr>
            </w:pPr>
            <w:r w:rsidRPr="00577DEA">
              <w:rPr>
                <w:sz w:val="16"/>
                <w:szCs w:val="16"/>
              </w:rPr>
              <w:t xml:space="preserve">Charlotte Cullen </w:t>
            </w:r>
          </w:p>
        </w:tc>
        <w:tc>
          <w:tcPr>
            <w:tcW w:w="2239" w:type="dxa"/>
          </w:tcPr>
          <w:p w14:paraId="68284999" w14:textId="35A51190" w:rsidR="00AA1394" w:rsidRPr="00C8127C" w:rsidRDefault="00AA1394" w:rsidP="00AA1394">
            <w:pPr>
              <w:cnfStyle w:val="000000000000" w:firstRow="0" w:lastRow="0" w:firstColumn="0" w:lastColumn="0" w:oddVBand="0" w:evenVBand="0" w:oddHBand="0" w:evenHBand="0" w:firstRowFirstColumn="0" w:firstRowLastColumn="0" w:lastRowFirstColumn="0" w:lastRowLastColumn="0"/>
              <w:rPr>
                <w:sz w:val="16"/>
                <w:szCs w:val="16"/>
              </w:rPr>
            </w:pPr>
            <w:r w:rsidRPr="00C8127C">
              <w:rPr>
                <w:sz w:val="16"/>
                <w:szCs w:val="16"/>
              </w:rPr>
              <w:t>Group</w:t>
            </w:r>
          </w:p>
        </w:tc>
      </w:tr>
      <w:tr w:rsidR="00AA1394" w14:paraId="1191E01F" w14:textId="77777777" w:rsidTr="00AA1394">
        <w:tc>
          <w:tcPr>
            <w:cnfStyle w:val="001000000000" w:firstRow="0" w:lastRow="0" w:firstColumn="1" w:lastColumn="0" w:oddVBand="0" w:evenVBand="0" w:oddHBand="0" w:evenHBand="0" w:firstRowFirstColumn="0" w:firstRowLastColumn="0" w:lastRowFirstColumn="0" w:lastRowLastColumn="0"/>
            <w:tcW w:w="4536" w:type="dxa"/>
          </w:tcPr>
          <w:p w14:paraId="337650BC" w14:textId="1BDA3B69" w:rsidR="00AA1394" w:rsidRPr="00D93E5B" w:rsidRDefault="00AA1394" w:rsidP="00AA1394">
            <w:pPr>
              <w:rPr>
                <w:b w:val="0"/>
                <w:bCs/>
                <w:sz w:val="16"/>
                <w:szCs w:val="16"/>
              </w:rPr>
            </w:pPr>
            <w:r w:rsidRPr="00D93E5B">
              <w:rPr>
                <w:b w:val="0"/>
                <w:bCs/>
                <w:sz w:val="16"/>
                <w:szCs w:val="16"/>
              </w:rPr>
              <w:t>VNS</w:t>
            </w:r>
          </w:p>
        </w:tc>
        <w:tc>
          <w:tcPr>
            <w:tcW w:w="2977" w:type="dxa"/>
          </w:tcPr>
          <w:p w14:paraId="5D04159C" w14:textId="293591EF" w:rsidR="00AA1394" w:rsidRPr="00EF7AE3" w:rsidRDefault="00AA1394" w:rsidP="00AA1394">
            <w:pPr>
              <w:cnfStyle w:val="000000000000" w:firstRow="0" w:lastRow="0" w:firstColumn="0" w:lastColumn="0" w:oddVBand="0" w:evenVBand="0" w:oddHBand="0" w:evenHBand="0" w:firstRowFirstColumn="0" w:firstRowLastColumn="0" w:lastRowFirstColumn="0" w:lastRowLastColumn="0"/>
              <w:rPr>
                <w:sz w:val="16"/>
                <w:szCs w:val="16"/>
              </w:rPr>
            </w:pPr>
            <w:r w:rsidRPr="00577DEA">
              <w:rPr>
                <w:sz w:val="16"/>
                <w:szCs w:val="16"/>
              </w:rPr>
              <w:t xml:space="preserve">Jennifer Alexander </w:t>
            </w:r>
          </w:p>
        </w:tc>
        <w:tc>
          <w:tcPr>
            <w:tcW w:w="2239" w:type="dxa"/>
          </w:tcPr>
          <w:p w14:paraId="00BDEF4C" w14:textId="189F9B27" w:rsidR="00AA1394" w:rsidRPr="00C8127C" w:rsidRDefault="00AA1394" w:rsidP="00AA1394">
            <w:pPr>
              <w:cnfStyle w:val="000000000000" w:firstRow="0" w:lastRow="0" w:firstColumn="0" w:lastColumn="0" w:oddVBand="0" w:evenVBand="0" w:oddHBand="0" w:evenHBand="0" w:firstRowFirstColumn="0" w:firstRowLastColumn="0" w:lastRowFirstColumn="0" w:lastRowLastColumn="0"/>
              <w:rPr>
                <w:sz w:val="16"/>
                <w:szCs w:val="16"/>
              </w:rPr>
            </w:pPr>
            <w:r w:rsidRPr="00C8127C">
              <w:rPr>
                <w:sz w:val="16"/>
                <w:szCs w:val="16"/>
              </w:rPr>
              <w:t>Group</w:t>
            </w:r>
          </w:p>
        </w:tc>
      </w:tr>
      <w:tr w:rsidR="00AA1394" w14:paraId="0474A787" w14:textId="77777777" w:rsidTr="00AA1394">
        <w:tc>
          <w:tcPr>
            <w:cnfStyle w:val="001000000000" w:firstRow="0" w:lastRow="0" w:firstColumn="1" w:lastColumn="0" w:oddVBand="0" w:evenVBand="0" w:oddHBand="0" w:evenHBand="0" w:firstRowFirstColumn="0" w:firstRowLastColumn="0" w:lastRowFirstColumn="0" w:lastRowLastColumn="0"/>
            <w:tcW w:w="4536" w:type="dxa"/>
          </w:tcPr>
          <w:p w14:paraId="390BDECD" w14:textId="1E25F0C1" w:rsidR="00AA1394" w:rsidRPr="00D93E5B" w:rsidRDefault="00AA1394" w:rsidP="00AA1394">
            <w:pPr>
              <w:rPr>
                <w:b w:val="0"/>
                <w:bCs/>
                <w:sz w:val="16"/>
                <w:szCs w:val="16"/>
              </w:rPr>
            </w:pPr>
            <w:r w:rsidRPr="00D93E5B">
              <w:rPr>
                <w:b w:val="0"/>
                <w:bCs/>
                <w:sz w:val="16"/>
                <w:szCs w:val="16"/>
              </w:rPr>
              <w:t>VNS</w:t>
            </w:r>
          </w:p>
        </w:tc>
        <w:tc>
          <w:tcPr>
            <w:tcW w:w="2977" w:type="dxa"/>
          </w:tcPr>
          <w:p w14:paraId="176F27FB" w14:textId="072C4AA1" w:rsidR="00AA1394" w:rsidRPr="00EF7AE3" w:rsidRDefault="00AA1394" w:rsidP="00AA1394">
            <w:pPr>
              <w:cnfStyle w:val="000000000000" w:firstRow="0" w:lastRow="0" w:firstColumn="0" w:lastColumn="0" w:oddVBand="0" w:evenVBand="0" w:oddHBand="0" w:evenHBand="0" w:firstRowFirstColumn="0" w:firstRowLastColumn="0" w:lastRowFirstColumn="0" w:lastRowLastColumn="0"/>
              <w:rPr>
                <w:sz w:val="16"/>
                <w:szCs w:val="16"/>
              </w:rPr>
            </w:pPr>
            <w:r w:rsidRPr="00577DEA">
              <w:rPr>
                <w:sz w:val="16"/>
                <w:szCs w:val="16"/>
              </w:rPr>
              <w:t xml:space="preserve">Narelle Hallion </w:t>
            </w:r>
          </w:p>
        </w:tc>
        <w:tc>
          <w:tcPr>
            <w:tcW w:w="2239" w:type="dxa"/>
          </w:tcPr>
          <w:p w14:paraId="1E5D82EE" w14:textId="3E0FF8D7" w:rsidR="00AA1394" w:rsidRPr="00C8127C" w:rsidRDefault="00AA1394" w:rsidP="00AA1394">
            <w:pPr>
              <w:cnfStyle w:val="000000000000" w:firstRow="0" w:lastRow="0" w:firstColumn="0" w:lastColumn="0" w:oddVBand="0" w:evenVBand="0" w:oddHBand="0" w:evenHBand="0" w:firstRowFirstColumn="0" w:firstRowLastColumn="0" w:lastRowFirstColumn="0" w:lastRowLastColumn="0"/>
              <w:rPr>
                <w:sz w:val="16"/>
                <w:szCs w:val="16"/>
              </w:rPr>
            </w:pPr>
            <w:r w:rsidRPr="00C8127C">
              <w:rPr>
                <w:sz w:val="16"/>
                <w:szCs w:val="16"/>
              </w:rPr>
              <w:t>Group</w:t>
            </w:r>
          </w:p>
        </w:tc>
      </w:tr>
      <w:tr w:rsidR="00AA1394" w14:paraId="1720341A" w14:textId="77777777" w:rsidTr="00AA1394">
        <w:tc>
          <w:tcPr>
            <w:cnfStyle w:val="001000000000" w:firstRow="0" w:lastRow="0" w:firstColumn="1" w:lastColumn="0" w:oddVBand="0" w:evenVBand="0" w:oddHBand="0" w:evenHBand="0" w:firstRowFirstColumn="0" w:firstRowLastColumn="0" w:lastRowFirstColumn="0" w:lastRowLastColumn="0"/>
            <w:tcW w:w="4536" w:type="dxa"/>
          </w:tcPr>
          <w:p w14:paraId="0554E664" w14:textId="3091EC23" w:rsidR="00AA1394" w:rsidRPr="00D93E5B" w:rsidRDefault="00AA1394" w:rsidP="00AA1394">
            <w:pPr>
              <w:rPr>
                <w:b w:val="0"/>
                <w:bCs/>
                <w:sz w:val="16"/>
                <w:szCs w:val="16"/>
              </w:rPr>
            </w:pPr>
            <w:r w:rsidRPr="00D93E5B">
              <w:rPr>
                <w:b w:val="0"/>
                <w:bCs/>
                <w:sz w:val="16"/>
                <w:szCs w:val="16"/>
              </w:rPr>
              <w:t>VNS</w:t>
            </w:r>
          </w:p>
        </w:tc>
        <w:tc>
          <w:tcPr>
            <w:tcW w:w="2977" w:type="dxa"/>
          </w:tcPr>
          <w:p w14:paraId="25173ABC" w14:textId="4937BCEF" w:rsidR="00AA1394" w:rsidRPr="00EF7AE3" w:rsidRDefault="00AA1394" w:rsidP="00AA1394">
            <w:pPr>
              <w:cnfStyle w:val="000000000000" w:firstRow="0" w:lastRow="0" w:firstColumn="0" w:lastColumn="0" w:oddVBand="0" w:evenVBand="0" w:oddHBand="0" w:evenHBand="0" w:firstRowFirstColumn="0" w:firstRowLastColumn="0" w:lastRowFirstColumn="0" w:lastRowLastColumn="0"/>
              <w:rPr>
                <w:sz w:val="16"/>
                <w:szCs w:val="16"/>
              </w:rPr>
            </w:pPr>
            <w:r w:rsidRPr="00577DEA">
              <w:rPr>
                <w:sz w:val="16"/>
                <w:szCs w:val="16"/>
              </w:rPr>
              <w:t xml:space="preserve">Avi Baskar </w:t>
            </w:r>
          </w:p>
        </w:tc>
        <w:tc>
          <w:tcPr>
            <w:tcW w:w="2239" w:type="dxa"/>
          </w:tcPr>
          <w:p w14:paraId="0734FED0" w14:textId="05CA2980" w:rsidR="00AA1394" w:rsidRPr="00C8127C" w:rsidRDefault="00AA1394" w:rsidP="00AA1394">
            <w:pPr>
              <w:cnfStyle w:val="000000000000" w:firstRow="0" w:lastRow="0" w:firstColumn="0" w:lastColumn="0" w:oddVBand="0" w:evenVBand="0" w:oddHBand="0" w:evenHBand="0" w:firstRowFirstColumn="0" w:firstRowLastColumn="0" w:lastRowFirstColumn="0" w:lastRowLastColumn="0"/>
              <w:rPr>
                <w:sz w:val="16"/>
                <w:szCs w:val="16"/>
              </w:rPr>
            </w:pPr>
            <w:r w:rsidRPr="00C8127C">
              <w:rPr>
                <w:sz w:val="16"/>
                <w:szCs w:val="16"/>
              </w:rPr>
              <w:t>Group</w:t>
            </w:r>
          </w:p>
        </w:tc>
      </w:tr>
      <w:tr w:rsidR="00AA1394" w14:paraId="4C398448" w14:textId="77777777" w:rsidTr="00AA1394">
        <w:tc>
          <w:tcPr>
            <w:cnfStyle w:val="001000000000" w:firstRow="0" w:lastRow="0" w:firstColumn="1" w:lastColumn="0" w:oddVBand="0" w:evenVBand="0" w:oddHBand="0" w:evenHBand="0" w:firstRowFirstColumn="0" w:firstRowLastColumn="0" w:lastRowFirstColumn="0" w:lastRowLastColumn="0"/>
            <w:tcW w:w="4536" w:type="dxa"/>
          </w:tcPr>
          <w:p w14:paraId="3584B929" w14:textId="691CD441" w:rsidR="00AA1394" w:rsidRPr="00D93E5B" w:rsidRDefault="00AA1394" w:rsidP="00AA1394">
            <w:pPr>
              <w:rPr>
                <w:b w:val="0"/>
                <w:bCs/>
                <w:sz w:val="16"/>
                <w:szCs w:val="16"/>
              </w:rPr>
            </w:pPr>
            <w:r w:rsidRPr="00D93E5B">
              <w:rPr>
                <w:b w:val="0"/>
                <w:bCs/>
                <w:sz w:val="16"/>
                <w:szCs w:val="16"/>
              </w:rPr>
              <w:t>VNS</w:t>
            </w:r>
          </w:p>
        </w:tc>
        <w:tc>
          <w:tcPr>
            <w:tcW w:w="2977" w:type="dxa"/>
          </w:tcPr>
          <w:p w14:paraId="3FC0348F" w14:textId="7A57EA5F" w:rsidR="00AA1394" w:rsidRPr="00EF7AE3" w:rsidRDefault="00AA1394" w:rsidP="00AA1394">
            <w:pPr>
              <w:cnfStyle w:val="000000000000" w:firstRow="0" w:lastRow="0" w:firstColumn="0" w:lastColumn="0" w:oddVBand="0" w:evenVBand="0" w:oddHBand="0" w:evenHBand="0" w:firstRowFirstColumn="0" w:firstRowLastColumn="0" w:lastRowFirstColumn="0" w:lastRowLastColumn="0"/>
              <w:rPr>
                <w:sz w:val="16"/>
                <w:szCs w:val="16"/>
              </w:rPr>
            </w:pPr>
            <w:r w:rsidRPr="00577DEA">
              <w:rPr>
                <w:sz w:val="16"/>
                <w:szCs w:val="16"/>
              </w:rPr>
              <w:t xml:space="preserve">Mike Wight </w:t>
            </w:r>
          </w:p>
        </w:tc>
        <w:tc>
          <w:tcPr>
            <w:tcW w:w="2239" w:type="dxa"/>
          </w:tcPr>
          <w:p w14:paraId="4BAD238C" w14:textId="37A6BB5D" w:rsidR="00AA1394" w:rsidRPr="00C8127C" w:rsidRDefault="00AA1394" w:rsidP="00AA1394">
            <w:pPr>
              <w:cnfStyle w:val="000000000000" w:firstRow="0" w:lastRow="0" w:firstColumn="0" w:lastColumn="0" w:oddVBand="0" w:evenVBand="0" w:oddHBand="0" w:evenHBand="0" w:firstRowFirstColumn="0" w:firstRowLastColumn="0" w:lastRowFirstColumn="0" w:lastRowLastColumn="0"/>
              <w:rPr>
                <w:sz w:val="16"/>
                <w:szCs w:val="16"/>
              </w:rPr>
            </w:pPr>
            <w:r w:rsidRPr="00C8127C">
              <w:rPr>
                <w:sz w:val="16"/>
                <w:szCs w:val="16"/>
              </w:rPr>
              <w:t>Group</w:t>
            </w:r>
          </w:p>
        </w:tc>
      </w:tr>
    </w:tbl>
    <w:p w14:paraId="52781A94" w14:textId="77777777" w:rsidR="00EA37AE" w:rsidRDefault="00EA37AE" w:rsidP="00EA37AE"/>
    <w:p w14:paraId="20276F56" w14:textId="4DCBF2E0" w:rsidR="00AA1394" w:rsidRPr="00EE4AC1" w:rsidRDefault="00AA1394" w:rsidP="00AA1394">
      <w:pPr>
        <w:rPr>
          <w:b/>
          <w:bCs/>
          <w:sz w:val="16"/>
          <w:szCs w:val="16"/>
        </w:rPr>
      </w:pPr>
      <w:r w:rsidRPr="00EE4AC1">
        <w:rPr>
          <w:b/>
          <w:bCs/>
          <w:sz w:val="16"/>
          <w:szCs w:val="16"/>
        </w:rPr>
        <w:lastRenderedPageBreak/>
        <w:t>DFAT (Additional users of PRES / Broader OTP / Selection of PRES ASOs)</w:t>
      </w:r>
    </w:p>
    <w:tbl>
      <w:tblPr>
        <w:tblStyle w:val="TableGrid"/>
        <w:tblW w:w="0" w:type="auto"/>
        <w:tblLook w:val="04A0" w:firstRow="1" w:lastRow="0" w:firstColumn="1" w:lastColumn="0" w:noHBand="0" w:noVBand="1"/>
      </w:tblPr>
      <w:tblGrid>
        <w:gridCol w:w="4536"/>
        <w:gridCol w:w="2977"/>
        <w:gridCol w:w="2239"/>
      </w:tblGrid>
      <w:tr w:rsidR="00AA1394" w14:paraId="18886F4F" w14:textId="77777777" w:rsidTr="00AA13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198EA989" w14:textId="5285A801" w:rsidR="00AA1394" w:rsidRDefault="00AA1394" w:rsidP="00AA1394">
            <w:r w:rsidRPr="00EA37AE">
              <w:rPr>
                <w:sz w:val="16"/>
                <w:szCs w:val="16"/>
              </w:rPr>
              <w:t>Team/Position</w:t>
            </w:r>
          </w:p>
        </w:tc>
        <w:tc>
          <w:tcPr>
            <w:tcW w:w="2977" w:type="dxa"/>
          </w:tcPr>
          <w:p w14:paraId="110A9EE6" w14:textId="6C8B1EC1" w:rsidR="00AA1394" w:rsidRDefault="00AA1394" w:rsidP="00AA1394">
            <w:pPr>
              <w:cnfStyle w:val="100000000000" w:firstRow="1" w:lastRow="0" w:firstColumn="0" w:lastColumn="0" w:oddVBand="0" w:evenVBand="0" w:oddHBand="0" w:evenHBand="0" w:firstRowFirstColumn="0" w:firstRowLastColumn="0" w:lastRowFirstColumn="0" w:lastRowLastColumn="0"/>
            </w:pPr>
            <w:r>
              <w:rPr>
                <w:sz w:val="16"/>
                <w:szCs w:val="16"/>
              </w:rPr>
              <w:t>Name</w:t>
            </w:r>
          </w:p>
        </w:tc>
        <w:tc>
          <w:tcPr>
            <w:tcW w:w="2239" w:type="dxa"/>
          </w:tcPr>
          <w:p w14:paraId="5F7EA4E3" w14:textId="3027D4A4" w:rsidR="00AA1394" w:rsidRDefault="00AA1394" w:rsidP="00AA1394">
            <w:pPr>
              <w:cnfStyle w:val="100000000000" w:firstRow="1" w:lastRow="0" w:firstColumn="0" w:lastColumn="0" w:oddVBand="0" w:evenVBand="0" w:oddHBand="0" w:evenHBand="0" w:firstRowFirstColumn="0" w:firstRowLastColumn="0" w:lastRowFirstColumn="0" w:lastRowLastColumn="0"/>
            </w:pPr>
            <w:r>
              <w:rPr>
                <w:sz w:val="16"/>
                <w:szCs w:val="16"/>
              </w:rPr>
              <w:t>Interview type</w:t>
            </w:r>
          </w:p>
        </w:tc>
      </w:tr>
      <w:tr w:rsidR="00AA1394" w14:paraId="45555B9E" w14:textId="77777777" w:rsidTr="00AA1394">
        <w:tc>
          <w:tcPr>
            <w:cnfStyle w:val="001000000000" w:firstRow="0" w:lastRow="0" w:firstColumn="1" w:lastColumn="0" w:oddVBand="0" w:evenVBand="0" w:oddHBand="0" w:evenHBand="0" w:firstRowFirstColumn="0" w:firstRowLastColumn="0" w:lastRowFirstColumn="0" w:lastRowLastColumn="0"/>
            <w:tcW w:w="4536" w:type="dxa"/>
          </w:tcPr>
          <w:p w14:paraId="4522F12E" w14:textId="42F5ED32" w:rsidR="00AA1394" w:rsidRPr="00D93E5B" w:rsidRDefault="00AA1394" w:rsidP="00AA1394">
            <w:pPr>
              <w:rPr>
                <w:b w:val="0"/>
                <w:bCs/>
              </w:rPr>
            </w:pPr>
            <w:r w:rsidRPr="00D93E5B">
              <w:rPr>
                <w:b w:val="0"/>
                <w:bCs/>
                <w:sz w:val="16"/>
                <w:szCs w:val="16"/>
              </w:rPr>
              <w:t>77209/12 - Pacific Recovery Economic Support Program (Vanuatu)</w:t>
            </w:r>
          </w:p>
        </w:tc>
        <w:tc>
          <w:tcPr>
            <w:tcW w:w="2977" w:type="dxa"/>
          </w:tcPr>
          <w:p w14:paraId="688B567D" w14:textId="6F996829" w:rsidR="00AA1394" w:rsidRDefault="00AA1394" w:rsidP="00AA1394">
            <w:pPr>
              <w:cnfStyle w:val="000000000000" w:firstRow="0" w:lastRow="0" w:firstColumn="0" w:lastColumn="0" w:oddVBand="0" w:evenVBand="0" w:oddHBand="0" w:evenHBand="0" w:firstRowFirstColumn="0" w:firstRowLastColumn="0" w:lastRowFirstColumn="0" w:lastRowLastColumn="0"/>
            </w:pPr>
            <w:r w:rsidRPr="05DC78EE">
              <w:rPr>
                <w:sz w:val="16"/>
                <w:szCs w:val="16"/>
              </w:rPr>
              <w:t xml:space="preserve">Vanessa Balmasen Tambeana (AidWorks Contract Manager, Program Manager, Governance for Growth) </w:t>
            </w:r>
          </w:p>
        </w:tc>
        <w:tc>
          <w:tcPr>
            <w:tcW w:w="2239" w:type="dxa"/>
          </w:tcPr>
          <w:p w14:paraId="4481DF03" w14:textId="6B3DD44B" w:rsidR="00AA1394" w:rsidRDefault="00AA1394" w:rsidP="00AA1394">
            <w:pPr>
              <w:cnfStyle w:val="000000000000" w:firstRow="0" w:lastRow="0" w:firstColumn="0" w:lastColumn="0" w:oddVBand="0" w:evenVBand="0" w:oddHBand="0" w:evenHBand="0" w:firstRowFirstColumn="0" w:firstRowLastColumn="0" w:lastRowFirstColumn="0" w:lastRowLastColumn="0"/>
            </w:pPr>
            <w:r>
              <w:rPr>
                <w:sz w:val="16"/>
                <w:szCs w:val="16"/>
              </w:rPr>
              <w:t>Individual</w:t>
            </w:r>
          </w:p>
        </w:tc>
      </w:tr>
      <w:tr w:rsidR="00AA1394" w14:paraId="5CE96F6F" w14:textId="77777777" w:rsidTr="00AA1394">
        <w:tc>
          <w:tcPr>
            <w:cnfStyle w:val="001000000000" w:firstRow="0" w:lastRow="0" w:firstColumn="1" w:lastColumn="0" w:oddVBand="0" w:evenVBand="0" w:oddHBand="0" w:evenHBand="0" w:firstRowFirstColumn="0" w:firstRowLastColumn="0" w:lastRowFirstColumn="0" w:lastRowLastColumn="0"/>
            <w:tcW w:w="4536" w:type="dxa"/>
          </w:tcPr>
          <w:p w14:paraId="76A89AF4" w14:textId="3E063490" w:rsidR="00AA1394" w:rsidRPr="00D93E5B" w:rsidRDefault="00AA1394" w:rsidP="00AA1394">
            <w:pPr>
              <w:rPr>
                <w:b w:val="0"/>
                <w:bCs/>
              </w:rPr>
            </w:pPr>
            <w:r w:rsidRPr="00D93E5B">
              <w:rPr>
                <w:b w:val="0"/>
                <w:bCs/>
                <w:sz w:val="16"/>
                <w:szCs w:val="16"/>
              </w:rPr>
              <w:t>77209/2 - Provision of Nutrition Sensitive Value Chain Advisory Services (Papua New Guinea)</w:t>
            </w:r>
          </w:p>
        </w:tc>
        <w:tc>
          <w:tcPr>
            <w:tcW w:w="2977" w:type="dxa"/>
          </w:tcPr>
          <w:p w14:paraId="3D4D8BAF" w14:textId="0F1B40C5" w:rsidR="00AA1394" w:rsidRDefault="00AA1394" w:rsidP="00AA1394">
            <w:pPr>
              <w:cnfStyle w:val="000000000000" w:firstRow="0" w:lastRow="0" w:firstColumn="0" w:lastColumn="0" w:oddVBand="0" w:evenVBand="0" w:oddHBand="0" w:evenHBand="0" w:firstRowFirstColumn="0" w:firstRowLastColumn="0" w:lastRowFirstColumn="0" w:lastRowLastColumn="0"/>
            </w:pPr>
            <w:r w:rsidRPr="05DC78EE">
              <w:rPr>
                <w:sz w:val="16"/>
                <w:szCs w:val="16"/>
              </w:rPr>
              <w:t xml:space="preserve">Jessica Evans (AidWorks Contract Manager) Policy Officer, Goods and Government Procurement Section, Office of Global Trade Negotiations </w:t>
            </w:r>
          </w:p>
        </w:tc>
        <w:tc>
          <w:tcPr>
            <w:tcW w:w="2239" w:type="dxa"/>
          </w:tcPr>
          <w:p w14:paraId="62F49AF4" w14:textId="239091D8" w:rsidR="00AA1394" w:rsidRDefault="00AA1394" w:rsidP="00AA1394">
            <w:pPr>
              <w:cnfStyle w:val="000000000000" w:firstRow="0" w:lastRow="0" w:firstColumn="0" w:lastColumn="0" w:oddVBand="0" w:evenVBand="0" w:oddHBand="0" w:evenHBand="0" w:firstRowFirstColumn="0" w:firstRowLastColumn="0" w:lastRowFirstColumn="0" w:lastRowLastColumn="0"/>
            </w:pPr>
            <w:r w:rsidRPr="00C8127C">
              <w:rPr>
                <w:sz w:val="16"/>
                <w:szCs w:val="16"/>
              </w:rPr>
              <w:t>Group</w:t>
            </w:r>
          </w:p>
        </w:tc>
      </w:tr>
      <w:tr w:rsidR="00AA1394" w14:paraId="40E33B7A" w14:textId="77777777" w:rsidTr="00AA1394">
        <w:tc>
          <w:tcPr>
            <w:cnfStyle w:val="001000000000" w:firstRow="0" w:lastRow="0" w:firstColumn="1" w:lastColumn="0" w:oddVBand="0" w:evenVBand="0" w:oddHBand="0" w:evenHBand="0" w:firstRowFirstColumn="0" w:firstRowLastColumn="0" w:lastRowFirstColumn="0" w:lastRowLastColumn="0"/>
            <w:tcW w:w="4536" w:type="dxa"/>
          </w:tcPr>
          <w:p w14:paraId="0264EBA4" w14:textId="7C37E1DC" w:rsidR="00AA1394" w:rsidRPr="00D93E5B" w:rsidRDefault="00AA1394" w:rsidP="00AA1394">
            <w:pPr>
              <w:rPr>
                <w:b w:val="0"/>
                <w:bCs/>
              </w:rPr>
            </w:pPr>
            <w:r w:rsidRPr="00D93E5B">
              <w:rPr>
                <w:b w:val="0"/>
                <w:bCs/>
                <w:sz w:val="16"/>
                <w:szCs w:val="16"/>
              </w:rPr>
              <w:t>77209/11 Agriculture and Food Security Technical Advisory Services Order (Pacific)</w:t>
            </w:r>
          </w:p>
        </w:tc>
        <w:tc>
          <w:tcPr>
            <w:tcW w:w="2977" w:type="dxa"/>
          </w:tcPr>
          <w:p w14:paraId="74B09EC8" w14:textId="06E09F53" w:rsidR="00AA1394" w:rsidRDefault="00AA1394" w:rsidP="00AA1394">
            <w:pPr>
              <w:cnfStyle w:val="000000000000" w:firstRow="0" w:lastRow="0" w:firstColumn="0" w:lastColumn="0" w:oddVBand="0" w:evenVBand="0" w:oddHBand="0" w:evenHBand="0" w:firstRowFirstColumn="0" w:firstRowLastColumn="0" w:lastRowFirstColumn="0" w:lastRowLastColumn="0"/>
            </w:pPr>
            <w:r w:rsidRPr="05DC78EE">
              <w:rPr>
                <w:sz w:val="16"/>
                <w:szCs w:val="16"/>
              </w:rPr>
              <w:t xml:space="preserve">Luke Simmons (AidWorks Contract Manager) Agriculture Sector Specialist, Climate Resilient Agriculture and Food Security Section </w:t>
            </w:r>
          </w:p>
        </w:tc>
        <w:tc>
          <w:tcPr>
            <w:tcW w:w="2239" w:type="dxa"/>
          </w:tcPr>
          <w:p w14:paraId="36C8654E" w14:textId="724CE3EE" w:rsidR="00AA1394" w:rsidRDefault="00AA1394" w:rsidP="00AA1394">
            <w:pPr>
              <w:cnfStyle w:val="000000000000" w:firstRow="0" w:lastRow="0" w:firstColumn="0" w:lastColumn="0" w:oddVBand="0" w:evenVBand="0" w:oddHBand="0" w:evenHBand="0" w:firstRowFirstColumn="0" w:firstRowLastColumn="0" w:lastRowFirstColumn="0" w:lastRowLastColumn="0"/>
            </w:pPr>
            <w:r w:rsidRPr="0028461A">
              <w:rPr>
                <w:sz w:val="16"/>
                <w:szCs w:val="16"/>
              </w:rPr>
              <w:t>Group</w:t>
            </w:r>
          </w:p>
        </w:tc>
      </w:tr>
      <w:tr w:rsidR="00AA1394" w14:paraId="01D3E97A" w14:textId="77777777" w:rsidTr="00AA1394">
        <w:tc>
          <w:tcPr>
            <w:cnfStyle w:val="001000000000" w:firstRow="0" w:lastRow="0" w:firstColumn="1" w:lastColumn="0" w:oddVBand="0" w:evenVBand="0" w:oddHBand="0" w:evenHBand="0" w:firstRowFirstColumn="0" w:firstRowLastColumn="0" w:lastRowFirstColumn="0" w:lastRowLastColumn="0"/>
            <w:tcW w:w="4536" w:type="dxa"/>
          </w:tcPr>
          <w:p w14:paraId="51E39B89" w14:textId="0AD104D2" w:rsidR="00AA1394" w:rsidRPr="00D93E5B" w:rsidRDefault="00AA1394" w:rsidP="00AA1394">
            <w:pPr>
              <w:rPr>
                <w:b w:val="0"/>
                <w:bCs/>
              </w:rPr>
            </w:pPr>
            <w:r w:rsidRPr="00D93E5B">
              <w:rPr>
                <w:b w:val="0"/>
                <w:bCs/>
                <w:sz w:val="16"/>
                <w:szCs w:val="16"/>
              </w:rPr>
              <w:t>77209/9 - Solomon Islands veterinary deployment (Solomon Islands)</w:t>
            </w:r>
          </w:p>
        </w:tc>
        <w:tc>
          <w:tcPr>
            <w:tcW w:w="2977" w:type="dxa"/>
          </w:tcPr>
          <w:p w14:paraId="23D2C315" w14:textId="0FB29A60" w:rsidR="00AA1394" w:rsidRDefault="00AA1394" w:rsidP="00AA1394">
            <w:pPr>
              <w:cnfStyle w:val="000000000000" w:firstRow="0" w:lastRow="0" w:firstColumn="0" w:lastColumn="0" w:oddVBand="0" w:evenVBand="0" w:oddHBand="0" w:evenHBand="0" w:firstRowFirstColumn="0" w:firstRowLastColumn="0" w:lastRowFirstColumn="0" w:lastRowLastColumn="0"/>
            </w:pPr>
            <w:r w:rsidRPr="05DC78EE">
              <w:rPr>
                <w:sz w:val="16"/>
                <w:szCs w:val="16"/>
              </w:rPr>
              <w:t xml:space="preserve">Eleanor Percival (AidWorks Contract Manager), Senior Policy Officer, Climate Resilient Agriculture and Food Security Section </w:t>
            </w:r>
          </w:p>
        </w:tc>
        <w:tc>
          <w:tcPr>
            <w:tcW w:w="2239" w:type="dxa"/>
          </w:tcPr>
          <w:p w14:paraId="6792B26D" w14:textId="51D8FD30" w:rsidR="00AA1394" w:rsidRDefault="00AA1394" w:rsidP="00AA1394">
            <w:pPr>
              <w:cnfStyle w:val="000000000000" w:firstRow="0" w:lastRow="0" w:firstColumn="0" w:lastColumn="0" w:oddVBand="0" w:evenVBand="0" w:oddHBand="0" w:evenHBand="0" w:firstRowFirstColumn="0" w:firstRowLastColumn="0" w:lastRowFirstColumn="0" w:lastRowLastColumn="0"/>
            </w:pPr>
            <w:r w:rsidRPr="0028461A">
              <w:rPr>
                <w:sz w:val="16"/>
                <w:szCs w:val="16"/>
              </w:rPr>
              <w:t>Group</w:t>
            </w:r>
          </w:p>
        </w:tc>
      </w:tr>
    </w:tbl>
    <w:p w14:paraId="16051768" w14:textId="2FB51168" w:rsidR="00AA1394" w:rsidRPr="00EE4AC1" w:rsidRDefault="00AA1394" w:rsidP="00AA1394">
      <w:pPr>
        <w:rPr>
          <w:b/>
          <w:bCs/>
          <w:sz w:val="16"/>
          <w:szCs w:val="16"/>
        </w:rPr>
      </w:pPr>
      <w:r w:rsidRPr="00EE4AC1">
        <w:rPr>
          <w:b/>
          <w:bCs/>
          <w:sz w:val="16"/>
          <w:szCs w:val="16"/>
        </w:rPr>
        <w:br/>
        <w:t xml:space="preserve">PRES embedded advisers in PEB </w:t>
      </w:r>
    </w:p>
    <w:tbl>
      <w:tblPr>
        <w:tblStyle w:val="TableGrid"/>
        <w:tblW w:w="0" w:type="auto"/>
        <w:tblLook w:val="04A0" w:firstRow="1" w:lastRow="0" w:firstColumn="1" w:lastColumn="0" w:noHBand="0" w:noVBand="1"/>
      </w:tblPr>
      <w:tblGrid>
        <w:gridCol w:w="4536"/>
        <w:gridCol w:w="2977"/>
        <w:gridCol w:w="2239"/>
      </w:tblGrid>
      <w:tr w:rsidR="00AA1394" w14:paraId="5BC6C027" w14:textId="77777777" w:rsidTr="00AA13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5C5FBBA2" w14:textId="3A2F0C3A" w:rsidR="00AA1394" w:rsidRDefault="00AA1394" w:rsidP="00AA1394">
            <w:r w:rsidRPr="00EA37AE">
              <w:rPr>
                <w:sz w:val="16"/>
                <w:szCs w:val="16"/>
              </w:rPr>
              <w:t>Team/Position</w:t>
            </w:r>
          </w:p>
        </w:tc>
        <w:tc>
          <w:tcPr>
            <w:tcW w:w="2977" w:type="dxa"/>
          </w:tcPr>
          <w:p w14:paraId="5FAE214C" w14:textId="39F4D53A" w:rsidR="00AA1394" w:rsidRDefault="00AA1394" w:rsidP="00AA1394">
            <w:pPr>
              <w:cnfStyle w:val="100000000000" w:firstRow="1" w:lastRow="0" w:firstColumn="0" w:lastColumn="0" w:oddVBand="0" w:evenVBand="0" w:oddHBand="0" w:evenHBand="0" w:firstRowFirstColumn="0" w:firstRowLastColumn="0" w:lastRowFirstColumn="0" w:lastRowLastColumn="0"/>
            </w:pPr>
            <w:r>
              <w:rPr>
                <w:sz w:val="16"/>
                <w:szCs w:val="16"/>
              </w:rPr>
              <w:t>Name</w:t>
            </w:r>
          </w:p>
        </w:tc>
        <w:tc>
          <w:tcPr>
            <w:tcW w:w="2239" w:type="dxa"/>
          </w:tcPr>
          <w:p w14:paraId="36404C95" w14:textId="00A4E8D7" w:rsidR="00AA1394" w:rsidRDefault="00AA1394" w:rsidP="00AA1394">
            <w:pPr>
              <w:cnfStyle w:val="100000000000" w:firstRow="1" w:lastRow="0" w:firstColumn="0" w:lastColumn="0" w:oddVBand="0" w:evenVBand="0" w:oddHBand="0" w:evenHBand="0" w:firstRowFirstColumn="0" w:firstRowLastColumn="0" w:lastRowFirstColumn="0" w:lastRowLastColumn="0"/>
            </w:pPr>
            <w:r>
              <w:rPr>
                <w:sz w:val="16"/>
                <w:szCs w:val="16"/>
              </w:rPr>
              <w:t>Interview type</w:t>
            </w:r>
          </w:p>
        </w:tc>
      </w:tr>
      <w:tr w:rsidR="00AA1394" w14:paraId="1F998492" w14:textId="77777777" w:rsidTr="00AA1394">
        <w:tc>
          <w:tcPr>
            <w:cnfStyle w:val="001000000000" w:firstRow="0" w:lastRow="0" w:firstColumn="1" w:lastColumn="0" w:oddVBand="0" w:evenVBand="0" w:oddHBand="0" w:evenHBand="0" w:firstRowFirstColumn="0" w:firstRowLastColumn="0" w:lastRowFirstColumn="0" w:lastRowLastColumn="0"/>
            <w:tcW w:w="4536" w:type="dxa"/>
          </w:tcPr>
          <w:p w14:paraId="72C671B4" w14:textId="114D4B49" w:rsidR="00AA1394" w:rsidRPr="00D93E5B" w:rsidRDefault="00AA1394" w:rsidP="00AA1394">
            <w:pPr>
              <w:rPr>
                <w:b w:val="0"/>
                <w:bCs/>
              </w:rPr>
            </w:pPr>
            <w:r w:rsidRPr="00D93E5B">
              <w:rPr>
                <w:b w:val="0"/>
                <w:bCs/>
                <w:sz w:val="16"/>
                <w:szCs w:val="16"/>
              </w:rPr>
              <w:t xml:space="preserve">M&amp;E Adviser with EPS </w:t>
            </w:r>
          </w:p>
        </w:tc>
        <w:tc>
          <w:tcPr>
            <w:tcW w:w="2977" w:type="dxa"/>
          </w:tcPr>
          <w:p w14:paraId="420508EA" w14:textId="5D4DFD38" w:rsidR="00AA1394" w:rsidRDefault="00AA1394" w:rsidP="00AA1394">
            <w:pPr>
              <w:cnfStyle w:val="000000000000" w:firstRow="0" w:lastRow="0" w:firstColumn="0" w:lastColumn="0" w:oddVBand="0" w:evenVBand="0" w:oddHBand="0" w:evenHBand="0" w:firstRowFirstColumn="0" w:firstRowLastColumn="0" w:lastRowFirstColumn="0" w:lastRowLastColumn="0"/>
            </w:pPr>
            <w:r w:rsidRPr="00C8127C">
              <w:rPr>
                <w:sz w:val="16"/>
                <w:szCs w:val="16"/>
              </w:rPr>
              <w:t>David Kelly</w:t>
            </w:r>
          </w:p>
        </w:tc>
        <w:tc>
          <w:tcPr>
            <w:tcW w:w="2239" w:type="dxa"/>
          </w:tcPr>
          <w:p w14:paraId="5633E308" w14:textId="13F8350C" w:rsidR="00AA1394" w:rsidRDefault="00AA1394" w:rsidP="00AA1394">
            <w:pPr>
              <w:cnfStyle w:val="000000000000" w:firstRow="0" w:lastRow="0" w:firstColumn="0" w:lastColumn="0" w:oddVBand="0" w:evenVBand="0" w:oddHBand="0" w:evenHBand="0" w:firstRowFirstColumn="0" w:firstRowLastColumn="0" w:lastRowFirstColumn="0" w:lastRowLastColumn="0"/>
            </w:pPr>
            <w:r w:rsidRPr="00F42550">
              <w:rPr>
                <w:sz w:val="16"/>
                <w:szCs w:val="16"/>
              </w:rPr>
              <w:t>Individual</w:t>
            </w:r>
          </w:p>
        </w:tc>
      </w:tr>
      <w:tr w:rsidR="00AA1394" w14:paraId="38F3F7B1" w14:textId="77777777" w:rsidTr="00AA1394">
        <w:tc>
          <w:tcPr>
            <w:cnfStyle w:val="001000000000" w:firstRow="0" w:lastRow="0" w:firstColumn="1" w:lastColumn="0" w:oddVBand="0" w:evenVBand="0" w:oddHBand="0" w:evenHBand="0" w:firstRowFirstColumn="0" w:firstRowLastColumn="0" w:lastRowFirstColumn="0" w:lastRowLastColumn="0"/>
            <w:tcW w:w="4536" w:type="dxa"/>
          </w:tcPr>
          <w:p w14:paraId="5F7FA6A2" w14:textId="3417CFD2" w:rsidR="00AA1394" w:rsidRPr="00D93E5B" w:rsidRDefault="00AA1394" w:rsidP="00AA1394">
            <w:pPr>
              <w:rPr>
                <w:b w:val="0"/>
                <w:bCs/>
              </w:rPr>
            </w:pPr>
            <w:r w:rsidRPr="00D93E5B">
              <w:rPr>
                <w:b w:val="0"/>
                <w:bCs/>
                <w:sz w:val="16"/>
                <w:szCs w:val="16"/>
              </w:rPr>
              <w:t>Aviation Adviser with Pacific Aviation Section</w:t>
            </w:r>
          </w:p>
        </w:tc>
        <w:tc>
          <w:tcPr>
            <w:tcW w:w="2977" w:type="dxa"/>
          </w:tcPr>
          <w:p w14:paraId="3F288DA3" w14:textId="108C898D" w:rsidR="00AA1394" w:rsidRDefault="00AA1394" w:rsidP="00AA1394">
            <w:pPr>
              <w:cnfStyle w:val="000000000000" w:firstRow="0" w:lastRow="0" w:firstColumn="0" w:lastColumn="0" w:oddVBand="0" w:evenVBand="0" w:oddHBand="0" w:evenHBand="0" w:firstRowFirstColumn="0" w:firstRowLastColumn="0" w:lastRowFirstColumn="0" w:lastRowLastColumn="0"/>
            </w:pPr>
            <w:r w:rsidRPr="00C8127C">
              <w:rPr>
                <w:sz w:val="16"/>
                <w:szCs w:val="16"/>
              </w:rPr>
              <w:t xml:space="preserve">Don Mortimore </w:t>
            </w:r>
          </w:p>
        </w:tc>
        <w:tc>
          <w:tcPr>
            <w:tcW w:w="2239" w:type="dxa"/>
          </w:tcPr>
          <w:p w14:paraId="11CE7890" w14:textId="7A85AD07" w:rsidR="00AA1394" w:rsidRDefault="00AA1394" w:rsidP="00AA1394">
            <w:pPr>
              <w:cnfStyle w:val="000000000000" w:firstRow="0" w:lastRow="0" w:firstColumn="0" w:lastColumn="0" w:oddVBand="0" w:evenVBand="0" w:oddHBand="0" w:evenHBand="0" w:firstRowFirstColumn="0" w:firstRowLastColumn="0" w:lastRowFirstColumn="0" w:lastRowLastColumn="0"/>
            </w:pPr>
            <w:r w:rsidRPr="00F42550">
              <w:rPr>
                <w:sz w:val="16"/>
                <w:szCs w:val="16"/>
              </w:rPr>
              <w:t>Individual</w:t>
            </w:r>
          </w:p>
        </w:tc>
      </w:tr>
    </w:tbl>
    <w:p w14:paraId="0981AD6B" w14:textId="50698FCF" w:rsidR="00AA1394" w:rsidRPr="00EE4AC1" w:rsidRDefault="00AA1394" w:rsidP="00AA1394">
      <w:pPr>
        <w:rPr>
          <w:b/>
          <w:bCs/>
          <w:sz w:val="16"/>
          <w:szCs w:val="16"/>
        </w:rPr>
      </w:pPr>
      <w:r w:rsidRPr="00EE4AC1">
        <w:rPr>
          <w:b/>
          <w:bCs/>
          <w:sz w:val="16"/>
          <w:szCs w:val="16"/>
        </w:rPr>
        <w:br/>
        <w:t xml:space="preserve">Consultants engaged via PRES </w:t>
      </w:r>
    </w:p>
    <w:tbl>
      <w:tblPr>
        <w:tblStyle w:val="TableGrid"/>
        <w:tblW w:w="0" w:type="auto"/>
        <w:tblLook w:val="04A0" w:firstRow="1" w:lastRow="0" w:firstColumn="1" w:lastColumn="0" w:noHBand="0" w:noVBand="1"/>
      </w:tblPr>
      <w:tblGrid>
        <w:gridCol w:w="4536"/>
        <w:gridCol w:w="2977"/>
        <w:gridCol w:w="2239"/>
      </w:tblGrid>
      <w:tr w:rsidR="00AA1394" w14:paraId="5D5556E4" w14:textId="77777777" w:rsidTr="00AA13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4EE6A455" w14:textId="04029EBD" w:rsidR="00AA1394" w:rsidRDefault="00AA1394" w:rsidP="00AA1394">
            <w:r w:rsidRPr="00EA37AE">
              <w:rPr>
                <w:sz w:val="16"/>
                <w:szCs w:val="16"/>
              </w:rPr>
              <w:t>Team/Position</w:t>
            </w:r>
          </w:p>
        </w:tc>
        <w:tc>
          <w:tcPr>
            <w:tcW w:w="2977" w:type="dxa"/>
          </w:tcPr>
          <w:p w14:paraId="013B2F25" w14:textId="7390676A" w:rsidR="00AA1394" w:rsidRDefault="00AA1394" w:rsidP="00AA1394">
            <w:pPr>
              <w:cnfStyle w:val="100000000000" w:firstRow="1" w:lastRow="0" w:firstColumn="0" w:lastColumn="0" w:oddVBand="0" w:evenVBand="0" w:oddHBand="0" w:evenHBand="0" w:firstRowFirstColumn="0" w:firstRowLastColumn="0" w:lastRowFirstColumn="0" w:lastRowLastColumn="0"/>
            </w:pPr>
            <w:r>
              <w:rPr>
                <w:sz w:val="16"/>
                <w:szCs w:val="16"/>
              </w:rPr>
              <w:t>Name</w:t>
            </w:r>
          </w:p>
        </w:tc>
        <w:tc>
          <w:tcPr>
            <w:tcW w:w="2239" w:type="dxa"/>
          </w:tcPr>
          <w:p w14:paraId="568C3EE2" w14:textId="05DC348A" w:rsidR="00AA1394" w:rsidRDefault="00AA1394" w:rsidP="00AA1394">
            <w:pPr>
              <w:cnfStyle w:val="100000000000" w:firstRow="1" w:lastRow="0" w:firstColumn="0" w:lastColumn="0" w:oddVBand="0" w:evenVBand="0" w:oddHBand="0" w:evenHBand="0" w:firstRowFirstColumn="0" w:firstRowLastColumn="0" w:lastRowFirstColumn="0" w:lastRowLastColumn="0"/>
            </w:pPr>
            <w:r>
              <w:rPr>
                <w:sz w:val="16"/>
                <w:szCs w:val="16"/>
              </w:rPr>
              <w:t>Interview type</w:t>
            </w:r>
          </w:p>
        </w:tc>
      </w:tr>
      <w:tr w:rsidR="00AA1394" w14:paraId="054BEC81" w14:textId="77777777" w:rsidTr="00AA1394">
        <w:tc>
          <w:tcPr>
            <w:cnfStyle w:val="001000000000" w:firstRow="0" w:lastRow="0" w:firstColumn="1" w:lastColumn="0" w:oddVBand="0" w:evenVBand="0" w:oddHBand="0" w:evenHBand="0" w:firstRowFirstColumn="0" w:firstRowLastColumn="0" w:lastRowFirstColumn="0" w:lastRowLastColumn="0"/>
            <w:tcW w:w="4536" w:type="dxa"/>
          </w:tcPr>
          <w:p w14:paraId="2DF3589F" w14:textId="0FFE4FDB" w:rsidR="00AA1394" w:rsidRPr="00D93E5B" w:rsidRDefault="00AA1394" w:rsidP="00AA1394">
            <w:pPr>
              <w:rPr>
                <w:b w:val="0"/>
                <w:bCs/>
              </w:rPr>
            </w:pPr>
            <w:r w:rsidRPr="00D93E5B">
              <w:rPr>
                <w:b w:val="0"/>
                <w:bCs/>
                <w:sz w:val="16"/>
                <w:szCs w:val="16"/>
              </w:rPr>
              <w:t xml:space="preserve">Consultant / PDFF Advisory Panel Member </w:t>
            </w:r>
          </w:p>
        </w:tc>
        <w:tc>
          <w:tcPr>
            <w:tcW w:w="2977" w:type="dxa"/>
          </w:tcPr>
          <w:p w14:paraId="6B9BA5E6" w14:textId="2A4A3184" w:rsidR="00AA1394" w:rsidRDefault="00AA1394" w:rsidP="00AA1394">
            <w:pPr>
              <w:cnfStyle w:val="000000000000" w:firstRow="0" w:lastRow="0" w:firstColumn="0" w:lastColumn="0" w:oddVBand="0" w:evenVBand="0" w:oddHBand="0" w:evenHBand="0" w:firstRowFirstColumn="0" w:firstRowLastColumn="0" w:lastRowFirstColumn="0" w:lastRowLastColumn="0"/>
            </w:pPr>
            <w:r w:rsidRPr="00C8127C">
              <w:rPr>
                <w:sz w:val="16"/>
                <w:szCs w:val="16"/>
              </w:rPr>
              <w:t xml:space="preserve">Bob Warner </w:t>
            </w:r>
          </w:p>
        </w:tc>
        <w:tc>
          <w:tcPr>
            <w:tcW w:w="2239" w:type="dxa"/>
          </w:tcPr>
          <w:p w14:paraId="4D385619" w14:textId="7B5A6E30" w:rsidR="00AA1394" w:rsidRDefault="00AA1394" w:rsidP="00AA1394">
            <w:pPr>
              <w:cnfStyle w:val="000000000000" w:firstRow="0" w:lastRow="0" w:firstColumn="0" w:lastColumn="0" w:oddVBand="0" w:evenVBand="0" w:oddHBand="0" w:evenHBand="0" w:firstRowFirstColumn="0" w:firstRowLastColumn="0" w:lastRowFirstColumn="0" w:lastRowLastColumn="0"/>
            </w:pPr>
            <w:r w:rsidRPr="00C8127C">
              <w:rPr>
                <w:sz w:val="16"/>
                <w:szCs w:val="16"/>
              </w:rPr>
              <w:t>Group</w:t>
            </w:r>
          </w:p>
        </w:tc>
      </w:tr>
      <w:tr w:rsidR="00AA1394" w14:paraId="5F2A03A4" w14:textId="77777777" w:rsidTr="00AA1394">
        <w:tc>
          <w:tcPr>
            <w:cnfStyle w:val="001000000000" w:firstRow="0" w:lastRow="0" w:firstColumn="1" w:lastColumn="0" w:oddVBand="0" w:evenVBand="0" w:oddHBand="0" w:evenHBand="0" w:firstRowFirstColumn="0" w:firstRowLastColumn="0" w:lastRowFirstColumn="0" w:lastRowLastColumn="0"/>
            <w:tcW w:w="4536" w:type="dxa"/>
          </w:tcPr>
          <w:p w14:paraId="4CBCC829" w14:textId="57423474" w:rsidR="00AA1394" w:rsidRPr="00D93E5B" w:rsidRDefault="00AA1394" w:rsidP="00AA1394">
            <w:pPr>
              <w:rPr>
                <w:b w:val="0"/>
                <w:bCs/>
              </w:rPr>
            </w:pPr>
            <w:r w:rsidRPr="00D93E5B">
              <w:rPr>
                <w:b w:val="0"/>
                <w:bCs/>
                <w:sz w:val="16"/>
                <w:szCs w:val="16"/>
              </w:rPr>
              <w:t>Consultant / PDFF Advisory Panel Member</w:t>
            </w:r>
          </w:p>
        </w:tc>
        <w:tc>
          <w:tcPr>
            <w:tcW w:w="2977" w:type="dxa"/>
          </w:tcPr>
          <w:p w14:paraId="0157A8B0" w14:textId="21E31A4A" w:rsidR="00AA1394" w:rsidRDefault="00AA1394" w:rsidP="00AA1394">
            <w:pPr>
              <w:cnfStyle w:val="000000000000" w:firstRow="0" w:lastRow="0" w:firstColumn="0" w:lastColumn="0" w:oddVBand="0" w:evenVBand="0" w:oddHBand="0" w:evenHBand="0" w:firstRowFirstColumn="0" w:firstRowLastColumn="0" w:lastRowFirstColumn="0" w:lastRowLastColumn="0"/>
            </w:pPr>
            <w:r w:rsidRPr="05DC78EE">
              <w:rPr>
                <w:sz w:val="16"/>
                <w:szCs w:val="16"/>
              </w:rPr>
              <w:t xml:space="preserve">Inge Stokkel </w:t>
            </w:r>
          </w:p>
        </w:tc>
        <w:tc>
          <w:tcPr>
            <w:tcW w:w="2239" w:type="dxa"/>
          </w:tcPr>
          <w:p w14:paraId="1AEF089C" w14:textId="20743BB0" w:rsidR="00AA1394" w:rsidRDefault="00AA1394" w:rsidP="00AA1394">
            <w:pPr>
              <w:cnfStyle w:val="000000000000" w:firstRow="0" w:lastRow="0" w:firstColumn="0" w:lastColumn="0" w:oddVBand="0" w:evenVBand="0" w:oddHBand="0" w:evenHBand="0" w:firstRowFirstColumn="0" w:firstRowLastColumn="0" w:lastRowFirstColumn="0" w:lastRowLastColumn="0"/>
            </w:pPr>
            <w:r>
              <w:rPr>
                <w:sz w:val="16"/>
                <w:szCs w:val="16"/>
              </w:rPr>
              <w:t>Group</w:t>
            </w:r>
          </w:p>
        </w:tc>
      </w:tr>
      <w:tr w:rsidR="00AA1394" w14:paraId="20C2B82D" w14:textId="77777777" w:rsidTr="00AA1394">
        <w:tc>
          <w:tcPr>
            <w:cnfStyle w:val="001000000000" w:firstRow="0" w:lastRow="0" w:firstColumn="1" w:lastColumn="0" w:oddVBand="0" w:evenVBand="0" w:oddHBand="0" w:evenHBand="0" w:firstRowFirstColumn="0" w:firstRowLastColumn="0" w:lastRowFirstColumn="0" w:lastRowLastColumn="0"/>
            <w:tcW w:w="4536" w:type="dxa"/>
          </w:tcPr>
          <w:p w14:paraId="11014EB2" w14:textId="26228842" w:rsidR="00AA1394" w:rsidRPr="00D93E5B" w:rsidRDefault="00AA1394" w:rsidP="00AA1394">
            <w:pPr>
              <w:rPr>
                <w:b w:val="0"/>
                <w:bCs/>
              </w:rPr>
            </w:pPr>
            <w:r w:rsidRPr="00D93E5B">
              <w:rPr>
                <w:b w:val="0"/>
                <w:bCs/>
                <w:sz w:val="16"/>
                <w:szCs w:val="16"/>
              </w:rPr>
              <w:t xml:space="preserve">Aviation Consultant </w:t>
            </w:r>
          </w:p>
        </w:tc>
        <w:tc>
          <w:tcPr>
            <w:tcW w:w="2977" w:type="dxa"/>
          </w:tcPr>
          <w:p w14:paraId="7A34C8B8" w14:textId="15D22418" w:rsidR="00AA1394" w:rsidRDefault="00AA1394" w:rsidP="00AA1394">
            <w:pPr>
              <w:cnfStyle w:val="000000000000" w:firstRow="0" w:lastRow="0" w:firstColumn="0" w:lastColumn="0" w:oddVBand="0" w:evenVBand="0" w:oddHBand="0" w:evenHBand="0" w:firstRowFirstColumn="0" w:firstRowLastColumn="0" w:lastRowFirstColumn="0" w:lastRowLastColumn="0"/>
            </w:pPr>
            <w:r w:rsidRPr="00C8127C">
              <w:rPr>
                <w:sz w:val="16"/>
                <w:szCs w:val="16"/>
              </w:rPr>
              <w:t xml:space="preserve">Sean McGee </w:t>
            </w:r>
          </w:p>
        </w:tc>
        <w:tc>
          <w:tcPr>
            <w:tcW w:w="2239" w:type="dxa"/>
          </w:tcPr>
          <w:p w14:paraId="560534AD" w14:textId="39BF7793" w:rsidR="00AA1394" w:rsidRDefault="00AA1394" w:rsidP="00AA1394">
            <w:pPr>
              <w:cnfStyle w:val="000000000000" w:firstRow="0" w:lastRow="0" w:firstColumn="0" w:lastColumn="0" w:oddVBand="0" w:evenVBand="0" w:oddHBand="0" w:evenHBand="0" w:firstRowFirstColumn="0" w:firstRowLastColumn="0" w:lastRowFirstColumn="0" w:lastRowLastColumn="0"/>
            </w:pPr>
            <w:r w:rsidRPr="00C8127C">
              <w:rPr>
                <w:sz w:val="16"/>
                <w:szCs w:val="16"/>
              </w:rPr>
              <w:t>Group</w:t>
            </w:r>
          </w:p>
        </w:tc>
      </w:tr>
      <w:tr w:rsidR="00AA1394" w14:paraId="6B9A1400" w14:textId="77777777" w:rsidTr="00AA1394">
        <w:tc>
          <w:tcPr>
            <w:cnfStyle w:val="001000000000" w:firstRow="0" w:lastRow="0" w:firstColumn="1" w:lastColumn="0" w:oddVBand="0" w:evenVBand="0" w:oddHBand="0" w:evenHBand="0" w:firstRowFirstColumn="0" w:firstRowLastColumn="0" w:lastRowFirstColumn="0" w:lastRowLastColumn="0"/>
            <w:tcW w:w="4536" w:type="dxa"/>
          </w:tcPr>
          <w:p w14:paraId="0905E6CF" w14:textId="015B077E" w:rsidR="00AA1394" w:rsidRPr="00D93E5B" w:rsidRDefault="00AA1394" w:rsidP="00AA1394">
            <w:pPr>
              <w:rPr>
                <w:b w:val="0"/>
                <w:bCs/>
              </w:rPr>
            </w:pPr>
            <w:r w:rsidRPr="00D93E5B">
              <w:rPr>
                <w:b w:val="0"/>
                <w:bCs/>
                <w:sz w:val="16"/>
                <w:szCs w:val="16"/>
              </w:rPr>
              <w:t>Aviation Consultant</w:t>
            </w:r>
          </w:p>
        </w:tc>
        <w:tc>
          <w:tcPr>
            <w:tcW w:w="2977" w:type="dxa"/>
          </w:tcPr>
          <w:p w14:paraId="4274451A" w14:textId="1C3B0C05" w:rsidR="00AA1394" w:rsidRDefault="00AA1394" w:rsidP="00AA1394">
            <w:pPr>
              <w:cnfStyle w:val="000000000000" w:firstRow="0" w:lastRow="0" w:firstColumn="0" w:lastColumn="0" w:oddVBand="0" w:evenVBand="0" w:oddHBand="0" w:evenHBand="0" w:firstRowFirstColumn="0" w:firstRowLastColumn="0" w:lastRowFirstColumn="0" w:lastRowLastColumn="0"/>
            </w:pPr>
            <w:r w:rsidRPr="00C8127C">
              <w:rPr>
                <w:sz w:val="16"/>
                <w:szCs w:val="16"/>
              </w:rPr>
              <w:t xml:space="preserve">Kell McGregor </w:t>
            </w:r>
          </w:p>
        </w:tc>
        <w:tc>
          <w:tcPr>
            <w:tcW w:w="2239" w:type="dxa"/>
          </w:tcPr>
          <w:p w14:paraId="018BCF3D" w14:textId="2048EBD8" w:rsidR="00AA1394" w:rsidRDefault="00AA1394" w:rsidP="00AA1394">
            <w:pPr>
              <w:cnfStyle w:val="000000000000" w:firstRow="0" w:lastRow="0" w:firstColumn="0" w:lastColumn="0" w:oddVBand="0" w:evenVBand="0" w:oddHBand="0" w:evenHBand="0" w:firstRowFirstColumn="0" w:firstRowLastColumn="0" w:lastRowFirstColumn="0" w:lastRowLastColumn="0"/>
            </w:pPr>
            <w:r>
              <w:rPr>
                <w:sz w:val="16"/>
                <w:szCs w:val="16"/>
              </w:rPr>
              <w:t>Group</w:t>
            </w:r>
          </w:p>
        </w:tc>
      </w:tr>
      <w:tr w:rsidR="00AA1394" w14:paraId="58E3F38D" w14:textId="77777777" w:rsidTr="00AA1394">
        <w:tc>
          <w:tcPr>
            <w:cnfStyle w:val="001000000000" w:firstRow="0" w:lastRow="0" w:firstColumn="1" w:lastColumn="0" w:oddVBand="0" w:evenVBand="0" w:oddHBand="0" w:evenHBand="0" w:firstRowFirstColumn="0" w:firstRowLastColumn="0" w:lastRowFirstColumn="0" w:lastRowLastColumn="0"/>
            <w:tcW w:w="4536" w:type="dxa"/>
          </w:tcPr>
          <w:p w14:paraId="79CE3FCE" w14:textId="288C7C26" w:rsidR="00AA1394" w:rsidRPr="00D93E5B" w:rsidRDefault="00AA1394" w:rsidP="00AA1394">
            <w:pPr>
              <w:rPr>
                <w:b w:val="0"/>
                <w:bCs/>
              </w:rPr>
            </w:pPr>
            <w:r w:rsidRPr="00D93E5B">
              <w:rPr>
                <w:b w:val="0"/>
                <w:bCs/>
                <w:sz w:val="16"/>
                <w:szCs w:val="16"/>
              </w:rPr>
              <w:t>Consultant</w:t>
            </w:r>
          </w:p>
        </w:tc>
        <w:tc>
          <w:tcPr>
            <w:tcW w:w="2977" w:type="dxa"/>
          </w:tcPr>
          <w:p w14:paraId="7872CC9A" w14:textId="30838241" w:rsidR="00AA1394" w:rsidRDefault="00AA1394" w:rsidP="00AA1394">
            <w:pPr>
              <w:cnfStyle w:val="000000000000" w:firstRow="0" w:lastRow="0" w:firstColumn="0" w:lastColumn="0" w:oddVBand="0" w:evenVBand="0" w:oddHBand="0" w:evenHBand="0" w:firstRowFirstColumn="0" w:firstRowLastColumn="0" w:lastRowFirstColumn="0" w:lastRowLastColumn="0"/>
            </w:pPr>
            <w:r w:rsidRPr="00C8127C">
              <w:rPr>
                <w:sz w:val="16"/>
                <w:szCs w:val="16"/>
              </w:rPr>
              <w:t xml:space="preserve">Richard Braddock </w:t>
            </w:r>
          </w:p>
        </w:tc>
        <w:tc>
          <w:tcPr>
            <w:tcW w:w="2239" w:type="dxa"/>
          </w:tcPr>
          <w:p w14:paraId="67203025" w14:textId="4028BB89" w:rsidR="00AA1394" w:rsidRDefault="00AA1394" w:rsidP="00AA1394">
            <w:pPr>
              <w:cnfStyle w:val="000000000000" w:firstRow="0" w:lastRow="0" w:firstColumn="0" w:lastColumn="0" w:oddVBand="0" w:evenVBand="0" w:oddHBand="0" w:evenHBand="0" w:firstRowFirstColumn="0" w:firstRowLastColumn="0" w:lastRowFirstColumn="0" w:lastRowLastColumn="0"/>
            </w:pPr>
            <w:r w:rsidRPr="00C8127C">
              <w:rPr>
                <w:sz w:val="16"/>
                <w:szCs w:val="16"/>
              </w:rPr>
              <w:t>Group</w:t>
            </w:r>
          </w:p>
        </w:tc>
      </w:tr>
      <w:tr w:rsidR="00AA1394" w14:paraId="0275334A" w14:textId="77777777" w:rsidTr="00AA1394">
        <w:tc>
          <w:tcPr>
            <w:cnfStyle w:val="001000000000" w:firstRow="0" w:lastRow="0" w:firstColumn="1" w:lastColumn="0" w:oddVBand="0" w:evenVBand="0" w:oddHBand="0" w:evenHBand="0" w:firstRowFirstColumn="0" w:firstRowLastColumn="0" w:lastRowFirstColumn="0" w:lastRowLastColumn="0"/>
            <w:tcW w:w="4536" w:type="dxa"/>
          </w:tcPr>
          <w:p w14:paraId="5FF9478D" w14:textId="75AF56A3" w:rsidR="00AA1394" w:rsidRPr="00D93E5B" w:rsidRDefault="00AA1394" w:rsidP="00AA1394">
            <w:pPr>
              <w:rPr>
                <w:b w:val="0"/>
                <w:bCs/>
              </w:rPr>
            </w:pPr>
            <w:r w:rsidRPr="00D93E5B">
              <w:rPr>
                <w:b w:val="0"/>
                <w:bCs/>
                <w:sz w:val="16"/>
                <w:szCs w:val="16"/>
              </w:rPr>
              <w:t>Consultant</w:t>
            </w:r>
          </w:p>
        </w:tc>
        <w:tc>
          <w:tcPr>
            <w:tcW w:w="2977" w:type="dxa"/>
          </w:tcPr>
          <w:p w14:paraId="793ADEEF" w14:textId="629BA7E5" w:rsidR="00AA1394" w:rsidRDefault="00AA1394" w:rsidP="00AA1394">
            <w:pPr>
              <w:cnfStyle w:val="000000000000" w:firstRow="0" w:lastRow="0" w:firstColumn="0" w:lastColumn="0" w:oddVBand="0" w:evenVBand="0" w:oddHBand="0" w:evenHBand="0" w:firstRowFirstColumn="0" w:firstRowLastColumn="0" w:lastRowFirstColumn="0" w:lastRowLastColumn="0"/>
            </w:pPr>
            <w:r w:rsidRPr="00C8127C">
              <w:rPr>
                <w:sz w:val="16"/>
                <w:szCs w:val="16"/>
              </w:rPr>
              <w:t xml:space="preserve">Sven Callebaut </w:t>
            </w:r>
          </w:p>
        </w:tc>
        <w:tc>
          <w:tcPr>
            <w:tcW w:w="2239" w:type="dxa"/>
          </w:tcPr>
          <w:p w14:paraId="62877A8C" w14:textId="0884DFA0" w:rsidR="00AA1394" w:rsidRDefault="00AA1394" w:rsidP="00AA1394">
            <w:pPr>
              <w:cnfStyle w:val="000000000000" w:firstRow="0" w:lastRow="0" w:firstColumn="0" w:lastColumn="0" w:oddVBand="0" w:evenVBand="0" w:oddHBand="0" w:evenHBand="0" w:firstRowFirstColumn="0" w:firstRowLastColumn="0" w:lastRowFirstColumn="0" w:lastRowLastColumn="0"/>
            </w:pPr>
            <w:r>
              <w:rPr>
                <w:sz w:val="16"/>
                <w:szCs w:val="16"/>
              </w:rPr>
              <w:t>Group</w:t>
            </w:r>
          </w:p>
        </w:tc>
      </w:tr>
    </w:tbl>
    <w:p w14:paraId="0FE4A704" w14:textId="77777777" w:rsidR="00BD3D35" w:rsidRDefault="00BD3D35" w:rsidP="00DE2ADD">
      <w:pPr>
        <w:pStyle w:val="Heading3nonumber"/>
      </w:pPr>
      <w:bookmarkStart w:id="142" w:name="_Toc185236847"/>
      <w:bookmarkStart w:id="143" w:name="_Toc185436133"/>
      <w:bookmarkStart w:id="144" w:name="_Toc188284695"/>
      <w:bookmarkStart w:id="145" w:name="_Toc195809000"/>
      <w:r>
        <w:t>Documents</w:t>
      </w:r>
      <w:bookmarkEnd w:id="142"/>
      <w:bookmarkEnd w:id="143"/>
      <w:bookmarkEnd w:id="144"/>
      <w:bookmarkEnd w:id="145"/>
    </w:p>
    <w:p w14:paraId="51E80FAE" w14:textId="77777777" w:rsidR="00BD3D35" w:rsidRDefault="00BD3D35" w:rsidP="00BD3D35">
      <w:r>
        <w:t>The following types of documents will be provided by DFAT and PRES:</w:t>
      </w:r>
    </w:p>
    <w:p w14:paraId="4EAE6E23" w14:textId="77777777" w:rsidR="00BD3D35" w:rsidRDefault="00BD3D35" w:rsidP="00BD3D35">
      <w:pPr>
        <w:pStyle w:val="ListBullet"/>
        <w:numPr>
          <w:ilvl w:val="0"/>
          <w:numId w:val="1"/>
        </w:numPr>
      </w:pPr>
      <w:r>
        <w:t>PRES operations manual</w:t>
      </w:r>
    </w:p>
    <w:p w14:paraId="14C40C16" w14:textId="77777777" w:rsidR="00BD3D35" w:rsidRDefault="00BD3D35" w:rsidP="00BD3D35">
      <w:pPr>
        <w:pStyle w:val="ListBullet"/>
        <w:numPr>
          <w:ilvl w:val="0"/>
          <w:numId w:val="1"/>
        </w:numPr>
      </w:pPr>
      <w:r>
        <w:t>PRES strategies e.g. GEDSI</w:t>
      </w:r>
    </w:p>
    <w:p w14:paraId="40105387" w14:textId="77777777" w:rsidR="00BD3D35" w:rsidRDefault="00BD3D35" w:rsidP="00BD3D35">
      <w:pPr>
        <w:pStyle w:val="ListBullet"/>
        <w:numPr>
          <w:ilvl w:val="0"/>
          <w:numId w:val="1"/>
        </w:numPr>
      </w:pPr>
      <w:r>
        <w:t>PRES annual work plans and budgets</w:t>
      </w:r>
    </w:p>
    <w:p w14:paraId="4D6129F9" w14:textId="77777777" w:rsidR="00BD3D35" w:rsidRDefault="00BD3D35" w:rsidP="00BD3D35">
      <w:pPr>
        <w:pStyle w:val="ListBullet"/>
        <w:numPr>
          <w:ilvl w:val="0"/>
          <w:numId w:val="1"/>
        </w:numPr>
      </w:pPr>
      <w:r>
        <w:t>PRES MEL Plan including program logic</w:t>
      </w:r>
    </w:p>
    <w:p w14:paraId="23941DAF" w14:textId="77777777" w:rsidR="00BD3D35" w:rsidRDefault="00BD3D35" w:rsidP="00BD3D35">
      <w:pPr>
        <w:pStyle w:val="ListBullet"/>
        <w:numPr>
          <w:ilvl w:val="0"/>
          <w:numId w:val="1"/>
        </w:numPr>
      </w:pPr>
      <w:r>
        <w:t>PRES risk framework</w:t>
      </w:r>
    </w:p>
    <w:p w14:paraId="04438F74" w14:textId="77777777" w:rsidR="00BD3D35" w:rsidRDefault="00BD3D35" w:rsidP="00BD3D35">
      <w:pPr>
        <w:pStyle w:val="ListBullet"/>
        <w:numPr>
          <w:ilvl w:val="0"/>
          <w:numId w:val="1"/>
        </w:numPr>
      </w:pPr>
      <w:r>
        <w:t>PRES progress reports</w:t>
      </w:r>
    </w:p>
    <w:p w14:paraId="2EE3168E" w14:textId="77777777" w:rsidR="00BD3D35" w:rsidRDefault="00BD3D35" w:rsidP="00BD3D35">
      <w:pPr>
        <w:pStyle w:val="ListBullet"/>
        <w:numPr>
          <w:ilvl w:val="0"/>
          <w:numId w:val="1"/>
        </w:numPr>
      </w:pPr>
      <w:r>
        <w:t>Documents relating to selected PRES service orders (to be agreed with evaluation team after review of PRES work plans and progress reports, guided by sampling criteria in Section 3.2) e.g. terms of reference, work plans, key outputs.</w:t>
      </w:r>
    </w:p>
    <w:p w14:paraId="58E50F04" w14:textId="77777777" w:rsidR="00BD3D35" w:rsidRDefault="00BD3D35" w:rsidP="00BD3D35">
      <w:pPr>
        <w:pStyle w:val="ListBullet"/>
        <w:numPr>
          <w:ilvl w:val="0"/>
          <w:numId w:val="1"/>
        </w:numPr>
      </w:pPr>
      <w:r>
        <w:t>Key outputs of MEL system e.g. analysis of survey data, reflection workshop agendas and minutes, evaluation products.</w:t>
      </w:r>
    </w:p>
    <w:p w14:paraId="667DE697" w14:textId="77777777" w:rsidR="00BD3D35" w:rsidRDefault="00BD3D35" w:rsidP="00BD3D35">
      <w:pPr>
        <w:pStyle w:val="ListBullet"/>
        <w:numPr>
          <w:ilvl w:val="0"/>
          <w:numId w:val="1"/>
        </w:numPr>
      </w:pPr>
      <w:r>
        <w:t>DFAT Investment Monitoring Reports</w:t>
      </w:r>
    </w:p>
    <w:p w14:paraId="43C26453" w14:textId="65E85B98" w:rsidR="00BD3D35" w:rsidRDefault="00BD3D35" w:rsidP="00AA1394">
      <w:pPr>
        <w:pStyle w:val="ListBullet"/>
        <w:numPr>
          <w:ilvl w:val="0"/>
          <w:numId w:val="1"/>
        </w:numPr>
      </w:pPr>
      <w:r>
        <w:t>DFAT Partner Performance Assessments</w:t>
      </w:r>
    </w:p>
    <w:p w14:paraId="138F93E1" w14:textId="77777777" w:rsidR="00BD3D35" w:rsidRDefault="00BD3D35" w:rsidP="00BD3D35">
      <w:pPr>
        <w:pStyle w:val="Heading1nonumber"/>
        <w:sectPr w:rsidR="00BD3D35" w:rsidSect="0080042C">
          <w:pgSz w:w="11906" w:h="16838"/>
          <w:pgMar w:top="1440" w:right="1077" w:bottom="1440" w:left="1077" w:header="567" w:footer="567" w:gutter="0"/>
          <w:cols w:space="708"/>
          <w:docGrid w:linePitch="360"/>
        </w:sectPr>
      </w:pPr>
    </w:p>
    <w:p w14:paraId="0628DC68" w14:textId="0AFDC83D" w:rsidR="00BD3D35" w:rsidRDefault="00BD3D35" w:rsidP="00BD3D35">
      <w:pPr>
        <w:pStyle w:val="Heading1nonumber"/>
      </w:pPr>
      <w:bookmarkStart w:id="146" w:name="_Toc195809001"/>
      <w:bookmarkStart w:id="147" w:name="_Toc205992474"/>
      <w:bookmarkStart w:id="148" w:name="_Toc205992561"/>
      <w:r>
        <w:lastRenderedPageBreak/>
        <w:t xml:space="preserve">Appendix </w:t>
      </w:r>
      <w:r w:rsidR="007A6121">
        <w:t>A</w:t>
      </w:r>
      <w:r>
        <w:t>4: Data Collection Matrix</w:t>
      </w:r>
      <w:bookmarkEnd w:id="146"/>
      <w:bookmarkEnd w:id="147"/>
      <w:bookmarkEnd w:id="148"/>
    </w:p>
    <w:p w14:paraId="689C4810" w14:textId="77777777" w:rsidR="00BD3D35" w:rsidRDefault="00BD3D35" w:rsidP="00BD3D35">
      <w:r>
        <w:t>The following table shows how the key evaluation questions will be answered, with reference to the data sources in Appendix 3.</w:t>
      </w:r>
    </w:p>
    <w:tbl>
      <w:tblPr>
        <w:tblStyle w:val="TableGrid"/>
        <w:tblW w:w="0" w:type="auto"/>
        <w:tblLook w:val="04A0" w:firstRow="1" w:lastRow="0" w:firstColumn="1" w:lastColumn="0" w:noHBand="0" w:noVBand="1"/>
      </w:tblPr>
      <w:tblGrid>
        <w:gridCol w:w="4167"/>
        <w:gridCol w:w="1315"/>
        <w:gridCol w:w="4270"/>
      </w:tblGrid>
      <w:tr w:rsidR="00BD3D35" w:rsidRPr="00C8127C" w14:paraId="5A3C8146" w14:textId="77777777">
        <w:trPr>
          <w:cnfStyle w:val="100000000000" w:firstRow="1" w:lastRow="0" w:firstColumn="0" w:lastColumn="0" w:oddVBand="0" w:evenVBand="0" w:oddHBand="0" w:evenHBand="0" w:firstRowFirstColumn="0" w:firstRowLastColumn="0" w:lastRowFirstColumn="0" w:lastRowLastColumn="0"/>
          <w:trHeight w:val="379"/>
          <w:tblHeader/>
        </w:trPr>
        <w:tc>
          <w:tcPr>
            <w:cnfStyle w:val="001000000000" w:firstRow="0" w:lastRow="0" w:firstColumn="1" w:lastColumn="0" w:oddVBand="0" w:evenVBand="0" w:oddHBand="0" w:evenHBand="0" w:firstRowFirstColumn="0" w:firstRowLastColumn="0" w:lastRowFirstColumn="0" w:lastRowLastColumn="0"/>
            <w:tcW w:w="0" w:type="auto"/>
          </w:tcPr>
          <w:p w14:paraId="4E857630" w14:textId="77777777" w:rsidR="00BD3D35" w:rsidRPr="00C8127C" w:rsidRDefault="00BD3D35">
            <w:pPr>
              <w:rPr>
                <w:b w:val="0"/>
                <w:bCs/>
                <w:sz w:val="16"/>
                <w:szCs w:val="16"/>
              </w:rPr>
            </w:pPr>
            <w:r>
              <w:rPr>
                <w:b w:val="0"/>
                <w:bCs/>
                <w:sz w:val="16"/>
                <w:szCs w:val="16"/>
              </w:rPr>
              <w:t>Key evaluation questions</w:t>
            </w:r>
          </w:p>
        </w:tc>
        <w:tc>
          <w:tcPr>
            <w:tcW w:w="0" w:type="auto"/>
          </w:tcPr>
          <w:p w14:paraId="7113EA3F" w14:textId="77777777" w:rsidR="00BD3D35" w:rsidRPr="00C8127C" w:rsidRDefault="00BD3D35">
            <w:pP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Interviews</w:t>
            </w:r>
          </w:p>
        </w:tc>
        <w:tc>
          <w:tcPr>
            <w:tcW w:w="0" w:type="auto"/>
          </w:tcPr>
          <w:p w14:paraId="240E78C9" w14:textId="77777777" w:rsidR="00BD3D35" w:rsidRPr="00C8127C" w:rsidRDefault="00BD3D35">
            <w:pP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Documents</w:t>
            </w:r>
          </w:p>
        </w:tc>
      </w:tr>
      <w:tr w:rsidR="00BD3D35" w:rsidRPr="00C8127C" w14:paraId="72809200" w14:textId="77777777">
        <w:trPr>
          <w:trHeight w:val="167"/>
        </w:trPr>
        <w:tc>
          <w:tcPr>
            <w:cnfStyle w:val="001000000000" w:firstRow="0" w:lastRow="0" w:firstColumn="1" w:lastColumn="0" w:oddVBand="0" w:evenVBand="0" w:oddHBand="0" w:evenHBand="0" w:firstRowFirstColumn="0" w:firstRowLastColumn="0" w:lastRowFirstColumn="0" w:lastRowLastColumn="0"/>
            <w:tcW w:w="0" w:type="auto"/>
          </w:tcPr>
          <w:p w14:paraId="5E38347E" w14:textId="77777777" w:rsidR="00BD3D35" w:rsidRPr="005063A9" w:rsidRDefault="00BD3D35">
            <w:pPr>
              <w:rPr>
                <w:b w:val="0"/>
                <w:i/>
                <w:iCs/>
                <w:sz w:val="16"/>
                <w:szCs w:val="16"/>
              </w:rPr>
            </w:pPr>
            <w:r w:rsidRPr="05DC78EE">
              <w:rPr>
                <w:b w:val="0"/>
                <w:i/>
                <w:iCs/>
                <w:sz w:val="16"/>
                <w:szCs w:val="16"/>
              </w:rPr>
              <w:t xml:space="preserve">1. How effective is PRES and what are the opportunities to improve </w:t>
            </w:r>
            <w:proofErr w:type="gramStart"/>
            <w:r w:rsidRPr="05DC78EE">
              <w:rPr>
                <w:b w:val="0"/>
                <w:i/>
                <w:iCs/>
                <w:sz w:val="16"/>
                <w:szCs w:val="16"/>
              </w:rPr>
              <w:t>effectiveness?*</w:t>
            </w:r>
            <w:proofErr w:type="gramEnd"/>
          </w:p>
          <w:p w14:paraId="2D42AC5A" w14:textId="77777777" w:rsidR="00BD3D35" w:rsidRPr="005063A9" w:rsidRDefault="00BD3D35" w:rsidP="007A6121">
            <w:pPr>
              <w:numPr>
                <w:ilvl w:val="1"/>
                <w:numId w:val="21"/>
              </w:numPr>
              <w:rPr>
                <w:b w:val="0"/>
                <w:sz w:val="16"/>
                <w:szCs w:val="16"/>
              </w:rPr>
            </w:pPr>
            <w:r w:rsidRPr="005063A9">
              <w:rPr>
                <w:b w:val="0"/>
                <w:sz w:val="16"/>
                <w:szCs w:val="16"/>
              </w:rPr>
              <w:t>Is PRES on track to achieve its expected outcomes?</w:t>
            </w:r>
          </w:p>
          <w:p w14:paraId="71DAC5B8" w14:textId="77777777" w:rsidR="00BD3D35" w:rsidRPr="005063A9" w:rsidRDefault="00BD3D35" w:rsidP="007A6121">
            <w:pPr>
              <w:numPr>
                <w:ilvl w:val="1"/>
                <w:numId w:val="21"/>
              </w:numPr>
              <w:rPr>
                <w:b w:val="0"/>
                <w:sz w:val="16"/>
                <w:szCs w:val="16"/>
              </w:rPr>
            </w:pPr>
            <w:r w:rsidRPr="005063A9">
              <w:rPr>
                <w:b w:val="0"/>
                <w:sz w:val="16"/>
                <w:szCs w:val="16"/>
              </w:rPr>
              <w:t xml:space="preserve">To what extent has PRES supported strategic policy and program coherence across its scope of work? </w:t>
            </w:r>
          </w:p>
          <w:p w14:paraId="70E0198E" w14:textId="77777777" w:rsidR="00BD3D35" w:rsidRPr="005063A9" w:rsidRDefault="00BD3D35" w:rsidP="007A6121">
            <w:pPr>
              <w:numPr>
                <w:ilvl w:val="1"/>
                <w:numId w:val="21"/>
              </w:numPr>
              <w:rPr>
                <w:b w:val="0"/>
                <w:sz w:val="16"/>
                <w:szCs w:val="16"/>
              </w:rPr>
            </w:pPr>
            <w:r w:rsidRPr="005063A9">
              <w:rPr>
                <w:b w:val="0"/>
                <w:sz w:val="16"/>
                <w:szCs w:val="16"/>
              </w:rPr>
              <w:t>In what ways has PRES enhanced investment design and performance across its scope of work including in the areas of gender equality and disability inclusion?</w:t>
            </w:r>
          </w:p>
          <w:p w14:paraId="60414436" w14:textId="77777777" w:rsidR="00BD3D35" w:rsidRPr="005063A9" w:rsidRDefault="00BD3D35" w:rsidP="007A6121">
            <w:pPr>
              <w:numPr>
                <w:ilvl w:val="1"/>
                <w:numId w:val="21"/>
              </w:numPr>
              <w:rPr>
                <w:b w:val="0"/>
                <w:sz w:val="16"/>
                <w:szCs w:val="16"/>
              </w:rPr>
            </w:pPr>
            <w:r w:rsidRPr="005063A9">
              <w:rPr>
                <w:b w:val="0"/>
                <w:sz w:val="16"/>
                <w:szCs w:val="16"/>
              </w:rPr>
              <w:t>To what extent has PRES contributed to knowledge management and learning within the Pacific Economic and Trade Branch?</w:t>
            </w:r>
          </w:p>
          <w:p w14:paraId="42E2AD8C" w14:textId="77777777" w:rsidR="00BD3D35" w:rsidRPr="005063A9" w:rsidRDefault="00BD3D35" w:rsidP="007A6121">
            <w:pPr>
              <w:numPr>
                <w:ilvl w:val="1"/>
                <w:numId w:val="21"/>
              </w:numPr>
              <w:rPr>
                <w:b w:val="0"/>
                <w:sz w:val="16"/>
                <w:szCs w:val="16"/>
              </w:rPr>
            </w:pPr>
            <w:r w:rsidRPr="005063A9">
              <w:rPr>
                <w:b w:val="0"/>
                <w:sz w:val="16"/>
                <w:szCs w:val="16"/>
              </w:rPr>
              <w:t>To what extent has PRES responded to and met PEB/DFAT needs?</w:t>
            </w:r>
          </w:p>
          <w:p w14:paraId="0D28BD36" w14:textId="77777777" w:rsidR="00BD3D35" w:rsidRPr="00F300CB" w:rsidRDefault="00BD3D35" w:rsidP="007A6121">
            <w:pPr>
              <w:numPr>
                <w:ilvl w:val="1"/>
                <w:numId w:val="21"/>
              </w:numPr>
              <w:rPr>
                <w:b w:val="0"/>
                <w:sz w:val="16"/>
                <w:szCs w:val="16"/>
              </w:rPr>
            </w:pPr>
            <w:r w:rsidRPr="005063A9">
              <w:rPr>
                <w:b w:val="0"/>
                <w:sz w:val="16"/>
                <w:szCs w:val="16"/>
              </w:rPr>
              <w:t>In its next phase, how could PRES effectiveness be improved? [links to Design Question 2]</w:t>
            </w:r>
          </w:p>
        </w:tc>
        <w:tc>
          <w:tcPr>
            <w:tcW w:w="0" w:type="auto"/>
          </w:tcPr>
          <w:p w14:paraId="6EEF82ED" w14:textId="77777777" w:rsidR="00BD3D35" w:rsidRPr="00D93E5B"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D93E5B">
              <w:rPr>
                <w:sz w:val="16"/>
                <w:szCs w:val="16"/>
              </w:rPr>
              <w:t>PRES core team</w:t>
            </w:r>
          </w:p>
          <w:p w14:paraId="757EB4C8" w14:textId="77777777" w:rsidR="00BD3D35" w:rsidRPr="00D93E5B"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D93E5B">
              <w:rPr>
                <w:sz w:val="16"/>
                <w:szCs w:val="16"/>
              </w:rPr>
              <w:t>DFAT managers</w:t>
            </w:r>
          </w:p>
          <w:p w14:paraId="18EA5212" w14:textId="77777777" w:rsidR="00BD3D35" w:rsidRPr="00D93E5B"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D93E5B">
              <w:rPr>
                <w:sz w:val="16"/>
                <w:szCs w:val="16"/>
              </w:rPr>
              <w:t>DFAT users – as relevant to SO</w:t>
            </w:r>
          </w:p>
          <w:p w14:paraId="705B484A" w14:textId="77777777" w:rsidR="00BD3D35" w:rsidRPr="00D93E5B"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D93E5B">
              <w:rPr>
                <w:sz w:val="16"/>
                <w:szCs w:val="16"/>
              </w:rPr>
              <w:t xml:space="preserve">PRES embedded advisers </w:t>
            </w:r>
          </w:p>
          <w:p w14:paraId="78F13138" w14:textId="77777777" w:rsidR="00BD3D35" w:rsidRPr="00C8127C" w:rsidRDefault="00BD3D35">
            <w:pPr>
              <w:cnfStyle w:val="000000000000" w:firstRow="0" w:lastRow="0" w:firstColumn="0" w:lastColumn="0" w:oddVBand="0" w:evenVBand="0" w:oddHBand="0" w:evenHBand="0" w:firstRowFirstColumn="0" w:firstRowLastColumn="0" w:lastRowFirstColumn="0" w:lastRowLastColumn="0"/>
              <w:rPr>
                <w:b/>
                <w:bCs/>
                <w:sz w:val="16"/>
                <w:szCs w:val="16"/>
              </w:rPr>
            </w:pPr>
            <w:r w:rsidRPr="00D93E5B">
              <w:rPr>
                <w:sz w:val="16"/>
                <w:szCs w:val="16"/>
              </w:rPr>
              <w:t>PRES consultants – as relevant</w:t>
            </w:r>
          </w:p>
        </w:tc>
        <w:tc>
          <w:tcPr>
            <w:tcW w:w="0" w:type="auto"/>
          </w:tcPr>
          <w:p w14:paraId="57FA38BD" w14:textId="77777777" w:rsidR="00BD3D35" w:rsidRPr="0075071C"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75071C">
              <w:rPr>
                <w:sz w:val="16"/>
                <w:szCs w:val="16"/>
              </w:rPr>
              <w:t>PRES MEL Plan including program logic</w:t>
            </w:r>
          </w:p>
          <w:p w14:paraId="355F8D31" w14:textId="77777777" w:rsidR="00BD3D35" w:rsidRPr="0075071C"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75071C">
              <w:rPr>
                <w:sz w:val="16"/>
                <w:szCs w:val="16"/>
              </w:rPr>
              <w:t>PRES progress reports</w:t>
            </w:r>
          </w:p>
          <w:p w14:paraId="2DB8652C" w14:textId="77777777" w:rsidR="00BD3D35" w:rsidRPr="0075071C"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75071C">
              <w:rPr>
                <w:sz w:val="16"/>
                <w:szCs w:val="16"/>
              </w:rPr>
              <w:t>Key outputs of MEL system e.g. analysis of survey data, reflection workshop agendas and minutes, evaluation products.</w:t>
            </w:r>
          </w:p>
          <w:p w14:paraId="160E10B2" w14:textId="77777777" w:rsidR="00BD3D35" w:rsidRPr="0075071C"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75071C">
              <w:rPr>
                <w:sz w:val="16"/>
                <w:szCs w:val="16"/>
              </w:rPr>
              <w:t>DFAT Investment Monitoring Reports</w:t>
            </w:r>
          </w:p>
          <w:p w14:paraId="34A3299F" w14:textId="77777777" w:rsidR="00BD3D35" w:rsidRPr="00C8127C"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75071C">
              <w:rPr>
                <w:sz w:val="16"/>
                <w:szCs w:val="16"/>
              </w:rPr>
              <w:t>DFAT Partner Performance Assessments</w:t>
            </w:r>
          </w:p>
        </w:tc>
      </w:tr>
      <w:tr w:rsidR="00BD3D35" w:rsidRPr="00C8127C" w14:paraId="1CAAAB95" w14:textId="77777777">
        <w:trPr>
          <w:trHeight w:val="110"/>
        </w:trPr>
        <w:tc>
          <w:tcPr>
            <w:cnfStyle w:val="001000000000" w:firstRow="0" w:lastRow="0" w:firstColumn="1" w:lastColumn="0" w:oddVBand="0" w:evenVBand="0" w:oddHBand="0" w:evenHBand="0" w:firstRowFirstColumn="0" w:firstRowLastColumn="0" w:lastRowFirstColumn="0" w:lastRowLastColumn="0"/>
            <w:tcW w:w="0" w:type="auto"/>
          </w:tcPr>
          <w:p w14:paraId="496DF0A7" w14:textId="77777777" w:rsidR="00BD3D35" w:rsidRPr="006F50EE" w:rsidRDefault="00BD3D35">
            <w:pPr>
              <w:rPr>
                <w:b w:val="0"/>
                <w:i/>
                <w:iCs/>
                <w:sz w:val="16"/>
                <w:szCs w:val="16"/>
              </w:rPr>
            </w:pPr>
            <w:r w:rsidRPr="05DC78EE">
              <w:rPr>
                <w:b w:val="0"/>
                <w:i/>
                <w:iCs/>
                <w:sz w:val="16"/>
                <w:szCs w:val="16"/>
              </w:rPr>
              <w:t xml:space="preserve">2. How efficient is PRES and what are the opportunities to improve </w:t>
            </w:r>
            <w:proofErr w:type="gramStart"/>
            <w:r w:rsidRPr="05DC78EE">
              <w:rPr>
                <w:b w:val="0"/>
                <w:i/>
                <w:iCs/>
                <w:sz w:val="16"/>
                <w:szCs w:val="16"/>
              </w:rPr>
              <w:t>efficiency?*</w:t>
            </w:r>
            <w:proofErr w:type="gramEnd"/>
          </w:p>
          <w:p w14:paraId="19B60AD1" w14:textId="77777777" w:rsidR="00BD3D35" w:rsidRPr="006F50EE" w:rsidRDefault="00BD3D35" w:rsidP="007A6121">
            <w:pPr>
              <w:numPr>
                <w:ilvl w:val="1"/>
                <w:numId w:val="32"/>
              </w:numPr>
              <w:rPr>
                <w:b w:val="0"/>
                <w:sz w:val="16"/>
                <w:szCs w:val="16"/>
              </w:rPr>
            </w:pPr>
            <w:r w:rsidRPr="05DC78EE">
              <w:rPr>
                <w:b w:val="0"/>
                <w:sz w:val="16"/>
                <w:szCs w:val="16"/>
              </w:rPr>
              <w:t>How efficiently does PRES deliver technical analysis and expertise?</w:t>
            </w:r>
          </w:p>
          <w:p w14:paraId="77C9A6B9" w14:textId="77777777" w:rsidR="00BD3D35" w:rsidRPr="006F50EE" w:rsidRDefault="00BD3D35" w:rsidP="007A6121">
            <w:pPr>
              <w:numPr>
                <w:ilvl w:val="1"/>
                <w:numId w:val="32"/>
              </w:numPr>
              <w:rPr>
                <w:b w:val="0"/>
                <w:sz w:val="16"/>
                <w:szCs w:val="16"/>
              </w:rPr>
            </w:pPr>
            <w:r w:rsidRPr="05DC78EE">
              <w:rPr>
                <w:b w:val="0"/>
                <w:sz w:val="16"/>
                <w:szCs w:val="16"/>
              </w:rPr>
              <w:t>To what extent has PRES successfully operated as an integrated program within PEB in accordance with the PRES partnership and One-Team approach?</w:t>
            </w:r>
          </w:p>
          <w:p w14:paraId="0E0E0D42" w14:textId="77777777" w:rsidR="00BD3D35" w:rsidRPr="006F50EE" w:rsidRDefault="00BD3D35" w:rsidP="007A6121">
            <w:pPr>
              <w:numPr>
                <w:ilvl w:val="1"/>
                <w:numId w:val="32"/>
              </w:numPr>
              <w:rPr>
                <w:b w:val="0"/>
                <w:sz w:val="16"/>
                <w:szCs w:val="16"/>
              </w:rPr>
            </w:pPr>
            <w:r w:rsidRPr="006F50EE">
              <w:rPr>
                <w:b w:val="0"/>
                <w:sz w:val="16"/>
                <w:szCs w:val="16"/>
              </w:rPr>
              <w:t>To what extent did PRES governance arrangements, including the Program Advisory Group, function as intended and support program effectiveness?</w:t>
            </w:r>
          </w:p>
          <w:p w14:paraId="4C1F4ECE" w14:textId="77777777" w:rsidR="00BD3D35" w:rsidRPr="006F50EE" w:rsidRDefault="00BD3D35" w:rsidP="007A6121">
            <w:pPr>
              <w:numPr>
                <w:ilvl w:val="1"/>
                <w:numId w:val="32"/>
              </w:numPr>
              <w:rPr>
                <w:b w:val="0"/>
                <w:sz w:val="16"/>
                <w:szCs w:val="16"/>
              </w:rPr>
            </w:pPr>
            <w:r w:rsidRPr="05DC78EE">
              <w:rPr>
                <w:b w:val="0"/>
                <w:sz w:val="16"/>
                <w:szCs w:val="16"/>
              </w:rPr>
              <w:t xml:space="preserve">To what extent has PRES optimally allocated resources between its core team, embedded advisers, and short-term technical assistance? </w:t>
            </w:r>
          </w:p>
          <w:p w14:paraId="681F06A8" w14:textId="77777777" w:rsidR="00BD3D35" w:rsidRPr="006F50EE" w:rsidRDefault="00BD3D35" w:rsidP="007A6121">
            <w:pPr>
              <w:numPr>
                <w:ilvl w:val="1"/>
                <w:numId w:val="32"/>
              </w:numPr>
              <w:rPr>
                <w:b w:val="0"/>
                <w:sz w:val="16"/>
                <w:szCs w:val="16"/>
              </w:rPr>
            </w:pPr>
            <w:r w:rsidRPr="006F50EE">
              <w:rPr>
                <w:b w:val="0"/>
                <w:sz w:val="16"/>
                <w:szCs w:val="16"/>
              </w:rPr>
              <w:t>To what extend does the PRES contracting arrangements promote value for money?</w:t>
            </w:r>
          </w:p>
          <w:p w14:paraId="094F425C" w14:textId="77777777" w:rsidR="00BD3D35" w:rsidRPr="001060C9" w:rsidRDefault="00BD3D35" w:rsidP="007A6121">
            <w:pPr>
              <w:numPr>
                <w:ilvl w:val="1"/>
                <w:numId w:val="32"/>
              </w:numPr>
              <w:rPr>
                <w:b w:val="0"/>
                <w:sz w:val="16"/>
                <w:szCs w:val="16"/>
              </w:rPr>
            </w:pPr>
            <w:r w:rsidRPr="006F50EE">
              <w:rPr>
                <w:b w:val="0"/>
                <w:sz w:val="16"/>
                <w:szCs w:val="16"/>
              </w:rPr>
              <w:t>In its next phase, how could PRES delivery approach and implementation arrangements better support program efficiency? [links to Design Question 2]</w:t>
            </w:r>
          </w:p>
        </w:tc>
        <w:tc>
          <w:tcPr>
            <w:tcW w:w="0" w:type="auto"/>
          </w:tcPr>
          <w:p w14:paraId="40B18968" w14:textId="77777777" w:rsidR="00BD3D35" w:rsidRPr="00D93E5B"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D93E5B">
              <w:rPr>
                <w:sz w:val="16"/>
                <w:szCs w:val="16"/>
              </w:rPr>
              <w:t>PRES core team</w:t>
            </w:r>
          </w:p>
          <w:p w14:paraId="75F12748" w14:textId="77777777" w:rsidR="00BD3D35" w:rsidRPr="00C8127C" w:rsidRDefault="00BD3D35">
            <w:pPr>
              <w:cnfStyle w:val="000000000000" w:firstRow="0" w:lastRow="0" w:firstColumn="0" w:lastColumn="0" w:oddVBand="0" w:evenVBand="0" w:oddHBand="0" w:evenHBand="0" w:firstRowFirstColumn="0" w:firstRowLastColumn="0" w:lastRowFirstColumn="0" w:lastRowLastColumn="0"/>
              <w:rPr>
                <w:b/>
                <w:bCs/>
                <w:sz w:val="16"/>
                <w:szCs w:val="16"/>
              </w:rPr>
            </w:pPr>
            <w:r w:rsidRPr="00D93E5B">
              <w:rPr>
                <w:sz w:val="16"/>
                <w:szCs w:val="16"/>
              </w:rPr>
              <w:t>DFAT managers</w:t>
            </w:r>
          </w:p>
        </w:tc>
        <w:tc>
          <w:tcPr>
            <w:tcW w:w="0" w:type="auto"/>
          </w:tcPr>
          <w:p w14:paraId="3F7CE074" w14:textId="77777777" w:rsidR="00BD3D35" w:rsidRPr="0075071C"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75071C">
              <w:rPr>
                <w:sz w:val="16"/>
                <w:szCs w:val="16"/>
              </w:rPr>
              <w:t>PRES operations manual</w:t>
            </w:r>
          </w:p>
          <w:p w14:paraId="34BBA02D" w14:textId="77777777" w:rsidR="00BD3D35" w:rsidRPr="0075071C"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75071C">
              <w:rPr>
                <w:sz w:val="16"/>
                <w:szCs w:val="16"/>
              </w:rPr>
              <w:t>PRES annual work plans and budgets</w:t>
            </w:r>
          </w:p>
          <w:p w14:paraId="1CFCB69E" w14:textId="77777777" w:rsidR="00BD3D35" w:rsidRPr="0075071C"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75071C">
              <w:rPr>
                <w:sz w:val="16"/>
                <w:szCs w:val="16"/>
              </w:rPr>
              <w:t>PRES MEL Plan including program logic</w:t>
            </w:r>
          </w:p>
          <w:p w14:paraId="25F67DD4" w14:textId="77777777" w:rsidR="00BD3D35" w:rsidRPr="0075071C"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75071C">
              <w:rPr>
                <w:sz w:val="16"/>
                <w:szCs w:val="16"/>
              </w:rPr>
              <w:t>PRES risk framework</w:t>
            </w:r>
          </w:p>
          <w:p w14:paraId="7C45EADB" w14:textId="77777777" w:rsidR="00BD3D35" w:rsidRPr="0075071C"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75071C">
              <w:rPr>
                <w:sz w:val="16"/>
                <w:szCs w:val="16"/>
              </w:rPr>
              <w:t>PRES progress reports</w:t>
            </w:r>
          </w:p>
          <w:p w14:paraId="214FC048" w14:textId="77777777" w:rsidR="00BD3D35" w:rsidRPr="0075071C"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75071C">
              <w:rPr>
                <w:sz w:val="16"/>
                <w:szCs w:val="16"/>
              </w:rPr>
              <w:t>Documents relating to selected PRES service orders (to be agreed with evaluation team after review of PRES work plans and progress reports, guided by sampling criteria in Section 3.2) e.g. terms of reference, work plans, key outputs.</w:t>
            </w:r>
          </w:p>
          <w:p w14:paraId="0B905337" w14:textId="77777777" w:rsidR="00BD3D35" w:rsidRPr="0075071C"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75071C">
              <w:rPr>
                <w:sz w:val="16"/>
                <w:szCs w:val="16"/>
              </w:rPr>
              <w:t>DFAT Investment Monitoring Reports</w:t>
            </w:r>
          </w:p>
          <w:p w14:paraId="3AD51C47" w14:textId="77777777" w:rsidR="00BD3D35" w:rsidRPr="00C8127C"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75071C">
              <w:rPr>
                <w:sz w:val="16"/>
                <w:szCs w:val="16"/>
              </w:rPr>
              <w:t>DFAT Partner Performance Assessments</w:t>
            </w:r>
          </w:p>
        </w:tc>
      </w:tr>
      <w:tr w:rsidR="00BD3D35" w:rsidRPr="00C8127C" w14:paraId="7F5A1C0B" w14:textId="77777777">
        <w:trPr>
          <w:trHeight w:val="247"/>
        </w:trPr>
        <w:tc>
          <w:tcPr>
            <w:cnfStyle w:val="001000000000" w:firstRow="0" w:lastRow="0" w:firstColumn="1" w:lastColumn="0" w:oddVBand="0" w:evenVBand="0" w:oddHBand="0" w:evenHBand="0" w:firstRowFirstColumn="0" w:firstRowLastColumn="0" w:lastRowFirstColumn="0" w:lastRowLastColumn="0"/>
            <w:tcW w:w="0" w:type="auto"/>
          </w:tcPr>
          <w:p w14:paraId="5A853A29" w14:textId="77777777" w:rsidR="00BD3D35" w:rsidRPr="006F50EE" w:rsidRDefault="00BD3D35">
            <w:pPr>
              <w:rPr>
                <w:b w:val="0"/>
                <w:i/>
                <w:iCs/>
                <w:sz w:val="16"/>
                <w:szCs w:val="16"/>
              </w:rPr>
            </w:pPr>
            <w:r>
              <w:rPr>
                <w:b w:val="0"/>
                <w:i/>
                <w:iCs/>
                <w:sz w:val="16"/>
                <w:szCs w:val="16"/>
              </w:rPr>
              <w:t>3</w:t>
            </w:r>
            <w:r w:rsidRPr="006F50EE">
              <w:rPr>
                <w:b w:val="0"/>
                <w:i/>
                <w:iCs/>
                <w:sz w:val="16"/>
                <w:szCs w:val="16"/>
              </w:rPr>
              <w:t>. How relevant is PRES and what are the opportunities to improve relevance?</w:t>
            </w:r>
          </w:p>
          <w:p w14:paraId="4415183A" w14:textId="77777777" w:rsidR="00BD3D35" w:rsidRPr="006F50EE" w:rsidRDefault="00BD3D35" w:rsidP="007A6121">
            <w:pPr>
              <w:numPr>
                <w:ilvl w:val="1"/>
                <w:numId w:val="34"/>
              </w:numPr>
              <w:rPr>
                <w:b w:val="0"/>
                <w:sz w:val="16"/>
                <w:szCs w:val="16"/>
              </w:rPr>
            </w:pPr>
            <w:r w:rsidRPr="05DC78EE">
              <w:rPr>
                <w:b w:val="0"/>
                <w:sz w:val="16"/>
                <w:szCs w:val="16"/>
              </w:rPr>
              <w:t xml:space="preserve">How relevant and appropriate has PRES been to the operating context, DFAT staff needs, and DFAT policy priorities? </w:t>
            </w:r>
          </w:p>
          <w:p w14:paraId="784F4108" w14:textId="77777777" w:rsidR="00BD3D35" w:rsidRPr="006F50EE" w:rsidRDefault="00BD3D35" w:rsidP="007A6121">
            <w:pPr>
              <w:numPr>
                <w:ilvl w:val="1"/>
                <w:numId w:val="34"/>
              </w:numPr>
              <w:rPr>
                <w:b w:val="0"/>
                <w:sz w:val="16"/>
                <w:szCs w:val="16"/>
              </w:rPr>
            </w:pPr>
            <w:r w:rsidRPr="006F50EE">
              <w:rPr>
                <w:b w:val="0"/>
                <w:sz w:val="16"/>
                <w:szCs w:val="16"/>
              </w:rPr>
              <w:t>Looking forward, how is the operating context, DFAT staff needs and DFAT policy priorities evolving?</w:t>
            </w:r>
          </w:p>
          <w:p w14:paraId="137ED98D" w14:textId="77777777" w:rsidR="00BD3D35" w:rsidRPr="001060C9" w:rsidRDefault="00BD3D35" w:rsidP="007A6121">
            <w:pPr>
              <w:numPr>
                <w:ilvl w:val="1"/>
                <w:numId w:val="34"/>
              </w:numPr>
              <w:rPr>
                <w:b w:val="0"/>
                <w:sz w:val="16"/>
                <w:szCs w:val="16"/>
              </w:rPr>
            </w:pPr>
            <w:r w:rsidRPr="006F50EE">
              <w:rPr>
                <w:b w:val="0"/>
                <w:sz w:val="16"/>
                <w:szCs w:val="16"/>
              </w:rPr>
              <w:t>In its next phase, how could PRES relevance be improved? [links to Design Question 1]</w:t>
            </w:r>
          </w:p>
        </w:tc>
        <w:tc>
          <w:tcPr>
            <w:tcW w:w="0" w:type="auto"/>
          </w:tcPr>
          <w:p w14:paraId="046CC3A1" w14:textId="77777777" w:rsidR="00BD3D35" w:rsidRPr="00D93E5B"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D93E5B">
              <w:rPr>
                <w:sz w:val="16"/>
                <w:szCs w:val="16"/>
              </w:rPr>
              <w:t>PRES core team</w:t>
            </w:r>
          </w:p>
          <w:p w14:paraId="5B999CF3" w14:textId="77777777" w:rsidR="00BD3D35" w:rsidRPr="00D93E5B"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D93E5B">
              <w:rPr>
                <w:sz w:val="16"/>
                <w:szCs w:val="16"/>
              </w:rPr>
              <w:t>DFAT managers</w:t>
            </w:r>
          </w:p>
          <w:p w14:paraId="2F270F96" w14:textId="77777777" w:rsidR="00BD3D35" w:rsidRPr="00D93E5B"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D93E5B">
              <w:rPr>
                <w:sz w:val="16"/>
                <w:szCs w:val="16"/>
              </w:rPr>
              <w:t>DFAT users – as relevant</w:t>
            </w:r>
          </w:p>
          <w:p w14:paraId="088DCA42" w14:textId="77777777" w:rsidR="00BD3D35" w:rsidRPr="00D93E5B"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D93E5B">
              <w:rPr>
                <w:sz w:val="16"/>
                <w:szCs w:val="16"/>
              </w:rPr>
              <w:t xml:space="preserve">PRES embedded advisers </w:t>
            </w:r>
          </w:p>
        </w:tc>
        <w:tc>
          <w:tcPr>
            <w:tcW w:w="0" w:type="auto"/>
          </w:tcPr>
          <w:p w14:paraId="4294F482" w14:textId="77777777" w:rsidR="00BD3D35" w:rsidRPr="0075071C"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75071C">
              <w:rPr>
                <w:sz w:val="16"/>
                <w:szCs w:val="16"/>
              </w:rPr>
              <w:t>PRES strategies e.g. GEDSI</w:t>
            </w:r>
          </w:p>
          <w:p w14:paraId="6774F159" w14:textId="77777777" w:rsidR="00BD3D35" w:rsidRPr="0075071C"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75071C">
              <w:rPr>
                <w:sz w:val="16"/>
                <w:szCs w:val="16"/>
              </w:rPr>
              <w:t>PRES progress reports</w:t>
            </w:r>
          </w:p>
          <w:p w14:paraId="0C5BC02C" w14:textId="77777777" w:rsidR="00BD3D35" w:rsidRPr="0075071C"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75071C">
              <w:rPr>
                <w:sz w:val="16"/>
                <w:szCs w:val="16"/>
              </w:rPr>
              <w:t>DFAT Investment Monitoring Reports</w:t>
            </w:r>
          </w:p>
          <w:p w14:paraId="36E80D7C" w14:textId="77777777" w:rsidR="00BD3D35" w:rsidRPr="00C8127C"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75071C">
              <w:rPr>
                <w:sz w:val="16"/>
                <w:szCs w:val="16"/>
              </w:rPr>
              <w:t>DFAT Partner Performance Assessments</w:t>
            </w:r>
          </w:p>
        </w:tc>
      </w:tr>
      <w:tr w:rsidR="00BD3D35" w:rsidRPr="00C8127C" w14:paraId="02510F48" w14:textId="77777777">
        <w:trPr>
          <w:trHeight w:val="209"/>
        </w:trPr>
        <w:tc>
          <w:tcPr>
            <w:cnfStyle w:val="001000000000" w:firstRow="0" w:lastRow="0" w:firstColumn="1" w:lastColumn="0" w:oddVBand="0" w:evenVBand="0" w:oddHBand="0" w:evenHBand="0" w:firstRowFirstColumn="0" w:firstRowLastColumn="0" w:lastRowFirstColumn="0" w:lastRowLastColumn="0"/>
            <w:tcW w:w="0" w:type="auto"/>
          </w:tcPr>
          <w:p w14:paraId="3EF2D592" w14:textId="77777777" w:rsidR="00BD3D35" w:rsidRPr="006F50EE" w:rsidRDefault="00BD3D35">
            <w:pPr>
              <w:rPr>
                <w:b w:val="0"/>
                <w:i/>
                <w:iCs/>
                <w:sz w:val="16"/>
                <w:szCs w:val="16"/>
              </w:rPr>
            </w:pPr>
            <w:r w:rsidRPr="006F50EE">
              <w:rPr>
                <w:b w:val="0"/>
                <w:i/>
                <w:iCs/>
                <w:sz w:val="16"/>
                <w:szCs w:val="16"/>
              </w:rPr>
              <w:t xml:space="preserve">4. To what extent did PRES promote GEDSI outcomes? </w:t>
            </w:r>
          </w:p>
          <w:p w14:paraId="04F81A62" w14:textId="77777777" w:rsidR="00BD3D35" w:rsidRPr="006F50EE" w:rsidRDefault="00BD3D35" w:rsidP="007A6121">
            <w:pPr>
              <w:numPr>
                <w:ilvl w:val="1"/>
                <w:numId w:val="35"/>
              </w:numPr>
              <w:rPr>
                <w:b w:val="0"/>
                <w:sz w:val="16"/>
                <w:szCs w:val="16"/>
              </w:rPr>
            </w:pPr>
            <w:r w:rsidRPr="05DC78EE">
              <w:rPr>
                <w:b w:val="0"/>
                <w:sz w:val="16"/>
                <w:szCs w:val="16"/>
              </w:rPr>
              <w:t xml:space="preserve">To what extent did PRES deliver results on gender equality, including outcomes identified in the PRES GEDSI strategy? </w:t>
            </w:r>
          </w:p>
          <w:p w14:paraId="3D18DAFF" w14:textId="77777777" w:rsidR="00BD3D35" w:rsidRPr="006F50EE" w:rsidRDefault="00BD3D35" w:rsidP="007A6121">
            <w:pPr>
              <w:numPr>
                <w:ilvl w:val="1"/>
                <w:numId w:val="35"/>
              </w:numPr>
              <w:rPr>
                <w:b w:val="0"/>
                <w:sz w:val="16"/>
                <w:szCs w:val="16"/>
              </w:rPr>
            </w:pPr>
            <w:r w:rsidRPr="006F50EE">
              <w:rPr>
                <w:b w:val="0"/>
                <w:sz w:val="16"/>
                <w:szCs w:val="16"/>
              </w:rPr>
              <w:lastRenderedPageBreak/>
              <w:t>How well has PRES addressed disability inclusion in program approaches and activities?</w:t>
            </w:r>
          </w:p>
          <w:p w14:paraId="7D9647B8" w14:textId="77777777" w:rsidR="00BD3D35" w:rsidRPr="006F50EE" w:rsidRDefault="00BD3D35" w:rsidP="007A6121">
            <w:pPr>
              <w:numPr>
                <w:ilvl w:val="1"/>
                <w:numId w:val="35"/>
              </w:numPr>
              <w:rPr>
                <w:b w:val="0"/>
                <w:sz w:val="16"/>
                <w:szCs w:val="16"/>
              </w:rPr>
            </w:pPr>
            <w:r w:rsidRPr="006F50EE">
              <w:rPr>
                <w:b w:val="0"/>
                <w:sz w:val="16"/>
                <w:szCs w:val="16"/>
              </w:rPr>
              <w:t>To what extent has PRES increased adviser diversity over its implementation, including Pacific Islanders?</w:t>
            </w:r>
          </w:p>
          <w:p w14:paraId="094A4AF1" w14:textId="77777777" w:rsidR="00BD3D35" w:rsidRPr="001060C9" w:rsidRDefault="00BD3D35" w:rsidP="007A6121">
            <w:pPr>
              <w:numPr>
                <w:ilvl w:val="1"/>
                <w:numId w:val="35"/>
              </w:numPr>
              <w:rPr>
                <w:b w:val="0"/>
                <w:sz w:val="16"/>
                <w:szCs w:val="16"/>
              </w:rPr>
            </w:pPr>
            <w:r w:rsidRPr="006F50EE">
              <w:rPr>
                <w:b w:val="0"/>
                <w:sz w:val="16"/>
                <w:szCs w:val="16"/>
              </w:rPr>
              <w:t>In its next phase, how could PRES better promote GEDSI? [links to Design Question 2]</w:t>
            </w:r>
          </w:p>
        </w:tc>
        <w:tc>
          <w:tcPr>
            <w:tcW w:w="0" w:type="auto"/>
          </w:tcPr>
          <w:p w14:paraId="0229C503" w14:textId="77777777" w:rsidR="00BD3D35" w:rsidRPr="00D93E5B"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D93E5B">
              <w:rPr>
                <w:sz w:val="16"/>
                <w:szCs w:val="16"/>
              </w:rPr>
              <w:lastRenderedPageBreak/>
              <w:t>PRES core team</w:t>
            </w:r>
          </w:p>
          <w:p w14:paraId="1777C62E" w14:textId="77777777" w:rsidR="00BD3D35" w:rsidRPr="00D93E5B"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D93E5B">
              <w:rPr>
                <w:sz w:val="16"/>
                <w:szCs w:val="16"/>
              </w:rPr>
              <w:t>DFAT managers</w:t>
            </w:r>
          </w:p>
          <w:p w14:paraId="68FA8E21" w14:textId="77777777" w:rsidR="00BD3D35" w:rsidRPr="00D93E5B"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D93E5B">
              <w:rPr>
                <w:sz w:val="16"/>
                <w:szCs w:val="16"/>
              </w:rPr>
              <w:lastRenderedPageBreak/>
              <w:t>DFAT users – as relevant to SO</w:t>
            </w:r>
          </w:p>
          <w:p w14:paraId="6F2B7A67" w14:textId="77777777" w:rsidR="00BD3D35" w:rsidRPr="00D93E5B"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D93E5B">
              <w:rPr>
                <w:sz w:val="16"/>
                <w:szCs w:val="16"/>
              </w:rPr>
              <w:t xml:space="preserve">PRES embedded advisers </w:t>
            </w:r>
          </w:p>
          <w:p w14:paraId="7203A944" w14:textId="77777777" w:rsidR="00BD3D35" w:rsidRPr="00D93E5B"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D93E5B">
              <w:rPr>
                <w:sz w:val="16"/>
                <w:szCs w:val="16"/>
              </w:rPr>
              <w:t>PRES consultants – as relevant</w:t>
            </w:r>
          </w:p>
        </w:tc>
        <w:tc>
          <w:tcPr>
            <w:tcW w:w="0" w:type="auto"/>
          </w:tcPr>
          <w:p w14:paraId="11818C9E" w14:textId="77777777" w:rsidR="00BD3D35" w:rsidRPr="0075071C"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75071C">
              <w:rPr>
                <w:sz w:val="16"/>
                <w:szCs w:val="16"/>
              </w:rPr>
              <w:lastRenderedPageBreak/>
              <w:t>PRES strategies e.g. GEDSI</w:t>
            </w:r>
          </w:p>
          <w:p w14:paraId="31FC4711" w14:textId="77777777" w:rsidR="00BD3D35" w:rsidRPr="0075071C"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75071C">
              <w:rPr>
                <w:sz w:val="16"/>
                <w:szCs w:val="16"/>
              </w:rPr>
              <w:t>PRES annual work plans and budgets</w:t>
            </w:r>
          </w:p>
          <w:p w14:paraId="363F1D76" w14:textId="77777777" w:rsidR="00BD3D35" w:rsidRPr="0075071C"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75071C">
              <w:rPr>
                <w:sz w:val="16"/>
                <w:szCs w:val="16"/>
              </w:rPr>
              <w:t>PRES MEL Plan including program logic</w:t>
            </w:r>
          </w:p>
          <w:p w14:paraId="2E59F9E1" w14:textId="77777777" w:rsidR="00BD3D35" w:rsidRPr="0075071C"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75071C">
              <w:rPr>
                <w:sz w:val="16"/>
                <w:szCs w:val="16"/>
              </w:rPr>
              <w:t>PRES progress reports</w:t>
            </w:r>
          </w:p>
          <w:p w14:paraId="4CD4078D" w14:textId="77777777" w:rsidR="00BD3D35" w:rsidRPr="0075071C"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75071C">
              <w:rPr>
                <w:sz w:val="16"/>
                <w:szCs w:val="16"/>
              </w:rPr>
              <w:lastRenderedPageBreak/>
              <w:t>Documents relating to selected PRES service orders (to be agreed with evaluation team after review of PRES work plans and progress reports, guided by sampling criteria in Section 3.2) e.g. terms of reference, work plans, key outputs.</w:t>
            </w:r>
          </w:p>
          <w:p w14:paraId="7D328BC1" w14:textId="77777777" w:rsidR="00BD3D35" w:rsidRPr="0075071C"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75071C">
              <w:rPr>
                <w:sz w:val="16"/>
                <w:szCs w:val="16"/>
              </w:rPr>
              <w:t>DFAT Investment Monitoring Reports</w:t>
            </w:r>
          </w:p>
          <w:p w14:paraId="17285BA9" w14:textId="77777777" w:rsidR="00BD3D35" w:rsidRPr="00C8127C"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75071C">
              <w:rPr>
                <w:sz w:val="16"/>
                <w:szCs w:val="16"/>
              </w:rPr>
              <w:t>DFAT Partner Performance Assessments</w:t>
            </w:r>
          </w:p>
        </w:tc>
      </w:tr>
      <w:tr w:rsidR="00BD3D35" w:rsidRPr="00C8127C" w14:paraId="47B58813" w14:textId="77777777">
        <w:trPr>
          <w:trHeight w:val="327"/>
        </w:trPr>
        <w:tc>
          <w:tcPr>
            <w:cnfStyle w:val="001000000000" w:firstRow="0" w:lastRow="0" w:firstColumn="1" w:lastColumn="0" w:oddVBand="0" w:evenVBand="0" w:oddHBand="0" w:evenHBand="0" w:firstRowFirstColumn="0" w:firstRowLastColumn="0" w:lastRowFirstColumn="0" w:lastRowLastColumn="0"/>
            <w:tcW w:w="0" w:type="auto"/>
          </w:tcPr>
          <w:p w14:paraId="7AC3E910" w14:textId="77777777" w:rsidR="00BD3D35" w:rsidRPr="006F50EE" w:rsidRDefault="00BD3D35">
            <w:pPr>
              <w:rPr>
                <w:b w:val="0"/>
                <w:i/>
                <w:iCs/>
                <w:sz w:val="16"/>
                <w:szCs w:val="16"/>
              </w:rPr>
            </w:pPr>
            <w:r w:rsidRPr="006F50EE">
              <w:rPr>
                <w:b w:val="0"/>
                <w:i/>
                <w:iCs/>
                <w:sz w:val="16"/>
                <w:szCs w:val="16"/>
              </w:rPr>
              <w:lastRenderedPageBreak/>
              <w:t>5. Did the program operationalise an effective MEL system that met key stakeholder needs?</w:t>
            </w:r>
          </w:p>
          <w:p w14:paraId="48D0F596" w14:textId="77777777" w:rsidR="00BD3D35" w:rsidRPr="006F50EE" w:rsidRDefault="00BD3D35" w:rsidP="007A6121">
            <w:pPr>
              <w:numPr>
                <w:ilvl w:val="1"/>
                <w:numId w:val="36"/>
              </w:numPr>
              <w:rPr>
                <w:b w:val="0"/>
                <w:sz w:val="16"/>
                <w:szCs w:val="16"/>
              </w:rPr>
            </w:pPr>
            <w:r w:rsidRPr="05DC78EE">
              <w:rPr>
                <w:b w:val="0"/>
                <w:sz w:val="16"/>
                <w:szCs w:val="16"/>
              </w:rPr>
              <w:t>How appropriate is the PRES Performance Assessment Framework for guiding ongoing programming?</w:t>
            </w:r>
          </w:p>
          <w:p w14:paraId="136A661E" w14:textId="77777777" w:rsidR="00BD3D35" w:rsidRPr="006F50EE" w:rsidRDefault="00BD3D35" w:rsidP="007A6121">
            <w:pPr>
              <w:numPr>
                <w:ilvl w:val="1"/>
                <w:numId w:val="36"/>
              </w:numPr>
              <w:rPr>
                <w:b w:val="0"/>
                <w:sz w:val="16"/>
                <w:szCs w:val="16"/>
              </w:rPr>
            </w:pPr>
            <w:r w:rsidRPr="006F50EE">
              <w:rPr>
                <w:b w:val="0"/>
                <w:sz w:val="16"/>
                <w:szCs w:val="16"/>
              </w:rPr>
              <w:t>To what extent did PRES use performance information to support management decision making and learning?</w:t>
            </w:r>
          </w:p>
          <w:p w14:paraId="73DC5294" w14:textId="77777777" w:rsidR="00BD3D35" w:rsidRPr="006F50EE" w:rsidRDefault="00BD3D35" w:rsidP="007A6121">
            <w:pPr>
              <w:numPr>
                <w:ilvl w:val="1"/>
                <w:numId w:val="36"/>
              </w:numPr>
              <w:rPr>
                <w:b w:val="0"/>
                <w:sz w:val="16"/>
                <w:szCs w:val="16"/>
              </w:rPr>
            </w:pPr>
            <w:r w:rsidRPr="006F50EE">
              <w:rPr>
                <w:b w:val="0"/>
                <w:sz w:val="16"/>
                <w:szCs w:val="16"/>
              </w:rPr>
              <w:t>How well did the performance reporting, including progress towards outcomes, meet stakeholder needs?</w:t>
            </w:r>
          </w:p>
          <w:p w14:paraId="6658F51E" w14:textId="77777777" w:rsidR="00BD3D35" w:rsidRPr="001060C9" w:rsidRDefault="00BD3D35" w:rsidP="007A6121">
            <w:pPr>
              <w:numPr>
                <w:ilvl w:val="1"/>
                <w:numId w:val="36"/>
              </w:numPr>
              <w:rPr>
                <w:b w:val="0"/>
                <w:sz w:val="16"/>
                <w:szCs w:val="16"/>
              </w:rPr>
            </w:pPr>
            <w:r w:rsidRPr="006F50EE">
              <w:rPr>
                <w:b w:val="0"/>
                <w:sz w:val="16"/>
                <w:szCs w:val="16"/>
              </w:rPr>
              <w:t>In its next phase, how could PRES MEL arrangements be improved? [links to Design Question 3]</w:t>
            </w:r>
          </w:p>
        </w:tc>
        <w:tc>
          <w:tcPr>
            <w:tcW w:w="0" w:type="auto"/>
          </w:tcPr>
          <w:p w14:paraId="7DC07BC0" w14:textId="77777777" w:rsidR="00BD3D35" w:rsidRPr="00D93E5B"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D93E5B">
              <w:rPr>
                <w:sz w:val="16"/>
                <w:szCs w:val="16"/>
              </w:rPr>
              <w:t>PRES core team</w:t>
            </w:r>
          </w:p>
          <w:p w14:paraId="5C587E9E" w14:textId="77777777" w:rsidR="00BD3D35" w:rsidRPr="00D93E5B"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D93E5B">
              <w:rPr>
                <w:sz w:val="16"/>
                <w:szCs w:val="16"/>
              </w:rPr>
              <w:t>DFAT managers</w:t>
            </w:r>
          </w:p>
          <w:p w14:paraId="49FE55A1" w14:textId="77777777" w:rsidR="00BD3D35" w:rsidRPr="00D93E5B" w:rsidRDefault="00BD3D35">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tcPr>
          <w:p w14:paraId="3D27E059" w14:textId="77777777" w:rsidR="00BD3D35" w:rsidRPr="0075071C"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75071C">
              <w:rPr>
                <w:sz w:val="16"/>
                <w:szCs w:val="16"/>
              </w:rPr>
              <w:t>PRES MEL Plan including program logic</w:t>
            </w:r>
          </w:p>
          <w:p w14:paraId="3DD68E86" w14:textId="77777777" w:rsidR="00BD3D35" w:rsidRPr="0075071C"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75071C">
              <w:rPr>
                <w:sz w:val="16"/>
                <w:szCs w:val="16"/>
              </w:rPr>
              <w:t>PRES progress reports</w:t>
            </w:r>
          </w:p>
          <w:p w14:paraId="6B267C80" w14:textId="77777777" w:rsidR="00BD3D35" w:rsidRPr="0075071C"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75071C">
              <w:rPr>
                <w:sz w:val="16"/>
                <w:szCs w:val="16"/>
              </w:rPr>
              <w:t>DFAT Investment Monitoring Reports</w:t>
            </w:r>
          </w:p>
          <w:p w14:paraId="3E8321D4" w14:textId="77777777" w:rsidR="00BD3D35" w:rsidRPr="00C8127C"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75071C">
              <w:rPr>
                <w:sz w:val="16"/>
                <w:szCs w:val="16"/>
              </w:rPr>
              <w:t>DFAT Partner Performance Assessments</w:t>
            </w:r>
          </w:p>
        </w:tc>
      </w:tr>
      <w:tr w:rsidR="00BD3D35" w:rsidRPr="00C8127C" w14:paraId="7657BFC9" w14:textId="77777777">
        <w:trPr>
          <w:trHeight w:val="261"/>
        </w:trPr>
        <w:tc>
          <w:tcPr>
            <w:cnfStyle w:val="001000000000" w:firstRow="0" w:lastRow="0" w:firstColumn="1" w:lastColumn="0" w:oddVBand="0" w:evenVBand="0" w:oddHBand="0" w:evenHBand="0" w:firstRowFirstColumn="0" w:firstRowLastColumn="0" w:lastRowFirstColumn="0" w:lastRowLastColumn="0"/>
            <w:tcW w:w="0" w:type="auto"/>
          </w:tcPr>
          <w:p w14:paraId="1A321460" w14:textId="77777777" w:rsidR="00BD3D35" w:rsidRPr="006F50EE" w:rsidRDefault="00BD3D35">
            <w:pPr>
              <w:rPr>
                <w:b w:val="0"/>
                <w:i/>
                <w:iCs/>
                <w:sz w:val="16"/>
                <w:szCs w:val="16"/>
              </w:rPr>
            </w:pPr>
            <w:r w:rsidRPr="006F50EE">
              <w:rPr>
                <w:b w:val="0"/>
                <w:i/>
                <w:iCs/>
                <w:sz w:val="16"/>
                <w:szCs w:val="16"/>
              </w:rPr>
              <w:t xml:space="preserve">6. What are the opportunities to enhance the sustainability of PRES results? </w:t>
            </w:r>
          </w:p>
          <w:p w14:paraId="0E4467B1" w14:textId="77777777" w:rsidR="00BD3D35" w:rsidRPr="006F50EE" w:rsidRDefault="00BD3D35" w:rsidP="007A6121">
            <w:pPr>
              <w:numPr>
                <w:ilvl w:val="1"/>
                <w:numId w:val="33"/>
              </w:numPr>
              <w:rPr>
                <w:b w:val="0"/>
                <w:sz w:val="16"/>
                <w:szCs w:val="16"/>
              </w:rPr>
            </w:pPr>
            <w:r w:rsidRPr="006F50EE">
              <w:rPr>
                <w:b w:val="0"/>
                <w:sz w:val="16"/>
                <w:szCs w:val="16"/>
              </w:rPr>
              <w:t>What factors have supported or hindered the sustainability of PRES results?</w:t>
            </w:r>
          </w:p>
          <w:p w14:paraId="714AA958" w14:textId="77777777" w:rsidR="00BD3D35" w:rsidRPr="001060C9" w:rsidRDefault="00BD3D35" w:rsidP="007A6121">
            <w:pPr>
              <w:numPr>
                <w:ilvl w:val="1"/>
                <w:numId w:val="33"/>
              </w:numPr>
              <w:rPr>
                <w:b w:val="0"/>
                <w:sz w:val="16"/>
                <w:szCs w:val="16"/>
              </w:rPr>
            </w:pPr>
            <w:r w:rsidRPr="006F50EE">
              <w:rPr>
                <w:b w:val="0"/>
                <w:sz w:val="16"/>
                <w:szCs w:val="16"/>
              </w:rPr>
              <w:t>In its next phase, how can PRES promote more sustainable results? [links to Design Question 2]</w:t>
            </w:r>
          </w:p>
        </w:tc>
        <w:tc>
          <w:tcPr>
            <w:tcW w:w="0" w:type="auto"/>
          </w:tcPr>
          <w:p w14:paraId="584F9013" w14:textId="77777777" w:rsidR="00BD3D35" w:rsidRPr="00D93E5B"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D93E5B">
              <w:rPr>
                <w:sz w:val="16"/>
                <w:szCs w:val="16"/>
              </w:rPr>
              <w:t>PRES core team</w:t>
            </w:r>
          </w:p>
          <w:p w14:paraId="7F571386" w14:textId="77777777" w:rsidR="00BD3D35" w:rsidRPr="00D93E5B"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D93E5B">
              <w:rPr>
                <w:sz w:val="16"/>
                <w:szCs w:val="16"/>
              </w:rPr>
              <w:t>DFAT managers</w:t>
            </w:r>
          </w:p>
          <w:p w14:paraId="4A94E7BA" w14:textId="77777777" w:rsidR="00BD3D35" w:rsidRPr="00D93E5B"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D93E5B">
              <w:rPr>
                <w:sz w:val="16"/>
                <w:szCs w:val="16"/>
              </w:rPr>
              <w:t>DFAT users – as relevant to SO</w:t>
            </w:r>
          </w:p>
          <w:p w14:paraId="4D8AA1B6" w14:textId="77777777" w:rsidR="00BD3D35" w:rsidRPr="00D93E5B"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D93E5B">
              <w:rPr>
                <w:sz w:val="16"/>
                <w:szCs w:val="16"/>
              </w:rPr>
              <w:t xml:space="preserve">PRES embedded advisers </w:t>
            </w:r>
          </w:p>
          <w:p w14:paraId="5A6AA679" w14:textId="77777777" w:rsidR="00BD3D35" w:rsidRPr="00D93E5B"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D93E5B">
              <w:rPr>
                <w:sz w:val="16"/>
                <w:szCs w:val="16"/>
              </w:rPr>
              <w:t>PRES consultants – as relevant</w:t>
            </w:r>
          </w:p>
        </w:tc>
        <w:tc>
          <w:tcPr>
            <w:tcW w:w="0" w:type="auto"/>
          </w:tcPr>
          <w:p w14:paraId="48814440" w14:textId="77777777" w:rsidR="00BD3D35" w:rsidRPr="0075071C"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75071C">
              <w:rPr>
                <w:sz w:val="16"/>
                <w:szCs w:val="16"/>
              </w:rPr>
              <w:t>PRES strategies e.g. GEDSI</w:t>
            </w:r>
          </w:p>
          <w:p w14:paraId="2224325A" w14:textId="77777777" w:rsidR="00BD3D35" w:rsidRPr="0075071C"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75071C">
              <w:rPr>
                <w:sz w:val="16"/>
                <w:szCs w:val="16"/>
              </w:rPr>
              <w:t>PRES progress reports</w:t>
            </w:r>
          </w:p>
          <w:p w14:paraId="61AC7E23" w14:textId="77777777" w:rsidR="00BD3D35" w:rsidRPr="0075071C"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75071C">
              <w:rPr>
                <w:sz w:val="16"/>
                <w:szCs w:val="16"/>
              </w:rPr>
              <w:t>Documents relating to selected PRES service orders (to be agreed with evaluation team after review of PRES work plans and progress reports, guided by sampling criteria in Section 3.2) e.g. terms of reference, work plans, key outputs.</w:t>
            </w:r>
          </w:p>
          <w:p w14:paraId="316FDD95" w14:textId="77777777" w:rsidR="00BD3D35" w:rsidRPr="0075071C"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75071C">
              <w:rPr>
                <w:sz w:val="16"/>
                <w:szCs w:val="16"/>
              </w:rPr>
              <w:t>DFAT Investment Monitoring Reports</w:t>
            </w:r>
          </w:p>
          <w:p w14:paraId="2B9460F1" w14:textId="77777777" w:rsidR="00BD3D35" w:rsidRPr="00C8127C" w:rsidRDefault="00BD3D35">
            <w:pPr>
              <w:cnfStyle w:val="000000000000" w:firstRow="0" w:lastRow="0" w:firstColumn="0" w:lastColumn="0" w:oddVBand="0" w:evenVBand="0" w:oddHBand="0" w:evenHBand="0" w:firstRowFirstColumn="0" w:firstRowLastColumn="0" w:lastRowFirstColumn="0" w:lastRowLastColumn="0"/>
              <w:rPr>
                <w:sz w:val="16"/>
                <w:szCs w:val="16"/>
              </w:rPr>
            </w:pPr>
            <w:r w:rsidRPr="0075071C">
              <w:rPr>
                <w:sz w:val="16"/>
                <w:szCs w:val="16"/>
              </w:rPr>
              <w:t>DFAT Partner Performance Assessments</w:t>
            </w:r>
          </w:p>
        </w:tc>
      </w:tr>
    </w:tbl>
    <w:p w14:paraId="1F6571BD" w14:textId="77777777" w:rsidR="00BD3D35" w:rsidRPr="00A814DC" w:rsidRDefault="00BD3D35" w:rsidP="00BD3D35"/>
    <w:p w14:paraId="676C49B4" w14:textId="77777777" w:rsidR="006C41F6" w:rsidRDefault="006C41F6">
      <w:pPr>
        <w:sectPr w:rsidR="006C41F6" w:rsidSect="009B5A07">
          <w:pgSz w:w="11906" w:h="16838"/>
          <w:pgMar w:top="1276" w:right="1077" w:bottom="993" w:left="1077" w:header="567" w:footer="567" w:gutter="0"/>
          <w:cols w:space="708"/>
          <w:docGrid w:linePitch="360"/>
        </w:sectPr>
      </w:pPr>
    </w:p>
    <w:p w14:paraId="7C1ED73D" w14:textId="60A5242B" w:rsidR="00BD3D35" w:rsidRDefault="008F1F8F" w:rsidP="00B93DFD">
      <w:pPr>
        <w:pStyle w:val="Heading1"/>
        <w:numPr>
          <w:ilvl w:val="0"/>
          <w:numId w:val="0"/>
        </w:numPr>
      </w:pPr>
      <w:bookmarkStart w:id="149" w:name="_Toc205992475"/>
      <w:bookmarkStart w:id="150" w:name="_Toc205992562"/>
      <w:r>
        <w:lastRenderedPageBreak/>
        <w:t>A</w:t>
      </w:r>
      <w:r w:rsidR="0027727B">
        <w:t xml:space="preserve">ppendix B: </w:t>
      </w:r>
      <w:r w:rsidR="00F53AF3">
        <w:t>April 2025</w:t>
      </w:r>
      <w:r w:rsidR="006C41F6">
        <w:t xml:space="preserve"> Program LogiC</w:t>
      </w:r>
      <w:bookmarkEnd w:id="149"/>
      <w:bookmarkEnd w:id="150"/>
    </w:p>
    <w:p w14:paraId="4B6E0CC2" w14:textId="243C3D24" w:rsidR="006C41F6" w:rsidRPr="006C41F6" w:rsidRDefault="00BB7EE1" w:rsidP="00B93DFD">
      <w:r>
        <w:rPr>
          <w:noProof/>
        </w:rPr>
        <w:drawing>
          <wp:inline distT="0" distB="0" distL="0" distR="0" wp14:anchorId="68D52EA8" wp14:editId="15151DB6">
            <wp:extent cx="8708572" cy="5224442"/>
            <wp:effectExtent l="0" t="0" r="0" b="0"/>
            <wp:docPr id="977424826" name="Picture 9" descr="Goal: To improve the quality, performance and management of OTP's economic recovery and growth investments.&#10;Objective: To enable OTP/DFAT staff to make informed decisions and exercise greater accountability for the performance and quality of economic recovery and growth investments. &#10;EOIO1: DFAT staff use the technical advice, products or services accessed through PRES to support evidence based policy, strategy, program coherence, enhanced investment design, management and performance. &#10;Intermediate outcome (IO) 1.1 PRES meets DFAT staff needs. IO1.2 PEB staff are familiar with PRES. IO 1.3 TN identification of GEDSI dimensions is improved. IO 1.4 PRES activities are gender sensitive and/or disability inclusive. Various inputs, activities and outputs contribute to the outcomes. &#10;EOIO 2: PRES contributes to improving knowledge management and learning within PEB. &#10;Intermediate outcome (IO) 2.1 PEB?DFAT staff engage with PRES information sharing and learning events and processes. IO 2.2 PEB staff are aware of and access the IMS (PRES hub). Various inputs, activities and outputs contribute to these outc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424826" name="Picture 9" descr="Goal: To improve the quality, performance and management of OTP's economic recovery and growth investments.&#10;Objective: To enable OTP/DFAT staff to make informed decisions and exercise greater accountability for the performance and quality of economic recovery and growth investments. &#10;EOIO1: DFAT staff use the technical advice, products or services accessed through PRES to support evidence based policy, strategy, program coherence, enhanced investment design, management and performance. &#10;Intermediate outcome (IO) 1.1 PRES meets DFAT staff needs. IO1.2 PEB staff are familiar with PRES. IO 1.3 TN identification of GEDSI dimensions is improved. IO 1.4 PRES activities are gender sensitive and/or disability inclusive. Various inputs, activities and outputs contribute to the outcomes. &#10;EOIO 2: PRES contributes to improving knowledge management and learning within PEB. &#10;Intermediate outcome (IO) 2.1 PEB?DFAT staff engage with PRES information sharing and learning events and processes. IO 2.2 PEB staff are aware of and access the IMS (PRES hub). Various inputs, activities and outputs contribute to these outcomes.    "/>
                    <pic:cNvPicPr/>
                  </pic:nvPicPr>
                  <pic:blipFill>
                    <a:blip r:embed="rId31"/>
                    <a:stretch>
                      <a:fillRect/>
                    </a:stretch>
                  </pic:blipFill>
                  <pic:spPr>
                    <a:xfrm>
                      <a:off x="0" y="0"/>
                      <a:ext cx="8710726" cy="5225734"/>
                    </a:xfrm>
                    <a:prstGeom prst="rect">
                      <a:avLst/>
                    </a:prstGeom>
                  </pic:spPr>
                </pic:pic>
              </a:graphicData>
            </a:graphic>
          </wp:inline>
        </w:drawing>
      </w:r>
    </w:p>
    <w:sectPr w:rsidR="006C41F6" w:rsidRPr="006C41F6" w:rsidSect="00B93DFD">
      <w:pgSz w:w="16838" w:h="11906" w:orient="landscape"/>
      <w:pgMar w:top="1077" w:right="1276" w:bottom="1077" w:left="993"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021A61" w14:textId="77777777" w:rsidR="008F10C3" w:rsidRDefault="008F10C3" w:rsidP="005C306E">
      <w:pPr>
        <w:spacing w:after="0" w:line="240" w:lineRule="auto"/>
      </w:pPr>
      <w:r>
        <w:separator/>
      </w:r>
    </w:p>
  </w:endnote>
  <w:endnote w:type="continuationSeparator" w:id="0">
    <w:p w14:paraId="2611C303" w14:textId="77777777" w:rsidR="008F10C3" w:rsidRDefault="008F10C3" w:rsidP="005C306E">
      <w:pPr>
        <w:spacing w:after="0" w:line="240" w:lineRule="auto"/>
      </w:pPr>
      <w:r>
        <w:continuationSeparator/>
      </w:r>
    </w:p>
  </w:endnote>
  <w:endnote w:type="continuationNotice" w:id="1">
    <w:p w14:paraId="617369F7" w14:textId="77777777" w:rsidR="008F10C3" w:rsidRDefault="008F10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Open Sans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ngsana New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E0DBD" w14:textId="77777777" w:rsidR="00596A4D" w:rsidRPr="0021733F" w:rsidRDefault="00596A4D" w:rsidP="00636B72">
    <w:pPr>
      <w:pStyle w:val="Footer"/>
      <w:spacing w:before="240"/>
    </w:pPr>
    <w:r w:rsidRPr="00FB7C94">
      <w:rPr>
        <w:noProof/>
      </w:rPr>
      <w:drawing>
        <wp:inline distT="0" distB="0" distL="0" distR="0" wp14:anchorId="0FA32B37" wp14:editId="01BD9029">
          <wp:extent cx="1615440" cy="201295"/>
          <wp:effectExtent l="0" t="0" r="3810" b="8255"/>
          <wp:docPr id="703786527" name="Picture 7037865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5440" cy="201295"/>
                  </a:xfrm>
                  <a:prstGeom prst="rect">
                    <a:avLst/>
                  </a:prstGeom>
                  <a:noFill/>
                </pic:spPr>
              </pic:pic>
            </a:graphicData>
          </a:graphic>
        </wp:inline>
      </w:drawing>
    </w:r>
    <w:r>
      <w:ptab w:relativeTo="margin" w:alignment="right" w:leader="none"/>
    </w:r>
    <w:r>
      <w:fldChar w:fldCharType="begin"/>
    </w:r>
    <w:r>
      <w:instrText xml:space="preserve"> PAGE  \* Arabic  \* MERGEFORMAT </w:instrText>
    </w:r>
    <w:r>
      <w:fldChar w:fldCharType="separate"/>
    </w:r>
    <w:r w:rsidR="00A65141">
      <w:rPr>
        <w:noProof/>
      </w:rPr>
      <w:t>11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BE4EF" w14:textId="2506F13C" w:rsidR="00BD3D35" w:rsidRPr="0021733F" w:rsidRDefault="00C14400" w:rsidP="004D0AEC">
    <w:pPr>
      <w:pStyle w:val="Footer"/>
      <w:spacing w:before="240"/>
    </w:pPr>
    <w:r w:rsidRPr="00FB7C94">
      <w:rPr>
        <w:noProof/>
      </w:rPr>
      <w:drawing>
        <wp:inline distT="0" distB="0" distL="0" distR="0" wp14:anchorId="2A199EB1" wp14:editId="33E9B881">
          <wp:extent cx="1615440" cy="201295"/>
          <wp:effectExtent l="0" t="0" r="3810" b="8255"/>
          <wp:docPr id="987837729" name="Picture 9878377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5440" cy="201295"/>
                  </a:xfrm>
                  <a:prstGeom prst="rect">
                    <a:avLst/>
                  </a:prstGeom>
                  <a:noFill/>
                </pic:spPr>
              </pic:pic>
            </a:graphicData>
          </a:graphic>
        </wp:inline>
      </w:drawing>
    </w:r>
    <w:r>
      <w:ptab w:relativeTo="margin" w:alignment="right" w:leader="none"/>
    </w:r>
    <w:r>
      <w:fldChar w:fldCharType="begin"/>
    </w:r>
    <w:r>
      <w:instrText xml:space="preserve"> PAGE  \* Arabic  \* MERGEFORMAT </w:instrText>
    </w:r>
    <w:r>
      <w:fldChar w:fldCharType="separate"/>
    </w:r>
    <w:r>
      <w:t>15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D7E9D2" w14:textId="77777777" w:rsidR="008F10C3" w:rsidRDefault="008F10C3" w:rsidP="005C306E">
      <w:pPr>
        <w:spacing w:after="0" w:line="240" w:lineRule="auto"/>
      </w:pPr>
      <w:r>
        <w:separator/>
      </w:r>
    </w:p>
  </w:footnote>
  <w:footnote w:type="continuationSeparator" w:id="0">
    <w:p w14:paraId="335AE236" w14:textId="77777777" w:rsidR="008F10C3" w:rsidRDefault="008F10C3" w:rsidP="005C306E">
      <w:pPr>
        <w:spacing w:after="0" w:line="240" w:lineRule="auto"/>
      </w:pPr>
      <w:r>
        <w:continuationSeparator/>
      </w:r>
    </w:p>
  </w:footnote>
  <w:footnote w:type="continuationNotice" w:id="1">
    <w:p w14:paraId="13068399" w14:textId="77777777" w:rsidR="008F10C3" w:rsidRDefault="008F10C3">
      <w:pPr>
        <w:spacing w:after="0" w:line="240" w:lineRule="auto"/>
      </w:pPr>
    </w:p>
  </w:footnote>
  <w:footnote w:id="2">
    <w:p w14:paraId="3B261828" w14:textId="2AD54C0E" w:rsidR="00432425" w:rsidRDefault="00432425" w:rsidP="007A76B2">
      <w:pPr>
        <w:pStyle w:val="FootnoteText"/>
        <w:tabs>
          <w:tab w:val="clear" w:pos="357"/>
          <w:tab w:val="left" w:pos="0"/>
        </w:tabs>
        <w:ind w:left="0" w:firstLine="0"/>
        <w:jc w:val="both"/>
      </w:pPr>
      <w:r>
        <w:rPr>
          <w:rStyle w:val="FootnoteReference"/>
        </w:rPr>
        <w:footnoteRef/>
      </w:r>
      <w:r>
        <w:t xml:space="preserve"> </w:t>
      </w:r>
      <w:r w:rsidR="00EF4BA9" w:rsidRPr="00EF4BA9">
        <w:t>Given that EOIO1 focuses on the provision of technical advice and support, evaluating its effectiveness inherently involves some crossover and consideration of the efficiency of its delivery.</w:t>
      </w:r>
    </w:p>
  </w:footnote>
  <w:footnote w:id="3">
    <w:p w14:paraId="7DB57F3B" w14:textId="2265952A" w:rsidR="00545A96" w:rsidRDefault="00545A96" w:rsidP="00545A96">
      <w:pPr>
        <w:pStyle w:val="FootnoteText"/>
        <w:tabs>
          <w:tab w:val="clear" w:pos="357"/>
        </w:tabs>
        <w:ind w:left="0" w:firstLine="0"/>
      </w:pPr>
      <w:r>
        <w:rPr>
          <w:rStyle w:val="FootnoteReference"/>
        </w:rPr>
        <w:footnoteRef/>
      </w:r>
      <w:r>
        <w:t xml:space="preserve"> </w:t>
      </w:r>
      <w:r w:rsidR="00B2385C">
        <w:t xml:space="preserve">Further, </w:t>
      </w:r>
      <w:r w:rsidR="00B2385C">
        <w:rPr>
          <w:rFonts w:ascii="Arial" w:eastAsiaTheme="minorEastAsia" w:hAnsi="Arial" w:cs="Arial"/>
        </w:rPr>
        <w:t>o</w:t>
      </w:r>
      <w:r w:rsidR="00B2385C" w:rsidRPr="554C41DC">
        <w:rPr>
          <w:rFonts w:ascii="Arial" w:eastAsiaTheme="minorEastAsia" w:hAnsi="Arial" w:cs="Arial"/>
        </w:rPr>
        <w:t xml:space="preserve">nly </w:t>
      </w:r>
      <w:r w:rsidR="00641251">
        <w:rPr>
          <w:rFonts w:ascii="Arial" w:eastAsiaTheme="minorEastAsia" w:hAnsi="Arial" w:cs="Arial"/>
        </w:rPr>
        <w:t>two</w:t>
      </w:r>
      <w:r w:rsidR="00B2385C" w:rsidRPr="554C41DC">
        <w:rPr>
          <w:rFonts w:ascii="Arial" w:eastAsiaTheme="minorEastAsia" w:hAnsi="Arial" w:cs="Arial"/>
        </w:rPr>
        <w:t xml:space="preserve"> people (17%) had used the IMS many times</w:t>
      </w:r>
      <w:r w:rsidR="00B2385C">
        <w:rPr>
          <w:rFonts w:ascii="Arial" w:eastAsiaTheme="minorEastAsia" w:hAnsi="Arial" w:cs="Arial"/>
        </w:rPr>
        <w:t xml:space="preserve"> and f</w:t>
      </w:r>
      <w:r w:rsidR="00B2385C" w:rsidRPr="554C41DC">
        <w:rPr>
          <w:rFonts w:ascii="Arial" w:eastAsiaTheme="minorEastAsia" w:hAnsi="Arial" w:cs="Arial"/>
        </w:rPr>
        <w:t xml:space="preserve">ew responses cited the PRES IMS as a source of learning. </w:t>
      </w:r>
      <w:r w:rsidRPr="554C41DC">
        <w:rPr>
          <w:rFonts w:ascii="Arial" w:eastAsiaTheme="minorEastAsia" w:hAnsi="Arial" w:cs="Arial"/>
        </w:rPr>
        <w:t>It is also important to note that the survey had a 57</w:t>
      </w:r>
      <w:r w:rsidR="00D02D6D">
        <w:rPr>
          <w:rFonts w:ascii="Arial" w:eastAsiaTheme="minorEastAsia" w:hAnsi="Arial" w:cs="Arial"/>
        </w:rPr>
        <w:t>%</w:t>
      </w:r>
      <w:r w:rsidRPr="554C41DC">
        <w:rPr>
          <w:rFonts w:ascii="Arial" w:eastAsiaTheme="minorEastAsia" w:hAnsi="Arial" w:cs="Arial"/>
        </w:rPr>
        <w:t xml:space="preserve"> response rate (12</w:t>
      </w:r>
      <w:r w:rsidR="00641251">
        <w:rPr>
          <w:rFonts w:ascii="Arial" w:eastAsiaTheme="minorEastAsia" w:hAnsi="Arial" w:cs="Arial"/>
        </w:rPr>
        <w:t xml:space="preserve"> </w:t>
      </w:r>
      <w:r w:rsidRPr="554C41DC">
        <w:rPr>
          <w:rFonts w:ascii="Arial" w:eastAsiaTheme="minorEastAsia" w:hAnsi="Arial" w:cs="Arial"/>
        </w:rPr>
        <w:t>/</w:t>
      </w:r>
      <w:r w:rsidR="00641251">
        <w:rPr>
          <w:rFonts w:ascii="Arial" w:eastAsiaTheme="minorEastAsia" w:hAnsi="Arial" w:cs="Arial"/>
        </w:rPr>
        <w:t xml:space="preserve"> </w:t>
      </w:r>
      <w:r w:rsidRPr="554C41DC">
        <w:rPr>
          <w:rFonts w:ascii="Arial" w:eastAsiaTheme="minorEastAsia" w:hAnsi="Arial" w:cs="Arial"/>
        </w:rPr>
        <w:t>21 staff completed the survey), and usage of non-respondents may differ. </w:t>
      </w:r>
    </w:p>
  </w:footnote>
  <w:footnote w:id="4">
    <w:p w14:paraId="77E3E345" w14:textId="07E57E00" w:rsidR="007141CF" w:rsidRDefault="007141CF" w:rsidP="00FB7250">
      <w:pPr>
        <w:pStyle w:val="FootnoteText"/>
        <w:tabs>
          <w:tab w:val="clear" w:pos="357"/>
        </w:tabs>
        <w:ind w:left="0" w:firstLine="0"/>
      </w:pPr>
      <w:r>
        <w:rPr>
          <w:rStyle w:val="FootnoteReference"/>
        </w:rPr>
        <w:footnoteRef/>
      </w:r>
      <w:r>
        <w:t xml:space="preserve"> The summary results provided to the evaluation team indicate 12 people </w:t>
      </w:r>
      <w:r w:rsidR="00671009">
        <w:t xml:space="preserve">completed the survey, </w:t>
      </w:r>
      <w:r w:rsidR="008E4F23">
        <w:t xml:space="preserve">and 11 </w:t>
      </w:r>
      <w:r w:rsidR="00614C10">
        <w:t xml:space="preserve">people </w:t>
      </w:r>
      <w:r w:rsidR="008E4F23">
        <w:t xml:space="preserve">responded to questions on </w:t>
      </w:r>
      <w:r w:rsidR="00614C10">
        <w:t>PRES’</w:t>
      </w:r>
      <w:r w:rsidR="008E4F23">
        <w:t xml:space="preserve"> contribution </w:t>
      </w:r>
      <w:r w:rsidR="00FB7250">
        <w:t>to PEB</w:t>
      </w:r>
      <w:r w:rsidR="00614C10">
        <w:t xml:space="preserve"> </w:t>
      </w:r>
      <w:r w:rsidR="00FB7250">
        <w:t>/</w:t>
      </w:r>
      <w:r w:rsidR="00614C10">
        <w:t xml:space="preserve"> </w:t>
      </w:r>
      <w:r w:rsidR="00FB7250">
        <w:t xml:space="preserve">DFAT work. </w:t>
      </w:r>
    </w:p>
  </w:footnote>
  <w:footnote w:id="5">
    <w:p w14:paraId="4F1809B0" w14:textId="558C7CC8" w:rsidR="000601F8" w:rsidRDefault="000601F8">
      <w:pPr>
        <w:pStyle w:val="FootnoteText"/>
      </w:pPr>
      <w:r>
        <w:rPr>
          <w:rStyle w:val="FootnoteReference"/>
        </w:rPr>
        <w:footnoteRef/>
      </w:r>
      <w:r>
        <w:t xml:space="preserve"> The quarterly report indicates there were 48 </w:t>
      </w:r>
      <w:r w:rsidR="002F4467">
        <w:t xml:space="preserve">active TNs and ASOs, including 37 TNs. </w:t>
      </w:r>
    </w:p>
  </w:footnote>
  <w:footnote w:id="6">
    <w:p w14:paraId="72D62857" w14:textId="07F4C140" w:rsidR="006E6444" w:rsidRPr="00B85CF8" w:rsidRDefault="006E6444" w:rsidP="00B85CF8">
      <w:pPr>
        <w:spacing w:after="0" w:line="240" w:lineRule="auto"/>
        <w:rPr>
          <w:sz w:val="16"/>
          <w:szCs w:val="16"/>
          <w:lang w:val="en-US"/>
        </w:rPr>
      </w:pPr>
      <w:r>
        <w:rPr>
          <w:rStyle w:val="FootnoteReference"/>
        </w:rPr>
        <w:footnoteRef/>
      </w:r>
      <w:r>
        <w:t xml:space="preserve"> </w:t>
      </w:r>
      <w:r w:rsidRPr="00B85CF8">
        <w:rPr>
          <w:sz w:val="18"/>
          <w:szCs w:val="18"/>
        </w:rPr>
        <w:t xml:space="preserve">Notes: There were 167 TNs starts since December 2021. Three TNs are excluded, including one for Vanuatu and two for </w:t>
      </w:r>
      <w:r w:rsidR="00C06943" w:rsidRPr="00B85CF8">
        <w:rPr>
          <w:sz w:val="18"/>
          <w:szCs w:val="18"/>
        </w:rPr>
        <w:t>‘</w:t>
      </w:r>
      <w:r w:rsidRPr="00B85CF8">
        <w:rPr>
          <w:sz w:val="18"/>
          <w:szCs w:val="18"/>
        </w:rPr>
        <w:t>multi-country / regional</w:t>
      </w:r>
      <w:r w:rsidR="00C06943" w:rsidRPr="00B85CF8">
        <w:rPr>
          <w:sz w:val="18"/>
          <w:szCs w:val="18"/>
        </w:rPr>
        <w:t>’</w:t>
      </w:r>
      <w:r w:rsidRPr="00B85CF8">
        <w:rPr>
          <w:sz w:val="18"/>
          <w:szCs w:val="18"/>
        </w:rPr>
        <w:t xml:space="preserve"> due to the commencement year being unknown. *2024-</w:t>
      </w:r>
      <w:r w:rsidR="00C06943" w:rsidRPr="00B85CF8">
        <w:rPr>
          <w:sz w:val="18"/>
          <w:szCs w:val="18"/>
        </w:rPr>
        <w:t>20</w:t>
      </w:r>
      <w:r w:rsidRPr="00B85CF8">
        <w:rPr>
          <w:sz w:val="18"/>
          <w:szCs w:val="18"/>
        </w:rPr>
        <w:t xml:space="preserve">25 contains data up until 1 March 2025.  </w:t>
      </w:r>
    </w:p>
  </w:footnote>
  <w:footnote w:id="7">
    <w:p w14:paraId="3A3AA03F" w14:textId="53A65F68" w:rsidR="005953E7" w:rsidRDefault="005953E7" w:rsidP="005953E7">
      <w:pPr>
        <w:pStyle w:val="FootnoteText"/>
        <w:tabs>
          <w:tab w:val="clear" w:pos="357"/>
        </w:tabs>
        <w:ind w:left="0" w:firstLine="0"/>
      </w:pPr>
      <w:r>
        <w:rPr>
          <w:rStyle w:val="FootnoteReference"/>
        </w:rPr>
        <w:footnoteRef/>
      </w:r>
      <w:r>
        <w:t xml:space="preserve"> </w:t>
      </w:r>
      <w:r w:rsidRPr="00861706">
        <w:t>Although the M&amp;E adviser notes that the three</w:t>
      </w:r>
      <w:r w:rsidR="00734CAA">
        <w:t>-</w:t>
      </w:r>
      <w:r w:rsidRPr="00861706">
        <w:t xml:space="preserve">point </w:t>
      </w:r>
      <w:r>
        <w:t xml:space="preserve">progress </w:t>
      </w:r>
      <w:r w:rsidRPr="00861706">
        <w:t>scale was used and describes an intention for more detailed rubrics for evaluative pieces.</w:t>
      </w:r>
      <w:r>
        <w:t xml:space="preserve"> The benefit of using rubrics regularly</w:t>
      </w:r>
      <w:r w:rsidR="00734CAA">
        <w:t>,</w:t>
      </w:r>
      <w:r>
        <w:t xml:space="preserve"> rather than at key points</w:t>
      </w:r>
      <w:r w:rsidR="00734CAA">
        <w:t>,</w:t>
      </w:r>
      <w:r>
        <w:t xml:space="preserve"> is to assess and capture change over time.</w:t>
      </w:r>
    </w:p>
  </w:footnote>
  <w:footnote w:id="8">
    <w:p w14:paraId="100CB737" w14:textId="30A70A99" w:rsidR="00F36A3C" w:rsidRPr="00FB7C94" w:rsidRDefault="00F36A3C" w:rsidP="00F36A3C">
      <w:pPr>
        <w:pStyle w:val="FootnoteText"/>
        <w:ind w:left="0" w:firstLine="0"/>
      </w:pPr>
      <w:r>
        <w:rPr>
          <w:rStyle w:val="FootnoteReference"/>
        </w:rPr>
        <w:footnoteRef/>
      </w:r>
      <w:r>
        <w:t xml:space="preserve"> The M&amp;E adviser has done a good job of repeatedly following up with DFAT staff, where required, to gather this data. Notably, this feedback </w:t>
      </w:r>
      <w:r w:rsidRPr="00FB7C94">
        <w:t xml:space="preserve">is currently limited to DFAT staff rather than partner government counterparts. Interviewees reported that there are very few </w:t>
      </w:r>
      <w:r w:rsidR="00734CAA">
        <w:t>TNs</w:t>
      </w:r>
      <w:r w:rsidRPr="00FB7C94">
        <w:t xml:space="preserve"> for which it would be relevant to also seek feedback from counterparts in partner governments. It was not possible for the review team to verify this. </w:t>
      </w:r>
    </w:p>
  </w:footnote>
  <w:footnote w:id="9">
    <w:p w14:paraId="4C1332B2" w14:textId="77777777" w:rsidR="00BD3D35" w:rsidRDefault="00BD3D35" w:rsidP="00BD3D35">
      <w:pPr>
        <w:pStyle w:val="FootnoteText"/>
        <w:ind w:left="0" w:firstLine="0"/>
      </w:pPr>
      <w:r>
        <w:rPr>
          <w:rStyle w:val="FootnoteReference"/>
        </w:rPr>
        <w:footnoteRef/>
      </w:r>
      <w:r>
        <w:t xml:space="preserve"> Questions are informed by the terms of reference for this assignment, revised to improve clarity, feasibility, and coherence. Key changes include amending KEQ1 sub-questions to more comprehensively align to the existing PRES logic; focusing KEQ2 on efficiency rather than value for money, which is much broader and overlaps with other KEQs; adding one formative (forward-looking) sub-question consistently for all KEQs; and adding a sub-question under KEQ5 focused on factors influencing program sustainability.</w:t>
      </w:r>
    </w:p>
  </w:footnote>
  <w:footnote w:id="10">
    <w:p w14:paraId="178CBE5E" w14:textId="77777777" w:rsidR="00BD3D35" w:rsidRDefault="00BD3D35" w:rsidP="00BD3D35">
      <w:pPr>
        <w:pStyle w:val="FootnoteText"/>
      </w:pPr>
      <w:r>
        <w:rPr>
          <w:rStyle w:val="FootnoteReference"/>
        </w:rPr>
        <w:footnoteRef/>
      </w:r>
      <w:r>
        <w:t xml:space="preserve"> There will be a change from Dave Green to a new Clear Horizon team member in late February.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510FE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1320A"/>
    <w:multiLevelType w:val="multilevel"/>
    <w:tmpl w:val="062ADAD2"/>
    <w:lvl w:ilvl="0">
      <w:start w:val="2"/>
      <w:numFmt w:val="decimal"/>
      <w:lvlText w:val="%1"/>
      <w:lvlJc w:val="left"/>
      <w:pPr>
        <w:ind w:left="360" w:hanging="360"/>
      </w:pPr>
    </w:lvl>
    <w:lvl w:ilvl="1">
      <w:start w:val="1"/>
      <w:numFmt w:val="lowerLetter"/>
      <w:lvlText w:val="%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4848" w:hanging="1440"/>
      </w:pPr>
    </w:lvl>
  </w:abstractNum>
  <w:abstractNum w:abstractNumId="2" w15:restartNumberingAfterBreak="0">
    <w:nsid w:val="00A204EE"/>
    <w:multiLevelType w:val="hybridMultilevel"/>
    <w:tmpl w:val="7676FF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D45E56"/>
    <w:multiLevelType w:val="multilevel"/>
    <w:tmpl w:val="062ADAD2"/>
    <w:lvl w:ilvl="0">
      <w:start w:val="2"/>
      <w:numFmt w:val="decimal"/>
      <w:lvlText w:val="%1"/>
      <w:lvlJc w:val="left"/>
      <w:pPr>
        <w:ind w:left="360" w:hanging="360"/>
      </w:pPr>
    </w:lvl>
    <w:lvl w:ilvl="1">
      <w:start w:val="1"/>
      <w:numFmt w:val="lowerLetter"/>
      <w:lvlText w:val="%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4848" w:hanging="1440"/>
      </w:pPr>
    </w:lvl>
  </w:abstractNum>
  <w:abstractNum w:abstractNumId="4" w15:restartNumberingAfterBreak="0">
    <w:nsid w:val="057221D4"/>
    <w:multiLevelType w:val="multilevel"/>
    <w:tmpl w:val="8508201A"/>
    <w:styleLink w:val="BlockList"/>
    <w:lvl w:ilvl="0">
      <w:start w:val="1"/>
      <w:numFmt w:val="bullet"/>
      <w:pStyle w:val="Listblueblockbullet"/>
      <w:lvlText w:val=""/>
      <w:lvlJc w:val="left"/>
      <w:pPr>
        <w:ind w:left="357" w:hanging="357"/>
      </w:pPr>
      <w:rPr>
        <w:rFonts w:ascii="Symbol" w:hAnsi="Symbol" w:hint="default"/>
        <w:color w:val="CC6600" w:themeColor="accent1"/>
      </w:rPr>
    </w:lvl>
    <w:lvl w:ilvl="1">
      <w:start w:val="1"/>
      <w:numFmt w:val="bullet"/>
      <w:pStyle w:val="Listgreyblockbullet"/>
      <w:lvlText w:val=""/>
      <w:lvlJc w:val="left"/>
      <w:pPr>
        <w:ind w:left="357" w:hanging="357"/>
      </w:pPr>
      <w:rPr>
        <w:rFonts w:ascii="Symbol" w:hAnsi="Symbol" w:hint="default"/>
        <w:color w:val="CC6600" w:themeColor="accent1"/>
      </w:rPr>
    </w:lvl>
    <w:lvl w:ilvl="2">
      <w:start w:val="1"/>
      <w:numFmt w:val="bullet"/>
      <w:pStyle w:val="Listorangeblockbullet"/>
      <w:lvlText w:val=""/>
      <w:lvlJc w:val="left"/>
      <w:pPr>
        <w:ind w:left="357" w:hanging="357"/>
      </w:pPr>
      <w:rPr>
        <w:rFonts w:ascii="Symbol" w:hAnsi="Symbol" w:hint="default"/>
        <w:color w:val="CC6600" w:themeColor="accent1"/>
      </w:rPr>
    </w:lvl>
    <w:lvl w:ilvl="3">
      <w:start w:val="1"/>
      <w:numFmt w:val="bullet"/>
      <w:pStyle w:val="Listtealblockbullet"/>
      <w:lvlText w:val=""/>
      <w:lvlJc w:val="left"/>
      <w:pPr>
        <w:ind w:left="357" w:hanging="357"/>
      </w:pPr>
      <w:rPr>
        <w:rFonts w:ascii="Symbol" w:hAnsi="Symbol" w:hint="default"/>
        <w:color w:val="CC6600" w:themeColor="accent1"/>
      </w:rPr>
    </w:lvl>
    <w:lvl w:ilvl="4">
      <w:start w:val="1"/>
      <w:numFmt w:val="none"/>
      <w:suff w:val="nothing"/>
      <w:lvlText w:val=""/>
      <w:lvlJc w:val="left"/>
      <w:pPr>
        <w:ind w:left="-32767" w:firstLine="32767"/>
      </w:pPr>
      <w:rPr>
        <w:rFonts w:hint="default"/>
      </w:rPr>
    </w:lvl>
    <w:lvl w:ilvl="5">
      <w:start w:val="1"/>
      <w:numFmt w:val="none"/>
      <w:suff w:val="space"/>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32767" w:firstLine="32767"/>
      </w:pPr>
      <w:rPr>
        <w:rFonts w:hint="default"/>
      </w:rPr>
    </w:lvl>
  </w:abstractNum>
  <w:abstractNum w:abstractNumId="5" w15:restartNumberingAfterBreak="0">
    <w:nsid w:val="0BE03FAE"/>
    <w:multiLevelType w:val="multilevel"/>
    <w:tmpl w:val="F51CEDDA"/>
    <w:styleLink w:val="111111"/>
    <w:lvl w:ilvl="0">
      <w:start w:val="1"/>
      <w:numFmt w:val="decimal"/>
      <w:pStyle w:val="Heading1"/>
      <w:suff w:val="space"/>
      <w:lvlText w:val="%1."/>
      <w:lvlJc w:val="left"/>
      <w:pPr>
        <w:ind w:left="0" w:firstLine="0"/>
      </w:pPr>
      <w:rPr>
        <w:rFonts w:hint="default"/>
        <w:b w:val="0"/>
        <w:i w:val="0"/>
      </w:rPr>
    </w:lvl>
    <w:lvl w:ilvl="1">
      <w:start w:val="1"/>
      <w:numFmt w:val="decimal"/>
      <w:suff w:val="space"/>
      <w:lvlText w:val="%1.%2."/>
      <w:lvlJc w:val="left"/>
      <w:pPr>
        <w:ind w:left="0" w:firstLine="0"/>
      </w:pPr>
      <w:rPr>
        <w:rFonts w:hint="default"/>
        <w:b w:val="0"/>
        <w:i w:val="0"/>
      </w:rPr>
    </w:lvl>
    <w:lvl w:ilvl="2">
      <w:start w:val="1"/>
      <w:numFmt w:val="decimal"/>
      <w:pStyle w:val="Heading3"/>
      <w:suff w:val="space"/>
      <w:lvlText w:val="%1.%2.%3."/>
      <w:lvlJc w:val="left"/>
      <w:pPr>
        <w:ind w:left="0" w:firstLine="0"/>
      </w:pPr>
      <w:rPr>
        <w:rFonts w:hint="default"/>
        <w:b w:val="0"/>
        <w:i w:val="0"/>
      </w:rPr>
    </w:lvl>
    <w:lvl w:ilvl="3">
      <w:start w:val="1"/>
      <w:numFmt w:val="decimal"/>
      <w:pStyle w:val="Heading4"/>
      <w:suff w:val="space"/>
      <w:lvlText w:val="%1.%2.%3.%4."/>
      <w:lvlJc w:val="left"/>
      <w:pPr>
        <w:ind w:left="0" w:firstLine="0"/>
      </w:pPr>
      <w:rPr>
        <w:rFonts w:hint="default"/>
        <w:b w:val="0"/>
        <w:i/>
      </w:rPr>
    </w:lvl>
    <w:lvl w:ilvl="4">
      <w:start w:val="1"/>
      <w:numFmt w:val="none"/>
      <w:suff w:val="nothing"/>
      <w:lvlText w:val=""/>
      <w:lvlJc w:val="left"/>
      <w:pPr>
        <w:ind w:left="0" w:firstLine="0"/>
      </w:pPr>
      <w:rPr>
        <w:rFonts w:hint="default"/>
        <w:b/>
        <w:i w:val="0"/>
      </w:rPr>
    </w:lvl>
    <w:lvl w:ilvl="5">
      <w:start w:val="1"/>
      <w:numFmt w:val="none"/>
      <w:suff w:val="nothing"/>
      <w:lvlText w:val=""/>
      <w:lvlJc w:val="left"/>
      <w:pPr>
        <w:ind w:left="0" w:firstLine="0"/>
      </w:pPr>
      <w:rPr>
        <w:rFonts w:hint="default"/>
        <w:b/>
        <w:i w:val="0"/>
      </w:rPr>
    </w:lvl>
    <w:lvl w:ilvl="6">
      <w:start w:val="1"/>
      <w:numFmt w:val="none"/>
      <w:suff w:val="nothing"/>
      <w:lvlText w:val=""/>
      <w:lvlJc w:val="left"/>
      <w:pPr>
        <w:ind w:left="0" w:firstLine="0"/>
      </w:pPr>
      <w:rPr>
        <w:rFonts w:hint="default"/>
        <w:b/>
        <w:i w:val="0"/>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F557213"/>
    <w:multiLevelType w:val="multilevel"/>
    <w:tmpl w:val="062ADAD2"/>
    <w:lvl w:ilvl="0">
      <w:start w:val="2"/>
      <w:numFmt w:val="decimal"/>
      <w:lvlText w:val="%1"/>
      <w:lvlJc w:val="left"/>
      <w:pPr>
        <w:ind w:left="360" w:hanging="360"/>
      </w:pPr>
    </w:lvl>
    <w:lvl w:ilvl="1">
      <w:start w:val="1"/>
      <w:numFmt w:val="lowerLetter"/>
      <w:lvlText w:val="%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4848" w:hanging="1440"/>
      </w:pPr>
    </w:lvl>
  </w:abstractNum>
  <w:abstractNum w:abstractNumId="7" w15:restartNumberingAfterBreak="0">
    <w:nsid w:val="0F880C3A"/>
    <w:multiLevelType w:val="multilevel"/>
    <w:tmpl w:val="F600FDC2"/>
    <w:lvl w:ilvl="0">
      <w:start w:val="1"/>
      <w:numFmt w:val="decimal"/>
      <w:lvlText w:val="%1"/>
      <w:lvlJc w:val="left"/>
      <w:pPr>
        <w:ind w:left="360" w:hanging="360"/>
      </w:pPr>
      <w:rPr>
        <w:rFonts w:hint="default"/>
      </w:rPr>
    </w:lvl>
    <w:lvl w:ilvl="1">
      <w:start w:val="1"/>
      <w:numFmt w:val="lowerLetter"/>
      <w:lvlText w:val="%2."/>
      <w:lvlJc w:val="left"/>
      <w:pPr>
        <w:ind w:left="786" w:hanging="360"/>
      </w:p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 w15:restartNumberingAfterBreak="0">
    <w:nsid w:val="13D225C1"/>
    <w:multiLevelType w:val="multilevel"/>
    <w:tmpl w:val="AC328238"/>
    <w:styleLink w:val="Bullettedlists"/>
    <w:lvl w:ilvl="0">
      <w:start w:val="1"/>
      <w:numFmt w:val="bullet"/>
      <w:lvlText w:val=""/>
      <w:lvlJc w:val="left"/>
      <w:pPr>
        <w:ind w:left="432" w:hanging="432"/>
      </w:pPr>
      <w:rPr>
        <w:rFonts w:ascii="Symbol" w:hAnsi="Symbol" w:hint="default"/>
        <w:color w:val="CC6600" w:themeColor="accent1"/>
      </w:rPr>
    </w:lvl>
    <w:lvl w:ilvl="1">
      <w:start w:val="1"/>
      <w:numFmt w:val="bullet"/>
      <w:lvlText w:val=""/>
      <w:lvlJc w:val="left"/>
      <w:pPr>
        <w:ind w:left="864" w:hanging="432"/>
      </w:pPr>
      <w:rPr>
        <w:rFonts w:ascii="Symbol" w:hAnsi="Symbol" w:hint="default"/>
        <w:color w:val="0D3E67" w:themeColor="accent3"/>
      </w:rPr>
    </w:lvl>
    <w:lvl w:ilvl="2">
      <w:start w:val="1"/>
      <w:numFmt w:val="bullet"/>
      <w:lvlText w:val=""/>
      <w:lvlJc w:val="left"/>
      <w:pPr>
        <w:ind w:left="1296" w:hanging="432"/>
      </w:pPr>
      <w:rPr>
        <w:rFonts w:ascii="Wingdings" w:hAnsi="Wingdings" w:hint="default"/>
        <w:color w:val="CC6600" w:themeColor="accent1"/>
      </w:rPr>
    </w:lvl>
    <w:lvl w:ilvl="3">
      <w:start w:val="1"/>
      <w:numFmt w:val="bullet"/>
      <w:lvlText w:val=""/>
      <w:lvlJc w:val="left"/>
      <w:pPr>
        <w:ind w:left="1728" w:hanging="432"/>
      </w:pPr>
      <w:rPr>
        <w:rFonts w:ascii="Symbol" w:hAnsi="Symbol" w:hint="default"/>
        <w:color w:val="CC6600" w:themeColor="accent1"/>
      </w:rPr>
    </w:lvl>
    <w:lvl w:ilvl="4">
      <w:start w:val="1"/>
      <w:numFmt w:val="bullet"/>
      <w:lvlText w:val="o"/>
      <w:lvlJc w:val="left"/>
      <w:pPr>
        <w:ind w:left="2160" w:hanging="432"/>
      </w:pPr>
      <w:rPr>
        <w:rFonts w:ascii="Courier New" w:hAnsi="Courier New" w:cs="Times New Roman" w:hint="default"/>
        <w:color w:val="CC6600" w:themeColor="accent1"/>
      </w:rPr>
    </w:lvl>
    <w:lvl w:ilvl="5">
      <w:start w:val="1"/>
      <w:numFmt w:val="bullet"/>
      <w:lvlText w:val=""/>
      <w:lvlJc w:val="left"/>
      <w:pPr>
        <w:tabs>
          <w:tab w:val="num" w:pos="3170"/>
        </w:tabs>
        <w:ind w:left="2592" w:hanging="432"/>
      </w:pPr>
      <w:rPr>
        <w:rFonts w:ascii="Wingdings" w:hAnsi="Wingdings" w:hint="default"/>
      </w:rPr>
    </w:lvl>
    <w:lvl w:ilvl="6">
      <w:start w:val="1"/>
      <w:numFmt w:val="bullet"/>
      <w:lvlText w:val=""/>
      <w:lvlJc w:val="left"/>
      <w:pPr>
        <w:tabs>
          <w:tab w:val="num" w:pos="3732"/>
        </w:tabs>
        <w:ind w:left="3024" w:hanging="432"/>
      </w:pPr>
      <w:rPr>
        <w:rFonts w:ascii="Symbol" w:hAnsi="Symbol" w:hint="default"/>
      </w:rPr>
    </w:lvl>
    <w:lvl w:ilvl="7">
      <w:start w:val="1"/>
      <w:numFmt w:val="bullet"/>
      <w:lvlText w:val="o"/>
      <w:lvlJc w:val="left"/>
      <w:pPr>
        <w:tabs>
          <w:tab w:val="num" w:pos="4294"/>
        </w:tabs>
        <w:ind w:left="3456" w:hanging="432"/>
      </w:pPr>
      <w:rPr>
        <w:rFonts w:ascii="Courier New" w:hAnsi="Courier New" w:cs="Courier New" w:hint="default"/>
      </w:rPr>
    </w:lvl>
    <w:lvl w:ilvl="8">
      <w:start w:val="1"/>
      <w:numFmt w:val="bullet"/>
      <w:lvlText w:val=""/>
      <w:lvlJc w:val="left"/>
      <w:pPr>
        <w:tabs>
          <w:tab w:val="num" w:pos="4856"/>
        </w:tabs>
        <w:ind w:left="3888" w:hanging="432"/>
      </w:pPr>
      <w:rPr>
        <w:rFonts w:ascii="Wingdings" w:hAnsi="Wingdings" w:hint="default"/>
      </w:rPr>
    </w:lvl>
  </w:abstractNum>
  <w:abstractNum w:abstractNumId="9" w15:restartNumberingAfterBreak="0">
    <w:nsid w:val="13D634A2"/>
    <w:multiLevelType w:val="multilevel"/>
    <w:tmpl w:val="937C9F78"/>
    <w:lvl w:ilvl="0">
      <w:start w:val="1"/>
      <w:numFmt w:val="bullet"/>
      <w:lvlText w:val=""/>
      <w:lvlJc w:val="left"/>
      <w:pPr>
        <w:tabs>
          <w:tab w:val="num" w:pos="720"/>
        </w:tabs>
        <w:ind w:left="720" w:hanging="360"/>
      </w:pPr>
      <w:rPr>
        <w:rFonts w:ascii="Symbol" w:hAnsi="Symbol" w:hint="default"/>
        <w:color w:val="CC66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9440A1E"/>
    <w:multiLevelType w:val="multilevel"/>
    <w:tmpl w:val="3D24E422"/>
    <w:styleLink w:val="AppendixList"/>
    <w:lvl w:ilvl="0">
      <w:start w:val="1"/>
      <w:numFmt w:val="upperLetter"/>
      <w:suff w:val="space"/>
      <w:lvlText w:val="Appendix %1"/>
      <w:lvlJc w:val="left"/>
      <w:pPr>
        <w:ind w:left="0" w:firstLine="0"/>
      </w:pPr>
      <w:rPr>
        <w:rFonts w:hint="default"/>
        <w:b w:val="0"/>
        <w:i w:val="0"/>
      </w:rPr>
    </w:lvl>
    <w:lvl w:ilvl="1">
      <w:start w:val="1"/>
      <w:numFmt w:val="decimal"/>
      <w:suff w:val="space"/>
      <w:lvlText w:val="%1.%2"/>
      <w:lvlJc w:val="left"/>
      <w:pPr>
        <w:ind w:left="0" w:firstLine="0"/>
      </w:pPr>
      <w:rPr>
        <w:rFonts w:hint="default"/>
        <w:b w:val="0"/>
        <w:i w:val="0"/>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1F02341F"/>
    <w:multiLevelType w:val="hybridMultilevel"/>
    <w:tmpl w:val="8FB2350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558568B"/>
    <w:multiLevelType w:val="multilevel"/>
    <w:tmpl w:val="D97294F2"/>
    <w:styleLink w:val="1ai"/>
    <w:lvl w:ilvl="0">
      <w:start w:val="1"/>
      <w:numFmt w:val="lowerRoman"/>
      <w:lvlText w:val="%1."/>
      <w:lvlJc w:val="right"/>
      <w:pPr>
        <w:ind w:left="1440" w:hanging="360"/>
      </w:pPr>
      <w:rPr>
        <w:rFonts w:hint="default"/>
        <w:b w:val="0"/>
        <w:i w:val="0"/>
        <w:color w:val="CC6600" w:themeColor="accent1"/>
      </w:rPr>
    </w:lvl>
    <w:lvl w:ilvl="1">
      <w:start w:val="1"/>
      <w:numFmt w:val="lowerLetter"/>
      <w:lvlText w:val="%2."/>
      <w:lvlJc w:val="left"/>
      <w:pPr>
        <w:ind w:left="1800" w:hanging="360"/>
      </w:pPr>
      <w:rPr>
        <w:rFonts w:hint="default"/>
        <w:b w:val="0"/>
        <w:i w:val="0"/>
        <w:color w:val="0D8577" w:themeColor="accent5"/>
      </w:rPr>
    </w:lvl>
    <w:lvl w:ilvl="2">
      <w:start w:val="1"/>
      <w:numFmt w:val="none"/>
      <w:suff w:val="nothing"/>
      <w:lvlText w:val=""/>
      <w:lvlJc w:val="left"/>
      <w:pPr>
        <w:ind w:left="1080" w:firstLine="0"/>
      </w:pPr>
      <w:rPr>
        <w:rFonts w:hint="default"/>
        <w:b w:val="0"/>
        <w:i w:val="0"/>
      </w:rPr>
    </w:lvl>
    <w:lvl w:ilvl="3">
      <w:start w:val="1"/>
      <w:numFmt w:val="none"/>
      <w:suff w:val="nothing"/>
      <w:lvlText w:val=""/>
      <w:lvlJc w:val="left"/>
      <w:pPr>
        <w:ind w:left="1080" w:firstLine="0"/>
      </w:pPr>
      <w:rPr>
        <w:rFonts w:hint="default"/>
        <w:b w:val="0"/>
        <w:i w:val="0"/>
      </w:rPr>
    </w:lvl>
    <w:lvl w:ilvl="4">
      <w:start w:val="1"/>
      <w:numFmt w:val="none"/>
      <w:suff w:val="nothing"/>
      <w:lvlText w:val=""/>
      <w:lvlJc w:val="left"/>
      <w:pPr>
        <w:ind w:left="1080" w:firstLine="0"/>
      </w:pPr>
      <w:rPr>
        <w:rFonts w:hint="default"/>
        <w:b w:val="0"/>
        <w:i w:val="0"/>
      </w:rPr>
    </w:lvl>
    <w:lvl w:ilvl="5">
      <w:start w:val="1"/>
      <w:numFmt w:val="none"/>
      <w:suff w:val="nothing"/>
      <w:lvlText w:val=""/>
      <w:lvlJc w:val="left"/>
      <w:pPr>
        <w:ind w:left="1080" w:firstLine="0"/>
      </w:pPr>
      <w:rPr>
        <w:rFonts w:hint="default"/>
      </w:rPr>
    </w:lvl>
    <w:lvl w:ilvl="6">
      <w:start w:val="1"/>
      <w:numFmt w:val="none"/>
      <w:suff w:val="nothing"/>
      <w:lvlText w:val=""/>
      <w:lvlJc w:val="left"/>
      <w:pPr>
        <w:ind w:left="1080" w:firstLine="0"/>
      </w:pPr>
      <w:rPr>
        <w:rFonts w:hint="default"/>
      </w:rPr>
    </w:lvl>
    <w:lvl w:ilvl="7">
      <w:start w:val="1"/>
      <w:numFmt w:val="none"/>
      <w:suff w:val="nothing"/>
      <w:lvlText w:val=""/>
      <w:lvlJc w:val="left"/>
      <w:pPr>
        <w:ind w:left="1080" w:firstLine="0"/>
      </w:pPr>
      <w:rPr>
        <w:rFonts w:hint="default"/>
      </w:rPr>
    </w:lvl>
    <w:lvl w:ilvl="8">
      <w:start w:val="1"/>
      <w:numFmt w:val="none"/>
      <w:suff w:val="nothing"/>
      <w:lvlText w:val=""/>
      <w:lvlJc w:val="left"/>
      <w:pPr>
        <w:ind w:left="1080" w:firstLine="0"/>
      </w:pPr>
      <w:rPr>
        <w:rFonts w:hint="default"/>
      </w:rPr>
    </w:lvl>
  </w:abstractNum>
  <w:abstractNum w:abstractNumId="13" w15:restartNumberingAfterBreak="0">
    <w:nsid w:val="2D38708E"/>
    <w:multiLevelType w:val="hybridMultilevel"/>
    <w:tmpl w:val="14042088"/>
    <w:lvl w:ilvl="0" w:tplc="FFFFFFFF">
      <w:start w:val="1"/>
      <w:numFmt w:val="bullet"/>
      <w:pStyle w:val="Tablebullet"/>
      <w:lvlText w:val=""/>
      <w:lvlJc w:val="left"/>
      <w:pPr>
        <w:ind w:left="1080" w:hanging="360"/>
      </w:pPr>
      <w:rPr>
        <w:rFonts w:ascii="Symbol" w:hAnsi="Symbol" w:hint="default"/>
        <w:color w:val="E26E00"/>
        <w:sz w:val="18"/>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2D7F134E"/>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3BD92283"/>
    <w:multiLevelType w:val="multilevel"/>
    <w:tmpl w:val="062ADAD2"/>
    <w:lvl w:ilvl="0">
      <w:start w:val="2"/>
      <w:numFmt w:val="decimal"/>
      <w:lvlText w:val="%1"/>
      <w:lvlJc w:val="left"/>
      <w:pPr>
        <w:ind w:left="360" w:hanging="360"/>
      </w:pPr>
    </w:lvl>
    <w:lvl w:ilvl="1">
      <w:start w:val="1"/>
      <w:numFmt w:val="lowerLetter"/>
      <w:lvlText w:val="%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4848" w:hanging="1440"/>
      </w:pPr>
    </w:lvl>
  </w:abstractNum>
  <w:abstractNum w:abstractNumId="16" w15:restartNumberingAfterBreak="0">
    <w:nsid w:val="3CA41282"/>
    <w:multiLevelType w:val="multilevel"/>
    <w:tmpl w:val="79C017E6"/>
    <w:styleLink w:val="BulletList"/>
    <w:lvl w:ilvl="0">
      <w:start w:val="1"/>
      <w:numFmt w:val="bullet"/>
      <w:lvlText w:val=""/>
      <w:lvlJc w:val="left"/>
      <w:pPr>
        <w:tabs>
          <w:tab w:val="num" w:pos="360"/>
        </w:tabs>
        <w:ind w:left="360" w:hanging="360"/>
      </w:pPr>
      <w:rPr>
        <w:rFonts w:ascii="Symbol" w:hAnsi="Symbol" w:hint="default"/>
        <w:color w:val="CC6600" w:themeColor="accent1"/>
      </w:rPr>
    </w:lvl>
    <w:lvl w:ilvl="1">
      <w:start w:val="1"/>
      <w:numFmt w:val="bullet"/>
      <w:lvlText w:val=""/>
      <w:lvlJc w:val="left"/>
      <w:pPr>
        <w:ind w:left="720" w:hanging="363"/>
      </w:pPr>
      <w:rPr>
        <w:rFonts w:ascii="Symbol" w:hAnsi="Symbol" w:hint="default"/>
        <w:color w:val="0D8577" w:themeColor="accent5"/>
      </w:rPr>
    </w:lvl>
    <w:lvl w:ilvl="2">
      <w:start w:val="1"/>
      <w:numFmt w:val="bullet"/>
      <w:lvlText w:val=""/>
      <w:lvlJc w:val="left"/>
      <w:pPr>
        <w:ind w:left="1077" w:hanging="357"/>
      </w:pPr>
      <w:rPr>
        <w:rFonts w:ascii="Symbol" w:hAnsi="Symbol" w:hint="default"/>
        <w:color w:val="0D3E67" w:themeColor="accent3"/>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3EFE6514"/>
    <w:multiLevelType w:val="hybridMultilevel"/>
    <w:tmpl w:val="8FB2350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7FF462C"/>
    <w:multiLevelType w:val="hybridMultilevel"/>
    <w:tmpl w:val="8FB2350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AEB6D49"/>
    <w:multiLevelType w:val="multilevel"/>
    <w:tmpl w:val="062ADAD2"/>
    <w:lvl w:ilvl="0">
      <w:start w:val="2"/>
      <w:numFmt w:val="decimal"/>
      <w:lvlText w:val="%1"/>
      <w:lvlJc w:val="left"/>
      <w:pPr>
        <w:ind w:left="360" w:hanging="360"/>
      </w:pPr>
    </w:lvl>
    <w:lvl w:ilvl="1">
      <w:start w:val="1"/>
      <w:numFmt w:val="lowerLetter"/>
      <w:lvlText w:val="%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4848" w:hanging="1440"/>
      </w:pPr>
    </w:lvl>
  </w:abstractNum>
  <w:abstractNum w:abstractNumId="20" w15:restartNumberingAfterBreak="0">
    <w:nsid w:val="4BC7587D"/>
    <w:multiLevelType w:val="multilevel"/>
    <w:tmpl w:val="062ADAD2"/>
    <w:lvl w:ilvl="0">
      <w:start w:val="2"/>
      <w:numFmt w:val="decimal"/>
      <w:lvlText w:val="%1"/>
      <w:lvlJc w:val="left"/>
      <w:pPr>
        <w:ind w:left="360" w:hanging="360"/>
      </w:pPr>
    </w:lvl>
    <w:lvl w:ilvl="1">
      <w:start w:val="1"/>
      <w:numFmt w:val="lowerLetter"/>
      <w:lvlText w:val="%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4848" w:hanging="1440"/>
      </w:pPr>
    </w:lvl>
  </w:abstractNum>
  <w:abstractNum w:abstractNumId="21" w15:restartNumberingAfterBreak="0">
    <w:nsid w:val="563032EA"/>
    <w:multiLevelType w:val="multilevel"/>
    <w:tmpl w:val="062ADAD2"/>
    <w:lvl w:ilvl="0">
      <w:start w:val="2"/>
      <w:numFmt w:val="decimal"/>
      <w:lvlText w:val="%1"/>
      <w:lvlJc w:val="left"/>
      <w:pPr>
        <w:ind w:left="360" w:hanging="360"/>
      </w:pPr>
    </w:lvl>
    <w:lvl w:ilvl="1">
      <w:start w:val="1"/>
      <w:numFmt w:val="lowerLetter"/>
      <w:lvlText w:val="%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4848" w:hanging="1440"/>
      </w:pPr>
    </w:lvl>
  </w:abstractNum>
  <w:abstractNum w:abstractNumId="22" w15:restartNumberingAfterBreak="0">
    <w:nsid w:val="5736700C"/>
    <w:multiLevelType w:val="multilevel"/>
    <w:tmpl w:val="062ADAD2"/>
    <w:lvl w:ilvl="0">
      <w:start w:val="2"/>
      <w:numFmt w:val="decimal"/>
      <w:lvlText w:val="%1"/>
      <w:lvlJc w:val="left"/>
      <w:pPr>
        <w:ind w:left="360" w:hanging="360"/>
      </w:pPr>
    </w:lvl>
    <w:lvl w:ilvl="1">
      <w:start w:val="1"/>
      <w:numFmt w:val="lowerLetter"/>
      <w:lvlText w:val="%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4848" w:hanging="1440"/>
      </w:pPr>
    </w:lvl>
  </w:abstractNum>
  <w:abstractNum w:abstractNumId="23" w15:restartNumberingAfterBreak="0">
    <w:nsid w:val="5A071257"/>
    <w:multiLevelType w:val="multilevel"/>
    <w:tmpl w:val="062ADAD2"/>
    <w:lvl w:ilvl="0">
      <w:start w:val="2"/>
      <w:numFmt w:val="decimal"/>
      <w:lvlText w:val="%1"/>
      <w:lvlJc w:val="left"/>
      <w:pPr>
        <w:ind w:left="360" w:hanging="360"/>
      </w:pPr>
    </w:lvl>
    <w:lvl w:ilvl="1">
      <w:start w:val="1"/>
      <w:numFmt w:val="lowerLetter"/>
      <w:lvlText w:val="%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4848" w:hanging="1440"/>
      </w:pPr>
    </w:lvl>
  </w:abstractNum>
  <w:abstractNum w:abstractNumId="24" w15:restartNumberingAfterBreak="0">
    <w:nsid w:val="5CED37D1"/>
    <w:multiLevelType w:val="multilevel"/>
    <w:tmpl w:val="671629BE"/>
    <w:lvl w:ilvl="0">
      <w:start w:val="1"/>
      <w:numFmt w:val="bullet"/>
      <w:lvlText w:val=""/>
      <w:lvlJc w:val="left"/>
      <w:pPr>
        <w:ind w:left="646" w:hanging="362"/>
      </w:pPr>
      <w:rPr>
        <w:rFonts w:ascii="Symbol" w:hAnsi="Symbol" w:hint="default"/>
        <w:b/>
        <w:bCs/>
        <w:i w:val="0"/>
        <w:color w:val="CC6600" w:themeColor="accent1"/>
        <w:sz w:val="18"/>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0B30440"/>
    <w:multiLevelType w:val="hybridMultilevel"/>
    <w:tmpl w:val="9D962F9A"/>
    <w:lvl w:ilvl="0" w:tplc="0B5E7936">
      <w:start w:val="1"/>
      <w:numFmt w:val="decimal"/>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26" w15:restartNumberingAfterBreak="0">
    <w:nsid w:val="644E4756"/>
    <w:multiLevelType w:val="hybridMultilevel"/>
    <w:tmpl w:val="475E56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85A24BF"/>
    <w:multiLevelType w:val="multilevel"/>
    <w:tmpl w:val="A41C4DB2"/>
    <w:styleLink w:val="Headings"/>
    <w:lvl w:ilvl="0">
      <w:start w:val="1"/>
      <w:numFmt w:val="decimal"/>
      <w:lvlText w:val="%1"/>
      <w:lvlJc w:val="left"/>
      <w:pPr>
        <w:ind w:left="720" w:hanging="720"/>
      </w:pPr>
      <w:rPr>
        <w:rFonts w:asciiTheme="majorHAnsi" w:hAnsiTheme="majorHAnsi" w:cs="Times New Roman" w:hint="default"/>
      </w:rPr>
    </w:lvl>
    <w:lvl w:ilvl="1">
      <w:start w:val="1"/>
      <w:numFmt w:val="decimal"/>
      <w:lvlText w:val="%1.%2"/>
      <w:lvlJc w:val="left"/>
      <w:pPr>
        <w:ind w:left="720" w:hanging="720"/>
      </w:pPr>
      <w:rPr>
        <w:rFonts w:asciiTheme="majorHAnsi" w:hAnsiTheme="majorHAnsi" w:cs="Times New Roman" w:hint="default"/>
      </w:rPr>
    </w:lvl>
    <w:lvl w:ilvl="2">
      <w:start w:val="1"/>
      <w:numFmt w:val="none"/>
      <w:suff w:val="nothing"/>
      <w:lvlText w:val=""/>
      <w:lvlJc w:val="left"/>
      <w:pPr>
        <w:ind w:left="720" w:hanging="720"/>
      </w:pPr>
    </w:lvl>
    <w:lvl w:ilvl="3">
      <w:start w:val="1"/>
      <w:numFmt w:val="none"/>
      <w:suff w:val="nothing"/>
      <w:lvlText w:val=""/>
      <w:lvlJc w:val="left"/>
      <w:pPr>
        <w:ind w:left="720" w:hanging="720"/>
      </w:pPr>
    </w:lvl>
    <w:lvl w:ilvl="4">
      <w:start w:val="1"/>
      <w:numFmt w:val="none"/>
      <w:lvlText w:val=""/>
      <w:lvlJc w:val="left"/>
      <w:pPr>
        <w:ind w:left="720" w:hanging="720"/>
      </w:pPr>
    </w:lvl>
    <w:lvl w:ilvl="5">
      <w:start w:val="1"/>
      <w:numFmt w:val="none"/>
      <w:lvlText w:val=""/>
      <w:lvlJc w:val="left"/>
      <w:pPr>
        <w:ind w:left="720" w:hanging="720"/>
      </w:pPr>
    </w:lvl>
    <w:lvl w:ilvl="6">
      <w:start w:val="1"/>
      <w:numFmt w:val="none"/>
      <w:lvlText w:val=""/>
      <w:lvlJc w:val="left"/>
      <w:pPr>
        <w:ind w:left="720" w:hanging="720"/>
      </w:pPr>
    </w:lvl>
    <w:lvl w:ilvl="7">
      <w:start w:val="1"/>
      <w:numFmt w:val="none"/>
      <w:lvlText w:val=""/>
      <w:lvlJc w:val="left"/>
      <w:pPr>
        <w:ind w:left="720" w:hanging="720"/>
      </w:pPr>
    </w:lvl>
    <w:lvl w:ilvl="8">
      <w:start w:val="1"/>
      <w:numFmt w:val="none"/>
      <w:lvlText w:val=""/>
      <w:lvlJc w:val="left"/>
      <w:pPr>
        <w:ind w:left="720" w:hanging="720"/>
      </w:pPr>
    </w:lvl>
  </w:abstractNum>
  <w:abstractNum w:abstractNumId="28" w15:restartNumberingAfterBreak="0">
    <w:nsid w:val="6A825B16"/>
    <w:multiLevelType w:val="multilevel"/>
    <w:tmpl w:val="F16C849A"/>
    <w:styleLink w:val="TableList"/>
    <w:lvl w:ilvl="0">
      <w:start w:val="1"/>
      <w:numFmt w:val="decimal"/>
      <w:pStyle w:val="ListContinue"/>
      <w:lvlText w:val="%1."/>
      <w:lvlJc w:val="left"/>
      <w:pPr>
        <w:ind w:left="284" w:hanging="284"/>
      </w:pPr>
      <w:rPr>
        <w:rFonts w:hint="default"/>
        <w:b w:val="0"/>
        <w:i w:val="0"/>
      </w:rPr>
    </w:lvl>
    <w:lvl w:ilvl="1">
      <w:start w:val="1"/>
      <w:numFmt w:val="lowerLetter"/>
      <w:pStyle w:val="ListContinue2"/>
      <w:lvlText w:val="%2."/>
      <w:lvlJc w:val="left"/>
      <w:pPr>
        <w:ind w:left="568" w:hanging="284"/>
      </w:pPr>
      <w:rPr>
        <w:rFonts w:hint="default"/>
        <w:b w:val="0"/>
        <w:i w:val="0"/>
      </w:rPr>
    </w:lvl>
    <w:lvl w:ilvl="2">
      <w:start w:val="1"/>
      <w:numFmt w:val="lowerRoman"/>
      <w:pStyle w:val="ListContinue3"/>
      <w:lvlText w:val="%3."/>
      <w:lvlJc w:val="left"/>
      <w:pPr>
        <w:ind w:left="852" w:hanging="284"/>
      </w:pPr>
      <w:rPr>
        <w:rFonts w:hint="default"/>
        <w:b w:val="0"/>
        <w:i w:val="0"/>
      </w:rPr>
    </w:lvl>
    <w:lvl w:ilvl="3">
      <w:start w:val="1"/>
      <w:numFmt w:val="upperLetter"/>
      <w:pStyle w:val="ListContinue4"/>
      <w:lvlText w:val="%4."/>
      <w:lvlJc w:val="left"/>
      <w:pPr>
        <w:ind w:left="1136" w:hanging="284"/>
      </w:pPr>
      <w:rPr>
        <w:rFonts w:hint="default"/>
        <w:b w:val="0"/>
        <w:i w:val="0"/>
      </w:rPr>
    </w:lvl>
    <w:lvl w:ilvl="4">
      <w:start w:val="1"/>
      <w:numFmt w:val="decimal"/>
      <w:pStyle w:val="ListContinue5"/>
      <w:lvlText w:val="(%5)"/>
      <w:lvlJc w:val="left"/>
      <w:pPr>
        <w:ind w:left="1420" w:hanging="284"/>
      </w:pPr>
      <w:rPr>
        <w:rFonts w:hint="default"/>
        <w:b w:val="0"/>
        <w:i w:val="0"/>
      </w:rPr>
    </w:lvl>
    <w:lvl w:ilvl="5">
      <w:start w:val="1"/>
      <w:numFmt w:val="none"/>
      <w:suff w:val="nothing"/>
      <w:lvlText w:val=""/>
      <w:lvlJc w:val="left"/>
      <w:pPr>
        <w:ind w:left="0" w:firstLine="0"/>
      </w:pPr>
      <w:rPr>
        <w:rFonts w:hint="default"/>
        <w:b w:val="0"/>
        <w:i w:val="0"/>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15:restartNumberingAfterBreak="0">
    <w:nsid w:val="6CE144FA"/>
    <w:multiLevelType w:val="multilevel"/>
    <w:tmpl w:val="E8A45E52"/>
    <w:lvl w:ilvl="0">
      <w:start w:val="1"/>
      <w:numFmt w:val="decimal"/>
      <w:lvlText w:val="%1."/>
      <w:lvlJc w:val="left"/>
      <w:pPr>
        <w:tabs>
          <w:tab w:val="num" w:pos="720"/>
        </w:tabs>
        <w:ind w:left="720" w:hanging="360"/>
      </w:pPr>
      <w:rPr>
        <w:rFonts w:ascii="Open Sans Light" w:hAnsi="Open Sans Light" w:cstheme="minorHAnsi" w:hint="default"/>
        <w:b/>
        <w:bCs/>
        <w:i w:val="0"/>
        <w:color w:val="CC6600" w:themeColor="accent1"/>
        <w:sz w:val="1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2F03438"/>
    <w:multiLevelType w:val="hybridMultilevel"/>
    <w:tmpl w:val="0242DBBC"/>
    <w:lvl w:ilvl="0" w:tplc="5C28FF6E">
      <w:start w:val="1"/>
      <w:numFmt w:val="bullet"/>
      <w:lvlText w:val=""/>
      <w:lvlJc w:val="left"/>
      <w:pPr>
        <w:ind w:left="717" w:hanging="360"/>
      </w:pPr>
      <w:rPr>
        <w:rFonts w:ascii="Symbol" w:hAnsi="Symbol" w:hint="default"/>
        <w:color w:val="CC66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41C2174"/>
    <w:multiLevelType w:val="multilevel"/>
    <w:tmpl w:val="062ADAD2"/>
    <w:lvl w:ilvl="0">
      <w:start w:val="2"/>
      <w:numFmt w:val="decimal"/>
      <w:lvlText w:val="%1"/>
      <w:lvlJc w:val="left"/>
      <w:pPr>
        <w:ind w:left="360" w:hanging="360"/>
      </w:pPr>
    </w:lvl>
    <w:lvl w:ilvl="1">
      <w:start w:val="1"/>
      <w:numFmt w:val="lowerLetter"/>
      <w:lvlText w:val="%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4848" w:hanging="1440"/>
      </w:pPr>
    </w:lvl>
  </w:abstractNum>
  <w:abstractNum w:abstractNumId="32" w15:restartNumberingAfterBreak="0">
    <w:nsid w:val="77055551"/>
    <w:multiLevelType w:val="multilevel"/>
    <w:tmpl w:val="5FD0108C"/>
    <w:lvl w:ilvl="0">
      <w:start w:val="1"/>
      <w:numFmt w:val="decimal"/>
      <w:pStyle w:val="ListNumber"/>
      <w:lvlText w:val="%1."/>
      <w:lvlJc w:val="left"/>
      <w:pPr>
        <w:ind w:left="644" w:hanging="360"/>
      </w:pPr>
      <w:rPr>
        <w:rFonts w:hint="default"/>
        <w:color w:val="CC6600" w:themeColor="accent1"/>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33" w15:restartNumberingAfterBreak="0">
    <w:nsid w:val="795163DA"/>
    <w:multiLevelType w:val="hybridMultilevel"/>
    <w:tmpl w:val="A2820174"/>
    <w:lvl w:ilvl="0" w:tplc="39FCFCAE">
      <w:start w:val="1"/>
      <w:numFmt w:val="bullet"/>
      <w:lvlText w:val=""/>
      <w:lvlJc w:val="left"/>
      <w:pPr>
        <w:ind w:left="720" w:hanging="360"/>
      </w:pPr>
      <w:rPr>
        <w:rFonts w:ascii="Symbol" w:hAnsi="Symbol" w:hint="default"/>
        <w:color w:val="CC66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58068502">
    <w:abstractNumId w:val="16"/>
  </w:num>
  <w:num w:numId="2" w16cid:durableId="1190996368">
    <w:abstractNumId w:val="5"/>
  </w:num>
  <w:num w:numId="3" w16cid:durableId="1089279358">
    <w:abstractNumId w:val="12"/>
  </w:num>
  <w:num w:numId="4" w16cid:durableId="296645218">
    <w:abstractNumId w:val="28"/>
  </w:num>
  <w:num w:numId="5" w16cid:durableId="400367298">
    <w:abstractNumId w:val="14"/>
  </w:num>
  <w:num w:numId="6" w16cid:durableId="381514932">
    <w:abstractNumId w:val="4"/>
  </w:num>
  <w:num w:numId="7" w16cid:durableId="250046709">
    <w:abstractNumId w:val="10"/>
    <w:lvlOverride w:ilvl="0">
      <w:lvl w:ilvl="0">
        <w:start w:val="1"/>
        <w:numFmt w:val="upperLetter"/>
        <w:suff w:val="space"/>
        <w:lvlText w:val="Appendix %1"/>
        <w:lvlJc w:val="left"/>
        <w:pPr>
          <w:ind w:left="2694" w:firstLine="0"/>
        </w:pPr>
        <w:rPr>
          <w:rFonts w:hint="default"/>
          <w:b w:val="0"/>
          <w:i w:val="0"/>
        </w:rPr>
      </w:lvl>
    </w:lvlOverride>
    <w:lvlOverride w:ilvl="1">
      <w:lvl w:ilvl="1">
        <w:start w:val="1"/>
        <w:numFmt w:val="decimal"/>
        <w:suff w:val="space"/>
        <w:lvlText w:val="%1.%2"/>
        <w:lvlJc w:val="left"/>
        <w:pPr>
          <w:ind w:left="0" w:firstLine="0"/>
        </w:pPr>
        <w:rPr>
          <w:rFonts w:hint="default"/>
          <w:b w:val="0"/>
          <w:i w:val="0"/>
        </w:rPr>
      </w:lvl>
    </w:lvlOverride>
    <w:lvlOverride w:ilvl="2">
      <w:lvl w:ilvl="2">
        <w:start w:val="1"/>
        <w:numFmt w:val="none"/>
        <w:suff w:val="nothing"/>
        <w:lvlText w:val=""/>
        <w:lvlJc w:val="left"/>
        <w:pPr>
          <w:ind w:left="0" w:firstLine="0"/>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none"/>
        <w:suff w:val="nothing"/>
        <w:lvlText w:val=""/>
        <w:lvlJc w:val="left"/>
        <w:pPr>
          <w:ind w:left="0" w:firstLine="0"/>
        </w:pPr>
        <w:rPr>
          <w:rFonts w:hint="default"/>
        </w:rPr>
      </w:lvl>
    </w:lvlOverride>
    <w:lvlOverride w:ilvl="5">
      <w:lvl w:ilvl="5">
        <w:start w:val="1"/>
        <w:numFmt w:val="none"/>
        <w:suff w:val="nothing"/>
        <w:lvlText w:val=""/>
        <w:lvlJc w:val="left"/>
        <w:pPr>
          <w:ind w:left="0" w:firstLine="0"/>
        </w:pPr>
        <w:rPr>
          <w:rFonts w:hint="default"/>
        </w:rPr>
      </w:lvl>
    </w:lvlOverride>
    <w:lvlOverride w:ilvl="6">
      <w:lvl w:ilvl="6">
        <w:start w:val="1"/>
        <w:numFmt w:val="none"/>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8" w16cid:durableId="840237462">
    <w:abstractNumId w:val="13"/>
  </w:num>
  <w:num w:numId="9" w16cid:durableId="205148046">
    <w:abstractNumId w:val="10"/>
  </w:num>
  <w:num w:numId="10" w16cid:durableId="1310671889">
    <w:abstractNumId w:val="32"/>
  </w:num>
  <w:num w:numId="11" w16cid:durableId="458033298">
    <w:abstractNumId w:val="30"/>
  </w:num>
  <w:num w:numId="12" w16cid:durableId="2034455206">
    <w:abstractNumId w:val="29"/>
  </w:num>
  <w:num w:numId="13" w16cid:durableId="1317106114">
    <w:abstractNumId w:val="33"/>
  </w:num>
  <w:num w:numId="14" w16cid:durableId="1988507704">
    <w:abstractNumId w:val="9"/>
  </w:num>
  <w:num w:numId="15" w16cid:durableId="1028411254">
    <w:abstractNumId w:val="26"/>
  </w:num>
  <w:num w:numId="16" w16cid:durableId="246423291">
    <w:abstractNumId w:val="24"/>
  </w:num>
  <w:num w:numId="17" w16cid:durableId="207199850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635284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4131876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131036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70737863">
    <w:abstractNumId w:val="7"/>
  </w:num>
  <w:num w:numId="22" w16cid:durableId="2117674226">
    <w:abstractNumId w:val="20"/>
  </w:num>
  <w:num w:numId="23" w16cid:durableId="157428262">
    <w:abstractNumId w:val="31"/>
  </w:num>
  <w:num w:numId="24" w16cid:durableId="1287540944">
    <w:abstractNumId w:val="22"/>
  </w:num>
  <w:num w:numId="25" w16cid:durableId="1719890637">
    <w:abstractNumId w:val="21"/>
  </w:num>
  <w:num w:numId="26" w16cid:durableId="1010839538">
    <w:abstractNumId w:val="15"/>
  </w:num>
  <w:num w:numId="27" w16cid:durableId="1012563510">
    <w:abstractNumId w:val="8"/>
  </w:num>
  <w:num w:numId="28" w16cid:durableId="1863517228">
    <w:abstractNumId w:val="27"/>
  </w:num>
  <w:num w:numId="29" w16cid:durableId="491141068">
    <w:abstractNumId w:val="17"/>
  </w:num>
  <w:num w:numId="30" w16cid:durableId="1174996966">
    <w:abstractNumId w:val="11"/>
  </w:num>
  <w:num w:numId="31" w16cid:durableId="1126855249">
    <w:abstractNumId w:val="18"/>
  </w:num>
  <w:num w:numId="32" w16cid:durableId="1571817041">
    <w:abstractNumId w:val="19"/>
  </w:num>
  <w:num w:numId="33" w16cid:durableId="70733725">
    <w:abstractNumId w:val="6"/>
  </w:num>
  <w:num w:numId="34" w16cid:durableId="1268076747">
    <w:abstractNumId w:val="23"/>
  </w:num>
  <w:num w:numId="35" w16cid:durableId="1447043307">
    <w:abstractNumId w:val="1"/>
  </w:num>
  <w:num w:numId="36" w16cid:durableId="1254897798">
    <w:abstractNumId w:val="3"/>
  </w:num>
  <w:num w:numId="37" w16cid:durableId="261955357">
    <w:abstractNumId w:val="33"/>
  </w:num>
  <w:num w:numId="38" w16cid:durableId="1757089709">
    <w:abstractNumId w:val="32"/>
  </w:num>
  <w:num w:numId="39" w16cid:durableId="1004747526">
    <w:abstractNumId w:val="32"/>
  </w:num>
  <w:num w:numId="40" w16cid:durableId="10952493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72934016">
    <w:abstractNumId w:val="25"/>
  </w:num>
  <w:num w:numId="42" w16cid:durableId="394545577">
    <w:abstractNumId w:val="32"/>
  </w:num>
  <w:num w:numId="43" w16cid:durableId="167753349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46012037">
    <w:abstractNumId w:val="0"/>
  </w:num>
  <w:num w:numId="45" w16cid:durableId="460879355">
    <w:abstractNumId w:val="2"/>
  </w:num>
  <w:num w:numId="46" w16cid:durableId="4870883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80242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39874FB-C2CE-4696-AA69-253F1904EB8C}"/>
    <w:docVar w:name="dgnword-eventsink" w:val="508316880"/>
    <w:docVar w:name="TemplateHasOneSecWithDFP" w:val="0"/>
  </w:docVars>
  <w:rsids>
    <w:rsidRoot w:val="00C72BC7"/>
    <w:rsid w:val="00000138"/>
    <w:rsid w:val="00000A6C"/>
    <w:rsid w:val="000011E9"/>
    <w:rsid w:val="0000125E"/>
    <w:rsid w:val="0000143B"/>
    <w:rsid w:val="000018E5"/>
    <w:rsid w:val="00001BC0"/>
    <w:rsid w:val="00001E28"/>
    <w:rsid w:val="00001E3C"/>
    <w:rsid w:val="0000230D"/>
    <w:rsid w:val="000024BF"/>
    <w:rsid w:val="00002782"/>
    <w:rsid w:val="00002793"/>
    <w:rsid w:val="00002828"/>
    <w:rsid w:val="00002C7C"/>
    <w:rsid w:val="00003196"/>
    <w:rsid w:val="00003263"/>
    <w:rsid w:val="000034FF"/>
    <w:rsid w:val="0000396E"/>
    <w:rsid w:val="00004192"/>
    <w:rsid w:val="00004379"/>
    <w:rsid w:val="00004B34"/>
    <w:rsid w:val="00004BE6"/>
    <w:rsid w:val="00004F39"/>
    <w:rsid w:val="00005065"/>
    <w:rsid w:val="0000550C"/>
    <w:rsid w:val="0000556F"/>
    <w:rsid w:val="00005C31"/>
    <w:rsid w:val="00005E6A"/>
    <w:rsid w:val="0000605E"/>
    <w:rsid w:val="000060B3"/>
    <w:rsid w:val="000063F4"/>
    <w:rsid w:val="000065F8"/>
    <w:rsid w:val="00006626"/>
    <w:rsid w:val="000068C4"/>
    <w:rsid w:val="00006B7C"/>
    <w:rsid w:val="00006D5E"/>
    <w:rsid w:val="00007050"/>
    <w:rsid w:val="00007206"/>
    <w:rsid w:val="00007312"/>
    <w:rsid w:val="00007402"/>
    <w:rsid w:val="00007564"/>
    <w:rsid w:val="0000763F"/>
    <w:rsid w:val="00007C54"/>
    <w:rsid w:val="00010029"/>
    <w:rsid w:val="000101F3"/>
    <w:rsid w:val="000103A8"/>
    <w:rsid w:val="00010A90"/>
    <w:rsid w:val="00010C2A"/>
    <w:rsid w:val="00011692"/>
    <w:rsid w:val="00011817"/>
    <w:rsid w:val="000119BF"/>
    <w:rsid w:val="000124C7"/>
    <w:rsid w:val="000126EF"/>
    <w:rsid w:val="00012CB4"/>
    <w:rsid w:val="00012EB4"/>
    <w:rsid w:val="000133F6"/>
    <w:rsid w:val="000136BD"/>
    <w:rsid w:val="000137E4"/>
    <w:rsid w:val="00013BE8"/>
    <w:rsid w:val="00013C40"/>
    <w:rsid w:val="00013CC5"/>
    <w:rsid w:val="00013EF3"/>
    <w:rsid w:val="000141CB"/>
    <w:rsid w:val="00014271"/>
    <w:rsid w:val="00014C47"/>
    <w:rsid w:val="000154C8"/>
    <w:rsid w:val="0001575B"/>
    <w:rsid w:val="00015826"/>
    <w:rsid w:val="00015C1C"/>
    <w:rsid w:val="000161A2"/>
    <w:rsid w:val="00016401"/>
    <w:rsid w:val="0001697E"/>
    <w:rsid w:val="00016BF6"/>
    <w:rsid w:val="00016FDB"/>
    <w:rsid w:val="00017485"/>
    <w:rsid w:val="00017697"/>
    <w:rsid w:val="00017BD9"/>
    <w:rsid w:val="00020337"/>
    <w:rsid w:val="00020525"/>
    <w:rsid w:val="00020652"/>
    <w:rsid w:val="000206E0"/>
    <w:rsid w:val="00020BB1"/>
    <w:rsid w:val="00020E5D"/>
    <w:rsid w:val="000210DB"/>
    <w:rsid w:val="0002177C"/>
    <w:rsid w:val="000217CE"/>
    <w:rsid w:val="000218CD"/>
    <w:rsid w:val="00021FE2"/>
    <w:rsid w:val="0002203D"/>
    <w:rsid w:val="00022421"/>
    <w:rsid w:val="00022718"/>
    <w:rsid w:val="00022916"/>
    <w:rsid w:val="00022A5F"/>
    <w:rsid w:val="00022DA7"/>
    <w:rsid w:val="00022E92"/>
    <w:rsid w:val="00022F81"/>
    <w:rsid w:val="00023BBE"/>
    <w:rsid w:val="0002426A"/>
    <w:rsid w:val="00024524"/>
    <w:rsid w:val="000246BA"/>
    <w:rsid w:val="00024D3D"/>
    <w:rsid w:val="0002540A"/>
    <w:rsid w:val="000256C6"/>
    <w:rsid w:val="00025D38"/>
    <w:rsid w:val="000261B1"/>
    <w:rsid w:val="00026382"/>
    <w:rsid w:val="0002672A"/>
    <w:rsid w:val="0002680A"/>
    <w:rsid w:val="00026870"/>
    <w:rsid w:val="000268EB"/>
    <w:rsid w:val="00026971"/>
    <w:rsid w:val="00026B59"/>
    <w:rsid w:val="00026F0C"/>
    <w:rsid w:val="00026F45"/>
    <w:rsid w:val="0002726F"/>
    <w:rsid w:val="0002751A"/>
    <w:rsid w:val="00027544"/>
    <w:rsid w:val="00027A3B"/>
    <w:rsid w:val="000300CB"/>
    <w:rsid w:val="00030208"/>
    <w:rsid w:val="00030642"/>
    <w:rsid w:val="00030996"/>
    <w:rsid w:val="00030A4A"/>
    <w:rsid w:val="00031242"/>
    <w:rsid w:val="000317D9"/>
    <w:rsid w:val="00031C47"/>
    <w:rsid w:val="0003200D"/>
    <w:rsid w:val="00032173"/>
    <w:rsid w:val="0003277D"/>
    <w:rsid w:val="000328CD"/>
    <w:rsid w:val="0003290A"/>
    <w:rsid w:val="00032975"/>
    <w:rsid w:val="00033004"/>
    <w:rsid w:val="00033266"/>
    <w:rsid w:val="000336C4"/>
    <w:rsid w:val="0003396B"/>
    <w:rsid w:val="00033F5C"/>
    <w:rsid w:val="000345B6"/>
    <w:rsid w:val="0003479D"/>
    <w:rsid w:val="0003497D"/>
    <w:rsid w:val="00034F68"/>
    <w:rsid w:val="0003513C"/>
    <w:rsid w:val="00035287"/>
    <w:rsid w:val="00035762"/>
    <w:rsid w:val="000357E7"/>
    <w:rsid w:val="00035B8B"/>
    <w:rsid w:val="00035BD3"/>
    <w:rsid w:val="00035D50"/>
    <w:rsid w:val="000361C1"/>
    <w:rsid w:val="0003626A"/>
    <w:rsid w:val="000363E8"/>
    <w:rsid w:val="0003660C"/>
    <w:rsid w:val="00036865"/>
    <w:rsid w:val="00036A27"/>
    <w:rsid w:val="000379B7"/>
    <w:rsid w:val="000401E2"/>
    <w:rsid w:val="000407EA"/>
    <w:rsid w:val="00040C71"/>
    <w:rsid w:val="00040DEF"/>
    <w:rsid w:val="0004111B"/>
    <w:rsid w:val="000416AF"/>
    <w:rsid w:val="00042299"/>
    <w:rsid w:val="000423EC"/>
    <w:rsid w:val="000428F7"/>
    <w:rsid w:val="00042924"/>
    <w:rsid w:val="00042AF3"/>
    <w:rsid w:val="00042E98"/>
    <w:rsid w:val="00043731"/>
    <w:rsid w:val="00043CDF"/>
    <w:rsid w:val="00043D79"/>
    <w:rsid w:val="00043EE1"/>
    <w:rsid w:val="00043F78"/>
    <w:rsid w:val="00044276"/>
    <w:rsid w:val="0004491B"/>
    <w:rsid w:val="00044977"/>
    <w:rsid w:val="00044B64"/>
    <w:rsid w:val="00044E4A"/>
    <w:rsid w:val="000450AD"/>
    <w:rsid w:val="000451A4"/>
    <w:rsid w:val="00045313"/>
    <w:rsid w:val="000456EB"/>
    <w:rsid w:val="000457BC"/>
    <w:rsid w:val="000458A6"/>
    <w:rsid w:val="00045CCF"/>
    <w:rsid w:val="00045F54"/>
    <w:rsid w:val="00046B8F"/>
    <w:rsid w:val="00046CCF"/>
    <w:rsid w:val="000471E0"/>
    <w:rsid w:val="00047803"/>
    <w:rsid w:val="00047A5B"/>
    <w:rsid w:val="00047C9D"/>
    <w:rsid w:val="00050064"/>
    <w:rsid w:val="000504CA"/>
    <w:rsid w:val="00050527"/>
    <w:rsid w:val="000507FD"/>
    <w:rsid w:val="0005109A"/>
    <w:rsid w:val="00051201"/>
    <w:rsid w:val="00051B46"/>
    <w:rsid w:val="00051B94"/>
    <w:rsid w:val="00051DB7"/>
    <w:rsid w:val="00051DC6"/>
    <w:rsid w:val="00051FEE"/>
    <w:rsid w:val="000520BB"/>
    <w:rsid w:val="0005239C"/>
    <w:rsid w:val="000524CD"/>
    <w:rsid w:val="0005261C"/>
    <w:rsid w:val="00052706"/>
    <w:rsid w:val="00052A63"/>
    <w:rsid w:val="00052E34"/>
    <w:rsid w:val="00052EF5"/>
    <w:rsid w:val="000534B0"/>
    <w:rsid w:val="00053766"/>
    <w:rsid w:val="00053B4A"/>
    <w:rsid w:val="000544FA"/>
    <w:rsid w:val="00054596"/>
    <w:rsid w:val="00054B89"/>
    <w:rsid w:val="00054CA1"/>
    <w:rsid w:val="00054D3D"/>
    <w:rsid w:val="00054DC1"/>
    <w:rsid w:val="00054DE8"/>
    <w:rsid w:val="0005572F"/>
    <w:rsid w:val="00055A77"/>
    <w:rsid w:val="00055BE5"/>
    <w:rsid w:val="00056009"/>
    <w:rsid w:val="0005616D"/>
    <w:rsid w:val="000565CC"/>
    <w:rsid w:val="00056B09"/>
    <w:rsid w:val="00056DA0"/>
    <w:rsid w:val="0005723F"/>
    <w:rsid w:val="000572F3"/>
    <w:rsid w:val="00057852"/>
    <w:rsid w:val="00057D76"/>
    <w:rsid w:val="00057FE1"/>
    <w:rsid w:val="000600B6"/>
    <w:rsid w:val="000601F8"/>
    <w:rsid w:val="00060203"/>
    <w:rsid w:val="00060624"/>
    <w:rsid w:val="000608E8"/>
    <w:rsid w:val="000609A3"/>
    <w:rsid w:val="00060A41"/>
    <w:rsid w:val="00060B82"/>
    <w:rsid w:val="00060F99"/>
    <w:rsid w:val="00061176"/>
    <w:rsid w:val="0006139E"/>
    <w:rsid w:val="00061CBB"/>
    <w:rsid w:val="0006245F"/>
    <w:rsid w:val="000625EC"/>
    <w:rsid w:val="000629BE"/>
    <w:rsid w:val="00062B3C"/>
    <w:rsid w:val="000636A9"/>
    <w:rsid w:val="00063B02"/>
    <w:rsid w:val="00063CD9"/>
    <w:rsid w:val="00063E67"/>
    <w:rsid w:val="0006401E"/>
    <w:rsid w:val="00064568"/>
    <w:rsid w:val="000649AB"/>
    <w:rsid w:val="00064DA1"/>
    <w:rsid w:val="00064F2C"/>
    <w:rsid w:val="00065542"/>
    <w:rsid w:val="00065F32"/>
    <w:rsid w:val="00066314"/>
    <w:rsid w:val="0006672F"/>
    <w:rsid w:val="00066952"/>
    <w:rsid w:val="00066B90"/>
    <w:rsid w:val="00066B94"/>
    <w:rsid w:val="00066EA3"/>
    <w:rsid w:val="00067556"/>
    <w:rsid w:val="00067E93"/>
    <w:rsid w:val="00070323"/>
    <w:rsid w:val="00070373"/>
    <w:rsid w:val="00070456"/>
    <w:rsid w:val="00070499"/>
    <w:rsid w:val="0007060A"/>
    <w:rsid w:val="00070B51"/>
    <w:rsid w:val="00071318"/>
    <w:rsid w:val="000715E5"/>
    <w:rsid w:val="00071BDF"/>
    <w:rsid w:val="00071D2D"/>
    <w:rsid w:val="0007217D"/>
    <w:rsid w:val="000726FC"/>
    <w:rsid w:val="00072880"/>
    <w:rsid w:val="00072F93"/>
    <w:rsid w:val="0007333D"/>
    <w:rsid w:val="000737D4"/>
    <w:rsid w:val="0007382A"/>
    <w:rsid w:val="00073CEF"/>
    <w:rsid w:val="00074274"/>
    <w:rsid w:val="00074314"/>
    <w:rsid w:val="000744AA"/>
    <w:rsid w:val="0007452D"/>
    <w:rsid w:val="00074678"/>
    <w:rsid w:val="0007489F"/>
    <w:rsid w:val="00074AE5"/>
    <w:rsid w:val="00074E90"/>
    <w:rsid w:val="00075476"/>
    <w:rsid w:val="00075842"/>
    <w:rsid w:val="00075893"/>
    <w:rsid w:val="00075904"/>
    <w:rsid w:val="000759E1"/>
    <w:rsid w:val="0007605A"/>
    <w:rsid w:val="000764DB"/>
    <w:rsid w:val="000764F8"/>
    <w:rsid w:val="00076684"/>
    <w:rsid w:val="00076D7B"/>
    <w:rsid w:val="0007704B"/>
    <w:rsid w:val="00077812"/>
    <w:rsid w:val="00077986"/>
    <w:rsid w:val="00077B74"/>
    <w:rsid w:val="00077C6D"/>
    <w:rsid w:val="00080787"/>
    <w:rsid w:val="000807BD"/>
    <w:rsid w:val="000808F5"/>
    <w:rsid w:val="00080DD8"/>
    <w:rsid w:val="000812BB"/>
    <w:rsid w:val="00081342"/>
    <w:rsid w:val="000816AD"/>
    <w:rsid w:val="000816BA"/>
    <w:rsid w:val="000817C6"/>
    <w:rsid w:val="00081A66"/>
    <w:rsid w:val="00081B38"/>
    <w:rsid w:val="00081BE6"/>
    <w:rsid w:val="00081F1E"/>
    <w:rsid w:val="000822F0"/>
    <w:rsid w:val="000829D8"/>
    <w:rsid w:val="0008387D"/>
    <w:rsid w:val="00083A21"/>
    <w:rsid w:val="00083A64"/>
    <w:rsid w:val="00083BB8"/>
    <w:rsid w:val="00083D35"/>
    <w:rsid w:val="00083E0F"/>
    <w:rsid w:val="00083F7F"/>
    <w:rsid w:val="000840E4"/>
    <w:rsid w:val="00084A7C"/>
    <w:rsid w:val="00084C54"/>
    <w:rsid w:val="00084F3E"/>
    <w:rsid w:val="00084F92"/>
    <w:rsid w:val="00085A5C"/>
    <w:rsid w:val="00085B39"/>
    <w:rsid w:val="00086091"/>
    <w:rsid w:val="000860A8"/>
    <w:rsid w:val="000866B7"/>
    <w:rsid w:val="00086CF2"/>
    <w:rsid w:val="0008710D"/>
    <w:rsid w:val="000876D5"/>
    <w:rsid w:val="00090147"/>
    <w:rsid w:val="000901D3"/>
    <w:rsid w:val="000902EE"/>
    <w:rsid w:val="000904CB"/>
    <w:rsid w:val="000904FE"/>
    <w:rsid w:val="0009078F"/>
    <w:rsid w:val="00090C68"/>
    <w:rsid w:val="00090D89"/>
    <w:rsid w:val="00090FA2"/>
    <w:rsid w:val="000914DF"/>
    <w:rsid w:val="00091693"/>
    <w:rsid w:val="00091A33"/>
    <w:rsid w:val="00091E7D"/>
    <w:rsid w:val="00091FD5"/>
    <w:rsid w:val="000921D4"/>
    <w:rsid w:val="00092250"/>
    <w:rsid w:val="00092291"/>
    <w:rsid w:val="00092750"/>
    <w:rsid w:val="00093076"/>
    <w:rsid w:val="000931E3"/>
    <w:rsid w:val="000932A5"/>
    <w:rsid w:val="00093CD3"/>
    <w:rsid w:val="00093DB7"/>
    <w:rsid w:val="000942F4"/>
    <w:rsid w:val="000945FE"/>
    <w:rsid w:val="00094728"/>
    <w:rsid w:val="00094BF0"/>
    <w:rsid w:val="00095216"/>
    <w:rsid w:val="0009539A"/>
    <w:rsid w:val="000953A4"/>
    <w:rsid w:val="000957FE"/>
    <w:rsid w:val="00095933"/>
    <w:rsid w:val="00095B61"/>
    <w:rsid w:val="00095BE8"/>
    <w:rsid w:val="00095C26"/>
    <w:rsid w:val="00096035"/>
    <w:rsid w:val="000963B6"/>
    <w:rsid w:val="0009678F"/>
    <w:rsid w:val="00096FF0"/>
    <w:rsid w:val="000970C0"/>
    <w:rsid w:val="00097A50"/>
    <w:rsid w:val="00097CF3"/>
    <w:rsid w:val="00097FC6"/>
    <w:rsid w:val="000A086E"/>
    <w:rsid w:val="000A09A6"/>
    <w:rsid w:val="000A0DDA"/>
    <w:rsid w:val="000A11A0"/>
    <w:rsid w:val="000A18B3"/>
    <w:rsid w:val="000A1AB4"/>
    <w:rsid w:val="000A1D39"/>
    <w:rsid w:val="000A1D60"/>
    <w:rsid w:val="000A208A"/>
    <w:rsid w:val="000A2380"/>
    <w:rsid w:val="000A296A"/>
    <w:rsid w:val="000A297E"/>
    <w:rsid w:val="000A2BB3"/>
    <w:rsid w:val="000A2CF0"/>
    <w:rsid w:val="000A300C"/>
    <w:rsid w:val="000A340D"/>
    <w:rsid w:val="000A3429"/>
    <w:rsid w:val="000A3602"/>
    <w:rsid w:val="000A3956"/>
    <w:rsid w:val="000A39FE"/>
    <w:rsid w:val="000A415B"/>
    <w:rsid w:val="000A44A6"/>
    <w:rsid w:val="000A4AE4"/>
    <w:rsid w:val="000A4F85"/>
    <w:rsid w:val="000A5032"/>
    <w:rsid w:val="000A5B08"/>
    <w:rsid w:val="000A5C4B"/>
    <w:rsid w:val="000A612E"/>
    <w:rsid w:val="000A61E7"/>
    <w:rsid w:val="000A6267"/>
    <w:rsid w:val="000A6B96"/>
    <w:rsid w:val="000A6C48"/>
    <w:rsid w:val="000A73BB"/>
    <w:rsid w:val="000A764D"/>
    <w:rsid w:val="000A770E"/>
    <w:rsid w:val="000A7C80"/>
    <w:rsid w:val="000B006D"/>
    <w:rsid w:val="000B0241"/>
    <w:rsid w:val="000B0679"/>
    <w:rsid w:val="000B07A9"/>
    <w:rsid w:val="000B0871"/>
    <w:rsid w:val="000B089C"/>
    <w:rsid w:val="000B0AB9"/>
    <w:rsid w:val="000B0CD2"/>
    <w:rsid w:val="000B0D1A"/>
    <w:rsid w:val="000B17DA"/>
    <w:rsid w:val="000B1E47"/>
    <w:rsid w:val="000B20A2"/>
    <w:rsid w:val="000B256F"/>
    <w:rsid w:val="000B2E72"/>
    <w:rsid w:val="000B330E"/>
    <w:rsid w:val="000B34F0"/>
    <w:rsid w:val="000B3C80"/>
    <w:rsid w:val="000B3D98"/>
    <w:rsid w:val="000B3D9C"/>
    <w:rsid w:val="000B47E9"/>
    <w:rsid w:val="000B4B48"/>
    <w:rsid w:val="000B4BF3"/>
    <w:rsid w:val="000B4DD2"/>
    <w:rsid w:val="000B4E87"/>
    <w:rsid w:val="000B535F"/>
    <w:rsid w:val="000B5715"/>
    <w:rsid w:val="000B5B2C"/>
    <w:rsid w:val="000B6026"/>
    <w:rsid w:val="000B6284"/>
    <w:rsid w:val="000B648E"/>
    <w:rsid w:val="000B6713"/>
    <w:rsid w:val="000B6E18"/>
    <w:rsid w:val="000B71C1"/>
    <w:rsid w:val="000B74B7"/>
    <w:rsid w:val="000B74E3"/>
    <w:rsid w:val="000B772D"/>
    <w:rsid w:val="000B775E"/>
    <w:rsid w:val="000B7D18"/>
    <w:rsid w:val="000B7FCE"/>
    <w:rsid w:val="000C002C"/>
    <w:rsid w:val="000C0555"/>
    <w:rsid w:val="000C0C9F"/>
    <w:rsid w:val="000C0D58"/>
    <w:rsid w:val="000C0DB7"/>
    <w:rsid w:val="000C132C"/>
    <w:rsid w:val="000C133B"/>
    <w:rsid w:val="000C196D"/>
    <w:rsid w:val="000C1A37"/>
    <w:rsid w:val="000C1A42"/>
    <w:rsid w:val="000C221A"/>
    <w:rsid w:val="000C2618"/>
    <w:rsid w:val="000C28C7"/>
    <w:rsid w:val="000C2D4E"/>
    <w:rsid w:val="000C2D94"/>
    <w:rsid w:val="000C3019"/>
    <w:rsid w:val="000C3088"/>
    <w:rsid w:val="000C3213"/>
    <w:rsid w:val="000C3397"/>
    <w:rsid w:val="000C351C"/>
    <w:rsid w:val="000C383C"/>
    <w:rsid w:val="000C4254"/>
    <w:rsid w:val="000C4917"/>
    <w:rsid w:val="000C4980"/>
    <w:rsid w:val="000C53F3"/>
    <w:rsid w:val="000C54F8"/>
    <w:rsid w:val="000C566F"/>
    <w:rsid w:val="000C59B4"/>
    <w:rsid w:val="000C5CD6"/>
    <w:rsid w:val="000C5DC6"/>
    <w:rsid w:val="000C6C1D"/>
    <w:rsid w:val="000C6C2A"/>
    <w:rsid w:val="000C7139"/>
    <w:rsid w:val="000C7ED2"/>
    <w:rsid w:val="000D0395"/>
    <w:rsid w:val="000D087B"/>
    <w:rsid w:val="000D0B82"/>
    <w:rsid w:val="000D0D12"/>
    <w:rsid w:val="000D0FBA"/>
    <w:rsid w:val="000D10F1"/>
    <w:rsid w:val="000D11B6"/>
    <w:rsid w:val="000D125E"/>
    <w:rsid w:val="000D12F1"/>
    <w:rsid w:val="000D15FA"/>
    <w:rsid w:val="000D1C82"/>
    <w:rsid w:val="000D1FE0"/>
    <w:rsid w:val="000D222C"/>
    <w:rsid w:val="000D2362"/>
    <w:rsid w:val="000D257B"/>
    <w:rsid w:val="000D2721"/>
    <w:rsid w:val="000D2D5A"/>
    <w:rsid w:val="000D33F2"/>
    <w:rsid w:val="000D3947"/>
    <w:rsid w:val="000D3D50"/>
    <w:rsid w:val="000D3E18"/>
    <w:rsid w:val="000D407A"/>
    <w:rsid w:val="000D411A"/>
    <w:rsid w:val="000D4294"/>
    <w:rsid w:val="000D43C7"/>
    <w:rsid w:val="000D4B8A"/>
    <w:rsid w:val="000D4BA3"/>
    <w:rsid w:val="000D4D81"/>
    <w:rsid w:val="000D4EDC"/>
    <w:rsid w:val="000D5658"/>
    <w:rsid w:val="000D6061"/>
    <w:rsid w:val="000D61BC"/>
    <w:rsid w:val="000D6222"/>
    <w:rsid w:val="000D6303"/>
    <w:rsid w:val="000D706C"/>
    <w:rsid w:val="000D73A3"/>
    <w:rsid w:val="000D7972"/>
    <w:rsid w:val="000D7C60"/>
    <w:rsid w:val="000D7CC3"/>
    <w:rsid w:val="000E03B4"/>
    <w:rsid w:val="000E08B9"/>
    <w:rsid w:val="000E0E1A"/>
    <w:rsid w:val="000E1298"/>
    <w:rsid w:val="000E13A0"/>
    <w:rsid w:val="000E1B4A"/>
    <w:rsid w:val="000E2853"/>
    <w:rsid w:val="000E28EC"/>
    <w:rsid w:val="000E2A72"/>
    <w:rsid w:val="000E2EA3"/>
    <w:rsid w:val="000E324E"/>
    <w:rsid w:val="000E32FC"/>
    <w:rsid w:val="000E3571"/>
    <w:rsid w:val="000E3D14"/>
    <w:rsid w:val="000E3F68"/>
    <w:rsid w:val="000E3F93"/>
    <w:rsid w:val="000E441A"/>
    <w:rsid w:val="000E4496"/>
    <w:rsid w:val="000E45C5"/>
    <w:rsid w:val="000E4AEA"/>
    <w:rsid w:val="000E4E73"/>
    <w:rsid w:val="000E527E"/>
    <w:rsid w:val="000E547C"/>
    <w:rsid w:val="000E561D"/>
    <w:rsid w:val="000E565D"/>
    <w:rsid w:val="000E5D5D"/>
    <w:rsid w:val="000E6496"/>
    <w:rsid w:val="000E67A8"/>
    <w:rsid w:val="000E6973"/>
    <w:rsid w:val="000E6A35"/>
    <w:rsid w:val="000E6D11"/>
    <w:rsid w:val="000E733E"/>
    <w:rsid w:val="000E75F8"/>
    <w:rsid w:val="000E7AE9"/>
    <w:rsid w:val="000E7CC9"/>
    <w:rsid w:val="000F0800"/>
    <w:rsid w:val="000F0CC0"/>
    <w:rsid w:val="000F0F1D"/>
    <w:rsid w:val="000F16AF"/>
    <w:rsid w:val="000F1750"/>
    <w:rsid w:val="000F1A45"/>
    <w:rsid w:val="000F1D50"/>
    <w:rsid w:val="000F1E00"/>
    <w:rsid w:val="000F226D"/>
    <w:rsid w:val="000F2270"/>
    <w:rsid w:val="000F2F59"/>
    <w:rsid w:val="000F2F67"/>
    <w:rsid w:val="000F336C"/>
    <w:rsid w:val="000F4251"/>
    <w:rsid w:val="000F429B"/>
    <w:rsid w:val="000F4374"/>
    <w:rsid w:val="000F460B"/>
    <w:rsid w:val="000F4845"/>
    <w:rsid w:val="000F485A"/>
    <w:rsid w:val="000F4B40"/>
    <w:rsid w:val="000F4C17"/>
    <w:rsid w:val="000F5041"/>
    <w:rsid w:val="000F50EF"/>
    <w:rsid w:val="000F517A"/>
    <w:rsid w:val="000F5858"/>
    <w:rsid w:val="000F5D48"/>
    <w:rsid w:val="000F5E0C"/>
    <w:rsid w:val="000F6057"/>
    <w:rsid w:val="000F60E4"/>
    <w:rsid w:val="000F6174"/>
    <w:rsid w:val="000F64EF"/>
    <w:rsid w:val="000F6550"/>
    <w:rsid w:val="000F6781"/>
    <w:rsid w:val="000F67CE"/>
    <w:rsid w:val="000F6868"/>
    <w:rsid w:val="000F6B2D"/>
    <w:rsid w:val="000F6D0D"/>
    <w:rsid w:val="000F743F"/>
    <w:rsid w:val="000F74DD"/>
    <w:rsid w:val="000F75F5"/>
    <w:rsid w:val="000F7636"/>
    <w:rsid w:val="000F77D8"/>
    <w:rsid w:val="000F786F"/>
    <w:rsid w:val="000F7D46"/>
    <w:rsid w:val="000F7D63"/>
    <w:rsid w:val="00100237"/>
    <w:rsid w:val="001003FA"/>
    <w:rsid w:val="001004AB"/>
    <w:rsid w:val="00100551"/>
    <w:rsid w:val="0010104F"/>
    <w:rsid w:val="001013D3"/>
    <w:rsid w:val="00101A22"/>
    <w:rsid w:val="00101C1E"/>
    <w:rsid w:val="00101D49"/>
    <w:rsid w:val="00102025"/>
    <w:rsid w:val="00102648"/>
    <w:rsid w:val="001028BE"/>
    <w:rsid w:val="001028E8"/>
    <w:rsid w:val="001029F4"/>
    <w:rsid w:val="00102BA3"/>
    <w:rsid w:val="00102C28"/>
    <w:rsid w:val="00102E35"/>
    <w:rsid w:val="00102F57"/>
    <w:rsid w:val="00103064"/>
    <w:rsid w:val="00103C41"/>
    <w:rsid w:val="00103DF2"/>
    <w:rsid w:val="00103EFA"/>
    <w:rsid w:val="00103FBD"/>
    <w:rsid w:val="0010406E"/>
    <w:rsid w:val="0010450A"/>
    <w:rsid w:val="001045A3"/>
    <w:rsid w:val="00104647"/>
    <w:rsid w:val="00105110"/>
    <w:rsid w:val="001059CD"/>
    <w:rsid w:val="001059DC"/>
    <w:rsid w:val="00105A00"/>
    <w:rsid w:val="00105C6D"/>
    <w:rsid w:val="0010616D"/>
    <w:rsid w:val="001064B9"/>
    <w:rsid w:val="00106685"/>
    <w:rsid w:val="001068DC"/>
    <w:rsid w:val="0010691A"/>
    <w:rsid w:val="00106C34"/>
    <w:rsid w:val="001073FA"/>
    <w:rsid w:val="0010785E"/>
    <w:rsid w:val="001078C8"/>
    <w:rsid w:val="00107AED"/>
    <w:rsid w:val="00110175"/>
    <w:rsid w:val="001103C9"/>
    <w:rsid w:val="00110403"/>
    <w:rsid w:val="00110ADE"/>
    <w:rsid w:val="00110AF3"/>
    <w:rsid w:val="001110B8"/>
    <w:rsid w:val="00111156"/>
    <w:rsid w:val="00111172"/>
    <w:rsid w:val="00111513"/>
    <w:rsid w:val="00111A2A"/>
    <w:rsid w:val="00111A6E"/>
    <w:rsid w:val="00111B35"/>
    <w:rsid w:val="00111C44"/>
    <w:rsid w:val="00111C69"/>
    <w:rsid w:val="00111D16"/>
    <w:rsid w:val="00111FCF"/>
    <w:rsid w:val="0011217E"/>
    <w:rsid w:val="001128A1"/>
    <w:rsid w:val="001129FA"/>
    <w:rsid w:val="00112D2A"/>
    <w:rsid w:val="001131C8"/>
    <w:rsid w:val="00113257"/>
    <w:rsid w:val="00113278"/>
    <w:rsid w:val="00113670"/>
    <w:rsid w:val="001138D4"/>
    <w:rsid w:val="00113977"/>
    <w:rsid w:val="00113AFA"/>
    <w:rsid w:val="00113CC8"/>
    <w:rsid w:val="00113FB8"/>
    <w:rsid w:val="00114C28"/>
    <w:rsid w:val="00115028"/>
    <w:rsid w:val="001154B0"/>
    <w:rsid w:val="00115571"/>
    <w:rsid w:val="00115D6B"/>
    <w:rsid w:val="00115F29"/>
    <w:rsid w:val="00116353"/>
    <w:rsid w:val="00116566"/>
    <w:rsid w:val="001168A3"/>
    <w:rsid w:val="0011698E"/>
    <w:rsid w:val="00116B46"/>
    <w:rsid w:val="00116DCC"/>
    <w:rsid w:val="00117B77"/>
    <w:rsid w:val="00117B8D"/>
    <w:rsid w:val="00117D43"/>
    <w:rsid w:val="00117E01"/>
    <w:rsid w:val="001202CB"/>
    <w:rsid w:val="001202D3"/>
    <w:rsid w:val="001203E5"/>
    <w:rsid w:val="001207C2"/>
    <w:rsid w:val="00120858"/>
    <w:rsid w:val="00120BE0"/>
    <w:rsid w:val="00120E12"/>
    <w:rsid w:val="00120FCA"/>
    <w:rsid w:val="001210BC"/>
    <w:rsid w:val="001210D5"/>
    <w:rsid w:val="001213ED"/>
    <w:rsid w:val="001214E0"/>
    <w:rsid w:val="001218D2"/>
    <w:rsid w:val="00121D0C"/>
    <w:rsid w:val="00122CBC"/>
    <w:rsid w:val="00122CE3"/>
    <w:rsid w:val="00122E87"/>
    <w:rsid w:val="0012323D"/>
    <w:rsid w:val="0012346E"/>
    <w:rsid w:val="0012362A"/>
    <w:rsid w:val="0012372C"/>
    <w:rsid w:val="001239F3"/>
    <w:rsid w:val="00123D20"/>
    <w:rsid w:val="00124379"/>
    <w:rsid w:val="0012448E"/>
    <w:rsid w:val="00124B36"/>
    <w:rsid w:val="00125357"/>
    <w:rsid w:val="00125392"/>
    <w:rsid w:val="00125697"/>
    <w:rsid w:val="001257D9"/>
    <w:rsid w:val="001258D8"/>
    <w:rsid w:val="001258E3"/>
    <w:rsid w:val="00125DCC"/>
    <w:rsid w:val="00126404"/>
    <w:rsid w:val="00126B5C"/>
    <w:rsid w:val="00126E22"/>
    <w:rsid w:val="00126FC9"/>
    <w:rsid w:val="00127173"/>
    <w:rsid w:val="001274EB"/>
    <w:rsid w:val="00127841"/>
    <w:rsid w:val="00127900"/>
    <w:rsid w:val="0012794B"/>
    <w:rsid w:val="00127E43"/>
    <w:rsid w:val="00127F0C"/>
    <w:rsid w:val="0013038C"/>
    <w:rsid w:val="001303E1"/>
    <w:rsid w:val="0013089C"/>
    <w:rsid w:val="00130B48"/>
    <w:rsid w:val="00130BF6"/>
    <w:rsid w:val="00130BFE"/>
    <w:rsid w:val="00130DE3"/>
    <w:rsid w:val="00130F00"/>
    <w:rsid w:val="00131223"/>
    <w:rsid w:val="0013158E"/>
    <w:rsid w:val="001315EF"/>
    <w:rsid w:val="0013164A"/>
    <w:rsid w:val="001316D2"/>
    <w:rsid w:val="00131B6F"/>
    <w:rsid w:val="00131D93"/>
    <w:rsid w:val="00131DB8"/>
    <w:rsid w:val="00131DD8"/>
    <w:rsid w:val="00131FDD"/>
    <w:rsid w:val="00132476"/>
    <w:rsid w:val="0013285E"/>
    <w:rsid w:val="00132DB6"/>
    <w:rsid w:val="00133141"/>
    <w:rsid w:val="00133416"/>
    <w:rsid w:val="0013352C"/>
    <w:rsid w:val="0013360D"/>
    <w:rsid w:val="0013369E"/>
    <w:rsid w:val="00133796"/>
    <w:rsid w:val="00133A7C"/>
    <w:rsid w:val="00134004"/>
    <w:rsid w:val="00134285"/>
    <w:rsid w:val="001343AF"/>
    <w:rsid w:val="001343E5"/>
    <w:rsid w:val="00134460"/>
    <w:rsid w:val="00134590"/>
    <w:rsid w:val="001346DE"/>
    <w:rsid w:val="00134803"/>
    <w:rsid w:val="00134820"/>
    <w:rsid w:val="00134DC7"/>
    <w:rsid w:val="00135327"/>
    <w:rsid w:val="00135AD3"/>
    <w:rsid w:val="00135CE5"/>
    <w:rsid w:val="00135F6A"/>
    <w:rsid w:val="0013630E"/>
    <w:rsid w:val="00136CE6"/>
    <w:rsid w:val="001370DC"/>
    <w:rsid w:val="0013736D"/>
    <w:rsid w:val="00137903"/>
    <w:rsid w:val="001379BB"/>
    <w:rsid w:val="00137ED8"/>
    <w:rsid w:val="00137F3E"/>
    <w:rsid w:val="0014003C"/>
    <w:rsid w:val="001406B1"/>
    <w:rsid w:val="00140710"/>
    <w:rsid w:val="00140CB2"/>
    <w:rsid w:val="001412F0"/>
    <w:rsid w:val="001414A1"/>
    <w:rsid w:val="0014170E"/>
    <w:rsid w:val="001417AC"/>
    <w:rsid w:val="00141D48"/>
    <w:rsid w:val="00141F11"/>
    <w:rsid w:val="001422D8"/>
    <w:rsid w:val="0014254B"/>
    <w:rsid w:val="00142652"/>
    <w:rsid w:val="0014269D"/>
    <w:rsid w:val="00142C99"/>
    <w:rsid w:val="00142D22"/>
    <w:rsid w:val="001437F3"/>
    <w:rsid w:val="00143847"/>
    <w:rsid w:val="001449C1"/>
    <w:rsid w:val="00144FD6"/>
    <w:rsid w:val="00145E77"/>
    <w:rsid w:val="00145E82"/>
    <w:rsid w:val="00145FED"/>
    <w:rsid w:val="0014649F"/>
    <w:rsid w:val="00146541"/>
    <w:rsid w:val="0014680B"/>
    <w:rsid w:val="00146C09"/>
    <w:rsid w:val="00146C43"/>
    <w:rsid w:val="00146C95"/>
    <w:rsid w:val="00146E8E"/>
    <w:rsid w:val="0014760C"/>
    <w:rsid w:val="00147750"/>
    <w:rsid w:val="00150001"/>
    <w:rsid w:val="00150107"/>
    <w:rsid w:val="00150336"/>
    <w:rsid w:val="00150456"/>
    <w:rsid w:val="00150481"/>
    <w:rsid w:val="00150621"/>
    <w:rsid w:val="00150769"/>
    <w:rsid w:val="00151E0F"/>
    <w:rsid w:val="00151EDD"/>
    <w:rsid w:val="00152023"/>
    <w:rsid w:val="001522EA"/>
    <w:rsid w:val="00152479"/>
    <w:rsid w:val="001524DC"/>
    <w:rsid w:val="001528AE"/>
    <w:rsid w:val="00152FF3"/>
    <w:rsid w:val="001538AC"/>
    <w:rsid w:val="00153FD1"/>
    <w:rsid w:val="0015448C"/>
    <w:rsid w:val="00154493"/>
    <w:rsid w:val="00154874"/>
    <w:rsid w:val="00154B49"/>
    <w:rsid w:val="00154D38"/>
    <w:rsid w:val="00155047"/>
    <w:rsid w:val="001551B7"/>
    <w:rsid w:val="001552C6"/>
    <w:rsid w:val="00155976"/>
    <w:rsid w:val="00155A70"/>
    <w:rsid w:val="00155AE3"/>
    <w:rsid w:val="0015637A"/>
    <w:rsid w:val="001566E2"/>
    <w:rsid w:val="00157073"/>
    <w:rsid w:val="00157736"/>
    <w:rsid w:val="00157D94"/>
    <w:rsid w:val="00157F0E"/>
    <w:rsid w:val="0015A99B"/>
    <w:rsid w:val="00160007"/>
    <w:rsid w:val="001609DE"/>
    <w:rsid w:val="00160FD2"/>
    <w:rsid w:val="001614EC"/>
    <w:rsid w:val="00161544"/>
    <w:rsid w:val="00161CDE"/>
    <w:rsid w:val="00161DC9"/>
    <w:rsid w:val="00161E29"/>
    <w:rsid w:val="0016208C"/>
    <w:rsid w:val="00162174"/>
    <w:rsid w:val="00162634"/>
    <w:rsid w:val="001626D8"/>
    <w:rsid w:val="0016296A"/>
    <w:rsid w:val="001630BC"/>
    <w:rsid w:val="0016311B"/>
    <w:rsid w:val="00163385"/>
    <w:rsid w:val="00163AE3"/>
    <w:rsid w:val="00163CC8"/>
    <w:rsid w:val="00163D3F"/>
    <w:rsid w:val="00164078"/>
    <w:rsid w:val="00164352"/>
    <w:rsid w:val="0016479F"/>
    <w:rsid w:val="00164A98"/>
    <w:rsid w:val="00164DFD"/>
    <w:rsid w:val="00164E1C"/>
    <w:rsid w:val="00164E25"/>
    <w:rsid w:val="00164F20"/>
    <w:rsid w:val="00165155"/>
    <w:rsid w:val="00165577"/>
    <w:rsid w:val="00165737"/>
    <w:rsid w:val="00165B85"/>
    <w:rsid w:val="001660B2"/>
    <w:rsid w:val="001661A4"/>
    <w:rsid w:val="0016638B"/>
    <w:rsid w:val="00166496"/>
    <w:rsid w:val="00166573"/>
    <w:rsid w:val="001665E8"/>
    <w:rsid w:val="00166DDA"/>
    <w:rsid w:val="001672A1"/>
    <w:rsid w:val="00167318"/>
    <w:rsid w:val="00167381"/>
    <w:rsid w:val="00167664"/>
    <w:rsid w:val="00167B0B"/>
    <w:rsid w:val="0017055A"/>
    <w:rsid w:val="00170B1A"/>
    <w:rsid w:val="00170C2F"/>
    <w:rsid w:val="00170FAF"/>
    <w:rsid w:val="00171AA7"/>
    <w:rsid w:val="00171DD0"/>
    <w:rsid w:val="00171EA3"/>
    <w:rsid w:val="00172171"/>
    <w:rsid w:val="00172615"/>
    <w:rsid w:val="001727CB"/>
    <w:rsid w:val="00172A87"/>
    <w:rsid w:val="00172D3C"/>
    <w:rsid w:val="00172F2C"/>
    <w:rsid w:val="00172F89"/>
    <w:rsid w:val="001733EE"/>
    <w:rsid w:val="0017387D"/>
    <w:rsid w:val="00173C71"/>
    <w:rsid w:val="00173C97"/>
    <w:rsid w:val="00173D8D"/>
    <w:rsid w:val="0017408D"/>
    <w:rsid w:val="00174195"/>
    <w:rsid w:val="00174AA1"/>
    <w:rsid w:val="00174B9A"/>
    <w:rsid w:val="00174E44"/>
    <w:rsid w:val="00174FAC"/>
    <w:rsid w:val="0017520E"/>
    <w:rsid w:val="0017555F"/>
    <w:rsid w:val="0017589F"/>
    <w:rsid w:val="001759BC"/>
    <w:rsid w:val="0017675A"/>
    <w:rsid w:val="00176F26"/>
    <w:rsid w:val="0017795D"/>
    <w:rsid w:val="00177C94"/>
    <w:rsid w:val="00177DC5"/>
    <w:rsid w:val="00177DF9"/>
    <w:rsid w:val="00177E5D"/>
    <w:rsid w:val="001804EE"/>
    <w:rsid w:val="00180EDC"/>
    <w:rsid w:val="00180EEE"/>
    <w:rsid w:val="001814D7"/>
    <w:rsid w:val="001818B4"/>
    <w:rsid w:val="0018198D"/>
    <w:rsid w:val="001819A2"/>
    <w:rsid w:val="001819FF"/>
    <w:rsid w:val="00181BB1"/>
    <w:rsid w:val="00181BE8"/>
    <w:rsid w:val="00181C68"/>
    <w:rsid w:val="00182127"/>
    <w:rsid w:val="001821F9"/>
    <w:rsid w:val="001825B9"/>
    <w:rsid w:val="00182679"/>
    <w:rsid w:val="00182772"/>
    <w:rsid w:val="00182778"/>
    <w:rsid w:val="00182A43"/>
    <w:rsid w:val="00182B1F"/>
    <w:rsid w:val="00182E17"/>
    <w:rsid w:val="00183BD9"/>
    <w:rsid w:val="00183DFA"/>
    <w:rsid w:val="001841FA"/>
    <w:rsid w:val="00184355"/>
    <w:rsid w:val="00184C5B"/>
    <w:rsid w:val="00184C5C"/>
    <w:rsid w:val="001854C1"/>
    <w:rsid w:val="00186CC6"/>
    <w:rsid w:val="001877BC"/>
    <w:rsid w:val="00187928"/>
    <w:rsid w:val="00187CAF"/>
    <w:rsid w:val="00187CFD"/>
    <w:rsid w:val="001902AF"/>
    <w:rsid w:val="001903AC"/>
    <w:rsid w:val="001905DA"/>
    <w:rsid w:val="00190813"/>
    <w:rsid w:val="001911A2"/>
    <w:rsid w:val="001913E9"/>
    <w:rsid w:val="00191644"/>
    <w:rsid w:val="0019184A"/>
    <w:rsid w:val="001919A8"/>
    <w:rsid w:val="00191B95"/>
    <w:rsid w:val="00191EB1"/>
    <w:rsid w:val="00192317"/>
    <w:rsid w:val="00192AF6"/>
    <w:rsid w:val="00192CB6"/>
    <w:rsid w:val="00192CDF"/>
    <w:rsid w:val="001932D5"/>
    <w:rsid w:val="00193335"/>
    <w:rsid w:val="001947CE"/>
    <w:rsid w:val="00194F43"/>
    <w:rsid w:val="00195057"/>
    <w:rsid w:val="0019521A"/>
    <w:rsid w:val="00195DAE"/>
    <w:rsid w:val="00195ED0"/>
    <w:rsid w:val="00196285"/>
    <w:rsid w:val="001964A0"/>
    <w:rsid w:val="0019712E"/>
    <w:rsid w:val="00197232"/>
    <w:rsid w:val="00197467"/>
    <w:rsid w:val="001979FF"/>
    <w:rsid w:val="00197E6F"/>
    <w:rsid w:val="00197F0C"/>
    <w:rsid w:val="001A0197"/>
    <w:rsid w:val="001A0883"/>
    <w:rsid w:val="001A08E5"/>
    <w:rsid w:val="001A0B91"/>
    <w:rsid w:val="001A0E2B"/>
    <w:rsid w:val="001A0ED7"/>
    <w:rsid w:val="001A13DA"/>
    <w:rsid w:val="001A1516"/>
    <w:rsid w:val="001A1957"/>
    <w:rsid w:val="001A1E5A"/>
    <w:rsid w:val="001A1F71"/>
    <w:rsid w:val="001A2090"/>
    <w:rsid w:val="001A22CA"/>
    <w:rsid w:val="001A27D3"/>
    <w:rsid w:val="001A2BBE"/>
    <w:rsid w:val="001A2DE9"/>
    <w:rsid w:val="001A2ED0"/>
    <w:rsid w:val="001A2FCD"/>
    <w:rsid w:val="001A4D87"/>
    <w:rsid w:val="001A5241"/>
    <w:rsid w:val="001A5321"/>
    <w:rsid w:val="001A5378"/>
    <w:rsid w:val="001A54F6"/>
    <w:rsid w:val="001A5656"/>
    <w:rsid w:val="001A57E2"/>
    <w:rsid w:val="001A58AC"/>
    <w:rsid w:val="001A5CEA"/>
    <w:rsid w:val="001A5DA2"/>
    <w:rsid w:val="001A6125"/>
    <w:rsid w:val="001A629A"/>
    <w:rsid w:val="001A6983"/>
    <w:rsid w:val="001A6F73"/>
    <w:rsid w:val="001A7042"/>
    <w:rsid w:val="001A7128"/>
    <w:rsid w:val="001A7943"/>
    <w:rsid w:val="001A7AC0"/>
    <w:rsid w:val="001A7BF7"/>
    <w:rsid w:val="001A7DE7"/>
    <w:rsid w:val="001B09F9"/>
    <w:rsid w:val="001B13B5"/>
    <w:rsid w:val="001B14CD"/>
    <w:rsid w:val="001B1CF4"/>
    <w:rsid w:val="001B1CFB"/>
    <w:rsid w:val="001B2315"/>
    <w:rsid w:val="001B259A"/>
    <w:rsid w:val="001B2748"/>
    <w:rsid w:val="001B29E4"/>
    <w:rsid w:val="001B2E30"/>
    <w:rsid w:val="001B2F28"/>
    <w:rsid w:val="001B346C"/>
    <w:rsid w:val="001B3530"/>
    <w:rsid w:val="001B3A55"/>
    <w:rsid w:val="001B3EEB"/>
    <w:rsid w:val="001B3F01"/>
    <w:rsid w:val="001B4344"/>
    <w:rsid w:val="001B43C3"/>
    <w:rsid w:val="001B47EE"/>
    <w:rsid w:val="001B4AA2"/>
    <w:rsid w:val="001B4AC6"/>
    <w:rsid w:val="001B4E19"/>
    <w:rsid w:val="001B5A3C"/>
    <w:rsid w:val="001B5DF4"/>
    <w:rsid w:val="001B5F3E"/>
    <w:rsid w:val="001B5FC7"/>
    <w:rsid w:val="001B62EB"/>
    <w:rsid w:val="001B64EE"/>
    <w:rsid w:val="001B668E"/>
    <w:rsid w:val="001B6870"/>
    <w:rsid w:val="001B6A49"/>
    <w:rsid w:val="001B6C82"/>
    <w:rsid w:val="001B6D7E"/>
    <w:rsid w:val="001B6E28"/>
    <w:rsid w:val="001B7043"/>
    <w:rsid w:val="001B70F5"/>
    <w:rsid w:val="001B72CE"/>
    <w:rsid w:val="001B7627"/>
    <w:rsid w:val="001B7BB3"/>
    <w:rsid w:val="001B7BEC"/>
    <w:rsid w:val="001C00BB"/>
    <w:rsid w:val="001C00F2"/>
    <w:rsid w:val="001C059D"/>
    <w:rsid w:val="001C05B1"/>
    <w:rsid w:val="001C072B"/>
    <w:rsid w:val="001C0A0C"/>
    <w:rsid w:val="001C11F0"/>
    <w:rsid w:val="001C1C97"/>
    <w:rsid w:val="001C25DF"/>
    <w:rsid w:val="001C2AF2"/>
    <w:rsid w:val="001C2C40"/>
    <w:rsid w:val="001C2C76"/>
    <w:rsid w:val="001C2D9A"/>
    <w:rsid w:val="001C394E"/>
    <w:rsid w:val="001C39C0"/>
    <w:rsid w:val="001C3E26"/>
    <w:rsid w:val="001C41BC"/>
    <w:rsid w:val="001C4475"/>
    <w:rsid w:val="001C451A"/>
    <w:rsid w:val="001C4B81"/>
    <w:rsid w:val="001C4C38"/>
    <w:rsid w:val="001C535F"/>
    <w:rsid w:val="001C551F"/>
    <w:rsid w:val="001C56BD"/>
    <w:rsid w:val="001C5C3F"/>
    <w:rsid w:val="001C6063"/>
    <w:rsid w:val="001C60DF"/>
    <w:rsid w:val="001C6405"/>
    <w:rsid w:val="001C69B5"/>
    <w:rsid w:val="001C6AEB"/>
    <w:rsid w:val="001C7058"/>
    <w:rsid w:val="001C72D8"/>
    <w:rsid w:val="001C78F5"/>
    <w:rsid w:val="001C7DAE"/>
    <w:rsid w:val="001D01C2"/>
    <w:rsid w:val="001D0447"/>
    <w:rsid w:val="001D06BE"/>
    <w:rsid w:val="001D0700"/>
    <w:rsid w:val="001D0CAB"/>
    <w:rsid w:val="001D0E43"/>
    <w:rsid w:val="001D0E8B"/>
    <w:rsid w:val="001D1287"/>
    <w:rsid w:val="001D1347"/>
    <w:rsid w:val="001D171D"/>
    <w:rsid w:val="001D173E"/>
    <w:rsid w:val="001D1989"/>
    <w:rsid w:val="001D19F3"/>
    <w:rsid w:val="001D1C50"/>
    <w:rsid w:val="001D2997"/>
    <w:rsid w:val="001D2A74"/>
    <w:rsid w:val="001D2A7D"/>
    <w:rsid w:val="001D2E3B"/>
    <w:rsid w:val="001D32BD"/>
    <w:rsid w:val="001D35D8"/>
    <w:rsid w:val="001D3FC0"/>
    <w:rsid w:val="001D40CD"/>
    <w:rsid w:val="001D4196"/>
    <w:rsid w:val="001D44D0"/>
    <w:rsid w:val="001D49F5"/>
    <w:rsid w:val="001D4A10"/>
    <w:rsid w:val="001D5162"/>
    <w:rsid w:val="001D5352"/>
    <w:rsid w:val="001D5526"/>
    <w:rsid w:val="001D5C15"/>
    <w:rsid w:val="001D5D51"/>
    <w:rsid w:val="001D6547"/>
    <w:rsid w:val="001D6B2C"/>
    <w:rsid w:val="001D7087"/>
    <w:rsid w:val="001D71CA"/>
    <w:rsid w:val="001D73EC"/>
    <w:rsid w:val="001D76FA"/>
    <w:rsid w:val="001D7701"/>
    <w:rsid w:val="001D7C23"/>
    <w:rsid w:val="001E0633"/>
    <w:rsid w:val="001E0876"/>
    <w:rsid w:val="001E0909"/>
    <w:rsid w:val="001E0D88"/>
    <w:rsid w:val="001E13F2"/>
    <w:rsid w:val="001E1753"/>
    <w:rsid w:val="001E1961"/>
    <w:rsid w:val="001E1A46"/>
    <w:rsid w:val="001E1A7A"/>
    <w:rsid w:val="001E1C4D"/>
    <w:rsid w:val="001E20ED"/>
    <w:rsid w:val="001E2604"/>
    <w:rsid w:val="001E2E10"/>
    <w:rsid w:val="001E2EDE"/>
    <w:rsid w:val="001E3405"/>
    <w:rsid w:val="001E3542"/>
    <w:rsid w:val="001E3782"/>
    <w:rsid w:val="001E3D09"/>
    <w:rsid w:val="001E3E0F"/>
    <w:rsid w:val="001E41D4"/>
    <w:rsid w:val="001E450A"/>
    <w:rsid w:val="001E4930"/>
    <w:rsid w:val="001E4C0A"/>
    <w:rsid w:val="001E4DA3"/>
    <w:rsid w:val="001E4F5F"/>
    <w:rsid w:val="001E51FF"/>
    <w:rsid w:val="001E57C1"/>
    <w:rsid w:val="001E5D1A"/>
    <w:rsid w:val="001E5E41"/>
    <w:rsid w:val="001E60EF"/>
    <w:rsid w:val="001E6367"/>
    <w:rsid w:val="001E6416"/>
    <w:rsid w:val="001E6CF4"/>
    <w:rsid w:val="001E710F"/>
    <w:rsid w:val="001E724D"/>
    <w:rsid w:val="001E743A"/>
    <w:rsid w:val="001E74B8"/>
    <w:rsid w:val="001E74C9"/>
    <w:rsid w:val="001F05F7"/>
    <w:rsid w:val="001F0687"/>
    <w:rsid w:val="001F078E"/>
    <w:rsid w:val="001F09A7"/>
    <w:rsid w:val="001F1091"/>
    <w:rsid w:val="001F124D"/>
    <w:rsid w:val="001F1C75"/>
    <w:rsid w:val="001F1FA6"/>
    <w:rsid w:val="001F2FB3"/>
    <w:rsid w:val="001F3435"/>
    <w:rsid w:val="001F3528"/>
    <w:rsid w:val="001F3993"/>
    <w:rsid w:val="001F39C8"/>
    <w:rsid w:val="001F3A69"/>
    <w:rsid w:val="001F3CC1"/>
    <w:rsid w:val="001F41C0"/>
    <w:rsid w:val="001F44BB"/>
    <w:rsid w:val="001F47A9"/>
    <w:rsid w:val="001F4E59"/>
    <w:rsid w:val="001F5514"/>
    <w:rsid w:val="001F57F6"/>
    <w:rsid w:val="001F5BDC"/>
    <w:rsid w:val="001F5C13"/>
    <w:rsid w:val="001F60A0"/>
    <w:rsid w:val="001F6274"/>
    <w:rsid w:val="001F63FE"/>
    <w:rsid w:val="001F6427"/>
    <w:rsid w:val="001F648E"/>
    <w:rsid w:val="001F685D"/>
    <w:rsid w:val="001F6AE7"/>
    <w:rsid w:val="001F6E51"/>
    <w:rsid w:val="001F7619"/>
    <w:rsid w:val="001F7628"/>
    <w:rsid w:val="001F768F"/>
    <w:rsid w:val="001F76E3"/>
    <w:rsid w:val="001F798C"/>
    <w:rsid w:val="001F7A18"/>
    <w:rsid w:val="001F7B02"/>
    <w:rsid w:val="001F7B25"/>
    <w:rsid w:val="0020022B"/>
    <w:rsid w:val="00200487"/>
    <w:rsid w:val="00200566"/>
    <w:rsid w:val="002008AB"/>
    <w:rsid w:val="00200CDD"/>
    <w:rsid w:val="00200E9A"/>
    <w:rsid w:val="00201758"/>
    <w:rsid w:val="00202092"/>
    <w:rsid w:val="002023E4"/>
    <w:rsid w:val="00202934"/>
    <w:rsid w:val="002029D1"/>
    <w:rsid w:val="00202A62"/>
    <w:rsid w:val="00202C66"/>
    <w:rsid w:val="00202CEE"/>
    <w:rsid w:val="00202EE3"/>
    <w:rsid w:val="002030BA"/>
    <w:rsid w:val="00203429"/>
    <w:rsid w:val="00203770"/>
    <w:rsid w:val="00203833"/>
    <w:rsid w:val="00203FE9"/>
    <w:rsid w:val="0020429A"/>
    <w:rsid w:val="0020443D"/>
    <w:rsid w:val="002046BB"/>
    <w:rsid w:val="0020479E"/>
    <w:rsid w:val="00204946"/>
    <w:rsid w:val="00205060"/>
    <w:rsid w:val="00205348"/>
    <w:rsid w:val="002054A6"/>
    <w:rsid w:val="0020619D"/>
    <w:rsid w:val="00206543"/>
    <w:rsid w:val="002065A4"/>
    <w:rsid w:val="002068CB"/>
    <w:rsid w:val="00206BC9"/>
    <w:rsid w:val="00206F04"/>
    <w:rsid w:val="00207012"/>
    <w:rsid w:val="00207329"/>
    <w:rsid w:val="00207A55"/>
    <w:rsid w:val="00207D08"/>
    <w:rsid w:val="00210866"/>
    <w:rsid w:val="002108FC"/>
    <w:rsid w:val="002110BE"/>
    <w:rsid w:val="0021128F"/>
    <w:rsid w:val="00211A1D"/>
    <w:rsid w:val="00211F79"/>
    <w:rsid w:val="0021225E"/>
    <w:rsid w:val="00212443"/>
    <w:rsid w:val="00212625"/>
    <w:rsid w:val="00212D4E"/>
    <w:rsid w:val="00212F6C"/>
    <w:rsid w:val="00212FA9"/>
    <w:rsid w:val="0021303D"/>
    <w:rsid w:val="002139A1"/>
    <w:rsid w:val="00213BA3"/>
    <w:rsid w:val="00214566"/>
    <w:rsid w:val="00214635"/>
    <w:rsid w:val="00215297"/>
    <w:rsid w:val="002153F5"/>
    <w:rsid w:val="00215637"/>
    <w:rsid w:val="00215C88"/>
    <w:rsid w:val="002163EE"/>
    <w:rsid w:val="00216832"/>
    <w:rsid w:val="00216C4C"/>
    <w:rsid w:val="00217327"/>
    <w:rsid w:val="0021733F"/>
    <w:rsid w:val="00217CFA"/>
    <w:rsid w:val="00217EFA"/>
    <w:rsid w:val="00220622"/>
    <w:rsid w:val="00220778"/>
    <w:rsid w:val="0022082C"/>
    <w:rsid w:val="00220AAB"/>
    <w:rsid w:val="00220F34"/>
    <w:rsid w:val="00220F82"/>
    <w:rsid w:val="002217B3"/>
    <w:rsid w:val="00221A4A"/>
    <w:rsid w:val="002221EE"/>
    <w:rsid w:val="002226B2"/>
    <w:rsid w:val="00222A4C"/>
    <w:rsid w:val="00222AE3"/>
    <w:rsid w:val="00222BB4"/>
    <w:rsid w:val="00222FF0"/>
    <w:rsid w:val="00223341"/>
    <w:rsid w:val="00223464"/>
    <w:rsid w:val="002238CC"/>
    <w:rsid w:val="00223C59"/>
    <w:rsid w:val="00223D5B"/>
    <w:rsid w:val="00224103"/>
    <w:rsid w:val="00224582"/>
    <w:rsid w:val="0022458C"/>
    <w:rsid w:val="00224C8D"/>
    <w:rsid w:val="00224D4B"/>
    <w:rsid w:val="00224F89"/>
    <w:rsid w:val="00225202"/>
    <w:rsid w:val="00225564"/>
    <w:rsid w:val="002259BC"/>
    <w:rsid w:val="00225A9E"/>
    <w:rsid w:val="00225BF2"/>
    <w:rsid w:val="002265A9"/>
    <w:rsid w:val="0022676D"/>
    <w:rsid w:val="002267E9"/>
    <w:rsid w:val="002269DA"/>
    <w:rsid w:val="00226B23"/>
    <w:rsid w:val="00226DC0"/>
    <w:rsid w:val="00227179"/>
    <w:rsid w:val="002279DD"/>
    <w:rsid w:val="00227A19"/>
    <w:rsid w:val="00227A9B"/>
    <w:rsid w:val="00227FED"/>
    <w:rsid w:val="002308D4"/>
    <w:rsid w:val="00230F61"/>
    <w:rsid w:val="002311FC"/>
    <w:rsid w:val="002313C5"/>
    <w:rsid w:val="00231549"/>
    <w:rsid w:val="00231912"/>
    <w:rsid w:val="00231A39"/>
    <w:rsid w:val="00231D1D"/>
    <w:rsid w:val="00231D7C"/>
    <w:rsid w:val="00231E75"/>
    <w:rsid w:val="00231E9A"/>
    <w:rsid w:val="002323AE"/>
    <w:rsid w:val="002323CB"/>
    <w:rsid w:val="00232580"/>
    <w:rsid w:val="002328FC"/>
    <w:rsid w:val="002336D0"/>
    <w:rsid w:val="002339DA"/>
    <w:rsid w:val="00233EC0"/>
    <w:rsid w:val="002342CE"/>
    <w:rsid w:val="00234891"/>
    <w:rsid w:val="00234AB4"/>
    <w:rsid w:val="00234F5F"/>
    <w:rsid w:val="00235331"/>
    <w:rsid w:val="002353A0"/>
    <w:rsid w:val="002353E4"/>
    <w:rsid w:val="002355E2"/>
    <w:rsid w:val="00235765"/>
    <w:rsid w:val="00235793"/>
    <w:rsid w:val="002358C9"/>
    <w:rsid w:val="00235B7B"/>
    <w:rsid w:val="00235D18"/>
    <w:rsid w:val="00235F0F"/>
    <w:rsid w:val="0023612F"/>
    <w:rsid w:val="00236836"/>
    <w:rsid w:val="002368D5"/>
    <w:rsid w:val="00236C4E"/>
    <w:rsid w:val="00237438"/>
    <w:rsid w:val="002378A6"/>
    <w:rsid w:val="00237E4A"/>
    <w:rsid w:val="00240328"/>
    <w:rsid w:val="0024045A"/>
    <w:rsid w:val="002408D0"/>
    <w:rsid w:val="002409BB"/>
    <w:rsid w:val="00240A5B"/>
    <w:rsid w:val="002413F6"/>
    <w:rsid w:val="00241728"/>
    <w:rsid w:val="002419B3"/>
    <w:rsid w:val="0024242E"/>
    <w:rsid w:val="002425D6"/>
    <w:rsid w:val="00243969"/>
    <w:rsid w:val="00243DC1"/>
    <w:rsid w:val="002441B1"/>
    <w:rsid w:val="0024428A"/>
    <w:rsid w:val="002445C5"/>
    <w:rsid w:val="0024495A"/>
    <w:rsid w:val="00244A75"/>
    <w:rsid w:val="00245024"/>
    <w:rsid w:val="00245036"/>
    <w:rsid w:val="002451DB"/>
    <w:rsid w:val="00245413"/>
    <w:rsid w:val="00245C6F"/>
    <w:rsid w:val="00245F93"/>
    <w:rsid w:val="00246D8E"/>
    <w:rsid w:val="00247541"/>
    <w:rsid w:val="0024757B"/>
    <w:rsid w:val="0024790F"/>
    <w:rsid w:val="00250566"/>
    <w:rsid w:val="00250569"/>
    <w:rsid w:val="002507F9"/>
    <w:rsid w:val="00250808"/>
    <w:rsid w:val="00250A77"/>
    <w:rsid w:val="00250AEF"/>
    <w:rsid w:val="0025145D"/>
    <w:rsid w:val="00251764"/>
    <w:rsid w:val="00251D6C"/>
    <w:rsid w:val="002523E7"/>
    <w:rsid w:val="002527AC"/>
    <w:rsid w:val="00252C9A"/>
    <w:rsid w:val="00252EF5"/>
    <w:rsid w:val="002530B0"/>
    <w:rsid w:val="002532DF"/>
    <w:rsid w:val="00253592"/>
    <w:rsid w:val="00253B19"/>
    <w:rsid w:val="00253B90"/>
    <w:rsid w:val="00253C88"/>
    <w:rsid w:val="00253E64"/>
    <w:rsid w:val="002548E0"/>
    <w:rsid w:val="00254CD1"/>
    <w:rsid w:val="00254F7C"/>
    <w:rsid w:val="00254FE0"/>
    <w:rsid w:val="002550C8"/>
    <w:rsid w:val="002553E0"/>
    <w:rsid w:val="002556E9"/>
    <w:rsid w:val="00255B17"/>
    <w:rsid w:val="00256705"/>
    <w:rsid w:val="0025672F"/>
    <w:rsid w:val="0025721F"/>
    <w:rsid w:val="002577AD"/>
    <w:rsid w:val="002577CB"/>
    <w:rsid w:val="00257948"/>
    <w:rsid w:val="0025798D"/>
    <w:rsid w:val="00257C2B"/>
    <w:rsid w:val="00257D41"/>
    <w:rsid w:val="00257DA1"/>
    <w:rsid w:val="002601BA"/>
    <w:rsid w:val="00260331"/>
    <w:rsid w:val="002607F2"/>
    <w:rsid w:val="00260884"/>
    <w:rsid w:val="00260B68"/>
    <w:rsid w:val="00260C05"/>
    <w:rsid w:val="00261096"/>
    <w:rsid w:val="002611BA"/>
    <w:rsid w:val="002616B9"/>
    <w:rsid w:val="00261C92"/>
    <w:rsid w:val="00261D33"/>
    <w:rsid w:val="00261DEF"/>
    <w:rsid w:val="00262453"/>
    <w:rsid w:val="00262459"/>
    <w:rsid w:val="00262778"/>
    <w:rsid w:val="00262BDA"/>
    <w:rsid w:val="00263065"/>
    <w:rsid w:val="002631A2"/>
    <w:rsid w:val="002636BB"/>
    <w:rsid w:val="0026383C"/>
    <w:rsid w:val="00263994"/>
    <w:rsid w:val="00264099"/>
    <w:rsid w:val="002640DF"/>
    <w:rsid w:val="00264298"/>
    <w:rsid w:val="00264553"/>
    <w:rsid w:val="00264D0A"/>
    <w:rsid w:val="00264FAB"/>
    <w:rsid w:val="0026578D"/>
    <w:rsid w:val="00265996"/>
    <w:rsid w:val="00265DEC"/>
    <w:rsid w:val="002660B2"/>
    <w:rsid w:val="002662D7"/>
    <w:rsid w:val="002662EE"/>
    <w:rsid w:val="00266A04"/>
    <w:rsid w:val="00266A32"/>
    <w:rsid w:val="00266F34"/>
    <w:rsid w:val="002670DC"/>
    <w:rsid w:val="0026755B"/>
    <w:rsid w:val="00267770"/>
    <w:rsid w:val="00267933"/>
    <w:rsid w:val="00267B78"/>
    <w:rsid w:val="00270152"/>
    <w:rsid w:val="0027078D"/>
    <w:rsid w:val="00270851"/>
    <w:rsid w:val="00270853"/>
    <w:rsid w:val="0027085E"/>
    <w:rsid w:val="00270ABD"/>
    <w:rsid w:val="00271397"/>
    <w:rsid w:val="00271532"/>
    <w:rsid w:val="002715FC"/>
    <w:rsid w:val="00271A7B"/>
    <w:rsid w:val="00271AB0"/>
    <w:rsid w:val="00271BCC"/>
    <w:rsid w:val="002720CE"/>
    <w:rsid w:val="00272348"/>
    <w:rsid w:val="00272B6C"/>
    <w:rsid w:val="00272E71"/>
    <w:rsid w:val="0027302F"/>
    <w:rsid w:val="00273AFA"/>
    <w:rsid w:val="00273DFA"/>
    <w:rsid w:val="00273E7E"/>
    <w:rsid w:val="00274041"/>
    <w:rsid w:val="00274C3D"/>
    <w:rsid w:val="00274F85"/>
    <w:rsid w:val="0027516C"/>
    <w:rsid w:val="002755AF"/>
    <w:rsid w:val="00275747"/>
    <w:rsid w:val="00275759"/>
    <w:rsid w:val="00275826"/>
    <w:rsid w:val="00275B4B"/>
    <w:rsid w:val="00276060"/>
    <w:rsid w:val="002761F6"/>
    <w:rsid w:val="00276C86"/>
    <w:rsid w:val="00276D6E"/>
    <w:rsid w:val="00276DFC"/>
    <w:rsid w:val="0027727B"/>
    <w:rsid w:val="002778DA"/>
    <w:rsid w:val="00277A3F"/>
    <w:rsid w:val="00277B0A"/>
    <w:rsid w:val="00277BE3"/>
    <w:rsid w:val="00277E0E"/>
    <w:rsid w:val="00277E24"/>
    <w:rsid w:val="00277F28"/>
    <w:rsid w:val="002801CE"/>
    <w:rsid w:val="0028048A"/>
    <w:rsid w:val="002806DB"/>
    <w:rsid w:val="00280831"/>
    <w:rsid w:val="0028095A"/>
    <w:rsid w:val="00280A96"/>
    <w:rsid w:val="00280B31"/>
    <w:rsid w:val="00280E1C"/>
    <w:rsid w:val="00281132"/>
    <w:rsid w:val="0028125D"/>
    <w:rsid w:val="00281427"/>
    <w:rsid w:val="002817CB"/>
    <w:rsid w:val="00281E79"/>
    <w:rsid w:val="0028232F"/>
    <w:rsid w:val="00282381"/>
    <w:rsid w:val="002827D2"/>
    <w:rsid w:val="00282806"/>
    <w:rsid w:val="0028327E"/>
    <w:rsid w:val="00283410"/>
    <w:rsid w:val="00283739"/>
    <w:rsid w:val="002839C4"/>
    <w:rsid w:val="00283E85"/>
    <w:rsid w:val="0028461A"/>
    <w:rsid w:val="002847C8"/>
    <w:rsid w:val="0028491E"/>
    <w:rsid w:val="00284A76"/>
    <w:rsid w:val="00284B7E"/>
    <w:rsid w:val="00285054"/>
    <w:rsid w:val="002851AF"/>
    <w:rsid w:val="00285327"/>
    <w:rsid w:val="0028534F"/>
    <w:rsid w:val="002859FE"/>
    <w:rsid w:val="002866EC"/>
    <w:rsid w:val="00286B5E"/>
    <w:rsid w:val="00286EFF"/>
    <w:rsid w:val="00287511"/>
    <w:rsid w:val="00287F3D"/>
    <w:rsid w:val="00290448"/>
    <w:rsid w:val="002904B0"/>
    <w:rsid w:val="002907DE"/>
    <w:rsid w:val="00290D17"/>
    <w:rsid w:val="002911F4"/>
    <w:rsid w:val="002919A4"/>
    <w:rsid w:val="0029210A"/>
    <w:rsid w:val="00292270"/>
    <w:rsid w:val="00292303"/>
    <w:rsid w:val="00292D74"/>
    <w:rsid w:val="00292D7F"/>
    <w:rsid w:val="00293D2F"/>
    <w:rsid w:val="00293E23"/>
    <w:rsid w:val="002943A9"/>
    <w:rsid w:val="00294982"/>
    <w:rsid w:val="002949E9"/>
    <w:rsid w:val="00294AD4"/>
    <w:rsid w:val="00294BC6"/>
    <w:rsid w:val="00294BFE"/>
    <w:rsid w:val="00295149"/>
    <w:rsid w:val="0029596F"/>
    <w:rsid w:val="002959A2"/>
    <w:rsid w:val="00295EB0"/>
    <w:rsid w:val="002966D2"/>
    <w:rsid w:val="00296846"/>
    <w:rsid w:val="00296B5B"/>
    <w:rsid w:val="00296E21"/>
    <w:rsid w:val="00297769"/>
    <w:rsid w:val="0029785A"/>
    <w:rsid w:val="0029787D"/>
    <w:rsid w:val="00297AD9"/>
    <w:rsid w:val="00297FFA"/>
    <w:rsid w:val="002A0849"/>
    <w:rsid w:val="002A0857"/>
    <w:rsid w:val="002A0878"/>
    <w:rsid w:val="002A0977"/>
    <w:rsid w:val="002A0C23"/>
    <w:rsid w:val="002A0FBE"/>
    <w:rsid w:val="002A1CA0"/>
    <w:rsid w:val="002A1F96"/>
    <w:rsid w:val="002A20DE"/>
    <w:rsid w:val="002A269B"/>
    <w:rsid w:val="002A2D62"/>
    <w:rsid w:val="002A321B"/>
    <w:rsid w:val="002A3893"/>
    <w:rsid w:val="002A38BF"/>
    <w:rsid w:val="002A3B65"/>
    <w:rsid w:val="002A3BFA"/>
    <w:rsid w:val="002A3D34"/>
    <w:rsid w:val="002A40A7"/>
    <w:rsid w:val="002A4657"/>
    <w:rsid w:val="002A4E50"/>
    <w:rsid w:val="002A501B"/>
    <w:rsid w:val="002A52A3"/>
    <w:rsid w:val="002A5916"/>
    <w:rsid w:val="002A5B48"/>
    <w:rsid w:val="002A5CF7"/>
    <w:rsid w:val="002A5E8D"/>
    <w:rsid w:val="002A5EBD"/>
    <w:rsid w:val="002A636A"/>
    <w:rsid w:val="002A639D"/>
    <w:rsid w:val="002A7A57"/>
    <w:rsid w:val="002A7A7E"/>
    <w:rsid w:val="002A7C91"/>
    <w:rsid w:val="002B0542"/>
    <w:rsid w:val="002B0764"/>
    <w:rsid w:val="002B0C21"/>
    <w:rsid w:val="002B0E0D"/>
    <w:rsid w:val="002B116D"/>
    <w:rsid w:val="002B1298"/>
    <w:rsid w:val="002B176F"/>
    <w:rsid w:val="002B1775"/>
    <w:rsid w:val="002B1A5B"/>
    <w:rsid w:val="002B1BD2"/>
    <w:rsid w:val="002B20F4"/>
    <w:rsid w:val="002B2215"/>
    <w:rsid w:val="002B22F4"/>
    <w:rsid w:val="002B24C0"/>
    <w:rsid w:val="002B2B78"/>
    <w:rsid w:val="002B2D25"/>
    <w:rsid w:val="002B3259"/>
    <w:rsid w:val="002B330D"/>
    <w:rsid w:val="002B353D"/>
    <w:rsid w:val="002B3C67"/>
    <w:rsid w:val="002B3FE2"/>
    <w:rsid w:val="002B4435"/>
    <w:rsid w:val="002B4A13"/>
    <w:rsid w:val="002B5283"/>
    <w:rsid w:val="002B5B22"/>
    <w:rsid w:val="002B5F3F"/>
    <w:rsid w:val="002B63F8"/>
    <w:rsid w:val="002B6579"/>
    <w:rsid w:val="002B6A6C"/>
    <w:rsid w:val="002B6DB6"/>
    <w:rsid w:val="002B70E2"/>
    <w:rsid w:val="002B783F"/>
    <w:rsid w:val="002B7BC5"/>
    <w:rsid w:val="002B7DB6"/>
    <w:rsid w:val="002C037D"/>
    <w:rsid w:val="002C04B0"/>
    <w:rsid w:val="002C06B6"/>
    <w:rsid w:val="002C0A58"/>
    <w:rsid w:val="002C0C52"/>
    <w:rsid w:val="002C1175"/>
    <w:rsid w:val="002C1C82"/>
    <w:rsid w:val="002C1D88"/>
    <w:rsid w:val="002C1F61"/>
    <w:rsid w:val="002C2288"/>
    <w:rsid w:val="002C24CA"/>
    <w:rsid w:val="002C2684"/>
    <w:rsid w:val="002C2BF7"/>
    <w:rsid w:val="002C2FF3"/>
    <w:rsid w:val="002C3AEB"/>
    <w:rsid w:val="002C3B91"/>
    <w:rsid w:val="002C3BEA"/>
    <w:rsid w:val="002C3C35"/>
    <w:rsid w:val="002C3E92"/>
    <w:rsid w:val="002C4154"/>
    <w:rsid w:val="002C4288"/>
    <w:rsid w:val="002C4289"/>
    <w:rsid w:val="002C4A36"/>
    <w:rsid w:val="002C5308"/>
    <w:rsid w:val="002C5412"/>
    <w:rsid w:val="002C552C"/>
    <w:rsid w:val="002C567D"/>
    <w:rsid w:val="002C59DD"/>
    <w:rsid w:val="002C6A2E"/>
    <w:rsid w:val="002C6D20"/>
    <w:rsid w:val="002C7976"/>
    <w:rsid w:val="002C7BE6"/>
    <w:rsid w:val="002C7DDC"/>
    <w:rsid w:val="002D02BA"/>
    <w:rsid w:val="002D08C1"/>
    <w:rsid w:val="002D095B"/>
    <w:rsid w:val="002D0E70"/>
    <w:rsid w:val="002D0F23"/>
    <w:rsid w:val="002D107A"/>
    <w:rsid w:val="002D12C1"/>
    <w:rsid w:val="002D1915"/>
    <w:rsid w:val="002D1F21"/>
    <w:rsid w:val="002D1F31"/>
    <w:rsid w:val="002D27BB"/>
    <w:rsid w:val="002D2B71"/>
    <w:rsid w:val="002D35C0"/>
    <w:rsid w:val="002D35E2"/>
    <w:rsid w:val="002D3781"/>
    <w:rsid w:val="002D38FD"/>
    <w:rsid w:val="002D3F75"/>
    <w:rsid w:val="002D43ED"/>
    <w:rsid w:val="002D48B5"/>
    <w:rsid w:val="002D4CEA"/>
    <w:rsid w:val="002D4D9A"/>
    <w:rsid w:val="002D506C"/>
    <w:rsid w:val="002D52D2"/>
    <w:rsid w:val="002D53AB"/>
    <w:rsid w:val="002D5422"/>
    <w:rsid w:val="002D5958"/>
    <w:rsid w:val="002D5BA5"/>
    <w:rsid w:val="002D5D3C"/>
    <w:rsid w:val="002D6389"/>
    <w:rsid w:val="002D6524"/>
    <w:rsid w:val="002D65CE"/>
    <w:rsid w:val="002D6C3B"/>
    <w:rsid w:val="002D6CFD"/>
    <w:rsid w:val="002D7059"/>
    <w:rsid w:val="002D72AF"/>
    <w:rsid w:val="002D7606"/>
    <w:rsid w:val="002D787C"/>
    <w:rsid w:val="002D793B"/>
    <w:rsid w:val="002D7DF6"/>
    <w:rsid w:val="002D7E3E"/>
    <w:rsid w:val="002E0064"/>
    <w:rsid w:val="002E00B3"/>
    <w:rsid w:val="002E02A0"/>
    <w:rsid w:val="002E0557"/>
    <w:rsid w:val="002E0DB0"/>
    <w:rsid w:val="002E0F3D"/>
    <w:rsid w:val="002E148E"/>
    <w:rsid w:val="002E16CF"/>
    <w:rsid w:val="002E2387"/>
    <w:rsid w:val="002E2427"/>
    <w:rsid w:val="002E248F"/>
    <w:rsid w:val="002E2A7B"/>
    <w:rsid w:val="002E2A8C"/>
    <w:rsid w:val="002E2A9A"/>
    <w:rsid w:val="002E2C9B"/>
    <w:rsid w:val="002E3137"/>
    <w:rsid w:val="002E3457"/>
    <w:rsid w:val="002E36FA"/>
    <w:rsid w:val="002E3995"/>
    <w:rsid w:val="002E3A30"/>
    <w:rsid w:val="002E3AC2"/>
    <w:rsid w:val="002E3C75"/>
    <w:rsid w:val="002E42F5"/>
    <w:rsid w:val="002E488C"/>
    <w:rsid w:val="002E4A2F"/>
    <w:rsid w:val="002E51BE"/>
    <w:rsid w:val="002E5B15"/>
    <w:rsid w:val="002E5BFB"/>
    <w:rsid w:val="002E62FE"/>
    <w:rsid w:val="002E64FC"/>
    <w:rsid w:val="002E6730"/>
    <w:rsid w:val="002E67C2"/>
    <w:rsid w:val="002E6CCA"/>
    <w:rsid w:val="002E7027"/>
    <w:rsid w:val="002E7461"/>
    <w:rsid w:val="002E764A"/>
    <w:rsid w:val="002E796B"/>
    <w:rsid w:val="002E7A81"/>
    <w:rsid w:val="002E7B6C"/>
    <w:rsid w:val="002E7B8C"/>
    <w:rsid w:val="002F025F"/>
    <w:rsid w:val="002F0472"/>
    <w:rsid w:val="002F12E4"/>
    <w:rsid w:val="002F1411"/>
    <w:rsid w:val="002F152A"/>
    <w:rsid w:val="002F175C"/>
    <w:rsid w:val="002F2585"/>
    <w:rsid w:val="002F26D1"/>
    <w:rsid w:val="002F2881"/>
    <w:rsid w:val="002F2ACC"/>
    <w:rsid w:val="002F2BF1"/>
    <w:rsid w:val="002F3300"/>
    <w:rsid w:val="002F3695"/>
    <w:rsid w:val="002F3939"/>
    <w:rsid w:val="002F39FE"/>
    <w:rsid w:val="002F43D7"/>
    <w:rsid w:val="002F4467"/>
    <w:rsid w:val="002F4BEE"/>
    <w:rsid w:val="002F52CB"/>
    <w:rsid w:val="002F53A8"/>
    <w:rsid w:val="002F5702"/>
    <w:rsid w:val="002F5ABD"/>
    <w:rsid w:val="002F5F58"/>
    <w:rsid w:val="002F626A"/>
    <w:rsid w:val="002F67FE"/>
    <w:rsid w:val="002F6A3C"/>
    <w:rsid w:val="002F6AD9"/>
    <w:rsid w:val="002F6FFC"/>
    <w:rsid w:val="002F704F"/>
    <w:rsid w:val="002F75B0"/>
    <w:rsid w:val="0030003F"/>
    <w:rsid w:val="003004B3"/>
    <w:rsid w:val="003004EE"/>
    <w:rsid w:val="00300BDF"/>
    <w:rsid w:val="00300ECF"/>
    <w:rsid w:val="00300FFF"/>
    <w:rsid w:val="00301004"/>
    <w:rsid w:val="003010BD"/>
    <w:rsid w:val="003019AC"/>
    <w:rsid w:val="00301C1D"/>
    <w:rsid w:val="00302087"/>
    <w:rsid w:val="003028F8"/>
    <w:rsid w:val="00302CD2"/>
    <w:rsid w:val="00302EF2"/>
    <w:rsid w:val="00303044"/>
    <w:rsid w:val="00303B9C"/>
    <w:rsid w:val="0030410D"/>
    <w:rsid w:val="00304168"/>
    <w:rsid w:val="003049A3"/>
    <w:rsid w:val="0030544D"/>
    <w:rsid w:val="0030579F"/>
    <w:rsid w:val="00305E0C"/>
    <w:rsid w:val="00305EE9"/>
    <w:rsid w:val="00306398"/>
    <w:rsid w:val="0030695C"/>
    <w:rsid w:val="00306BC4"/>
    <w:rsid w:val="00306CA4"/>
    <w:rsid w:val="00306E93"/>
    <w:rsid w:val="0030750F"/>
    <w:rsid w:val="003075BC"/>
    <w:rsid w:val="00307A75"/>
    <w:rsid w:val="0031006B"/>
    <w:rsid w:val="003100EA"/>
    <w:rsid w:val="003104E2"/>
    <w:rsid w:val="00310679"/>
    <w:rsid w:val="003106ED"/>
    <w:rsid w:val="0031083E"/>
    <w:rsid w:val="00310D68"/>
    <w:rsid w:val="00310ED9"/>
    <w:rsid w:val="003111D3"/>
    <w:rsid w:val="003113A0"/>
    <w:rsid w:val="00312715"/>
    <w:rsid w:val="00313052"/>
    <w:rsid w:val="00313245"/>
    <w:rsid w:val="00313289"/>
    <w:rsid w:val="00313702"/>
    <w:rsid w:val="0031374A"/>
    <w:rsid w:val="003139DF"/>
    <w:rsid w:val="00313E46"/>
    <w:rsid w:val="00314084"/>
    <w:rsid w:val="00314204"/>
    <w:rsid w:val="0031467B"/>
    <w:rsid w:val="00314A79"/>
    <w:rsid w:val="00314C27"/>
    <w:rsid w:val="00314F63"/>
    <w:rsid w:val="00315068"/>
    <w:rsid w:val="003157C9"/>
    <w:rsid w:val="00315954"/>
    <w:rsid w:val="00315D54"/>
    <w:rsid w:val="00315E34"/>
    <w:rsid w:val="00316035"/>
    <w:rsid w:val="0031621E"/>
    <w:rsid w:val="003162D3"/>
    <w:rsid w:val="003165B1"/>
    <w:rsid w:val="003166BC"/>
    <w:rsid w:val="00316756"/>
    <w:rsid w:val="003171E0"/>
    <w:rsid w:val="003174F4"/>
    <w:rsid w:val="00317634"/>
    <w:rsid w:val="0031773F"/>
    <w:rsid w:val="003178B3"/>
    <w:rsid w:val="00317F28"/>
    <w:rsid w:val="00317F6B"/>
    <w:rsid w:val="0032000F"/>
    <w:rsid w:val="00320110"/>
    <w:rsid w:val="00320499"/>
    <w:rsid w:val="00320B8F"/>
    <w:rsid w:val="00320C90"/>
    <w:rsid w:val="0032125F"/>
    <w:rsid w:val="003213D0"/>
    <w:rsid w:val="00321803"/>
    <w:rsid w:val="00321E1D"/>
    <w:rsid w:val="0032201F"/>
    <w:rsid w:val="00322183"/>
    <w:rsid w:val="00322355"/>
    <w:rsid w:val="00322D5B"/>
    <w:rsid w:val="00322FD4"/>
    <w:rsid w:val="0032308A"/>
    <w:rsid w:val="003235F4"/>
    <w:rsid w:val="00323993"/>
    <w:rsid w:val="00325117"/>
    <w:rsid w:val="00325663"/>
    <w:rsid w:val="00325813"/>
    <w:rsid w:val="00325EA8"/>
    <w:rsid w:val="0032625D"/>
    <w:rsid w:val="00326B7B"/>
    <w:rsid w:val="00326D8E"/>
    <w:rsid w:val="003270D4"/>
    <w:rsid w:val="003272E5"/>
    <w:rsid w:val="0032742C"/>
    <w:rsid w:val="0032763B"/>
    <w:rsid w:val="0032797B"/>
    <w:rsid w:val="0033044C"/>
    <w:rsid w:val="00330E5E"/>
    <w:rsid w:val="00331112"/>
    <w:rsid w:val="00331800"/>
    <w:rsid w:val="003324D8"/>
    <w:rsid w:val="00333052"/>
    <w:rsid w:val="003330FF"/>
    <w:rsid w:val="003337DA"/>
    <w:rsid w:val="00333E5B"/>
    <w:rsid w:val="00333EF4"/>
    <w:rsid w:val="00333F33"/>
    <w:rsid w:val="00334423"/>
    <w:rsid w:val="003344ED"/>
    <w:rsid w:val="00334C6A"/>
    <w:rsid w:val="00335AA5"/>
    <w:rsid w:val="00336060"/>
    <w:rsid w:val="003360AA"/>
    <w:rsid w:val="00336400"/>
    <w:rsid w:val="00336FFC"/>
    <w:rsid w:val="003375B9"/>
    <w:rsid w:val="00337D02"/>
    <w:rsid w:val="00337EE6"/>
    <w:rsid w:val="0034081C"/>
    <w:rsid w:val="00341092"/>
    <w:rsid w:val="003416B2"/>
    <w:rsid w:val="003418A9"/>
    <w:rsid w:val="00341973"/>
    <w:rsid w:val="00341AE9"/>
    <w:rsid w:val="00341EDD"/>
    <w:rsid w:val="003420A9"/>
    <w:rsid w:val="00342241"/>
    <w:rsid w:val="00342266"/>
    <w:rsid w:val="0034229B"/>
    <w:rsid w:val="003424B7"/>
    <w:rsid w:val="003426B2"/>
    <w:rsid w:val="003429F0"/>
    <w:rsid w:val="00342F64"/>
    <w:rsid w:val="0034367F"/>
    <w:rsid w:val="003439B3"/>
    <w:rsid w:val="003439E8"/>
    <w:rsid w:val="00343C3B"/>
    <w:rsid w:val="00343CDF"/>
    <w:rsid w:val="00343E76"/>
    <w:rsid w:val="003440DF"/>
    <w:rsid w:val="00344B14"/>
    <w:rsid w:val="00345108"/>
    <w:rsid w:val="003453D9"/>
    <w:rsid w:val="0034574E"/>
    <w:rsid w:val="0034582E"/>
    <w:rsid w:val="00345A1F"/>
    <w:rsid w:val="00345C0A"/>
    <w:rsid w:val="00345CC2"/>
    <w:rsid w:val="00346291"/>
    <w:rsid w:val="00346292"/>
    <w:rsid w:val="003464A1"/>
    <w:rsid w:val="00346E2C"/>
    <w:rsid w:val="003470F9"/>
    <w:rsid w:val="00347487"/>
    <w:rsid w:val="003475DB"/>
    <w:rsid w:val="003475F0"/>
    <w:rsid w:val="0034786A"/>
    <w:rsid w:val="003478E6"/>
    <w:rsid w:val="00347C08"/>
    <w:rsid w:val="00347EE5"/>
    <w:rsid w:val="00347FEF"/>
    <w:rsid w:val="00350184"/>
    <w:rsid w:val="00350275"/>
    <w:rsid w:val="0035041B"/>
    <w:rsid w:val="0035056D"/>
    <w:rsid w:val="00350B11"/>
    <w:rsid w:val="00350B6A"/>
    <w:rsid w:val="00350BAC"/>
    <w:rsid w:val="00350CC2"/>
    <w:rsid w:val="00350D11"/>
    <w:rsid w:val="003518AC"/>
    <w:rsid w:val="00351963"/>
    <w:rsid w:val="003519FD"/>
    <w:rsid w:val="00351A15"/>
    <w:rsid w:val="00351BA0"/>
    <w:rsid w:val="00351CD6"/>
    <w:rsid w:val="0035221B"/>
    <w:rsid w:val="0035283F"/>
    <w:rsid w:val="00352B95"/>
    <w:rsid w:val="00352C08"/>
    <w:rsid w:val="00352FD6"/>
    <w:rsid w:val="003534AB"/>
    <w:rsid w:val="00353BA4"/>
    <w:rsid w:val="00353C41"/>
    <w:rsid w:val="00353D09"/>
    <w:rsid w:val="003541FF"/>
    <w:rsid w:val="00354976"/>
    <w:rsid w:val="00354BE5"/>
    <w:rsid w:val="00354F39"/>
    <w:rsid w:val="003550F7"/>
    <w:rsid w:val="003551A2"/>
    <w:rsid w:val="00355B3A"/>
    <w:rsid w:val="00355C79"/>
    <w:rsid w:val="00355CBE"/>
    <w:rsid w:val="003565C3"/>
    <w:rsid w:val="003568E1"/>
    <w:rsid w:val="0035701C"/>
    <w:rsid w:val="00357338"/>
    <w:rsid w:val="00357441"/>
    <w:rsid w:val="00357762"/>
    <w:rsid w:val="00357A5E"/>
    <w:rsid w:val="0036051F"/>
    <w:rsid w:val="003609F7"/>
    <w:rsid w:val="00360AC5"/>
    <w:rsid w:val="00361010"/>
    <w:rsid w:val="003615D8"/>
    <w:rsid w:val="00361928"/>
    <w:rsid w:val="0036209D"/>
    <w:rsid w:val="003620CE"/>
    <w:rsid w:val="0036265F"/>
    <w:rsid w:val="00362CBD"/>
    <w:rsid w:val="00362E14"/>
    <w:rsid w:val="00362E8A"/>
    <w:rsid w:val="0036303C"/>
    <w:rsid w:val="0036308B"/>
    <w:rsid w:val="0036321F"/>
    <w:rsid w:val="003632DA"/>
    <w:rsid w:val="003633BE"/>
    <w:rsid w:val="00363548"/>
    <w:rsid w:val="00363833"/>
    <w:rsid w:val="003638A3"/>
    <w:rsid w:val="00363A1B"/>
    <w:rsid w:val="00363D9D"/>
    <w:rsid w:val="00363F21"/>
    <w:rsid w:val="003640D1"/>
    <w:rsid w:val="003640FB"/>
    <w:rsid w:val="003640FE"/>
    <w:rsid w:val="00364442"/>
    <w:rsid w:val="0036484B"/>
    <w:rsid w:val="00364928"/>
    <w:rsid w:val="00364AD9"/>
    <w:rsid w:val="00365730"/>
    <w:rsid w:val="00365783"/>
    <w:rsid w:val="003658E8"/>
    <w:rsid w:val="00365924"/>
    <w:rsid w:val="00365B53"/>
    <w:rsid w:val="00366786"/>
    <w:rsid w:val="00366887"/>
    <w:rsid w:val="00366924"/>
    <w:rsid w:val="00366E2D"/>
    <w:rsid w:val="00366F22"/>
    <w:rsid w:val="00367112"/>
    <w:rsid w:val="0036715C"/>
    <w:rsid w:val="00367547"/>
    <w:rsid w:val="0036762B"/>
    <w:rsid w:val="003677B0"/>
    <w:rsid w:val="00367B17"/>
    <w:rsid w:val="00367BFC"/>
    <w:rsid w:val="00367D59"/>
    <w:rsid w:val="0037034B"/>
    <w:rsid w:val="0037053F"/>
    <w:rsid w:val="003705AA"/>
    <w:rsid w:val="003708C6"/>
    <w:rsid w:val="00371093"/>
    <w:rsid w:val="0037109F"/>
    <w:rsid w:val="00371398"/>
    <w:rsid w:val="00371978"/>
    <w:rsid w:val="00371B2F"/>
    <w:rsid w:val="00371BF0"/>
    <w:rsid w:val="00371EE5"/>
    <w:rsid w:val="00372098"/>
    <w:rsid w:val="00372649"/>
    <w:rsid w:val="003727E6"/>
    <w:rsid w:val="00372929"/>
    <w:rsid w:val="00372CDD"/>
    <w:rsid w:val="003737D6"/>
    <w:rsid w:val="00373AA0"/>
    <w:rsid w:val="00373F0F"/>
    <w:rsid w:val="00374064"/>
    <w:rsid w:val="003744FD"/>
    <w:rsid w:val="00374B9F"/>
    <w:rsid w:val="00374CFC"/>
    <w:rsid w:val="00374D06"/>
    <w:rsid w:val="00375166"/>
    <w:rsid w:val="003753FF"/>
    <w:rsid w:val="0037546C"/>
    <w:rsid w:val="003755EB"/>
    <w:rsid w:val="00375945"/>
    <w:rsid w:val="00375A28"/>
    <w:rsid w:val="00375AF1"/>
    <w:rsid w:val="003768CF"/>
    <w:rsid w:val="003772C7"/>
    <w:rsid w:val="0037748F"/>
    <w:rsid w:val="00377492"/>
    <w:rsid w:val="003776B4"/>
    <w:rsid w:val="003778E0"/>
    <w:rsid w:val="00377BA7"/>
    <w:rsid w:val="00380A6C"/>
    <w:rsid w:val="00380B62"/>
    <w:rsid w:val="00380D22"/>
    <w:rsid w:val="003812F5"/>
    <w:rsid w:val="003813A2"/>
    <w:rsid w:val="003815EB"/>
    <w:rsid w:val="00381F89"/>
    <w:rsid w:val="003820A3"/>
    <w:rsid w:val="00382440"/>
    <w:rsid w:val="00382577"/>
    <w:rsid w:val="0038257D"/>
    <w:rsid w:val="003828E2"/>
    <w:rsid w:val="00382B76"/>
    <w:rsid w:val="00382B81"/>
    <w:rsid w:val="00382BA7"/>
    <w:rsid w:val="00382EA5"/>
    <w:rsid w:val="003834FF"/>
    <w:rsid w:val="00383930"/>
    <w:rsid w:val="00383C32"/>
    <w:rsid w:val="00383E66"/>
    <w:rsid w:val="00383FFF"/>
    <w:rsid w:val="00384470"/>
    <w:rsid w:val="00384636"/>
    <w:rsid w:val="0038492D"/>
    <w:rsid w:val="00384A00"/>
    <w:rsid w:val="00384A8B"/>
    <w:rsid w:val="00384BF0"/>
    <w:rsid w:val="00384FB2"/>
    <w:rsid w:val="003851DA"/>
    <w:rsid w:val="00385643"/>
    <w:rsid w:val="0038588A"/>
    <w:rsid w:val="003858DA"/>
    <w:rsid w:val="0038593F"/>
    <w:rsid w:val="00385D5D"/>
    <w:rsid w:val="003861A9"/>
    <w:rsid w:val="00386243"/>
    <w:rsid w:val="00386352"/>
    <w:rsid w:val="003864E6"/>
    <w:rsid w:val="00386A5F"/>
    <w:rsid w:val="00386CFD"/>
    <w:rsid w:val="00386EB7"/>
    <w:rsid w:val="003871E5"/>
    <w:rsid w:val="00387257"/>
    <w:rsid w:val="003873B4"/>
    <w:rsid w:val="003875D0"/>
    <w:rsid w:val="003901B3"/>
    <w:rsid w:val="003908B9"/>
    <w:rsid w:val="003909E5"/>
    <w:rsid w:val="00390A05"/>
    <w:rsid w:val="00390D27"/>
    <w:rsid w:val="00391264"/>
    <w:rsid w:val="0039166A"/>
    <w:rsid w:val="00391B47"/>
    <w:rsid w:val="00392001"/>
    <w:rsid w:val="0039277F"/>
    <w:rsid w:val="00392B0A"/>
    <w:rsid w:val="00392B22"/>
    <w:rsid w:val="00392C10"/>
    <w:rsid w:val="00393898"/>
    <w:rsid w:val="00393B33"/>
    <w:rsid w:val="00393D84"/>
    <w:rsid w:val="0039403C"/>
    <w:rsid w:val="0039424C"/>
    <w:rsid w:val="0039468A"/>
    <w:rsid w:val="003948B4"/>
    <w:rsid w:val="00394AAB"/>
    <w:rsid w:val="00394C84"/>
    <w:rsid w:val="00395289"/>
    <w:rsid w:val="003956DC"/>
    <w:rsid w:val="00395D0C"/>
    <w:rsid w:val="00395DBA"/>
    <w:rsid w:val="00395EF9"/>
    <w:rsid w:val="003963BB"/>
    <w:rsid w:val="003963FA"/>
    <w:rsid w:val="00396443"/>
    <w:rsid w:val="00396A7F"/>
    <w:rsid w:val="00396C4B"/>
    <w:rsid w:val="00397069"/>
    <w:rsid w:val="0039710B"/>
    <w:rsid w:val="003974EA"/>
    <w:rsid w:val="00397534"/>
    <w:rsid w:val="00397AA8"/>
    <w:rsid w:val="00397C23"/>
    <w:rsid w:val="00397F8F"/>
    <w:rsid w:val="003A01BF"/>
    <w:rsid w:val="003A04DF"/>
    <w:rsid w:val="003A051C"/>
    <w:rsid w:val="003A05AB"/>
    <w:rsid w:val="003A095F"/>
    <w:rsid w:val="003A0A1C"/>
    <w:rsid w:val="003A0D30"/>
    <w:rsid w:val="003A1160"/>
    <w:rsid w:val="003A13B7"/>
    <w:rsid w:val="003A14C3"/>
    <w:rsid w:val="003A162C"/>
    <w:rsid w:val="003A168A"/>
    <w:rsid w:val="003A1E5C"/>
    <w:rsid w:val="003A2479"/>
    <w:rsid w:val="003A2503"/>
    <w:rsid w:val="003A250D"/>
    <w:rsid w:val="003A37D9"/>
    <w:rsid w:val="003A388B"/>
    <w:rsid w:val="003A4233"/>
    <w:rsid w:val="003A4504"/>
    <w:rsid w:val="003A46BB"/>
    <w:rsid w:val="003A5266"/>
    <w:rsid w:val="003A5395"/>
    <w:rsid w:val="003A553E"/>
    <w:rsid w:val="003A55A1"/>
    <w:rsid w:val="003A573B"/>
    <w:rsid w:val="003A5866"/>
    <w:rsid w:val="003A5E2C"/>
    <w:rsid w:val="003A6011"/>
    <w:rsid w:val="003A64C2"/>
    <w:rsid w:val="003A659C"/>
    <w:rsid w:val="003A6787"/>
    <w:rsid w:val="003A6956"/>
    <w:rsid w:val="003A6CC1"/>
    <w:rsid w:val="003A6F8E"/>
    <w:rsid w:val="003A7333"/>
    <w:rsid w:val="003A74B6"/>
    <w:rsid w:val="003A75CA"/>
    <w:rsid w:val="003A7B35"/>
    <w:rsid w:val="003A7DF8"/>
    <w:rsid w:val="003B030E"/>
    <w:rsid w:val="003B03FF"/>
    <w:rsid w:val="003B04BC"/>
    <w:rsid w:val="003B055F"/>
    <w:rsid w:val="003B07FF"/>
    <w:rsid w:val="003B08F9"/>
    <w:rsid w:val="003B0D2A"/>
    <w:rsid w:val="003B1864"/>
    <w:rsid w:val="003B1A75"/>
    <w:rsid w:val="003B22D2"/>
    <w:rsid w:val="003B2573"/>
    <w:rsid w:val="003B30BA"/>
    <w:rsid w:val="003B3547"/>
    <w:rsid w:val="003B4004"/>
    <w:rsid w:val="003B4273"/>
    <w:rsid w:val="003B434B"/>
    <w:rsid w:val="003B476F"/>
    <w:rsid w:val="003B4A49"/>
    <w:rsid w:val="003B4FDB"/>
    <w:rsid w:val="003B5007"/>
    <w:rsid w:val="003B59C9"/>
    <w:rsid w:val="003B6310"/>
    <w:rsid w:val="003B67AD"/>
    <w:rsid w:val="003B6A19"/>
    <w:rsid w:val="003B6C15"/>
    <w:rsid w:val="003B6CEF"/>
    <w:rsid w:val="003B6D6D"/>
    <w:rsid w:val="003B6F9A"/>
    <w:rsid w:val="003B72FA"/>
    <w:rsid w:val="003B74F1"/>
    <w:rsid w:val="003B77DE"/>
    <w:rsid w:val="003B7EF5"/>
    <w:rsid w:val="003B7F09"/>
    <w:rsid w:val="003B7F27"/>
    <w:rsid w:val="003C0168"/>
    <w:rsid w:val="003C057C"/>
    <w:rsid w:val="003C073D"/>
    <w:rsid w:val="003C0842"/>
    <w:rsid w:val="003C0950"/>
    <w:rsid w:val="003C0F85"/>
    <w:rsid w:val="003C0F8D"/>
    <w:rsid w:val="003C102D"/>
    <w:rsid w:val="003C123D"/>
    <w:rsid w:val="003C163F"/>
    <w:rsid w:val="003C188A"/>
    <w:rsid w:val="003C19A0"/>
    <w:rsid w:val="003C1A22"/>
    <w:rsid w:val="003C1D93"/>
    <w:rsid w:val="003C1DE9"/>
    <w:rsid w:val="003C1F09"/>
    <w:rsid w:val="003C2162"/>
    <w:rsid w:val="003C2196"/>
    <w:rsid w:val="003C21BC"/>
    <w:rsid w:val="003C239E"/>
    <w:rsid w:val="003C2842"/>
    <w:rsid w:val="003C288F"/>
    <w:rsid w:val="003C28F1"/>
    <w:rsid w:val="003C2BCD"/>
    <w:rsid w:val="003C3B38"/>
    <w:rsid w:val="003C3B7B"/>
    <w:rsid w:val="003C3C15"/>
    <w:rsid w:val="003C3DA3"/>
    <w:rsid w:val="003C4103"/>
    <w:rsid w:val="003C44AF"/>
    <w:rsid w:val="003C4DE6"/>
    <w:rsid w:val="003C4F3F"/>
    <w:rsid w:val="003C531D"/>
    <w:rsid w:val="003C54BD"/>
    <w:rsid w:val="003C54ED"/>
    <w:rsid w:val="003C5BA8"/>
    <w:rsid w:val="003C5CE2"/>
    <w:rsid w:val="003C62E8"/>
    <w:rsid w:val="003C66A4"/>
    <w:rsid w:val="003C6C18"/>
    <w:rsid w:val="003C6C66"/>
    <w:rsid w:val="003C6C9F"/>
    <w:rsid w:val="003C6F92"/>
    <w:rsid w:val="003C7271"/>
    <w:rsid w:val="003C727A"/>
    <w:rsid w:val="003C72AE"/>
    <w:rsid w:val="003C743D"/>
    <w:rsid w:val="003C7813"/>
    <w:rsid w:val="003C7B75"/>
    <w:rsid w:val="003D00F5"/>
    <w:rsid w:val="003D0104"/>
    <w:rsid w:val="003D0296"/>
    <w:rsid w:val="003D0495"/>
    <w:rsid w:val="003D0DD0"/>
    <w:rsid w:val="003D0ED5"/>
    <w:rsid w:val="003D0F4D"/>
    <w:rsid w:val="003D13D5"/>
    <w:rsid w:val="003D1499"/>
    <w:rsid w:val="003D18B8"/>
    <w:rsid w:val="003D1941"/>
    <w:rsid w:val="003D1C7E"/>
    <w:rsid w:val="003D1E71"/>
    <w:rsid w:val="003D22C4"/>
    <w:rsid w:val="003D2377"/>
    <w:rsid w:val="003D24A5"/>
    <w:rsid w:val="003D28CB"/>
    <w:rsid w:val="003D338C"/>
    <w:rsid w:val="003D48E5"/>
    <w:rsid w:val="003D4A9A"/>
    <w:rsid w:val="003D4B44"/>
    <w:rsid w:val="003D4BAA"/>
    <w:rsid w:val="003D4CA8"/>
    <w:rsid w:val="003D4DEE"/>
    <w:rsid w:val="003D5D68"/>
    <w:rsid w:val="003D62BD"/>
    <w:rsid w:val="003D68A7"/>
    <w:rsid w:val="003D72C3"/>
    <w:rsid w:val="003E00EB"/>
    <w:rsid w:val="003E0377"/>
    <w:rsid w:val="003E0DD0"/>
    <w:rsid w:val="003E155B"/>
    <w:rsid w:val="003E1A56"/>
    <w:rsid w:val="003E1A9B"/>
    <w:rsid w:val="003E2237"/>
    <w:rsid w:val="003E227B"/>
    <w:rsid w:val="003E237F"/>
    <w:rsid w:val="003E2396"/>
    <w:rsid w:val="003E29AA"/>
    <w:rsid w:val="003E2AEA"/>
    <w:rsid w:val="003E2C46"/>
    <w:rsid w:val="003E2F26"/>
    <w:rsid w:val="003E374D"/>
    <w:rsid w:val="003E3CEF"/>
    <w:rsid w:val="003E40B2"/>
    <w:rsid w:val="003E43F9"/>
    <w:rsid w:val="003E4958"/>
    <w:rsid w:val="003E4DC9"/>
    <w:rsid w:val="003E537F"/>
    <w:rsid w:val="003E559B"/>
    <w:rsid w:val="003E5792"/>
    <w:rsid w:val="003E5F28"/>
    <w:rsid w:val="003E68F4"/>
    <w:rsid w:val="003E6975"/>
    <w:rsid w:val="003E6A28"/>
    <w:rsid w:val="003E6B5F"/>
    <w:rsid w:val="003E6F1F"/>
    <w:rsid w:val="003E6F58"/>
    <w:rsid w:val="003E714A"/>
    <w:rsid w:val="003E715F"/>
    <w:rsid w:val="003E72FD"/>
    <w:rsid w:val="003E7758"/>
    <w:rsid w:val="003E77DF"/>
    <w:rsid w:val="003E77F8"/>
    <w:rsid w:val="003E7A74"/>
    <w:rsid w:val="003E7E2C"/>
    <w:rsid w:val="003F0017"/>
    <w:rsid w:val="003F0A2D"/>
    <w:rsid w:val="003F0B6C"/>
    <w:rsid w:val="003F1293"/>
    <w:rsid w:val="003F13EE"/>
    <w:rsid w:val="003F1563"/>
    <w:rsid w:val="003F1591"/>
    <w:rsid w:val="003F19EE"/>
    <w:rsid w:val="003F1E0C"/>
    <w:rsid w:val="003F1F53"/>
    <w:rsid w:val="003F3972"/>
    <w:rsid w:val="003F3A51"/>
    <w:rsid w:val="003F3AF0"/>
    <w:rsid w:val="003F41B8"/>
    <w:rsid w:val="003F43BC"/>
    <w:rsid w:val="003F44EC"/>
    <w:rsid w:val="003F48DB"/>
    <w:rsid w:val="003F4DB1"/>
    <w:rsid w:val="003F4E1C"/>
    <w:rsid w:val="003F50E1"/>
    <w:rsid w:val="003F57F4"/>
    <w:rsid w:val="003F5AC2"/>
    <w:rsid w:val="003F5B5D"/>
    <w:rsid w:val="003F5DB8"/>
    <w:rsid w:val="003F64E0"/>
    <w:rsid w:val="003F6673"/>
    <w:rsid w:val="003F6853"/>
    <w:rsid w:val="003F6B82"/>
    <w:rsid w:val="003F7590"/>
    <w:rsid w:val="003F75C8"/>
    <w:rsid w:val="003F79AC"/>
    <w:rsid w:val="00400426"/>
    <w:rsid w:val="004005FB"/>
    <w:rsid w:val="0040088D"/>
    <w:rsid w:val="00400E05"/>
    <w:rsid w:val="00400F7C"/>
    <w:rsid w:val="00400FC5"/>
    <w:rsid w:val="00401076"/>
    <w:rsid w:val="004013B4"/>
    <w:rsid w:val="004013C9"/>
    <w:rsid w:val="00401B06"/>
    <w:rsid w:val="00402000"/>
    <w:rsid w:val="00402892"/>
    <w:rsid w:val="00402D31"/>
    <w:rsid w:val="004031AA"/>
    <w:rsid w:val="0040368C"/>
    <w:rsid w:val="0040371E"/>
    <w:rsid w:val="00403874"/>
    <w:rsid w:val="0040391D"/>
    <w:rsid w:val="00403B81"/>
    <w:rsid w:val="00404101"/>
    <w:rsid w:val="0040424F"/>
    <w:rsid w:val="00404397"/>
    <w:rsid w:val="004045A5"/>
    <w:rsid w:val="0040467A"/>
    <w:rsid w:val="004047C6"/>
    <w:rsid w:val="00404951"/>
    <w:rsid w:val="00405013"/>
    <w:rsid w:val="0040501F"/>
    <w:rsid w:val="00405D8E"/>
    <w:rsid w:val="004060BA"/>
    <w:rsid w:val="00406943"/>
    <w:rsid w:val="00406EB9"/>
    <w:rsid w:val="004072EE"/>
    <w:rsid w:val="0040753B"/>
    <w:rsid w:val="0040756A"/>
    <w:rsid w:val="004076E0"/>
    <w:rsid w:val="00407946"/>
    <w:rsid w:val="004103B0"/>
    <w:rsid w:val="00410420"/>
    <w:rsid w:val="004104E4"/>
    <w:rsid w:val="00410522"/>
    <w:rsid w:val="004107B0"/>
    <w:rsid w:val="004107F4"/>
    <w:rsid w:val="00410966"/>
    <w:rsid w:val="00410C08"/>
    <w:rsid w:val="00410D9E"/>
    <w:rsid w:val="004114E7"/>
    <w:rsid w:val="00411765"/>
    <w:rsid w:val="00411823"/>
    <w:rsid w:val="004119E5"/>
    <w:rsid w:val="00411D14"/>
    <w:rsid w:val="00411F87"/>
    <w:rsid w:val="00412179"/>
    <w:rsid w:val="00412B2C"/>
    <w:rsid w:val="00412C36"/>
    <w:rsid w:val="00412DFA"/>
    <w:rsid w:val="0041361E"/>
    <w:rsid w:val="004136FB"/>
    <w:rsid w:val="00413939"/>
    <w:rsid w:val="00413C2F"/>
    <w:rsid w:val="00414691"/>
    <w:rsid w:val="00414BED"/>
    <w:rsid w:val="00414C7C"/>
    <w:rsid w:val="0041542D"/>
    <w:rsid w:val="004157F6"/>
    <w:rsid w:val="00415C95"/>
    <w:rsid w:val="00416328"/>
    <w:rsid w:val="0041637C"/>
    <w:rsid w:val="00416763"/>
    <w:rsid w:val="00416AE1"/>
    <w:rsid w:val="00416DE7"/>
    <w:rsid w:val="0041718E"/>
    <w:rsid w:val="00417539"/>
    <w:rsid w:val="004179FF"/>
    <w:rsid w:val="00417A18"/>
    <w:rsid w:val="00417A86"/>
    <w:rsid w:val="00417D0D"/>
    <w:rsid w:val="00417F7A"/>
    <w:rsid w:val="00420312"/>
    <w:rsid w:val="00420597"/>
    <w:rsid w:val="00420B41"/>
    <w:rsid w:val="00420C1A"/>
    <w:rsid w:val="00420E14"/>
    <w:rsid w:val="004215ED"/>
    <w:rsid w:val="004218CC"/>
    <w:rsid w:val="004219E5"/>
    <w:rsid w:val="00421A40"/>
    <w:rsid w:val="00422151"/>
    <w:rsid w:val="004227B4"/>
    <w:rsid w:val="00422C09"/>
    <w:rsid w:val="00422D90"/>
    <w:rsid w:val="004230E5"/>
    <w:rsid w:val="00423223"/>
    <w:rsid w:val="00423434"/>
    <w:rsid w:val="00423BC4"/>
    <w:rsid w:val="00423FC8"/>
    <w:rsid w:val="004244A1"/>
    <w:rsid w:val="0042469C"/>
    <w:rsid w:val="00424A7A"/>
    <w:rsid w:val="00424C0E"/>
    <w:rsid w:val="0042523E"/>
    <w:rsid w:val="0042551F"/>
    <w:rsid w:val="0042577D"/>
    <w:rsid w:val="004258B1"/>
    <w:rsid w:val="0042598D"/>
    <w:rsid w:val="00425A72"/>
    <w:rsid w:val="00425BA3"/>
    <w:rsid w:val="00425BF2"/>
    <w:rsid w:val="00426003"/>
    <w:rsid w:val="00426220"/>
    <w:rsid w:val="004262C3"/>
    <w:rsid w:val="0042647B"/>
    <w:rsid w:val="00426C65"/>
    <w:rsid w:val="004273C8"/>
    <w:rsid w:val="004278A8"/>
    <w:rsid w:val="004279A6"/>
    <w:rsid w:val="00427A86"/>
    <w:rsid w:val="00427BC4"/>
    <w:rsid w:val="0043018E"/>
    <w:rsid w:val="00430426"/>
    <w:rsid w:val="004306CF"/>
    <w:rsid w:val="00430808"/>
    <w:rsid w:val="00430DF6"/>
    <w:rsid w:val="00430F00"/>
    <w:rsid w:val="00430F86"/>
    <w:rsid w:val="00430FD5"/>
    <w:rsid w:val="00431160"/>
    <w:rsid w:val="004311D9"/>
    <w:rsid w:val="00431254"/>
    <w:rsid w:val="004312D9"/>
    <w:rsid w:val="004313E1"/>
    <w:rsid w:val="0043232D"/>
    <w:rsid w:val="00432425"/>
    <w:rsid w:val="00432BC0"/>
    <w:rsid w:val="00432CCA"/>
    <w:rsid w:val="00432FCE"/>
    <w:rsid w:val="004330BF"/>
    <w:rsid w:val="00433144"/>
    <w:rsid w:val="004331D6"/>
    <w:rsid w:val="0043320F"/>
    <w:rsid w:val="004334D6"/>
    <w:rsid w:val="004335A7"/>
    <w:rsid w:val="00433836"/>
    <w:rsid w:val="00433AC2"/>
    <w:rsid w:val="00433F76"/>
    <w:rsid w:val="00434470"/>
    <w:rsid w:val="00434631"/>
    <w:rsid w:val="0043469F"/>
    <w:rsid w:val="004347D9"/>
    <w:rsid w:val="00434BBB"/>
    <w:rsid w:val="00434FAF"/>
    <w:rsid w:val="00435064"/>
    <w:rsid w:val="0043508E"/>
    <w:rsid w:val="00435391"/>
    <w:rsid w:val="00435503"/>
    <w:rsid w:val="00435528"/>
    <w:rsid w:val="0043563B"/>
    <w:rsid w:val="00435645"/>
    <w:rsid w:val="0043579C"/>
    <w:rsid w:val="004357F4"/>
    <w:rsid w:val="00435C89"/>
    <w:rsid w:val="00435D5C"/>
    <w:rsid w:val="00436027"/>
    <w:rsid w:val="00436392"/>
    <w:rsid w:val="004364DA"/>
    <w:rsid w:val="004365D0"/>
    <w:rsid w:val="004367B7"/>
    <w:rsid w:val="0043686F"/>
    <w:rsid w:val="00436C99"/>
    <w:rsid w:val="004370A7"/>
    <w:rsid w:val="004370BB"/>
    <w:rsid w:val="004371A3"/>
    <w:rsid w:val="00437E83"/>
    <w:rsid w:val="00440647"/>
    <w:rsid w:val="00440D09"/>
    <w:rsid w:val="00441779"/>
    <w:rsid w:val="004418E4"/>
    <w:rsid w:val="00441AE0"/>
    <w:rsid w:val="00441CDE"/>
    <w:rsid w:val="00441CE1"/>
    <w:rsid w:val="0044216D"/>
    <w:rsid w:val="00442441"/>
    <w:rsid w:val="0044247C"/>
    <w:rsid w:val="004427A7"/>
    <w:rsid w:val="00442F57"/>
    <w:rsid w:val="00443D3F"/>
    <w:rsid w:val="00443DAF"/>
    <w:rsid w:val="00444506"/>
    <w:rsid w:val="004446C3"/>
    <w:rsid w:val="00444F7B"/>
    <w:rsid w:val="0044560D"/>
    <w:rsid w:val="00445D46"/>
    <w:rsid w:val="00445F66"/>
    <w:rsid w:val="004464A2"/>
    <w:rsid w:val="004470A8"/>
    <w:rsid w:val="00447230"/>
    <w:rsid w:val="00447489"/>
    <w:rsid w:val="00447654"/>
    <w:rsid w:val="00447C74"/>
    <w:rsid w:val="00447CF4"/>
    <w:rsid w:val="00450090"/>
    <w:rsid w:val="00450362"/>
    <w:rsid w:val="004507C0"/>
    <w:rsid w:val="00450D7E"/>
    <w:rsid w:val="004513EE"/>
    <w:rsid w:val="004519AC"/>
    <w:rsid w:val="004520FC"/>
    <w:rsid w:val="00452376"/>
    <w:rsid w:val="004524FD"/>
    <w:rsid w:val="004525F0"/>
    <w:rsid w:val="004526FF"/>
    <w:rsid w:val="00452CD2"/>
    <w:rsid w:val="00452D3E"/>
    <w:rsid w:val="004531E4"/>
    <w:rsid w:val="0045466C"/>
    <w:rsid w:val="00454A11"/>
    <w:rsid w:val="00454F04"/>
    <w:rsid w:val="00454F3F"/>
    <w:rsid w:val="004551B0"/>
    <w:rsid w:val="004555A0"/>
    <w:rsid w:val="0045584D"/>
    <w:rsid w:val="00455CC4"/>
    <w:rsid w:val="00455DEF"/>
    <w:rsid w:val="00455DFD"/>
    <w:rsid w:val="00455EC1"/>
    <w:rsid w:val="00456248"/>
    <w:rsid w:val="004562CB"/>
    <w:rsid w:val="00456673"/>
    <w:rsid w:val="004566A9"/>
    <w:rsid w:val="0045690E"/>
    <w:rsid w:val="00457152"/>
    <w:rsid w:val="00457B3C"/>
    <w:rsid w:val="00457D60"/>
    <w:rsid w:val="0046034C"/>
    <w:rsid w:val="00460471"/>
    <w:rsid w:val="00460CEB"/>
    <w:rsid w:val="0046171D"/>
    <w:rsid w:val="0046178A"/>
    <w:rsid w:val="004619C3"/>
    <w:rsid w:val="004626A7"/>
    <w:rsid w:val="00462973"/>
    <w:rsid w:val="00463159"/>
    <w:rsid w:val="00463232"/>
    <w:rsid w:val="00463712"/>
    <w:rsid w:val="00463B81"/>
    <w:rsid w:val="00463EB4"/>
    <w:rsid w:val="0046401A"/>
    <w:rsid w:val="0046409E"/>
    <w:rsid w:val="0046420B"/>
    <w:rsid w:val="0046428A"/>
    <w:rsid w:val="004643C0"/>
    <w:rsid w:val="00464435"/>
    <w:rsid w:val="00464713"/>
    <w:rsid w:val="00464830"/>
    <w:rsid w:val="00464841"/>
    <w:rsid w:val="00464854"/>
    <w:rsid w:val="00464A5F"/>
    <w:rsid w:val="00465639"/>
    <w:rsid w:val="00466779"/>
    <w:rsid w:val="004667DA"/>
    <w:rsid w:val="004669CD"/>
    <w:rsid w:val="00466AFD"/>
    <w:rsid w:val="00466E19"/>
    <w:rsid w:val="00466FA4"/>
    <w:rsid w:val="00467155"/>
    <w:rsid w:val="00467578"/>
    <w:rsid w:val="0046789A"/>
    <w:rsid w:val="00467C79"/>
    <w:rsid w:val="00470110"/>
    <w:rsid w:val="00470171"/>
    <w:rsid w:val="00470738"/>
    <w:rsid w:val="00470D18"/>
    <w:rsid w:val="0047120A"/>
    <w:rsid w:val="00471621"/>
    <w:rsid w:val="00471C41"/>
    <w:rsid w:val="004728D5"/>
    <w:rsid w:val="00472A51"/>
    <w:rsid w:val="00472CEC"/>
    <w:rsid w:val="004731C5"/>
    <w:rsid w:val="00473C30"/>
    <w:rsid w:val="00473C60"/>
    <w:rsid w:val="00473EA1"/>
    <w:rsid w:val="00474955"/>
    <w:rsid w:val="00475439"/>
    <w:rsid w:val="00475743"/>
    <w:rsid w:val="004759DB"/>
    <w:rsid w:val="00476298"/>
    <w:rsid w:val="004762EC"/>
    <w:rsid w:val="00476372"/>
    <w:rsid w:val="00476506"/>
    <w:rsid w:val="00476593"/>
    <w:rsid w:val="004765A4"/>
    <w:rsid w:val="00476A51"/>
    <w:rsid w:val="00476C27"/>
    <w:rsid w:val="00477A72"/>
    <w:rsid w:val="00477F59"/>
    <w:rsid w:val="0048004D"/>
    <w:rsid w:val="00480116"/>
    <w:rsid w:val="00480564"/>
    <w:rsid w:val="00480E28"/>
    <w:rsid w:val="004812A4"/>
    <w:rsid w:val="0048146D"/>
    <w:rsid w:val="004814F1"/>
    <w:rsid w:val="004817FD"/>
    <w:rsid w:val="004818AA"/>
    <w:rsid w:val="00481C6E"/>
    <w:rsid w:val="004826DF"/>
    <w:rsid w:val="004827FF"/>
    <w:rsid w:val="00482A5D"/>
    <w:rsid w:val="00482E8B"/>
    <w:rsid w:val="00482EF8"/>
    <w:rsid w:val="00483A07"/>
    <w:rsid w:val="00483BAC"/>
    <w:rsid w:val="00484392"/>
    <w:rsid w:val="00484534"/>
    <w:rsid w:val="00484D4E"/>
    <w:rsid w:val="00484DBE"/>
    <w:rsid w:val="0048507B"/>
    <w:rsid w:val="004860C3"/>
    <w:rsid w:val="00486129"/>
    <w:rsid w:val="0048621D"/>
    <w:rsid w:val="004862A2"/>
    <w:rsid w:val="00486476"/>
    <w:rsid w:val="004865C4"/>
    <w:rsid w:val="004866FE"/>
    <w:rsid w:val="00486995"/>
    <w:rsid w:val="00486B95"/>
    <w:rsid w:val="00486F92"/>
    <w:rsid w:val="0048715D"/>
    <w:rsid w:val="0048735B"/>
    <w:rsid w:val="0048739D"/>
    <w:rsid w:val="004876EC"/>
    <w:rsid w:val="0048792C"/>
    <w:rsid w:val="004902EC"/>
    <w:rsid w:val="004906A4"/>
    <w:rsid w:val="00490A7A"/>
    <w:rsid w:val="00491C6E"/>
    <w:rsid w:val="00491DE6"/>
    <w:rsid w:val="00492131"/>
    <w:rsid w:val="0049261B"/>
    <w:rsid w:val="00492641"/>
    <w:rsid w:val="00492846"/>
    <w:rsid w:val="00492A23"/>
    <w:rsid w:val="00492D60"/>
    <w:rsid w:val="00493114"/>
    <w:rsid w:val="00493234"/>
    <w:rsid w:val="0049384C"/>
    <w:rsid w:val="0049386F"/>
    <w:rsid w:val="00493D35"/>
    <w:rsid w:val="00493D37"/>
    <w:rsid w:val="0049490B"/>
    <w:rsid w:val="00494EE8"/>
    <w:rsid w:val="00495A6C"/>
    <w:rsid w:val="00495B17"/>
    <w:rsid w:val="00495BF8"/>
    <w:rsid w:val="00495EA0"/>
    <w:rsid w:val="004964C7"/>
    <w:rsid w:val="004964D2"/>
    <w:rsid w:val="00496901"/>
    <w:rsid w:val="00497178"/>
    <w:rsid w:val="004975C8"/>
    <w:rsid w:val="00497EE7"/>
    <w:rsid w:val="004A0085"/>
    <w:rsid w:val="004A03BC"/>
    <w:rsid w:val="004A0505"/>
    <w:rsid w:val="004A0A12"/>
    <w:rsid w:val="004A0A74"/>
    <w:rsid w:val="004A0C66"/>
    <w:rsid w:val="004A1331"/>
    <w:rsid w:val="004A14DC"/>
    <w:rsid w:val="004A160C"/>
    <w:rsid w:val="004A184D"/>
    <w:rsid w:val="004A1867"/>
    <w:rsid w:val="004A1C1A"/>
    <w:rsid w:val="004A1C92"/>
    <w:rsid w:val="004A2012"/>
    <w:rsid w:val="004A2437"/>
    <w:rsid w:val="004A24D3"/>
    <w:rsid w:val="004A2A81"/>
    <w:rsid w:val="004A2D8F"/>
    <w:rsid w:val="004A2DAE"/>
    <w:rsid w:val="004A3361"/>
    <w:rsid w:val="004A3915"/>
    <w:rsid w:val="004A3D16"/>
    <w:rsid w:val="004A435B"/>
    <w:rsid w:val="004A4450"/>
    <w:rsid w:val="004A466C"/>
    <w:rsid w:val="004A47C7"/>
    <w:rsid w:val="004A4856"/>
    <w:rsid w:val="004A48CF"/>
    <w:rsid w:val="004A4A54"/>
    <w:rsid w:val="004A4DB0"/>
    <w:rsid w:val="004A4E02"/>
    <w:rsid w:val="004A50C8"/>
    <w:rsid w:val="004A589A"/>
    <w:rsid w:val="004A5A22"/>
    <w:rsid w:val="004A6309"/>
    <w:rsid w:val="004A6576"/>
    <w:rsid w:val="004A6701"/>
    <w:rsid w:val="004A6722"/>
    <w:rsid w:val="004A6CD9"/>
    <w:rsid w:val="004A7246"/>
    <w:rsid w:val="004A7720"/>
    <w:rsid w:val="004A79DD"/>
    <w:rsid w:val="004A7AC0"/>
    <w:rsid w:val="004A7B5D"/>
    <w:rsid w:val="004A7F10"/>
    <w:rsid w:val="004B0125"/>
    <w:rsid w:val="004B02CA"/>
    <w:rsid w:val="004B10C4"/>
    <w:rsid w:val="004B113D"/>
    <w:rsid w:val="004B13D8"/>
    <w:rsid w:val="004B1402"/>
    <w:rsid w:val="004B15FF"/>
    <w:rsid w:val="004B1684"/>
    <w:rsid w:val="004B17A9"/>
    <w:rsid w:val="004B197D"/>
    <w:rsid w:val="004B204D"/>
    <w:rsid w:val="004B2C0A"/>
    <w:rsid w:val="004B2D11"/>
    <w:rsid w:val="004B2DFA"/>
    <w:rsid w:val="004B3015"/>
    <w:rsid w:val="004B3225"/>
    <w:rsid w:val="004B35D8"/>
    <w:rsid w:val="004B3A7F"/>
    <w:rsid w:val="004B41C2"/>
    <w:rsid w:val="004B49F8"/>
    <w:rsid w:val="004B4C02"/>
    <w:rsid w:val="004B4D40"/>
    <w:rsid w:val="004B4F58"/>
    <w:rsid w:val="004B4F6E"/>
    <w:rsid w:val="004B50A6"/>
    <w:rsid w:val="004B50A8"/>
    <w:rsid w:val="004B50CA"/>
    <w:rsid w:val="004B51FA"/>
    <w:rsid w:val="004B535A"/>
    <w:rsid w:val="004B575E"/>
    <w:rsid w:val="004B5832"/>
    <w:rsid w:val="004B5B0E"/>
    <w:rsid w:val="004B5C2B"/>
    <w:rsid w:val="004B5CAE"/>
    <w:rsid w:val="004B5F3E"/>
    <w:rsid w:val="004B6592"/>
    <w:rsid w:val="004B6701"/>
    <w:rsid w:val="004B696F"/>
    <w:rsid w:val="004B7140"/>
    <w:rsid w:val="004B733F"/>
    <w:rsid w:val="004B7819"/>
    <w:rsid w:val="004B78B2"/>
    <w:rsid w:val="004B7B97"/>
    <w:rsid w:val="004B7BA1"/>
    <w:rsid w:val="004C0241"/>
    <w:rsid w:val="004C093D"/>
    <w:rsid w:val="004C0CF2"/>
    <w:rsid w:val="004C1211"/>
    <w:rsid w:val="004C13E2"/>
    <w:rsid w:val="004C1922"/>
    <w:rsid w:val="004C1945"/>
    <w:rsid w:val="004C1ABE"/>
    <w:rsid w:val="004C1F04"/>
    <w:rsid w:val="004C2222"/>
    <w:rsid w:val="004C26B3"/>
    <w:rsid w:val="004C2C85"/>
    <w:rsid w:val="004C2F87"/>
    <w:rsid w:val="004C349F"/>
    <w:rsid w:val="004C3850"/>
    <w:rsid w:val="004C3B10"/>
    <w:rsid w:val="004C4570"/>
    <w:rsid w:val="004C457A"/>
    <w:rsid w:val="004C4C94"/>
    <w:rsid w:val="004C4F02"/>
    <w:rsid w:val="004C524E"/>
    <w:rsid w:val="004C5502"/>
    <w:rsid w:val="004C573C"/>
    <w:rsid w:val="004C5870"/>
    <w:rsid w:val="004C5C79"/>
    <w:rsid w:val="004C5F02"/>
    <w:rsid w:val="004C652F"/>
    <w:rsid w:val="004C663F"/>
    <w:rsid w:val="004C6A07"/>
    <w:rsid w:val="004C6D3A"/>
    <w:rsid w:val="004C700A"/>
    <w:rsid w:val="004C7024"/>
    <w:rsid w:val="004C72A5"/>
    <w:rsid w:val="004C74B5"/>
    <w:rsid w:val="004C7590"/>
    <w:rsid w:val="004C7682"/>
    <w:rsid w:val="004C7AB7"/>
    <w:rsid w:val="004D00A3"/>
    <w:rsid w:val="004D012D"/>
    <w:rsid w:val="004D0190"/>
    <w:rsid w:val="004D03B6"/>
    <w:rsid w:val="004D04A9"/>
    <w:rsid w:val="004D07D3"/>
    <w:rsid w:val="004D0AEC"/>
    <w:rsid w:val="004D1A06"/>
    <w:rsid w:val="004D1A2C"/>
    <w:rsid w:val="004D1D09"/>
    <w:rsid w:val="004D21B3"/>
    <w:rsid w:val="004D37D9"/>
    <w:rsid w:val="004D3E59"/>
    <w:rsid w:val="004D479B"/>
    <w:rsid w:val="004D47AD"/>
    <w:rsid w:val="004D47E2"/>
    <w:rsid w:val="004D4864"/>
    <w:rsid w:val="004D4A74"/>
    <w:rsid w:val="004D5350"/>
    <w:rsid w:val="004D584E"/>
    <w:rsid w:val="004D59A0"/>
    <w:rsid w:val="004D5A26"/>
    <w:rsid w:val="004D5A5A"/>
    <w:rsid w:val="004D61A4"/>
    <w:rsid w:val="004D62DF"/>
    <w:rsid w:val="004D65C6"/>
    <w:rsid w:val="004D6A8F"/>
    <w:rsid w:val="004D7218"/>
    <w:rsid w:val="004D73E5"/>
    <w:rsid w:val="004D7501"/>
    <w:rsid w:val="004D7858"/>
    <w:rsid w:val="004D7A8A"/>
    <w:rsid w:val="004D7B71"/>
    <w:rsid w:val="004D7C91"/>
    <w:rsid w:val="004E0186"/>
    <w:rsid w:val="004E03A5"/>
    <w:rsid w:val="004E0460"/>
    <w:rsid w:val="004E08B8"/>
    <w:rsid w:val="004E094E"/>
    <w:rsid w:val="004E0E2B"/>
    <w:rsid w:val="004E0FC3"/>
    <w:rsid w:val="004E185D"/>
    <w:rsid w:val="004E197F"/>
    <w:rsid w:val="004E1D89"/>
    <w:rsid w:val="004E1E6F"/>
    <w:rsid w:val="004E2A31"/>
    <w:rsid w:val="004E2DD4"/>
    <w:rsid w:val="004E30ED"/>
    <w:rsid w:val="004E32F9"/>
    <w:rsid w:val="004E35B7"/>
    <w:rsid w:val="004E378C"/>
    <w:rsid w:val="004E3961"/>
    <w:rsid w:val="004E3F44"/>
    <w:rsid w:val="004E405A"/>
    <w:rsid w:val="004E406F"/>
    <w:rsid w:val="004E4412"/>
    <w:rsid w:val="004E4517"/>
    <w:rsid w:val="004E48E3"/>
    <w:rsid w:val="004E4A43"/>
    <w:rsid w:val="004E4A4B"/>
    <w:rsid w:val="004E4BD8"/>
    <w:rsid w:val="004E4E01"/>
    <w:rsid w:val="004E4E5D"/>
    <w:rsid w:val="004E50D7"/>
    <w:rsid w:val="004E5507"/>
    <w:rsid w:val="004E5AB8"/>
    <w:rsid w:val="004E5EA5"/>
    <w:rsid w:val="004E64CC"/>
    <w:rsid w:val="004E64D4"/>
    <w:rsid w:val="004E6513"/>
    <w:rsid w:val="004E69E7"/>
    <w:rsid w:val="004E6D12"/>
    <w:rsid w:val="004E6D3B"/>
    <w:rsid w:val="004E74B7"/>
    <w:rsid w:val="004E74F1"/>
    <w:rsid w:val="004E7AAA"/>
    <w:rsid w:val="004E7F80"/>
    <w:rsid w:val="004E7FA9"/>
    <w:rsid w:val="004F0066"/>
    <w:rsid w:val="004F0180"/>
    <w:rsid w:val="004F0476"/>
    <w:rsid w:val="004F0942"/>
    <w:rsid w:val="004F09B5"/>
    <w:rsid w:val="004F12E8"/>
    <w:rsid w:val="004F15A2"/>
    <w:rsid w:val="004F1BB6"/>
    <w:rsid w:val="004F1DFB"/>
    <w:rsid w:val="004F1F37"/>
    <w:rsid w:val="004F1F82"/>
    <w:rsid w:val="004F23C9"/>
    <w:rsid w:val="004F254A"/>
    <w:rsid w:val="004F26E9"/>
    <w:rsid w:val="004F2E1F"/>
    <w:rsid w:val="004F2FE5"/>
    <w:rsid w:val="004F3124"/>
    <w:rsid w:val="004F319E"/>
    <w:rsid w:val="004F32CE"/>
    <w:rsid w:val="004F3D3F"/>
    <w:rsid w:val="004F3D7A"/>
    <w:rsid w:val="004F4285"/>
    <w:rsid w:val="004F4357"/>
    <w:rsid w:val="004F4D18"/>
    <w:rsid w:val="004F50C2"/>
    <w:rsid w:val="004F510D"/>
    <w:rsid w:val="004F5789"/>
    <w:rsid w:val="004F587C"/>
    <w:rsid w:val="004F58BD"/>
    <w:rsid w:val="004F5DF9"/>
    <w:rsid w:val="004F5F73"/>
    <w:rsid w:val="004F68F0"/>
    <w:rsid w:val="004F727D"/>
    <w:rsid w:val="004F74E5"/>
    <w:rsid w:val="004F751D"/>
    <w:rsid w:val="004F781C"/>
    <w:rsid w:val="004F7847"/>
    <w:rsid w:val="00500073"/>
    <w:rsid w:val="0050026B"/>
    <w:rsid w:val="005002F0"/>
    <w:rsid w:val="005005D0"/>
    <w:rsid w:val="00500780"/>
    <w:rsid w:val="00500BEF"/>
    <w:rsid w:val="00500BF8"/>
    <w:rsid w:val="00500CAC"/>
    <w:rsid w:val="005012A6"/>
    <w:rsid w:val="00501514"/>
    <w:rsid w:val="00502572"/>
    <w:rsid w:val="00502586"/>
    <w:rsid w:val="0050278C"/>
    <w:rsid w:val="00502A16"/>
    <w:rsid w:val="00502C17"/>
    <w:rsid w:val="005034C7"/>
    <w:rsid w:val="00503E8C"/>
    <w:rsid w:val="0050451D"/>
    <w:rsid w:val="00504A5B"/>
    <w:rsid w:val="00504BA7"/>
    <w:rsid w:val="00504C53"/>
    <w:rsid w:val="00504D88"/>
    <w:rsid w:val="00504DC6"/>
    <w:rsid w:val="0050530F"/>
    <w:rsid w:val="00505FB5"/>
    <w:rsid w:val="0050603A"/>
    <w:rsid w:val="0050604C"/>
    <w:rsid w:val="0050606A"/>
    <w:rsid w:val="00506143"/>
    <w:rsid w:val="0050616A"/>
    <w:rsid w:val="0050637C"/>
    <w:rsid w:val="005064B3"/>
    <w:rsid w:val="005073CA"/>
    <w:rsid w:val="0050771B"/>
    <w:rsid w:val="005079C3"/>
    <w:rsid w:val="00507BB1"/>
    <w:rsid w:val="00507C07"/>
    <w:rsid w:val="00507F4F"/>
    <w:rsid w:val="00510EFE"/>
    <w:rsid w:val="005112C6"/>
    <w:rsid w:val="00511419"/>
    <w:rsid w:val="005115AF"/>
    <w:rsid w:val="005117CA"/>
    <w:rsid w:val="00511A45"/>
    <w:rsid w:val="00511FE5"/>
    <w:rsid w:val="005120EA"/>
    <w:rsid w:val="00512E93"/>
    <w:rsid w:val="005135E8"/>
    <w:rsid w:val="00513AF9"/>
    <w:rsid w:val="00513C81"/>
    <w:rsid w:val="00513D9C"/>
    <w:rsid w:val="00513DF0"/>
    <w:rsid w:val="00513E48"/>
    <w:rsid w:val="00513F7D"/>
    <w:rsid w:val="0051478B"/>
    <w:rsid w:val="00514A90"/>
    <w:rsid w:val="00514D6F"/>
    <w:rsid w:val="00514DF4"/>
    <w:rsid w:val="00515012"/>
    <w:rsid w:val="00515171"/>
    <w:rsid w:val="0051555C"/>
    <w:rsid w:val="00515861"/>
    <w:rsid w:val="00515FDA"/>
    <w:rsid w:val="005160AF"/>
    <w:rsid w:val="00516273"/>
    <w:rsid w:val="005165C6"/>
    <w:rsid w:val="005168F5"/>
    <w:rsid w:val="0051699E"/>
    <w:rsid w:val="0051744A"/>
    <w:rsid w:val="005175BB"/>
    <w:rsid w:val="00520312"/>
    <w:rsid w:val="0052055E"/>
    <w:rsid w:val="005209F0"/>
    <w:rsid w:val="00520B3A"/>
    <w:rsid w:val="00520BCC"/>
    <w:rsid w:val="00520D89"/>
    <w:rsid w:val="00520FCA"/>
    <w:rsid w:val="0052118A"/>
    <w:rsid w:val="00521933"/>
    <w:rsid w:val="00521BAC"/>
    <w:rsid w:val="00521E92"/>
    <w:rsid w:val="00521EF4"/>
    <w:rsid w:val="005222DB"/>
    <w:rsid w:val="00522774"/>
    <w:rsid w:val="005229EB"/>
    <w:rsid w:val="00522DC8"/>
    <w:rsid w:val="00522F43"/>
    <w:rsid w:val="005231EB"/>
    <w:rsid w:val="00523265"/>
    <w:rsid w:val="005232F3"/>
    <w:rsid w:val="00523386"/>
    <w:rsid w:val="0052368B"/>
    <w:rsid w:val="005236D9"/>
    <w:rsid w:val="00523C3F"/>
    <w:rsid w:val="00523CCA"/>
    <w:rsid w:val="00524C4C"/>
    <w:rsid w:val="00524CF9"/>
    <w:rsid w:val="005250EC"/>
    <w:rsid w:val="00525187"/>
    <w:rsid w:val="005251D3"/>
    <w:rsid w:val="0052522D"/>
    <w:rsid w:val="005254FB"/>
    <w:rsid w:val="0052636E"/>
    <w:rsid w:val="0052642E"/>
    <w:rsid w:val="0052662F"/>
    <w:rsid w:val="005267EA"/>
    <w:rsid w:val="00526B88"/>
    <w:rsid w:val="005270F8"/>
    <w:rsid w:val="005271C5"/>
    <w:rsid w:val="005274DE"/>
    <w:rsid w:val="005278C9"/>
    <w:rsid w:val="0052798D"/>
    <w:rsid w:val="00527A5E"/>
    <w:rsid w:val="0053053E"/>
    <w:rsid w:val="00530B2E"/>
    <w:rsid w:val="00530B74"/>
    <w:rsid w:val="00530D8B"/>
    <w:rsid w:val="00531075"/>
    <w:rsid w:val="005320FA"/>
    <w:rsid w:val="00532538"/>
    <w:rsid w:val="005328B2"/>
    <w:rsid w:val="005328FC"/>
    <w:rsid w:val="00532A6F"/>
    <w:rsid w:val="00532B26"/>
    <w:rsid w:val="00533044"/>
    <w:rsid w:val="00533113"/>
    <w:rsid w:val="00533229"/>
    <w:rsid w:val="005342AF"/>
    <w:rsid w:val="005342B1"/>
    <w:rsid w:val="005345EE"/>
    <w:rsid w:val="00534832"/>
    <w:rsid w:val="005350B8"/>
    <w:rsid w:val="0053563F"/>
    <w:rsid w:val="00535656"/>
    <w:rsid w:val="005359DF"/>
    <w:rsid w:val="00535DE1"/>
    <w:rsid w:val="00535F31"/>
    <w:rsid w:val="00536234"/>
    <w:rsid w:val="00536969"/>
    <w:rsid w:val="00536BE8"/>
    <w:rsid w:val="00536CFA"/>
    <w:rsid w:val="00536F41"/>
    <w:rsid w:val="00537026"/>
    <w:rsid w:val="00537031"/>
    <w:rsid w:val="005372BC"/>
    <w:rsid w:val="0053754F"/>
    <w:rsid w:val="00537A2B"/>
    <w:rsid w:val="00537BD4"/>
    <w:rsid w:val="00540009"/>
    <w:rsid w:val="0054023C"/>
    <w:rsid w:val="00540337"/>
    <w:rsid w:val="0054043C"/>
    <w:rsid w:val="00540FF3"/>
    <w:rsid w:val="005410FC"/>
    <w:rsid w:val="005415C1"/>
    <w:rsid w:val="00541B33"/>
    <w:rsid w:val="00541F87"/>
    <w:rsid w:val="005421D5"/>
    <w:rsid w:val="005422C9"/>
    <w:rsid w:val="00542465"/>
    <w:rsid w:val="00542483"/>
    <w:rsid w:val="00542E4A"/>
    <w:rsid w:val="00543061"/>
    <w:rsid w:val="005430CB"/>
    <w:rsid w:val="00543456"/>
    <w:rsid w:val="00543A45"/>
    <w:rsid w:val="00543A64"/>
    <w:rsid w:val="00543BE0"/>
    <w:rsid w:val="00543EF1"/>
    <w:rsid w:val="005441BF"/>
    <w:rsid w:val="00544348"/>
    <w:rsid w:val="005448FA"/>
    <w:rsid w:val="00544C3D"/>
    <w:rsid w:val="00544D93"/>
    <w:rsid w:val="00544F89"/>
    <w:rsid w:val="00545A96"/>
    <w:rsid w:val="00545B9A"/>
    <w:rsid w:val="00545F04"/>
    <w:rsid w:val="005461F5"/>
    <w:rsid w:val="005466FE"/>
    <w:rsid w:val="005467EB"/>
    <w:rsid w:val="00546BAA"/>
    <w:rsid w:val="00546BD9"/>
    <w:rsid w:val="00547314"/>
    <w:rsid w:val="005474F3"/>
    <w:rsid w:val="00547560"/>
    <w:rsid w:val="00547672"/>
    <w:rsid w:val="00547B1B"/>
    <w:rsid w:val="00547E1B"/>
    <w:rsid w:val="00547F9B"/>
    <w:rsid w:val="00550029"/>
    <w:rsid w:val="0055055E"/>
    <w:rsid w:val="0055063C"/>
    <w:rsid w:val="00550B4F"/>
    <w:rsid w:val="0055143F"/>
    <w:rsid w:val="005517E6"/>
    <w:rsid w:val="005519B9"/>
    <w:rsid w:val="00551DD0"/>
    <w:rsid w:val="0055228B"/>
    <w:rsid w:val="0055249C"/>
    <w:rsid w:val="0055274A"/>
    <w:rsid w:val="005529EC"/>
    <w:rsid w:val="00552A1F"/>
    <w:rsid w:val="00552C6E"/>
    <w:rsid w:val="005530C9"/>
    <w:rsid w:val="005530F6"/>
    <w:rsid w:val="00553775"/>
    <w:rsid w:val="005540DD"/>
    <w:rsid w:val="005544E2"/>
    <w:rsid w:val="0055453C"/>
    <w:rsid w:val="005546FF"/>
    <w:rsid w:val="0055492F"/>
    <w:rsid w:val="0055502C"/>
    <w:rsid w:val="005551C5"/>
    <w:rsid w:val="005557B8"/>
    <w:rsid w:val="005558C4"/>
    <w:rsid w:val="00555A09"/>
    <w:rsid w:val="0055613A"/>
    <w:rsid w:val="00557080"/>
    <w:rsid w:val="005577DF"/>
    <w:rsid w:val="00557B40"/>
    <w:rsid w:val="0056030F"/>
    <w:rsid w:val="00560629"/>
    <w:rsid w:val="005606CD"/>
    <w:rsid w:val="005609D4"/>
    <w:rsid w:val="00560BF2"/>
    <w:rsid w:val="00561158"/>
    <w:rsid w:val="005612D2"/>
    <w:rsid w:val="005614D6"/>
    <w:rsid w:val="00561C82"/>
    <w:rsid w:val="00562047"/>
    <w:rsid w:val="00562086"/>
    <w:rsid w:val="0056217B"/>
    <w:rsid w:val="00562420"/>
    <w:rsid w:val="0056256D"/>
    <w:rsid w:val="00562B9C"/>
    <w:rsid w:val="00562C22"/>
    <w:rsid w:val="00562F6B"/>
    <w:rsid w:val="00563353"/>
    <w:rsid w:val="0056338C"/>
    <w:rsid w:val="00563539"/>
    <w:rsid w:val="005638CF"/>
    <w:rsid w:val="00563AB9"/>
    <w:rsid w:val="00563C93"/>
    <w:rsid w:val="00564180"/>
    <w:rsid w:val="00564336"/>
    <w:rsid w:val="00564750"/>
    <w:rsid w:val="00564DDC"/>
    <w:rsid w:val="00564E3B"/>
    <w:rsid w:val="00564E58"/>
    <w:rsid w:val="00565323"/>
    <w:rsid w:val="005653E6"/>
    <w:rsid w:val="005662FB"/>
    <w:rsid w:val="005669E4"/>
    <w:rsid w:val="005669E8"/>
    <w:rsid w:val="00567DEA"/>
    <w:rsid w:val="00567E50"/>
    <w:rsid w:val="005700D1"/>
    <w:rsid w:val="00570122"/>
    <w:rsid w:val="00570167"/>
    <w:rsid w:val="00570675"/>
    <w:rsid w:val="00570F77"/>
    <w:rsid w:val="00570FE6"/>
    <w:rsid w:val="00571003"/>
    <w:rsid w:val="00571019"/>
    <w:rsid w:val="005712CC"/>
    <w:rsid w:val="00571A7A"/>
    <w:rsid w:val="00571EF6"/>
    <w:rsid w:val="00572081"/>
    <w:rsid w:val="005720D1"/>
    <w:rsid w:val="00572250"/>
    <w:rsid w:val="00572385"/>
    <w:rsid w:val="00572C18"/>
    <w:rsid w:val="00573109"/>
    <w:rsid w:val="0057350E"/>
    <w:rsid w:val="005736D6"/>
    <w:rsid w:val="00573BDF"/>
    <w:rsid w:val="00573D21"/>
    <w:rsid w:val="0057413A"/>
    <w:rsid w:val="0057456F"/>
    <w:rsid w:val="0057486F"/>
    <w:rsid w:val="00574B32"/>
    <w:rsid w:val="00574BC9"/>
    <w:rsid w:val="00574F71"/>
    <w:rsid w:val="00575109"/>
    <w:rsid w:val="005755B2"/>
    <w:rsid w:val="00575743"/>
    <w:rsid w:val="00575805"/>
    <w:rsid w:val="00575891"/>
    <w:rsid w:val="0057593C"/>
    <w:rsid w:val="00575A2F"/>
    <w:rsid w:val="005760B2"/>
    <w:rsid w:val="00576160"/>
    <w:rsid w:val="005761C3"/>
    <w:rsid w:val="00576639"/>
    <w:rsid w:val="005769DE"/>
    <w:rsid w:val="00576A83"/>
    <w:rsid w:val="00576C68"/>
    <w:rsid w:val="00576DED"/>
    <w:rsid w:val="00576EE5"/>
    <w:rsid w:val="0057726E"/>
    <w:rsid w:val="0057757E"/>
    <w:rsid w:val="00577777"/>
    <w:rsid w:val="00577CBB"/>
    <w:rsid w:val="00577E29"/>
    <w:rsid w:val="00577E66"/>
    <w:rsid w:val="00580148"/>
    <w:rsid w:val="00580527"/>
    <w:rsid w:val="00580665"/>
    <w:rsid w:val="0058072D"/>
    <w:rsid w:val="005813D9"/>
    <w:rsid w:val="00582016"/>
    <w:rsid w:val="005821F7"/>
    <w:rsid w:val="00582DC4"/>
    <w:rsid w:val="0058314E"/>
    <w:rsid w:val="00583321"/>
    <w:rsid w:val="005835C8"/>
    <w:rsid w:val="005835E3"/>
    <w:rsid w:val="00583BEA"/>
    <w:rsid w:val="00584173"/>
    <w:rsid w:val="00584185"/>
    <w:rsid w:val="00584352"/>
    <w:rsid w:val="005845A2"/>
    <w:rsid w:val="005845EA"/>
    <w:rsid w:val="005848BE"/>
    <w:rsid w:val="00584B8D"/>
    <w:rsid w:val="0058522F"/>
    <w:rsid w:val="005852B1"/>
    <w:rsid w:val="00585368"/>
    <w:rsid w:val="00585669"/>
    <w:rsid w:val="00585813"/>
    <w:rsid w:val="0058595B"/>
    <w:rsid w:val="00585F68"/>
    <w:rsid w:val="0058604B"/>
    <w:rsid w:val="0058649D"/>
    <w:rsid w:val="00586862"/>
    <w:rsid w:val="00586D11"/>
    <w:rsid w:val="0058706E"/>
    <w:rsid w:val="0058723F"/>
    <w:rsid w:val="005878CC"/>
    <w:rsid w:val="00587DEA"/>
    <w:rsid w:val="00590086"/>
    <w:rsid w:val="005905BF"/>
    <w:rsid w:val="005908A4"/>
    <w:rsid w:val="005916DD"/>
    <w:rsid w:val="00591A64"/>
    <w:rsid w:val="00591D08"/>
    <w:rsid w:val="00592712"/>
    <w:rsid w:val="005927A3"/>
    <w:rsid w:val="00592917"/>
    <w:rsid w:val="005930FB"/>
    <w:rsid w:val="00593640"/>
    <w:rsid w:val="00593E21"/>
    <w:rsid w:val="00594686"/>
    <w:rsid w:val="00594739"/>
    <w:rsid w:val="00594814"/>
    <w:rsid w:val="00594A5F"/>
    <w:rsid w:val="00594A91"/>
    <w:rsid w:val="00594AC5"/>
    <w:rsid w:val="00594B1B"/>
    <w:rsid w:val="00594C2D"/>
    <w:rsid w:val="0059511F"/>
    <w:rsid w:val="005953E7"/>
    <w:rsid w:val="00595460"/>
    <w:rsid w:val="005954B9"/>
    <w:rsid w:val="00595928"/>
    <w:rsid w:val="00595D61"/>
    <w:rsid w:val="005961BE"/>
    <w:rsid w:val="00596245"/>
    <w:rsid w:val="00596419"/>
    <w:rsid w:val="00596447"/>
    <w:rsid w:val="005966BA"/>
    <w:rsid w:val="00596A4D"/>
    <w:rsid w:val="00596BA8"/>
    <w:rsid w:val="00596E66"/>
    <w:rsid w:val="0059702E"/>
    <w:rsid w:val="00597290"/>
    <w:rsid w:val="00597A0F"/>
    <w:rsid w:val="00597C6E"/>
    <w:rsid w:val="00597E6D"/>
    <w:rsid w:val="005A027C"/>
    <w:rsid w:val="005A0334"/>
    <w:rsid w:val="005A04F2"/>
    <w:rsid w:val="005A07F8"/>
    <w:rsid w:val="005A0BA3"/>
    <w:rsid w:val="005A1131"/>
    <w:rsid w:val="005A114E"/>
    <w:rsid w:val="005A13A1"/>
    <w:rsid w:val="005A1765"/>
    <w:rsid w:val="005A1D34"/>
    <w:rsid w:val="005A1F31"/>
    <w:rsid w:val="005A22E6"/>
    <w:rsid w:val="005A2349"/>
    <w:rsid w:val="005A2AB1"/>
    <w:rsid w:val="005A2AE0"/>
    <w:rsid w:val="005A2DDA"/>
    <w:rsid w:val="005A2F20"/>
    <w:rsid w:val="005A332F"/>
    <w:rsid w:val="005A3CD5"/>
    <w:rsid w:val="005A3F4A"/>
    <w:rsid w:val="005A3FF3"/>
    <w:rsid w:val="005A4346"/>
    <w:rsid w:val="005A4403"/>
    <w:rsid w:val="005A4D47"/>
    <w:rsid w:val="005A4D71"/>
    <w:rsid w:val="005A5C3B"/>
    <w:rsid w:val="005A5C6C"/>
    <w:rsid w:val="005A5F65"/>
    <w:rsid w:val="005A6303"/>
    <w:rsid w:val="005A6819"/>
    <w:rsid w:val="005A6862"/>
    <w:rsid w:val="005A6CCB"/>
    <w:rsid w:val="005A6D0C"/>
    <w:rsid w:val="005A7462"/>
    <w:rsid w:val="005A75C4"/>
    <w:rsid w:val="005A7601"/>
    <w:rsid w:val="005A769B"/>
    <w:rsid w:val="005A7784"/>
    <w:rsid w:val="005A79EA"/>
    <w:rsid w:val="005A7AFA"/>
    <w:rsid w:val="005A7D65"/>
    <w:rsid w:val="005A7E79"/>
    <w:rsid w:val="005B0B02"/>
    <w:rsid w:val="005B0D2C"/>
    <w:rsid w:val="005B0E56"/>
    <w:rsid w:val="005B1135"/>
    <w:rsid w:val="005B13B4"/>
    <w:rsid w:val="005B1E85"/>
    <w:rsid w:val="005B202B"/>
    <w:rsid w:val="005B2442"/>
    <w:rsid w:val="005B24D8"/>
    <w:rsid w:val="005B280F"/>
    <w:rsid w:val="005B28C8"/>
    <w:rsid w:val="005B2A89"/>
    <w:rsid w:val="005B2E3C"/>
    <w:rsid w:val="005B3042"/>
    <w:rsid w:val="005B3054"/>
    <w:rsid w:val="005B3BC4"/>
    <w:rsid w:val="005B3EF2"/>
    <w:rsid w:val="005B41CC"/>
    <w:rsid w:val="005B42D4"/>
    <w:rsid w:val="005B4472"/>
    <w:rsid w:val="005B451B"/>
    <w:rsid w:val="005B47FC"/>
    <w:rsid w:val="005B4857"/>
    <w:rsid w:val="005B4937"/>
    <w:rsid w:val="005B4C69"/>
    <w:rsid w:val="005B507C"/>
    <w:rsid w:val="005B51F5"/>
    <w:rsid w:val="005B5804"/>
    <w:rsid w:val="005B5DA5"/>
    <w:rsid w:val="005B6167"/>
    <w:rsid w:val="005B6285"/>
    <w:rsid w:val="005B69C7"/>
    <w:rsid w:val="005B6F69"/>
    <w:rsid w:val="005B71AC"/>
    <w:rsid w:val="005B75C2"/>
    <w:rsid w:val="005B7D84"/>
    <w:rsid w:val="005C0019"/>
    <w:rsid w:val="005C05C2"/>
    <w:rsid w:val="005C1176"/>
    <w:rsid w:val="005C126C"/>
    <w:rsid w:val="005C166E"/>
    <w:rsid w:val="005C1727"/>
    <w:rsid w:val="005C18FD"/>
    <w:rsid w:val="005C1C8A"/>
    <w:rsid w:val="005C1D18"/>
    <w:rsid w:val="005C1E06"/>
    <w:rsid w:val="005C207F"/>
    <w:rsid w:val="005C21F8"/>
    <w:rsid w:val="005C25AF"/>
    <w:rsid w:val="005C2762"/>
    <w:rsid w:val="005C2E0B"/>
    <w:rsid w:val="005C306E"/>
    <w:rsid w:val="005C3086"/>
    <w:rsid w:val="005C30C3"/>
    <w:rsid w:val="005C3C56"/>
    <w:rsid w:val="005C3C96"/>
    <w:rsid w:val="005C3D68"/>
    <w:rsid w:val="005C3D75"/>
    <w:rsid w:val="005C3ECE"/>
    <w:rsid w:val="005C4034"/>
    <w:rsid w:val="005C4DD0"/>
    <w:rsid w:val="005C4E0C"/>
    <w:rsid w:val="005C5513"/>
    <w:rsid w:val="005C577F"/>
    <w:rsid w:val="005C5908"/>
    <w:rsid w:val="005C5CB2"/>
    <w:rsid w:val="005C64D7"/>
    <w:rsid w:val="005C66EF"/>
    <w:rsid w:val="005C6D14"/>
    <w:rsid w:val="005C6DFD"/>
    <w:rsid w:val="005C715B"/>
    <w:rsid w:val="005C76CC"/>
    <w:rsid w:val="005C7713"/>
    <w:rsid w:val="005C7746"/>
    <w:rsid w:val="005C7CB0"/>
    <w:rsid w:val="005D0545"/>
    <w:rsid w:val="005D099D"/>
    <w:rsid w:val="005D0A0E"/>
    <w:rsid w:val="005D0B27"/>
    <w:rsid w:val="005D0C6A"/>
    <w:rsid w:val="005D0E6B"/>
    <w:rsid w:val="005D0F83"/>
    <w:rsid w:val="005D1601"/>
    <w:rsid w:val="005D162D"/>
    <w:rsid w:val="005D17A2"/>
    <w:rsid w:val="005D1868"/>
    <w:rsid w:val="005D21F5"/>
    <w:rsid w:val="005D279A"/>
    <w:rsid w:val="005D29EE"/>
    <w:rsid w:val="005D2A29"/>
    <w:rsid w:val="005D2AB1"/>
    <w:rsid w:val="005D2BBF"/>
    <w:rsid w:val="005D2C1B"/>
    <w:rsid w:val="005D2DC6"/>
    <w:rsid w:val="005D3289"/>
    <w:rsid w:val="005D3383"/>
    <w:rsid w:val="005D3574"/>
    <w:rsid w:val="005D3B7F"/>
    <w:rsid w:val="005D3D01"/>
    <w:rsid w:val="005D44FD"/>
    <w:rsid w:val="005D4501"/>
    <w:rsid w:val="005D475F"/>
    <w:rsid w:val="005D47D2"/>
    <w:rsid w:val="005D4816"/>
    <w:rsid w:val="005D4A43"/>
    <w:rsid w:val="005D50DB"/>
    <w:rsid w:val="005D57BB"/>
    <w:rsid w:val="005D597B"/>
    <w:rsid w:val="005D68A2"/>
    <w:rsid w:val="005D6929"/>
    <w:rsid w:val="005D6A4E"/>
    <w:rsid w:val="005D707E"/>
    <w:rsid w:val="005D7753"/>
    <w:rsid w:val="005D796C"/>
    <w:rsid w:val="005D79F8"/>
    <w:rsid w:val="005D7CB0"/>
    <w:rsid w:val="005D7ECC"/>
    <w:rsid w:val="005D7ED6"/>
    <w:rsid w:val="005D7F74"/>
    <w:rsid w:val="005E010A"/>
    <w:rsid w:val="005E05A0"/>
    <w:rsid w:val="005E067A"/>
    <w:rsid w:val="005E075D"/>
    <w:rsid w:val="005E0CD0"/>
    <w:rsid w:val="005E0F04"/>
    <w:rsid w:val="005E11C9"/>
    <w:rsid w:val="005E131C"/>
    <w:rsid w:val="005E146B"/>
    <w:rsid w:val="005E1D68"/>
    <w:rsid w:val="005E1D9E"/>
    <w:rsid w:val="005E239A"/>
    <w:rsid w:val="005E25BA"/>
    <w:rsid w:val="005E2796"/>
    <w:rsid w:val="005E2BA8"/>
    <w:rsid w:val="005E2F1F"/>
    <w:rsid w:val="005E3099"/>
    <w:rsid w:val="005E3345"/>
    <w:rsid w:val="005E356F"/>
    <w:rsid w:val="005E3D2D"/>
    <w:rsid w:val="005E3D85"/>
    <w:rsid w:val="005E3F38"/>
    <w:rsid w:val="005E425A"/>
    <w:rsid w:val="005E47CF"/>
    <w:rsid w:val="005E483A"/>
    <w:rsid w:val="005E494E"/>
    <w:rsid w:val="005E4BEC"/>
    <w:rsid w:val="005E50E2"/>
    <w:rsid w:val="005E551D"/>
    <w:rsid w:val="005E5880"/>
    <w:rsid w:val="005E5B73"/>
    <w:rsid w:val="005E62C0"/>
    <w:rsid w:val="005E66DA"/>
    <w:rsid w:val="005E71E3"/>
    <w:rsid w:val="005E73EC"/>
    <w:rsid w:val="005F06FB"/>
    <w:rsid w:val="005F0A87"/>
    <w:rsid w:val="005F0D32"/>
    <w:rsid w:val="005F0E9E"/>
    <w:rsid w:val="005F0F6F"/>
    <w:rsid w:val="005F132A"/>
    <w:rsid w:val="005F1498"/>
    <w:rsid w:val="005F18EB"/>
    <w:rsid w:val="005F1955"/>
    <w:rsid w:val="005F1D28"/>
    <w:rsid w:val="005F200D"/>
    <w:rsid w:val="005F2D90"/>
    <w:rsid w:val="005F34F5"/>
    <w:rsid w:val="005F3671"/>
    <w:rsid w:val="005F3A6F"/>
    <w:rsid w:val="005F40FA"/>
    <w:rsid w:val="005F4989"/>
    <w:rsid w:val="005F49E7"/>
    <w:rsid w:val="005F4DEE"/>
    <w:rsid w:val="005F5220"/>
    <w:rsid w:val="005F52F0"/>
    <w:rsid w:val="005F5374"/>
    <w:rsid w:val="005F53E3"/>
    <w:rsid w:val="005F55A9"/>
    <w:rsid w:val="005F5704"/>
    <w:rsid w:val="005F584C"/>
    <w:rsid w:val="005F5CEA"/>
    <w:rsid w:val="005F6105"/>
    <w:rsid w:val="005F62C1"/>
    <w:rsid w:val="005F6663"/>
    <w:rsid w:val="005F707D"/>
    <w:rsid w:val="005F7446"/>
    <w:rsid w:val="005F751E"/>
    <w:rsid w:val="005F7571"/>
    <w:rsid w:val="005F75F5"/>
    <w:rsid w:val="005F7645"/>
    <w:rsid w:val="0060022B"/>
    <w:rsid w:val="00600295"/>
    <w:rsid w:val="006003A4"/>
    <w:rsid w:val="006006B9"/>
    <w:rsid w:val="00600E7C"/>
    <w:rsid w:val="0060107E"/>
    <w:rsid w:val="00601B03"/>
    <w:rsid w:val="00601C4D"/>
    <w:rsid w:val="00601C81"/>
    <w:rsid w:val="00601E9F"/>
    <w:rsid w:val="00602BA4"/>
    <w:rsid w:val="0060331E"/>
    <w:rsid w:val="0060335E"/>
    <w:rsid w:val="00603635"/>
    <w:rsid w:val="006036DF"/>
    <w:rsid w:val="006039D0"/>
    <w:rsid w:val="00603A2A"/>
    <w:rsid w:val="00603AB0"/>
    <w:rsid w:val="006045DB"/>
    <w:rsid w:val="00604916"/>
    <w:rsid w:val="00604B9E"/>
    <w:rsid w:val="00604F32"/>
    <w:rsid w:val="0060542D"/>
    <w:rsid w:val="00605A22"/>
    <w:rsid w:val="00605B07"/>
    <w:rsid w:val="00605C49"/>
    <w:rsid w:val="00605E43"/>
    <w:rsid w:val="00605F03"/>
    <w:rsid w:val="0060639C"/>
    <w:rsid w:val="006063F8"/>
    <w:rsid w:val="006065B3"/>
    <w:rsid w:val="00607907"/>
    <w:rsid w:val="00607B79"/>
    <w:rsid w:val="0061039D"/>
    <w:rsid w:val="00610449"/>
    <w:rsid w:val="00610516"/>
    <w:rsid w:val="00610A1F"/>
    <w:rsid w:val="00611461"/>
    <w:rsid w:val="006115D5"/>
    <w:rsid w:val="00611999"/>
    <w:rsid w:val="00611A2C"/>
    <w:rsid w:val="00612147"/>
    <w:rsid w:val="00612329"/>
    <w:rsid w:val="00612368"/>
    <w:rsid w:val="006125AA"/>
    <w:rsid w:val="00612A3C"/>
    <w:rsid w:val="00612BC6"/>
    <w:rsid w:val="006132EA"/>
    <w:rsid w:val="00613379"/>
    <w:rsid w:val="00613402"/>
    <w:rsid w:val="006135EB"/>
    <w:rsid w:val="00613755"/>
    <w:rsid w:val="0061391F"/>
    <w:rsid w:val="00614095"/>
    <w:rsid w:val="0061422B"/>
    <w:rsid w:val="00614B5A"/>
    <w:rsid w:val="00614C10"/>
    <w:rsid w:val="00614C30"/>
    <w:rsid w:val="00615334"/>
    <w:rsid w:val="006156A8"/>
    <w:rsid w:val="00615749"/>
    <w:rsid w:val="00615F8F"/>
    <w:rsid w:val="00616301"/>
    <w:rsid w:val="00616607"/>
    <w:rsid w:val="006172DD"/>
    <w:rsid w:val="00617528"/>
    <w:rsid w:val="00617985"/>
    <w:rsid w:val="00617FE5"/>
    <w:rsid w:val="0062001E"/>
    <w:rsid w:val="00620156"/>
    <w:rsid w:val="0062030A"/>
    <w:rsid w:val="00620409"/>
    <w:rsid w:val="00620BFF"/>
    <w:rsid w:val="00620ECE"/>
    <w:rsid w:val="00621341"/>
    <w:rsid w:val="00621371"/>
    <w:rsid w:val="006217E2"/>
    <w:rsid w:val="00621845"/>
    <w:rsid w:val="006223D4"/>
    <w:rsid w:val="0062276F"/>
    <w:rsid w:val="00622FDC"/>
    <w:rsid w:val="006230C5"/>
    <w:rsid w:val="006233AE"/>
    <w:rsid w:val="00623983"/>
    <w:rsid w:val="00623A82"/>
    <w:rsid w:val="00623B10"/>
    <w:rsid w:val="00623D77"/>
    <w:rsid w:val="00623F3E"/>
    <w:rsid w:val="0062412D"/>
    <w:rsid w:val="00624974"/>
    <w:rsid w:val="00624AB6"/>
    <w:rsid w:val="00624F68"/>
    <w:rsid w:val="006253EB"/>
    <w:rsid w:val="00625961"/>
    <w:rsid w:val="00625BED"/>
    <w:rsid w:val="00625D6D"/>
    <w:rsid w:val="00625DA8"/>
    <w:rsid w:val="00625E39"/>
    <w:rsid w:val="006261B9"/>
    <w:rsid w:val="006266AE"/>
    <w:rsid w:val="00627165"/>
    <w:rsid w:val="006277E6"/>
    <w:rsid w:val="00627939"/>
    <w:rsid w:val="00627A9A"/>
    <w:rsid w:val="00627DB2"/>
    <w:rsid w:val="00630188"/>
    <w:rsid w:val="00630199"/>
    <w:rsid w:val="0063044B"/>
    <w:rsid w:val="00630727"/>
    <w:rsid w:val="006309D0"/>
    <w:rsid w:val="00630ABF"/>
    <w:rsid w:val="00631292"/>
    <w:rsid w:val="00631511"/>
    <w:rsid w:val="0063270F"/>
    <w:rsid w:val="00632859"/>
    <w:rsid w:val="00632864"/>
    <w:rsid w:val="0063287F"/>
    <w:rsid w:val="00632948"/>
    <w:rsid w:val="006332A3"/>
    <w:rsid w:val="006334B2"/>
    <w:rsid w:val="00633696"/>
    <w:rsid w:val="006337A5"/>
    <w:rsid w:val="00633BDD"/>
    <w:rsid w:val="00633D3B"/>
    <w:rsid w:val="00633DCF"/>
    <w:rsid w:val="00634116"/>
    <w:rsid w:val="0063416F"/>
    <w:rsid w:val="006344A2"/>
    <w:rsid w:val="006349D1"/>
    <w:rsid w:val="00634B5A"/>
    <w:rsid w:val="00634C3B"/>
    <w:rsid w:val="00635830"/>
    <w:rsid w:val="00635865"/>
    <w:rsid w:val="006358B4"/>
    <w:rsid w:val="00635B83"/>
    <w:rsid w:val="00635DAF"/>
    <w:rsid w:val="00635F0A"/>
    <w:rsid w:val="00636337"/>
    <w:rsid w:val="006363E3"/>
    <w:rsid w:val="00636422"/>
    <w:rsid w:val="00636B72"/>
    <w:rsid w:val="00636B98"/>
    <w:rsid w:val="00636E96"/>
    <w:rsid w:val="00636EB7"/>
    <w:rsid w:val="0063768C"/>
    <w:rsid w:val="006378E9"/>
    <w:rsid w:val="00637A3D"/>
    <w:rsid w:val="00637C4C"/>
    <w:rsid w:val="00637EF9"/>
    <w:rsid w:val="00637F24"/>
    <w:rsid w:val="00640058"/>
    <w:rsid w:val="006402B4"/>
    <w:rsid w:val="006408C9"/>
    <w:rsid w:val="00640E98"/>
    <w:rsid w:val="00640EFE"/>
    <w:rsid w:val="00641251"/>
    <w:rsid w:val="006414EA"/>
    <w:rsid w:val="00641622"/>
    <w:rsid w:val="006417BE"/>
    <w:rsid w:val="006419D1"/>
    <w:rsid w:val="00641ED1"/>
    <w:rsid w:val="006420E6"/>
    <w:rsid w:val="00642151"/>
    <w:rsid w:val="00642694"/>
    <w:rsid w:val="006426A5"/>
    <w:rsid w:val="00642B0D"/>
    <w:rsid w:val="00642F72"/>
    <w:rsid w:val="006431F8"/>
    <w:rsid w:val="00643E37"/>
    <w:rsid w:val="00644009"/>
    <w:rsid w:val="0064490E"/>
    <w:rsid w:val="00644DC1"/>
    <w:rsid w:val="00644F41"/>
    <w:rsid w:val="006455F3"/>
    <w:rsid w:val="006456BE"/>
    <w:rsid w:val="00645959"/>
    <w:rsid w:val="00645DFE"/>
    <w:rsid w:val="006461BF"/>
    <w:rsid w:val="0064643F"/>
    <w:rsid w:val="00646B17"/>
    <w:rsid w:val="00646B4A"/>
    <w:rsid w:val="00646B65"/>
    <w:rsid w:val="00646FC9"/>
    <w:rsid w:val="00647072"/>
    <w:rsid w:val="00647418"/>
    <w:rsid w:val="006475E9"/>
    <w:rsid w:val="00647DA3"/>
    <w:rsid w:val="00647DA8"/>
    <w:rsid w:val="006501F5"/>
    <w:rsid w:val="0065070F"/>
    <w:rsid w:val="00650724"/>
    <w:rsid w:val="00650C1A"/>
    <w:rsid w:val="00650F11"/>
    <w:rsid w:val="00651230"/>
    <w:rsid w:val="006513FD"/>
    <w:rsid w:val="0065176A"/>
    <w:rsid w:val="00651A56"/>
    <w:rsid w:val="00652965"/>
    <w:rsid w:val="00652AB7"/>
    <w:rsid w:val="00652D79"/>
    <w:rsid w:val="006534AB"/>
    <w:rsid w:val="0065362F"/>
    <w:rsid w:val="0065371F"/>
    <w:rsid w:val="006539D1"/>
    <w:rsid w:val="00653CAA"/>
    <w:rsid w:val="00653CD8"/>
    <w:rsid w:val="006543E3"/>
    <w:rsid w:val="00654448"/>
    <w:rsid w:val="00654801"/>
    <w:rsid w:val="00654862"/>
    <w:rsid w:val="00654BD9"/>
    <w:rsid w:val="00654D7E"/>
    <w:rsid w:val="006551D1"/>
    <w:rsid w:val="0065564B"/>
    <w:rsid w:val="006559B8"/>
    <w:rsid w:val="00655E1D"/>
    <w:rsid w:val="006562A4"/>
    <w:rsid w:val="0065633A"/>
    <w:rsid w:val="006566FC"/>
    <w:rsid w:val="0065684E"/>
    <w:rsid w:val="00657611"/>
    <w:rsid w:val="006576DA"/>
    <w:rsid w:val="006579BA"/>
    <w:rsid w:val="00657B16"/>
    <w:rsid w:val="00657CD4"/>
    <w:rsid w:val="00657FDE"/>
    <w:rsid w:val="006601A3"/>
    <w:rsid w:val="006604A0"/>
    <w:rsid w:val="00660CC8"/>
    <w:rsid w:val="00660F01"/>
    <w:rsid w:val="0066106A"/>
    <w:rsid w:val="0066146C"/>
    <w:rsid w:val="00661783"/>
    <w:rsid w:val="0066193D"/>
    <w:rsid w:val="00661F36"/>
    <w:rsid w:val="00661F8C"/>
    <w:rsid w:val="00662254"/>
    <w:rsid w:val="006622D2"/>
    <w:rsid w:val="00662700"/>
    <w:rsid w:val="00662DF8"/>
    <w:rsid w:val="00663717"/>
    <w:rsid w:val="00663C61"/>
    <w:rsid w:val="0066466E"/>
    <w:rsid w:val="00664AB6"/>
    <w:rsid w:val="00664E19"/>
    <w:rsid w:val="00665257"/>
    <w:rsid w:val="0066551C"/>
    <w:rsid w:val="006656DF"/>
    <w:rsid w:val="006659CD"/>
    <w:rsid w:val="00665A1A"/>
    <w:rsid w:val="00665C53"/>
    <w:rsid w:val="00665E78"/>
    <w:rsid w:val="006667A6"/>
    <w:rsid w:val="00666E72"/>
    <w:rsid w:val="0066746A"/>
    <w:rsid w:val="0066760E"/>
    <w:rsid w:val="00667FB1"/>
    <w:rsid w:val="00670414"/>
    <w:rsid w:val="00670581"/>
    <w:rsid w:val="00670CA5"/>
    <w:rsid w:val="00670F7D"/>
    <w:rsid w:val="00670FA1"/>
    <w:rsid w:val="00670FD1"/>
    <w:rsid w:val="00671009"/>
    <w:rsid w:val="0067117C"/>
    <w:rsid w:val="006712F2"/>
    <w:rsid w:val="00671436"/>
    <w:rsid w:val="006718E8"/>
    <w:rsid w:val="00671922"/>
    <w:rsid w:val="00671CDA"/>
    <w:rsid w:val="00671D10"/>
    <w:rsid w:val="00671D37"/>
    <w:rsid w:val="00671FBC"/>
    <w:rsid w:val="0067228B"/>
    <w:rsid w:val="0067298F"/>
    <w:rsid w:val="00672A12"/>
    <w:rsid w:val="00672D69"/>
    <w:rsid w:val="00672FDA"/>
    <w:rsid w:val="006733DE"/>
    <w:rsid w:val="00673B01"/>
    <w:rsid w:val="00673BB8"/>
    <w:rsid w:val="0067411F"/>
    <w:rsid w:val="0067481E"/>
    <w:rsid w:val="00674926"/>
    <w:rsid w:val="00674959"/>
    <w:rsid w:val="00674AEC"/>
    <w:rsid w:val="00674DB5"/>
    <w:rsid w:val="00674FC4"/>
    <w:rsid w:val="0067525A"/>
    <w:rsid w:val="0067549B"/>
    <w:rsid w:val="0067577C"/>
    <w:rsid w:val="00675872"/>
    <w:rsid w:val="0067595B"/>
    <w:rsid w:val="00675CF8"/>
    <w:rsid w:val="00675F57"/>
    <w:rsid w:val="0067628D"/>
    <w:rsid w:val="0067651C"/>
    <w:rsid w:val="00676F8D"/>
    <w:rsid w:val="00676FA3"/>
    <w:rsid w:val="00677264"/>
    <w:rsid w:val="006772F9"/>
    <w:rsid w:val="0067795B"/>
    <w:rsid w:val="00677D7E"/>
    <w:rsid w:val="006806F8"/>
    <w:rsid w:val="006808B6"/>
    <w:rsid w:val="00680D6D"/>
    <w:rsid w:val="00680D82"/>
    <w:rsid w:val="0068113F"/>
    <w:rsid w:val="006814BA"/>
    <w:rsid w:val="006814CB"/>
    <w:rsid w:val="006819EB"/>
    <w:rsid w:val="00681A57"/>
    <w:rsid w:val="00681AE3"/>
    <w:rsid w:val="00681E4E"/>
    <w:rsid w:val="006826C5"/>
    <w:rsid w:val="00682758"/>
    <w:rsid w:val="00682ADC"/>
    <w:rsid w:val="00683024"/>
    <w:rsid w:val="00683178"/>
    <w:rsid w:val="006833B4"/>
    <w:rsid w:val="0068387E"/>
    <w:rsid w:val="006840F1"/>
    <w:rsid w:val="0068419A"/>
    <w:rsid w:val="006843FE"/>
    <w:rsid w:val="00685195"/>
    <w:rsid w:val="00685345"/>
    <w:rsid w:val="006853F7"/>
    <w:rsid w:val="00685470"/>
    <w:rsid w:val="00685748"/>
    <w:rsid w:val="00685C0E"/>
    <w:rsid w:val="00685D73"/>
    <w:rsid w:val="00686539"/>
    <w:rsid w:val="0068664D"/>
    <w:rsid w:val="006867FA"/>
    <w:rsid w:val="0068693B"/>
    <w:rsid w:val="00686F08"/>
    <w:rsid w:val="00687188"/>
    <w:rsid w:val="0068724B"/>
    <w:rsid w:val="00687362"/>
    <w:rsid w:val="00687737"/>
    <w:rsid w:val="006879DC"/>
    <w:rsid w:val="00687B7D"/>
    <w:rsid w:val="00687EA2"/>
    <w:rsid w:val="00690044"/>
    <w:rsid w:val="00690177"/>
    <w:rsid w:val="00690842"/>
    <w:rsid w:val="00691D38"/>
    <w:rsid w:val="00691ED5"/>
    <w:rsid w:val="0069221C"/>
    <w:rsid w:val="006923A9"/>
    <w:rsid w:val="006927F3"/>
    <w:rsid w:val="006928D8"/>
    <w:rsid w:val="00692AE2"/>
    <w:rsid w:val="00692EDC"/>
    <w:rsid w:val="006932B5"/>
    <w:rsid w:val="00693479"/>
    <w:rsid w:val="00693A30"/>
    <w:rsid w:val="00693A4A"/>
    <w:rsid w:val="00693B18"/>
    <w:rsid w:val="00693E0D"/>
    <w:rsid w:val="00693F31"/>
    <w:rsid w:val="00693F61"/>
    <w:rsid w:val="00693F7E"/>
    <w:rsid w:val="00693FBF"/>
    <w:rsid w:val="00693FC8"/>
    <w:rsid w:val="00694E2D"/>
    <w:rsid w:val="006950CF"/>
    <w:rsid w:val="0069510B"/>
    <w:rsid w:val="0069541F"/>
    <w:rsid w:val="0069547E"/>
    <w:rsid w:val="00695BF0"/>
    <w:rsid w:val="00695D82"/>
    <w:rsid w:val="00695EFE"/>
    <w:rsid w:val="006965DE"/>
    <w:rsid w:val="00696BE3"/>
    <w:rsid w:val="00697035"/>
    <w:rsid w:val="00697061"/>
    <w:rsid w:val="0069719B"/>
    <w:rsid w:val="00697404"/>
    <w:rsid w:val="00697500"/>
    <w:rsid w:val="0069765B"/>
    <w:rsid w:val="00697B3E"/>
    <w:rsid w:val="00697B45"/>
    <w:rsid w:val="006A06F5"/>
    <w:rsid w:val="006A0719"/>
    <w:rsid w:val="006A084F"/>
    <w:rsid w:val="006A08E3"/>
    <w:rsid w:val="006A0A7C"/>
    <w:rsid w:val="006A0CAE"/>
    <w:rsid w:val="006A0FB2"/>
    <w:rsid w:val="006A1393"/>
    <w:rsid w:val="006A1789"/>
    <w:rsid w:val="006A1856"/>
    <w:rsid w:val="006A18CB"/>
    <w:rsid w:val="006A1ABA"/>
    <w:rsid w:val="006A1CD8"/>
    <w:rsid w:val="006A210F"/>
    <w:rsid w:val="006A2351"/>
    <w:rsid w:val="006A33DE"/>
    <w:rsid w:val="006A3AB4"/>
    <w:rsid w:val="006A3AED"/>
    <w:rsid w:val="006A3D29"/>
    <w:rsid w:val="006A3D39"/>
    <w:rsid w:val="006A3EC7"/>
    <w:rsid w:val="006A3EDD"/>
    <w:rsid w:val="006A44B6"/>
    <w:rsid w:val="006A48B8"/>
    <w:rsid w:val="006A48E5"/>
    <w:rsid w:val="006A4B64"/>
    <w:rsid w:val="006A4DBD"/>
    <w:rsid w:val="006A5046"/>
    <w:rsid w:val="006A5E7A"/>
    <w:rsid w:val="006A68FE"/>
    <w:rsid w:val="006A6BF2"/>
    <w:rsid w:val="006A6E92"/>
    <w:rsid w:val="006A7141"/>
    <w:rsid w:val="006A73D3"/>
    <w:rsid w:val="006A7909"/>
    <w:rsid w:val="006A79B6"/>
    <w:rsid w:val="006A7AE3"/>
    <w:rsid w:val="006A7D2B"/>
    <w:rsid w:val="006A7D55"/>
    <w:rsid w:val="006B0059"/>
    <w:rsid w:val="006B03F0"/>
    <w:rsid w:val="006B0654"/>
    <w:rsid w:val="006B0708"/>
    <w:rsid w:val="006B087A"/>
    <w:rsid w:val="006B0D3B"/>
    <w:rsid w:val="006B0E80"/>
    <w:rsid w:val="006B0F55"/>
    <w:rsid w:val="006B11B7"/>
    <w:rsid w:val="006B11DA"/>
    <w:rsid w:val="006B1525"/>
    <w:rsid w:val="006B1BE1"/>
    <w:rsid w:val="006B1CEF"/>
    <w:rsid w:val="006B1E30"/>
    <w:rsid w:val="006B1FAD"/>
    <w:rsid w:val="006B27DA"/>
    <w:rsid w:val="006B2815"/>
    <w:rsid w:val="006B2AE2"/>
    <w:rsid w:val="006B3307"/>
    <w:rsid w:val="006B3526"/>
    <w:rsid w:val="006B3799"/>
    <w:rsid w:val="006B3B6A"/>
    <w:rsid w:val="006B3C15"/>
    <w:rsid w:val="006B3F47"/>
    <w:rsid w:val="006B40EF"/>
    <w:rsid w:val="006B4123"/>
    <w:rsid w:val="006B4290"/>
    <w:rsid w:val="006B4706"/>
    <w:rsid w:val="006B580F"/>
    <w:rsid w:val="006B58CC"/>
    <w:rsid w:val="006B5A02"/>
    <w:rsid w:val="006B5DB7"/>
    <w:rsid w:val="006B6171"/>
    <w:rsid w:val="006B6922"/>
    <w:rsid w:val="006B6C85"/>
    <w:rsid w:val="006B7720"/>
    <w:rsid w:val="006B77BC"/>
    <w:rsid w:val="006B7904"/>
    <w:rsid w:val="006B7C4F"/>
    <w:rsid w:val="006B7C72"/>
    <w:rsid w:val="006B7E4E"/>
    <w:rsid w:val="006B7FEC"/>
    <w:rsid w:val="006C02CF"/>
    <w:rsid w:val="006C0871"/>
    <w:rsid w:val="006C0886"/>
    <w:rsid w:val="006C0EC6"/>
    <w:rsid w:val="006C106A"/>
    <w:rsid w:val="006C108C"/>
    <w:rsid w:val="006C1090"/>
    <w:rsid w:val="006C15BA"/>
    <w:rsid w:val="006C1893"/>
    <w:rsid w:val="006C1C34"/>
    <w:rsid w:val="006C1EAF"/>
    <w:rsid w:val="006C2009"/>
    <w:rsid w:val="006C21AD"/>
    <w:rsid w:val="006C25D4"/>
    <w:rsid w:val="006C2BB5"/>
    <w:rsid w:val="006C2CB6"/>
    <w:rsid w:val="006C2CE1"/>
    <w:rsid w:val="006C3727"/>
    <w:rsid w:val="006C39FE"/>
    <w:rsid w:val="006C3ED0"/>
    <w:rsid w:val="006C3FEB"/>
    <w:rsid w:val="006C4052"/>
    <w:rsid w:val="006C411B"/>
    <w:rsid w:val="006C41F6"/>
    <w:rsid w:val="006C4369"/>
    <w:rsid w:val="006C4403"/>
    <w:rsid w:val="006C4BA6"/>
    <w:rsid w:val="006C4E82"/>
    <w:rsid w:val="006C4F08"/>
    <w:rsid w:val="006C4FF0"/>
    <w:rsid w:val="006C512C"/>
    <w:rsid w:val="006C58BF"/>
    <w:rsid w:val="006C58C0"/>
    <w:rsid w:val="006C593E"/>
    <w:rsid w:val="006C5B23"/>
    <w:rsid w:val="006C5DF6"/>
    <w:rsid w:val="006C5FAA"/>
    <w:rsid w:val="006C624F"/>
    <w:rsid w:val="006C6F0D"/>
    <w:rsid w:val="006C6F46"/>
    <w:rsid w:val="006C6FBA"/>
    <w:rsid w:val="006C7280"/>
    <w:rsid w:val="006C75F0"/>
    <w:rsid w:val="006C78D6"/>
    <w:rsid w:val="006C7984"/>
    <w:rsid w:val="006D001F"/>
    <w:rsid w:val="006D0193"/>
    <w:rsid w:val="006D0C78"/>
    <w:rsid w:val="006D0D05"/>
    <w:rsid w:val="006D0ECE"/>
    <w:rsid w:val="006D0FEA"/>
    <w:rsid w:val="006D1084"/>
    <w:rsid w:val="006D1145"/>
    <w:rsid w:val="006D11CE"/>
    <w:rsid w:val="006D1A0B"/>
    <w:rsid w:val="006D20DE"/>
    <w:rsid w:val="006D21D8"/>
    <w:rsid w:val="006D249A"/>
    <w:rsid w:val="006D25D3"/>
    <w:rsid w:val="006D2ACE"/>
    <w:rsid w:val="006D2D6A"/>
    <w:rsid w:val="006D31D5"/>
    <w:rsid w:val="006D3411"/>
    <w:rsid w:val="006D35D8"/>
    <w:rsid w:val="006D39EB"/>
    <w:rsid w:val="006D3B05"/>
    <w:rsid w:val="006D3CBF"/>
    <w:rsid w:val="006D3DDC"/>
    <w:rsid w:val="006D3E43"/>
    <w:rsid w:val="006D3FBB"/>
    <w:rsid w:val="006D40DC"/>
    <w:rsid w:val="006D42CD"/>
    <w:rsid w:val="006D448B"/>
    <w:rsid w:val="006D4592"/>
    <w:rsid w:val="006D4692"/>
    <w:rsid w:val="006D4AFA"/>
    <w:rsid w:val="006D4FE5"/>
    <w:rsid w:val="006D5897"/>
    <w:rsid w:val="006D62C5"/>
    <w:rsid w:val="006D6531"/>
    <w:rsid w:val="006D667D"/>
    <w:rsid w:val="006D6C71"/>
    <w:rsid w:val="006D70C4"/>
    <w:rsid w:val="006D7572"/>
    <w:rsid w:val="006D7664"/>
    <w:rsid w:val="006D7866"/>
    <w:rsid w:val="006E005C"/>
    <w:rsid w:val="006E0248"/>
    <w:rsid w:val="006E0C21"/>
    <w:rsid w:val="006E0DF8"/>
    <w:rsid w:val="006E11EA"/>
    <w:rsid w:val="006E15F9"/>
    <w:rsid w:val="006E1813"/>
    <w:rsid w:val="006E1A0D"/>
    <w:rsid w:val="006E1B5C"/>
    <w:rsid w:val="006E1BD7"/>
    <w:rsid w:val="006E1E14"/>
    <w:rsid w:val="006E23F6"/>
    <w:rsid w:val="006E2741"/>
    <w:rsid w:val="006E28EF"/>
    <w:rsid w:val="006E341F"/>
    <w:rsid w:val="006E3462"/>
    <w:rsid w:val="006E381B"/>
    <w:rsid w:val="006E3FAE"/>
    <w:rsid w:val="006E4391"/>
    <w:rsid w:val="006E4396"/>
    <w:rsid w:val="006E4B67"/>
    <w:rsid w:val="006E4EEE"/>
    <w:rsid w:val="006E4F81"/>
    <w:rsid w:val="006E51EC"/>
    <w:rsid w:val="006E55E3"/>
    <w:rsid w:val="006E5C3D"/>
    <w:rsid w:val="006E5EAC"/>
    <w:rsid w:val="006E6444"/>
    <w:rsid w:val="006E7249"/>
    <w:rsid w:val="006E7268"/>
    <w:rsid w:val="006E72F8"/>
    <w:rsid w:val="006E75A1"/>
    <w:rsid w:val="006E7809"/>
    <w:rsid w:val="006E79C8"/>
    <w:rsid w:val="006E7D2E"/>
    <w:rsid w:val="006E7F09"/>
    <w:rsid w:val="006F0229"/>
    <w:rsid w:val="006F02BE"/>
    <w:rsid w:val="006F0579"/>
    <w:rsid w:val="006F07AB"/>
    <w:rsid w:val="006F0851"/>
    <w:rsid w:val="006F0A42"/>
    <w:rsid w:val="006F103B"/>
    <w:rsid w:val="006F1466"/>
    <w:rsid w:val="006F1833"/>
    <w:rsid w:val="006F1A63"/>
    <w:rsid w:val="006F1B6C"/>
    <w:rsid w:val="006F1E98"/>
    <w:rsid w:val="006F2038"/>
    <w:rsid w:val="006F2649"/>
    <w:rsid w:val="006F2684"/>
    <w:rsid w:val="006F2AB0"/>
    <w:rsid w:val="006F2EB6"/>
    <w:rsid w:val="006F346F"/>
    <w:rsid w:val="006F34F6"/>
    <w:rsid w:val="006F3B81"/>
    <w:rsid w:val="006F3CFF"/>
    <w:rsid w:val="006F3FCA"/>
    <w:rsid w:val="006F43C3"/>
    <w:rsid w:val="006F537E"/>
    <w:rsid w:val="006F578D"/>
    <w:rsid w:val="006F5800"/>
    <w:rsid w:val="006F5869"/>
    <w:rsid w:val="006F5BBF"/>
    <w:rsid w:val="006F5F1F"/>
    <w:rsid w:val="006F5F3B"/>
    <w:rsid w:val="006F625B"/>
    <w:rsid w:val="006F6B9F"/>
    <w:rsid w:val="006F722A"/>
    <w:rsid w:val="006F76CC"/>
    <w:rsid w:val="006F779F"/>
    <w:rsid w:val="006F79A7"/>
    <w:rsid w:val="006F79DC"/>
    <w:rsid w:val="006F7E5A"/>
    <w:rsid w:val="0070009A"/>
    <w:rsid w:val="00700315"/>
    <w:rsid w:val="00700A29"/>
    <w:rsid w:val="00700FC5"/>
    <w:rsid w:val="007012D2"/>
    <w:rsid w:val="007012E4"/>
    <w:rsid w:val="0070190F"/>
    <w:rsid w:val="0070199E"/>
    <w:rsid w:val="00701A51"/>
    <w:rsid w:val="00701AC7"/>
    <w:rsid w:val="007023BD"/>
    <w:rsid w:val="00702DA3"/>
    <w:rsid w:val="0070310E"/>
    <w:rsid w:val="007032B7"/>
    <w:rsid w:val="007036AE"/>
    <w:rsid w:val="00703815"/>
    <w:rsid w:val="0070391D"/>
    <w:rsid w:val="00703EE3"/>
    <w:rsid w:val="00704325"/>
    <w:rsid w:val="00704771"/>
    <w:rsid w:val="0070486B"/>
    <w:rsid w:val="00704DB9"/>
    <w:rsid w:val="00704E5E"/>
    <w:rsid w:val="00704F2E"/>
    <w:rsid w:val="0070539B"/>
    <w:rsid w:val="0070558F"/>
    <w:rsid w:val="00705647"/>
    <w:rsid w:val="007057A2"/>
    <w:rsid w:val="007057E9"/>
    <w:rsid w:val="007063C4"/>
    <w:rsid w:val="00706564"/>
    <w:rsid w:val="007065BD"/>
    <w:rsid w:val="00706BE5"/>
    <w:rsid w:val="00706C2A"/>
    <w:rsid w:val="00706CE5"/>
    <w:rsid w:val="00706E03"/>
    <w:rsid w:val="00706FCB"/>
    <w:rsid w:val="00707420"/>
    <w:rsid w:val="00707830"/>
    <w:rsid w:val="00707A0E"/>
    <w:rsid w:val="00707D56"/>
    <w:rsid w:val="00710072"/>
    <w:rsid w:val="00710821"/>
    <w:rsid w:val="00710CEB"/>
    <w:rsid w:val="00710ECA"/>
    <w:rsid w:val="00711869"/>
    <w:rsid w:val="007118BC"/>
    <w:rsid w:val="00711A80"/>
    <w:rsid w:val="00711CB1"/>
    <w:rsid w:val="00711DE8"/>
    <w:rsid w:val="0071241B"/>
    <w:rsid w:val="007125B5"/>
    <w:rsid w:val="0071271E"/>
    <w:rsid w:val="0071273C"/>
    <w:rsid w:val="007127E8"/>
    <w:rsid w:val="00712995"/>
    <w:rsid w:val="00712AC4"/>
    <w:rsid w:val="00712B33"/>
    <w:rsid w:val="00712EF8"/>
    <w:rsid w:val="00712FA0"/>
    <w:rsid w:val="007130C7"/>
    <w:rsid w:val="00713174"/>
    <w:rsid w:val="00713578"/>
    <w:rsid w:val="0071382D"/>
    <w:rsid w:val="007138E1"/>
    <w:rsid w:val="00713A05"/>
    <w:rsid w:val="00713BA9"/>
    <w:rsid w:val="00713C4E"/>
    <w:rsid w:val="0071417E"/>
    <w:rsid w:val="007141CF"/>
    <w:rsid w:val="007144F7"/>
    <w:rsid w:val="00714936"/>
    <w:rsid w:val="00714AB0"/>
    <w:rsid w:val="0071565E"/>
    <w:rsid w:val="00715851"/>
    <w:rsid w:val="00716963"/>
    <w:rsid w:val="00716D49"/>
    <w:rsid w:val="0071759B"/>
    <w:rsid w:val="00717B27"/>
    <w:rsid w:val="00717BC2"/>
    <w:rsid w:val="00717BE9"/>
    <w:rsid w:val="00717E6C"/>
    <w:rsid w:val="00720214"/>
    <w:rsid w:val="007202A9"/>
    <w:rsid w:val="00720581"/>
    <w:rsid w:val="0072073E"/>
    <w:rsid w:val="007210F3"/>
    <w:rsid w:val="00721291"/>
    <w:rsid w:val="007214C3"/>
    <w:rsid w:val="00721859"/>
    <w:rsid w:val="0072189A"/>
    <w:rsid w:val="00721F0F"/>
    <w:rsid w:val="007224BE"/>
    <w:rsid w:val="00722637"/>
    <w:rsid w:val="00722B6F"/>
    <w:rsid w:val="00722BDD"/>
    <w:rsid w:val="00722E5F"/>
    <w:rsid w:val="00723323"/>
    <w:rsid w:val="00723BC5"/>
    <w:rsid w:val="00723D3B"/>
    <w:rsid w:val="00723EC6"/>
    <w:rsid w:val="00724276"/>
    <w:rsid w:val="0072432D"/>
    <w:rsid w:val="00724996"/>
    <w:rsid w:val="00724EE5"/>
    <w:rsid w:val="0072523A"/>
    <w:rsid w:val="007252AF"/>
    <w:rsid w:val="00725788"/>
    <w:rsid w:val="007258CA"/>
    <w:rsid w:val="00725AD3"/>
    <w:rsid w:val="00725DFE"/>
    <w:rsid w:val="0072605E"/>
    <w:rsid w:val="0072623A"/>
    <w:rsid w:val="007265F9"/>
    <w:rsid w:val="00726A1E"/>
    <w:rsid w:val="00726C27"/>
    <w:rsid w:val="00726D32"/>
    <w:rsid w:val="0072708A"/>
    <w:rsid w:val="00727984"/>
    <w:rsid w:val="00727C28"/>
    <w:rsid w:val="00727D23"/>
    <w:rsid w:val="00727EB3"/>
    <w:rsid w:val="00727F13"/>
    <w:rsid w:val="0073006D"/>
    <w:rsid w:val="007304E8"/>
    <w:rsid w:val="00730920"/>
    <w:rsid w:val="00730D4F"/>
    <w:rsid w:val="007310D7"/>
    <w:rsid w:val="007310DC"/>
    <w:rsid w:val="007310EC"/>
    <w:rsid w:val="007312D0"/>
    <w:rsid w:val="0073145B"/>
    <w:rsid w:val="00731711"/>
    <w:rsid w:val="0073294C"/>
    <w:rsid w:val="00732A59"/>
    <w:rsid w:val="00733496"/>
    <w:rsid w:val="007335D4"/>
    <w:rsid w:val="007337F7"/>
    <w:rsid w:val="00733C14"/>
    <w:rsid w:val="00733F87"/>
    <w:rsid w:val="007340D5"/>
    <w:rsid w:val="0073447D"/>
    <w:rsid w:val="00734CAA"/>
    <w:rsid w:val="00735234"/>
    <w:rsid w:val="00735565"/>
    <w:rsid w:val="0073591C"/>
    <w:rsid w:val="00735DAB"/>
    <w:rsid w:val="0073612C"/>
    <w:rsid w:val="00736325"/>
    <w:rsid w:val="007365D3"/>
    <w:rsid w:val="00736955"/>
    <w:rsid w:val="00736E36"/>
    <w:rsid w:val="00736F57"/>
    <w:rsid w:val="007370B4"/>
    <w:rsid w:val="00737682"/>
    <w:rsid w:val="00737906"/>
    <w:rsid w:val="0073791E"/>
    <w:rsid w:val="0074017F"/>
    <w:rsid w:val="007401DC"/>
    <w:rsid w:val="00740591"/>
    <w:rsid w:val="00740703"/>
    <w:rsid w:val="00740976"/>
    <w:rsid w:val="00740ACD"/>
    <w:rsid w:val="00740BED"/>
    <w:rsid w:val="00740F7C"/>
    <w:rsid w:val="007416CC"/>
    <w:rsid w:val="00742412"/>
    <w:rsid w:val="007427AB"/>
    <w:rsid w:val="0074305D"/>
    <w:rsid w:val="0074321B"/>
    <w:rsid w:val="00743222"/>
    <w:rsid w:val="00743342"/>
    <w:rsid w:val="00743364"/>
    <w:rsid w:val="00743369"/>
    <w:rsid w:val="00743670"/>
    <w:rsid w:val="00743864"/>
    <w:rsid w:val="0074426F"/>
    <w:rsid w:val="007444E1"/>
    <w:rsid w:val="00744A73"/>
    <w:rsid w:val="00745482"/>
    <w:rsid w:val="007456EC"/>
    <w:rsid w:val="00745A6D"/>
    <w:rsid w:val="00745DF2"/>
    <w:rsid w:val="00745E77"/>
    <w:rsid w:val="00745F63"/>
    <w:rsid w:val="00746357"/>
    <w:rsid w:val="00746679"/>
    <w:rsid w:val="007468D0"/>
    <w:rsid w:val="00746B02"/>
    <w:rsid w:val="00746D43"/>
    <w:rsid w:val="007472F2"/>
    <w:rsid w:val="00747466"/>
    <w:rsid w:val="0074765F"/>
    <w:rsid w:val="007478A0"/>
    <w:rsid w:val="007479B2"/>
    <w:rsid w:val="00747B3E"/>
    <w:rsid w:val="007505AC"/>
    <w:rsid w:val="00750966"/>
    <w:rsid w:val="00750F03"/>
    <w:rsid w:val="00750F17"/>
    <w:rsid w:val="0075121A"/>
    <w:rsid w:val="00751803"/>
    <w:rsid w:val="007526A1"/>
    <w:rsid w:val="00752D4E"/>
    <w:rsid w:val="00753C7B"/>
    <w:rsid w:val="007540D9"/>
    <w:rsid w:val="00754535"/>
    <w:rsid w:val="0075478B"/>
    <w:rsid w:val="00754CB2"/>
    <w:rsid w:val="0075575C"/>
    <w:rsid w:val="00755907"/>
    <w:rsid w:val="00755A44"/>
    <w:rsid w:val="0075603F"/>
    <w:rsid w:val="007561A2"/>
    <w:rsid w:val="007562AA"/>
    <w:rsid w:val="00756AD8"/>
    <w:rsid w:val="00756D62"/>
    <w:rsid w:val="007575B3"/>
    <w:rsid w:val="00760415"/>
    <w:rsid w:val="00760461"/>
    <w:rsid w:val="00760AAA"/>
    <w:rsid w:val="00761279"/>
    <w:rsid w:val="007613CE"/>
    <w:rsid w:val="007615D8"/>
    <w:rsid w:val="0076179F"/>
    <w:rsid w:val="00761EB6"/>
    <w:rsid w:val="007621F9"/>
    <w:rsid w:val="00762741"/>
    <w:rsid w:val="00762DCC"/>
    <w:rsid w:val="00762E82"/>
    <w:rsid w:val="0076311B"/>
    <w:rsid w:val="00763CA8"/>
    <w:rsid w:val="00763DAF"/>
    <w:rsid w:val="00763EBD"/>
    <w:rsid w:val="007644F9"/>
    <w:rsid w:val="00764659"/>
    <w:rsid w:val="0076478D"/>
    <w:rsid w:val="007647F3"/>
    <w:rsid w:val="00764AB0"/>
    <w:rsid w:val="00764F84"/>
    <w:rsid w:val="007653B7"/>
    <w:rsid w:val="00765464"/>
    <w:rsid w:val="00765689"/>
    <w:rsid w:val="00765853"/>
    <w:rsid w:val="007658BA"/>
    <w:rsid w:val="00765A8E"/>
    <w:rsid w:val="00765C8E"/>
    <w:rsid w:val="00765E48"/>
    <w:rsid w:val="00765E75"/>
    <w:rsid w:val="00765EFD"/>
    <w:rsid w:val="007661D5"/>
    <w:rsid w:val="00766227"/>
    <w:rsid w:val="00766749"/>
    <w:rsid w:val="00766BCF"/>
    <w:rsid w:val="00766EB2"/>
    <w:rsid w:val="0076700B"/>
    <w:rsid w:val="00767273"/>
    <w:rsid w:val="00767522"/>
    <w:rsid w:val="00767644"/>
    <w:rsid w:val="00767821"/>
    <w:rsid w:val="00767971"/>
    <w:rsid w:val="00767F18"/>
    <w:rsid w:val="0077036F"/>
    <w:rsid w:val="00770947"/>
    <w:rsid w:val="00770E19"/>
    <w:rsid w:val="00770EA9"/>
    <w:rsid w:val="00771963"/>
    <w:rsid w:val="007719E5"/>
    <w:rsid w:val="00771BF4"/>
    <w:rsid w:val="0077230C"/>
    <w:rsid w:val="007726D1"/>
    <w:rsid w:val="00772A6B"/>
    <w:rsid w:val="00773114"/>
    <w:rsid w:val="0077313F"/>
    <w:rsid w:val="0077361C"/>
    <w:rsid w:val="0077364B"/>
    <w:rsid w:val="007738C0"/>
    <w:rsid w:val="00773CBE"/>
    <w:rsid w:val="0077414D"/>
    <w:rsid w:val="0077445E"/>
    <w:rsid w:val="0077502D"/>
    <w:rsid w:val="00775085"/>
    <w:rsid w:val="007758C8"/>
    <w:rsid w:val="00775A91"/>
    <w:rsid w:val="00776598"/>
    <w:rsid w:val="0077673E"/>
    <w:rsid w:val="00776855"/>
    <w:rsid w:val="00776E5A"/>
    <w:rsid w:val="00776F77"/>
    <w:rsid w:val="0077709A"/>
    <w:rsid w:val="007770F3"/>
    <w:rsid w:val="0077731E"/>
    <w:rsid w:val="007776D2"/>
    <w:rsid w:val="0077773F"/>
    <w:rsid w:val="00777859"/>
    <w:rsid w:val="00780B24"/>
    <w:rsid w:val="00781645"/>
    <w:rsid w:val="00781731"/>
    <w:rsid w:val="00781979"/>
    <w:rsid w:val="00781AEC"/>
    <w:rsid w:val="00781B5E"/>
    <w:rsid w:val="00781D57"/>
    <w:rsid w:val="00781EE6"/>
    <w:rsid w:val="00781FB5"/>
    <w:rsid w:val="00782572"/>
    <w:rsid w:val="00782585"/>
    <w:rsid w:val="00782AC5"/>
    <w:rsid w:val="00782B86"/>
    <w:rsid w:val="00782E73"/>
    <w:rsid w:val="00783156"/>
    <w:rsid w:val="00783173"/>
    <w:rsid w:val="007835B1"/>
    <w:rsid w:val="00783B77"/>
    <w:rsid w:val="00784587"/>
    <w:rsid w:val="00784697"/>
    <w:rsid w:val="007846B4"/>
    <w:rsid w:val="007846C0"/>
    <w:rsid w:val="0078537B"/>
    <w:rsid w:val="007855FF"/>
    <w:rsid w:val="00785647"/>
    <w:rsid w:val="007858FA"/>
    <w:rsid w:val="007859BE"/>
    <w:rsid w:val="00785BA7"/>
    <w:rsid w:val="00785D4F"/>
    <w:rsid w:val="00785EFB"/>
    <w:rsid w:val="007860CC"/>
    <w:rsid w:val="007862EA"/>
    <w:rsid w:val="00786485"/>
    <w:rsid w:val="00786667"/>
    <w:rsid w:val="00786C90"/>
    <w:rsid w:val="00786E26"/>
    <w:rsid w:val="00786EB6"/>
    <w:rsid w:val="0078715D"/>
    <w:rsid w:val="00787766"/>
    <w:rsid w:val="00787811"/>
    <w:rsid w:val="00787F56"/>
    <w:rsid w:val="007907C3"/>
    <w:rsid w:val="00790AF7"/>
    <w:rsid w:val="00790CC6"/>
    <w:rsid w:val="00790D85"/>
    <w:rsid w:val="00791461"/>
    <w:rsid w:val="00791526"/>
    <w:rsid w:val="00791813"/>
    <w:rsid w:val="00791866"/>
    <w:rsid w:val="00791909"/>
    <w:rsid w:val="00791C3B"/>
    <w:rsid w:val="00791CEB"/>
    <w:rsid w:val="00791F47"/>
    <w:rsid w:val="007922B9"/>
    <w:rsid w:val="007923F4"/>
    <w:rsid w:val="007927E3"/>
    <w:rsid w:val="0079284E"/>
    <w:rsid w:val="0079385B"/>
    <w:rsid w:val="00793C15"/>
    <w:rsid w:val="00793E10"/>
    <w:rsid w:val="00794132"/>
    <w:rsid w:val="00794ABD"/>
    <w:rsid w:val="00794C65"/>
    <w:rsid w:val="00794C87"/>
    <w:rsid w:val="00795216"/>
    <w:rsid w:val="007952E4"/>
    <w:rsid w:val="0079532B"/>
    <w:rsid w:val="007959EB"/>
    <w:rsid w:val="00795CFC"/>
    <w:rsid w:val="007961B7"/>
    <w:rsid w:val="007966C5"/>
    <w:rsid w:val="00796842"/>
    <w:rsid w:val="007974DC"/>
    <w:rsid w:val="0079789C"/>
    <w:rsid w:val="007A00C6"/>
    <w:rsid w:val="007A05D7"/>
    <w:rsid w:val="007A0A53"/>
    <w:rsid w:val="007A0DE1"/>
    <w:rsid w:val="007A2949"/>
    <w:rsid w:val="007A2B18"/>
    <w:rsid w:val="007A2C79"/>
    <w:rsid w:val="007A3114"/>
    <w:rsid w:val="007A36B6"/>
    <w:rsid w:val="007A3814"/>
    <w:rsid w:val="007A3B29"/>
    <w:rsid w:val="007A3C6E"/>
    <w:rsid w:val="007A3D8C"/>
    <w:rsid w:val="007A3FB3"/>
    <w:rsid w:val="007A438C"/>
    <w:rsid w:val="007A4438"/>
    <w:rsid w:val="007A46CC"/>
    <w:rsid w:val="007A4C79"/>
    <w:rsid w:val="007A4F5A"/>
    <w:rsid w:val="007A4FC3"/>
    <w:rsid w:val="007A546E"/>
    <w:rsid w:val="007A5968"/>
    <w:rsid w:val="007A59E8"/>
    <w:rsid w:val="007A5A81"/>
    <w:rsid w:val="007A5ED6"/>
    <w:rsid w:val="007A5F19"/>
    <w:rsid w:val="007A6047"/>
    <w:rsid w:val="007A6121"/>
    <w:rsid w:val="007A63AB"/>
    <w:rsid w:val="007A66EA"/>
    <w:rsid w:val="007A6721"/>
    <w:rsid w:val="007A6808"/>
    <w:rsid w:val="007A7161"/>
    <w:rsid w:val="007A72FF"/>
    <w:rsid w:val="007A76B2"/>
    <w:rsid w:val="007A76E6"/>
    <w:rsid w:val="007A783F"/>
    <w:rsid w:val="007A7A98"/>
    <w:rsid w:val="007A7B80"/>
    <w:rsid w:val="007A7BA8"/>
    <w:rsid w:val="007A7E97"/>
    <w:rsid w:val="007A7F5E"/>
    <w:rsid w:val="007B053B"/>
    <w:rsid w:val="007B0C98"/>
    <w:rsid w:val="007B1423"/>
    <w:rsid w:val="007B145D"/>
    <w:rsid w:val="007B1963"/>
    <w:rsid w:val="007B1A29"/>
    <w:rsid w:val="007B1CF2"/>
    <w:rsid w:val="007B1E69"/>
    <w:rsid w:val="007B2344"/>
    <w:rsid w:val="007B2A33"/>
    <w:rsid w:val="007B3065"/>
    <w:rsid w:val="007B31BE"/>
    <w:rsid w:val="007B36B4"/>
    <w:rsid w:val="007B38D1"/>
    <w:rsid w:val="007B3974"/>
    <w:rsid w:val="007B3A41"/>
    <w:rsid w:val="007B3CCD"/>
    <w:rsid w:val="007B4171"/>
    <w:rsid w:val="007B4349"/>
    <w:rsid w:val="007B4B70"/>
    <w:rsid w:val="007B4BDE"/>
    <w:rsid w:val="007B50BF"/>
    <w:rsid w:val="007B50EE"/>
    <w:rsid w:val="007B5747"/>
    <w:rsid w:val="007B5B66"/>
    <w:rsid w:val="007B5E12"/>
    <w:rsid w:val="007B61A0"/>
    <w:rsid w:val="007B6498"/>
    <w:rsid w:val="007B69A8"/>
    <w:rsid w:val="007B6EDB"/>
    <w:rsid w:val="007B761C"/>
    <w:rsid w:val="007B7633"/>
    <w:rsid w:val="007B7966"/>
    <w:rsid w:val="007C06B6"/>
    <w:rsid w:val="007C107F"/>
    <w:rsid w:val="007C17EE"/>
    <w:rsid w:val="007C1B6E"/>
    <w:rsid w:val="007C1B78"/>
    <w:rsid w:val="007C1C40"/>
    <w:rsid w:val="007C1F52"/>
    <w:rsid w:val="007C22FB"/>
    <w:rsid w:val="007C2396"/>
    <w:rsid w:val="007C25D4"/>
    <w:rsid w:val="007C2A41"/>
    <w:rsid w:val="007C317F"/>
    <w:rsid w:val="007C360D"/>
    <w:rsid w:val="007C3717"/>
    <w:rsid w:val="007C3ED1"/>
    <w:rsid w:val="007C3ED7"/>
    <w:rsid w:val="007C40B3"/>
    <w:rsid w:val="007C4953"/>
    <w:rsid w:val="007C4DCA"/>
    <w:rsid w:val="007C4EEA"/>
    <w:rsid w:val="007C525E"/>
    <w:rsid w:val="007C552D"/>
    <w:rsid w:val="007C6084"/>
    <w:rsid w:val="007C60EB"/>
    <w:rsid w:val="007C689B"/>
    <w:rsid w:val="007C6B66"/>
    <w:rsid w:val="007C773D"/>
    <w:rsid w:val="007C77EC"/>
    <w:rsid w:val="007C78F7"/>
    <w:rsid w:val="007C79F5"/>
    <w:rsid w:val="007C7AD5"/>
    <w:rsid w:val="007C7EBE"/>
    <w:rsid w:val="007C7EE6"/>
    <w:rsid w:val="007D015D"/>
    <w:rsid w:val="007D03D7"/>
    <w:rsid w:val="007D0A3E"/>
    <w:rsid w:val="007D0C02"/>
    <w:rsid w:val="007D0C2B"/>
    <w:rsid w:val="007D1318"/>
    <w:rsid w:val="007D1889"/>
    <w:rsid w:val="007D1AA6"/>
    <w:rsid w:val="007D20CD"/>
    <w:rsid w:val="007D2697"/>
    <w:rsid w:val="007D273E"/>
    <w:rsid w:val="007D3226"/>
    <w:rsid w:val="007D368F"/>
    <w:rsid w:val="007D3C77"/>
    <w:rsid w:val="007D41E8"/>
    <w:rsid w:val="007D4316"/>
    <w:rsid w:val="007D43B9"/>
    <w:rsid w:val="007D4C0A"/>
    <w:rsid w:val="007D4F9E"/>
    <w:rsid w:val="007D5198"/>
    <w:rsid w:val="007D579F"/>
    <w:rsid w:val="007D60A7"/>
    <w:rsid w:val="007D62B8"/>
    <w:rsid w:val="007D6986"/>
    <w:rsid w:val="007D6D8A"/>
    <w:rsid w:val="007D6E4F"/>
    <w:rsid w:val="007D719E"/>
    <w:rsid w:val="007D7696"/>
    <w:rsid w:val="007D7877"/>
    <w:rsid w:val="007E070B"/>
    <w:rsid w:val="007E0C43"/>
    <w:rsid w:val="007E0E63"/>
    <w:rsid w:val="007E1BAE"/>
    <w:rsid w:val="007E1C18"/>
    <w:rsid w:val="007E2259"/>
    <w:rsid w:val="007E2A2B"/>
    <w:rsid w:val="007E2F7A"/>
    <w:rsid w:val="007E3217"/>
    <w:rsid w:val="007E35C1"/>
    <w:rsid w:val="007E35D9"/>
    <w:rsid w:val="007E38F7"/>
    <w:rsid w:val="007E392E"/>
    <w:rsid w:val="007E3A81"/>
    <w:rsid w:val="007E3C4D"/>
    <w:rsid w:val="007E3CDF"/>
    <w:rsid w:val="007E4001"/>
    <w:rsid w:val="007E4393"/>
    <w:rsid w:val="007E4E2D"/>
    <w:rsid w:val="007E53CA"/>
    <w:rsid w:val="007E5532"/>
    <w:rsid w:val="007E58F9"/>
    <w:rsid w:val="007E5AA5"/>
    <w:rsid w:val="007E5BFD"/>
    <w:rsid w:val="007E6436"/>
    <w:rsid w:val="007E6A95"/>
    <w:rsid w:val="007E6B95"/>
    <w:rsid w:val="007E79A7"/>
    <w:rsid w:val="007E7F03"/>
    <w:rsid w:val="007E7F9E"/>
    <w:rsid w:val="007F0283"/>
    <w:rsid w:val="007F05BA"/>
    <w:rsid w:val="007F095B"/>
    <w:rsid w:val="007F0A71"/>
    <w:rsid w:val="007F0F2C"/>
    <w:rsid w:val="007F1304"/>
    <w:rsid w:val="007F2480"/>
    <w:rsid w:val="007F2D3B"/>
    <w:rsid w:val="007F2E6F"/>
    <w:rsid w:val="007F3042"/>
    <w:rsid w:val="007F33E1"/>
    <w:rsid w:val="007F3721"/>
    <w:rsid w:val="007F3C9D"/>
    <w:rsid w:val="007F3FD8"/>
    <w:rsid w:val="007F46B5"/>
    <w:rsid w:val="007F4DE5"/>
    <w:rsid w:val="007F4E56"/>
    <w:rsid w:val="007F5B16"/>
    <w:rsid w:val="007F5D24"/>
    <w:rsid w:val="007F61DE"/>
    <w:rsid w:val="007F684D"/>
    <w:rsid w:val="007F6E4D"/>
    <w:rsid w:val="007F75F5"/>
    <w:rsid w:val="007F768C"/>
    <w:rsid w:val="007F786E"/>
    <w:rsid w:val="007F791D"/>
    <w:rsid w:val="007F7B52"/>
    <w:rsid w:val="007F7C7A"/>
    <w:rsid w:val="0080015D"/>
    <w:rsid w:val="0080042C"/>
    <w:rsid w:val="00800522"/>
    <w:rsid w:val="008006F3"/>
    <w:rsid w:val="00801944"/>
    <w:rsid w:val="00801F59"/>
    <w:rsid w:val="00802487"/>
    <w:rsid w:val="008025BB"/>
    <w:rsid w:val="008029C4"/>
    <w:rsid w:val="00802B87"/>
    <w:rsid w:val="00802BEE"/>
    <w:rsid w:val="00802C8A"/>
    <w:rsid w:val="00803D8B"/>
    <w:rsid w:val="0080410C"/>
    <w:rsid w:val="0080435A"/>
    <w:rsid w:val="008043C2"/>
    <w:rsid w:val="00804427"/>
    <w:rsid w:val="00804ABF"/>
    <w:rsid w:val="00804BE2"/>
    <w:rsid w:val="00804F1F"/>
    <w:rsid w:val="00805173"/>
    <w:rsid w:val="008052DF"/>
    <w:rsid w:val="00805317"/>
    <w:rsid w:val="0080553E"/>
    <w:rsid w:val="0080609F"/>
    <w:rsid w:val="00806C6F"/>
    <w:rsid w:val="00806D28"/>
    <w:rsid w:val="00806D70"/>
    <w:rsid w:val="00806DE5"/>
    <w:rsid w:val="00807003"/>
    <w:rsid w:val="00807444"/>
    <w:rsid w:val="00807BB2"/>
    <w:rsid w:val="00807BEC"/>
    <w:rsid w:val="00807CD6"/>
    <w:rsid w:val="00810064"/>
    <w:rsid w:val="00810092"/>
    <w:rsid w:val="00810CCE"/>
    <w:rsid w:val="00811264"/>
    <w:rsid w:val="008112B1"/>
    <w:rsid w:val="008112F3"/>
    <w:rsid w:val="00811EB1"/>
    <w:rsid w:val="008123B5"/>
    <w:rsid w:val="0081283F"/>
    <w:rsid w:val="00812B03"/>
    <w:rsid w:val="00812DD1"/>
    <w:rsid w:val="008132C4"/>
    <w:rsid w:val="0081347F"/>
    <w:rsid w:val="008134E9"/>
    <w:rsid w:val="00813C8D"/>
    <w:rsid w:val="0081409F"/>
    <w:rsid w:val="0081477B"/>
    <w:rsid w:val="00814782"/>
    <w:rsid w:val="00814DDC"/>
    <w:rsid w:val="00814E8C"/>
    <w:rsid w:val="0081509C"/>
    <w:rsid w:val="0081515E"/>
    <w:rsid w:val="008151D9"/>
    <w:rsid w:val="00815351"/>
    <w:rsid w:val="008155B2"/>
    <w:rsid w:val="0081591E"/>
    <w:rsid w:val="00815A49"/>
    <w:rsid w:val="00815A8F"/>
    <w:rsid w:val="0081627A"/>
    <w:rsid w:val="0081636C"/>
    <w:rsid w:val="0081668A"/>
    <w:rsid w:val="00816C8A"/>
    <w:rsid w:val="00816D50"/>
    <w:rsid w:val="00816E75"/>
    <w:rsid w:val="00816EBC"/>
    <w:rsid w:val="00817213"/>
    <w:rsid w:val="0081729D"/>
    <w:rsid w:val="008172A9"/>
    <w:rsid w:val="00817400"/>
    <w:rsid w:val="00817950"/>
    <w:rsid w:val="00817AD0"/>
    <w:rsid w:val="00817AD5"/>
    <w:rsid w:val="00817DEC"/>
    <w:rsid w:val="00817F10"/>
    <w:rsid w:val="008202DF"/>
    <w:rsid w:val="0082071A"/>
    <w:rsid w:val="0082080B"/>
    <w:rsid w:val="008213D3"/>
    <w:rsid w:val="00821A2A"/>
    <w:rsid w:val="00821AA1"/>
    <w:rsid w:val="00821BA6"/>
    <w:rsid w:val="00821FF8"/>
    <w:rsid w:val="00822079"/>
    <w:rsid w:val="008225F7"/>
    <w:rsid w:val="008226CB"/>
    <w:rsid w:val="00822B64"/>
    <w:rsid w:val="00822B95"/>
    <w:rsid w:val="008237B3"/>
    <w:rsid w:val="0082381B"/>
    <w:rsid w:val="00824407"/>
    <w:rsid w:val="00824624"/>
    <w:rsid w:val="0082496D"/>
    <w:rsid w:val="00824BA3"/>
    <w:rsid w:val="00825002"/>
    <w:rsid w:val="00825117"/>
    <w:rsid w:val="00825311"/>
    <w:rsid w:val="00826214"/>
    <w:rsid w:val="00826312"/>
    <w:rsid w:val="00826A61"/>
    <w:rsid w:val="00826DB5"/>
    <w:rsid w:val="0082755E"/>
    <w:rsid w:val="00827CB4"/>
    <w:rsid w:val="00827FF8"/>
    <w:rsid w:val="00830282"/>
    <w:rsid w:val="0083053F"/>
    <w:rsid w:val="00830F0E"/>
    <w:rsid w:val="008310E9"/>
    <w:rsid w:val="00831424"/>
    <w:rsid w:val="00831770"/>
    <w:rsid w:val="00831862"/>
    <w:rsid w:val="00831EDB"/>
    <w:rsid w:val="00831EEE"/>
    <w:rsid w:val="0083208D"/>
    <w:rsid w:val="00832598"/>
    <w:rsid w:val="0083281C"/>
    <w:rsid w:val="00832F5C"/>
    <w:rsid w:val="008334F2"/>
    <w:rsid w:val="00833767"/>
    <w:rsid w:val="008339A6"/>
    <w:rsid w:val="00833B2E"/>
    <w:rsid w:val="00833FEC"/>
    <w:rsid w:val="0083410B"/>
    <w:rsid w:val="008342AB"/>
    <w:rsid w:val="0083490E"/>
    <w:rsid w:val="00834E3D"/>
    <w:rsid w:val="00834EEB"/>
    <w:rsid w:val="0083512B"/>
    <w:rsid w:val="008354F8"/>
    <w:rsid w:val="00836156"/>
    <w:rsid w:val="00836555"/>
    <w:rsid w:val="00836595"/>
    <w:rsid w:val="008368A2"/>
    <w:rsid w:val="00836A48"/>
    <w:rsid w:val="00836B1B"/>
    <w:rsid w:val="00836F39"/>
    <w:rsid w:val="008375F2"/>
    <w:rsid w:val="00837801"/>
    <w:rsid w:val="00837AEB"/>
    <w:rsid w:val="00837D16"/>
    <w:rsid w:val="008401A7"/>
    <w:rsid w:val="00840B45"/>
    <w:rsid w:val="00841002"/>
    <w:rsid w:val="008412D3"/>
    <w:rsid w:val="0084145C"/>
    <w:rsid w:val="008416B6"/>
    <w:rsid w:val="00841BE7"/>
    <w:rsid w:val="00842107"/>
    <w:rsid w:val="008421B2"/>
    <w:rsid w:val="00842BBA"/>
    <w:rsid w:val="00843217"/>
    <w:rsid w:val="0084365D"/>
    <w:rsid w:val="00843680"/>
    <w:rsid w:val="00843DAD"/>
    <w:rsid w:val="00843E51"/>
    <w:rsid w:val="00843E6C"/>
    <w:rsid w:val="00844132"/>
    <w:rsid w:val="0084457F"/>
    <w:rsid w:val="0084483B"/>
    <w:rsid w:val="00844875"/>
    <w:rsid w:val="00844B0F"/>
    <w:rsid w:val="00844CD8"/>
    <w:rsid w:val="00844F89"/>
    <w:rsid w:val="00845223"/>
    <w:rsid w:val="008452EB"/>
    <w:rsid w:val="00845355"/>
    <w:rsid w:val="00845509"/>
    <w:rsid w:val="00845972"/>
    <w:rsid w:val="00845DD8"/>
    <w:rsid w:val="008462D3"/>
    <w:rsid w:val="00846694"/>
    <w:rsid w:val="0084687F"/>
    <w:rsid w:val="008468C5"/>
    <w:rsid w:val="00846CCB"/>
    <w:rsid w:val="00846F02"/>
    <w:rsid w:val="0084748E"/>
    <w:rsid w:val="008474E0"/>
    <w:rsid w:val="0084797D"/>
    <w:rsid w:val="00847A0D"/>
    <w:rsid w:val="00847CAA"/>
    <w:rsid w:val="00847F94"/>
    <w:rsid w:val="00850470"/>
    <w:rsid w:val="00850BA7"/>
    <w:rsid w:val="008512B2"/>
    <w:rsid w:val="0085147F"/>
    <w:rsid w:val="0085167F"/>
    <w:rsid w:val="00851E79"/>
    <w:rsid w:val="00851F43"/>
    <w:rsid w:val="00851FDA"/>
    <w:rsid w:val="00851FEE"/>
    <w:rsid w:val="008524C5"/>
    <w:rsid w:val="00852BEB"/>
    <w:rsid w:val="00852FF0"/>
    <w:rsid w:val="008532E9"/>
    <w:rsid w:val="00853355"/>
    <w:rsid w:val="008533F0"/>
    <w:rsid w:val="008534EC"/>
    <w:rsid w:val="00853EAA"/>
    <w:rsid w:val="0085402F"/>
    <w:rsid w:val="0085414D"/>
    <w:rsid w:val="008542F1"/>
    <w:rsid w:val="0085458C"/>
    <w:rsid w:val="00854D28"/>
    <w:rsid w:val="00854E36"/>
    <w:rsid w:val="00855231"/>
    <w:rsid w:val="008553A5"/>
    <w:rsid w:val="008559BA"/>
    <w:rsid w:val="00855B7D"/>
    <w:rsid w:val="0085683F"/>
    <w:rsid w:val="00856AE0"/>
    <w:rsid w:val="0086040F"/>
    <w:rsid w:val="008607B5"/>
    <w:rsid w:val="008607E4"/>
    <w:rsid w:val="00860ADA"/>
    <w:rsid w:val="00860B4E"/>
    <w:rsid w:val="00860C69"/>
    <w:rsid w:val="00860D11"/>
    <w:rsid w:val="008612CC"/>
    <w:rsid w:val="0086131E"/>
    <w:rsid w:val="008617A3"/>
    <w:rsid w:val="008619C9"/>
    <w:rsid w:val="00861AB4"/>
    <w:rsid w:val="00861B54"/>
    <w:rsid w:val="00861D6A"/>
    <w:rsid w:val="00861FC5"/>
    <w:rsid w:val="0086202B"/>
    <w:rsid w:val="0086268B"/>
    <w:rsid w:val="008627B2"/>
    <w:rsid w:val="00862A3B"/>
    <w:rsid w:val="008633D2"/>
    <w:rsid w:val="00863964"/>
    <w:rsid w:val="00863EC6"/>
    <w:rsid w:val="00863FF1"/>
    <w:rsid w:val="00864062"/>
    <w:rsid w:val="00864262"/>
    <w:rsid w:val="00864570"/>
    <w:rsid w:val="00864F7D"/>
    <w:rsid w:val="008654AF"/>
    <w:rsid w:val="008659F1"/>
    <w:rsid w:val="00865E59"/>
    <w:rsid w:val="008670E5"/>
    <w:rsid w:val="0086760F"/>
    <w:rsid w:val="0086767C"/>
    <w:rsid w:val="0086771A"/>
    <w:rsid w:val="0086791A"/>
    <w:rsid w:val="00867D5F"/>
    <w:rsid w:val="008701AB"/>
    <w:rsid w:val="008702AB"/>
    <w:rsid w:val="00870605"/>
    <w:rsid w:val="0087061A"/>
    <w:rsid w:val="00870724"/>
    <w:rsid w:val="00870AC0"/>
    <w:rsid w:val="00870C23"/>
    <w:rsid w:val="00870E92"/>
    <w:rsid w:val="0087116A"/>
    <w:rsid w:val="00871519"/>
    <w:rsid w:val="008715C0"/>
    <w:rsid w:val="00871780"/>
    <w:rsid w:val="00871C31"/>
    <w:rsid w:val="00871C7B"/>
    <w:rsid w:val="00872381"/>
    <w:rsid w:val="008724A6"/>
    <w:rsid w:val="00872682"/>
    <w:rsid w:val="008727BD"/>
    <w:rsid w:val="008729E1"/>
    <w:rsid w:val="00872B61"/>
    <w:rsid w:val="00872CD9"/>
    <w:rsid w:val="008730B8"/>
    <w:rsid w:val="0087332F"/>
    <w:rsid w:val="008735A0"/>
    <w:rsid w:val="00873A60"/>
    <w:rsid w:val="00873DBB"/>
    <w:rsid w:val="00873E17"/>
    <w:rsid w:val="0087424E"/>
    <w:rsid w:val="0087426C"/>
    <w:rsid w:val="00874342"/>
    <w:rsid w:val="00874A9D"/>
    <w:rsid w:val="0087500D"/>
    <w:rsid w:val="0087589E"/>
    <w:rsid w:val="00875B84"/>
    <w:rsid w:val="008761B7"/>
    <w:rsid w:val="00876377"/>
    <w:rsid w:val="008765C1"/>
    <w:rsid w:val="00877293"/>
    <w:rsid w:val="00880237"/>
    <w:rsid w:val="00880498"/>
    <w:rsid w:val="00880888"/>
    <w:rsid w:val="00880B75"/>
    <w:rsid w:val="00880FD8"/>
    <w:rsid w:val="008819B7"/>
    <w:rsid w:val="00881E21"/>
    <w:rsid w:val="00881F0E"/>
    <w:rsid w:val="00882777"/>
    <w:rsid w:val="00882812"/>
    <w:rsid w:val="008828C4"/>
    <w:rsid w:val="00882B63"/>
    <w:rsid w:val="00882F0B"/>
    <w:rsid w:val="00883CEA"/>
    <w:rsid w:val="0088432B"/>
    <w:rsid w:val="00884344"/>
    <w:rsid w:val="00884C50"/>
    <w:rsid w:val="008850FF"/>
    <w:rsid w:val="00885809"/>
    <w:rsid w:val="00885AA3"/>
    <w:rsid w:val="00886426"/>
    <w:rsid w:val="00886677"/>
    <w:rsid w:val="00886804"/>
    <w:rsid w:val="0088695F"/>
    <w:rsid w:val="00886F2B"/>
    <w:rsid w:val="008873B8"/>
    <w:rsid w:val="00887453"/>
    <w:rsid w:val="00890004"/>
    <w:rsid w:val="00890BF4"/>
    <w:rsid w:val="00890E58"/>
    <w:rsid w:val="0089177D"/>
    <w:rsid w:val="00891CBD"/>
    <w:rsid w:val="00892019"/>
    <w:rsid w:val="0089253F"/>
    <w:rsid w:val="00892621"/>
    <w:rsid w:val="00892737"/>
    <w:rsid w:val="008929F5"/>
    <w:rsid w:val="00892AA7"/>
    <w:rsid w:val="00893A7C"/>
    <w:rsid w:val="00893AF7"/>
    <w:rsid w:val="00893C11"/>
    <w:rsid w:val="00893C86"/>
    <w:rsid w:val="00893DAA"/>
    <w:rsid w:val="00894C48"/>
    <w:rsid w:val="00894F66"/>
    <w:rsid w:val="00895436"/>
    <w:rsid w:val="0089562E"/>
    <w:rsid w:val="00895717"/>
    <w:rsid w:val="0089586B"/>
    <w:rsid w:val="00895A24"/>
    <w:rsid w:val="00895B86"/>
    <w:rsid w:val="00895CD7"/>
    <w:rsid w:val="00895D34"/>
    <w:rsid w:val="00895EBA"/>
    <w:rsid w:val="00896647"/>
    <w:rsid w:val="00896D4A"/>
    <w:rsid w:val="00896EF6"/>
    <w:rsid w:val="00897509"/>
    <w:rsid w:val="00897611"/>
    <w:rsid w:val="00897D98"/>
    <w:rsid w:val="00897E64"/>
    <w:rsid w:val="00897ECA"/>
    <w:rsid w:val="008A0199"/>
    <w:rsid w:val="008A0698"/>
    <w:rsid w:val="008A0ADB"/>
    <w:rsid w:val="008A0BB9"/>
    <w:rsid w:val="008A0EA7"/>
    <w:rsid w:val="008A118B"/>
    <w:rsid w:val="008A1AA0"/>
    <w:rsid w:val="008A1BF7"/>
    <w:rsid w:val="008A1C5E"/>
    <w:rsid w:val="008A1DE6"/>
    <w:rsid w:val="008A2694"/>
    <w:rsid w:val="008A2949"/>
    <w:rsid w:val="008A296C"/>
    <w:rsid w:val="008A2D4A"/>
    <w:rsid w:val="008A2E1C"/>
    <w:rsid w:val="008A2EA3"/>
    <w:rsid w:val="008A2FEC"/>
    <w:rsid w:val="008A3151"/>
    <w:rsid w:val="008A3395"/>
    <w:rsid w:val="008A3EBD"/>
    <w:rsid w:val="008A41A9"/>
    <w:rsid w:val="008A42D9"/>
    <w:rsid w:val="008A4790"/>
    <w:rsid w:val="008A4855"/>
    <w:rsid w:val="008A4B0A"/>
    <w:rsid w:val="008A4D89"/>
    <w:rsid w:val="008A4DCA"/>
    <w:rsid w:val="008A505D"/>
    <w:rsid w:val="008A5403"/>
    <w:rsid w:val="008A5480"/>
    <w:rsid w:val="008A5C84"/>
    <w:rsid w:val="008A6302"/>
    <w:rsid w:val="008A64F7"/>
    <w:rsid w:val="008A6849"/>
    <w:rsid w:val="008A6897"/>
    <w:rsid w:val="008A6CF7"/>
    <w:rsid w:val="008A6F21"/>
    <w:rsid w:val="008A70ED"/>
    <w:rsid w:val="008A7370"/>
    <w:rsid w:val="008A75A1"/>
    <w:rsid w:val="008A781D"/>
    <w:rsid w:val="008B0078"/>
    <w:rsid w:val="008B0210"/>
    <w:rsid w:val="008B02D2"/>
    <w:rsid w:val="008B0E34"/>
    <w:rsid w:val="008B142D"/>
    <w:rsid w:val="008B1537"/>
    <w:rsid w:val="008B1A4C"/>
    <w:rsid w:val="008B1D30"/>
    <w:rsid w:val="008B1E20"/>
    <w:rsid w:val="008B1E95"/>
    <w:rsid w:val="008B1EEC"/>
    <w:rsid w:val="008B238F"/>
    <w:rsid w:val="008B23FE"/>
    <w:rsid w:val="008B24FA"/>
    <w:rsid w:val="008B27F0"/>
    <w:rsid w:val="008B2904"/>
    <w:rsid w:val="008B29E9"/>
    <w:rsid w:val="008B2A0A"/>
    <w:rsid w:val="008B2C71"/>
    <w:rsid w:val="008B2D78"/>
    <w:rsid w:val="008B344C"/>
    <w:rsid w:val="008B38DA"/>
    <w:rsid w:val="008B38E6"/>
    <w:rsid w:val="008B3AD7"/>
    <w:rsid w:val="008B3BBC"/>
    <w:rsid w:val="008B42A8"/>
    <w:rsid w:val="008B42FF"/>
    <w:rsid w:val="008B444A"/>
    <w:rsid w:val="008B4914"/>
    <w:rsid w:val="008B4B08"/>
    <w:rsid w:val="008B4C3A"/>
    <w:rsid w:val="008B5573"/>
    <w:rsid w:val="008B5574"/>
    <w:rsid w:val="008B578C"/>
    <w:rsid w:val="008B5C3B"/>
    <w:rsid w:val="008B5CAC"/>
    <w:rsid w:val="008B5FF3"/>
    <w:rsid w:val="008B618A"/>
    <w:rsid w:val="008B6654"/>
    <w:rsid w:val="008B6E24"/>
    <w:rsid w:val="008B731C"/>
    <w:rsid w:val="008B74F1"/>
    <w:rsid w:val="008B776C"/>
    <w:rsid w:val="008B78FC"/>
    <w:rsid w:val="008B7D77"/>
    <w:rsid w:val="008B7D90"/>
    <w:rsid w:val="008C0190"/>
    <w:rsid w:val="008C0321"/>
    <w:rsid w:val="008C093C"/>
    <w:rsid w:val="008C1357"/>
    <w:rsid w:val="008C140E"/>
    <w:rsid w:val="008C1619"/>
    <w:rsid w:val="008C177A"/>
    <w:rsid w:val="008C1ABB"/>
    <w:rsid w:val="008C1DAF"/>
    <w:rsid w:val="008C2254"/>
    <w:rsid w:val="008C2557"/>
    <w:rsid w:val="008C257C"/>
    <w:rsid w:val="008C25E6"/>
    <w:rsid w:val="008C298D"/>
    <w:rsid w:val="008C29D5"/>
    <w:rsid w:val="008C2D4D"/>
    <w:rsid w:val="008C2D63"/>
    <w:rsid w:val="008C2F92"/>
    <w:rsid w:val="008C3BB3"/>
    <w:rsid w:val="008C3E60"/>
    <w:rsid w:val="008C410D"/>
    <w:rsid w:val="008C41FA"/>
    <w:rsid w:val="008C4319"/>
    <w:rsid w:val="008C4479"/>
    <w:rsid w:val="008C46BF"/>
    <w:rsid w:val="008C494B"/>
    <w:rsid w:val="008C4A06"/>
    <w:rsid w:val="008C4A51"/>
    <w:rsid w:val="008C4EF4"/>
    <w:rsid w:val="008C5562"/>
    <w:rsid w:val="008C5DDF"/>
    <w:rsid w:val="008C60CA"/>
    <w:rsid w:val="008C61E1"/>
    <w:rsid w:val="008C680D"/>
    <w:rsid w:val="008C6D38"/>
    <w:rsid w:val="008C6E22"/>
    <w:rsid w:val="008C704C"/>
    <w:rsid w:val="008C71CB"/>
    <w:rsid w:val="008D0348"/>
    <w:rsid w:val="008D0456"/>
    <w:rsid w:val="008D0E86"/>
    <w:rsid w:val="008D116C"/>
    <w:rsid w:val="008D15EA"/>
    <w:rsid w:val="008D172C"/>
    <w:rsid w:val="008D1B8A"/>
    <w:rsid w:val="008D1BDC"/>
    <w:rsid w:val="008D1D0C"/>
    <w:rsid w:val="008D1E7E"/>
    <w:rsid w:val="008D2196"/>
    <w:rsid w:val="008D21CD"/>
    <w:rsid w:val="008D241D"/>
    <w:rsid w:val="008D2A09"/>
    <w:rsid w:val="008D2C0D"/>
    <w:rsid w:val="008D2C28"/>
    <w:rsid w:val="008D2FF9"/>
    <w:rsid w:val="008D3070"/>
    <w:rsid w:val="008D30B0"/>
    <w:rsid w:val="008D32B0"/>
    <w:rsid w:val="008D358D"/>
    <w:rsid w:val="008D362F"/>
    <w:rsid w:val="008D3D8E"/>
    <w:rsid w:val="008D46F7"/>
    <w:rsid w:val="008D4BC2"/>
    <w:rsid w:val="008D4D01"/>
    <w:rsid w:val="008D63A4"/>
    <w:rsid w:val="008D6455"/>
    <w:rsid w:val="008D6AC0"/>
    <w:rsid w:val="008D6B8F"/>
    <w:rsid w:val="008D6F57"/>
    <w:rsid w:val="008D706F"/>
    <w:rsid w:val="008D728F"/>
    <w:rsid w:val="008D7861"/>
    <w:rsid w:val="008D78C1"/>
    <w:rsid w:val="008D7B0D"/>
    <w:rsid w:val="008D7B3B"/>
    <w:rsid w:val="008D7BFA"/>
    <w:rsid w:val="008D7D24"/>
    <w:rsid w:val="008D7D77"/>
    <w:rsid w:val="008D7DDD"/>
    <w:rsid w:val="008D7F0E"/>
    <w:rsid w:val="008D8CB4"/>
    <w:rsid w:val="008E00F6"/>
    <w:rsid w:val="008E0233"/>
    <w:rsid w:val="008E0389"/>
    <w:rsid w:val="008E071D"/>
    <w:rsid w:val="008E0C71"/>
    <w:rsid w:val="008E0E07"/>
    <w:rsid w:val="008E11D9"/>
    <w:rsid w:val="008E15FC"/>
    <w:rsid w:val="008E1CE2"/>
    <w:rsid w:val="008E2063"/>
    <w:rsid w:val="008E28C1"/>
    <w:rsid w:val="008E28EE"/>
    <w:rsid w:val="008E290B"/>
    <w:rsid w:val="008E2AB3"/>
    <w:rsid w:val="008E2B44"/>
    <w:rsid w:val="008E2BC9"/>
    <w:rsid w:val="008E3031"/>
    <w:rsid w:val="008E31D7"/>
    <w:rsid w:val="008E345A"/>
    <w:rsid w:val="008E376E"/>
    <w:rsid w:val="008E3CCA"/>
    <w:rsid w:val="008E3DD0"/>
    <w:rsid w:val="008E4021"/>
    <w:rsid w:val="008E41B5"/>
    <w:rsid w:val="008E42AE"/>
    <w:rsid w:val="008E42FB"/>
    <w:rsid w:val="008E4473"/>
    <w:rsid w:val="008E4DA6"/>
    <w:rsid w:val="008E4F23"/>
    <w:rsid w:val="008E56D2"/>
    <w:rsid w:val="008E5955"/>
    <w:rsid w:val="008E5E35"/>
    <w:rsid w:val="008E5EE7"/>
    <w:rsid w:val="008E5FD5"/>
    <w:rsid w:val="008E62A2"/>
    <w:rsid w:val="008E62A5"/>
    <w:rsid w:val="008E6371"/>
    <w:rsid w:val="008E64F0"/>
    <w:rsid w:val="008E6616"/>
    <w:rsid w:val="008E685B"/>
    <w:rsid w:val="008E6A3A"/>
    <w:rsid w:val="008E6A6C"/>
    <w:rsid w:val="008E6AF1"/>
    <w:rsid w:val="008E6B57"/>
    <w:rsid w:val="008E6BD8"/>
    <w:rsid w:val="008E7748"/>
    <w:rsid w:val="008E7927"/>
    <w:rsid w:val="008E797D"/>
    <w:rsid w:val="008E7EBD"/>
    <w:rsid w:val="008F003D"/>
    <w:rsid w:val="008F02CF"/>
    <w:rsid w:val="008F0364"/>
    <w:rsid w:val="008F04F8"/>
    <w:rsid w:val="008F0585"/>
    <w:rsid w:val="008F06FC"/>
    <w:rsid w:val="008F0868"/>
    <w:rsid w:val="008F10C3"/>
    <w:rsid w:val="008F1293"/>
    <w:rsid w:val="008F19AA"/>
    <w:rsid w:val="008F1B7D"/>
    <w:rsid w:val="008F1B88"/>
    <w:rsid w:val="008F1F8F"/>
    <w:rsid w:val="008F253E"/>
    <w:rsid w:val="008F27A8"/>
    <w:rsid w:val="008F2844"/>
    <w:rsid w:val="008F2D47"/>
    <w:rsid w:val="008F32FA"/>
    <w:rsid w:val="008F35B7"/>
    <w:rsid w:val="008F38FF"/>
    <w:rsid w:val="008F3B1B"/>
    <w:rsid w:val="008F4073"/>
    <w:rsid w:val="008F40C7"/>
    <w:rsid w:val="008F423B"/>
    <w:rsid w:val="008F4465"/>
    <w:rsid w:val="008F4712"/>
    <w:rsid w:val="008F4E06"/>
    <w:rsid w:val="008F552E"/>
    <w:rsid w:val="008F566C"/>
    <w:rsid w:val="008F5A29"/>
    <w:rsid w:val="008F5B2F"/>
    <w:rsid w:val="008F5E29"/>
    <w:rsid w:val="008F616A"/>
    <w:rsid w:val="008F6193"/>
    <w:rsid w:val="008F6B2D"/>
    <w:rsid w:val="008F6BA6"/>
    <w:rsid w:val="008F6C7B"/>
    <w:rsid w:val="008F6D07"/>
    <w:rsid w:val="008F70E3"/>
    <w:rsid w:val="008F71D3"/>
    <w:rsid w:val="008F7661"/>
    <w:rsid w:val="008F7903"/>
    <w:rsid w:val="008F7B57"/>
    <w:rsid w:val="008F7B58"/>
    <w:rsid w:val="008FA9F6"/>
    <w:rsid w:val="009008C5"/>
    <w:rsid w:val="00900EA0"/>
    <w:rsid w:val="00901147"/>
    <w:rsid w:val="00901277"/>
    <w:rsid w:val="00901564"/>
    <w:rsid w:val="00901826"/>
    <w:rsid w:val="009019BA"/>
    <w:rsid w:val="00901AF4"/>
    <w:rsid w:val="00901B97"/>
    <w:rsid w:val="00901D0D"/>
    <w:rsid w:val="00901E28"/>
    <w:rsid w:val="00902194"/>
    <w:rsid w:val="009022B5"/>
    <w:rsid w:val="0090248E"/>
    <w:rsid w:val="009029BE"/>
    <w:rsid w:val="00902E23"/>
    <w:rsid w:val="009031AA"/>
    <w:rsid w:val="00903508"/>
    <w:rsid w:val="00903652"/>
    <w:rsid w:val="009037F7"/>
    <w:rsid w:val="00903A58"/>
    <w:rsid w:val="00903AD3"/>
    <w:rsid w:val="00903BFF"/>
    <w:rsid w:val="00904417"/>
    <w:rsid w:val="00904CF4"/>
    <w:rsid w:val="009050E2"/>
    <w:rsid w:val="009053E1"/>
    <w:rsid w:val="009059B4"/>
    <w:rsid w:val="00905BED"/>
    <w:rsid w:val="00905DF6"/>
    <w:rsid w:val="00906130"/>
    <w:rsid w:val="009061E4"/>
    <w:rsid w:val="00906A62"/>
    <w:rsid w:val="0090725A"/>
    <w:rsid w:val="009076A9"/>
    <w:rsid w:val="0090786E"/>
    <w:rsid w:val="009079F0"/>
    <w:rsid w:val="00907CBE"/>
    <w:rsid w:val="00907E4E"/>
    <w:rsid w:val="00907EEB"/>
    <w:rsid w:val="00907F58"/>
    <w:rsid w:val="0091059C"/>
    <w:rsid w:val="009109E4"/>
    <w:rsid w:val="00910A67"/>
    <w:rsid w:val="009110AD"/>
    <w:rsid w:val="009110C2"/>
    <w:rsid w:val="009111DF"/>
    <w:rsid w:val="009112E4"/>
    <w:rsid w:val="0091146B"/>
    <w:rsid w:val="009114EE"/>
    <w:rsid w:val="009117E7"/>
    <w:rsid w:val="0091209A"/>
    <w:rsid w:val="009129B4"/>
    <w:rsid w:val="00912AE5"/>
    <w:rsid w:val="00912B19"/>
    <w:rsid w:val="0091308D"/>
    <w:rsid w:val="00914090"/>
    <w:rsid w:val="00914257"/>
    <w:rsid w:val="00914639"/>
    <w:rsid w:val="00914650"/>
    <w:rsid w:val="00914A1A"/>
    <w:rsid w:val="00914B44"/>
    <w:rsid w:val="00914F3B"/>
    <w:rsid w:val="00914F49"/>
    <w:rsid w:val="009156AA"/>
    <w:rsid w:val="009157F0"/>
    <w:rsid w:val="009158EC"/>
    <w:rsid w:val="00915EA5"/>
    <w:rsid w:val="00916364"/>
    <w:rsid w:val="009165E9"/>
    <w:rsid w:val="00916A1D"/>
    <w:rsid w:val="00916B6C"/>
    <w:rsid w:val="00917002"/>
    <w:rsid w:val="009170D1"/>
    <w:rsid w:val="00917219"/>
    <w:rsid w:val="00917223"/>
    <w:rsid w:val="00917319"/>
    <w:rsid w:val="0091796B"/>
    <w:rsid w:val="00917AE7"/>
    <w:rsid w:val="0092028E"/>
    <w:rsid w:val="00920A9E"/>
    <w:rsid w:val="00920D6C"/>
    <w:rsid w:val="0092107B"/>
    <w:rsid w:val="009210BB"/>
    <w:rsid w:val="009211E1"/>
    <w:rsid w:val="00921B9B"/>
    <w:rsid w:val="0092206B"/>
    <w:rsid w:val="00922085"/>
    <w:rsid w:val="009220DB"/>
    <w:rsid w:val="009221FF"/>
    <w:rsid w:val="009222F3"/>
    <w:rsid w:val="00922DAD"/>
    <w:rsid w:val="00922F90"/>
    <w:rsid w:val="00922FE3"/>
    <w:rsid w:val="00923920"/>
    <w:rsid w:val="00924513"/>
    <w:rsid w:val="009251AB"/>
    <w:rsid w:val="0092538D"/>
    <w:rsid w:val="00925A5F"/>
    <w:rsid w:val="00925AE4"/>
    <w:rsid w:val="00925E86"/>
    <w:rsid w:val="00925EC6"/>
    <w:rsid w:val="0092642A"/>
    <w:rsid w:val="00926C35"/>
    <w:rsid w:val="00926CDA"/>
    <w:rsid w:val="00926D5D"/>
    <w:rsid w:val="00927091"/>
    <w:rsid w:val="00927364"/>
    <w:rsid w:val="009273C0"/>
    <w:rsid w:val="009276AD"/>
    <w:rsid w:val="0092791E"/>
    <w:rsid w:val="00927ED4"/>
    <w:rsid w:val="00930B1E"/>
    <w:rsid w:val="00930ED8"/>
    <w:rsid w:val="009313B1"/>
    <w:rsid w:val="009318A9"/>
    <w:rsid w:val="009318D8"/>
    <w:rsid w:val="00931950"/>
    <w:rsid w:val="0093236E"/>
    <w:rsid w:val="009323DC"/>
    <w:rsid w:val="009325CA"/>
    <w:rsid w:val="0093296B"/>
    <w:rsid w:val="00932EBC"/>
    <w:rsid w:val="0093303F"/>
    <w:rsid w:val="009331A2"/>
    <w:rsid w:val="009336F1"/>
    <w:rsid w:val="00933769"/>
    <w:rsid w:val="0093384E"/>
    <w:rsid w:val="00934118"/>
    <w:rsid w:val="0093423C"/>
    <w:rsid w:val="00934939"/>
    <w:rsid w:val="00934B69"/>
    <w:rsid w:val="00934E73"/>
    <w:rsid w:val="00935556"/>
    <w:rsid w:val="00935933"/>
    <w:rsid w:val="00935E6E"/>
    <w:rsid w:val="00936275"/>
    <w:rsid w:val="0093653B"/>
    <w:rsid w:val="00936595"/>
    <w:rsid w:val="00936B79"/>
    <w:rsid w:val="009373D2"/>
    <w:rsid w:val="00937C62"/>
    <w:rsid w:val="00937D11"/>
    <w:rsid w:val="00937F59"/>
    <w:rsid w:val="0094005E"/>
    <w:rsid w:val="00940472"/>
    <w:rsid w:val="00940560"/>
    <w:rsid w:val="0094068C"/>
    <w:rsid w:val="009409F4"/>
    <w:rsid w:val="00940A2B"/>
    <w:rsid w:val="00940DF8"/>
    <w:rsid w:val="0094124F"/>
    <w:rsid w:val="0094147E"/>
    <w:rsid w:val="009415C5"/>
    <w:rsid w:val="009417F4"/>
    <w:rsid w:val="00941B78"/>
    <w:rsid w:val="00941C85"/>
    <w:rsid w:val="00941E90"/>
    <w:rsid w:val="00942B66"/>
    <w:rsid w:val="00942C97"/>
    <w:rsid w:val="00942E5F"/>
    <w:rsid w:val="009430A4"/>
    <w:rsid w:val="00943188"/>
    <w:rsid w:val="009432DD"/>
    <w:rsid w:val="00943524"/>
    <w:rsid w:val="0094370F"/>
    <w:rsid w:val="0094387A"/>
    <w:rsid w:val="00943A32"/>
    <w:rsid w:val="00943AE6"/>
    <w:rsid w:val="00943B97"/>
    <w:rsid w:val="00943D75"/>
    <w:rsid w:val="00944227"/>
    <w:rsid w:val="009442F5"/>
    <w:rsid w:val="009450EE"/>
    <w:rsid w:val="00945942"/>
    <w:rsid w:val="00945FBF"/>
    <w:rsid w:val="009461B2"/>
    <w:rsid w:val="00946521"/>
    <w:rsid w:val="009469DF"/>
    <w:rsid w:val="00946AA2"/>
    <w:rsid w:val="00946C1F"/>
    <w:rsid w:val="00946CA9"/>
    <w:rsid w:val="009473AF"/>
    <w:rsid w:val="009478E9"/>
    <w:rsid w:val="009479A2"/>
    <w:rsid w:val="00947BD8"/>
    <w:rsid w:val="00947EEA"/>
    <w:rsid w:val="009502E7"/>
    <w:rsid w:val="009507EE"/>
    <w:rsid w:val="0095083C"/>
    <w:rsid w:val="00950BFF"/>
    <w:rsid w:val="00950D61"/>
    <w:rsid w:val="00950FCD"/>
    <w:rsid w:val="00951382"/>
    <w:rsid w:val="0095154E"/>
    <w:rsid w:val="009515D5"/>
    <w:rsid w:val="00951BC9"/>
    <w:rsid w:val="00951BFA"/>
    <w:rsid w:val="00951C51"/>
    <w:rsid w:val="00952278"/>
    <w:rsid w:val="009523D9"/>
    <w:rsid w:val="00952862"/>
    <w:rsid w:val="00952CB5"/>
    <w:rsid w:val="0095335F"/>
    <w:rsid w:val="00953727"/>
    <w:rsid w:val="00953C75"/>
    <w:rsid w:val="009544F8"/>
    <w:rsid w:val="0095457B"/>
    <w:rsid w:val="0095477A"/>
    <w:rsid w:val="0095483C"/>
    <w:rsid w:val="0095496D"/>
    <w:rsid w:val="00954D7C"/>
    <w:rsid w:val="00955460"/>
    <w:rsid w:val="0095561D"/>
    <w:rsid w:val="009563B3"/>
    <w:rsid w:val="009564F2"/>
    <w:rsid w:val="009567BD"/>
    <w:rsid w:val="0095696D"/>
    <w:rsid w:val="00956ADF"/>
    <w:rsid w:val="00956DFD"/>
    <w:rsid w:val="00956E4E"/>
    <w:rsid w:val="00956E6C"/>
    <w:rsid w:val="0095715B"/>
    <w:rsid w:val="00957239"/>
    <w:rsid w:val="009574C1"/>
    <w:rsid w:val="00957679"/>
    <w:rsid w:val="00957D42"/>
    <w:rsid w:val="00957F69"/>
    <w:rsid w:val="00960640"/>
    <w:rsid w:val="009609B9"/>
    <w:rsid w:val="00960B2F"/>
    <w:rsid w:val="00960BFE"/>
    <w:rsid w:val="00960CA8"/>
    <w:rsid w:val="00960DBC"/>
    <w:rsid w:val="00961007"/>
    <w:rsid w:val="009617B5"/>
    <w:rsid w:val="00961A52"/>
    <w:rsid w:val="009628C2"/>
    <w:rsid w:val="00962B50"/>
    <w:rsid w:val="00962FB5"/>
    <w:rsid w:val="00963235"/>
    <w:rsid w:val="00963609"/>
    <w:rsid w:val="009636F4"/>
    <w:rsid w:val="00963910"/>
    <w:rsid w:val="00963B67"/>
    <w:rsid w:val="00964323"/>
    <w:rsid w:val="009643B8"/>
    <w:rsid w:val="00964743"/>
    <w:rsid w:val="00964936"/>
    <w:rsid w:val="00965004"/>
    <w:rsid w:val="00965110"/>
    <w:rsid w:val="0096528A"/>
    <w:rsid w:val="009652C3"/>
    <w:rsid w:val="0096564D"/>
    <w:rsid w:val="009659D1"/>
    <w:rsid w:val="00965EFB"/>
    <w:rsid w:val="00965F36"/>
    <w:rsid w:val="009665D4"/>
    <w:rsid w:val="009665F8"/>
    <w:rsid w:val="009669F3"/>
    <w:rsid w:val="00966B5E"/>
    <w:rsid w:val="00966BD2"/>
    <w:rsid w:val="00966C07"/>
    <w:rsid w:val="00967221"/>
    <w:rsid w:val="009673BF"/>
    <w:rsid w:val="009673C6"/>
    <w:rsid w:val="0096740E"/>
    <w:rsid w:val="00967BF8"/>
    <w:rsid w:val="00967DF4"/>
    <w:rsid w:val="00970BCD"/>
    <w:rsid w:val="00970CCF"/>
    <w:rsid w:val="00971133"/>
    <w:rsid w:val="00971276"/>
    <w:rsid w:val="009716C9"/>
    <w:rsid w:val="00972487"/>
    <w:rsid w:val="00972B0E"/>
    <w:rsid w:val="00972ECB"/>
    <w:rsid w:val="00972FAE"/>
    <w:rsid w:val="00973617"/>
    <w:rsid w:val="0097386C"/>
    <w:rsid w:val="00973A11"/>
    <w:rsid w:val="00973B47"/>
    <w:rsid w:val="00973DAB"/>
    <w:rsid w:val="00973DBE"/>
    <w:rsid w:val="0097503E"/>
    <w:rsid w:val="0097525D"/>
    <w:rsid w:val="009752FA"/>
    <w:rsid w:val="009754FE"/>
    <w:rsid w:val="00975532"/>
    <w:rsid w:val="00975810"/>
    <w:rsid w:val="00975AE2"/>
    <w:rsid w:val="00975E1C"/>
    <w:rsid w:val="00975F77"/>
    <w:rsid w:val="00976054"/>
    <w:rsid w:val="00976562"/>
    <w:rsid w:val="00976A91"/>
    <w:rsid w:val="00976B60"/>
    <w:rsid w:val="00976ED5"/>
    <w:rsid w:val="00977275"/>
    <w:rsid w:val="00977BE9"/>
    <w:rsid w:val="00977DDB"/>
    <w:rsid w:val="0098008F"/>
    <w:rsid w:val="009800F6"/>
    <w:rsid w:val="0098027A"/>
    <w:rsid w:val="00980EF3"/>
    <w:rsid w:val="00980F2A"/>
    <w:rsid w:val="00981334"/>
    <w:rsid w:val="009816EE"/>
    <w:rsid w:val="00981D9C"/>
    <w:rsid w:val="009820D8"/>
    <w:rsid w:val="0098217C"/>
    <w:rsid w:val="00982258"/>
    <w:rsid w:val="0098227E"/>
    <w:rsid w:val="009822EE"/>
    <w:rsid w:val="00982B7D"/>
    <w:rsid w:val="00982F5F"/>
    <w:rsid w:val="00983821"/>
    <w:rsid w:val="00983AF3"/>
    <w:rsid w:val="009842FC"/>
    <w:rsid w:val="0098442D"/>
    <w:rsid w:val="00984707"/>
    <w:rsid w:val="00984F3A"/>
    <w:rsid w:val="00985102"/>
    <w:rsid w:val="009852D7"/>
    <w:rsid w:val="009853FE"/>
    <w:rsid w:val="00985695"/>
    <w:rsid w:val="0098582D"/>
    <w:rsid w:val="00985B07"/>
    <w:rsid w:val="00985F1C"/>
    <w:rsid w:val="00986A7B"/>
    <w:rsid w:val="0098716B"/>
    <w:rsid w:val="009872A4"/>
    <w:rsid w:val="00987870"/>
    <w:rsid w:val="00987934"/>
    <w:rsid w:val="00987AE0"/>
    <w:rsid w:val="00990198"/>
    <w:rsid w:val="00990D1B"/>
    <w:rsid w:val="00990F30"/>
    <w:rsid w:val="00991416"/>
    <w:rsid w:val="009914DA"/>
    <w:rsid w:val="00991986"/>
    <w:rsid w:val="00991B81"/>
    <w:rsid w:val="00991EA4"/>
    <w:rsid w:val="00992609"/>
    <w:rsid w:val="00992670"/>
    <w:rsid w:val="009929A0"/>
    <w:rsid w:val="00992B50"/>
    <w:rsid w:val="00992C4F"/>
    <w:rsid w:val="00993371"/>
    <w:rsid w:val="009944C3"/>
    <w:rsid w:val="00994780"/>
    <w:rsid w:val="009948DA"/>
    <w:rsid w:val="00995326"/>
    <w:rsid w:val="00995B53"/>
    <w:rsid w:val="00995EB6"/>
    <w:rsid w:val="00995FC3"/>
    <w:rsid w:val="009960B3"/>
    <w:rsid w:val="00996E4F"/>
    <w:rsid w:val="00996F18"/>
    <w:rsid w:val="0099733A"/>
    <w:rsid w:val="00997C39"/>
    <w:rsid w:val="00997C8C"/>
    <w:rsid w:val="00997FFC"/>
    <w:rsid w:val="009A0B29"/>
    <w:rsid w:val="009A0DCF"/>
    <w:rsid w:val="009A0DED"/>
    <w:rsid w:val="009A0EFF"/>
    <w:rsid w:val="009A115A"/>
    <w:rsid w:val="009A12A7"/>
    <w:rsid w:val="009A16A0"/>
    <w:rsid w:val="009A191C"/>
    <w:rsid w:val="009A1A49"/>
    <w:rsid w:val="009A1C25"/>
    <w:rsid w:val="009A1CFF"/>
    <w:rsid w:val="009A23FD"/>
    <w:rsid w:val="009A3159"/>
    <w:rsid w:val="009A349E"/>
    <w:rsid w:val="009A364F"/>
    <w:rsid w:val="009A37AB"/>
    <w:rsid w:val="009A3A3B"/>
    <w:rsid w:val="009A3FAE"/>
    <w:rsid w:val="009A45DA"/>
    <w:rsid w:val="009A4833"/>
    <w:rsid w:val="009A4C45"/>
    <w:rsid w:val="009A4CF5"/>
    <w:rsid w:val="009A4E7A"/>
    <w:rsid w:val="009A5077"/>
    <w:rsid w:val="009A51A8"/>
    <w:rsid w:val="009A55F9"/>
    <w:rsid w:val="009A57AB"/>
    <w:rsid w:val="009A5A43"/>
    <w:rsid w:val="009A5F56"/>
    <w:rsid w:val="009A605E"/>
    <w:rsid w:val="009A6205"/>
    <w:rsid w:val="009A67C0"/>
    <w:rsid w:val="009A7522"/>
    <w:rsid w:val="009A763C"/>
    <w:rsid w:val="009A766C"/>
    <w:rsid w:val="009A7CBB"/>
    <w:rsid w:val="009A7DC1"/>
    <w:rsid w:val="009B001F"/>
    <w:rsid w:val="009B04BE"/>
    <w:rsid w:val="009B0B90"/>
    <w:rsid w:val="009B0BD4"/>
    <w:rsid w:val="009B0CC6"/>
    <w:rsid w:val="009B0D2F"/>
    <w:rsid w:val="009B1022"/>
    <w:rsid w:val="009B121E"/>
    <w:rsid w:val="009B122E"/>
    <w:rsid w:val="009B14D1"/>
    <w:rsid w:val="009B1CF6"/>
    <w:rsid w:val="009B1FD8"/>
    <w:rsid w:val="009B2137"/>
    <w:rsid w:val="009B224A"/>
    <w:rsid w:val="009B239A"/>
    <w:rsid w:val="009B23EA"/>
    <w:rsid w:val="009B2E9F"/>
    <w:rsid w:val="009B371D"/>
    <w:rsid w:val="009B3D5B"/>
    <w:rsid w:val="009B427F"/>
    <w:rsid w:val="009B4314"/>
    <w:rsid w:val="009B46BB"/>
    <w:rsid w:val="009B4AB0"/>
    <w:rsid w:val="009B4B5B"/>
    <w:rsid w:val="009B5047"/>
    <w:rsid w:val="009B5104"/>
    <w:rsid w:val="009B554D"/>
    <w:rsid w:val="009B5A07"/>
    <w:rsid w:val="009B6032"/>
    <w:rsid w:val="009B6094"/>
    <w:rsid w:val="009B63FB"/>
    <w:rsid w:val="009B6461"/>
    <w:rsid w:val="009B7435"/>
    <w:rsid w:val="009B75FA"/>
    <w:rsid w:val="009B7C05"/>
    <w:rsid w:val="009B7FF7"/>
    <w:rsid w:val="009C0B0D"/>
    <w:rsid w:val="009C0BB9"/>
    <w:rsid w:val="009C0DF5"/>
    <w:rsid w:val="009C1085"/>
    <w:rsid w:val="009C1537"/>
    <w:rsid w:val="009C15D4"/>
    <w:rsid w:val="009C186C"/>
    <w:rsid w:val="009C190B"/>
    <w:rsid w:val="009C19A8"/>
    <w:rsid w:val="009C2047"/>
    <w:rsid w:val="009C233D"/>
    <w:rsid w:val="009C2C18"/>
    <w:rsid w:val="009C2F11"/>
    <w:rsid w:val="009C3195"/>
    <w:rsid w:val="009C3382"/>
    <w:rsid w:val="009C34BD"/>
    <w:rsid w:val="009C3561"/>
    <w:rsid w:val="009C35A4"/>
    <w:rsid w:val="009C3D84"/>
    <w:rsid w:val="009C45A4"/>
    <w:rsid w:val="009C4DE8"/>
    <w:rsid w:val="009C4F53"/>
    <w:rsid w:val="009C500E"/>
    <w:rsid w:val="009C5342"/>
    <w:rsid w:val="009C5FC5"/>
    <w:rsid w:val="009C6559"/>
    <w:rsid w:val="009C6B6D"/>
    <w:rsid w:val="009C6CC4"/>
    <w:rsid w:val="009C6EC1"/>
    <w:rsid w:val="009C7004"/>
    <w:rsid w:val="009C7367"/>
    <w:rsid w:val="009C78E7"/>
    <w:rsid w:val="009C7AE7"/>
    <w:rsid w:val="009D047D"/>
    <w:rsid w:val="009D049B"/>
    <w:rsid w:val="009D0852"/>
    <w:rsid w:val="009D0CD7"/>
    <w:rsid w:val="009D13F2"/>
    <w:rsid w:val="009D1710"/>
    <w:rsid w:val="009D1B53"/>
    <w:rsid w:val="009D1B90"/>
    <w:rsid w:val="009D1E6E"/>
    <w:rsid w:val="009D21F8"/>
    <w:rsid w:val="009D237C"/>
    <w:rsid w:val="009D252F"/>
    <w:rsid w:val="009D25F2"/>
    <w:rsid w:val="009D2800"/>
    <w:rsid w:val="009D2A23"/>
    <w:rsid w:val="009D3503"/>
    <w:rsid w:val="009D3BC5"/>
    <w:rsid w:val="009D4158"/>
    <w:rsid w:val="009D44E2"/>
    <w:rsid w:val="009D4833"/>
    <w:rsid w:val="009D4B10"/>
    <w:rsid w:val="009D4C90"/>
    <w:rsid w:val="009D4E01"/>
    <w:rsid w:val="009D4E1F"/>
    <w:rsid w:val="009D5156"/>
    <w:rsid w:val="009D5341"/>
    <w:rsid w:val="009D59DD"/>
    <w:rsid w:val="009D5C98"/>
    <w:rsid w:val="009D6282"/>
    <w:rsid w:val="009D653B"/>
    <w:rsid w:val="009D6605"/>
    <w:rsid w:val="009D67CC"/>
    <w:rsid w:val="009D69A5"/>
    <w:rsid w:val="009D6C4D"/>
    <w:rsid w:val="009D6C5C"/>
    <w:rsid w:val="009D6C99"/>
    <w:rsid w:val="009D7011"/>
    <w:rsid w:val="009D7131"/>
    <w:rsid w:val="009D74E0"/>
    <w:rsid w:val="009D7537"/>
    <w:rsid w:val="009D7747"/>
    <w:rsid w:val="009D7889"/>
    <w:rsid w:val="009D7A7D"/>
    <w:rsid w:val="009E0035"/>
    <w:rsid w:val="009E0E1A"/>
    <w:rsid w:val="009E0E91"/>
    <w:rsid w:val="009E10A7"/>
    <w:rsid w:val="009E1526"/>
    <w:rsid w:val="009E15A3"/>
    <w:rsid w:val="009E1900"/>
    <w:rsid w:val="009E193C"/>
    <w:rsid w:val="009E1BAF"/>
    <w:rsid w:val="009E1CEF"/>
    <w:rsid w:val="009E1F46"/>
    <w:rsid w:val="009E20A6"/>
    <w:rsid w:val="009E293D"/>
    <w:rsid w:val="009E2AAF"/>
    <w:rsid w:val="009E2FB3"/>
    <w:rsid w:val="009E37FB"/>
    <w:rsid w:val="009E38B9"/>
    <w:rsid w:val="009E393E"/>
    <w:rsid w:val="009E3F1D"/>
    <w:rsid w:val="009E41E1"/>
    <w:rsid w:val="009E4226"/>
    <w:rsid w:val="009E435D"/>
    <w:rsid w:val="009E4B6C"/>
    <w:rsid w:val="009E5393"/>
    <w:rsid w:val="009E5687"/>
    <w:rsid w:val="009E58DC"/>
    <w:rsid w:val="009E5A92"/>
    <w:rsid w:val="009E5A98"/>
    <w:rsid w:val="009E5BAB"/>
    <w:rsid w:val="009E6140"/>
    <w:rsid w:val="009E6198"/>
    <w:rsid w:val="009E627D"/>
    <w:rsid w:val="009E6D28"/>
    <w:rsid w:val="009E6D47"/>
    <w:rsid w:val="009E6ED4"/>
    <w:rsid w:val="009E7788"/>
    <w:rsid w:val="009E7A5A"/>
    <w:rsid w:val="009F0332"/>
    <w:rsid w:val="009F0336"/>
    <w:rsid w:val="009F0833"/>
    <w:rsid w:val="009F0E3F"/>
    <w:rsid w:val="009F0FEA"/>
    <w:rsid w:val="009F19B3"/>
    <w:rsid w:val="009F1DAC"/>
    <w:rsid w:val="009F20D5"/>
    <w:rsid w:val="009F215E"/>
    <w:rsid w:val="009F2A8A"/>
    <w:rsid w:val="009F2C99"/>
    <w:rsid w:val="009F300B"/>
    <w:rsid w:val="009F334B"/>
    <w:rsid w:val="009F3B02"/>
    <w:rsid w:val="009F3DDE"/>
    <w:rsid w:val="009F3EAC"/>
    <w:rsid w:val="009F3F87"/>
    <w:rsid w:val="009F40BF"/>
    <w:rsid w:val="009F411B"/>
    <w:rsid w:val="009F4E94"/>
    <w:rsid w:val="009F4FF5"/>
    <w:rsid w:val="009F5006"/>
    <w:rsid w:val="009F50C8"/>
    <w:rsid w:val="009F573F"/>
    <w:rsid w:val="009F592A"/>
    <w:rsid w:val="009F59B7"/>
    <w:rsid w:val="009F5B8F"/>
    <w:rsid w:val="009F6162"/>
    <w:rsid w:val="009F62AD"/>
    <w:rsid w:val="009F6B4F"/>
    <w:rsid w:val="009F6EC6"/>
    <w:rsid w:val="009F6F1E"/>
    <w:rsid w:val="009F77E0"/>
    <w:rsid w:val="009F7E0C"/>
    <w:rsid w:val="00A00053"/>
    <w:rsid w:val="00A00146"/>
    <w:rsid w:val="00A001DA"/>
    <w:rsid w:val="00A0036F"/>
    <w:rsid w:val="00A004E0"/>
    <w:rsid w:val="00A004FF"/>
    <w:rsid w:val="00A0052D"/>
    <w:rsid w:val="00A00547"/>
    <w:rsid w:val="00A00580"/>
    <w:rsid w:val="00A00BF2"/>
    <w:rsid w:val="00A00F3F"/>
    <w:rsid w:val="00A011AA"/>
    <w:rsid w:val="00A012BC"/>
    <w:rsid w:val="00A014F7"/>
    <w:rsid w:val="00A015E4"/>
    <w:rsid w:val="00A01696"/>
    <w:rsid w:val="00A01816"/>
    <w:rsid w:val="00A0236E"/>
    <w:rsid w:val="00A023B6"/>
    <w:rsid w:val="00A02543"/>
    <w:rsid w:val="00A02721"/>
    <w:rsid w:val="00A02986"/>
    <w:rsid w:val="00A02B28"/>
    <w:rsid w:val="00A02DCB"/>
    <w:rsid w:val="00A03060"/>
    <w:rsid w:val="00A0335B"/>
    <w:rsid w:val="00A033D1"/>
    <w:rsid w:val="00A03BAB"/>
    <w:rsid w:val="00A03D78"/>
    <w:rsid w:val="00A04584"/>
    <w:rsid w:val="00A04AF6"/>
    <w:rsid w:val="00A04C88"/>
    <w:rsid w:val="00A04CB5"/>
    <w:rsid w:val="00A04D0D"/>
    <w:rsid w:val="00A04E65"/>
    <w:rsid w:val="00A05020"/>
    <w:rsid w:val="00A0510E"/>
    <w:rsid w:val="00A05445"/>
    <w:rsid w:val="00A055A1"/>
    <w:rsid w:val="00A0579A"/>
    <w:rsid w:val="00A05809"/>
    <w:rsid w:val="00A05B31"/>
    <w:rsid w:val="00A05C70"/>
    <w:rsid w:val="00A05D0B"/>
    <w:rsid w:val="00A05F12"/>
    <w:rsid w:val="00A068DA"/>
    <w:rsid w:val="00A06E53"/>
    <w:rsid w:val="00A078FB"/>
    <w:rsid w:val="00A079A2"/>
    <w:rsid w:val="00A07C1E"/>
    <w:rsid w:val="00A07CFE"/>
    <w:rsid w:val="00A1046F"/>
    <w:rsid w:val="00A10944"/>
    <w:rsid w:val="00A10BBC"/>
    <w:rsid w:val="00A116BD"/>
    <w:rsid w:val="00A11B9D"/>
    <w:rsid w:val="00A11C92"/>
    <w:rsid w:val="00A12253"/>
    <w:rsid w:val="00A12349"/>
    <w:rsid w:val="00A1277A"/>
    <w:rsid w:val="00A12D1B"/>
    <w:rsid w:val="00A12DD8"/>
    <w:rsid w:val="00A12DF6"/>
    <w:rsid w:val="00A13046"/>
    <w:rsid w:val="00A13D0E"/>
    <w:rsid w:val="00A13E56"/>
    <w:rsid w:val="00A1430C"/>
    <w:rsid w:val="00A14465"/>
    <w:rsid w:val="00A14D6D"/>
    <w:rsid w:val="00A14E21"/>
    <w:rsid w:val="00A14F6C"/>
    <w:rsid w:val="00A15107"/>
    <w:rsid w:val="00A1536B"/>
    <w:rsid w:val="00A1568F"/>
    <w:rsid w:val="00A15796"/>
    <w:rsid w:val="00A157C9"/>
    <w:rsid w:val="00A15CFB"/>
    <w:rsid w:val="00A16A8F"/>
    <w:rsid w:val="00A16B57"/>
    <w:rsid w:val="00A17135"/>
    <w:rsid w:val="00A17735"/>
    <w:rsid w:val="00A178A5"/>
    <w:rsid w:val="00A179E6"/>
    <w:rsid w:val="00A204F6"/>
    <w:rsid w:val="00A20589"/>
    <w:rsid w:val="00A20C25"/>
    <w:rsid w:val="00A21522"/>
    <w:rsid w:val="00A216C0"/>
    <w:rsid w:val="00A222E9"/>
    <w:rsid w:val="00A22480"/>
    <w:rsid w:val="00A22496"/>
    <w:rsid w:val="00A22B59"/>
    <w:rsid w:val="00A22BD9"/>
    <w:rsid w:val="00A22E40"/>
    <w:rsid w:val="00A23074"/>
    <w:rsid w:val="00A2339E"/>
    <w:rsid w:val="00A233EF"/>
    <w:rsid w:val="00A2349A"/>
    <w:rsid w:val="00A238F3"/>
    <w:rsid w:val="00A23CB2"/>
    <w:rsid w:val="00A23DCF"/>
    <w:rsid w:val="00A242E6"/>
    <w:rsid w:val="00A2499D"/>
    <w:rsid w:val="00A24A7C"/>
    <w:rsid w:val="00A2504F"/>
    <w:rsid w:val="00A2515D"/>
    <w:rsid w:val="00A2535E"/>
    <w:rsid w:val="00A25E02"/>
    <w:rsid w:val="00A25FDC"/>
    <w:rsid w:val="00A2618E"/>
    <w:rsid w:val="00A264A8"/>
    <w:rsid w:val="00A264D8"/>
    <w:rsid w:val="00A26761"/>
    <w:rsid w:val="00A267F5"/>
    <w:rsid w:val="00A26A20"/>
    <w:rsid w:val="00A272A6"/>
    <w:rsid w:val="00A2785F"/>
    <w:rsid w:val="00A27A3A"/>
    <w:rsid w:val="00A27DB5"/>
    <w:rsid w:val="00A30265"/>
    <w:rsid w:val="00A30380"/>
    <w:rsid w:val="00A303C4"/>
    <w:rsid w:val="00A305E6"/>
    <w:rsid w:val="00A30A8F"/>
    <w:rsid w:val="00A30B03"/>
    <w:rsid w:val="00A30E82"/>
    <w:rsid w:val="00A3111E"/>
    <w:rsid w:val="00A311BC"/>
    <w:rsid w:val="00A31525"/>
    <w:rsid w:val="00A3178C"/>
    <w:rsid w:val="00A3199C"/>
    <w:rsid w:val="00A319DA"/>
    <w:rsid w:val="00A31CE1"/>
    <w:rsid w:val="00A31FCF"/>
    <w:rsid w:val="00A3230F"/>
    <w:rsid w:val="00A3245F"/>
    <w:rsid w:val="00A3276D"/>
    <w:rsid w:val="00A330F9"/>
    <w:rsid w:val="00A33365"/>
    <w:rsid w:val="00A338A0"/>
    <w:rsid w:val="00A33930"/>
    <w:rsid w:val="00A33954"/>
    <w:rsid w:val="00A33A09"/>
    <w:rsid w:val="00A33A65"/>
    <w:rsid w:val="00A33AD7"/>
    <w:rsid w:val="00A33B53"/>
    <w:rsid w:val="00A344B1"/>
    <w:rsid w:val="00A34A86"/>
    <w:rsid w:val="00A34F78"/>
    <w:rsid w:val="00A34F91"/>
    <w:rsid w:val="00A356F4"/>
    <w:rsid w:val="00A35924"/>
    <w:rsid w:val="00A35B1B"/>
    <w:rsid w:val="00A35BE9"/>
    <w:rsid w:val="00A35BF3"/>
    <w:rsid w:val="00A362E5"/>
    <w:rsid w:val="00A3638F"/>
    <w:rsid w:val="00A36623"/>
    <w:rsid w:val="00A36AED"/>
    <w:rsid w:val="00A37018"/>
    <w:rsid w:val="00A37225"/>
    <w:rsid w:val="00A375C5"/>
    <w:rsid w:val="00A375DD"/>
    <w:rsid w:val="00A3775A"/>
    <w:rsid w:val="00A37852"/>
    <w:rsid w:val="00A37890"/>
    <w:rsid w:val="00A37F3A"/>
    <w:rsid w:val="00A37FC5"/>
    <w:rsid w:val="00A40067"/>
    <w:rsid w:val="00A403AC"/>
    <w:rsid w:val="00A404EF"/>
    <w:rsid w:val="00A40AA2"/>
    <w:rsid w:val="00A40C5B"/>
    <w:rsid w:val="00A4134D"/>
    <w:rsid w:val="00A415B8"/>
    <w:rsid w:val="00A41968"/>
    <w:rsid w:val="00A41D37"/>
    <w:rsid w:val="00A41F19"/>
    <w:rsid w:val="00A41F2D"/>
    <w:rsid w:val="00A42176"/>
    <w:rsid w:val="00A424C6"/>
    <w:rsid w:val="00A43029"/>
    <w:rsid w:val="00A430D5"/>
    <w:rsid w:val="00A433D9"/>
    <w:rsid w:val="00A43878"/>
    <w:rsid w:val="00A43BEF"/>
    <w:rsid w:val="00A43FF8"/>
    <w:rsid w:val="00A44428"/>
    <w:rsid w:val="00A447EC"/>
    <w:rsid w:val="00A44F4F"/>
    <w:rsid w:val="00A44FF3"/>
    <w:rsid w:val="00A45158"/>
    <w:rsid w:val="00A45BA3"/>
    <w:rsid w:val="00A45D8D"/>
    <w:rsid w:val="00A45DE6"/>
    <w:rsid w:val="00A45F92"/>
    <w:rsid w:val="00A47068"/>
    <w:rsid w:val="00A4752C"/>
    <w:rsid w:val="00A47A51"/>
    <w:rsid w:val="00A501AB"/>
    <w:rsid w:val="00A502BA"/>
    <w:rsid w:val="00A50729"/>
    <w:rsid w:val="00A5090E"/>
    <w:rsid w:val="00A509CF"/>
    <w:rsid w:val="00A50A57"/>
    <w:rsid w:val="00A51209"/>
    <w:rsid w:val="00A51826"/>
    <w:rsid w:val="00A51F4A"/>
    <w:rsid w:val="00A5234B"/>
    <w:rsid w:val="00A529C9"/>
    <w:rsid w:val="00A52B2F"/>
    <w:rsid w:val="00A53360"/>
    <w:rsid w:val="00A53501"/>
    <w:rsid w:val="00A53C15"/>
    <w:rsid w:val="00A53F2F"/>
    <w:rsid w:val="00A541DE"/>
    <w:rsid w:val="00A5441A"/>
    <w:rsid w:val="00A549B5"/>
    <w:rsid w:val="00A54A95"/>
    <w:rsid w:val="00A54D22"/>
    <w:rsid w:val="00A54E4A"/>
    <w:rsid w:val="00A55103"/>
    <w:rsid w:val="00A55924"/>
    <w:rsid w:val="00A55B73"/>
    <w:rsid w:val="00A560AE"/>
    <w:rsid w:val="00A56218"/>
    <w:rsid w:val="00A56B13"/>
    <w:rsid w:val="00A56B75"/>
    <w:rsid w:val="00A56CD3"/>
    <w:rsid w:val="00A56CE0"/>
    <w:rsid w:val="00A56E73"/>
    <w:rsid w:val="00A570EA"/>
    <w:rsid w:val="00A5735D"/>
    <w:rsid w:val="00A57430"/>
    <w:rsid w:val="00A5753C"/>
    <w:rsid w:val="00A5760E"/>
    <w:rsid w:val="00A57B3D"/>
    <w:rsid w:val="00A60303"/>
    <w:rsid w:val="00A60B7D"/>
    <w:rsid w:val="00A6107D"/>
    <w:rsid w:val="00A62350"/>
    <w:rsid w:val="00A624B6"/>
    <w:rsid w:val="00A62876"/>
    <w:rsid w:val="00A62997"/>
    <w:rsid w:val="00A62AF7"/>
    <w:rsid w:val="00A62F5C"/>
    <w:rsid w:val="00A632EB"/>
    <w:rsid w:val="00A6338D"/>
    <w:rsid w:val="00A63FCD"/>
    <w:rsid w:val="00A64CCB"/>
    <w:rsid w:val="00A64F24"/>
    <w:rsid w:val="00A6509D"/>
    <w:rsid w:val="00A65141"/>
    <w:rsid w:val="00A65723"/>
    <w:rsid w:val="00A657AA"/>
    <w:rsid w:val="00A65873"/>
    <w:rsid w:val="00A65B5B"/>
    <w:rsid w:val="00A65E89"/>
    <w:rsid w:val="00A660E5"/>
    <w:rsid w:val="00A6627D"/>
    <w:rsid w:val="00A66895"/>
    <w:rsid w:val="00A66EA6"/>
    <w:rsid w:val="00A66FAC"/>
    <w:rsid w:val="00A670C6"/>
    <w:rsid w:val="00A67A28"/>
    <w:rsid w:val="00A67DF1"/>
    <w:rsid w:val="00A70105"/>
    <w:rsid w:val="00A70671"/>
    <w:rsid w:val="00A70720"/>
    <w:rsid w:val="00A70E4F"/>
    <w:rsid w:val="00A71232"/>
    <w:rsid w:val="00A71593"/>
    <w:rsid w:val="00A71C0E"/>
    <w:rsid w:val="00A71DEC"/>
    <w:rsid w:val="00A72164"/>
    <w:rsid w:val="00A72FEA"/>
    <w:rsid w:val="00A7304F"/>
    <w:rsid w:val="00A730CA"/>
    <w:rsid w:val="00A7370C"/>
    <w:rsid w:val="00A739A6"/>
    <w:rsid w:val="00A73A2F"/>
    <w:rsid w:val="00A73AE5"/>
    <w:rsid w:val="00A73F32"/>
    <w:rsid w:val="00A73F98"/>
    <w:rsid w:val="00A74C24"/>
    <w:rsid w:val="00A74C84"/>
    <w:rsid w:val="00A76787"/>
    <w:rsid w:val="00A76A2B"/>
    <w:rsid w:val="00A76E19"/>
    <w:rsid w:val="00A770F5"/>
    <w:rsid w:val="00A77410"/>
    <w:rsid w:val="00A77739"/>
    <w:rsid w:val="00A77A32"/>
    <w:rsid w:val="00A77C3E"/>
    <w:rsid w:val="00A77D7D"/>
    <w:rsid w:val="00A77F4D"/>
    <w:rsid w:val="00A81606"/>
    <w:rsid w:val="00A817F3"/>
    <w:rsid w:val="00A81AFB"/>
    <w:rsid w:val="00A81E9E"/>
    <w:rsid w:val="00A82065"/>
    <w:rsid w:val="00A82117"/>
    <w:rsid w:val="00A82229"/>
    <w:rsid w:val="00A823D6"/>
    <w:rsid w:val="00A823F6"/>
    <w:rsid w:val="00A82601"/>
    <w:rsid w:val="00A82A3A"/>
    <w:rsid w:val="00A83089"/>
    <w:rsid w:val="00A83179"/>
    <w:rsid w:val="00A83258"/>
    <w:rsid w:val="00A832DC"/>
    <w:rsid w:val="00A838A4"/>
    <w:rsid w:val="00A8391B"/>
    <w:rsid w:val="00A83A56"/>
    <w:rsid w:val="00A83D06"/>
    <w:rsid w:val="00A84508"/>
    <w:rsid w:val="00A84509"/>
    <w:rsid w:val="00A84722"/>
    <w:rsid w:val="00A84768"/>
    <w:rsid w:val="00A848C0"/>
    <w:rsid w:val="00A84E44"/>
    <w:rsid w:val="00A85275"/>
    <w:rsid w:val="00A856EA"/>
    <w:rsid w:val="00A85791"/>
    <w:rsid w:val="00A85903"/>
    <w:rsid w:val="00A85B39"/>
    <w:rsid w:val="00A85EAB"/>
    <w:rsid w:val="00A8616D"/>
    <w:rsid w:val="00A86468"/>
    <w:rsid w:val="00A866B9"/>
    <w:rsid w:val="00A875B6"/>
    <w:rsid w:val="00A87862"/>
    <w:rsid w:val="00A87A97"/>
    <w:rsid w:val="00A90B9B"/>
    <w:rsid w:val="00A90C5A"/>
    <w:rsid w:val="00A90D89"/>
    <w:rsid w:val="00A91084"/>
    <w:rsid w:val="00A91216"/>
    <w:rsid w:val="00A91451"/>
    <w:rsid w:val="00A915FE"/>
    <w:rsid w:val="00A91BC6"/>
    <w:rsid w:val="00A91CC3"/>
    <w:rsid w:val="00A92000"/>
    <w:rsid w:val="00A92001"/>
    <w:rsid w:val="00A927C7"/>
    <w:rsid w:val="00A92F75"/>
    <w:rsid w:val="00A930F4"/>
    <w:rsid w:val="00A9335F"/>
    <w:rsid w:val="00A93BBA"/>
    <w:rsid w:val="00A93C59"/>
    <w:rsid w:val="00A946BC"/>
    <w:rsid w:val="00A948D2"/>
    <w:rsid w:val="00A94C96"/>
    <w:rsid w:val="00A94CA2"/>
    <w:rsid w:val="00A94CB8"/>
    <w:rsid w:val="00A952DE"/>
    <w:rsid w:val="00A9551F"/>
    <w:rsid w:val="00A958E3"/>
    <w:rsid w:val="00A95A5E"/>
    <w:rsid w:val="00A95AB3"/>
    <w:rsid w:val="00A9626A"/>
    <w:rsid w:val="00A96407"/>
    <w:rsid w:val="00A968BF"/>
    <w:rsid w:val="00A96AC6"/>
    <w:rsid w:val="00A96BD8"/>
    <w:rsid w:val="00A9730C"/>
    <w:rsid w:val="00A97C63"/>
    <w:rsid w:val="00A97D00"/>
    <w:rsid w:val="00AA0026"/>
    <w:rsid w:val="00AA0A51"/>
    <w:rsid w:val="00AA0A6E"/>
    <w:rsid w:val="00AA1110"/>
    <w:rsid w:val="00AA1251"/>
    <w:rsid w:val="00AA1394"/>
    <w:rsid w:val="00AA1549"/>
    <w:rsid w:val="00AA15C7"/>
    <w:rsid w:val="00AA1A44"/>
    <w:rsid w:val="00AA1B5A"/>
    <w:rsid w:val="00AA1BF7"/>
    <w:rsid w:val="00AA25DF"/>
    <w:rsid w:val="00AA2A5A"/>
    <w:rsid w:val="00AA2EF9"/>
    <w:rsid w:val="00AA31CF"/>
    <w:rsid w:val="00AA37F7"/>
    <w:rsid w:val="00AA3B22"/>
    <w:rsid w:val="00AA3FB7"/>
    <w:rsid w:val="00AA3FDC"/>
    <w:rsid w:val="00AA4005"/>
    <w:rsid w:val="00AA402C"/>
    <w:rsid w:val="00AA4355"/>
    <w:rsid w:val="00AA45B8"/>
    <w:rsid w:val="00AA4AB9"/>
    <w:rsid w:val="00AA4E81"/>
    <w:rsid w:val="00AA4ED4"/>
    <w:rsid w:val="00AA5686"/>
    <w:rsid w:val="00AA5DED"/>
    <w:rsid w:val="00AA5F21"/>
    <w:rsid w:val="00AA6BBB"/>
    <w:rsid w:val="00AA6BD7"/>
    <w:rsid w:val="00AA6F74"/>
    <w:rsid w:val="00AA74B4"/>
    <w:rsid w:val="00AA7625"/>
    <w:rsid w:val="00AA79A0"/>
    <w:rsid w:val="00AA7C80"/>
    <w:rsid w:val="00AA7E98"/>
    <w:rsid w:val="00AA7FF8"/>
    <w:rsid w:val="00AB07C9"/>
    <w:rsid w:val="00AB0903"/>
    <w:rsid w:val="00AB0A70"/>
    <w:rsid w:val="00AB0CB1"/>
    <w:rsid w:val="00AB1199"/>
    <w:rsid w:val="00AB16C0"/>
    <w:rsid w:val="00AB170A"/>
    <w:rsid w:val="00AB26E5"/>
    <w:rsid w:val="00AB2A97"/>
    <w:rsid w:val="00AB2F25"/>
    <w:rsid w:val="00AB371C"/>
    <w:rsid w:val="00AB3A51"/>
    <w:rsid w:val="00AB4257"/>
    <w:rsid w:val="00AB44C5"/>
    <w:rsid w:val="00AB4552"/>
    <w:rsid w:val="00AB4978"/>
    <w:rsid w:val="00AB4AD8"/>
    <w:rsid w:val="00AB523F"/>
    <w:rsid w:val="00AB5909"/>
    <w:rsid w:val="00AB5BFB"/>
    <w:rsid w:val="00AB5D94"/>
    <w:rsid w:val="00AB5E80"/>
    <w:rsid w:val="00AB5FA0"/>
    <w:rsid w:val="00AB5FEA"/>
    <w:rsid w:val="00AB6150"/>
    <w:rsid w:val="00AB6505"/>
    <w:rsid w:val="00AB66FF"/>
    <w:rsid w:val="00AB696A"/>
    <w:rsid w:val="00AB6D1B"/>
    <w:rsid w:val="00AB6D81"/>
    <w:rsid w:val="00AB7105"/>
    <w:rsid w:val="00AB7E0B"/>
    <w:rsid w:val="00AC0096"/>
    <w:rsid w:val="00AC024F"/>
    <w:rsid w:val="00AC0597"/>
    <w:rsid w:val="00AC069A"/>
    <w:rsid w:val="00AC0B3D"/>
    <w:rsid w:val="00AC0BAC"/>
    <w:rsid w:val="00AC0BCA"/>
    <w:rsid w:val="00AC134D"/>
    <w:rsid w:val="00AC1422"/>
    <w:rsid w:val="00AC185E"/>
    <w:rsid w:val="00AC2252"/>
    <w:rsid w:val="00AC22DF"/>
    <w:rsid w:val="00AC2657"/>
    <w:rsid w:val="00AC2778"/>
    <w:rsid w:val="00AC28B2"/>
    <w:rsid w:val="00AC2A31"/>
    <w:rsid w:val="00AC32AC"/>
    <w:rsid w:val="00AC3481"/>
    <w:rsid w:val="00AC3751"/>
    <w:rsid w:val="00AC39CC"/>
    <w:rsid w:val="00AC3B13"/>
    <w:rsid w:val="00AC3D21"/>
    <w:rsid w:val="00AC47CD"/>
    <w:rsid w:val="00AC47E3"/>
    <w:rsid w:val="00AC4F5D"/>
    <w:rsid w:val="00AC553B"/>
    <w:rsid w:val="00AC5973"/>
    <w:rsid w:val="00AC5B51"/>
    <w:rsid w:val="00AC60B3"/>
    <w:rsid w:val="00AC6357"/>
    <w:rsid w:val="00AC6B7E"/>
    <w:rsid w:val="00AC719D"/>
    <w:rsid w:val="00AC734B"/>
    <w:rsid w:val="00AC73E9"/>
    <w:rsid w:val="00AC743A"/>
    <w:rsid w:val="00AC78A0"/>
    <w:rsid w:val="00AC78E0"/>
    <w:rsid w:val="00AC7DE0"/>
    <w:rsid w:val="00AD04FB"/>
    <w:rsid w:val="00AD0648"/>
    <w:rsid w:val="00AD0995"/>
    <w:rsid w:val="00AD1F71"/>
    <w:rsid w:val="00AD27F9"/>
    <w:rsid w:val="00AD2C51"/>
    <w:rsid w:val="00AD2D69"/>
    <w:rsid w:val="00AD344D"/>
    <w:rsid w:val="00AD35DA"/>
    <w:rsid w:val="00AD36AA"/>
    <w:rsid w:val="00AD37C8"/>
    <w:rsid w:val="00AD3B80"/>
    <w:rsid w:val="00AD3DA1"/>
    <w:rsid w:val="00AD3EDF"/>
    <w:rsid w:val="00AD3F29"/>
    <w:rsid w:val="00AD43FB"/>
    <w:rsid w:val="00AD4725"/>
    <w:rsid w:val="00AD4970"/>
    <w:rsid w:val="00AD5495"/>
    <w:rsid w:val="00AD57E5"/>
    <w:rsid w:val="00AD5B8F"/>
    <w:rsid w:val="00AD5F9F"/>
    <w:rsid w:val="00AD61E0"/>
    <w:rsid w:val="00AD62C6"/>
    <w:rsid w:val="00AD662C"/>
    <w:rsid w:val="00AD6D66"/>
    <w:rsid w:val="00AD723F"/>
    <w:rsid w:val="00AD729A"/>
    <w:rsid w:val="00AD7764"/>
    <w:rsid w:val="00AD7780"/>
    <w:rsid w:val="00AD77DE"/>
    <w:rsid w:val="00AD78D5"/>
    <w:rsid w:val="00AD79B8"/>
    <w:rsid w:val="00AD7A50"/>
    <w:rsid w:val="00AE0653"/>
    <w:rsid w:val="00AE0687"/>
    <w:rsid w:val="00AE1C92"/>
    <w:rsid w:val="00AE1CB4"/>
    <w:rsid w:val="00AE1E31"/>
    <w:rsid w:val="00AE1F96"/>
    <w:rsid w:val="00AE256B"/>
    <w:rsid w:val="00AE2573"/>
    <w:rsid w:val="00AE2A33"/>
    <w:rsid w:val="00AE2C86"/>
    <w:rsid w:val="00AE2C88"/>
    <w:rsid w:val="00AE3221"/>
    <w:rsid w:val="00AE3A8A"/>
    <w:rsid w:val="00AE3F1E"/>
    <w:rsid w:val="00AE415F"/>
    <w:rsid w:val="00AE433F"/>
    <w:rsid w:val="00AE4668"/>
    <w:rsid w:val="00AE4D9B"/>
    <w:rsid w:val="00AE50D3"/>
    <w:rsid w:val="00AE524A"/>
    <w:rsid w:val="00AE552B"/>
    <w:rsid w:val="00AE573D"/>
    <w:rsid w:val="00AE57FD"/>
    <w:rsid w:val="00AE638E"/>
    <w:rsid w:val="00AE67F7"/>
    <w:rsid w:val="00AE6B76"/>
    <w:rsid w:val="00AE6C14"/>
    <w:rsid w:val="00AE6C99"/>
    <w:rsid w:val="00AE6CDD"/>
    <w:rsid w:val="00AE7227"/>
    <w:rsid w:val="00AE74C5"/>
    <w:rsid w:val="00AE767B"/>
    <w:rsid w:val="00AE79C9"/>
    <w:rsid w:val="00AE7AC0"/>
    <w:rsid w:val="00AF01F7"/>
    <w:rsid w:val="00AF0E36"/>
    <w:rsid w:val="00AF10E6"/>
    <w:rsid w:val="00AF155E"/>
    <w:rsid w:val="00AF158A"/>
    <w:rsid w:val="00AF181E"/>
    <w:rsid w:val="00AF1A14"/>
    <w:rsid w:val="00AF1ABB"/>
    <w:rsid w:val="00AF1ACB"/>
    <w:rsid w:val="00AF1B16"/>
    <w:rsid w:val="00AF1BC6"/>
    <w:rsid w:val="00AF1DA7"/>
    <w:rsid w:val="00AF1EF5"/>
    <w:rsid w:val="00AF1F08"/>
    <w:rsid w:val="00AF2003"/>
    <w:rsid w:val="00AF20A0"/>
    <w:rsid w:val="00AF258B"/>
    <w:rsid w:val="00AF26A6"/>
    <w:rsid w:val="00AF27CF"/>
    <w:rsid w:val="00AF2D31"/>
    <w:rsid w:val="00AF34B5"/>
    <w:rsid w:val="00AF3526"/>
    <w:rsid w:val="00AF3683"/>
    <w:rsid w:val="00AF379D"/>
    <w:rsid w:val="00AF3AB3"/>
    <w:rsid w:val="00AF3CC7"/>
    <w:rsid w:val="00AF3E42"/>
    <w:rsid w:val="00AF41B0"/>
    <w:rsid w:val="00AF41E2"/>
    <w:rsid w:val="00AF4251"/>
    <w:rsid w:val="00AF42BC"/>
    <w:rsid w:val="00AF491F"/>
    <w:rsid w:val="00AF4AA7"/>
    <w:rsid w:val="00AF4DF8"/>
    <w:rsid w:val="00AF528B"/>
    <w:rsid w:val="00AF57D7"/>
    <w:rsid w:val="00AF5D08"/>
    <w:rsid w:val="00AF6636"/>
    <w:rsid w:val="00AF664B"/>
    <w:rsid w:val="00AF6F1A"/>
    <w:rsid w:val="00AF7073"/>
    <w:rsid w:val="00AF78DF"/>
    <w:rsid w:val="00AF796D"/>
    <w:rsid w:val="00B001BA"/>
    <w:rsid w:val="00B0021C"/>
    <w:rsid w:val="00B00A63"/>
    <w:rsid w:val="00B00BE3"/>
    <w:rsid w:val="00B00C4A"/>
    <w:rsid w:val="00B00E87"/>
    <w:rsid w:val="00B0109C"/>
    <w:rsid w:val="00B01338"/>
    <w:rsid w:val="00B016F3"/>
    <w:rsid w:val="00B01B71"/>
    <w:rsid w:val="00B01D17"/>
    <w:rsid w:val="00B01EDA"/>
    <w:rsid w:val="00B027D7"/>
    <w:rsid w:val="00B02957"/>
    <w:rsid w:val="00B02E97"/>
    <w:rsid w:val="00B02F0A"/>
    <w:rsid w:val="00B030CB"/>
    <w:rsid w:val="00B03348"/>
    <w:rsid w:val="00B034E0"/>
    <w:rsid w:val="00B037FF"/>
    <w:rsid w:val="00B039C9"/>
    <w:rsid w:val="00B03C06"/>
    <w:rsid w:val="00B043CE"/>
    <w:rsid w:val="00B044C8"/>
    <w:rsid w:val="00B045BE"/>
    <w:rsid w:val="00B04C7C"/>
    <w:rsid w:val="00B04E26"/>
    <w:rsid w:val="00B05148"/>
    <w:rsid w:val="00B051FF"/>
    <w:rsid w:val="00B0548F"/>
    <w:rsid w:val="00B05E8A"/>
    <w:rsid w:val="00B05F9A"/>
    <w:rsid w:val="00B062D5"/>
    <w:rsid w:val="00B06879"/>
    <w:rsid w:val="00B06925"/>
    <w:rsid w:val="00B06A50"/>
    <w:rsid w:val="00B06AD8"/>
    <w:rsid w:val="00B06D8E"/>
    <w:rsid w:val="00B07013"/>
    <w:rsid w:val="00B070DB"/>
    <w:rsid w:val="00B073CF"/>
    <w:rsid w:val="00B075F6"/>
    <w:rsid w:val="00B077BD"/>
    <w:rsid w:val="00B07BBB"/>
    <w:rsid w:val="00B101EC"/>
    <w:rsid w:val="00B10291"/>
    <w:rsid w:val="00B10CD0"/>
    <w:rsid w:val="00B11130"/>
    <w:rsid w:val="00B1121E"/>
    <w:rsid w:val="00B11898"/>
    <w:rsid w:val="00B11CCA"/>
    <w:rsid w:val="00B11F24"/>
    <w:rsid w:val="00B127F4"/>
    <w:rsid w:val="00B128F1"/>
    <w:rsid w:val="00B12F6C"/>
    <w:rsid w:val="00B13D73"/>
    <w:rsid w:val="00B13D96"/>
    <w:rsid w:val="00B1459B"/>
    <w:rsid w:val="00B14721"/>
    <w:rsid w:val="00B14A34"/>
    <w:rsid w:val="00B14BF9"/>
    <w:rsid w:val="00B14D52"/>
    <w:rsid w:val="00B150FD"/>
    <w:rsid w:val="00B152B2"/>
    <w:rsid w:val="00B15503"/>
    <w:rsid w:val="00B1573A"/>
    <w:rsid w:val="00B15B34"/>
    <w:rsid w:val="00B15BBD"/>
    <w:rsid w:val="00B15BF9"/>
    <w:rsid w:val="00B15EBA"/>
    <w:rsid w:val="00B161DD"/>
    <w:rsid w:val="00B16C2D"/>
    <w:rsid w:val="00B17132"/>
    <w:rsid w:val="00B178E9"/>
    <w:rsid w:val="00B17A1D"/>
    <w:rsid w:val="00B17B46"/>
    <w:rsid w:val="00B17EA2"/>
    <w:rsid w:val="00B202D5"/>
    <w:rsid w:val="00B20644"/>
    <w:rsid w:val="00B207FC"/>
    <w:rsid w:val="00B20C84"/>
    <w:rsid w:val="00B20D68"/>
    <w:rsid w:val="00B21107"/>
    <w:rsid w:val="00B213FF"/>
    <w:rsid w:val="00B21BCF"/>
    <w:rsid w:val="00B21C18"/>
    <w:rsid w:val="00B22219"/>
    <w:rsid w:val="00B22292"/>
    <w:rsid w:val="00B225BD"/>
    <w:rsid w:val="00B2295D"/>
    <w:rsid w:val="00B23170"/>
    <w:rsid w:val="00B23546"/>
    <w:rsid w:val="00B235C6"/>
    <w:rsid w:val="00B23820"/>
    <w:rsid w:val="00B2385C"/>
    <w:rsid w:val="00B2395D"/>
    <w:rsid w:val="00B239B1"/>
    <w:rsid w:val="00B23A9C"/>
    <w:rsid w:val="00B23DFA"/>
    <w:rsid w:val="00B23F57"/>
    <w:rsid w:val="00B2407E"/>
    <w:rsid w:val="00B24133"/>
    <w:rsid w:val="00B24341"/>
    <w:rsid w:val="00B2462C"/>
    <w:rsid w:val="00B248B9"/>
    <w:rsid w:val="00B249FC"/>
    <w:rsid w:val="00B24CCE"/>
    <w:rsid w:val="00B24FCC"/>
    <w:rsid w:val="00B25C8D"/>
    <w:rsid w:val="00B25EB8"/>
    <w:rsid w:val="00B25F0A"/>
    <w:rsid w:val="00B26313"/>
    <w:rsid w:val="00B26423"/>
    <w:rsid w:val="00B266D3"/>
    <w:rsid w:val="00B266E5"/>
    <w:rsid w:val="00B266F8"/>
    <w:rsid w:val="00B2682C"/>
    <w:rsid w:val="00B269F8"/>
    <w:rsid w:val="00B271EB"/>
    <w:rsid w:val="00B27213"/>
    <w:rsid w:val="00B27217"/>
    <w:rsid w:val="00B27268"/>
    <w:rsid w:val="00B2737B"/>
    <w:rsid w:val="00B277C2"/>
    <w:rsid w:val="00B27899"/>
    <w:rsid w:val="00B27C7E"/>
    <w:rsid w:val="00B30063"/>
    <w:rsid w:val="00B302A2"/>
    <w:rsid w:val="00B302ED"/>
    <w:rsid w:val="00B306EC"/>
    <w:rsid w:val="00B30E65"/>
    <w:rsid w:val="00B32114"/>
    <w:rsid w:val="00B321F9"/>
    <w:rsid w:val="00B3243A"/>
    <w:rsid w:val="00B32A6B"/>
    <w:rsid w:val="00B32C67"/>
    <w:rsid w:val="00B32EB8"/>
    <w:rsid w:val="00B33278"/>
    <w:rsid w:val="00B335E2"/>
    <w:rsid w:val="00B33860"/>
    <w:rsid w:val="00B33DFD"/>
    <w:rsid w:val="00B341B4"/>
    <w:rsid w:val="00B34B26"/>
    <w:rsid w:val="00B34BBB"/>
    <w:rsid w:val="00B34BE9"/>
    <w:rsid w:val="00B34D58"/>
    <w:rsid w:val="00B355DD"/>
    <w:rsid w:val="00B35745"/>
    <w:rsid w:val="00B35748"/>
    <w:rsid w:val="00B35825"/>
    <w:rsid w:val="00B3594B"/>
    <w:rsid w:val="00B35A32"/>
    <w:rsid w:val="00B35ACF"/>
    <w:rsid w:val="00B35F31"/>
    <w:rsid w:val="00B36026"/>
    <w:rsid w:val="00B36726"/>
    <w:rsid w:val="00B36A15"/>
    <w:rsid w:val="00B36B25"/>
    <w:rsid w:val="00B36D4F"/>
    <w:rsid w:val="00B373AE"/>
    <w:rsid w:val="00B37670"/>
    <w:rsid w:val="00B4008E"/>
    <w:rsid w:val="00B40229"/>
    <w:rsid w:val="00B4042A"/>
    <w:rsid w:val="00B40514"/>
    <w:rsid w:val="00B4077E"/>
    <w:rsid w:val="00B407A9"/>
    <w:rsid w:val="00B40A5E"/>
    <w:rsid w:val="00B40A86"/>
    <w:rsid w:val="00B40D60"/>
    <w:rsid w:val="00B40EF0"/>
    <w:rsid w:val="00B410A3"/>
    <w:rsid w:val="00B41372"/>
    <w:rsid w:val="00B414E3"/>
    <w:rsid w:val="00B4151B"/>
    <w:rsid w:val="00B4162D"/>
    <w:rsid w:val="00B41643"/>
    <w:rsid w:val="00B41BBC"/>
    <w:rsid w:val="00B420BE"/>
    <w:rsid w:val="00B426C6"/>
    <w:rsid w:val="00B427D9"/>
    <w:rsid w:val="00B42DB8"/>
    <w:rsid w:val="00B42DC9"/>
    <w:rsid w:val="00B42E0F"/>
    <w:rsid w:val="00B42E46"/>
    <w:rsid w:val="00B42FC7"/>
    <w:rsid w:val="00B43099"/>
    <w:rsid w:val="00B431D5"/>
    <w:rsid w:val="00B435FE"/>
    <w:rsid w:val="00B43815"/>
    <w:rsid w:val="00B438D4"/>
    <w:rsid w:val="00B43B0A"/>
    <w:rsid w:val="00B43B84"/>
    <w:rsid w:val="00B43E0F"/>
    <w:rsid w:val="00B4400D"/>
    <w:rsid w:val="00B44207"/>
    <w:rsid w:val="00B445E8"/>
    <w:rsid w:val="00B447EA"/>
    <w:rsid w:val="00B45181"/>
    <w:rsid w:val="00B45455"/>
    <w:rsid w:val="00B45E8A"/>
    <w:rsid w:val="00B46061"/>
    <w:rsid w:val="00B46751"/>
    <w:rsid w:val="00B46AAB"/>
    <w:rsid w:val="00B47516"/>
    <w:rsid w:val="00B476EE"/>
    <w:rsid w:val="00B47706"/>
    <w:rsid w:val="00B47A84"/>
    <w:rsid w:val="00B47D6B"/>
    <w:rsid w:val="00B47E9B"/>
    <w:rsid w:val="00B50390"/>
    <w:rsid w:val="00B5041C"/>
    <w:rsid w:val="00B50501"/>
    <w:rsid w:val="00B50701"/>
    <w:rsid w:val="00B508F4"/>
    <w:rsid w:val="00B50FC6"/>
    <w:rsid w:val="00B515DB"/>
    <w:rsid w:val="00B515EE"/>
    <w:rsid w:val="00B51A0A"/>
    <w:rsid w:val="00B51E13"/>
    <w:rsid w:val="00B52823"/>
    <w:rsid w:val="00B529BE"/>
    <w:rsid w:val="00B52A44"/>
    <w:rsid w:val="00B53051"/>
    <w:rsid w:val="00B5329F"/>
    <w:rsid w:val="00B5334F"/>
    <w:rsid w:val="00B53453"/>
    <w:rsid w:val="00B5395E"/>
    <w:rsid w:val="00B53B28"/>
    <w:rsid w:val="00B53D9C"/>
    <w:rsid w:val="00B543A0"/>
    <w:rsid w:val="00B5468E"/>
    <w:rsid w:val="00B548D1"/>
    <w:rsid w:val="00B549C2"/>
    <w:rsid w:val="00B54B41"/>
    <w:rsid w:val="00B54BFD"/>
    <w:rsid w:val="00B54E82"/>
    <w:rsid w:val="00B55076"/>
    <w:rsid w:val="00B5522D"/>
    <w:rsid w:val="00B55876"/>
    <w:rsid w:val="00B56259"/>
    <w:rsid w:val="00B563A3"/>
    <w:rsid w:val="00B563D3"/>
    <w:rsid w:val="00B5653F"/>
    <w:rsid w:val="00B5691F"/>
    <w:rsid w:val="00B56C1D"/>
    <w:rsid w:val="00B56C5C"/>
    <w:rsid w:val="00B56DC0"/>
    <w:rsid w:val="00B56EE2"/>
    <w:rsid w:val="00B57233"/>
    <w:rsid w:val="00B572A0"/>
    <w:rsid w:val="00B5732A"/>
    <w:rsid w:val="00B57A5F"/>
    <w:rsid w:val="00B57DB9"/>
    <w:rsid w:val="00B57FEE"/>
    <w:rsid w:val="00B6006B"/>
    <w:rsid w:val="00B601B5"/>
    <w:rsid w:val="00B60322"/>
    <w:rsid w:val="00B60386"/>
    <w:rsid w:val="00B6041E"/>
    <w:rsid w:val="00B60560"/>
    <w:rsid w:val="00B60703"/>
    <w:rsid w:val="00B609BA"/>
    <w:rsid w:val="00B60CA0"/>
    <w:rsid w:val="00B60F35"/>
    <w:rsid w:val="00B61253"/>
    <w:rsid w:val="00B61305"/>
    <w:rsid w:val="00B61652"/>
    <w:rsid w:val="00B61716"/>
    <w:rsid w:val="00B6186B"/>
    <w:rsid w:val="00B619C5"/>
    <w:rsid w:val="00B61B3E"/>
    <w:rsid w:val="00B62351"/>
    <w:rsid w:val="00B624CE"/>
    <w:rsid w:val="00B62637"/>
    <w:rsid w:val="00B63A31"/>
    <w:rsid w:val="00B63BAA"/>
    <w:rsid w:val="00B64027"/>
    <w:rsid w:val="00B643DD"/>
    <w:rsid w:val="00B644DB"/>
    <w:rsid w:val="00B645BC"/>
    <w:rsid w:val="00B645CB"/>
    <w:rsid w:val="00B64AA2"/>
    <w:rsid w:val="00B65184"/>
    <w:rsid w:val="00B651E3"/>
    <w:rsid w:val="00B6521C"/>
    <w:rsid w:val="00B654CC"/>
    <w:rsid w:val="00B65A7F"/>
    <w:rsid w:val="00B65D43"/>
    <w:rsid w:val="00B65FA6"/>
    <w:rsid w:val="00B66049"/>
    <w:rsid w:val="00B6695B"/>
    <w:rsid w:val="00B66D7C"/>
    <w:rsid w:val="00B6759C"/>
    <w:rsid w:val="00B67728"/>
    <w:rsid w:val="00B67856"/>
    <w:rsid w:val="00B6795A"/>
    <w:rsid w:val="00B67E55"/>
    <w:rsid w:val="00B70D84"/>
    <w:rsid w:val="00B70E8A"/>
    <w:rsid w:val="00B70FAF"/>
    <w:rsid w:val="00B7109D"/>
    <w:rsid w:val="00B711CB"/>
    <w:rsid w:val="00B71219"/>
    <w:rsid w:val="00B71586"/>
    <w:rsid w:val="00B715A8"/>
    <w:rsid w:val="00B71D15"/>
    <w:rsid w:val="00B722EF"/>
    <w:rsid w:val="00B7296A"/>
    <w:rsid w:val="00B72BA8"/>
    <w:rsid w:val="00B72DEC"/>
    <w:rsid w:val="00B72E96"/>
    <w:rsid w:val="00B73A1B"/>
    <w:rsid w:val="00B73B20"/>
    <w:rsid w:val="00B73BB9"/>
    <w:rsid w:val="00B7462D"/>
    <w:rsid w:val="00B74D78"/>
    <w:rsid w:val="00B750CE"/>
    <w:rsid w:val="00B75315"/>
    <w:rsid w:val="00B75838"/>
    <w:rsid w:val="00B75A63"/>
    <w:rsid w:val="00B763BC"/>
    <w:rsid w:val="00B768BA"/>
    <w:rsid w:val="00B769AE"/>
    <w:rsid w:val="00B76CAE"/>
    <w:rsid w:val="00B76FF4"/>
    <w:rsid w:val="00B77437"/>
    <w:rsid w:val="00B77CF6"/>
    <w:rsid w:val="00B77E3B"/>
    <w:rsid w:val="00B80289"/>
    <w:rsid w:val="00B809B4"/>
    <w:rsid w:val="00B81023"/>
    <w:rsid w:val="00B812A5"/>
    <w:rsid w:val="00B81632"/>
    <w:rsid w:val="00B8223E"/>
    <w:rsid w:val="00B82527"/>
    <w:rsid w:val="00B82772"/>
    <w:rsid w:val="00B82918"/>
    <w:rsid w:val="00B82B3E"/>
    <w:rsid w:val="00B82D85"/>
    <w:rsid w:val="00B8312B"/>
    <w:rsid w:val="00B83326"/>
    <w:rsid w:val="00B83C04"/>
    <w:rsid w:val="00B83E8D"/>
    <w:rsid w:val="00B83F34"/>
    <w:rsid w:val="00B84482"/>
    <w:rsid w:val="00B84640"/>
    <w:rsid w:val="00B84857"/>
    <w:rsid w:val="00B84D27"/>
    <w:rsid w:val="00B84DB5"/>
    <w:rsid w:val="00B84F3A"/>
    <w:rsid w:val="00B84F67"/>
    <w:rsid w:val="00B850B6"/>
    <w:rsid w:val="00B854D6"/>
    <w:rsid w:val="00B85574"/>
    <w:rsid w:val="00B855FB"/>
    <w:rsid w:val="00B85A8D"/>
    <w:rsid w:val="00B85CF8"/>
    <w:rsid w:val="00B860A1"/>
    <w:rsid w:val="00B8646D"/>
    <w:rsid w:val="00B86D7E"/>
    <w:rsid w:val="00B87077"/>
    <w:rsid w:val="00B872AE"/>
    <w:rsid w:val="00B876DB"/>
    <w:rsid w:val="00B87B0A"/>
    <w:rsid w:val="00B87C98"/>
    <w:rsid w:val="00B9017E"/>
    <w:rsid w:val="00B907C4"/>
    <w:rsid w:val="00B90B1F"/>
    <w:rsid w:val="00B90CAA"/>
    <w:rsid w:val="00B90D45"/>
    <w:rsid w:val="00B911FD"/>
    <w:rsid w:val="00B91A49"/>
    <w:rsid w:val="00B91A70"/>
    <w:rsid w:val="00B921D2"/>
    <w:rsid w:val="00B921F5"/>
    <w:rsid w:val="00B9271B"/>
    <w:rsid w:val="00B92958"/>
    <w:rsid w:val="00B92B82"/>
    <w:rsid w:val="00B92EEA"/>
    <w:rsid w:val="00B92FE1"/>
    <w:rsid w:val="00B93298"/>
    <w:rsid w:val="00B9399A"/>
    <w:rsid w:val="00B93DFD"/>
    <w:rsid w:val="00B93F93"/>
    <w:rsid w:val="00B94027"/>
    <w:rsid w:val="00B9420D"/>
    <w:rsid w:val="00B9474D"/>
    <w:rsid w:val="00B948EB"/>
    <w:rsid w:val="00B94A0C"/>
    <w:rsid w:val="00B95159"/>
    <w:rsid w:val="00B953CC"/>
    <w:rsid w:val="00B9557F"/>
    <w:rsid w:val="00B95726"/>
    <w:rsid w:val="00B9595A"/>
    <w:rsid w:val="00B959E0"/>
    <w:rsid w:val="00B95C3D"/>
    <w:rsid w:val="00B95D55"/>
    <w:rsid w:val="00B95D6A"/>
    <w:rsid w:val="00B95E98"/>
    <w:rsid w:val="00B961C4"/>
    <w:rsid w:val="00B9655D"/>
    <w:rsid w:val="00B96740"/>
    <w:rsid w:val="00B96783"/>
    <w:rsid w:val="00B96806"/>
    <w:rsid w:val="00B96B1F"/>
    <w:rsid w:val="00B96BFC"/>
    <w:rsid w:val="00B96FD2"/>
    <w:rsid w:val="00B975C0"/>
    <w:rsid w:val="00B97A6B"/>
    <w:rsid w:val="00B97E77"/>
    <w:rsid w:val="00BA05A1"/>
    <w:rsid w:val="00BA0623"/>
    <w:rsid w:val="00BA0677"/>
    <w:rsid w:val="00BA06ED"/>
    <w:rsid w:val="00BA0C98"/>
    <w:rsid w:val="00BA0DA8"/>
    <w:rsid w:val="00BA0DEB"/>
    <w:rsid w:val="00BA10FB"/>
    <w:rsid w:val="00BA116F"/>
    <w:rsid w:val="00BA127C"/>
    <w:rsid w:val="00BA1548"/>
    <w:rsid w:val="00BA16FC"/>
    <w:rsid w:val="00BA1B58"/>
    <w:rsid w:val="00BA1D4E"/>
    <w:rsid w:val="00BA1EE7"/>
    <w:rsid w:val="00BA2091"/>
    <w:rsid w:val="00BA2501"/>
    <w:rsid w:val="00BA2591"/>
    <w:rsid w:val="00BA2631"/>
    <w:rsid w:val="00BA2750"/>
    <w:rsid w:val="00BA2BFB"/>
    <w:rsid w:val="00BA2E77"/>
    <w:rsid w:val="00BA2F69"/>
    <w:rsid w:val="00BA31EE"/>
    <w:rsid w:val="00BA3638"/>
    <w:rsid w:val="00BA37C8"/>
    <w:rsid w:val="00BA3B4E"/>
    <w:rsid w:val="00BA3B84"/>
    <w:rsid w:val="00BA4085"/>
    <w:rsid w:val="00BA490B"/>
    <w:rsid w:val="00BA4AE6"/>
    <w:rsid w:val="00BA4E07"/>
    <w:rsid w:val="00BA5776"/>
    <w:rsid w:val="00BA5B72"/>
    <w:rsid w:val="00BA5BDA"/>
    <w:rsid w:val="00BA5C64"/>
    <w:rsid w:val="00BA6216"/>
    <w:rsid w:val="00BA65EC"/>
    <w:rsid w:val="00BA6A26"/>
    <w:rsid w:val="00BA6E93"/>
    <w:rsid w:val="00BA6FFC"/>
    <w:rsid w:val="00BA729C"/>
    <w:rsid w:val="00BA7344"/>
    <w:rsid w:val="00BA73BF"/>
    <w:rsid w:val="00BA73CF"/>
    <w:rsid w:val="00BA7465"/>
    <w:rsid w:val="00BA7A39"/>
    <w:rsid w:val="00BA7A7B"/>
    <w:rsid w:val="00BB0207"/>
    <w:rsid w:val="00BB05B8"/>
    <w:rsid w:val="00BB0FE3"/>
    <w:rsid w:val="00BB0FFF"/>
    <w:rsid w:val="00BB1070"/>
    <w:rsid w:val="00BB118F"/>
    <w:rsid w:val="00BB11DE"/>
    <w:rsid w:val="00BB135E"/>
    <w:rsid w:val="00BB1997"/>
    <w:rsid w:val="00BB1A43"/>
    <w:rsid w:val="00BB1AE9"/>
    <w:rsid w:val="00BB1E64"/>
    <w:rsid w:val="00BB2243"/>
    <w:rsid w:val="00BB2489"/>
    <w:rsid w:val="00BB25D9"/>
    <w:rsid w:val="00BB2733"/>
    <w:rsid w:val="00BB2A09"/>
    <w:rsid w:val="00BB3865"/>
    <w:rsid w:val="00BB39BE"/>
    <w:rsid w:val="00BB3CC1"/>
    <w:rsid w:val="00BB407C"/>
    <w:rsid w:val="00BB424A"/>
    <w:rsid w:val="00BB45BE"/>
    <w:rsid w:val="00BB46D8"/>
    <w:rsid w:val="00BB48BC"/>
    <w:rsid w:val="00BB4C9A"/>
    <w:rsid w:val="00BB50A4"/>
    <w:rsid w:val="00BB50BA"/>
    <w:rsid w:val="00BB5299"/>
    <w:rsid w:val="00BB5BED"/>
    <w:rsid w:val="00BB5F6B"/>
    <w:rsid w:val="00BB5FB9"/>
    <w:rsid w:val="00BB61D5"/>
    <w:rsid w:val="00BB68EF"/>
    <w:rsid w:val="00BB6A2F"/>
    <w:rsid w:val="00BB715B"/>
    <w:rsid w:val="00BB71B9"/>
    <w:rsid w:val="00BB74C5"/>
    <w:rsid w:val="00BB762D"/>
    <w:rsid w:val="00BB7A5A"/>
    <w:rsid w:val="00BB7EE1"/>
    <w:rsid w:val="00BC0314"/>
    <w:rsid w:val="00BC0A94"/>
    <w:rsid w:val="00BC0C03"/>
    <w:rsid w:val="00BC1008"/>
    <w:rsid w:val="00BC12B4"/>
    <w:rsid w:val="00BC1543"/>
    <w:rsid w:val="00BC1B91"/>
    <w:rsid w:val="00BC2C23"/>
    <w:rsid w:val="00BC2E52"/>
    <w:rsid w:val="00BC32A2"/>
    <w:rsid w:val="00BC32F0"/>
    <w:rsid w:val="00BC381A"/>
    <w:rsid w:val="00BC455B"/>
    <w:rsid w:val="00BC4A4D"/>
    <w:rsid w:val="00BC4A68"/>
    <w:rsid w:val="00BC4B29"/>
    <w:rsid w:val="00BC50B5"/>
    <w:rsid w:val="00BC511E"/>
    <w:rsid w:val="00BC53FF"/>
    <w:rsid w:val="00BC56BE"/>
    <w:rsid w:val="00BC57D5"/>
    <w:rsid w:val="00BC5A46"/>
    <w:rsid w:val="00BC5B63"/>
    <w:rsid w:val="00BC5F5C"/>
    <w:rsid w:val="00BC6080"/>
    <w:rsid w:val="00BC622D"/>
    <w:rsid w:val="00BC62E9"/>
    <w:rsid w:val="00BC63AF"/>
    <w:rsid w:val="00BC6503"/>
    <w:rsid w:val="00BC6E93"/>
    <w:rsid w:val="00BC6FDC"/>
    <w:rsid w:val="00BC6FF2"/>
    <w:rsid w:val="00BC74A0"/>
    <w:rsid w:val="00BC74DE"/>
    <w:rsid w:val="00BC7E89"/>
    <w:rsid w:val="00BD033C"/>
    <w:rsid w:val="00BD0355"/>
    <w:rsid w:val="00BD0484"/>
    <w:rsid w:val="00BD04DB"/>
    <w:rsid w:val="00BD0A40"/>
    <w:rsid w:val="00BD1538"/>
    <w:rsid w:val="00BD16B2"/>
    <w:rsid w:val="00BD16CB"/>
    <w:rsid w:val="00BD1724"/>
    <w:rsid w:val="00BD18A6"/>
    <w:rsid w:val="00BD1E56"/>
    <w:rsid w:val="00BD1F23"/>
    <w:rsid w:val="00BD1FE5"/>
    <w:rsid w:val="00BD26F3"/>
    <w:rsid w:val="00BD277D"/>
    <w:rsid w:val="00BD2CF4"/>
    <w:rsid w:val="00BD2E1B"/>
    <w:rsid w:val="00BD2E5F"/>
    <w:rsid w:val="00BD2F31"/>
    <w:rsid w:val="00BD2F9B"/>
    <w:rsid w:val="00BD3486"/>
    <w:rsid w:val="00BD3697"/>
    <w:rsid w:val="00BD3839"/>
    <w:rsid w:val="00BD3A7B"/>
    <w:rsid w:val="00BD3CB3"/>
    <w:rsid w:val="00BD3D35"/>
    <w:rsid w:val="00BD3E96"/>
    <w:rsid w:val="00BD447C"/>
    <w:rsid w:val="00BD463D"/>
    <w:rsid w:val="00BD51F2"/>
    <w:rsid w:val="00BD5314"/>
    <w:rsid w:val="00BD55FD"/>
    <w:rsid w:val="00BD5904"/>
    <w:rsid w:val="00BD600A"/>
    <w:rsid w:val="00BD6360"/>
    <w:rsid w:val="00BD6844"/>
    <w:rsid w:val="00BD6AAC"/>
    <w:rsid w:val="00BD6B8F"/>
    <w:rsid w:val="00BD6CE6"/>
    <w:rsid w:val="00BD713B"/>
    <w:rsid w:val="00BD721E"/>
    <w:rsid w:val="00BD7364"/>
    <w:rsid w:val="00BD7B61"/>
    <w:rsid w:val="00BD7D83"/>
    <w:rsid w:val="00BD7EC9"/>
    <w:rsid w:val="00BE007A"/>
    <w:rsid w:val="00BE01D3"/>
    <w:rsid w:val="00BE0389"/>
    <w:rsid w:val="00BE05A4"/>
    <w:rsid w:val="00BE107E"/>
    <w:rsid w:val="00BE12BA"/>
    <w:rsid w:val="00BE13CD"/>
    <w:rsid w:val="00BE158D"/>
    <w:rsid w:val="00BE21AF"/>
    <w:rsid w:val="00BE24FB"/>
    <w:rsid w:val="00BE2754"/>
    <w:rsid w:val="00BE291F"/>
    <w:rsid w:val="00BE2955"/>
    <w:rsid w:val="00BE33C5"/>
    <w:rsid w:val="00BE35B3"/>
    <w:rsid w:val="00BE3683"/>
    <w:rsid w:val="00BE392E"/>
    <w:rsid w:val="00BE3ADA"/>
    <w:rsid w:val="00BE3F05"/>
    <w:rsid w:val="00BE3F78"/>
    <w:rsid w:val="00BE40E6"/>
    <w:rsid w:val="00BE43C5"/>
    <w:rsid w:val="00BE4452"/>
    <w:rsid w:val="00BE49C1"/>
    <w:rsid w:val="00BE4A4D"/>
    <w:rsid w:val="00BE4DE8"/>
    <w:rsid w:val="00BE522D"/>
    <w:rsid w:val="00BE528E"/>
    <w:rsid w:val="00BE5971"/>
    <w:rsid w:val="00BE5973"/>
    <w:rsid w:val="00BE5C3D"/>
    <w:rsid w:val="00BE5D4A"/>
    <w:rsid w:val="00BE6227"/>
    <w:rsid w:val="00BE6337"/>
    <w:rsid w:val="00BE63E0"/>
    <w:rsid w:val="00BE6772"/>
    <w:rsid w:val="00BE6857"/>
    <w:rsid w:val="00BE6AED"/>
    <w:rsid w:val="00BE6E57"/>
    <w:rsid w:val="00BE6FA8"/>
    <w:rsid w:val="00BE7590"/>
    <w:rsid w:val="00BE7664"/>
    <w:rsid w:val="00BE797B"/>
    <w:rsid w:val="00BF059E"/>
    <w:rsid w:val="00BF0764"/>
    <w:rsid w:val="00BF0C65"/>
    <w:rsid w:val="00BF10A1"/>
    <w:rsid w:val="00BF1700"/>
    <w:rsid w:val="00BF23FE"/>
    <w:rsid w:val="00BF2412"/>
    <w:rsid w:val="00BF2428"/>
    <w:rsid w:val="00BF28C4"/>
    <w:rsid w:val="00BF2A11"/>
    <w:rsid w:val="00BF2DB9"/>
    <w:rsid w:val="00BF36E9"/>
    <w:rsid w:val="00BF375F"/>
    <w:rsid w:val="00BF37C0"/>
    <w:rsid w:val="00BF37E7"/>
    <w:rsid w:val="00BF3A7B"/>
    <w:rsid w:val="00BF40A8"/>
    <w:rsid w:val="00BF40F7"/>
    <w:rsid w:val="00BF4202"/>
    <w:rsid w:val="00BF479F"/>
    <w:rsid w:val="00BF5025"/>
    <w:rsid w:val="00BF5537"/>
    <w:rsid w:val="00BF569E"/>
    <w:rsid w:val="00BF5774"/>
    <w:rsid w:val="00BF58E2"/>
    <w:rsid w:val="00BF6559"/>
    <w:rsid w:val="00BF6CD9"/>
    <w:rsid w:val="00BF711B"/>
    <w:rsid w:val="00BF72CF"/>
    <w:rsid w:val="00BF771D"/>
    <w:rsid w:val="00BF7772"/>
    <w:rsid w:val="00C00497"/>
    <w:rsid w:val="00C00667"/>
    <w:rsid w:val="00C00917"/>
    <w:rsid w:val="00C00C49"/>
    <w:rsid w:val="00C00E47"/>
    <w:rsid w:val="00C00EEF"/>
    <w:rsid w:val="00C0117D"/>
    <w:rsid w:val="00C013BF"/>
    <w:rsid w:val="00C01FD3"/>
    <w:rsid w:val="00C02105"/>
    <w:rsid w:val="00C02171"/>
    <w:rsid w:val="00C02659"/>
    <w:rsid w:val="00C026B1"/>
    <w:rsid w:val="00C02B7B"/>
    <w:rsid w:val="00C0313F"/>
    <w:rsid w:val="00C0319F"/>
    <w:rsid w:val="00C0368A"/>
    <w:rsid w:val="00C03A6A"/>
    <w:rsid w:val="00C03CF8"/>
    <w:rsid w:val="00C03E33"/>
    <w:rsid w:val="00C03EFF"/>
    <w:rsid w:val="00C03F01"/>
    <w:rsid w:val="00C03F31"/>
    <w:rsid w:val="00C03FB9"/>
    <w:rsid w:val="00C04250"/>
    <w:rsid w:val="00C042F0"/>
    <w:rsid w:val="00C04911"/>
    <w:rsid w:val="00C04CBA"/>
    <w:rsid w:val="00C04D46"/>
    <w:rsid w:val="00C04D63"/>
    <w:rsid w:val="00C04E67"/>
    <w:rsid w:val="00C051D4"/>
    <w:rsid w:val="00C05229"/>
    <w:rsid w:val="00C0537B"/>
    <w:rsid w:val="00C0577C"/>
    <w:rsid w:val="00C05931"/>
    <w:rsid w:val="00C06037"/>
    <w:rsid w:val="00C060F3"/>
    <w:rsid w:val="00C06330"/>
    <w:rsid w:val="00C06376"/>
    <w:rsid w:val="00C0659E"/>
    <w:rsid w:val="00C06943"/>
    <w:rsid w:val="00C06A77"/>
    <w:rsid w:val="00C06DAF"/>
    <w:rsid w:val="00C07053"/>
    <w:rsid w:val="00C0705A"/>
    <w:rsid w:val="00C07282"/>
    <w:rsid w:val="00C0749D"/>
    <w:rsid w:val="00C07601"/>
    <w:rsid w:val="00C07769"/>
    <w:rsid w:val="00C078D0"/>
    <w:rsid w:val="00C079B6"/>
    <w:rsid w:val="00C07B84"/>
    <w:rsid w:val="00C07EEC"/>
    <w:rsid w:val="00C1049C"/>
    <w:rsid w:val="00C106A0"/>
    <w:rsid w:val="00C10742"/>
    <w:rsid w:val="00C10935"/>
    <w:rsid w:val="00C10C6E"/>
    <w:rsid w:val="00C10E26"/>
    <w:rsid w:val="00C113DB"/>
    <w:rsid w:val="00C115FB"/>
    <w:rsid w:val="00C11813"/>
    <w:rsid w:val="00C11C03"/>
    <w:rsid w:val="00C11DE2"/>
    <w:rsid w:val="00C12132"/>
    <w:rsid w:val="00C1328B"/>
    <w:rsid w:val="00C1398D"/>
    <w:rsid w:val="00C141CC"/>
    <w:rsid w:val="00C142CB"/>
    <w:rsid w:val="00C14400"/>
    <w:rsid w:val="00C14547"/>
    <w:rsid w:val="00C149F5"/>
    <w:rsid w:val="00C14F77"/>
    <w:rsid w:val="00C1510B"/>
    <w:rsid w:val="00C1544C"/>
    <w:rsid w:val="00C1564E"/>
    <w:rsid w:val="00C1574B"/>
    <w:rsid w:val="00C159AD"/>
    <w:rsid w:val="00C15CFE"/>
    <w:rsid w:val="00C15F41"/>
    <w:rsid w:val="00C163FE"/>
    <w:rsid w:val="00C167AF"/>
    <w:rsid w:val="00C16869"/>
    <w:rsid w:val="00C16D11"/>
    <w:rsid w:val="00C20266"/>
    <w:rsid w:val="00C203A4"/>
    <w:rsid w:val="00C205FC"/>
    <w:rsid w:val="00C21708"/>
    <w:rsid w:val="00C2175B"/>
    <w:rsid w:val="00C217AD"/>
    <w:rsid w:val="00C21C5C"/>
    <w:rsid w:val="00C21D9A"/>
    <w:rsid w:val="00C222E1"/>
    <w:rsid w:val="00C22535"/>
    <w:rsid w:val="00C22627"/>
    <w:rsid w:val="00C2266E"/>
    <w:rsid w:val="00C226DA"/>
    <w:rsid w:val="00C22CB8"/>
    <w:rsid w:val="00C22E1B"/>
    <w:rsid w:val="00C22F0E"/>
    <w:rsid w:val="00C235D7"/>
    <w:rsid w:val="00C23880"/>
    <w:rsid w:val="00C239CA"/>
    <w:rsid w:val="00C23B08"/>
    <w:rsid w:val="00C24154"/>
    <w:rsid w:val="00C2487D"/>
    <w:rsid w:val="00C24D62"/>
    <w:rsid w:val="00C250B2"/>
    <w:rsid w:val="00C253F8"/>
    <w:rsid w:val="00C25677"/>
    <w:rsid w:val="00C25CBA"/>
    <w:rsid w:val="00C25E83"/>
    <w:rsid w:val="00C263CB"/>
    <w:rsid w:val="00C27779"/>
    <w:rsid w:val="00C279DD"/>
    <w:rsid w:val="00C27B9C"/>
    <w:rsid w:val="00C27BD7"/>
    <w:rsid w:val="00C27C19"/>
    <w:rsid w:val="00C27DF1"/>
    <w:rsid w:val="00C305F7"/>
    <w:rsid w:val="00C307C9"/>
    <w:rsid w:val="00C30841"/>
    <w:rsid w:val="00C31904"/>
    <w:rsid w:val="00C31E50"/>
    <w:rsid w:val="00C31F0D"/>
    <w:rsid w:val="00C329D0"/>
    <w:rsid w:val="00C32A66"/>
    <w:rsid w:val="00C32C7B"/>
    <w:rsid w:val="00C33889"/>
    <w:rsid w:val="00C33D5D"/>
    <w:rsid w:val="00C33DC4"/>
    <w:rsid w:val="00C33E2E"/>
    <w:rsid w:val="00C34297"/>
    <w:rsid w:val="00C342D3"/>
    <w:rsid w:val="00C342D9"/>
    <w:rsid w:val="00C3459D"/>
    <w:rsid w:val="00C3471E"/>
    <w:rsid w:val="00C34C72"/>
    <w:rsid w:val="00C34CBE"/>
    <w:rsid w:val="00C35933"/>
    <w:rsid w:val="00C3593B"/>
    <w:rsid w:val="00C35E6D"/>
    <w:rsid w:val="00C35FDF"/>
    <w:rsid w:val="00C3613F"/>
    <w:rsid w:val="00C36306"/>
    <w:rsid w:val="00C36379"/>
    <w:rsid w:val="00C36451"/>
    <w:rsid w:val="00C3688C"/>
    <w:rsid w:val="00C36957"/>
    <w:rsid w:val="00C36C33"/>
    <w:rsid w:val="00C36EF7"/>
    <w:rsid w:val="00C40105"/>
    <w:rsid w:val="00C402F6"/>
    <w:rsid w:val="00C403C3"/>
    <w:rsid w:val="00C40408"/>
    <w:rsid w:val="00C404C2"/>
    <w:rsid w:val="00C40737"/>
    <w:rsid w:val="00C40FB4"/>
    <w:rsid w:val="00C414D9"/>
    <w:rsid w:val="00C4172C"/>
    <w:rsid w:val="00C417E1"/>
    <w:rsid w:val="00C41895"/>
    <w:rsid w:val="00C418FE"/>
    <w:rsid w:val="00C4190E"/>
    <w:rsid w:val="00C419FD"/>
    <w:rsid w:val="00C41BB9"/>
    <w:rsid w:val="00C42661"/>
    <w:rsid w:val="00C42713"/>
    <w:rsid w:val="00C42746"/>
    <w:rsid w:val="00C4298E"/>
    <w:rsid w:val="00C429B9"/>
    <w:rsid w:val="00C42AE6"/>
    <w:rsid w:val="00C43836"/>
    <w:rsid w:val="00C43DDB"/>
    <w:rsid w:val="00C4403A"/>
    <w:rsid w:val="00C441C1"/>
    <w:rsid w:val="00C44297"/>
    <w:rsid w:val="00C4477B"/>
    <w:rsid w:val="00C44BFE"/>
    <w:rsid w:val="00C44E69"/>
    <w:rsid w:val="00C451CE"/>
    <w:rsid w:val="00C45C58"/>
    <w:rsid w:val="00C45D1F"/>
    <w:rsid w:val="00C45F65"/>
    <w:rsid w:val="00C4618A"/>
    <w:rsid w:val="00C4635F"/>
    <w:rsid w:val="00C46858"/>
    <w:rsid w:val="00C46931"/>
    <w:rsid w:val="00C46B3D"/>
    <w:rsid w:val="00C46ED0"/>
    <w:rsid w:val="00C4712D"/>
    <w:rsid w:val="00C47171"/>
    <w:rsid w:val="00C478CE"/>
    <w:rsid w:val="00C47A54"/>
    <w:rsid w:val="00C47AE1"/>
    <w:rsid w:val="00C50085"/>
    <w:rsid w:val="00C500EF"/>
    <w:rsid w:val="00C504CB"/>
    <w:rsid w:val="00C50586"/>
    <w:rsid w:val="00C506E0"/>
    <w:rsid w:val="00C508DC"/>
    <w:rsid w:val="00C50925"/>
    <w:rsid w:val="00C50990"/>
    <w:rsid w:val="00C50DF1"/>
    <w:rsid w:val="00C50E75"/>
    <w:rsid w:val="00C514E8"/>
    <w:rsid w:val="00C5164C"/>
    <w:rsid w:val="00C517E6"/>
    <w:rsid w:val="00C518F9"/>
    <w:rsid w:val="00C519D8"/>
    <w:rsid w:val="00C51D89"/>
    <w:rsid w:val="00C52109"/>
    <w:rsid w:val="00C52B38"/>
    <w:rsid w:val="00C52BC4"/>
    <w:rsid w:val="00C52D57"/>
    <w:rsid w:val="00C52EC8"/>
    <w:rsid w:val="00C530CB"/>
    <w:rsid w:val="00C5358F"/>
    <w:rsid w:val="00C53946"/>
    <w:rsid w:val="00C53AF9"/>
    <w:rsid w:val="00C53B04"/>
    <w:rsid w:val="00C53CD6"/>
    <w:rsid w:val="00C5420E"/>
    <w:rsid w:val="00C544F2"/>
    <w:rsid w:val="00C5470C"/>
    <w:rsid w:val="00C549D0"/>
    <w:rsid w:val="00C54A3D"/>
    <w:rsid w:val="00C54B65"/>
    <w:rsid w:val="00C55111"/>
    <w:rsid w:val="00C55935"/>
    <w:rsid w:val="00C55CB0"/>
    <w:rsid w:val="00C55F4A"/>
    <w:rsid w:val="00C564E0"/>
    <w:rsid w:val="00C566A9"/>
    <w:rsid w:val="00C56906"/>
    <w:rsid w:val="00C56AB4"/>
    <w:rsid w:val="00C56B95"/>
    <w:rsid w:val="00C56BFA"/>
    <w:rsid w:val="00C5718D"/>
    <w:rsid w:val="00C573E3"/>
    <w:rsid w:val="00C57948"/>
    <w:rsid w:val="00C57CA4"/>
    <w:rsid w:val="00C57DCA"/>
    <w:rsid w:val="00C6046F"/>
    <w:rsid w:val="00C60840"/>
    <w:rsid w:val="00C60BD8"/>
    <w:rsid w:val="00C60C68"/>
    <w:rsid w:val="00C60FD7"/>
    <w:rsid w:val="00C61A95"/>
    <w:rsid w:val="00C6223D"/>
    <w:rsid w:val="00C6256D"/>
    <w:rsid w:val="00C62A61"/>
    <w:rsid w:val="00C62AA4"/>
    <w:rsid w:val="00C62D73"/>
    <w:rsid w:val="00C63046"/>
    <w:rsid w:val="00C6355B"/>
    <w:rsid w:val="00C637F5"/>
    <w:rsid w:val="00C6386E"/>
    <w:rsid w:val="00C63B29"/>
    <w:rsid w:val="00C63C71"/>
    <w:rsid w:val="00C640DD"/>
    <w:rsid w:val="00C642A4"/>
    <w:rsid w:val="00C644D0"/>
    <w:rsid w:val="00C6481A"/>
    <w:rsid w:val="00C64917"/>
    <w:rsid w:val="00C64CEF"/>
    <w:rsid w:val="00C64DB5"/>
    <w:rsid w:val="00C64F92"/>
    <w:rsid w:val="00C651AD"/>
    <w:rsid w:val="00C65CB8"/>
    <w:rsid w:val="00C6674E"/>
    <w:rsid w:val="00C6687F"/>
    <w:rsid w:val="00C67154"/>
    <w:rsid w:val="00C67466"/>
    <w:rsid w:val="00C67EEC"/>
    <w:rsid w:val="00C704F7"/>
    <w:rsid w:val="00C70D7D"/>
    <w:rsid w:val="00C70E7E"/>
    <w:rsid w:val="00C7112C"/>
    <w:rsid w:val="00C7129A"/>
    <w:rsid w:val="00C71353"/>
    <w:rsid w:val="00C716B8"/>
    <w:rsid w:val="00C717AE"/>
    <w:rsid w:val="00C7187A"/>
    <w:rsid w:val="00C7214A"/>
    <w:rsid w:val="00C7236B"/>
    <w:rsid w:val="00C7239C"/>
    <w:rsid w:val="00C72B9D"/>
    <w:rsid w:val="00C72BC7"/>
    <w:rsid w:val="00C72CE1"/>
    <w:rsid w:val="00C730D9"/>
    <w:rsid w:val="00C730DB"/>
    <w:rsid w:val="00C73288"/>
    <w:rsid w:val="00C7360A"/>
    <w:rsid w:val="00C73ACC"/>
    <w:rsid w:val="00C73E96"/>
    <w:rsid w:val="00C7412B"/>
    <w:rsid w:val="00C741EF"/>
    <w:rsid w:val="00C74662"/>
    <w:rsid w:val="00C75720"/>
    <w:rsid w:val="00C75E43"/>
    <w:rsid w:val="00C76115"/>
    <w:rsid w:val="00C761C1"/>
    <w:rsid w:val="00C7620D"/>
    <w:rsid w:val="00C76220"/>
    <w:rsid w:val="00C7645E"/>
    <w:rsid w:val="00C768A7"/>
    <w:rsid w:val="00C7706E"/>
    <w:rsid w:val="00C772E3"/>
    <w:rsid w:val="00C7747A"/>
    <w:rsid w:val="00C77D6F"/>
    <w:rsid w:val="00C8028B"/>
    <w:rsid w:val="00C80505"/>
    <w:rsid w:val="00C80663"/>
    <w:rsid w:val="00C81601"/>
    <w:rsid w:val="00C8189E"/>
    <w:rsid w:val="00C81C8F"/>
    <w:rsid w:val="00C81FAD"/>
    <w:rsid w:val="00C820B2"/>
    <w:rsid w:val="00C829DF"/>
    <w:rsid w:val="00C82DBF"/>
    <w:rsid w:val="00C83801"/>
    <w:rsid w:val="00C83881"/>
    <w:rsid w:val="00C83934"/>
    <w:rsid w:val="00C83E02"/>
    <w:rsid w:val="00C84070"/>
    <w:rsid w:val="00C844A7"/>
    <w:rsid w:val="00C8451C"/>
    <w:rsid w:val="00C8453F"/>
    <w:rsid w:val="00C845C2"/>
    <w:rsid w:val="00C84EDE"/>
    <w:rsid w:val="00C85054"/>
    <w:rsid w:val="00C85310"/>
    <w:rsid w:val="00C85473"/>
    <w:rsid w:val="00C85645"/>
    <w:rsid w:val="00C86163"/>
    <w:rsid w:val="00C861D2"/>
    <w:rsid w:val="00C861DD"/>
    <w:rsid w:val="00C86260"/>
    <w:rsid w:val="00C86C27"/>
    <w:rsid w:val="00C870C4"/>
    <w:rsid w:val="00C8742F"/>
    <w:rsid w:val="00C874EB"/>
    <w:rsid w:val="00C87997"/>
    <w:rsid w:val="00C87F42"/>
    <w:rsid w:val="00C902D6"/>
    <w:rsid w:val="00C90756"/>
    <w:rsid w:val="00C90775"/>
    <w:rsid w:val="00C90DE2"/>
    <w:rsid w:val="00C910B0"/>
    <w:rsid w:val="00C913A1"/>
    <w:rsid w:val="00C91448"/>
    <w:rsid w:val="00C916D9"/>
    <w:rsid w:val="00C9182C"/>
    <w:rsid w:val="00C91849"/>
    <w:rsid w:val="00C91C4C"/>
    <w:rsid w:val="00C92131"/>
    <w:rsid w:val="00C92145"/>
    <w:rsid w:val="00C9229D"/>
    <w:rsid w:val="00C9237D"/>
    <w:rsid w:val="00C92588"/>
    <w:rsid w:val="00C92B36"/>
    <w:rsid w:val="00C92F68"/>
    <w:rsid w:val="00C93897"/>
    <w:rsid w:val="00C93D80"/>
    <w:rsid w:val="00C93FD4"/>
    <w:rsid w:val="00C94010"/>
    <w:rsid w:val="00C942C7"/>
    <w:rsid w:val="00C9444F"/>
    <w:rsid w:val="00C94586"/>
    <w:rsid w:val="00C94D19"/>
    <w:rsid w:val="00C94E47"/>
    <w:rsid w:val="00C94F37"/>
    <w:rsid w:val="00C953C6"/>
    <w:rsid w:val="00C95809"/>
    <w:rsid w:val="00C95AB5"/>
    <w:rsid w:val="00C95B16"/>
    <w:rsid w:val="00C95EC5"/>
    <w:rsid w:val="00C9621F"/>
    <w:rsid w:val="00C96C67"/>
    <w:rsid w:val="00C96FB2"/>
    <w:rsid w:val="00C9717F"/>
    <w:rsid w:val="00C971E5"/>
    <w:rsid w:val="00C971F8"/>
    <w:rsid w:val="00C97476"/>
    <w:rsid w:val="00C97647"/>
    <w:rsid w:val="00CA009D"/>
    <w:rsid w:val="00CA020C"/>
    <w:rsid w:val="00CA06A5"/>
    <w:rsid w:val="00CA09EA"/>
    <w:rsid w:val="00CA0C28"/>
    <w:rsid w:val="00CA0E20"/>
    <w:rsid w:val="00CA1294"/>
    <w:rsid w:val="00CA129F"/>
    <w:rsid w:val="00CA16D9"/>
    <w:rsid w:val="00CA2618"/>
    <w:rsid w:val="00CA2992"/>
    <w:rsid w:val="00CA2A19"/>
    <w:rsid w:val="00CA324B"/>
    <w:rsid w:val="00CA3A25"/>
    <w:rsid w:val="00CA3D66"/>
    <w:rsid w:val="00CA3F7B"/>
    <w:rsid w:val="00CA4F88"/>
    <w:rsid w:val="00CA50D7"/>
    <w:rsid w:val="00CA51D2"/>
    <w:rsid w:val="00CA51D5"/>
    <w:rsid w:val="00CA5229"/>
    <w:rsid w:val="00CA522E"/>
    <w:rsid w:val="00CA548F"/>
    <w:rsid w:val="00CA56CD"/>
    <w:rsid w:val="00CA57B2"/>
    <w:rsid w:val="00CA57E2"/>
    <w:rsid w:val="00CA5CC2"/>
    <w:rsid w:val="00CA6428"/>
    <w:rsid w:val="00CA6585"/>
    <w:rsid w:val="00CA6A90"/>
    <w:rsid w:val="00CA6BA6"/>
    <w:rsid w:val="00CA6F5C"/>
    <w:rsid w:val="00CA72AC"/>
    <w:rsid w:val="00CA7E78"/>
    <w:rsid w:val="00CA7EF7"/>
    <w:rsid w:val="00CB04E5"/>
    <w:rsid w:val="00CB0977"/>
    <w:rsid w:val="00CB0A19"/>
    <w:rsid w:val="00CB0A45"/>
    <w:rsid w:val="00CB0AC0"/>
    <w:rsid w:val="00CB0F7D"/>
    <w:rsid w:val="00CB104E"/>
    <w:rsid w:val="00CB1379"/>
    <w:rsid w:val="00CB1570"/>
    <w:rsid w:val="00CB18FC"/>
    <w:rsid w:val="00CB19FA"/>
    <w:rsid w:val="00CB1DA1"/>
    <w:rsid w:val="00CB1DBB"/>
    <w:rsid w:val="00CB1E1F"/>
    <w:rsid w:val="00CB209B"/>
    <w:rsid w:val="00CB22B1"/>
    <w:rsid w:val="00CB22E6"/>
    <w:rsid w:val="00CB232C"/>
    <w:rsid w:val="00CB2511"/>
    <w:rsid w:val="00CB260F"/>
    <w:rsid w:val="00CB26EF"/>
    <w:rsid w:val="00CB2D43"/>
    <w:rsid w:val="00CB3086"/>
    <w:rsid w:val="00CB326A"/>
    <w:rsid w:val="00CB3275"/>
    <w:rsid w:val="00CB3482"/>
    <w:rsid w:val="00CB3B94"/>
    <w:rsid w:val="00CB3DA9"/>
    <w:rsid w:val="00CB3E04"/>
    <w:rsid w:val="00CB4761"/>
    <w:rsid w:val="00CB49F9"/>
    <w:rsid w:val="00CB4A19"/>
    <w:rsid w:val="00CB4BC7"/>
    <w:rsid w:val="00CB4D03"/>
    <w:rsid w:val="00CB4E01"/>
    <w:rsid w:val="00CB4F0D"/>
    <w:rsid w:val="00CB4FF7"/>
    <w:rsid w:val="00CB5206"/>
    <w:rsid w:val="00CB555D"/>
    <w:rsid w:val="00CB5936"/>
    <w:rsid w:val="00CB5AE9"/>
    <w:rsid w:val="00CB6328"/>
    <w:rsid w:val="00CB669C"/>
    <w:rsid w:val="00CB67D3"/>
    <w:rsid w:val="00CB6ACC"/>
    <w:rsid w:val="00CB748D"/>
    <w:rsid w:val="00CB7B76"/>
    <w:rsid w:val="00CB7BBC"/>
    <w:rsid w:val="00CC0052"/>
    <w:rsid w:val="00CC0353"/>
    <w:rsid w:val="00CC04BE"/>
    <w:rsid w:val="00CC05BB"/>
    <w:rsid w:val="00CC0B49"/>
    <w:rsid w:val="00CC0E10"/>
    <w:rsid w:val="00CC0E4B"/>
    <w:rsid w:val="00CC0F9B"/>
    <w:rsid w:val="00CC1115"/>
    <w:rsid w:val="00CC11FA"/>
    <w:rsid w:val="00CC1539"/>
    <w:rsid w:val="00CC16D4"/>
    <w:rsid w:val="00CC17EA"/>
    <w:rsid w:val="00CC1CF7"/>
    <w:rsid w:val="00CC1D8E"/>
    <w:rsid w:val="00CC1ED2"/>
    <w:rsid w:val="00CC217D"/>
    <w:rsid w:val="00CC24F2"/>
    <w:rsid w:val="00CC2AAC"/>
    <w:rsid w:val="00CC2D3D"/>
    <w:rsid w:val="00CC2E81"/>
    <w:rsid w:val="00CC2E98"/>
    <w:rsid w:val="00CC2F80"/>
    <w:rsid w:val="00CC2F89"/>
    <w:rsid w:val="00CC37C1"/>
    <w:rsid w:val="00CC3BC5"/>
    <w:rsid w:val="00CC3CE6"/>
    <w:rsid w:val="00CC3E98"/>
    <w:rsid w:val="00CC4472"/>
    <w:rsid w:val="00CC4AAA"/>
    <w:rsid w:val="00CC4E0E"/>
    <w:rsid w:val="00CC4EBC"/>
    <w:rsid w:val="00CC4EC8"/>
    <w:rsid w:val="00CC4FCA"/>
    <w:rsid w:val="00CC52F4"/>
    <w:rsid w:val="00CC535E"/>
    <w:rsid w:val="00CC5841"/>
    <w:rsid w:val="00CC588F"/>
    <w:rsid w:val="00CC60DE"/>
    <w:rsid w:val="00CC685F"/>
    <w:rsid w:val="00CC75CB"/>
    <w:rsid w:val="00CD003A"/>
    <w:rsid w:val="00CD00FF"/>
    <w:rsid w:val="00CD013E"/>
    <w:rsid w:val="00CD0156"/>
    <w:rsid w:val="00CD0B6E"/>
    <w:rsid w:val="00CD0B95"/>
    <w:rsid w:val="00CD0D8F"/>
    <w:rsid w:val="00CD1120"/>
    <w:rsid w:val="00CD1A36"/>
    <w:rsid w:val="00CD1E06"/>
    <w:rsid w:val="00CD23C9"/>
    <w:rsid w:val="00CD25AC"/>
    <w:rsid w:val="00CD2620"/>
    <w:rsid w:val="00CD2AF8"/>
    <w:rsid w:val="00CD2F6D"/>
    <w:rsid w:val="00CD306F"/>
    <w:rsid w:val="00CD3681"/>
    <w:rsid w:val="00CD3A22"/>
    <w:rsid w:val="00CD3EB7"/>
    <w:rsid w:val="00CD422D"/>
    <w:rsid w:val="00CD437F"/>
    <w:rsid w:val="00CD440B"/>
    <w:rsid w:val="00CD4463"/>
    <w:rsid w:val="00CD474D"/>
    <w:rsid w:val="00CD4753"/>
    <w:rsid w:val="00CD496B"/>
    <w:rsid w:val="00CD49FC"/>
    <w:rsid w:val="00CD4F0F"/>
    <w:rsid w:val="00CD50DF"/>
    <w:rsid w:val="00CD50FD"/>
    <w:rsid w:val="00CD5145"/>
    <w:rsid w:val="00CD51E9"/>
    <w:rsid w:val="00CD539F"/>
    <w:rsid w:val="00CD5455"/>
    <w:rsid w:val="00CD5616"/>
    <w:rsid w:val="00CD5704"/>
    <w:rsid w:val="00CD58E3"/>
    <w:rsid w:val="00CD5A51"/>
    <w:rsid w:val="00CD5AB1"/>
    <w:rsid w:val="00CD61C2"/>
    <w:rsid w:val="00CD62D6"/>
    <w:rsid w:val="00CD66E2"/>
    <w:rsid w:val="00CD6782"/>
    <w:rsid w:val="00CD6834"/>
    <w:rsid w:val="00CD6CCC"/>
    <w:rsid w:val="00CD6F61"/>
    <w:rsid w:val="00CD71A0"/>
    <w:rsid w:val="00CD7564"/>
    <w:rsid w:val="00CD7936"/>
    <w:rsid w:val="00CD7E2C"/>
    <w:rsid w:val="00CE01EA"/>
    <w:rsid w:val="00CE0242"/>
    <w:rsid w:val="00CE03DE"/>
    <w:rsid w:val="00CE0D84"/>
    <w:rsid w:val="00CE0FF6"/>
    <w:rsid w:val="00CE1154"/>
    <w:rsid w:val="00CE21FB"/>
    <w:rsid w:val="00CE2A40"/>
    <w:rsid w:val="00CE2AB4"/>
    <w:rsid w:val="00CE32CF"/>
    <w:rsid w:val="00CE35DA"/>
    <w:rsid w:val="00CE39E4"/>
    <w:rsid w:val="00CE454D"/>
    <w:rsid w:val="00CE4A9B"/>
    <w:rsid w:val="00CE4D51"/>
    <w:rsid w:val="00CE4E45"/>
    <w:rsid w:val="00CE501A"/>
    <w:rsid w:val="00CE5141"/>
    <w:rsid w:val="00CE552C"/>
    <w:rsid w:val="00CE57E2"/>
    <w:rsid w:val="00CE595C"/>
    <w:rsid w:val="00CE6077"/>
    <w:rsid w:val="00CE646C"/>
    <w:rsid w:val="00CE6650"/>
    <w:rsid w:val="00CE6659"/>
    <w:rsid w:val="00CE6AE6"/>
    <w:rsid w:val="00CE7608"/>
    <w:rsid w:val="00CE767B"/>
    <w:rsid w:val="00CE78F6"/>
    <w:rsid w:val="00CE7A9D"/>
    <w:rsid w:val="00CE7ACB"/>
    <w:rsid w:val="00CF01A3"/>
    <w:rsid w:val="00CF0303"/>
    <w:rsid w:val="00CF0368"/>
    <w:rsid w:val="00CF0999"/>
    <w:rsid w:val="00CF0BF6"/>
    <w:rsid w:val="00CF0C2E"/>
    <w:rsid w:val="00CF0D4D"/>
    <w:rsid w:val="00CF108B"/>
    <w:rsid w:val="00CF1138"/>
    <w:rsid w:val="00CF19BD"/>
    <w:rsid w:val="00CF1E91"/>
    <w:rsid w:val="00CF1F13"/>
    <w:rsid w:val="00CF25A4"/>
    <w:rsid w:val="00CF291F"/>
    <w:rsid w:val="00CF29DA"/>
    <w:rsid w:val="00CF2DE5"/>
    <w:rsid w:val="00CF3647"/>
    <w:rsid w:val="00CF37F5"/>
    <w:rsid w:val="00CF380E"/>
    <w:rsid w:val="00CF3AA2"/>
    <w:rsid w:val="00CF3D2B"/>
    <w:rsid w:val="00CF4614"/>
    <w:rsid w:val="00CF4726"/>
    <w:rsid w:val="00CF4781"/>
    <w:rsid w:val="00CF493F"/>
    <w:rsid w:val="00CF4B48"/>
    <w:rsid w:val="00CF4F3C"/>
    <w:rsid w:val="00CF6076"/>
    <w:rsid w:val="00CF6941"/>
    <w:rsid w:val="00CF6A36"/>
    <w:rsid w:val="00CF6B6B"/>
    <w:rsid w:val="00CF72FE"/>
    <w:rsid w:val="00CF7806"/>
    <w:rsid w:val="00CF7857"/>
    <w:rsid w:val="00CF7C9D"/>
    <w:rsid w:val="00CF7D57"/>
    <w:rsid w:val="00D00359"/>
    <w:rsid w:val="00D0077E"/>
    <w:rsid w:val="00D00890"/>
    <w:rsid w:val="00D00E0C"/>
    <w:rsid w:val="00D0143F"/>
    <w:rsid w:val="00D0152E"/>
    <w:rsid w:val="00D0187E"/>
    <w:rsid w:val="00D01BB1"/>
    <w:rsid w:val="00D024D8"/>
    <w:rsid w:val="00D02CDF"/>
    <w:rsid w:val="00D02D6D"/>
    <w:rsid w:val="00D02EE2"/>
    <w:rsid w:val="00D0310D"/>
    <w:rsid w:val="00D03596"/>
    <w:rsid w:val="00D039FD"/>
    <w:rsid w:val="00D03C9F"/>
    <w:rsid w:val="00D03CF7"/>
    <w:rsid w:val="00D04020"/>
    <w:rsid w:val="00D040BC"/>
    <w:rsid w:val="00D04414"/>
    <w:rsid w:val="00D0446F"/>
    <w:rsid w:val="00D04AF2"/>
    <w:rsid w:val="00D04F5C"/>
    <w:rsid w:val="00D04FAB"/>
    <w:rsid w:val="00D05307"/>
    <w:rsid w:val="00D05423"/>
    <w:rsid w:val="00D05816"/>
    <w:rsid w:val="00D058FE"/>
    <w:rsid w:val="00D05973"/>
    <w:rsid w:val="00D05A8B"/>
    <w:rsid w:val="00D063A6"/>
    <w:rsid w:val="00D065E7"/>
    <w:rsid w:val="00D06936"/>
    <w:rsid w:val="00D06A81"/>
    <w:rsid w:val="00D06B24"/>
    <w:rsid w:val="00D06DF5"/>
    <w:rsid w:val="00D074D5"/>
    <w:rsid w:val="00D079A8"/>
    <w:rsid w:val="00D1012A"/>
    <w:rsid w:val="00D10318"/>
    <w:rsid w:val="00D103B4"/>
    <w:rsid w:val="00D105D8"/>
    <w:rsid w:val="00D109B5"/>
    <w:rsid w:val="00D1104F"/>
    <w:rsid w:val="00D11105"/>
    <w:rsid w:val="00D111DA"/>
    <w:rsid w:val="00D1147E"/>
    <w:rsid w:val="00D12401"/>
    <w:rsid w:val="00D126BE"/>
    <w:rsid w:val="00D12902"/>
    <w:rsid w:val="00D12AFD"/>
    <w:rsid w:val="00D12B00"/>
    <w:rsid w:val="00D131D3"/>
    <w:rsid w:val="00D13394"/>
    <w:rsid w:val="00D1341F"/>
    <w:rsid w:val="00D137D1"/>
    <w:rsid w:val="00D13A97"/>
    <w:rsid w:val="00D13ABC"/>
    <w:rsid w:val="00D141B9"/>
    <w:rsid w:val="00D14481"/>
    <w:rsid w:val="00D14580"/>
    <w:rsid w:val="00D146D2"/>
    <w:rsid w:val="00D14746"/>
    <w:rsid w:val="00D147CA"/>
    <w:rsid w:val="00D1506D"/>
    <w:rsid w:val="00D1520A"/>
    <w:rsid w:val="00D15361"/>
    <w:rsid w:val="00D15482"/>
    <w:rsid w:val="00D155BC"/>
    <w:rsid w:val="00D156CA"/>
    <w:rsid w:val="00D167D5"/>
    <w:rsid w:val="00D16B78"/>
    <w:rsid w:val="00D16CFA"/>
    <w:rsid w:val="00D16D10"/>
    <w:rsid w:val="00D16FFB"/>
    <w:rsid w:val="00D17080"/>
    <w:rsid w:val="00D172B6"/>
    <w:rsid w:val="00D17B21"/>
    <w:rsid w:val="00D17B40"/>
    <w:rsid w:val="00D17B8F"/>
    <w:rsid w:val="00D17CA0"/>
    <w:rsid w:val="00D17F93"/>
    <w:rsid w:val="00D20323"/>
    <w:rsid w:val="00D20410"/>
    <w:rsid w:val="00D20693"/>
    <w:rsid w:val="00D2084D"/>
    <w:rsid w:val="00D20A08"/>
    <w:rsid w:val="00D20EF1"/>
    <w:rsid w:val="00D210C5"/>
    <w:rsid w:val="00D21334"/>
    <w:rsid w:val="00D220A9"/>
    <w:rsid w:val="00D22130"/>
    <w:rsid w:val="00D2217A"/>
    <w:rsid w:val="00D221B6"/>
    <w:rsid w:val="00D22BEC"/>
    <w:rsid w:val="00D22E3F"/>
    <w:rsid w:val="00D23A11"/>
    <w:rsid w:val="00D23AE0"/>
    <w:rsid w:val="00D23BF4"/>
    <w:rsid w:val="00D23C19"/>
    <w:rsid w:val="00D240AB"/>
    <w:rsid w:val="00D241DF"/>
    <w:rsid w:val="00D2458D"/>
    <w:rsid w:val="00D2499B"/>
    <w:rsid w:val="00D24C07"/>
    <w:rsid w:val="00D24EEC"/>
    <w:rsid w:val="00D255F7"/>
    <w:rsid w:val="00D25A50"/>
    <w:rsid w:val="00D27506"/>
    <w:rsid w:val="00D27FCD"/>
    <w:rsid w:val="00D307EC"/>
    <w:rsid w:val="00D30A88"/>
    <w:rsid w:val="00D30B43"/>
    <w:rsid w:val="00D310DA"/>
    <w:rsid w:val="00D314B1"/>
    <w:rsid w:val="00D318D9"/>
    <w:rsid w:val="00D31FEB"/>
    <w:rsid w:val="00D3250C"/>
    <w:rsid w:val="00D332A1"/>
    <w:rsid w:val="00D33C69"/>
    <w:rsid w:val="00D34181"/>
    <w:rsid w:val="00D347D0"/>
    <w:rsid w:val="00D348E4"/>
    <w:rsid w:val="00D34C2E"/>
    <w:rsid w:val="00D35136"/>
    <w:rsid w:val="00D35181"/>
    <w:rsid w:val="00D35981"/>
    <w:rsid w:val="00D35998"/>
    <w:rsid w:val="00D35A78"/>
    <w:rsid w:val="00D3644B"/>
    <w:rsid w:val="00D3681B"/>
    <w:rsid w:val="00D36BBD"/>
    <w:rsid w:val="00D36CF3"/>
    <w:rsid w:val="00D36EF7"/>
    <w:rsid w:val="00D37590"/>
    <w:rsid w:val="00D37A43"/>
    <w:rsid w:val="00D37AFC"/>
    <w:rsid w:val="00D37F07"/>
    <w:rsid w:val="00D40277"/>
    <w:rsid w:val="00D40BF0"/>
    <w:rsid w:val="00D40C0B"/>
    <w:rsid w:val="00D40D78"/>
    <w:rsid w:val="00D40E87"/>
    <w:rsid w:val="00D41958"/>
    <w:rsid w:val="00D41F91"/>
    <w:rsid w:val="00D42CE3"/>
    <w:rsid w:val="00D42E67"/>
    <w:rsid w:val="00D43412"/>
    <w:rsid w:val="00D4382A"/>
    <w:rsid w:val="00D43A98"/>
    <w:rsid w:val="00D43CED"/>
    <w:rsid w:val="00D43D8B"/>
    <w:rsid w:val="00D4409E"/>
    <w:rsid w:val="00D4413A"/>
    <w:rsid w:val="00D442C8"/>
    <w:rsid w:val="00D447C7"/>
    <w:rsid w:val="00D448F8"/>
    <w:rsid w:val="00D45038"/>
    <w:rsid w:val="00D45C54"/>
    <w:rsid w:val="00D45D14"/>
    <w:rsid w:val="00D45DB2"/>
    <w:rsid w:val="00D45ECA"/>
    <w:rsid w:val="00D46091"/>
    <w:rsid w:val="00D460FA"/>
    <w:rsid w:val="00D472B7"/>
    <w:rsid w:val="00D474E7"/>
    <w:rsid w:val="00D4796B"/>
    <w:rsid w:val="00D47B8A"/>
    <w:rsid w:val="00D47EB2"/>
    <w:rsid w:val="00D47EFC"/>
    <w:rsid w:val="00D50095"/>
    <w:rsid w:val="00D502CF"/>
    <w:rsid w:val="00D50F7B"/>
    <w:rsid w:val="00D511BC"/>
    <w:rsid w:val="00D5135A"/>
    <w:rsid w:val="00D51420"/>
    <w:rsid w:val="00D5151D"/>
    <w:rsid w:val="00D521E5"/>
    <w:rsid w:val="00D522CF"/>
    <w:rsid w:val="00D52568"/>
    <w:rsid w:val="00D529E9"/>
    <w:rsid w:val="00D52F7E"/>
    <w:rsid w:val="00D5366D"/>
    <w:rsid w:val="00D53929"/>
    <w:rsid w:val="00D54079"/>
    <w:rsid w:val="00D5448C"/>
    <w:rsid w:val="00D54881"/>
    <w:rsid w:val="00D54A17"/>
    <w:rsid w:val="00D557E7"/>
    <w:rsid w:val="00D55FD2"/>
    <w:rsid w:val="00D5616D"/>
    <w:rsid w:val="00D562B3"/>
    <w:rsid w:val="00D56370"/>
    <w:rsid w:val="00D56456"/>
    <w:rsid w:val="00D56BD4"/>
    <w:rsid w:val="00D56F5A"/>
    <w:rsid w:val="00D57422"/>
    <w:rsid w:val="00D574B4"/>
    <w:rsid w:val="00D579E8"/>
    <w:rsid w:val="00D57BB4"/>
    <w:rsid w:val="00D57ECC"/>
    <w:rsid w:val="00D57FFE"/>
    <w:rsid w:val="00D602F6"/>
    <w:rsid w:val="00D603D7"/>
    <w:rsid w:val="00D604EA"/>
    <w:rsid w:val="00D60579"/>
    <w:rsid w:val="00D60897"/>
    <w:rsid w:val="00D609EE"/>
    <w:rsid w:val="00D60C89"/>
    <w:rsid w:val="00D61646"/>
    <w:rsid w:val="00D61652"/>
    <w:rsid w:val="00D616B9"/>
    <w:rsid w:val="00D61798"/>
    <w:rsid w:val="00D61DE1"/>
    <w:rsid w:val="00D622B2"/>
    <w:rsid w:val="00D6248F"/>
    <w:rsid w:val="00D62A6E"/>
    <w:rsid w:val="00D62B94"/>
    <w:rsid w:val="00D62D95"/>
    <w:rsid w:val="00D62E4B"/>
    <w:rsid w:val="00D631F5"/>
    <w:rsid w:val="00D63546"/>
    <w:rsid w:val="00D639DE"/>
    <w:rsid w:val="00D63B18"/>
    <w:rsid w:val="00D63D77"/>
    <w:rsid w:val="00D64075"/>
    <w:rsid w:val="00D64135"/>
    <w:rsid w:val="00D64172"/>
    <w:rsid w:val="00D64410"/>
    <w:rsid w:val="00D64E8A"/>
    <w:rsid w:val="00D65155"/>
    <w:rsid w:val="00D657D6"/>
    <w:rsid w:val="00D66507"/>
    <w:rsid w:val="00D6669D"/>
    <w:rsid w:val="00D66759"/>
    <w:rsid w:val="00D673BD"/>
    <w:rsid w:val="00D674D2"/>
    <w:rsid w:val="00D67619"/>
    <w:rsid w:val="00D701C8"/>
    <w:rsid w:val="00D703A8"/>
    <w:rsid w:val="00D705DC"/>
    <w:rsid w:val="00D705E0"/>
    <w:rsid w:val="00D7067F"/>
    <w:rsid w:val="00D7095B"/>
    <w:rsid w:val="00D70EFA"/>
    <w:rsid w:val="00D7140C"/>
    <w:rsid w:val="00D716E0"/>
    <w:rsid w:val="00D71880"/>
    <w:rsid w:val="00D71BC6"/>
    <w:rsid w:val="00D72545"/>
    <w:rsid w:val="00D7265C"/>
    <w:rsid w:val="00D727B7"/>
    <w:rsid w:val="00D7330E"/>
    <w:rsid w:val="00D7346C"/>
    <w:rsid w:val="00D734BA"/>
    <w:rsid w:val="00D73504"/>
    <w:rsid w:val="00D73B25"/>
    <w:rsid w:val="00D73D83"/>
    <w:rsid w:val="00D73E48"/>
    <w:rsid w:val="00D73EEA"/>
    <w:rsid w:val="00D73F59"/>
    <w:rsid w:val="00D74115"/>
    <w:rsid w:val="00D744FD"/>
    <w:rsid w:val="00D7499E"/>
    <w:rsid w:val="00D74F21"/>
    <w:rsid w:val="00D74FBA"/>
    <w:rsid w:val="00D75006"/>
    <w:rsid w:val="00D75435"/>
    <w:rsid w:val="00D76464"/>
    <w:rsid w:val="00D765B3"/>
    <w:rsid w:val="00D769BC"/>
    <w:rsid w:val="00D76B33"/>
    <w:rsid w:val="00D76B5A"/>
    <w:rsid w:val="00D76F87"/>
    <w:rsid w:val="00D76F95"/>
    <w:rsid w:val="00D770C2"/>
    <w:rsid w:val="00D7784B"/>
    <w:rsid w:val="00D77C76"/>
    <w:rsid w:val="00D77CF2"/>
    <w:rsid w:val="00D8085B"/>
    <w:rsid w:val="00D8159F"/>
    <w:rsid w:val="00D816CD"/>
    <w:rsid w:val="00D81749"/>
    <w:rsid w:val="00D81843"/>
    <w:rsid w:val="00D819C0"/>
    <w:rsid w:val="00D81A40"/>
    <w:rsid w:val="00D81DF3"/>
    <w:rsid w:val="00D81FE4"/>
    <w:rsid w:val="00D824E3"/>
    <w:rsid w:val="00D82AE6"/>
    <w:rsid w:val="00D82EC6"/>
    <w:rsid w:val="00D8347E"/>
    <w:rsid w:val="00D835FD"/>
    <w:rsid w:val="00D836AD"/>
    <w:rsid w:val="00D83931"/>
    <w:rsid w:val="00D83CF4"/>
    <w:rsid w:val="00D83EE6"/>
    <w:rsid w:val="00D83FAE"/>
    <w:rsid w:val="00D8433C"/>
    <w:rsid w:val="00D84369"/>
    <w:rsid w:val="00D84549"/>
    <w:rsid w:val="00D84584"/>
    <w:rsid w:val="00D848C1"/>
    <w:rsid w:val="00D84F86"/>
    <w:rsid w:val="00D85125"/>
    <w:rsid w:val="00D85604"/>
    <w:rsid w:val="00D859BA"/>
    <w:rsid w:val="00D859D0"/>
    <w:rsid w:val="00D85E3F"/>
    <w:rsid w:val="00D85FC3"/>
    <w:rsid w:val="00D862C7"/>
    <w:rsid w:val="00D86774"/>
    <w:rsid w:val="00D86921"/>
    <w:rsid w:val="00D86A7C"/>
    <w:rsid w:val="00D86CFD"/>
    <w:rsid w:val="00D86DD7"/>
    <w:rsid w:val="00D86DF3"/>
    <w:rsid w:val="00D86E3E"/>
    <w:rsid w:val="00D86F9B"/>
    <w:rsid w:val="00D870FA"/>
    <w:rsid w:val="00D87124"/>
    <w:rsid w:val="00D8740A"/>
    <w:rsid w:val="00D875C9"/>
    <w:rsid w:val="00D87630"/>
    <w:rsid w:val="00D8793F"/>
    <w:rsid w:val="00D87B6C"/>
    <w:rsid w:val="00D87F8A"/>
    <w:rsid w:val="00D904CE"/>
    <w:rsid w:val="00D906AF"/>
    <w:rsid w:val="00D9096D"/>
    <w:rsid w:val="00D90E3F"/>
    <w:rsid w:val="00D91583"/>
    <w:rsid w:val="00D916BF"/>
    <w:rsid w:val="00D9172F"/>
    <w:rsid w:val="00D91945"/>
    <w:rsid w:val="00D92092"/>
    <w:rsid w:val="00D9237E"/>
    <w:rsid w:val="00D92966"/>
    <w:rsid w:val="00D92B8C"/>
    <w:rsid w:val="00D92D66"/>
    <w:rsid w:val="00D93339"/>
    <w:rsid w:val="00D93343"/>
    <w:rsid w:val="00D937A6"/>
    <w:rsid w:val="00D93E5B"/>
    <w:rsid w:val="00D93EAA"/>
    <w:rsid w:val="00D940A6"/>
    <w:rsid w:val="00D9421E"/>
    <w:rsid w:val="00D94273"/>
    <w:rsid w:val="00D94398"/>
    <w:rsid w:val="00D94A6F"/>
    <w:rsid w:val="00D95020"/>
    <w:rsid w:val="00D9533F"/>
    <w:rsid w:val="00D957D8"/>
    <w:rsid w:val="00D95B4B"/>
    <w:rsid w:val="00D95B92"/>
    <w:rsid w:val="00D95C08"/>
    <w:rsid w:val="00D95DDD"/>
    <w:rsid w:val="00D9621B"/>
    <w:rsid w:val="00D96D9A"/>
    <w:rsid w:val="00D96F15"/>
    <w:rsid w:val="00D9712D"/>
    <w:rsid w:val="00D97642"/>
    <w:rsid w:val="00D9776A"/>
    <w:rsid w:val="00D977C5"/>
    <w:rsid w:val="00D97912"/>
    <w:rsid w:val="00D979F6"/>
    <w:rsid w:val="00D97F12"/>
    <w:rsid w:val="00DA016C"/>
    <w:rsid w:val="00DA087E"/>
    <w:rsid w:val="00DA08CE"/>
    <w:rsid w:val="00DA09A5"/>
    <w:rsid w:val="00DA0CE3"/>
    <w:rsid w:val="00DA0E4F"/>
    <w:rsid w:val="00DA0F95"/>
    <w:rsid w:val="00DA0FCD"/>
    <w:rsid w:val="00DA10D4"/>
    <w:rsid w:val="00DA168C"/>
    <w:rsid w:val="00DA1809"/>
    <w:rsid w:val="00DA1A7E"/>
    <w:rsid w:val="00DA20F9"/>
    <w:rsid w:val="00DA2646"/>
    <w:rsid w:val="00DA2704"/>
    <w:rsid w:val="00DA2796"/>
    <w:rsid w:val="00DA3684"/>
    <w:rsid w:val="00DA38D6"/>
    <w:rsid w:val="00DA3922"/>
    <w:rsid w:val="00DA3A15"/>
    <w:rsid w:val="00DA3B6B"/>
    <w:rsid w:val="00DA3DB3"/>
    <w:rsid w:val="00DA4163"/>
    <w:rsid w:val="00DA456B"/>
    <w:rsid w:val="00DA48A7"/>
    <w:rsid w:val="00DA4A33"/>
    <w:rsid w:val="00DA53D1"/>
    <w:rsid w:val="00DA56A8"/>
    <w:rsid w:val="00DA57E4"/>
    <w:rsid w:val="00DA59B9"/>
    <w:rsid w:val="00DA5A1F"/>
    <w:rsid w:val="00DA5CD3"/>
    <w:rsid w:val="00DA5D70"/>
    <w:rsid w:val="00DA60EA"/>
    <w:rsid w:val="00DA6109"/>
    <w:rsid w:val="00DA6256"/>
    <w:rsid w:val="00DA65AB"/>
    <w:rsid w:val="00DA666D"/>
    <w:rsid w:val="00DA66CE"/>
    <w:rsid w:val="00DA66DD"/>
    <w:rsid w:val="00DA6AB8"/>
    <w:rsid w:val="00DA6C53"/>
    <w:rsid w:val="00DB01FB"/>
    <w:rsid w:val="00DB05F9"/>
    <w:rsid w:val="00DB0C09"/>
    <w:rsid w:val="00DB0FDC"/>
    <w:rsid w:val="00DB0FFD"/>
    <w:rsid w:val="00DB14E5"/>
    <w:rsid w:val="00DB1776"/>
    <w:rsid w:val="00DB19FF"/>
    <w:rsid w:val="00DB1F0F"/>
    <w:rsid w:val="00DB1F30"/>
    <w:rsid w:val="00DB24CC"/>
    <w:rsid w:val="00DB301B"/>
    <w:rsid w:val="00DB37DA"/>
    <w:rsid w:val="00DB3850"/>
    <w:rsid w:val="00DB3E82"/>
    <w:rsid w:val="00DB3F75"/>
    <w:rsid w:val="00DB4785"/>
    <w:rsid w:val="00DB48B9"/>
    <w:rsid w:val="00DB4A3C"/>
    <w:rsid w:val="00DB4E18"/>
    <w:rsid w:val="00DB4E3F"/>
    <w:rsid w:val="00DB4F8A"/>
    <w:rsid w:val="00DB5190"/>
    <w:rsid w:val="00DB5483"/>
    <w:rsid w:val="00DB5622"/>
    <w:rsid w:val="00DB5FD4"/>
    <w:rsid w:val="00DB60A6"/>
    <w:rsid w:val="00DB6249"/>
    <w:rsid w:val="00DB682B"/>
    <w:rsid w:val="00DB6F8C"/>
    <w:rsid w:val="00DB70A8"/>
    <w:rsid w:val="00DB7A71"/>
    <w:rsid w:val="00DB7AF0"/>
    <w:rsid w:val="00DB7C3F"/>
    <w:rsid w:val="00DB7E4A"/>
    <w:rsid w:val="00DB7E5B"/>
    <w:rsid w:val="00DC0585"/>
    <w:rsid w:val="00DC0655"/>
    <w:rsid w:val="00DC0783"/>
    <w:rsid w:val="00DC116D"/>
    <w:rsid w:val="00DC129A"/>
    <w:rsid w:val="00DC1774"/>
    <w:rsid w:val="00DC1817"/>
    <w:rsid w:val="00DC298B"/>
    <w:rsid w:val="00DC2AE8"/>
    <w:rsid w:val="00DC2B56"/>
    <w:rsid w:val="00DC2C7B"/>
    <w:rsid w:val="00DC2CE3"/>
    <w:rsid w:val="00DC2D29"/>
    <w:rsid w:val="00DC35D2"/>
    <w:rsid w:val="00DC392A"/>
    <w:rsid w:val="00DC4017"/>
    <w:rsid w:val="00DC4499"/>
    <w:rsid w:val="00DC449E"/>
    <w:rsid w:val="00DC4541"/>
    <w:rsid w:val="00DC45ED"/>
    <w:rsid w:val="00DC4A46"/>
    <w:rsid w:val="00DC51F6"/>
    <w:rsid w:val="00DC5296"/>
    <w:rsid w:val="00DC5648"/>
    <w:rsid w:val="00DC57AE"/>
    <w:rsid w:val="00DC5865"/>
    <w:rsid w:val="00DC5DEF"/>
    <w:rsid w:val="00DC5F09"/>
    <w:rsid w:val="00DC6183"/>
    <w:rsid w:val="00DC6394"/>
    <w:rsid w:val="00DC6529"/>
    <w:rsid w:val="00DC6BC0"/>
    <w:rsid w:val="00DC6C10"/>
    <w:rsid w:val="00DC7054"/>
    <w:rsid w:val="00DC71F0"/>
    <w:rsid w:val="00DC7245"/>
    <w:rsid w:val="00DC767C"/>
    <w:rsid w:val="00DC77C8"/>
    <w:rsid w:val="00DC77CE"/>
    <w:rsid w:val="00DC7994"/>
    <w:rsid w:val="00DD00A8"/>
    <w:rsid w:val="00DD0262"/>
    <w:rsid w:val="00DD029F"/>
    <w:rsid w:val="00DD0E8F"/>
    <w:rsid w:val="00DD0E92"/>
    <w:rsid w:val="00DD0F66"/>
    <w:rsid w:val="00DD11F3"/>
    <w:rsid w:val="00DD18E4"/>
    <w:rsid w:val="00DD1A24"/>
    <w:rsid w:val="00DD1B69"/>
    <w:rsid w:val="00DD1C48"/>
    <w:rsid w:val="00DD1FFB"/>
    <w:rsid w:val="00DD21BE"/>
    <w:rsid w:val="00DD25BA"/>
    <w:rsid w:val="00DD2844"/>
    <w:rsid w:val="00DD292D"/>
    <w:rsid w:val="00DD2B39"/>
    <w:rsid w:val="00DD2E2D"/>
    <w:rsid w:val="00DD2F3C"/>
    <w:rsid w:val="00DD30EA"/>
    <w:rsid w:val="00DD3643"/>
    <w:rsid w:val="00DD3734"/>
    <w:rsid w:val="00DD38DC"/>
    <w:rsid w:val="00DD3E58"/>
    <w:rsid w:val="00DD41CE"/>
    <w:rsid w:val="00DD4252"/>
    <w:rsid w:val="00DD47D7"/>
    <w:rsid w:val="00DD4B96"/>
    <w:rsid w:val="00DD5099"/>
    <w:rsid w:val="00DD5587"/>
    <w:rsid w:val="00DD5714"/>
    <w:rsid w:val="00DD5795"/>
    <w:rsid w:val="00DD5868"/>
    <w:rsid w:val="00DD5F93"/>
    <w:rsid w:val="00DD610A"/>
    <w:rsid w:val="00DD63CF"/>
    <w:rsid w:val="00DD6843"/>
    <w:rsid w:val="00DD6BCC"/>
    <w:rsid w:val="00DD75D9"/>
    <w:rsid w:val="00DD76AC"/>
    <w:rsid w:val="00DD770E"/>
    <w:rsid w:val="00DD7AEF"/>
    <w:rsid w:val="00DD7B4A"/>
    <w:rsid w:val="00DD7D36"/>
    <w:rsid w:val="00DE042B"/>
    <w:rsid w:val="00DE09AC"/>
    <w:rsid w:val="00DE133A"/>
    <w:rsid w:val="00DE15D1"/>
    <w:rsid w:val="00DE1A3C"/>
    <w:rsid w:val="00DE1AE2"/>
    <w:rsid w:val="00DE1BA0"/>
    <w:rsid w:val="00DE1CE1"/>
    <w:rsid w:val="00DE215D"/>
    <w:rsid w:val="00DE2190"/>
    <w:rsid w:val="00DE24E2"/>
    <w:rsid w:val="00DE2710"/>
    <w:rsid w:val="00DE272A"/>
    <w:rsid w:val="00DE29DA"/>
    <w:rsid w:val="00DE2A19"/>
    <w:rsid w:val="00DE2ADD"/>
    <w:rsid w:val="00DE35D9"/>
    <w:rsid w:val="00DE3872"/>
    <w:rsid w:val="00DE395E"/>
    <w:rsid w:val="00DE4314"/>
    <w:rsid w:val="00DE4424"/>
    <w:rsid w:val="00DE4D26"/>
    <w:rsid w:val="00DE4D36"/>
    <w:rsid w:val="00DE4F6F"/>
    <w:rsid w:val="00DE5DB0"/>
    <w:rsid w:val="00DE6204"/>
    <w:rsid w:val="00DE63B4"/>
    <w:rsid w:val="00DE642F"/>
    <w:rsid w:val="00DE6B20"/>
    <w:rsid w:val="00DE6C00"/>
    <w:rsid w:val="00DE6EC0"/>
    <w:rsid w:val="00DE71A0"/>
    <w:rsid w:val="00DE72DD"/>
    <w:rsid w:val="00DE7829"/>
    <w:rsid w:val="00DE7A17"/>
    <w:rsid w:val="00DE7E57"/>
    <w:rsid w:val="00DF0469"/>
    <w:rsid w:val="00DF0537"/>
    <w:rsid w:val="00DF070F"/>
    <w:rsid w:val="00DF0B7D"/>
    <w:rsid w:val="00DF1092"/>
    <w:rsid w:val="00DF114A"/>
    <w:rsid w:val="00DF1DC6"/>
    <w:rsid w:val="00DF236B"/>
    <w:rsid w:val="00DF23E6"/>
    <w:rsid w:val="00DF332D"/>
    <w:rsid w:val="00DF379F"/>
    <w:rsid w:val="00DF3823"/>
    <w:rsid w:val="00DF38B8"/>
    <w:rsid w:val="00DF399D"/>
    <w:rsid w:val="00DF39AF"/>
    <w:rsid w:val="00DF3FF3"/>
    <w:rsid w:val="00DF445A"/>
    <w:rsid w:val="00DF44A9"/>
    <w:rsid w:val="00DF459B"/>
    <w:rsid w:val="00DF489F"/>
    <w:rsid w:val="00DF5648"/>
    <w:rsid w:val="00DF574D"/>
    <w:rsid w:val="00DF58EF"/>
    <w:rsid w:val="00DF5A8B"/>
    <w:rsid w:val="00DF5B28"/>
    <w:rsid w:val="00DF5E04"/>
    <w:rsid w:val="00DF5E2B"/>
    <w:rsid w:val="00DF5E8F"/>
    <w:rsid w:val="00DF60BC"/>
    <w:rsid w:val="00DF6202"/>
    <w:rsid w:val="00DF6765"/>
    <w:rsid w:val="00DF6A31"/>
    <w:rsid w:val="00DF6CD3"/>
    <w:rsid w:val="00DF6ED5"/>
    <w:rsid w:val="00DF7332"/>
    <w:rsid w:val="00DF73FC"/>
    <w:rsid w:val="00DF7476"/>
    <w:rsid w:val="00DF7A16"/>
    <w:rsid w:val="00DF7A70"/>
    <w:rsid w:val="00DF7AB9"/>
    <w:rsid w:val="00DF7E21"/>
    <w:rsid w:val="00E00312"/>
    <w:rsid w:val="00E006EA"/>
    <w:rsid w:val="00E00A9B"/>
    <w:rsid w:val="00E00D2D"/>
    <w:rsid w:val="00E00E09"/>
    <w:rsid w:val="00E0113C"/>
    <w:rsid w:val="00E0168C"/>
    <w:rsid w:val="00E01AF5"/>
    <w:rsid w:val="00E01B19"/>
    <w:rsid w:val="00E01D59"/>
    <w:rsid w:val="00E01DB5"/>
    <w:rsid w:val="00E01E6E"/>
    <w:rsid w:val="00E02907"/>
    <w:rsid w:val="00E0372C"/>
    <w:rsid w:val="00E047F5"/>
    <w:rsid w:val="00E04A36"/>
    <w:rsid w:val="00E04D3E"/>
    <w:rsid w:val="00E050C0"/>
    <w:rsid w:val="00E0582A"/>
    <w:rsid w:val="00E05A32"/>
    <w:rsid w:val="00E05DD3"/>
    <w:rsid w:val="00E062BB"/>
    <w:rsid w:val="00E0671C"/>
    <w:rsid w:val="00E06829"/>
    <w:rsid w:val="00E06E15"/>
    <w:rsid w:val="00E07590"/>
    <w:rsid w:val="00E07E63"/>
    <w:rsid w:val="00E07E69"/>
    <w:rsid w:val="00E10182"/>
    <w:rsid w:val="00E10297"/>
    <w:rsid w:val="00E10396"/>
    <w:rsid w:val="00E105AE"/>
    <w:rsid w:val="00E108DF"/>
    <w:rsid w:val="00E10931"/>
    <w:rsid w:val="00E10A33"/>
    <w:rsid w:val="00E10E6D"/>
    <w:rsid w:val="00E11056"/>
    <w:rsid w:val="00E11236"/>
    <w:rsid w:val="00E11514"/>
    <w:rsid w:val="00E119AD"/>
    <w:rsid w:val="00E11C93"/>
    <w:rsid w:val="00E11D1A"/>
    <w:rsid w:val="00E12832"/>
    <w:rsid w:val="00E12BB9"/>
    <w:rsid w:val="00E12C4A"/>
    <w:rsid w:val="00E13240"/>
    <w:rsid w:val="00E133C4"/>
    <w:rsid w:val="00E13483"/>
    <w:rsid w:val="00E13751"/>
    <w:rsid w:val="00E13DD7"/>
    <w:rsid w:val="00E13FF3"/>
    <w:rsid w:val="00E1424D"/>
    <w:rsid w:val="00E14490"/>
    <w:rsid w:val="00E1471D"/>
    <w:rsid w:val="00E147B3"/>
    <w:rsid w:val="00E14816"/>
    <w:rsid w:val="00E1483C"/>
    <w:rsid w:val="00E14DD7"/>
    <w:rsid w:val="00E14E31"/>
    <w:rsid w:val="00E1577E"/>
    <w:rsid w:val="00E15926"/>
    <w:rsid w:val="00E16460"/>
    <w:rsid w:val="00E17059"/>
    <w:rsid w:val="00E1705F"/>
    <w:rsid w:val="00E178A0"/>
    <w:rsid w:val="00E17D33"/>
    <w:rsid w:val="00E17D99"/>
    <w:rsid w:val="00E209CA"/>
    <w:rsid w:val="00E20A41"/>
    <w:rsid w:val="00E20A69"/>
    <w:rsid w:val="00E20BC5"/>
    <w:rsid w:val="00E20CF5"/>
    <w:rsid w:val="00E21043"/>
    <w:rsid w:val="00E21057"/>
    <w:rsid w:val="00E212F8"/>
    <w:rsid w:val="00E21AE0"/>
    <w:rsid w:val="00E21B37"/>
    <w:rsid w:val="00E2217E"/>
    <w:rsid w:val="00E2220F"/>
    <w:rsid w:val="00E2247A"/>
    <w:rsid w:val="00E22483"/>
    <w:rsid w:val="00E22518"/>
    <w:rsid w:val="00E22F1D"/>
    <w:rsid w:val="00E22FB3"/>
    <w:rsid w:val="00E235B5"/>
    <w:rsid w:val="00E2371B"/>
    <w:rsid w:val="00E23A23"/>
    <w:rsid w:val="00E23C3C"/>
    <w:rsid w:val="00E24278"/>
    <w:rsid w:val="00E2438A"/>
    <w:rsid w:val="00E244DE"/>
    <w:rsid w:val="00E249D5"/>
    <w:rsid w:val="00E24F4D"/>
    <w:rsid w:val="00E2583F"/>
    <w:rsid w:val="00E25AC9"/>
    <w:rsid w:val="00E25C9F"/>
    <w:rsid w:val="00E25CB0"/>
    <w:rsid w:val="00E25EEA"/>
    <w:rsid w:val="00E25F68"/>
    <w:rsid w:val="00E26349"/>
    <w:rsid w:val="00E26874"/>
    <w:rsid w:val="00E26E41"/>
    <w:rsid w:val="00E26FE3"/>
    <w:rsid w:val="00E270BA"/>
    <w:rsid w:val="00E2720A"/>
    <w:rsid w:val="00E27FD3"/>
    <w:rsid w:val="00E30988"/>
    <w:rsid w:val="00E30B68"/>
    <w:rsid w:val="00E30EF3"/>
    <w:rsid w:val="00E30FC5"/>
    <w:rsid w:val="00E311E1"/>
    <w:rsid w:val="00E3148D"/>
    <w:rsid w:val="00E319F6"/>
    <w:rsid w:val="00E31AD7"/>
    <w:rsid w:val="00E31D92"/>
    <w:rsid w:val="00E323C2"/>
    <w:rsid w:val="00E32AFF"/>
    <w:rsid w:val="00E32D4B"/>
    <w:rsid w:val="00E32E31"/>
    <w:rsid w:val="00E3320D"/>
    <w:rsid w:val="00E3431C"/>
    <w:rsid w:val="00E3461C"/>
    <w:rsid w:val="00E34736"/>
    <w:rsid w:val="00E348F9"/>
    <w:rsid w:val="00E34A85"/>
    <w:rsid w:val="00E34B37"/>
    <w:rsid w:val="00E352D7"/>
    <w:rsid w:val="00E35AC2"/>
    <w:rsid w:val="00E35BA2"/>
    <w:rsid w:val="00E35CC2"/>
    <w:rsid w:val="00E36277"/>
    <w:rsid w:val="00E362A3"/>
    <w:rsid w:val="00E364E1"/>
    <w:rsid w:val="00E369DA"/>
    <w:rsid w:val="00E36BCE"/>
    <w:rsid w:val="00E36E74"/>
    <w:rsid w:val="00E37536"/>
    <w:rsid w:val="00E37575"/>
    <w:rsid w:val="00E37E25"/>
    <w:rsid w:val="00E37F50"/>
    <w:rsid w:val="00E402C6"/>
    <w:rsid w:val="00E405AA"/>
    <w:rsid w:val="00E40AB3"/>
    <w:rsid w:val="00E40C41"/>
    <w:rsid w:val="00E40D9F"/>
    <w:rsid w:val="00E40EB0"/>
    <w:rsid w:val="00E41025"/>
    <w:rsid w:val="00E41281"/>
    <w:rsid w:val="00E4140D"/>
    <w:rsid w:val="00E4147A"/>
    <w:rsid w:val="00E4153D"/>
    <w:rsid w:val="00E417D3"/>
    <w:rsid w:val="00E41B16"/>
    <w:rsid w:val="00E41B43"/>
    <w:rsid w:val="00E41B73"/>
    <w:rsid w:val="00E42252"/>
    <w:rsid w:val="00E422E0"/>
    <w:rsid w:val="00E429AB"/>
    <w:rsid w:val="00E42C0B"/>
    <w:rsid w:val="00E42DA7"/>
    <w:rsid w:val="00E42E86"/>
    <w:rsid w:val="00E430B5"/>
    <w:rsid w:val="00E43449"/>
    <w:rsid w:val="00E435F6"/>
    <w:rsid w:val="00E4361F"/>
    <w:rsid w:val="00E438F8"/>
    <w:rsid w:val="00E43976"/>
    <w:rsid w:val="00E44417"/>
    <w:rsid w:val="00E44A6C"/>
    <w:rsid w:val="00E4510F"/>
    <w:rsid w:val="00E4520C"/>
    <w:rsid w:val="00E45738"/>
    <w:rsid w:val="00E4588B"/>
    <w:rsid w:val="00E45A63"/>
    <w:rsid w:val="00E45BEE"/>
    <w:rsid w:val="00E45CAC"/>
    <w:rsid w:val="00E45DEE"/>
    <w:rsid w:val="00E45FA5"/>
    <w:rsid w:val="00E462EF"/>
    <w:rsid w:val="00E46401"/>
    <w:rsid w:val="00E47486"/>
    <w:rsid w:val="00E5027D"/>
    <w:rsid w:val="00E50623"/>
    <w:rsid w:val="00E50764"/>
    <w:rsid w:val="00E50D51"/>
    <w:rsid w:val="00E50E2E"/>
    <w:rsid w:val="00E51982"/>
    <w:rsid w:val="00E51EB7"/>
    <w:rsid w:val="00E51FBA"/>
    <w:rsid w:val="00E5213C"/>
    <w:rsid w:val="00E52389"/>
    <w:rsid w:val="00E52513"/>
    <w:rsid w:val="00E52536"/>
    <w:rsid w:val="00E52581"/>
    <w:rsid w:val="00E52946"/>
    <w:rsid w:val="00E52DC9"/>
    <w:rsid w:val="00E52DE3"/>
    <w:rsid w:val="00E53772"/>
    <w:rsid w:val="00E53D78"/>
    <w:rsid w:val="00E54BDD"/>
    <w:rsid w:val="00E54E75"/>
    <w:rsid w:val="00E54FC5"/>
    <w:rsid w:val="00E551CE"/>
    <w:rsid w:val="00E551E0"/>
    <w:rsid w:val="00E553A9"/>
    <w:rsid w:val="00E5553D"/>
    <w:rsid w:val="00E55763"/>
    <w:rsid w:val="00E55778"/>
    <w:rsid w:val="00E55BCC"/>
    <w:rsid w:val="00E560B2"/>
    <w:rsid w:val="00E56122"/>
    <w:rsid w:val="00E564E8"/>
    <w:rsid w:val="00E564F3"/>
    <w:rsid w:val="00E569E0"/>
    <w:rsid w:val="00E56A88"/>
    <w:rsid w:val="00E570A1"/>
    <w:rsid w:val="00E57155"/>
    <w:rsid w:val="00E5755B"/>
    <w:rsid w:val="00E577C0"/>
    <w:rsid w:val="00E57A0A"/>
    <w:rsid w:val="00E6007A"/>
    <w:rsid w:val="00E606D9"/>
    <w:rsid w:val="00E6100F"/>
    <w:rsid w:val="00E61F0B"/>
    <w:rsid w:val="00E621D0"/>
    <w:rsid w:val="00E626E0"/>
    <w:rsid w:val="00E62936"/>
    <w:rsid w:val="00E62B2E"/>
    <w:rsid w:val="00E62F0D"/>
    <w:rsid w:val="00E63199"/>
    <w:rsid w:val="00E639FC"/>
    <w:rsid w:val="00E63C9C"/>
    <w:rsid w:val="00E63CEA"/>
    <w:rsid w:val="00E63D64"/>
    <w:rsid w:val="00E63DA5"/>
    <w:rsid w:val="00E63EFD"/>
    <w:rsid w:val="00E6428E"/>
    <w:rsid w:val="00E6439B"/>
    <w:rsid w:val="00E64491"/>
    <w:rsid w:val="00E64691"/>
    <w:rsid w:val="00E647BB"/>
    <w:rsid w:val="00E64C67"/>
    <w:rsid w:val="00E64E50"/>
    <w:rsid w:val="00E64F1D"/>
    <w:rsid w:val="00E65101"/>
    <w:rsid w:val="00E6511E"/>
    <w:rsid w:val="00E6524F"/>
    <w:rsid w:val="00E652E6"/>
    <w:rsid w:val="00E65562"/>
    <w:rsid w:val="00E6566D"/>
    <w:rsid w:val="00E65A59"/>
    <w:rsid w:val="00E65B7A"/>
    <w:rsid w:val="00E65C40"/>
    <w:rsid w:val="00E65FB3"/>
    <w:rsid w:val="00E6643D"/>
    <w:rsid w:val="00E6666F"/>
    <w:rsid w:val="00E666EC"/>
    <w:rsid w:val="00E66FE4"/>
    <w:rsid w:val="00E67415"/>
    <w:rsid w:val="00E67874"/>
    <w:rsid w:val="00E67EE1"/>
    <w:rsid w:val="00E702FE"/>
    <w:rsid w:val="00E708AD"/>
    <w:rsid w:val="00E70BCC"/>
    <w:rsid w:val="00E7125B"/>
    <w:rsid w:val="00E71334"/>
    <w:rsid w:val="00E71613"/>
    <w:rsid w:val="00E7176F"/>
    <w:rsid w:val="00E71BB0"/>
    <w:rsid w:val="00E71E0B"/>
    <w:rsid w:val="00E71E39"/>
    <w:rsid w:val="00E721DE"/>
    <w:rsid w:val="00E72250"/>
    <w:rsid w:val="00E722A4"/>
    <w:rsid w:val="00E7246E"/>
    <w:rsid w:val="00E724E1"/>
    <w:rsid w:val="00E729D2"/>
    <w:rsid w:val="00E73D8B"/>
    <w:rsid w:val="00E73E6E"/>
    <w:rsid w:val="00E73F6E"/>
    <w:rsid w:val="00E73FBB"/>
    <w:rsid w:val="00E7420E"/>
    <w:rsid w:val="00E7466F"/>
    <w:rsid w:val="00E74AED"/>
    <w:rsid w:val="00E74EAD"/>
    <w:rsid w:val="00E74FE8"/>
    <w:rsid w:val="00E758AE"/>
    <w:rsid w:val="00E8015B"/>
    <w:rsid w:val="00E801E9"/>
    <w:rsid w:val="00E8048B"/>
    <w:rsid w:val="00E80E05"/>
    <w:rsid w:val="00E80F27"/>
    <w:rsid w:val="00E8100B"/>
    <w:rsid w:val="00E81511"/>
    <w:rsid w:val="00E8162C"/>
    <w:rsid w:val="00E81D68"/>
    <w:rsid w:val="00E8212D"/>
    <w:rsid w:val="00E82865"/>
    <w:rsid w:val="00E82D91"/>
    <w:rsid w:val="00E8339B"/>
    <w:rsid w:val="00E83843"/>
    <w:rsid w:val="00E8384A"/>
    <w:rsid w:val="00E839EF"/>
    <w:rsid w:val="00E83CA8"/>
    <w:rsid w:val="00E83CE3"/>
    <w:rsid w:val="00E83EFB"/>
    <w:rsid w:val="00E843E2"/>
    <w:rsid w:val="00E84524"/>
    <w:rsid w:val="00E845AD"/>
    <w:rsid w:val="00E84D01"/>
    <w:rsid w:val="00E85271"/>
    <w:rsid w:val="00E85F81"/>
    <w:rsid w:val="00E86233"/>
    <w:rsid w:val="00E86357"/>
    <w:rsid w:val="00E87130"/>
    <w:rsid w:val="00E871AD"/>
    <w:rsid w:val="00E872AB"/>
    <w:rsid w:val="00E87B30"/>
    <w:rsid w:val="00E87B3A"/>
    <w:rsid w:val="00E87E63"/>
    <w:rsid w:val="00E9028C"/>
    <w:rsid w:val="00E90616"/>
    <w:rsid w:val="00E9096B"/>
    <w:rsid w:val="00E90C6C"/>
    <w:rsid w:val="00E91020"/>
    <w:rsid w:val="00E91E80"/>
    <w:rsid w:val="00E91F64"/>
    <w:rsid w:val="00E920F8"/>
    <w:rsid w:val="00E9259D"/>
    <w:rsid w:val="00E926AC"/>
    <w:rsid w:val="00E92A56"/>
    <w:rsid w:val="00E92C91"/>
    <w:rsid w:val="00E92DC2"/>
    <w:rsid w:val="00E93063"/>
    <w:rsid w:val="00E931CB"/>
    <w:rsid w:val="00E932F6"/>
    <w:rsid w:val="00E936BD"/>
    <w:rsid w:val="00E93B1D"/>
    <w:rsid w:val="00E943F2"/>
    <w:rsid w:val="00E94604"/>
    <w:rsid w:val="00E94DE3"/>
    <w:rsid w:val="00E94F32"/>
    <w:rsid w:val="00E953CD"/>
    <w:rsid w:val="00E95599"/>
    <w:rsid w:val="00E95753"/>
    <w:rsid w:val="00E95ADA"/>
    <w:rsid w:val="00E9615A"/>
    <w:rsid w:val="00E966CE"/>
    <w:rsid w:val="00E96EF2"/>
    <w:rsid w:val="00E97BBE"/>
    <w:rsid w:val="00E97C6E"/>
    <w:rsid w:val="00E97F9D"/>
    <w:rsid w:val="00EA00A2"/>
    <w:rsid w:val="00EA01CB"/>
    <w:rsid w:val="00EA090A"/>
    <w:rsid w:val="00EA09C8"/>
    <w:rsid w:val="00EA0DB6"/>
    <w:rsid w:val="00EA0F1E"/>
    <w:rsid w:val="00EA0FAE"/>
    <w:rsid w:val="00EA13C5"/>
    <w:rsid w:val="00EA16DA"/>
    <w:rsid w:val="00EA1DDD"/>
    <w:rsid w:val="00EA2060"/>
    <w:rsid w:val="00EA20BD"/>
    <w:rsid w:val="00EA23C9"/>
    <w:rsid w:val="00EA24B7"/>
    <w:rsid w:val="00EA2ACA"/>
    <w:rsid w:val="00EA2B79"/>
    <w:rsid w:val="00EA2D30"/>
    <w:rsid w:val="00EA2D35"/>
    <w:rsid w:val="00EA3503"/>
    <w:rsid w:val="00EA35EE"/>
    <w:rsid w:val="00EA37AE"/>
    <w:rsid w:val="00EA37B1"/>
    <w:rsid w:val="00EA3879"/>
    <w:rsid w:val="00EA3A0C"/>
    <w:rsid w:val="00EA3B39"/>
    <w:rsid w:val="00EA4120"/>
    <w:rsid w:val="00EA4129"/>
    <w:rsid w:val="00EA474A"/>
    <w:rsid w:val="00EA476C"/>
    <w:rsid w:val="00EA4984"/>
    <w:rsid w:val="00EA4B41"/>
    <w:rsid w:val="00EA4E6C"/>
    <w:rsid w:val="00EA4FB9"/>
    <w:rsid w:val="00EA5065"/>
    <w:rsid w:val="00EA50D6"/>
    <w:rsid w:val="00EA5257"/>
    <w:rsid w:val="00EA5964"/>
    <w:rsid w:val="00EA5AEB"/>
    <w:rsid w:val="00EA5DEB"/>
    <w:rsid w:val="00EA668C"/>
    <w:rsid w:val="00EA685F"/>
    <w:rsid w:val="00EA6B5E"/>
    <w:rsid w:val="00EA6C54"/>
    <w:rsid w:val="00EA6FEC"/>
    <w:rsid w:val="00EA7486"/>
    <w:rsid w:val="00EA7563"/>
    <w:rsid w:val="00EA7CE2"/>
    <w:rsid w:val="00EB0212"/>
    <w:rsid w:val="00EB071A"/>
    <w:rsid w:val="00EB10D3"/>
    <w:rsid w:val="00EB1136"/>
    <w:rsid w:val="00EB19C3"/>
    <w:rsid w:val="00EB1CD7"/>
    <w:rsid w:val="00EB2071"/>
    <w:rsid w:val="00EB2906"/>
    <w:rsid w:val="00EB2C23"/>
    <w:rsid w:val="00EB2EBA"/>
    <w:rsid w:val="00EB2F4F"/>
    <w:rsid w:val="00EB32FD"/>
    <w:rsid w:val="00EB381A"/>
    <w:rsid w:val="00EB3B23"/>
    <w:rsid w:val="00EB42D2"/>
    <w:rsid w:val="00EB43C0"/>
    <w:rsid w:val="00EB4998"/>
    <w:rsid w:val="00EB4C88"/>
    <w:rsid w:val="00EB4CAF"/>
    <w:rsid w:val="00EB4F82"/>
    <w:rsid w:val="00EB5094"/>
    <w:rsid w:val="00EB59DF"/>
    <w:rsid w:val="00EB5E92"/>
    <w:rsid w:val="00EB5EE7"/>
    <w:rsid w:val="00EB61F9"/>
    <w:rsid w:val="00EB628D"/>
    <w:rsid w:val="00EB62DB"/>
    <w:rsid w:val="00EB705E"/>
    <w:rsid w:val="00EB72B5"/>
    <w:rsid w:val="00EB7501"/>
    <w:rsid w:val="00EB7528"/>
    <w:rsid w:val="00EB7556"/>
    <w:rsid w:val="00EB7567"/>
    <w:rsid w:val="00EB75AE"/>
    <w:rsid w:val="00EB79E7"/>
    <w:rsid w:val="00EB7A60"/>
    <w:rsid w:val="00EB7BCD"/>
    <w:rsid w:val="00EB7F98"/>
    <w:rsid w:val="00EC00AD"/>
    <w:rsid w:val="00EC00C8"/>
    <w:rsid w:val="00EC060C"/>
    <w:rsid w:val="00EC0F32"/>
    <w:rsid w:val="00EC0F7D"/>
    <w:rsid w:val="00EC11E8"/>
    <w:rsid w:val="00EC1D35"/>
    <w:rsid w:val="00EC1E03"/>
    <w:rsid w:val="00EC2198"/>
    <w:rsid w:val="00EC2F3F"/>
    <w:rsid w:val="00EC320B"/>
    <w:rsid w:val="00EC3214"/>
    <w:rsid w:val="00EC346B"/>
    <w:rsid w:val="00EC4326"/>
    <w:rsid w:val="00EC48C4"/>
    <w:rsid w:val="00EC4B85"/>
    <w:rsid w:val="00EC4C4D"/>
    <w:rsid w:val="00EC4E01"/>
    <w:rsid w:val="00EC5036"/>
    <w:rsid w:val="00EC5112"/>
    <w:rsid w:val="00EC52B4"/>
    <w:rsid w:val="00EC5350"/>
    <w:rsid w:val="00EC53F5"/>
    <w:rsid w:val="00EC5660"/>
    <w:rsid w:val="00EC5C7D"/>
    <w:rsid w:val="00EC61C2"/>
    <w:rsid w:val="00EC647B"/>
    <w:rsid w:val="00EC6866"/>
    <w:rsid w:val="00EC694F"/>
    <w:rsid w:val="00EC69F1"/>
    <w:rsid w:val="00EC6B23"/>
    <w:rsid w:val="00EC6BFD"/>
    <w:rsid w:val="00EC6E11"/>
    <w:rsid w:val="00EC6EF8"/>
    <w:rsid w:val="00EC7047"/>
    <w:rsid w:val="00EC7390"/>
    <w:rsid w:val="00EC7417"/>
    <w:rsid w:val="00EC7877"/>
    <w:rsid w:val="00EC7D57"/>
    <w:rsid w:val="00EC7EB2"/>
    <w:rsid w:val="00ED00AF"/>
    <w:rsid w:val="00ED040D"/>
    <w:rsid w:val="00ED06AA"/>
    <w:rsid w:val="00ED14D9"/>
    <w:rsid w:val="00ED17F0"/>
    <w:rsid w:val="00ED1EC2"/>
    <w:rsid w:val="00ED1F29"/>
    <w:rsid w:val="00ED2402"/>
    <w:rsid w:val="00ED2411"/>
    <w:rsid w:val="00ED25CF"/>
    <w:rsid w:val="00ED25F1"/>
    <w:rsid w:val="00ED2930"/>
    <w:rsid w:val="00ED2B74"/>
    <w:rsid w:val="00ED2C65"/>
    <w:rsid w:val="00ED2FB2"/>
    <w:rsid w:val="00ED3343"/>
    <w:rsid w:val="00ED34F4"/>
    <w:rsid w:val="00ED36DD"/>
    <w:rsid w:val="00ED390F"/>
    <w:rsid w:val="00ED3AE8"/>
    <w:rsid w:val="00ED3CA3"/>
    <w:rsid w:val="00ED3F49"/>
    <w:rsid w:val="00ED4110"/>
    <w:rsid w:val="00ED44D8"/>
    <w:rsid w:val="00ED4B64"/>
    <w:rsid w:val="00ED4BB5"/>
    <w:rsid w:val="00ED4D43"/>
    <w:rsid w:val="00ED4DF6"/>
    <w:rsid w:val="00ED5233"/>
    <w:rsid w:val="00ED527F"/>
    <w:rsid w:val="00ED5304"/>
    <w:rsid w:val="00ED5683"/>
    <w:rsid w:val="00ED5AD2"/>
    <w:rsid w:val="00ED5FC8"/>
    <w:rsid w:val="00ED60FB"/>
    <w:rsid w:val="00ED6601"/>
    <w:rsid w:val="00ED6B12"/>
    <w:rsid w:val="00ED6D4F"/>
    <w:rsid w:val="00ED6E2D"/>
    <w:rsid w:val="00ED722D"/>
    <w:rsid w:val="00ED790E"/>
    <w:rsid w:val="00ED7B3F"/>
    <w:rsid w:val="00ED7B6E"/>
    <w:rsid w:val="00EE0154"/>
    <w:rsid w:val="00EE07F8"/>
    <w:rsid w:val="00EE0F11"/>
    <w:rsid w:val="00EE14A9"/>
    <w:rsid w:val="00EE2097"/>
    <w:rsid w:val="00EE21CA"/>
    <w:rsid w:val="00EE24E0"/>
    <w:rsid w:val="00EE251D"/>
    <w:rsid w:val="00EE3390"/>
    <w:rsid w:val="00EE3936"/>
    <w:rsid w:val="00EE3C0C"/>
    <w:rsid w:val="00EE429F"/>
    <w:rsid w:val="00EE458F"/>
    <w:rsid w:val="00EE4AC1"/>
    <w:rsid w:val="00EE4BC9"/>
    <w:rsid w:val="00EE4D5D"/>
    <w:rsid w:val="00EE4E59"/>
    <w:rsid w:val="00EE53D9"/>
    <w:rsid w:val="00EE53DC"/>
    <w:rsid w:val="00EE57B0"/>
    <w:rsid w:val="00EE5DCA"/>
    <w:rsid w:val="00EE6172"/>
    <w:rsid w:val="00EE6B51"/>
    <w:rsid w:val="00EE743D"/>
    <w:rsid w:val="00EE7852"/>
    <w:rsid w:val="00EE7E48"/>
    <w:rsid w:val="00EE7F72"/>
    <w:rsid w:val="00EF048E"/>
    <w:rsid w:val="00EF0A23"/>
    <w:rsid w:val="00EF14F1"/>
    <w:rsid w:val="00EF180F"/>
    <w:rsid w:val="00EF1C4F"/>
    <w:rsid w:val="00EF1E70"/>
    <w:rsid w:val="00EF2238"/>
    <w:rsid w:val="00EF2896"/>
    <w:rsid w:val="00EF2978"/>
    <w:rsid w:val="00EF2A48"/>
    <w:rsid w:val="00EF2E5D"/>
    <w:rsid w:val="00EF2E6C"/>
    <w:rsid w:val="00EF3AC4"/>
    <w:rsid w:val="00EF3BC2"/>
    <w:rsid w:val="00EF4546"/>
    <w:rsid w:val="00EF48D4"/>
    <w:rsid w:val="00EF49FB"/>
    <w:rsid w:val="00EF4A39"/>
    <w:rsid w:val="00EF4BA9"/>
    <w:rsid w:val="00EF5221"/>
    <w:rsid w:val="00EF5491"/>
    <w:rsid w:val="00EF5641"/>
    <w:rsid w:val="00EF5A32"/>
    <w:rsid w:val="00EF5C9B"/>
    <w:rsid w:val="00EF637F"/>
    <w:rsid w:val="00EF67C8"/>
    <w:rsid w:val="00EF7018"/>
    <w:rsid w:val="00EF715E"/>
    <w:rsid w:val="00EF71AF"/>
    <w:rsid w:val="00EF7A45"/>
    <w:rsid w:val="00EF7B40"/>
    <w:rsid w:val="00F0007D"/>
    <w:rsid w:val="00F00ABA"/>
    <w:rsid w:val="00F00BC8"/>
    <w:rsid w:val="00F00D01"/>
    <w:rsid w:val="00F00DF7"/>
    <w:rsid w:val="00F01035"/>
    <w:rsid w:val="00F01390"/>
    <w:rsid w:val="00F01634"/>
    <w:rsid w:val="00F018A4"/>
    <w:rsid w:val="00F01E8C"/>
    <w:rsid w:val="00F0204C"/>
    <w:rsid w:val="00F02116"/>
    <w:rsid w:val="00F021C7"/>
    <w:rsid w:val="00F02372"/>
    <w:rsid w:val="00F0242B"/>
    <w:rsid w:val="00F0266F"/>
    <w:rsid w:val="00F02B46"/>
    <w:rsid w:val="00F02C21"/>
    <w:rsid w:val="00F02E64"/>
    <w:rsid w:val="00F030A3"/>
    <w:rsid w:val="00F03A45"/>
    <w:rsid w:val="00F03D4A"/>
    <w:rsid w:val="00F03F75"/>
    <w:rsid w:val="00F04206"/>
    <w:rsid w:val="00F04EA0"/>
    <w:rsid w:val="00F050A1"/>
    <w:rsid w:val="00F05219"/>
    <w:rsid w:val="00F05509"/>
    <w:rsid w:val="00F05909"/>
    <w:rsid w:val="00F05979"/>
    <w:rsid w:val="00F05D5F"/>
    <w:rsid w:val="00F06075"/>
    <w:rsid w:val="00F062E2"/>
    <w:rsid w:val="00F06378"/>
    <w:rsid w:val="00F064F2"/>
    <w:rsid w:val="00F06902"/>
    <w:rsid w:val="00F06E3D"/>
    <w:rsid w:val="00F0738E"/>
    <w:rsid w:val="00F07810"/>
    <w:rsid w:val="00F07B85"/>
    <w:rsid w:val="00F07E91"/>
    <w:rsid w:val="00F101DA"/>
    <w:rsid w:val="00F1046C"/>
    <w:rsid w:val="00F104CC"/>
    <w:rsid w:val="00F10A9F"/>
    <w:rsid w:val="00F10CDA"/>
    <w:rsid w:val="00F11028"/>
    <w:rsid w:val="00F110E7"/>
    <w:rsid w:val="00F1133F"/>
    <w:rsid w:val="00F11944"/>
    <w:rsid w:val="00F11E9A"/>
    <w:rsid w:val="00F1228B"/>
    <w:rsid w:val="00F128BD"/>
    <w:rsid w:val="00F128E1"/>
    <w:rsid w:val="00F12C60"/>
    <w:rsid w:val="00F12FC7"/>
    <w:rsid w:val="00F13287"/>
    <w:rsid w:val="00F134B8"/>
    <w:rsid w:val="00F134DB"/>
    <w:rsid w:val="00F135A0"/>
    <w:rsid w:val="00F1384F"/>
    <w:rsid w:val="00F138B6"/>
    <w:rsid w:val="00F13CB6"/>
    <w:rsid w:val="00F1412B"/>
    <w:rsid w:val="00F147EE"/>
    <w:rsid w:val="00F149A1"/>
    <w:rsid w:val="00F14A5D"/>
    <w:rsid w:val="00F14A8A"/>
    <w:rsid w:val="00F14C18"/>
    <w:rsid w:val="00F14C66"/>
    <w:rsid w:val="00F14C8F"/>
    <w:rsid w:val="00F14D08"/>
    <w:rsid w:val="00F15306"/>
    <w:rsid w:val="00F154AA"/>
    <w:rsid w:val="00F15890"/>
    <w:rsid w:val="00F15B14"/>
    <w:rsid w:val="00F15BDB"/>
    <w:rsid w:val="00F15C8C"/>
    <w:rsid w:val="00F15CBD"/>
    <w:rsid w:val="00F15FAC"/>
    <w:rsid w:val="00F16186"/>
    <w:rsid w:val="00F164DB"/>
    <w:rsid w:val="00F168B5"/>
    <w:rsid w:val="00F16B28"/>
    <w:rsid w:val="00F16CEA"/>
    <w:rsid w:val="00F1702C"/>
    <w:rsid w:val="00F179F4"/>
    <w:rsid w:val="00F17ECE"/>
    <w:rsid w:val="00F2059E"/>
    <w:rsid w:val="00F208DB"/>
    <w:rsid w:val="00F20DA8"/>
    <w:rsid w:val="00F218F7"/>
    <w:rsid w:val="00F21CCA"/>
    <w:rsid w:val="00F21D1C"/>
    <w:rsid w:val="00F2261A"/>
    <w:rsid w:val="00F22647"/>
    <w:rsid w:val="00F2288F"/>
    <w:rsid w:val="00F22A3A"/>
    <w:rsid w:val="00F22EA1"/>
    <w:rsid w:val="00F23205"/>
    <w:rsid w:val="00F23923"/>
    <w:rsid w:val="00F239AA"/>
    <w:rsid w:val="00F23D84"/>
    <w:rsid w:val="00F23F69"/>
    <w:rsid w:val="00F23FFE"/>
    <w:rsid w:val="00F2442B"/>
    <w:rsid w:val="00F24579"/>
    <w:rsid w:val="00F24A81"/>
    <w:rsid w:val="00F24C66"/>
    <w:rsid w:val="00F24E77"/>
    <w:rsid w:val="00F251FA"/>
    <w:rsid w:val="00F25380"/>
    <w:rsid w:val="00F25624"/>
    <w:rsid w:val="00F2577D"/>
    <w:rsid w:val="00F258B1"/>
    <w:rsid w:val="00F25D8E"/>
    <w:rsid w:val="00F25DB1"/>
    <w:rsid w:val="00F260DB"/>
    <w:rsid w:val="00F26263"/>
    <w:rsid w:val="00F26868"/>
    <w:rsid w:val="00F26A1C"/>
    <w:rsid w:val="00F26D88"/>
    <w:rsid w:val="00F26E87"/>
    <w:rsid w:val="00F26F32"/>
    <w:rsid w:val="00F2705D"/>
    <w:rsid w:val="00F27BB0"/>
    <w:rsid w:val="00F3000F"/>
    <w:rsid w:val="00F30264"/>
    <w:rsid w:val="00F30439"/>
    <w:rsid w:val="00F30457"/>
    <w:rsid w:val="00F30477"/>
    <w:rsid w:val="00F306A9"/>
    <w:rsid w:val="00F30BC2"/>
    <w:rsid w:val="00F30BEC"/>
    <w:rsid w:val="00F3135C"/>
    <w:rsid w:val="00F31BC0"/>
    <w:rsid w:val="00F31E73"/>
    <w:rsid w:val="00F31FAF"/>
    <w:rsid w:val="00F327B7"/>
    <w:rsid w:val="00F32ADA"/>
    <w:rsid w:val="00F32C5B"/>
    <w:rsid w:val="00F32CA4"/>
    <w:rsid w:val="00F32D33"/>
    <w:rsid w:val="00F32D43"/>
    <w:rsid w:val="00F32F02"/>
    <w:rsid w:val="00F331C8"/>
    <w:rsid w:val="00F33202"/>
    <w:rsid w:val="00F332CF"/>
    <w:rsid w:val="00F333E6"/>
    <w:rsid w:val="00F3343F"/>
    <w:rsid w:val="00F334F8"/>
    <w:rsid w:val="00F33DE1"/>
    <w:rsid w:val="00F33DE5"/>
    <w:rsid w:val="00F33F90"/>
    <w:rsid w:val="00F33FBF"/>
    <w:rsid w:val="00F343FD"/>
    <w:rsid w:val="00F34BFA"/>
    <w:rsid w:val="00F35014"/>
    <w:rsid w:val="00F3523A"/>
    <w:rsid w:val="00F352BE"/>
    <w:rsid w:val="00F35F28"/>
    <w:rsid w:val="00F36266"/>
    <w:rsid w:val="00F36A3C"/>
    <w:rsid w:val="00F36E5F"/>
    <w:rsid w:val="00F37495"/>
    <w:rsid w:val="00F3750A"/>
    <w:rsid w:val="00F37916"/>
    <w:rsid w:val="00F3794F"/>
    <w:rsid w:val="00F37BC7"/>
    <w:rsid w:val="00F37CE1"/>
    <w:rsid w:val="00F4037A"/>
    <w:rsid w:val="00F415D1"/>
    <w:rsid w:val="00F41873"/>
    <w:rsid w:val="00F41FFC"/>
    <w:rsid w:val="00F4229B"/>
    <w:rsid w:val="00F42323"/>
    <w:rsid w:val="00F42432"/>
    <w:rsid w:val="00F42679"/>
    <w:rsid w:val="00F426E7"/>
    <w:rsid w:val="00F42735"/>
    <w:rsid w:val="00F4294C"/>
    <w:rsid w:val="00F42C3D"/>
    <w:rsid w:val="00F42DAE"/>
    <w:rsid w:val="00F43252"/>
    <w:rsid w:val="00F43351"/>
    <w:rsid w:val="00F433DF"/>
    <w:rsid w:val="00F4347C"/>
    <w:rsid w:val="00F437FD"/>
    <w:rsid w:val="00F43AEB"/>
    <w:rsid w:val="00F43D5C"/>
    <w:rsid w:val="00F4445F"/>
    <w:rsid w:val="00F4469C"/>
    <w:rsid w:val="00F449BD"/>
    <w:rsid w:val="00F44CD4"/>
    <w:rsid w:val="00F4587B"/>
    <w:rsid w:val="00F460F9"/>
    <w:rsid w:val="00F46201"/>
    <w:rsid w:val="00F46902"/>
    <w:rsid w:val="00F46C6D"/>
    <w:rsid w:val="00F46D2F"/>
    <w:rsid w:val="00F47979"/>
    <w:rsid w:val="00F47B3D"/>
    <w:rsid w:val="00F47B9E"/>
    <w:rsid w:val="00F47C2E"/>
    <w:rsid w:val="00F47DA0"/>
    <w:rsid w:val="00F50160"/>
    <w:rsid w:val="00F50DDA"/>
    <w:rsid w:val="00F5121B"/>
    <w:rsid w:val="00F512A9"/>
    <w:rsid w:val="00F5175A"/>
    <w:rsid w:val="00F51A83"/>
    <w:rsid w:val="00F51EF6"/>
    <w:rsid w:val="00F51F8F"/>
    <w:rsid w:val="00F5228C"/>
    <w:rsid w:val="00F52977"/>
    <w:rsid w:val="00F52BBF"/>
    <w:rsid w:val="00F531E3"/>
    <w:rsid w:val="00F5331D"/>
    <w:rsid w:val="00F5349B"/>
    <w:rsid w:val="00F5371E"/>
    <w:rsid w:val="00F53906"/>
    <w:rsid w:val="00F53AF3"/>
    <w:rsid w:val="00F53DAA"/>
    <w:rsid w:val="00F53FB6"/>
    <w:rsid w:val="00F54405"/>
    <w:rsid w:val="00F5443F"/>
    <w:rsid w:val="00F54517"/>
    <w:rsid w:val="00F54B73"/>
    <w:rsid w:val="00F54EE8"/>
    <w:rsid w:val="00F54F5A"/>
    <w:rsid w:val="00F55003"/>
    <w:rsid w:val="00F55957"/>
    <w:rsid w:val="00F56392"/>
    <w:rsid w:val="00F569A4"/>
    <w:rsid w:val="00F56A20"/>
    <w:rsid w:val="00F56C39"/>
    <w:rsid w:val="00F56DC5"/>
    <w:rsid w:val="00F56ED6"/>
    <w:rsid w:val="00F572E0"/>
    <w:rsid w:val="00F575BC"/>
    <w:rsid w:val="00F575F1"/>
    <w:rsid w:val="00F57A82"/>
    <w:rsid w:val="00F57B0A"/>
    <w:rsid w:val="00F60319"/>
    <w:rsid w:val="00F6098A"/>
    <w:rsid w:val="00F60ABE"/>
    <w:rsid w:val="00F60B6D"/>
    <w:rsid w:val="00F611B4"/>
    <w:rsid w:val="00F614D9"/>
    <w:rsid w:val="00F61CD5"/>
    <w:rsid w:val="00F61D86"/>
    <w:rsid w:val="00F623D6"/>
    <w:rsid w:val="00F626EE"/>
    <w:rsid w:val="00F62837"/>
    <w:rsid w:val="00F629BF"/>
    <w:rsid w:val="00F62A68"/>
    <w:rsid w:val="00F62BB3"/>
    <w:rsid w:val="00F63475"/>
    <w:rsid w:val="00F6357B"/>
    <w:rsid w:val="00F6367A"/>
    <w:rsid w:val="00F63BAB"/>
    <w:rsid w:val="00F63FC1"/>
    <w:rsid w:val="00F64427"/>
    <w:rsid w:val="00F64D52"/>
    <w:rsid w:val="00F650EA"/>
    <w:rsid w:val="00F6532F"/>
    <w:rsid w:val="00F65330"/>
    <w:rsid w:val="00F656C5"/>
    <w:rsid w:val="00F658A5"/>
    <w:rsid w:val="00F65BE7"/>
    <w:rsid w:val="00F65C42"/>
    <w:rsid w:val="00F66828"/>
    <w:rsid w:val="00F6683E"/>
    <w:rsid w:val="00F66AC9"/>
    <w:rsid w:val="00F67351"/>
    <w:rsid w:val="00F676F2"/>
    <w:rsid w:val="00F67A9A"/>
    <w:rsid w:val="00F67B62"/>
    <w:rsid w:val="00F70142"/>
    <w:rsid w:val="00F703F8"/>
    <w:rsid w:val="00F7043F"/>
    <w:rsid w:val="00F70841"/>
    <w:rsid w:val="00F70B3B"/>
    <w:rsid w:val="00F70CB4"/>
    <w:rsid w:val="00F70F59"/>
    <w:rsid w:val="00F70F5B"/>
    <w:rsid w:val="00F70FDC"/>
    <w:rsid w:val="00F7105F"/>
    <w:rsid w:val="00F711CA"/>
    <w:rsid w:val="00F713BA"/>
    <w:rsid w:val="00F713DE"/>
    <w:rsid w:val="00F7144F"/>
    <w:rsid w:val="00F71498"/>
    <w:rsid w:val="00F71501"/>
    <w:rsid w:val="00F7162A"/>
    <w:rsid w:val="00F717E4"/>
    <w:rsid w:val="00F717EE"/>
    <w:rsid w:val="00F71964"/>
    <w:rsid w:val="00F71B4E"/>
    <w:rsid w:val="00F71E7F"/>
    <w:rsid w:val="00F722EB"/>
    <w:rsid w:val="00F7239E"/>
    <w:rsid w:val="00F725C9"/>
    <w:rsid w:val="00F72690"/>
    <w:rsid w:val="00F72879"/>
    <w:rsid w:val="00F72A27"/>
    <w:rsid w:val="00F72BF4"/>
    <w:rsid w:val="00F733BD"/>
    <w:rsid w:val="00F73941"/>
    <w:rsid w:val="00F74114"/>
    <w:rsid w:val="00F746E5"/>
    <w:rsid w:val="00F74AB0"/>
    <w:rsid w:val="00F74E2E"/>
    <w:rsid w:val="00F74E78"/>
    <w:rsid w:val="00F74EC9"/>
    <w:rsid w:val="00F75490"/>
    <w:rsid w:val="00F755D3"/>
    <w:rsid w:val="00F75DC9"/>
    <w:rsid w:val="00F75FAD"/>
    <w:rsid w:val="00F76492"/>
    <w:rsid w:val="00F765F0"/>
    <w:rsid w:val="00F767EC"/>
    <w:rsid w:val="00F768C4"/>
    <w:rsid w:val="00F76A5C"/>
    <w:rsid w:val="00F76B2F"/>
    <w:rsid w:val="00F77028"/>
    <w:rsid w:val="00F770DC"/>
    <w:rsid w:val="00F77271"/>
    <w:rsid w:val="00F77C32"/>
    <w:rsid w:val="00F77C48"/>
    <w:rsid w:val="00F803C8"/>
    <w:rsid w:val="00F80DC5"/>
    <w:rsid w:val="00F80E0A"/>
    <w:rsid w:val="00F80F1D"/>
    <w:rsid w:val="00F8140B"/>
    <w:rsid w:val="00F8151C"/>
    <w:rsid w:val="00F81554"/>
    <w:rsid w:val="00F8158F"/>
    <w:rsid w:val="00F815AB"/>
    <w:rsid w:val="00F81A7B"/>
    <w:rsid w:val="00F81B2B"/>
    <w:rsid w:val="00F8241C"/>
    <w:rsid w:val="00F825AA"/>
    <w:rsid w:val="00F82924"/>
    <w:rsid w:val="00F82931"/>
    <w:rsid w:val="00F82B3C"/>
    <w:rsid w:val="00F82F98"/>
    <w:rsid w:val="00F836BD"/>
    <w:rsid w:val="00F83AFE"/>
    <w:rsid w:val="00F83B05"/>
    <w:rsid w:val="00F83EDD"/>
    <w:rsid w:val="00F83F1D"/>
    <w:rsid w:val="00F8434C"/>
    <w:rsid w:val="00F84D82"/>
    <w:rsid w:val="00F84E5C"/>
    <w:rsid w:val="00F84E7F"/>
    <w:rsid w:val="00F84EEB"/>
    <w:rsid w:val="00F84FD0"/>
    <w:rsid w:val="00F852A5"/>
    <w:rsid w:val="00F85AF8"/>
    <w:rsid w:val="00F85C97"/>
    <w:rsid w:val="00F85DFD"/>
    <w:rsid w:val="00F85E66"/>
    <w:rsid w:val="00F86210"/>
    <w:rsid w:val="00F86692"/>
    <w:rsid w:val="00F87488"/>
    <w:rsid w:val="00F87BF3"/>
    <w:rsid w:val="00F9003D"/>
    <w:rsid w:val="00F90BE0"/>
    <w:rsid w:val="00F90BF4"/>
    <w:rsid w:val="00F90E0A"/>
    <w:rsid w:val="00F90F81"/>
    <w:rsid w:val="00F917D6"/>
    <w:rsid w:val="00F91AC4"/>
    <w:rsid w:val="00F91ACC"/>
    <w:rsid w:val="00F91B42"/>
    <w:rsid w:val="00F91BCC"/>
    <w:rsid w:val="00F91BF5"/>
    <w:rsid w:val="00F91C53"/>
    <w:rsid w:val="00F91DF6"/>
    <w:rsid w:val="00F9245A"/>
    <w:rsid w:val="00F92517"/>
    <w:rsid w:val="00F9292F"/>
    <w:rsid w:val="00F92F34"/>
    <w:rsid w:val="00F931D6"/>
    <w:rsid w:val="00F933C7"/>
    <w:rsid w:val="00F93404"/>
    <w:rsid w:val="00F9364F"/>
    <w:rsid w:val="00F93B3B"/>
    <w:rsid w:val="00F93D0C"/>
    <w:rsid w:val="00F93FD1"/>
    <w:rsid w:val="00F94172"/>
    <w:rsid w:val="00F9441F"/>
    <w:rsid w:val="00F94AF3"/>
    <w:rsid w:val="00F94DDF"/>
    <w:rsid w:val="00F95AE7"/>
    <w:rsid w:val="00F96008"/>
    <w:rsid w:val="00F96010"/>
    <w:rsid w:val="00F963F5"/>
    <w:rsid w:val="00F96B9F"/>
    <w:rsid w:val="00F970AE"/>
    <w:rsid w:val="00F9753A"/>
    <w:rsid w:val="00F97AEC"/>
    <w:rsid w:val="00FA064C"/>
    <w:rsid w:val="00FA09B3"/>
    <w:rsid w:val="00FA0A48"/>
    <w:rsid w:val="00FA0C92"/>
    <w:rsid w:val="00FA0FC4"/>
    <w:rsid w:val="00FA11C9"/>
    <w:rsid w:val="00FA125E"/>
    <w:rsid w:val="00FA1D08"/>
    <w:rsid w:val="00FA1D97"/>
    <w:rsid w:val="00FA1DD8"/>
    <w:rsid w:val="00FA2285"/>
    <w:rsid w:val="00FA24D8"/>
    <w:rsid w:val="00FA278E"/>
    <w:rsid w:val="00FA27EF"/>
    <w:rsid w:val="00FA2D94"/>
    <w:rsid w:val="00FA3286"/>
    <w:rsid w:val="00FA349C"/>
    <w:rsid w:val="00FA3A29"/>
    <w:rsid w:val="00FA3C0C"/>
    <w:rsid w:val="00FA431A"/>
    <w:rsid w:val="00FA463C"/>
    <w:rsid w:val="00FA4B9F"/>
    <w:rsid w:val="00FA4BA1"/>
    <w:rsid w:val="00FA4C77"/>
    <w:rsid w:val="00FA522D"/>
    <w:rsid w:val="00FA57B6"/>
    <w:rsid w:val="00FA5833"/>
    <w:rsid w:val="00FA5A60"/>
    <w:rsid w:val="00FA5B56"/>
    <w:rsid w:val="00FA5B84"/>
    <w:rsid w:val="00FA5E06"/>
    <w:rsid w:val="00FA5EE3"/>
    <w:rsid w:val="00FA609E"/>
    <w:rsid w:val="00FA60BF"/>
    <w:rsid w:val="00FA6C51"/>
    <w:rsid w:val="00FA6C68"/>
    <w:rsid w:val="00FA6D47"/>
    <w:rsid w:val="00FA740D"/>
    <w:rsid w:val="00FA7432"/>
    <w:rsid w:val="00FA77A9"/>
    <w:rsid w:val="00FA7C54"/>
    <w:rsid w:val="00FB030F"/>
    <w:rsid w:val="00FB0315"/>
    <w:rsid w:val="00FB0748"/>
    <w:rsid w:val="00FB09A6"/>
    <w:rsid w:val="00FB0B52"/>
    <w:rsid w:val="00FB102B"/>
    <w:rsid w:val="00FB1223"/>
    <w:rsid w:val="00FB1F71"/>
    <w:rsid w:val="00FB2E85"/>
    <w:rsid w:val="00FB2FF1"/>
    <w:rsid w:val="00FB308B"/>
    <w:rsid w:val="00FB3157"/>
    <w:rsid w:val="00FB31E5"/>
    <w:rsid w:val="00FB34DE"/>
    <w:rsid w:val="00FB3A41"/>
    <w:rsid w:val="00FB4030"/>
    <w:rsid w:val="00FB478C"/>
    <w:rsid w:val="00FB533E"/>
    <w:rsid w:val="00FB5657"/>
    <w:rsid w:val="00FB59EB"/>
    <w:rsid w:val="00FB5A1B"/>
    <w:rsid w:val="00FB5BF7"/>
    <w:rsid w:val="00FB5D1F"/>
    <w:rsid w:val="00FB60A5"/>
    <w:rsid w:val="00FB6110"/>
    <w:rsid w:val="00FB65E1"/>
    <w:rsid w:val="00FB66A4"/>
    <w:rsid w:val="00FB6861"/>
    <w:rsid w:val="00FB6C77"/>
    <w:rsid w:val="00FB6C7B"/>
    <w:rsid w:val="00FB7027"/>
    <w:rsid w:val="00FB7173"/>
    <w:rsid w:val="00FB7250"/>
    <w:rsid w:val="00FB7412"/>
    <w:rsid w:val="00FB747D"/>
    <w:rsid w:val="00FB74DC"/>
    <w:rsid w:val="00FB75BC"/>
    <w:rsid w:val="00FB7C94"/>
    <w:rsid w:val="00FB7DFA"/>
    <w:rsid w:val="00FC00AC"/>
    <w:rsid w:val="00FC04BE"/>
    <w:rsid w:val="00FC09DE"/>
    <w:rsid w:val="00FC0AB2"/>
    <w:rsid w:val="00FC0B06"/>
    <w:rsid w:val="00FC14BE"/>
    <w:rsid w:val="00FC1582"/>
    <w:rsid w:val="00FC1740"/>
    <w:rsid w:val="00FC18AC"/>
    <w:rsid w:val="00FC19EC"/>
    <w:rsid w:val="00FC1B16"/>
    <w:rsid w:val="00FC1D48"/>
    <w:rsid w:val="00FC2136"/>
    <w:rsid w:val="00FC23E4"/>
    <w:rsid w:val="00FC25FE"/>
    <w:rsid w:val="00FC2939"/>
    <w:rsid w:val="00FC2C0C"/>
    <w:rsid w:val="00FC2EA8"/>
    <w:rsid w:val="00FC3279"/>
    <w:rsid w:val="00FC3868"/>
    <w:rsid w:val="00FC3DF1"/>
    <w:rsid w:val="00FC40F8"/>
    <w:rsid w:val="00FC4274"/>
    <w:rsid w:val="00FC4345"/>
    <w:rsid w:val="00FC44F0"/>
    <w:rsid w:val="00FC4900"/>
    <w:rsid w:val="00FC5167"/>
    <w:rsid w:val="00FC52C9"/>
    <w:rsid w:val="00FC5334"/>
    <w:rsid w:val="00FC5597"/>
    <w:rsid w:val="00FC585B"/>
    <w:rsid w:val="00FC5B63"/>
    <w:rsid w:val="00FC5DBC"/>
    <w:rsid w:val="00FC679E"/>
    <w:rsid w:val="00FC6C5D"/>
    <w:rsid w:val="00FC6F23"/>
    <w:rsid w:val="00FC717A"/>
    <w:rsid w:val="00FC78FD"/>
    <w:rsid w:val="00FC796E"/>
    <w:rsid w:val="00FC7C93"/>
    <w:rsid w:val="00FD005E"/>
    <w:rsid w:val="00FD028E"/>
    <w:rsid w:val="00FD02C8"/>
    <w:rsid w:val="00FD0389"/>
    <w:rsid w:val="00FD073D"/>
    <w:rsid w:val="00FD09C0"/>
    <w:rsid w:val="00FD09EA"/>
    <w:rsid w:val="00FD1260"/>
    <w:rsid w:val="00FD1297"/>
    <w:rsid w:val="00FD181A"/>
    <w:rsid w:val="00FD1AB9"/>
    <w:rsid w:val="00FD1C7A"/>
    <w:rsid w:val="00FD1CA2"/>
    <w:rsid w:val="00FD1F0B"/>
    <w:rsid w:val="00FD2BA7"/>
    <w:rsid w:val="00FD2BEE"/>
    <w:rsid w:val="00FD2D55"/>
    <w:rsid w:val="00FD2E02"/>
    <w:rsid w:val="00FD2F24"/>
    <w:rsid w:val="00FD2F31"/>
    <w:rsid w:val="00FD35A0"/>
    <w:rsid w:val="00FD382F"/>
    <w:rsid w:val="00FD3C01"/>
    <w:rsid w:val="00FD4124"/>
    <w:rsid w:val="00FD42D4"/>
    <w:rsid w:val="00FD47D3"/>
    <w:rsid w:val="00FD5327"/>
    <w:rsid w:val="00FD574E"/>
    <w:rsid w:val="00FD58B6"/>
    <w:rsid w:val="00FD5F1C"/>
    <w:rsid w:val="00FD6317"/>
    <w:rsid w:val="00FD6758"/>
    <w:rsid w:val="00FD6B8E"/>
    <w:rsid w:val="00FD6CA8"/>
    <w:rsid w:val="00FD6F47"/>
    <w:rsid w:val="00FD6FBC"/>
    <w:rsid w:val="00FD7161"/>
    <w:rsid w:val="00FD72EF"/>
    <w:rsid w:val="00FD7D53"/>
    <w:rsid w:val="00FD7EB4"/>
    <w:rsid w:val="00FE0139"/>
    <w:rsid w:val="00FE01AA"/>
    <w:rsid w:val="00FE0477"/>
    <w:rsid w:val="00FE05FF"/>
    <w:rsid w:val="00FE0619"/>
    <w:rsid w:val="00FE0763"/>
    <w:rsid w:val="00FE118F"/>
    <w:rsid w:val="00FE1671"/>
    <w:rsid w:val="00FE1895"/>
    <w:rsid w:val="00FE284E"/>
    <w:rsid w:val="00FE28AA"/>
    <w:rsid w:val="00FE29D3"/>
    <w:rsid w:val="00FE2B59"/>
    <w:rsid w:val="00FE2BC0"/>
    <w:rsid w:val="00FE3574"/>
    <w:rsid w:val="00FE449F"/>
    <w:rsid w:val="00FE47AA"/>
    <w:rsid w:val="00FE4D50"/>
    <w:rsid w:val="00FE4D5C"/>
    <w:rsid w:val="00FE4DE5"/>
    <w:rsid w:val="00FE5091"/>
    <w:rsid w:val="00FE5241"/>
    <w:rsid w:val="00FE5526"/>
    <w:rsid w:val="00FE597B"/>
    <w:rsid w:val="00FE59BE"/>
    <w:rsid w:val="00FE5B7E"/>
    <w:rsid w:val="00FE5DA3"/>
    <w:rsid w:val="00FE5DA9"/>
    <w:rsid w:val="00FE5E6C"/>
    <w:rsid w:val="00FE5E93"/>
    <w:rsid w:val="00FE61D7"/>
    <w:rsid w:val="00FE6208"/>
    <w:rsid w:val="00FE63C2"/>
    <w:rsid w:val="00FE6789"/>
    <w:rsid w:val="00FE6A2B"/>
    <w:rsid w:val="00FE6E52"/>
    <w:rsid w:val="00FE740B"/>
    <w:rsid w:val="00FE7747"/>
    <w:rsid w:val="00FE78FE"/>
    <w:rsid w:val="00FE79BF"/>
    <w:rsid w:val="00FE7A58"/>
    <w:rsid w:val="00FE7D31"/>
    <w:rsid w:val="00FE7FA4"/>
    <w:rsid w:val="00FF0048"/>
    <w:rsid w:val="00FF014F"/>
    <w:rsid w:val="00FF04D7"/>
    <w:rsid w:val="00FF0878"/>
    <w:rsid w:val="00FF0E3E"/>
    <w:rsid w:val="00FF0E4E"/>
    <w:rsid w:val="00FF1084"/>
    <w:rsid w:val="00FF111A"/>
    <w:rsid w:val="00FF14A9"/>
    <w:rsid w:val="00FF16EE"/>
    <w:rsid w:val="00FF1ADC"/>
    <w:rsid w:val="00FF1FE8"/>
    <w:rsid w:val="00FF2034"/>
    <w:rsid w:val="00FF25F3"/>
    <w:rsid w:val="00FF2707"/>
    <w:rsid w:val="00FF27C4"/>
    <w:rsid w:val="00FF27EC"/>
    <w:rsid w:val="00FF2879"/>
    <w:rsid w:val="00FF2B9C"/>
    <w:rsid w:val="00FF3698"/>
    <w:rsid w:val="00FF3A1F"/>
    <w:rsid w:val="00FF3F5D"/>
    <w:rsid w:val="00FF4903"/>
    <w:rsid w:val="00FF4A29"/>
    <w:rsid w:val="00FF5069"/>
    <w:rsid w:val="00FF5AAA"/>
    <w:rsid w:val="00FF5D5E"/>
    <w:rsid w:val="00FF5FB5"/>
    <w:rsid w:val="00FF60CF"/>
    <w:rsid w:val="00FF6271"/>
    <w:rsid w:val="00FF638E"/>
    <w:rsid w:val="00FF664E"/>
    <w:rsid w:val="00FF720F"/>
    <w:rsid w:val="00FF7228"/>
    <w:rsid w:val="00FF78E0"/>
    <w:rsid w:val="00FF7EE8"/>
    <w:rsid w:val="01D2D178"/>
    <w:rsid w:val="0206B2CF"/>
    <w:rsid w:val="0232B77A"/>
    <w:rsid w:val="025E8C94"/>
    <w:rsid w:val="02DEEF44"/>
    <w:rsid w:val="02E05582"/>
    <w:rsid w:val="0345E54B"/>
    <w:rsid w:val="038E22DC"/>
    <w:rsid w:val="03C91A44"/>
    <w:rsid w:val="0405A2AF"/>
    <w:rsid w:val="041255E2"/>
    <w:rsid w:val="043A4253"/>
    <w:rsid w:val="044A5F48"/>
    <w:rsid w:val="045072B3"/>
    <w:rsid w:val="04656BA2"/>
    <w:rsid w:val="047BF389"/>
    <w:rsid w:val="04A41815"/>
    <w:rsid w:val="04A70999"/>
    <w:rsid w:val="04BEE461"/>
    <w:rsid w:val="0520A3A3"/>
    <w:rsid w:val="0541E17E"/>
    <w:rsid w:val="059808F9"/>
    <w:rsid w:val="05A37909"/>
    <w:rsid w:val="05A94233"/>
    <w:rsid w:val="05BBD4D1"/>
    <w:rsid w:val="05EF453A"/>
    <w:rsid w:val="0624F0B1"/>
    <w:rsid w:val="066C7FD4"/>
    <w:rsid w:val="06985F0E"/>
    <w:rsid w:val="069A19C6"/>
    <w:rsid w:val="069BDC6E"/>
    <w:rsid w:val="06EDEF89"/>
    <w:rsid w:val="070DF2BD"/>
    <w:rsid w:val="07450F11"/>
    <w:rsid w:val="0754275B"/>
    <w:rsid w:val="0794837B"/>
    <w:rsid w:val="07B8622E"/>
    <w:rsid w:val="081B0167"/>
    <w:rsid w:val="0823ACC0"/>
    <w:rsid w:val="0838989B"/>
    <w:rsid w:val="0856C7C3"/>
    <w:rsid w:val="085FF24D"/>
    <w:rsid w:val="0883D263"/>
    <w:rsid w:val="08B833A5"/>
    <w:rsid w:val="08CF7F32"/>
    <w:rsid w:val="08D10826"/>
    <w:rsid w:val="08E47302"/>
    <w:rsid w:val="08F01C4A"/>
    <w:rsid w:val="0902F18C"/>
    <w:rsid w:val="0957B0CC"/>
    <w:rsid w:val="09660C6F"/>
    <w:rsid w:val="0993B6B0"/>
    <w:rsid w:val="09C20173"/>
    <w:rsid w:val="09C690EC"/>
    <w:rsid w:val="09D0014E"/>
    <w:rsid w:val="09D0D04A"/>
    <w:rsid w:val="0A1498BD"/>
    <w:rsid w:val="0A21706C"/>
    <w:rsid w:val="0A459FB9"/>
    <w:rsid w:val="0A5979AF"/>
    <w:rsid w:val="0A77E8E4"/>
    <w:rsid w:val="0A7FFFB4"/>
    <w:rsid w:val="0A95E240"/>
    <w:rsid w:val="0AE3B76B"/>
    <w:rsid w:val="0AE90D1F"/>
    <w:rsid w:val="0B3B7CD8"/>
    <w:rsid w:val="0B76471C"/>
    <w:rsid w:val="0B9EF3DB"/>
    <w:rsid w:val="0BA558D4"/>
    <w:rsid w:val="0BB5200E"/>
    <w:rsid w:val="0BC49903"/>
    <w:rsid w:val="0BCAC12D"/>
    <w:rsid w:val="0C1969B6"/>
    <w:rsid w:val="0C1D0E94"/>
    <w:rsid w:val="0C684691"/>
    <w:rsid w:val="0C79C71B"/>
    <w:rsid w:val="0CA55DD2"/>
    <w:rsid w:val="0CA5A2A1"/>
    <w:rsid w:val="0CC387C8"/>
    <w:rsid w:val="0D82E7E4"/>
    <w:rsid w:val="0DB3B601"/>
    <w:rsid w:val="0DB458CB"/>
    <w:rsid w:val="0E9B267A"/>
    <w:rsid w:val="0EAF1999"/>
    <w:rsid w:val="0EB61D1F"/>
    <w:rsid w:val="0EB75060"/>
    <w:rsid w:val="0EC1EAB8"/>
    <w:rsid w:val="0EE36503"/>
    <w:rsid w:val="0EEBD8A5"/>
    <w:rsid w:val="0EEC6F7C"/>
    <w:rsid w:val="0F0E2716"/>
    <w:rsid w:val="0F55E9E7"/>
    <w:rsid w:val="0F59B575"/>
    <w:rsid w:val="0FAD5304"/>
    <w:rsid w:val="0FBA9296"/>
    <w:rsid w:val="0FD85A8A"/>
    <w:rsid w:val="0FE5C5F3"/>
    <w:rsid w:val="1001AE91"/>
    <w:rsid w:val="10183B79"/>
    <w:rsid w:val="104A79C2"/>
    <w:rsid w:val="105053DB"/>
    <w:rsid w:val="1084664D"/>
    <w:rsid w:val="109CB2B2"/>
    <w:rsid w:val="10BFFBEE"/>
    <w:rsid w:val="10D1A22A"/>
    <w:rsid w:val="10E328BB"/>
    <w:rsid w:val="10F15A46"/>
    <w:rsid w:val="10F6DCA6"/>
    <w:rsid w:val="11274285"/>
    <w:rsid w:val="115EAD93"/>
    <w:rsid w:val="1160FC54"/>
    <w:rsid w:val="116337FC"/>
    <w:rsid w:val="11944BA6"/>
    <w:rsid w:val="119ECDBE"/>
    <w:rsid w:val="12187DC8"/>
    <w:rsid w:val="12669A4D"/>
    <w:rsid w:val="127ED333"/>
    <w:rsid w:val="128D3563"/>
    <w:rsid w:val="129AD2B8"/>
    <w:rsid w:val="12AFB20F"/>
    <w:rsid w:val="12B67968"/>
    <w:rsid w:val="12C7640E"/>
    <w:rsid w:val="12D18894"/>
    <w:rsid w:val="12D8EFFD"/>
    <w:rsid w:val="13285D72"/>
    <w:rsid w:val="13302E5A"/>
    <w:rsid w:val="13449533"/>
    <w:rsid w:val="138489B6"/>
    <w:rsid w:val="13EFC664"/>
    <w:rsid w:val="14156DC2"/>
    <w:rsid w:val="14390691"/>
    <w:rsid w:val="146D9B93"/>
    <w:rsid w:val="14797ECD"/>
    <w:rsid w:val="1493A363"/>
    <w:rsid w:val="14A9A043"/>
    <w:rsid w:val="14E02639"/>
    <w:rsid w:val="14FD1064"/>
    <w:rsid w:val="151071F1"/>
    <w:rsid w:val="152412E2"/>
    <w:rsid w:val="1527CFF8"/>
    <w:rsid w:val="15A47F98"/>
    <w:rsid w:val="15A82C46"/>
    <w:rsid w:val="16001790"/>
    <w:rsid w:val="165D03F5"/>
    <w:rsid w:val="167173D3"/>
    <w:rsid w:val="16AAB6AC"/>
    <w:rsid w:val="16B2ECCE"/>
    <w:rsid w:val="1706B0A8"/>
    <w:rsid w:val="171D8228"/>
    <w:rsid w:val="1724C962"/>
    <w:rsid w:val="172A102B"/>
    <w:rsid w:val="1747739B"/>
    <w:rsid w:val="1760FF58"/>
    <w:rsid w:val="17929939"/>
    <w:rsid w:val="17AFD6DA"/>
    <w:rsid w:val="17BE616E"/>
    <w:rsid w:val="17C5CC4F"/>
    <w:rsid w:val="17E5D551"/>
    <w:rsid w:val="17E92752"/>
    <w:rsid w:val="185CE0A0"/>
    <w:rsid w:val="18A81E5C"/>
    <w:rsid w:val="18F6D5B3"/>
    <w:rsid w:val="1951F599"/>
    <w:rsid w:val="197F8611"/>
    <w:rsid w:val="19ECD125"/>
    <w:rsid w:val="19F675B2"/>
    <w:rsid w:val="1A15C512"/>
    <w:rsid w:val="1A2DF908"/>
    <w:rsid w:val="1A3DCB06"/>
    <w:rsid w:val="1A84159F"/>
    <w:rsid w:val="1A86ADB6"/>
    <w:rsid w:val="1A946C4F"/>
    <w:rsid w:val="1AB09AEC"/>
    <w:rsid w:val="1AFDE0ED"/>
    <w:rsid w:val="1B4056DC"/>
    <w:rsid w:val="1B61BBB0"/>
    <w:rsid w:val="1B798741"/>
    <w:rsid w:val="1B8CAF1A"/>
    <w:rsid w:val="1B8D9055"/>
    <w:rsid w:val="1B99B08E"/>
    <w:rsid w:val="1C4788A3"/>
    <w:rsid w:val="1C83917E"/>
    <w:rsid w:val="1CD775E6"/>
    <w:rsid w:val="1CF76D56"/>
    <w:rsid w:val="1D5635F6"/>
    <w:rsid w:val="1D778F44"/>
    <w:rsid w:val="1D8335AD"/>
    <w:rsid w:val="1D91A6F2"/>
    <w:rsid w:val="1D9CBCBF"/>
    <w:rsid w:val="1DAF09DD"/>
    <w:rsid w:val="1DBBF3DD"/>
    <w:rsid w:val="1DCE1B68"/>
    <w:rsid w:val="1DDD0A83"/>
    <w:rsid w:val="1DF34100"/>
    <w:rsid w:val="1DF5B0A0"/>
    <w:rsid w:val="1DFFD029"/>
    <w:rsid w:val="1E1FE657"/>
    <w:rsid w:val="1E25BBDE"/>
    <w:rsid w:val="1E2B897E"/>
    <w:rsid w:val="1EA428A1"/>
    <w:rsid w:val="1EB8AF08"/>
    <w:rsid w:val="1ED5F0CD"/>
    <w:rsid w:val="1ED6B024"/>
    <w:rsid w:val="1F32668A"/>
    <w:rsid w:val="1F37291A"/>
    <w:rsid w:val="1F5F5770"/>
    <w:rsid w:val="1FAC0F38"/>
    <w:rsid w:val="1FB6A226"/>
    <w:rsid w:val="200CC57F"/>
    <w:rsid w:val="203023B5"/>
    <w:rsid w:val="20AD0C8A"/>
    <w:rsid w:val="20D14AE0"/>
    <w:rsid w:val="20DDB5EB"/>
    <w:rsid w:val="20F1BB26"/>
    <w:rsid w:val="210974F1"/>
    <w:rsid w:val="21149733"/>
    <w:rsid w:val="21203A54"/>
    <w:rsid w:val="21219F7A"/>
    <w:rsid w:val="216F743F"/>
    <w:rsid w:val="2185FAE6"/>
    <w:rsid w:val="2205D016"/>
    <w:rsid w:val="220C6690"/>
    <w:rsid w:val="22159AF9"/>
    <w:rsid w:val="2265A587"/>
    <w:rsid w:val="22799A95"/>
    <w:rsid w:val="228345B2"/>
    <w:rsid w:val="229747AF"/>
    <w:rsid w:val="229988FD"/>
    <w:rsid w:val="22A5137D"/>
    <w:rsid w:val="22EB6FBB"/>
    <w:rsid w:val="22F491E2"/>
    <w:rsid w:val="23098AC1"/>
    <w:rsid w:val="2370ECBA"/>
    <w:rsid w:val="2382B9DC"/>
    <w:rsid w:val="23BFAA8E"/>
    <w:rsid w:val="23D0AEA6"/>
    <w:rsid w:val="246A7FE9"/>
    <w:rsid w:val="24AE8BB5"/>
    <w:rsid w:val="24E6E943"/>
    <w:rsid w:val="253AF1A6"/>
    <w:rsid w:val="259BDB63"/>
    <w:rsid w:val="25B3D171"/>
    <w:rsid w:val="25BA7041"/>
    <w:rsid w:val="25C2619E"/>
    <w:rsid w:val="25F56702"/>
    <w:rsid w:val="25F67E7A"/>
    <w:rsid w:val="2659FB2F"/>
    <w:rsid w:val="266FE2B4"/>
    <w:rsid w:val="273973A5"/>
    <w:rsid w:val="2748B7C8"/>
    <w:rsid w:val="275965BB"/>
    <w:rsid w:val="2794F95C"/>
    <w:rsid w:val="280DC07C"/>
    <w:rsid w:val="28216A9A"/>
    <w:rsid w:val="285A90D7"/>
    <w:rsid w:val="2868B3AE"/>
    <w:rsid w:val="29E5244F"/>
    <w:rsid w:val="2A113223"/>
    <w:rsid w:val="2A2880AC"/>
    <w:rsid w:val="2A2F5690"/>
    <w:rsid w:val="2A8E5CBE"/>
    <w:rsid w:val="2AE31617"/>
    <w:rsid w:val="2B0AD95C"/>
    <w:rsid w:val="2B2BA341"/>
    <w:rsid w:val="2B4BE8D8"/>
    <w:rsid w:val="2B4DB639"/>
    <w:rsid w:val="2B71C516"/>
    <w:rsid w:val="2C53350D"/>
    <w:rsid w:val="2C6FF9BF"/>
    <w:rsid w:val="2C919DD2"/>
    <w:rsid w:val="2CFCF5E6"/>
    <w:rsid w:val="2D6C73E3"/>
    <w:rsid w:val="2D803F98"/>
    <w:rsid w:val="2D98C706"/>
    <w:rsid w:val="2DA62072"/>
    <w:rsid w:val="2DE7A65A"/>
    <w:rsid w:val="2DE9B3A1"/>
    <w:rsid w:val="2DFEDAE4"/>
    <w:rsid w:val="2E0F5D0E"/>
    <w:rsid w:val="2E474DAB"/>
    <w:rsid w:val="2E4B91DE"/>
    <w:rsid w:val="2E90B483"/>
    <w:rsid w:val="2EC0DA70"/>
    <w:rsid w:val="2F0649C7"/>
    <w:rsid w:val="2F26E633"/>
    <w:rsid w:val="2F31D217"/>
    <w:rsid w:val="2F530C24"/>
    <w:rsid w:val="2F833DE1"/>
    <w:rsid w:val="2FC3177D"/>
    <w:rsid w:val="2FCBA5B7"/>
    <w:rsid w:val="2FDF30F3"/>
    <w:rsid w:val="2FEF4BAB"/>
    <w:rsid w:val="300BFE81"/>
    <w:rsid w:val="30A881C0"/>
    <w:rsid w:val="30AC3DD1"/>
    <w:rsid w:val="30B8C09E"/>
    <w:rsid w:val="30D2BCB8"/>
    <w:rsid w:val="30DDABC2"/>
    <w:rsid w:val="30E0500F"/>
    <w:rsid w:val="3106861B"/>
    <w:rsid w:val="3113E608"/>
    <w:rsid w:val="31598685"/>
    <w:rsid w:val="315B5FAF"/>
    <w:rsid w:val="3191DEC2"/>
    <w:rsid w:val="31927C5D"/>
    <w:rsid w:val="319367E1"/>
    <w:rsid w:val="31D4E101"/>
    <w:rsid w:val="3218B106"/>
    <w:rsid w:val="322A6D3D"/>
    <w:rsid w:val="323199A0"/>
    <w:rsid w:val="325BAE6D"/>
    <w:rsid w:val="3283FE96"/>
    <w:rsid w:val="328B461F"/>
    <w:rsid w:val="32A0C965"/>
    <w:rsid w:val="32A2A69F"/>
    <w:rsid w:val="32A6C9A5"/>
    <w:rsid w:val="32DE8D59"/>
    <w:rsid w:val="32F84441"/>
    <w:rsid w:val="33352B32"/>
    <w:rsid w:val="338568C3"/>
    <w:rsid w:val="338852C4"/>
    <w:rsid w:val="3399E86E"/>
    <w:rsid w:val="339F3E65"/>
    <w:rsid w:val="33FD1652"/>
    <w:rsid w:val="3409CEB1"/>
    <w:rsid w:val="34497914"/>
    <w:rsid w:val="346ED1D5"/>
    <w:rsid w:val="3489623F"/>
    <w:rsid w:val="3494B62A"/>
    <w:rsid w:val="349B8C16"/>
    <w:rsid w:val="34F0FD44"/>
    <w:rsid w:val="352E0AFE"/>
    <w:rsid w:val="356CAE13"/>
    <w:rsid w:val="35801814"/>
    <w:rsid w:val="35898B02"/>
    <w:rsid w:val="35DA5DF1"/>
    <w:rsid w:val="35E232D9"/>
    <w:rsid w:val="363633A8"/>
    <w:rsid w:val="365A42B2"/>
    <w:rsid w:val="36720A54"/>
    <w:rsid w:val="36A81F45"/>
    <w:rsid w:val="36E1BD33"/>
    <w:rsid w:val="36EAE343"/>
    <w:rsid w:val="37011820"/>
    <w:rsid w:val="373F7B9D"/>
    <w:rsid w:val="3762471F"/>
    <w:rsid w:val="37967A4F"/>
    <w:rsid w:val="37CDA167"/>
    <w:rsid w:val="3800713E"/>
    <w:rsid w:val="380A3B0C"/>
    <w:rsid w:val="3812FA50"/>
    <w:rsid w:val="38695BE2"/>
    <w:rsid w:val="389EC144"/>
    <w:rsid w:val="38C7B497"/>
    <w:rsid w:val="38E8295A"/>
    <w:rsid w:val="3930F6D5"/>
    <w:rsid w:val="3970147D"/>
    <w:rsid w:val="399DD486"/>
    <w:rsid w:val="39AE7AC6"/>
    <w:rsid w:val="39D3D914"/>
    <w:rsid w:val="3A14F6F8"/>
    <w:rsid w:val="3A31B8CE"/>
    <w:rsid w:val="3A3609B1"/>
    <w:rsid w:val="3A677547"/>
    <w:rsid w:val="3A7B4F5B"/>
    <w:rsid w:val="3AA198E4"/>
    <w:rsid w:val="3AFBC0E9"/>
    <w:rsid w:val="3B182BE8"/>
    <w:rsid w:val="3B4A4C60"/>
    <w:rsid w:val="3B5185AB"/>
    <w:rsid w:val="3B5632B7"/>
    <w:rsid w:val="3B585FB5"/>
    <w:rsid w:val="3B587B14"/>
    <w:rsid w:val="3B69FFB1"/>
    <w:rsid w:val="3BB5D30F"/>
    <w:rsid w:val="3BB69665"/>
    <w:rsid w:val="3BBAFABF"/>
    <w:rsid w:val="3BC26812"/>
    <w:rsid w:val="3BC69001"/>
    <w:rsid w:val="3BCDEC9A"/>
    <w:rsid w:val="3BD893AE"/>
    <w:rsid w:val="3BEAEB59"/>
    <w:rsid w:val="3BEEB20A"/>
    <w:rsid w:val="3BF4A824"/>
    <w:rsid w:val="3C05C022"/>
    <w:rsid w:val="3C3DB433"/>
    <w:rsid w:val="3C4FA067"/>
    <w:rsid w:val="3C652E27"/>
    <w:rsid w:val="3CBD1DD7"/>
    <w:rsid w:val="3CBD1E74"/>
    <w:rsid w:val="3CE0DFFF"/>
    <w:rsid w:val="3D170FFC"/>
    <w:rsid w:val="3D1D646D"/>
    <w:rsid w:val="3D6F1847"/>
    <w:rsid w:val="3D93D8B8"/>
    <w:rsid w:val="3D97D8E7"/>
    <w:rsid w:val="3D99F797"/>
    <w:rsid w:val="3DA6596B"/>
    <w:rsid w:val="3DD14A26"/>
    <w:rsid w:val="3DF81448"/>
    <w:rsid w:val="3EB68246"/>
    <w:rsid w:val="3EE6958C"/>
    <w:rsid w:val="3EF20B97"/>
    <w:rsid w:val="3EF3E012"/>
    <w:rsid w:val="3EF69C62"/>
    <w:rsid w:val="3F21A00D"/>
    <w:rsid w:val="3F2BBB57"/>
    <w:rsid w:val="3F318BD7"/>
    <w:rsid w:val="3F8F9C3D"/>
    <w:rsid w:val="3FCE7A83"/>
    <w:rsid w:val="3FD121BF"/>
    <w:rsid w:val="3FF74E57"/>
    <w:rsid w:val="40464CFB"/>
    <w:rsid w:val="40524634"/>
    <w:rsid w:val="405CA5C4"/>
    <w:rsid w:val="406C16F3"/>
    <w:rsid w:val="408233E3"/>
    <w:rsid w:val="40913BF8"/>
    <w:rsid w:val="40E556FD"/>
    <w:rsid w:val="40FAB77E"/>
    <w:rsid w:val="413A1168"/>
    <w:rsid w:val="415AC34B"/>
    <w:rsid w:val="415EEBDE"/>
    <w:rsid w:val="416CF0B3"/>
    <w:rsid w:val="41787886"/>
    <w:rsid w:val="41BBD416"/>
    <w:rsid w:val="41F86EC7"/>
    <w:rsid w:val="420A8F22"/>
    <w:rsid w:val="4213C9C8"/>
    <w:rsid w:val="4236B2D3"/>
    <w:rsid w:val="42647249"/>
    <w:rsid w:val="4271BCFD"/>
    <w:rsid w:val="4285FB25"/>
    <w:rsid w:val="428725B7"/>
    <w:rsid w:val="42A3D03B"/>
    <w:rsid w:val="42F6C8D2"/>
    <w:rsid w:val="42FA7238"/>
    <w:rsid w:val="430931EF"/>
    <w:rsid w:val="4359D730"/>
    <w:rsid w:val="4372762D"/>
    <w:rsid w:val="43A88A0A"/>
    <w:rsid w:val="43B636DB"/>
    <w:rsid w:val="43CF24D0"/>
    <w:rsid w:val="43E72851"/>
    <w:rsid w:val="43F6F3C2"/>
    <w:rsid w:val="4408BF0B"/>
    <w:rsid w:val="443DE593"/>
    <w:rsid w:val="44575604"/>
    <w:rsid w:val="445D54F2"/>
    <w:rsid w:val="448FC001"/>
    <w:rsid w:val="4495F0F6"/>
    <w:rsid w:val="459F5D20"/>
    <w:rsid w:val="46192ACC"/>
    <w:rsid w:val="4634F80B"/>
    <w:rsid w:val="46494EE1"/>
    <w:rsid w:val="468E2A9F"/>
    <w:rsid w:val="46CAE06C"/>
    <w:rsid w:val="46D8A4EC"/>
    <w:rsid w:val="4708B2B1"/>
    <w:rsid w:val="47280643"/>
    <w:rsid w:val="47303FC7"/>
    <w:rsid w:val="475E1F82"/>
    <w:rsid w:val="4797CD3A"/>
    <w:rsid w:val="4799ABF2"/>
    <w:rsid w:val="479A2D68"/>
    <w:rsid w:val="47E46AAD"/>
    <w:rsid w:val="47EFF94B"/>
    <w:rsid w:val="47F23FD2"/>
    <w:rsid w:val="4805A9D6"/>
    <w:rsid w:val="48347A15"/>
    <w:rsid w:val="483E3E3C"/>
    <w:rsid w:val="48489A15"/>
    <w:rsid w:val="485125BB"/>
    <w:rsid w:val="4858E089"/>
    <w:rsid w:val="4860BEE5"/>
    <w:rsid w:val="48676514"/>
    <w:rsid w:val="486A22E9"/>
    <w:rsid w:val="4877CDF0"/>
    <w:rsid w:val="48784D39"/>
    <w:rsid w:val="48B61AD0"/>
    <w:rsid w:val="48D42D33"/>
    <w:rsid w:val="48EE90B7"/>
    <w:rsid w:val="49204BD0"/>
    <w:rsid w:val="494A1CDD"/>
    <w:rsid w:val="495CA16B"/>
    <w:rsid w:val="49BCAC16"/>
    <w:rsid w:val="49BD3BB4"/>
    <w:rsid w:val="49C53B1B"/>
    <w:rsid w:val="49CC9459"/>
    <w:rsid w:val="49E6AA4C"/>
    <w:rsid w:val="49E8365C"/>
    <w:rsid w:val="49EF0516"/>
    <w:rsid w:val="49EF88C1"/>
    <w:rsid w:val="49F7BBE5"/>
    <w:rsid w:val="4A12EF53"/>
    <w:rsid w:val="4A21B0C9"/>
    <w:rsid w:val="4A28059A"/>
    <w:rsid w:val="4A356882"/>
    <w:rsid w:val="4A55D330"/>
    <w:rsid w:val="4A5F99E3"/>
    <w:rsid w:val="4A966865"/>
    <w:rsid w:val="4A96CB03"/>
    <w:rsid w:val="4AE7EDC7"/>
    <w:rsid w:val="4B13D557"/>
    <w:rsid w:val="4B3CF248"/>
    <w:rsid w:val="4B51FC7F"/>
    <w:rsid w:val="4B5E8BAB"/>
    <w:rsid w:val="4B61B01F"/>
    <w:rsid w:val="4B69756C"/>
    <w:rsid w:val="4B69D23F"/>
    <w:rsid w:val="4B8C333B"/>
    <w:rsid w:val="4BABB37A"/>
    <w:rsid w:val="4C819F22"/>
    <w:rsid w:val="4CFBF52C"/>
    <w:rsid w:val="4D6A00AA"/>
    <w:rsid w:val="4D87E51C"/>
    <w:rsid w:val="4D8921E3"/>
    <w:rsid w:val="4D945912"/>
    <w:rsid w:val="4DCF83E8"/>
    <w:rsid w:val="4DE6AF20"/>
    <w:rsid w:val="4DFF38B4"/>
    <w:rsid w:val="4E100929"/>
    <w:rsid w:val="4E4D3734"/>
    <w:rsid w:val="4EAA014B"/>
    <w:rsid w:val="4EC0C590"/>
    <w:rsid w:val="4EF4F8BE"/>
    <w:rsid w:val="4F3AE318"/>
    <w:rsid w:val="4F3E4733"/>
    <w:rsid w:val="4F6D98EA"/>
    <w:rsid w:val="4F84700C"/>
    <w:rsid w:val="4F9214D9"/>
    <w:rsid w:val="4FBAA6D4"/>
    <w:rsid w:val="4FCA682D"/>
    <w:rsid w:val="4FCC7B50"/>
    <w:rsid w:val="4FDEF318"/>
    <w:rsid w:val="50148A35"/>
    <w:rsid w:val="502AD63E"/>
    <w:rsid w:val="5052F696"/>
    <w:rsid w:val="5100569E"/>
    <w:rsid w:val="5146DD68"/>
    <w:rsid w:val="514A50DB"/>
    <w:rsid w:val="5156E302"/>
    <w:rsid w:val="516BA32E"/>
    <w:rsid w:val="5182B5FA"/>
    <w:rsid w:val="519DA0F4"/>
    <w:rsid w:val="51B7A492"/>
    <w:rsid w:val="5205696E"/>
    <w:rsid w:val="5246EC6F"/>
    <w:rsid w:val="524A5E40"/>
    <w:rsid w:val="5256AE3C"/>
    <w:rsid w:val="52572015"/>
    <w:rsid w:val="52B91FBC"/>
    <w:rsid w:val="52D992A6"/>
    <w:rsid w:val="52D9A976"/>
    <w:rsid w:val="52F77172"/>
    <w:rsid w:val="5348395A"/>
    <w:rsid w:val="538997CA"/>
    <w:rsid w:val="53BF2D05"/>
    <w:rsid w:val="53C17DA6"/>
    <w:rsid w:val="53C2DE0F"/>
    <w:rsid w:val="53C74747"/>
    <w:rsid w:val="542C7670"/>
    <w:rsid w:val="547A1CC8"/>
    <w:rsid w:val="54C7E515"/>
    <w:rsid w:val="54CAB28B"/>
    <w:rsid w:val="54E31494"/>
    <w:rsid w:val="5516044F"/>
    <w:rsid w:val="55459EC1"/>
    <w:rsid w:val="554C41DC"/>
    <w:rsid w:val="5551A7B2"/>
    <w:rsid w:val="5556E42F"/>
    <w:rsid w:val="5557C65B"/>
    <w:rsid w:val="556D1166"/>
    <w:rsid w:val="55814519"/>
    <w:rsid w:val="563359E8"/>
    <w:rsid w:val="56447ACE"/>
    <w:rsid w:val="5659F23E"/>
    <w:rsid w:val="569CDE16"/>
    <w:rsid w:val="56C00E94"/>
    <w:rsid w:val="56DD1AD4"/>
    <w:rsid w:val="56F5F5F8"/>
    <w:rsid w:val="5720CA8F"/>
    <w:rsid w:val="579615A9"/>
    <w:rsid w:val="57BB327B"/>
    <w:rsid w:val="57CA71B7"/>
    <w:rsid w:val="57EFF090"/>
    <w:rsid w:val="57FD3F6A"/>
    <w:rsid w:val="57FDFFE1"/>
    <w:rsid w:val="582057F2"/>
    <w:rsid w:val="5876D71A"/>
    <w:rsid w:val="5897451F"/>
    <w:rsid w:val="58A2D02B"/>
    <w:rsid w:val="58F67477"/>
    <w:rsid w:val="58F8FF12"/>
    <w:rsid w:val="591085D2"/>
    <w:rsid w:val="5918AEA2"/>
    <w:rsid w:val="592163AB"/>
    <w:rsid w:val="599C3AEA"/>
    <w:rsid w:val="59A87C12"/>
    <w:rsid w:val="59E47819"/>
    <w:rsid w:val="59FF81A1"/>
    <w:rsid w:val="5A579D0C"/>
    <w:rsid w:val="5A78BF26"/>
    <w:rsid w:val="5A97B9DE"/>
    <w:rsid w:val="5AAD2EAD"/>
    <w:rsid w:val="5AAD4FB3"/>
    <w:rsid w:val="5B135A39"/>
    <w:rsid w:val="5B1937A9"/>
    <w:rsid w:val="5B210624"/>
    <w:rsid w:val="5B296392"/>
    <w:rsid w:val="5B30609D"/>
    <w:rsid w:val="5B80EB94"/>
    <w:rsid w:val="5B8AFBE7"/>
    <w:rsid w:val="5B9EC80D"/>
    <w:rsid w:val="5BCAC979"/>
    <w:rsid w:val="5BD28057"/>
    <w:rsid w:val="5BD575DB"/>
    <w:rsid w:val="5BE765B6"/>
    <w:rsid w:val="5BEF6F41"/>
    <w:rsid w:val="5C485EC5"/>
    <w:rsid w:val="5C726AA2"/>
    <w:rsid w:val="5CA7517C"/>
    <w:rsid w:val="5CB05E84"/>
    <w:rsid w:val="5CE4FDA3"/>
    <w:rsid w:val="5D44E9C7"/>
    <w:rsid w:val="5D5B0383"/>
    <w:rsid w:val="5D88BB91"/>
    <w:rsid w:val="5D97006F"/>
    <w:rsid w:val="5DB04BB7"/>
    <w:rsid w:val="5DD50F3A"/>
    <w:rsid w:val="5DE2D026"/>
    <w:rsid w:val="5E32ABEB"/>
    <w:rsid w:val="5E40CB1C"/>
    <w:rsid w:val="5E4C3837"/>
    <w:rsid w:val="5E7089BF"/>
    <w:rsid w:val="5E861FD8"/>
    <w:rsid w:val="5E8915BB"/>
    <w:rsid w:val="5E9B83EC"/>
    <w:rsid w:val="5EB014E6"/>
    <w:rsid w:val="5EB0A374"/>
    <w:rsid w:val="5EC5B87E"/>
    <w:rsid w:val="5ECEA810"/>
    <w:rsid w:val="5EE2B0AF"/>
    <w:rsid w:val="5F2923EE"/>
    <w:rsid w:val="5F2D9972"/>
    <w:rsid w:val="5F86FD97"/>
    <w:rsid w:val="5FD71120"/>
    <w:rsid w:val="5FE82A32"/>
    <w:rsid w:val="60051679"/>
    <w:rsid w:val="602705E8"/>
    <w:rsid w:val="603B75B1"/>
    <w:rsid w:val="605FE646"/>
    <w:rsid w:val="609FF387"/>
    <w:rsid w:val="60A42A64"/>
    <w:rsid w:val="60AD7762"/>
    <w:rsid w:val="60B8B88D"/>
    <w:rsid w:val="60C3778F"/>
    <w:rsid w:val="60D75C51"/>
    <w:rsid w:val="60DFCCC5"/>
    <w:rsid w:val="61282E6C"/>
    <w:rsid w:val="614C5719"/>
    <w:rsid w:val="616F1DE5"/>
    <w:rsid w:val="618B7D56"/>
    <w:rsid w:val="61957194"/>
    <w:rsid w:val="61B4A831"/>
    <w:rsid w:val="61D7BDFA"/>
    <w:rsid w:val="6248639C"/>
    <w:rsid w:val="625A430A"/>
    <w:rsid w:val="6274912D"/>
    <w:rsid w:val="627EF665"/>
    <w:rsid w:val="62FF331E"/>
    <w:rsid w:val="630D5229"/>
    <w:rsid w:val="6316A61B"/>
    <w:rsid w:val="631CE231"/>
    <w:rsid w:val="6327B21B"/>
    <w:rsid w:val="639CC996"/>
    <w:rsid w:val="639D5558"/>
    <w:rsid w:val="639DA97D"/>
    <w:rsid w:val="63D3C97C"/>
    <w:rsid w:val="63DA6365"/>
    <w:rsid w:val="63EC1F53"/>
    <w:rsid w:val="63EC4C73"/>
    <w:rsid w:val="6401738D"/>
    <w:rsid w:val="64282557"/>
    <w:rsid w:val="64BA19B7"/>
    <w:rsid w:val="64E8604D"/>
    <w:rsid w:val="65018F87"/>
    <w:rsid w:val="651B2751"/>
    <w:rsid w:val="6523E64A"/>
    <w:rsid w:val="6597E9B8"/>
    <w:rsid w:val="6632771B"/>
    <w:rsid w:val="664CCDD8"/>
    <w:rsid w:val="665E0762"/>
    <w:rsid w:val="666B0B77"/>
    <w:rsid w:val="6691E6D2"/>
    <w:rsid w:val="66C9D68C"/>
    <w:rsid w:val="66E8B8F4"/>
    <w:rsid w:val="671E9BA5"/>
    <w:rsid w:val="675AE0B2"/>
    <w:rsid w:val="6778BA45"/>
    <w:rsid w:val="67CAB112"/>
    <w:rsid w:val="68064877"/>
    <w:rsid w:val="682A5979"/>
    <w:rsid w:val="6834F1F7"/>
    <w:rsid w:val="684FA1F0"/>
    <w:rsid w:val="68BDB5E0"/>
    <w:rsid w:val="695173B9"/>
    <w:rsid w:val="6A02BD20"/>
    <w:rsid w:val="6A1ABA34"/>
    <w:rsid w:val="6A5B5B42"/>
    <w:rsid w:val="6A7C5530"/>
    <w:rsid w:val="6A81117E"/>
    <w:rsid w:val="6AC59FA9"/>
    <w:rsid w:val="6AC5B8F0"/>
    <w:rsid w:val="6ADB712A"/>
    <w:rsid w:val="6AE343E9"/>
    <w:rsid w:val="6AEFFC6E"/>
    <w:rsid w:val="6AF6CC5B"/>
    <w:rsid w:val="6AFF0030"/>
    <w:rsid w:val="6B17FBD1"/>
    <w:rsid w:val="6B950888"/>
    <w:rsid w:val="6BA44A47"/>
    <w:rsid w:val="6BB94CF5"/>
    <w:rsid w:val="6BD54F90"/>
    <w:rsid w:val="6BFD01E6"/>
    <w:rsid w:val="6C22D522"/>
    <w:rsid w:val="6C3BFBAA"/>
    <w:rsid w:val="6C710780"/>
    <w:rsid w:val="6C73BB5D"/>
    <w:rsid w:val="6C8017A6"/>
    <w:rsid w:val="6C8F9E27"/>
    <w:rsid w:val="6CB56BC6"/>
    <w:rsid w:val="6CF5F29A"/>
    <w:rsid w:val="6D358769"/>
    <w:rsid w:val="6D4CCA70"/>
    <w:rsid w:val="6D823ABE"/>
    <w:rsid w:val="6D9E2927"/>
    <w:rsid w:val="6DA47883"/>
    <w:rsid w:val="6DCABD0A"/>
    <w:rsid w:val="6DF848D8"/>
    <w:rsid w:val="6DF9EFB8"/>
    <w:rsid w:val="6E073C10"/>
    <w:rsid w:val="6E5B7C6E"/>
    <w:rsid w:val="6E6726C4"/>
    <w:rsid w:val="6E8BB4BE"/>
    <w:rsid w:val="6F196EA4"/>
    <w:rsid w:val="6F1A3E3D"/>
    <w:rsid w:val="6F21029B"/>
    <w:rsid w:val="6F2AD902"/>
    <w:rsid w:val="6F2BDBD4"/>
    <w:rsid w:val="6F2EEA5A"/>
    <w:rsid w:val="6F70AC6E"/>
    <w:rsid w:val="6F796C46"/>
    <w:rsid w:val="6F900695"/>
    <w:rsid w:val="6FA1AED6"/>
    <w:rsid w:val="6FAFE082"/>
    <w:rsid w:val="6FC4DC21"/>
    <w:rsid w:val="6FD66776"/>
    <w:rsid w:val="6FE6E2E8"/>
    <w:rsid w:val="6FF3C372"/>
    <w:rsid w:val="6FF893FE"/>
    <w:rsid w:val="7019296F"/>
    <w:rsid w:val="70257DEE"/>
    <w:rsid w:val="7041F094"/>
    <w:rsid w:val="70CA9686"/>
    <w:rsid w:val="70FB93C2"/>
    <w:rsid w:val="70FE2FAB"/>
    <w:rsid w:val="711BA3EB"/>
    <w:rsid w:val="712B02DB"/>
    <w:rsid w:val="7145EA8A"/>
    <w:rsid w:val="71590279"/>
    <w:rsid w:val="71615075"/>
    <w:rsid w:val="71653BF9"/>
    <w:rsid w:val="716DC4AE"/>
    <w:rsid w:val="716E6D8F"/>
    <w:rsid w:val="719D81BE"/>
    <w:rsid w:val="719F9D47"/>
    <w:rsid w:val="71A4C3DD"/>
    <w:rsid w:val="71A66D48"/>
    <w:rsid w:val="72128215"/>
    <w:rsid w:val="722E1F6A"/>
    <w:rsid w:val="727F985F"/>
    <w:rsid w:val="7280A12F"/>
    <w:rsid w:val="72A9F8F6"/>
    <w:rsid w:val="72C015AC"/>
    <w:rsid w:val="72CAE9A1"/>
    <w:rsid w:val="72D876C7"/>
    <w:rsid w:val="72F88E7C"/>
    <w:rsid w:val="73012883"/>
    <w:rsid w:val="732AF45F"/>
    <w:rsid w:val="732BB02C"/>
    <w:rsid w:val="73342A4F"/>
    <w:rsid w:val="739A5036"/>
    <w:rsid w:val="739CA1DB"/>
    <w:rsid w:val="73BA06EC"/>
    <w:rsid w:val="73CE7FC6"/>
    <w:rsid w:val="73D95373"/>
    <w:rsid w:val="7422DC04"/>
    <w:rsid w:val="74409B91"/>
    <w:rsid w:val="746D32D5"/>
    <w:rsid w:val="74830E04"/>
    <w:rsid w:val="748F3E6D"/>
    <w:rsid w:val="74B169E6"/>
    <w:rsid w:val="75627BA2"/>
    <w:rsid w:val="7595FAA0"/>
    <w:rsid w:val="75A95918"/>
    <w:rsid w:val="75B1F20F"/>
    <w:rsid w:val="75C6AF72"/>
    <w:rsid w:val="75DD3070"/>
    <w:rsid w:val="75F5F75C"/>
    <w:rsid w:val="761FDE5A"/>
    <w:rsid w:val="763D8F83"/>
    <w:rsid w:val="7677DD1C"/>
    <w:rsid w:val="768E1FF5"/>
    <w:rsid w:val="771F7208"/>
    <w:rsid w:val="7720536F"/>
    <w:rsid w:val="772EE77E"/>
    <w:rsid w:val="773E281E"/>
    <w:rsid w:val="776AF720"/>
    <w:rsid w:val="777F854D"/>
    <w:rsid w:val="7791AB6D"/>
    <w:rsid w:val="77A15D59"/>
    <w:rsid w:val="77AAD011"/>
    <w:rsid w:val="77B8012E"/>
    <w:rsid w:val="77F9457F"/>
    <w:rsid w:val="781ED3F7"/>
    <w:rsid w:val="781F7EB5"/>
    <w:rsid w:val="786C1B6B"/>
    <w:rsid w:val="78781896"/>
    <w:rsid w:val="78A45CBF"/>
    <w:rsid w:val="78A7A8EB"/>
    <w:rsid w:val="78C77552"/>
    <w:rsid w:val="78CCC0EC"/>
    <w:rsid w:val="78F320DC"/>
    <w:rsid w:val="790362C1"/>
    <w:rsid w:val="79484524"/>
    <w:rsid w:val="79665A02"/>
    <w:rsid w:val="79B8E8A5"/>
    <w:rsid w:val="79D7B786"/>
    <w:rsid w:val="79FCFE19"/>
    <w:rsid w:val="7A154ADF"/>
    <w:rsid w:val="7A1BA2D7"/>
    <w:rsid w:val="7A2AD1BB"/>
    <w:rsid w:val="7A715E47"/>
    <w:rsid w:val="7AA4FEB7"/>
    <w:rsid w:val="7ACC98AB"/>
    <w:rsid w:val="7AF708AB"/>
    <w:rsid w:val="7B54281F"/>
    <w:rsid w:val="7BA76013"/>
    <w:rsid w:val="7BB1CC2D"/>
    <w:rsid w:val="7BD3E05A"/>
    <w:rsid w:val="7BF5B4E7"/>
    <w:rsid w:val="7C22F89A"/>
    <w:rsid w:val="7C312FC7"/>
    <w:rsid w:val="7C404781"/>
    <w:rsid w:val="7C913A00"/>
    <w:rsid w:val="7CA3870F"/>
    <w:rsid w:val="7D24B9FD"/>
    <w:rsid w:val="7D820AB9"/>
    <w:rsid w:val="7DA59052"/>
    <w:rsid w:val="7DB9CDD9"/>
    <w:rsid w:val="7DBF498E"/>
    <w:rsid w:val="7E9BA201"/>
    <w:rsid w:val="7EA51EE6"/>
    <w:rsid w:val="7EB20F5A"/>
    <w:rsid w:val="7ED45311"/>
    <w:rsid w:val="7EEBC357"/>
    <w:rsid w:val="7F177EF3"/>
    <w:rsid w:val="7F285797"/>
    <w:rsid w:val="7F2CE287"/>
    <w:rsid w:val="7F35666E"/>
    <w:rsid w:val="7F504CCF"/>
    <w:rsid w:val="7F8B768D"/>
    <w:rsid w:val="7F9661FF"/>
    <w:rsid w:val="7FA34166"/>
    <w:rsid w:val="7FA3F589"/>
    <w:rsid w:val="7FC741CF"/>
    <w:rsid w:val="7FD1F99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8F686D"/>
  <w15:docId w15:val="{87E87C0E-FA58-4F84-930F-01E09188C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222222" w:themeColor="text1"/>
        <w:sz w:val="21"/>
        <w:szCs w:val="22"/>
        <w:lang w:val="en-AU" w:eastAsia="en-US" w:bidi="ar-SA"/>
      </w:rPr>
    </w:rPrDefault>
    <w:pPrDefault>
      <w:pPr>
        <w:spacing w:after="210" w:line="276" w:lineRule="auto"/>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lsdException w:name="toc 2" w:locked="0" w:uiPriority="39"/>
    <w:lsdException w:name="toc 3" w:locked="0" w:semiHidden="1" w:uiPriority="39"/>
    <w:lsdException w:name="toc 4" w:locked="0" w:semiHidden="1" w:uiPriority="39"/>
    <w:lsdException w:name="toc 5" w:locked="0" w:semiHidden="1" w:uiPriority="39"/>
    <w:lsdException w:name="toc 6" w:locked="0" w:semiHidden="1" w:uiPriority="39"/>
    <w:lsdException w:name="toc 7" w:locked="0" w:semiHidden="1" w:uiPriority="39"/>
    <w:lsdException w:name="toc 8" w:locked="0" w:semiHidden="1" w:uiPriority="39"/>
    <w:lsdException w:name="toc 9" w:locked="0" w:semiHidden="1" w:uiPriority="39"/>
    <w:lsdException w:name="Normal Indent" w:semiHidden="1"/>
    <w:lsdException w:name="footnote text" w:locked="0"/>
    <w:lsdException w:name="annotation text" w:semiHidden="1"/>
    <w:lsdException w:name="header" w:locked="0"/>
    <w:lsdException w:name="footer" w:locked="0"/>
    <w:lsdException w:name="index heading" w:semiHidden="1"/>
    <w:lsdException w:name="caption" w:locked="0" w:uiPriority="20" w:qFormat="1"/>
    <w:lsdException w:name="table of figures" w:locked="0"/>
    <w:lsdException w:name="envelope address" w:locked="0" w:uiPriority="34"/>
    <w:lsdException w:name="envelope return" w:locked="0" w:semiHidden="1"/>
    <w:lsdException w:name="footnote reference" w:locked="0"/>
    <w:lsdException w:name="annotation reference" w:semiHidden="1"/>
    <w:lsdException w:name="line number" w:semiHidden="1"/>
    <w:lsdException w:name="page number" w:semiHidden="1"/>
    <w:lsdException w:name="endnote reference" w:semiHidden="1"/>
    <w:lsdException w:name="endnote text" w:semiHidden="1"/>
    <w:lsdException w:name="table of authorities" w:locked="0" w:semiHidden="1"/>
    <w:lsdException w:name="macro" w:semiHidden="1"/>
    <w:lsdException w:name="toa heading" w:locked="0" w:semiHidden="1"/>
    <w:lsdException w:name="List" w:locked="0" w:semiHidden="1"/>
    <w:lsdException w:name="List Bullet" w:locked="0" w:uiPriority="17" w:qFormat="1"/>
    <w:lsdException w:name="List Number" w:locked="0" w:uiPriority="17" w:qFormat="1"/>
    <w:lsdException w:name="List 2" w:locked="0" w:semiHidden="1"/>
    <w:lsdException w:name="List 3" w:locked="0" w:semiHidden="1"/>
    <w:lsdException w:name="List 4" w:locked="0" w:semiHidden="1"/>
    <w:lsdException w:name="List 5" w:locked="0" w:semiHidden="1"/>
    <w:lsdException w:name="List Bullet 2" w:locked="0" w:uiPriority="17" w:qFormat="1"/>
    <w:lsdException w:name="List Bullet 3" w:locked="0" w:uiPriority="17" w:qFormat="1"/>
    <w:lsdException w:name="List Bullet 4" w:locked="0"/>
    <w:lsdException w:name="List Bullet 5" w:locked="0"/>
    <w:lsdException w:name="List Number 2" w:locked="0" w:uiPriority="17" w:qFormat="1"/>
    <w:lsdException w:name="List Number 3" w:locked="0" w:uiPriority="16"/>
    <w:lsdException w:name="List Number 4" w:locked="0" w:uiPriority="17"/>
    <w:lsdException w:name="List Number 5" w:locked="0" w:uiPriority="17"/>
    <w:lsdException w:name="Title" w:locked="0" w:uiPriority="38"/>
    <w:lsdException w:name="Closing" w:semiHidden="1"/>
    <w:lsdException w:name="Signature" w:locked="0" w:uiPriority="34"/>
    <w:lsdException w:name="Default Paragraph Font" w:locked="0" w:semiHidden="1" w:uiPriority="1" w:unhideWhenUsed="1"/>
    <w:lsdException w:name="Body Text" w:locked="0" w:semiHidden="1"/>
    <w:lsdException w:name="Body Text Indent" w:locked="0" w:semiHidden="1"/>
    <w:lsdException w:name="List Continue" w:locked="0" w:uiPriority="17"/>
    <w:lsdException w:name="List Continue 2" w:locked="0" w:uiPriority="17"/>
    <w:lsdException w:name="List Continue 3" w:locked="0" w:uiPriority="17"/>
    <w:lsdException w:name="List Continue 4" w:locked="0" w:uiPriority="17"/>
    <w:lsdException w:name="List Continue 5" w:locked="0" w:uiPriority="17"/>
    <w:lsdException w:name="Message Header" w:semiHidden="1"/>
    <w:lsdException w:name="Subtitle" w:locked="0" w:uiPriority="38" w:qFormat="1"/>
    <w:lsdException w:name="Salutation" w:locked="0" w:uiPriority="34"/>
    <w:lsdException w:name="Date" w:locked="0" w:uiPriority="44"/>
    <w:lsdException w:name="Body Text First Indent" w:locked="0" w:semiHidden="1"/>
    <w:lsdException w:name="Body Text First Indent 2" w:locked="0" w:semiHidden="1"/>
    <w:lsdException w:name="Note Heading" w:locked="0" w:uiPriority="37"/>
    <w:lsdException w:name="Body Text 2" w:locked="0" w:semiHidden="1"/>
    <w:lsdException w:name="Body Text 3" w:semiHidden="1"/>
    <w:lsdException w:name="Body Text Indent 2" w:locked="0" w:semiHidden="1"/>
    <w:lsdException w:name="Body Text Indent 3" w:locked="0" w:semiHidden="1"/>
    <w:lsdException w:name="Block Text" w:semiHidden="1"/>
    <w:lsdException w:name="Hyperlink" w:locked="0"/>
    <w:lsdException w:name="FollowedHyperlink" w:locked="0" w:semiHidden="1"/>
    <w:lsdException w:name="Strong" w:locked="0" w:uiPriority="22" w:qFormat="1"/>
    <w:lsdException w:name="Emphasis" w:semiHidden="1" w:uiPriority="20" w:qFormat="1"/>
    <w:lsdException w:name="Document Map" w:semiHidden="1"/>
    <w:lsdException w:name="Plain Text" w:locked="0" w:semiHidden="1"/>
    <w:lsdException w:name="E-mail Signature" w:semiHidden="1"/>
    <w:lsdException w:name="HTML Top of Form" w:locked="0" w:semiHidden="1" w:unhideWhenUsed="1"/>
    <w:lsdException w:name="HTML Bottom of Form" w:locked="0" w:semiHidden="1" w:unhideWhenUsed="1"/>
    <w:lsdException w:name="Normal (Web)" w:locked="0"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locked="0" w:uiPriority="39"/>
    <w:lsdException w:name="Table Theme" w:semiHidden="1" w:unhideWhenUsed="1"/>
    <w:lsdException w:name="Placeholder Text" w:locked="0"/>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0" w:qFormat="1"/>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19"/>
    <w:lsdException w:name="Intense Emphasis" w:locked="0" w:semiHidden="1" w:uiPriority="21"/>
    <w:lsdException w:name="Subtle Reference" w:locked="0" w:semiHidden="1" w:uiPriority="31"/>
    <w:lsdException w:name="Intense Reference" w:locked="0" w:semiHidden="1" w:uiPriority="32"/>
    <w:lsdException w:name="Book Title" w:semiHidden="1" w:uiPriority="33" w:qFormat="1"/>
    <w:lsdException w:name="Bibliography" w:semiHidden="1" w:uiPriority="37"/>
    <w:lsdException w:name="TOC Heading" w:locked="0" w:uiPriority="39"/>
    <w:lsdException w:name="Plain Table 5" w:uiPriority="45"/>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30B2E"/>
  </w:style>
  <w:style w:type="paragraph" w:styleId="Heading1">
    <w:name w:val="heading 1"/>
    <w:basedOn w:val="Normal"/>
    <w:next w:val="Normal"/>
    <w:link w:val="Heading1Char"/>
    <w:qFormat/>
    <w:rsid w:val="00530B2E"/>
    <w:pPr>
      <w:keepNext/>
      <w:keepLines/>
      <w:pageBreakBefore/>
      <w:numPr>
        <w:numId w:val="2"/>
      </w:numPr>
      <w:pBdr>
        <w:top w:val="single" w:sz="8" w:space="10" w:color="CC6600" w:themeColor="accent1"/>
      </w:pBdr>
      <w:spacing w:after="360"/>
      <w:outlineLvl w:val="0"/>
    </w:pPr>
    <w:rPr>
      <w:rFonts w:asciiTheme="majorHAnsi" w:eastAsiaTheme="majorEastAsia" w:hAnsiTheme="majorHAnsi" w:cstheme="majorBidi"/>
      <w:caps/>
      <w:sz w:val="40"/>
      <w:szCs w:val="32"/>
    </w:rPr>
  </w:style>
  <w:style w:type="paragraph" w:styleId="Heading2">
    <w:name w:val="heading 2"/>
    <w:basedOn w:val="Normal"/>
    <w:next w:val="Normal"/>
    <w:link w:val="Heading2Char"/>
    <w:qFormat/>
    <w:rsid w:val="00545B9A"/>
    <w:pPr>
      <w:keepNext/>
      <w:keepLines/>
      <w:spacing w:before="240" w:after="120"/>
      <w:outlineLvl w:val="1"/>
    </w:pPr>
    <w:rPr>
      <w:rFonts w:asciiTheme="majorHAnsi" w:eastAsiaTheme="majorEastAsia" w:hAnsiTheme="majorHAnsi" w:cstheme="majorBidi"/>
      <w:color w:val="0D3E67" w:themeColor="accent3"/>
      <w:sz w:val="32"/>
      <w:szCs w:val="26"/>
    </w:rPr>
  </w:style>
  <w:style w:type="paragraph" w:styleId="Heading3">
    <w:name w:val="heading 3"/>
    <w:basedOn w:val="Normal"/>
    <w:next w:val="Normal"/>
    <w:link w:val="Heading3Char"/>
    <w:uiPriority w:val="9"/>
    <w:qFormat/>
    <w:rsid w:val="00530B2E"/>
    <w:pPr>
      <w:keepNext/>
      <w:keepLines/>
      <w:numPr>
        <w:ilvl w:val="2"/>
        <w:numId w:val="2"/>
      </w:numPr>
      <w:spacing w:before="240" w:after="120"/>
      <w:outlineLvl w:val="2"/>
    </w:pPr>
    <w:rPr>
      <w:rFonts w:asciiTheme="majorHAnsi" w:eastAsiaTheme="majorEastAsia" w:hAnsiTheme="majorHAnsi" w:cstheme="majorBidi"/>
      <w:sz w:val="28"/>
      <w:szCs w:val="24"/>
    </w:rPr>
  </w:style>
  <w:style w:type="paragraph" w:styleId="Heading4">
    <w:name w:val="heading 4"/>
    <w:basedOn w:val="Normal"/>
    <w:next w:val="Normal"/>
    <w:link w:val="Heading4Char"/>
    <w:uiPriority w:val="9"/>
    <w:qFormat/>
    <w:rsid w:val="00530B2E"/>
    <w:pPr>
      <w:keepNext/>
      <w:keepLines/>
      <w:numPr>
        <w:ilvl w:val="3"/>
        <w:numId w:val="2"/>
      </w:numPr>
      <w:spacing w:before="240" w:after="12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semiHidden/>
    <w:qFormat/>
    <w:rsid w:val="00530B2E"/>
    <w:pPr>
      <w:keepNext/>
      <w:keepLines/>
      <w:spacing w:before="240" w:after="60" w:line="240" w:lineRule="auto"/>
      <w:outlineLvl w:val="4"/>
    </w:pPr>
    <w:rPr>
      <w:rFonts w:asciiTheme="majorHAnsi" w:eastAsiaTheme="majorEastAsia" w:hAnsiTheme="majorHAnsi" w:cstheme="majorBidi"/>
      <w:color w:val="CC6600" w:themeColor="accent1"/>
    </w:rPr>
  </w:style>
  <w:style w:type="paragraph" w:styleId="Heading6">
    <w:name w:val="heading 6"/>
    <w:basedOn w:val="Normal"/>
    <w:next w:val="Normal"/>
    <w:link w:val="Heading6Char"/>
    <w:uiPriority w:val="9"/>
    <w:semiHidden/>
    <w:qFormat/>
    <w:rsid w:val="00530B2E"/>
    <w:pPr>
      <w:keepNext/>
      <w:keepLines/>
      <w:spacing w:before="240" w:after="60" w:line="240" w:lineRule="auto"/>
      <w:outlineLvl w:val="5"/>
    </w:pPr>
    <w:rPr>
      <w:rFonts w:asciiTheme="majorHAnsi" w:eastAsiaTheme="majorEastAsia" w:hAnsiTheme="majorHAnsi" w:cstheme="majorBidi"/>
      <w:color w:val="CC6600" w:themeColor="accent1"/>
    </w:rPr>
  </w:style>
  <w:style w:type="paragraph" w:styleId="Heading7">
    <w:name w:val="heading 7"/>
    <w:basedOn w:val="Normal"/>
    <w:next w:val="Normal"/>
    <w:link w:val="Heading7Char"/>
    <w:uiPriority w:val="9"/>
    <w:semiHidden/>
    <w:qFormat/>
    <w:rsid w:val="00530B2E"/>
    <w:pPr>
      <w:keepNext/>
      <w:keepLines/>
      <w:spacing w:before="240" w:after="60" w:line="240" w:lineRule="auto"/>
      <w:outlineLvl w:val="6"/>
    </w:pPr>
    <w:rPr>
      <w:rFonts w:asciiTheme="majorHAnsi" w:eastAsiaTheme="majorEastAsia" w:hAnsiTheme="majorHAnsi" w:cstheme="majorBidi"/>
      <w:i/>
      <w:iCs/>
      <w:color w:val="CC6600" w:themeColor="accent1"/>
    </w:rPr>
  </w:style>
  <w:style w:type="paragraph" w:styleId="Heading8">
    <w:name w:val="heading 8"/>
    <w:basedOn w:val="Normal"/>
    <w:next w:val="Normal"/>
    <w:link w:val="Heading8Char"/>
    <w:uiPriority w:val="9"/>
    <w:qFormat/>
    <w:rsid w:val="00530B2E"/>
    <w:pPr>
      <w:keepNext/>
      <w:keepLines/>
      <w:pageBreakBefore/>
      <w:pBdr>
        <w:top w:val="single" w:sz="8" w:space="10" w:color="EAE7E3" w:themeColor="background2"/>
      </w:pBdr>
      <w:spacing w:before="240" w:after="120"/>
      <w:outlineLvl w:val="7"/>
    </w:pPr>
    <w:rPr>
      <w:rFonts w:asciiTheme="majorHAnsi" w:eastAsiaTheme="majorEastAsia" w:hAnsiTheme="majorHAnsi" w:cstheme="majorBidi"/>
      <w:caps/>
      <w:sz w:val="40"/>
      <w:szCs w:val="21"/>
    </w:rPr>
  </w:style>
  <w:style w:type="paragraph" w:styleId="Heading9">
    <w:name w:val="heading 9"/>
    <w:basedOn w:val="Normal"/>
    <w:next w:val="Normal"/>
    <w:link w:val="Heading9Char"/>
    <w:uiPriority w:val="9"/>
    <w:qFormat/>
    <w:rsid w:val="00530B2E"/>
    <w:pPr>
      <w:keepNext/>
      <w:keepLines/>
      <w:spacing w:before="240" w:line="240" w:lineRule="auto"/>
      <w:outlineLvl w:val="8"/>
    </w:pPr>
    <w:rPr>
      <w:rFonts w:asciiTheme="majorHAnsi" w:eastAsiaTheme="majorEastAsia" w:hAnsiTheme="majorHAnsi" w:cstheme="majorBidi"/>
      <w:iCs/>
      <w:color w:val="0D3E67" w:themeColor="accent3"/>
      <w:sz w:val="2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30B2E"/>
    <w:pPr>
      <w:spacing w:after="0"/>
    </w:pPr>
  </w:style>
  <w:style w:type="character" w:customStyle="1" w:styleId="Heading1Char">
    <w:name w:val="Heading 1 Char"/>
    <w:basedOn w:val="DefaultParagraphFont"/>
    <w:link w:val="Heading1"/>
    <w:rsid w:val="00530B2E"/>
    <w:rPr>
      <w:rFonts w:asciiTheme="majorHAnsi" w:eastAsiaTheme="majorEastAsia" w:hAnsiTheme="majorHAnsi" w:cstheme="majorBidi"/>
      <w:caps/>
      <w:sz w:val="40"/>
      <w:szCs w:val="32"/>
    </w:rPr>
  </w:style>
  <w:style w:type="character" w:customStyle="1" w:styleId="Heading2Char">
    <w:name w:val="Heading 2 Char"/>
    <w:basedOn w:val="DefaultParagraphFont"/>
    <w:link w:val="Heading2"/>
    <w:rsid w:val="00545B9A"/>
    <w:rPr>
      <w:rFonts w:asciiTheme="majorHAnsi" w:eastAsiaTheme="majorEastAsia" w:hAnsiTheme="majorHAnsi" w:cstheme="majorBidi"/>
      <w:color w:val="0D3E67" w:themeColor="accent3"/>
      <w:sz w:val="32"/>
      <w:szCs w:val="26"/>
    </w:rPr>
  </w:style>
  <w:style w:type="character" w:customStyle="1" w:styleId="Heading3Char">
    <w:name w:val="Heading 3 Char"/>
    <w:basedOn w:val="DefaultParagraphFont"/>
    <w:link w:val="Heading3"/>
    <w:uiPriority w:val="9"/>
    <w:rsid w:val="00530B2E"/>
    <w:rPr>
      <w:rFonts w:asciiTheme="majorHAnsi" w:eastAsiaTheme="majorEastAsia" w:hAnsiTheme="majorHAnsi" w:cstheme="majorBidi"/>
      <w:sz w:val="28"/>
      <w:szCs w:val="24"/>
    </w:rPr>
  </w:style>
  <w:style w:type="character" w:customStyle="1" w:styleId="Heading4Char">
    <w:name w:val="Heading 4 Char"/>
    <w:basedOn w:val="DefaultParagraphFont"/>
    <w:link w:val="Heading4"/>
    <w:uiPriority w:val="9"/>
    <w:rsid w:val="00530B2E"/>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semiHidden/>
    <w:rsid w:val="00530B2E"/>
    <w:rPr>
      <w:rFonts w:asciiTheme="majorHAnsi" w:eastAsiaTheme="majorEastAsia" w:hAnsiTheme="majorHAnsi" w:cstheme="majorBidi"/>
      <w:color w:val="CC6600" w:themeColor="accent1"/>
    </w:rPr>
  </w:style>
  <w:style w:type="character" w:customStyle="1" w:styleId="Heading6Char">
    <w:name w:val="Heading 6 Char"/>
    <w:basedOn w:val="DefaultParagraphFont"/>
    <w:link w:val="Heading6"/>
    <w:uiPriority w:val="9"/>
    <w:semiHidden/>
    <w:rsid w:val="00530B2E"/>
    <w:rPr>
      <w:rFonts w:asciiTheme="majorHAnsi" w:eastAsiaTheme="majorEastAsia" w:hAnsiTheme="majorHAnsi" w:cstheme="majorBidi"/>
      <w:color w:val="CC6600" w:themeColor="accent1"/>
    </w:rPr>
  </w:style>
  <w:style w:type="character" w:customStyle="1" w:styleId="Heading7Char">
    <w:name w:val="Heading 7 Char"/>
    <w:basedOn w:val="DefaultParagraphFont"/>
    <w:link w:val="Heading7"/>
    <w:uiPriority w:val="9"/>
    <w:semiHidden/>
    <w:rsid w:val="00530B2E"/>
    <w:rPr>
      <w:rFonts w:asciiTheme="majorHAnsi" w:eastAsiaTheme="majorEastAsia" w:hAnsiTheme="majorHAnsi" w:cstheme="majorBidi"/>
      <w:i/>
      <w:iCs/>
      <w:color w:val="CC6600" w:themeColor="accent1"/>
    </w:rPr>
  </w:style>
  <w:style w:type="character" w:customStyle="1" w:styleId="Heading8Char">
    <w:name w:val="Heading 8 Char"/>
    <w:basedOn w:val="DefaultParagraphFont"/>
    <w:link w:val="Heading8"/>
    <w:uiPriority w:val="12"/>
    <w:rsid w:val="00530B2E"/>
    <w:rPr>
      <w:rFonts w:asciiTheme="majorHAnsi" w:eastAsiaTheme="majorEastAsia" w:hAnsiTheme="majorHAnsi" w:cstheme="majorBidi"/>
      <w:caps/>
      <w:sz w:val="40"/>
      <w:szCs w:val="21"/>
    </w:rPr>
  </w:style>
  <w:style w:type="character" w:customStyle="1" w:styleId="Heading9Char">
    <w:name w:val="Heading 9 Char"/>
    <w:basedOn w:val="DefaultParagraphFont"/>
    <w:link w:val="Heading9"/>
    <w:uiPriority w:val="12"/>
    <w:rsid w:val="00530B2E"/>
    <w:rPr>
      <w:rFonts w:asciiTheme="majorHAnsi" w:eastAsiaTheme="majorEastAsia" w:hAnsiTheme="majorHAnsi" w:cstheme="majorBidi"/>
      <w:iCs/>
      <w:color w:val="0D3E67" w:themeColor="accent3"/>
      <w:sz w:val="28"/>
      <w:szCs w:val="21"/>
    </w:rPr>
  </w:style>
  <w:style w:type="paragraph" w:styleId="ListBullet">
    <w:name w:val="List Bullet"/>
    <w:basedOn w:val="Normal"/>
    <w:uiPriority w:val="17"/>
    <w:qFormat/>
    <w:rsid w:val="000A4AE4"/>
    <w:pPr>
      <w:numPr>
        <w:numId w:val="44"/>
      </w:numPr>
      <w:spacing w:after="120"/>
      <w:contextualSpacing/>
    </w:pPr>
  </w:style>
  <w:style w:type="numbering" w:customStyle="1" w:styleId="BulletList">
    <w:name w:val="Bullet List"/>
    <w:uiPriority w:val="99"/>
    <w:rsid w:val="00530B2E"/>
    <w:pPr>
      <w:numPr>
        <w:numId w:val="1"/>
      </w:numPr>
    </w:pPr>
  </w:style>
  <w:style w:type="paragraph" w:styleId="ListParagraph">
    <w:name w:val="List Paragraph"/>
    <w:aliases w:val="Recommendation,L,List Paragraph1,List Paragraph11,List Paragraph2,CV text,Table text,F5 List Paragraph,Dot pt,List Paragraph111,Medium Grid 1 - Accent 21,Numbered Paragraph,Bullet text,Bulleted Para,NFP GP Bulleted List,FooterText,Bullets"/>
    <w:basedOn w:val="Normal"/>
    <w:link w:val="ListParagraphChar"/>
    <w:uiPriority w:val="34"/>
    <w:qFormat/>
    <w:rsid w:val="00530B2E"/>
    <w:pPr>
      <w:spacing w:after="120"/>
      <w:ind w:left="357"/>
      <w:contextualSpacing/>
    </w:pPr>
  </w:style>
  <w:style w:type="paragraph" w:styleId="ListBullet2">
    <w:name w:val="List Bullet 2"/>
    <w:basedOn w:val="Normal"/>
    <w:uiPriority w:val="17"/>
    <w:qFormat/>
    <w:rsid w:val="00530B2E"/>
    <w:pPr>
      <w:spacing w:after="120"/>
      <w:ind w:left="720" w:hanging="363"/>
      <w:contextualSpacing/>
    </w:pPr>
  </w:style>
  <w:style w:type="paragraph" w:styleId="ListBullet4">
    <w:name w:val="List Bullet 4"/>
    <w:basedOn w:val="Normal"/>
    <w:uiPriority w:val="99"/>
    <w:semiHidden/>
    <w:rsid w:val="00530B2E"/>
    <w:pPr>
      <w:spacing w:after="120"/>
      <w:contextualSpacing/>
    </w:pPr>
  </w:style>
  <w:style w:type="paragraph" w:styleId="FootnoteText">
    <w:name w:val="footnote text"/>
    <w:basedOn w:val="Normal"/>
    <w:link w:val="FootnoteTextChar"/>
    <w:uiPriority w:val="99"/>
    <w:rsid w:val="00530B2E"/>
    <w:pPr>
      <w:tabs>
        <w:tab w:val="left" w:pos="357"/>
      </w:tabs>
      <w:spacing w:after="0" w:line="240" w:lineRule="auto"/>
      <w:ind w:left="357" w:hanging="357"/>
    </w:pPr>
    <w:rPr>
      <w:sz w:val="18"/>
      <w:szCs w:val="20"/>
    </w:rPr>
  </w:style>
  <w:style w:type="paragraph" w:styleId="ListBullet5">
    <w:name w:val="List Bullet 5"/>
    <w:basedOn w:val="Normal"/>
    <w:uiPriority w:val="99"/>
    <w:semiHidden/>
    <w:rsid w:val="00530B2E"/>
    <w:pPr>
      <w:spacing w:after="120"/>
      <w:contextualSpacing/>
    </w:pPr>
  </w:style>
  <w:style w:type="numbering" w:styleId="111111">
    <w:name w:val="Outline List 2"/>
    <w:basedOn w:val="NoList"/>
    <w:uiPriority w:val="99"/>
    <w:semiHidden/>
    <w:unhideWhenUsed/>
    <w:rsid w:val="00530B2E"/>
    <w:pPr>
      <w:numPr>
        <w:numId w:val="2"/>
      </w:numPr>
    </w:pPr>
  </w:style>
  <w:style w:type="numbering" w:styleId="1ai">
    <w:name w:val="Outline List 1"/>
    <w:basedOn w:val="NoList"/>
    <w:uiPriority w:val="99"/>
    <w:semiHidden/>
    <w:unhideWhenUsed/>
    <w:rsid w:val="00530B2E"/>
    <w:pPr>
      <w:numPr>
        <w:numId w:val="3"/>
      </w:numPr>
    </w:pPr>
  </w:style>
  <w:style w:type="paragraph" w:styleId="ListNumber">
    <w:name w:val="List Number"/>
    <w:basedOn w:val="Normal"/>
    <w:uiPriority w:val="17"/>
    <w:qFormat/>
    <w:rsid w:val="000A4AE4"/>
    <w:pPr>
      <w:numPr>
        <w:numId w:val="10"/>
      </w:numPr>
      <w:spacing w:after="120"/>
    </w:pPr>
  </w:style>
  <w:style w:type="paragraph" w:styleId="ListNumber2">
    <w:name w:val="List Number 2"/>
    <w:basedOn w:val="Normal"/>
    <w:uiPriority w:val="17"/>
    <w:qFormat/>
    <w:rsid w:val="00530B2E"/>
    <w:pPr>
      <w:spacing w:after="120"/>
      <w:ind w:left="1800" w:hanging="360"/>
      <w:contextualSpacing/>
    </w:pPr>
  </w:style>
  <w:style w:type="paragraph" w:styleId="ListNumber3">
    <w:name w:val="List Number 3"/>
    <w:basedOn w:val="Normal"/>
    <w:uiPriority w:val="16"/>
    <w:semiHidden/>
    <w:rsid w:val="00530B2E"/>
    <w:pPr>
      <w:spacing w:after="120"/>
      <w:contextualSpacing/>
    </w:pPr>
  </w:style>
  <w:style w:type="paragraph" w:styleId="ListNumber4">
    <w:name w:val="List Number 4"/>
    <w:basedOn w:val="Normal"/>
    <w:uiPriority w:val="17"/>
    <w:semiHidden/>
    <w:rsid w:val="00530B2E"/>
    <w:pPr>
      <w:spacing w:after="120"/>
      <w:contextualSpacing/>
    </w:pPr>
  </w:style>
  <w:style w:type="paragraph" w:styleId="ListNumber5">
    <w:name w:val="List Number 5"/>
    <w:basedOn w:val="Normal"/>
    <w:uiPriority w:val="17"/>
    <w:semiHidden/>
    <w:rsid w:val="00530B2E"/>
    <w:pPr>
      <w:spacing w:after="120"/>
      <w:contextualSpacing/>
    </w:pPr>
  </w:style>
  <w:style w:type="character" w:customStyle="1" w:styleId="FootnoteTextChar">
    <w:name w:val="Footnote Text Char"/>
    <w:basedOn w:val="DefaultParagraphFont"/>
    <w:link w:val="FootnoteText"/>
    <w:uiPriority w:val="99"/>
    <w:rsid w:val="00530B2E"/>
    <w:rPr>
      <w:sz w:val="18"/>
      <w:szCs w:val="20"/>
    </w:rPr>
  </w:style>
  <w:style w:type="character" w:styleId="FootnoteReference">
    <w:name w:val="footnote reference"/>
    <w:basedOn w:val="DefaultParagraphFont"/>
    <w:uiPriority w:val="99"/>
    <w:semiHidden/>
    <w:rsid w:val="00530B2E"/>
    <w:rPr>
      <w:vertAlign w:val="superscript"/>
    </w:rPr>
  </w:style>
  <w:style w:type="paragraph" w:styleId="Caption">
    <w:name w:val="caption"/>
    <w:basedOn w:val="Normal"/>
    <w:next w:val="Normal"/>
    <w:uiPriority w:val="21"/>
    <w:qFormat/>
    <w:rsid w:val="00530B2E"/>
    <w:pPr>
      <w:spacing w:before="240" w:after="60" w:line="240" w:lineRule="auto"/>
    </w:pPr>
    <w:rPr>
      <w:b/>
      <w:iCs/>
      <w:sz w:val="18"/>
      <w:szCs w:val="18"/>
    </w:rPr>
  </w:style>
  <w:style w:type="paragraph" w:styleId="NoteHeading">
    <w:name w:val="Note Heading"/>
    <w:basedOn w:val="Normal"/>
    <w:next w:val="Normal"/>
    <w:link w:val="NoteHeadingChar"/>
    <w:uiPriority w:val="20"/>
    <w:semiHidden/>
    <w:rsid w:val="00530B2E"/>
    <w:pPr>
      <w:spacing w:before="60" w:after="240" w:line="240" w:lineRule="auto"/>
    </w:pPr>
    <w:rPr>
      <w:sz w:val="18"/>
    </w:rPr>
  </w:style>
  <w:style w:type="character" w:customStyle="1" w:styleId="NoteHeadingChar">
    <w:name w:val="Note Heading Char"/>
    <w:basedOn w:val="DefaultParagraphFont"/>
    <w:link w:val="NoteHeading"/>
    <w:uiPriority w:val="20"/>
    <w:semiHidden/>
    <w:rsid w:val="00530B2E"/>
    <w:rPr>
      <w:sz w:val="18"/>
    </w:rPr>
  </w:style>
  <w:style w:type="paragraph" w:styleId="IntenseQuote">
    <w:name w:val="Intense Quote"/>
    <w:basedOn w:val="Normal"/>
    <w:next w:val="Normal"/>
    <w:link w:val="IntenseQuoteChar"/>
    <w:uiPriority w:val="30"/>
    <w:semiHidden/>
    <w:rsid w:val="00530B2E"/>
    <w:pPr>
      <w:spacing w:before="240" w:after="240"/>
    </w:pPr>
    <w:rPr>
      <w:b/>
      <w:iCs/>
      <w:color w:val="CC6600" w:themeColor="accent1"/>
      <w:sz w:val="26"/>
    </w:rPr>
  </w:style>
  <w:style w:type="character" w:customStyle="1" w:styleId="IntenseQuoteChar">
    <w:name w:val="Intense Quote Char"/>
    <w:basedOn w:val="DefaultParagraphFont"/>
    <w:link w:val="IntenseQuote"/>
    <w:uiPriority w:val="30"/>
    <w:semiHidden/>
    <w:rsid w:val="00530B2E"/>
    <w:rPr>
      <w:b/>
      <w:iCs/>
      <w:color w:val="CC6600" w:themeColor="accent1"/>
      <w:sz w:val="26"/>
    </w:rPr>
  </w:style>
  <w:style w:type="paragraph" w:styleId="Salutation">
    <w:name w:val="Salutation"/>
    <w:basedOn w:val="Normal"/>
    <w:next w:val="Normal"/>
    <w:link w:val="SalutationChar"/>
    <w:uiPriority w:val="34"/>
    <w:semiHidden/>
    <w:rsid w:val="00530B2E"/>
    <w:pPr>
      <w:spacing w:before="700"/>
    </w:pPr>
  </w:style>
  <w:style w:type="character" w:customStyle="1" w:styleId="SalutationChar">
    <w:name w:val="Salutation Char"/>
    <w:basedOn w:val="DefaultParagraphFont"/>
    <w:link w:val="Salutation"/>
    <w:uiPriority w:val="34"/>
    <w:semiHidden/>
    <w:rsid w:val="00530B2E"/>
  </w:style>
  <w:style w:type="paragraph" w:styleId="Signature">
    <w:name w:val="Signature"/>
    <w:basedOn w:val="Normal"/>
    <w:link w:val="SignatureChar"/>
    <w:uiPriority w:val="34"/>
    <w:semiHidden/>
    <w:rsid w:val="00530B2E"/>
    <w:pPr>
      <w:contextualSpacing/>
    </w:pPr>
  </w:style>
  <w:style w:type="character" w:customStyle="1" w:styleId="SignatureChar">
    <w:name w:val="Signature Char"/>
    <w:basedOn w:val="DefaultParagraphFont"/>
    <w:link w:val="Signature"/>
    <w:uiPriority w:val="34"/>
    <w:semiHidden/>
    <w:rsid w:val="00530B2E"/>
  </w:style>
  <w:style w:type="paragraph" w:styleId="Date">
    <w:name w:val="Date"/>
    <w:basedOn w:val="Title"/>
    <w:next w:val="Normal"/>
    <w:link w:val="DateChar"/>
    <w:uiPriority w:val="34"/>
    <w:rsid w:val="00530B2E"/>
    <w:pPr>
      <w:spacing w:after="210" w:line="276" w:lineRule="auto"/>
    </w:pPr>
    <w:rPr>
      <w:rFonts w:asciiTheme="minorHAnsi" w:hAnsiTheme="minorHAnsi"/>
      <w:caps w:val="0"/>
      <w:color w:val="222222" w:themeColor="text1"/>
      <w:sz w:val="28"/>
    </w:rPr>
  </w:style>
  <w:style w:type="character" w:customStyle="1" w:styleId="DateChar">
    <w:name w:val="Date Char"/>
    <w:basedOn w:val="DefaultParagraphFont"/>
    <w:link w:val="Date"/>
    <w:uiPriority w:val="34"/>
    <w:rsid w:val="00530B2E"/>
    <w:rPr>
      <w:rFonts w:eastAsiaTheme="majorEastAsia" w:cstheme="majorBidi"/>
      <w:kern w:val="28"/>
      <w:sz w:val="28"/>
      <w:szCs w:val="56"/>
      <w:shd w:val="clear" w:color="auto" w:fill="FFFFFF" w:themeFill="background1"/>
    </w:rPr>
  </w:style>
  <w:style w:type="paragraph" w:styleId="EnvelopeAddress">
    <w:name w:val="envelope address"/>
    <w:basedOn w:val="Normal"/>
    <w:uiPriority w:val="34"/>
    <w:semiHidden/>
    <w:rsid w:val="00530B2E"/>
    <w:pPr>
      <w:spacing w:after="0" w:line="240" w:lineRule="auto"/>
      <w:contextualSpacing/>
    </w:pPr>
    <w:rPr>
      <w:rFonts w:eastAsiaTheme="majorEastAsia" w:cstheme="majorBidi"/>
      <w:szCs w:val="24"/>
    </w:rPr>
  </w:style>
  <w:style w:type="paragraph" w:styleId="Title">
    <w:name w:val="Title"/>
    <w:basedOn w:val="Normal"/>
    <w:next w:val="Normal"/>
    <w:link w:val="TitleChar"/>
    <w:uiPriority w:val="38"/>
    <w:rsid w:val="00530B2E"/>
    <w:pPr>
      <w:pBdr>
        <w:top w:val="single" w:sz="2" w:space="20" w:color="FFFFFF" w:themeColor="background1"/>
        <w:left w:val="single" w:sz="2" w:space="20" w:color="FFFFFF" w:themeColor="background1"/>
        <w:bottom w:val="single" w:sz="2" w:space="20" w:color="FFFFFF" w:themeColor="background1"/>
        <w:right w:val="single" w:sz="2" w:space="20" w:color="FFFFFF" w:themeColor="background1"/>
      </w:pBdr>
      <w:shd w:val="clear" w:color="auto" w:fill="FFFFFF" w:themeFill="background1"/>
      <w:spacing w:after="240" w:line="240" w:lineRule="auto"/>
      <w:ind w:left="709" w:right="4077"/>
      <w:contextualSpacing/>
    </w:pPr>
    <w:rPr>
      <w:rFonts w:asciiTheme="majorHAnsi" w:eastAsiaTheme="majorEastAsia" w:hAnsiTheme="majorHAnsi" w:cstheme="majorBidi"/>
      <w:caps/>
      <w:color w:val="0D8577" w:themeColor="accent5"/>
      <w:kern w:val="28"/>
      <w:sz w:val="52"/>
      <w:szCs w:val="56"/>
    </w:rPr>
  </w:style>
  <w:style w:type="character" w:customStyle="1" w:styleId="TitleChar">
    <w:name w:val="Title Char"/>
    <w:basedOn w:val="DefaultParagraphFont"/>
    <w:link w:val="Title"/>
    <w:uiPriority w:val="38"/>
    <w:rsid w:val="00530B2E"/>
    <w:rPr>
      <w:rFonts w:asciiTheme="majorHAnsi" w:eastAsiaTheme="majorEastAsia" w:hAnsiTheme="majorHAnsi" w:cstheme="majorBidi"/>
      <w:caps/>
      <w:color w:val="0D8577" w:themeColor="accent5"/>
      <w:kern w:val="28"/>
      <w:sz w:val="52"/>
      <w:szCs w:val="56"/>
      <w:shd w:val="clear" w:color="auto" w:fill="FFFFFF" w:themeFill="background1"/>
    </w:rPr>
  </w:style>
  <w:style w:type="paragraph" w:customStyle="1" w:styleId="CoverSubtitle">
    <w:name w:val="Cover Subtitle"/>
    <w:basedOn w:val="Title"/>
    <w:next w:val="Normal"/>
    <w:uiPriority w:val="36"/>
    <w:rsid w:val="00530B2E"/>
    <w:pPr>
      <w:spacing w:after="160" w:line="276" w:lineRule="auto"/>
    </w:pPr>
    <w:rPr>
      <w:caps w:val="0"/>
      <w:color w:val="222222" w:themeColor="text1"/>
      <w:sz w:val="36"/>
    </w:rPr>
  </w:style>
  <w:style w:type="paragraph" w:styleId="Subtitle">
    <w:name w:val="Subtitle"/>
    <w:basedOn w:val="Title"/>
    <w:next w:val="Normal"/>
    <w:link w:val="SubtitleChar"/>
    <w:uiPriority w:val="38"/>
    <w:qFormat/>
    <w:rsid w:val="00530B2E"/>
    <w:pPr>
      <w:numPr>
        <w:ilvl w:val="1"/>
      </w:numPr>
      <w:ind w:left="709"/>
    </w:pPr>
    <w:rPr>
      <w:rFonts w:asciiTheme="minorHAnsi" w:eastAsiaTheme="minorEastAsia" w:hAnsiTheme="minorHAnsi"/>
      <w:b/>
      <w:color w:val="CC6600" w:themeColor="accent1"/>
      <w:kern w:val="0"/>
      <w:sz w:val="22"/>
      <w:szCs w:val="22"/>
    </w:rPr>
  </w:style>
  <w:style w:type="character" w:customStyle="1" w:styleId="SubtitleChar">
    <w:name w:val="Subtitle Char"/>
    <w:basedOn w:val="DefaultParagraphFont"/>
    <w:link w:val="Subtitle"/>
    <w:uiPriority w:val="38"/>
    <w:rsid w:val="00530B2E"/>
    <w:rPr>
      <w:rFonts w:eastAsiaTheme="minorEastAsia" w:cstheme="majorBidi"/>
      <w:b/>
      <w:caps/>
      <w:color w:val="CC6600" w:themeColor="accent1"/>
      <w:sz w:val="22"/>
      <w:shd w:val="clear" w:color="auto" w:fill="FFFFFF" w:themeFill="background1"/>
    </w:rPr>
  </w:style>
  <w:style w:type="table" w:styleId="TableGrid">
    <w:name w:val="Table Grid"/>
    <w:basedOn w:val="TableNormal"/>
    <w:uiPriority w:val="39"/>
    <w:rsid w:val="0081627A"/>
    <w:pPr>
      <w:spacing w:before="60" w:after="60" w:line="240" w:lineRule="auto"/>
    </w:pPr>
    <w:rPr>
      <w:sz w:val="20"/>
    </w:rPr>
    <w:tblPr>
      <w:tblStyleRowBandSize w:val="1"/>
      <w:tblStyleColBandSize w:val="1"/>
      <w:tblBorders>
        <w:top w:val="single" w:sz="4" w:space="0" w:color="CBC3BB" w:themeColor="text2"/>
        <w:bottom w:val="single" w:sz="4" w:space="0" w:color="CBC3BB" w:themeColor="text2"/>
        <w:insideH w:val="single" w:sz="4" w:space="0" w:color="CBC3BB" w:themeColor="text2"/>
        <w:insideV w:val="single" w:sz="4" w:space="0" w:color="CBC3BB" w:themeColor="text2"/>
      </w:tblBorders>
    </w:tblPr>
    <w:tcPr>
      <w:shd w:val="clear" w:color="auto" w:fill="FFFFFF" w:themeFill="background1"/>
    </w:tcPr>
    <w:tblStylePr w:type="firstRow">
      <w:rPr>
        <w:b/>
        <w:color w:val="FFFFFF" w:themeColor="background1"/>
        <w:sz w:val="21"/>
      </w:rPr>
      <w:tblPr/>
      <w:tcPr>
        <w:tcBorders>
          <w:top w:val="nil"/>
          <w:left w:val="nil"/>
          <w:bottom w:val="nil"/>
          <w:right w:val="nil"/>
          <w:insideH w:val="nil"/>
          <w:insideV w:val="single" w:sz="4" w:space="0" w:color="CBC3BB" w:themeColor="text2"/>
          <w:tl2br w:val="nil"/>
          <w:tr2bl w:val="nil"/>
        </w:tcBorders>
        <w:shd w:val="clear" w:color="auto" w:fill="0D3E67" w:themeFill="accent3"/>
      </w:tcPr>
    </w:tblStylePr>
    <w:tblStylePr w:type="lastRow">
      <w:rPr>
        <w:b w:val="0"/>
      </w:rPr>
    </w:tblStylePr>
    <w:tblStylePr w:type="firstCol">
      <w:rPr>
        <w:b/>
        <w:color w:val="222222" w:themeColor="text1"/>
      </w:rPr>
      <w:tblPr/>
      <w:tcPr>
        <w:shd w:val="clear" w:color="auto" w:fill="FFFFFF" w:themeFill="background1"/>
      </w:tcPr>
    </w:tblStylePr>
    <w:tblStylePr w:type="lastCol">
      <w:pPr>
        <w:jc w:val="left"/>
      </w:pPr>
    </w:tblStylePr>
  </w:style>
  <w:style w:type="character" w:styleId="PlaceholderText">
    <w:name w:val="Placeholder Text"/>
    <w:basedOn w:val="DefaultParagraphFont"/>
    <w:uiPriority w:val="99"/>
    <w:rsid w:val="00530B2E"/>
    <w:rPr>
      <w:color w:val="0D8577" w:themeColor="accent5"/>
    </w:rPr>
  </w:style>
  <w:style w:type="table" w:customStyle="1" w:styleId="TableHidden">
    <w:name w:val="Table Hidden"/>
    <w:basedOn w:val="TableNormal"/>
    <w:uiPriority w:val="99"/>
    <w:rsid w:val="00530B2E"/>
    <w:tblPr>
      <w:tblCellMar>
        <w:left w:w="0" w:type="dxa"/>
        <w:right w:w="0" w:type="dxa"/>
      </w:tblCellMar>
    </w:tblPr>
  </w:style>
  <w:style w:type="numbering" w:customStyle="1" w:styleId="AppendixList">
    <w:name w:val="Appendix List"/>
    <w:uiPriority w:val="99"/>
    <w:rsid w:val="00530B2E"/>
    <w:pPr>
      <w:numPr>
        <w:numId w:val="9"/>
      </w:numPr>
    </w:pPr>
  </w:style>
  <w:style w:type="paragraph" w:styleId="Quote">
    <w:name w:val="Quote"/>
    <w:basedOn w:val="Normal"/>
    <w:next w:val="Normal"/>
    <w:link w:val="QuoteChar"/>
    <w:uiPriority w:val="20"/>
    <w:qFormat/>
    <w:rsid w:val="00A015E4"/>
    <w:pPr>
      <w:pBdr>
        <w:top w:val="single" w:sz="4" w:space="5" w:color="CBC3BB" w:themeColor="text2"/>
        <w:bottom w:val="single" w:sz="4" w:space="5" w:color="CBC3BB" w:themeColor="text2"/>
      </w:pBdr>
      <w:shd w:val="clear" w:color="auto" w:fill="F4F2F1" w:themeFill="text2" w:themeFillTint="33"/>
      <w:spacing w:before="240"/>
      <w:ind w:left="567"/>
    </w:pPr>
    <w:rPr>
      <w:i/>
      <w:iCs/>
    </w:rPr>
  </w:style>
  <w:style w:type="character" w:customStyle="1" w:styleId="QuoteChar">
    <w:name w:val="Quote Char"/>
    <w:basedOn w:val="DefaultParagraphFont"/>
    <w:link w:val="Quote"/>
    <w:uiPriority w:val="20"/>
    <w:rsid w:val="00A015E4"/>
    <w:rPr>
      <w:i/>
      <w:iCs/>
      <w:shd w:val="clear" w:color="auto" w:fill="F4F2F1" w:themeFill="text2" w:themeFillTint="33"/>
    </w:rPr>
  </w:style>
  <w:style w:type="table" w:customStyle="1" w:styleId="TableGridwithOptions">
    <w:name w:val="Table Grid with Options"/>
    <w:basedOn w:val="TableGrid"/>
    <w:uiPriority w:val="99"/>
    <w:rsid w:val="00530B2E"/>
    <w:tblPr/>
    <w:tcPr>
      <w:shd w:val="clear" w:color="auto" w:fill="FFFFFF" w:themeFill="background1"/>
    </w:tcPr>
    <w:tblStylePr w:type="firstRow">
      <w:rPr>
        <w:b/>
        <w:color w:val="FFFFFF" w:themeColor="background1"/>
        <w:sz w:val="21"/>
      </w:rPr>
      <w:tblPr/>
      <w:tcPr>
        <w:tcBorders>
          <w:top w:val="nil"/>
          <w:left w:val="nil"/>
          <w:bottom w:val="nil"/>
          <w:right w:val="nil"/>
          <w:insideH w:val="nil"/>
          <w:insideV w:val="single" w:sz="4" w:space="0" w:color="CBC3BB" w:themeColor="text2"/>
          <w:tl2br w:val="nil"/>
          <w:tr2bl w:val="nil"/>
        </w:tcBorders>
        <w:shd w:val="clear" w:color="auto" w:fill="0D3E67" w:themeFill="accent3"/>
      </w:tcPr>
    </w:tblStylePr>
    <w:tblStylePr w:type="lastRow">
      <w:rPr>
        <w:b/>
      </w:rPr>
      <w:tblPr/>
      <w:tcPr>
        <w:tcBorders>
          <w:top w:val="single" w:sz="4" w:space="0" w:color="CBC3BB" w:themeColor="text2"/>
          <w:left w:val="nil"/>
          <w:bottom w:val="single" w:sz="4" w:space="0" w:color="CBC3BB" w:themeColor="text2"/>
          <w:right w:val="nil"/>
          <w:insideH w:val="nil"/>
          <w:insideV w:val="single" w:sz="4" w:space="0" w:color="CBC3BB" w:themeColor="text2"/>
          <w:tl2br w:val="nil"/>
          <w:tr2bl w:val="nil"/>
        </w:tcBorders>
      </w:tcPr>
    </w:tblStylePr>
    <w:tblStylePr w:type="firstCol">
      <w:rPr>
        <w:b/>
        <w:color w:val="FFFFFF" w:themeColor="background1"/>
      </w:rPr>
      <w:tblPr/>
      <w:tcPr>
        <w:tcBorders>
          <w:top w:val="nil"/>
          <w:left w:val="nil"/>
          <w:bottom w:val="nil"/>
          <w:right w:val="nil"/>
          <w:insideH w:val="nil"/>
          <w:insideV w:val="nil"/>
          <w:tl2br w:val="nil"/>
          <w:tr2bl w:val="nil"/>
        </w:tcBorders>
        <w:shd w:val="clear" w:color="auto" w:fill="0D3E67" w:themeFill="accent3"/>
      </w:tcPr>
    </w:tblStylePr>
    <w:tblStylePr w:type="lastCol">
      <w:pPr>
        <w:jc w:val="right"/>
      </w:pPr>
      <w:rPr>
        <w:b/>
      </w:rPr>
    </w:tblStylePr>
    <w:tblStylePr w:type="band1Horz">
      <w:tblPr/>
      <w:tcPr>
        <w:tcBorders>
          <w:top w:val="single" w:sz="4" w:space="0" w:color="CBC3BB" w:themeColor="text2"/>
          <w:left w:val="nil"/>
          <w:bottom w:val="single" w:sz="4" w:space="0" w:color="CBC3BB" w:themeColor="text2"/>
          <w:right w:val="nil"/>
          <w:insideH w:val="nil"/>
          <w:insideV w:val="single" w:sz="4" w:space="0" w:color="CBC3BB" w:themeColor="text2"/>
          <w:tl2br w:val="nil"/>
          <w:tr2bl w:val="nil"/>
        </w:tcBorders>
        <w:shd w:val="clear" w:color="auto" w:fill="FFFFFF" w:themeFill="background1"/>
      </w:tcPr>
    </w:tblStylePr>
    <w:tblStylePr w:type="band2Horz">
      <w:tblPr/>
      <w:tcPr>
        <w:tcBorders>
          <w:top w:val="single" w:sz="4" w:space="0" w:color="CBC3BB" w:themeColor="text2"/>
          <w:left w:val="nil"/>
          <w:bottom w:val="single" w:sz="4" w:space="0" w:color="CBC3BB" w:themeColor="text2"/>
          <w:right w:val="nil"/>
          <w:insideH w:val="single" w:sz="4" w:space="0" w:color="auto"/>
          <w:insideV w:val="single" w:sz="4" w:space="0" w:color="CBC3BB" w:themeColor="text2"/>
          <w:tl2br w:val="nil"/>
          <w:tr2bl w:val="nil"/>
        </w:tcBorders>
        <w:shd w:val="clear" w:color="auto" w:fill="EAE7E3" w:themeFill="background2"/>
      </w:tcPr>
    </w:tblStylePr>
  </w:style>
  <w:style w:type="paragraph" w:styleId="TOCHeading">
    <w:name w:val="TOC Heading"/>
    <w:basedOn w:val="Heading1"/>
    <w:next w:val="Normal"/>
    <w:uiPriority w:val="39"/>
    <w:rsid w:val="00530B2E"/>
    <w:pPr>
      <w:pageBreakBefore w:val="0"/>
      <w:numPr>
        <w:numId w:val="0"/>
      </w:numPr>
      <w:spacing w:line="259" w:lineRule="auto"/>
      <w:outlineLvl w:val="9"/>
    </w:pPr>
  </w:style>
  <w:style w:type="paragraph" w:styleId="TOC1">
    <w:name w:val="toc 1"/>
    <w:basedOn w:val="Normal"/>
    <w:next w:val="Normal"/>
    <w:autoRedefine/>
    <w:uiPriority w:val="39"/>
    <w:rsid w:val="00530B2E"/>
    <w:pPr>
      <w:tabs>
        <w:tab w:val="right" w:leader="dot" w:pos="9742"/>
      </w:tabs>
      <w:spacing w:after="240"/>
    </w:pPr>
    <w:rPr>
      <w:rFonts w:asciiTheme="majorHAnsi" w:hAnsiTheme="majorHAnsi"/>
      <w:caps/>
      <w:sz w:val="24"/>
    </w:rPr>
  </w:style>
  <w:style w:type="paragraph" w:styleId="TOC2">
    <w:name w:val="toc 2"/>
    <w:basedOn w:val="Normal"/>
    <w:next w:val="Normal"/>
    <w:autoRedefine/>
    <w:uiPriority w:val="39"/>
    <w:rsid w:val="00530B2E"/>
    <w:pPr>
      <w:spacing w:after="240"/>
      <w:ind w:left="357"/>
    </w:pPr>
    <w:rPr>
      <w:rFonts w:asciiTheme="majorHAnsi" w:hAnsiTheme="majorHAnsi"/>
      <w:sz w:val="22"/>
    </w:rPr>
  </w:style>
  <w:style w:type="character" w:styleId="Hyperlink">
    <w:name w:val="Hyperlink"/>
    <w:basedOn w:val="DefaultParagraphFont"/>
    <w:uiPriority w:val="99"/>
    <w:unhideWhenUsed/>
    <w:rsid w:val="00530B2E"/>
    <w:rPr>
      <w:color w:val="0D3E67" w:themeColor="hyperlink"/>
      <w:u w:val="single"/>
    </w:rPr>
  </w:style>
  <w:style w:type="paragraph" w:customStyle="1" w:styleId="Heading1nonumber">
    <w:name w:val="Heading 1 no number"/>
    <w:basedOn w:val="Heading1"/>
    <w:next w:val="Normal"/>
    <w:link w:val="Heading1nonumberChar"/>
    <w:uiPriority w:val="6"/>
    <w:qFormat/>
    <w:rsid w:val="00530B2E"/>
    <w:pPr>
      <w:numPr>
        <w:numId w:val="0"/>
      </w:numPr>
    </w:pPr>
  </w:style>
  <w:style w:type="paragraph" w:customStyle="1" w:styleId="Heading3nonumber">
    <w:name w:val="Heading 3 no number"/>
    <w:basedOn w:val="Heading3"/>
    <w:next w:val="Normal"/>
    <w:link w:val="Heading3nonumberChar"/>
    <w:uiPriority w:val="10"/>
    <w:qFormat/>
    <w:rsid w:val="00530B2E"/>
    <w:pPr>
      <w:numPr>
        <w:ilvl w:val="0"/>
        <w:numId w:val="0"/>
      </w:numPr>
    </w:pPr>
  </w:style>
  <w:style w:type="paragraph" w:customStyle="1" w:styleId="Heading2nonumber">
    <w:name w:val="Heading 2 no number"/>
    <w:basedOn w:val="Heading2"/>
    <w:next w:val="Normal"/>
    <w:link w:val="Heading2nonumberChar"/>
    <w:uiPriority w:val="9"/>
    <w:qFormat/>
    <w:rsid w:val="00530B2E"/>
  </w:style>
  <w:style w:type="character" w:customStyle="1" w:styleId="Heading2nonumberChar">
    <w:name w:val="Heading 2 no number Char"/>
    <w:basedOn w:val="Heading2Char"/>
    <w:link w:val="Heading2nonumber"/>
    <w:uiPriority w:val="9"/>
    <w:rsid w:val="00530B2E"/>
    <w:rPr>
      <w:rFonts w:asciiTheme="majorHAnsi" w:eastAsiaTheme="majorEastAsia" w:hAnsiTheme="majorHAnsi" w:cstheme="majorBidi"/>
      <w:color w:val="0D3E67" w:themeColor="accent3"/>
      <w:sz w:val="32"/>
      <w:szCs w:val="26"/>
    </w:rPr>
  </w:style>
  <w:style w:type="paragraph" w:customStyle="1" w:styleId="Heading4nonumber">
    <w:name w:val="Heading 4 no number"/>
    <w:basedOn w:val="Heading4"/>
    <w:next w:val="Normal"/>
    <w:link w:val="Heading4nonumberChar"/>
    <w:uiPriority w:val="12"/>
    <w:qFormat/>
    <w:rsid w:val="00530B2E"/>
    <w:pPr>
      <w:numPr>
        <w:ilvl w:val="0"/>
        <w:numId w:val="0"/>
      </w:numPr>
    </w:pPr>
  </w:style>
  <w:style w:type="paragraph" w:customStyle="1" w:styleId="Introduction">
    <w:name w:val="Introduction"/>
    <w:basedOn w:val="IntenseQuote"/>
    <w:next w:val="Normal"/>
    <w:uiPriority w:val="10"/>
    <w:semiHidden/>
    <w:rsid w:val="00530B2E"/>
  </w:style>
  <w:style w:type="paragraph" w:styleId="Header">
    <w:name w:val="header"/>
    <w:basedOn w:val="Normal"/>
    <w:link w:val="HeaderChar"/>
    <w:uiPriority w:val="99"/>
    <w:rsid w:val="00530B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0B2E"/>
  </w:style>
  <w:style w:type="paragraph" w:styleId="Footer">
    <w:name w:val="footer"/>
    <w:basedOn w:val="Normal"/>
    <w:link w:val="FooterChar"/>
    <w:uiPriority w:val="99"/>
    <w:rsid w:val="00530B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0B2E"/>
  </w:style>
  <w:style w:type="paragraph" w:customStyle="1" w:styleId="Subheading">
    <w:name w:val="Subheading"/>
    <w:basedOn w:val="Normal"/>
    <w:next w:val="Normal"/>
    <w:uiPriority w:val="9"/>
    <w:qFormat/>
    <w:rsid w:val="00530B2E"/>
    <w:pPr>
      <w:keepNext/>
      <w:spacing w:before="240" w:after="120"/>
    </w:pPr>
    <w:rPr>
      <w:rFonts w:asciiTheme="majorHAnsi" w:hAnsiTheme="majorHAnsi"/>
      <w:color w:val="0D3E67" w:themeColor="accent3"/>
      <w:sz w:val="32"/>
    </w:rPr>
  </w:style>
  <w:style w:type="numbering" w:customStyle="1" w:styleId="TableList">
    <w:name w:val="Table List"/>
    <w:basedOn w:val="NoList"/>
    <w:uiPriority w:val="99"/>
    <w:rsid w:val="00530B2E"/>
    <w:pPr>
      <w:numPr>
        <w:numId w:val="4"/>
      </w:numPr>
    </w:pPr>
  </w:style>
  <w:style w:type="paragraph" w:styleId="ListContinue">
    <w:name w:val="List Continue"/>
    <w:basedOn w:val="Normal"/>
    <w:uiPriority w:val="17"/>
    <w:semiHidden/>
    <w:rsid w:val="00530B2E"/>
    <w:pPr>
      <w:numPr>
        <w:numId w:val="4"/>
      </w:numPr>
      <w:spacing w:before="60" w:after="60"/>
    </w:pPr>
  </w:style>
  <w:style w:type="paragraph" w:styleId="ListContinue2">
    <w:name w:val="List Continue 2"/>
    <w:basedOn w:val="Normal"/>
    <w:uiPriority w:val="17"/>
    <w:semiHidden/>
    <w:rsid w:val="00530B2E"/>
    <w:pPr>
      <w:numPr>
        <w:ilvl w:val="1"/>
        <w:numId w:val="4"/>
      </w:numPr>
      <w:spacing w:before="60" w:after="60"/>
    </w:pPr>
  </w:style>
  <w:style w:type="paragraph" w:styleId="ListContinue3">
    <w:name w:val="List Continue 3"/>
    <w:basedOn w:val="Normal"/>
    <w:uiPriority w:val="17"/>
    <w:semiHidden/>
    <w:rsid w:val="00530B2E"/>
    <w:pPr>
      <w:numPr>
        <w:ilvl w:val="2"/>
        <w:numId w:val="4"/>
      </w:numPr>
      <w:spacing w:before="60" w:after="60"/>
    </w:pPr>
  </w:style>
  <w:style w:type="paragraph" w:styleId="ListContinue4">
    <w:name w:val="List Continue 4"/>
    <w:basedOn w:val="Normal"/>
    <w:uiPriority w:val="17"/>
    <w:semiHidden/>
    <w:rsid w:val="00530B2E"/>
    <w:pPr>
      <w:numPr>
        <w:ilvl w:val="3"/>
        <w:numId w:val="4"/>
      </w:numPr>
      <w:spacing w:before="60" w:after="60"/>
    </w:pPr>
  </w:style>
  <w:style w:type="paragraph" w:styleId="ListContinue5">
    <w:name w:val="List Continue 5"/>
    <w:basedOn w:val="Normal"/>
    <w:uiPriority w:val="17"/>
    <w:semiHidden/>
    <w:rsid w:val="00530B2E"/>
    <w:pPr>
      <w:numPr>
        <w:ilvl w:val="4"/>
        <w:numId w:val="4"/>
      </w:numPr>
      <w:spacing w:before="60" w:after="60"/>
    </w:pPr>
  </w:style>
  <w:style w:type="paragraph" w:styleId="ListBullet3">
    <w:name w:val="List Bullet 3"/>
    <w:basedOn w:val="Normal"/>
    <w:uiPriority w:val="17"/>
    <w:qFormat/>
    <w:rsid w:val="00530B2E"/>
    <w:pPr>
      <w:spacing w:after="120"/>
      <w:ind w:left="1077" w:hanging="357"/>
      <w:contextualSpacing/>
    </w:pPr>
  </w:style>
  <w:style w:type="paragraph" w:styleId="TOC3">
    <w:name w:val="toc 3"/>
    <w:basedOn w:val="Normal"/>
    <w:next w:val="Normal"/>
    <w:autoRedefine/>
    <w:uiPriority w:val="39"/>
    <w:semiHidden/>
    <w:rsid w:val="00530B2E"/>
    <w:pPr>
      <w:spacing w:after="100"/>
      <w:ind w:left="440"/>
    </w:pPr>
  </w:style>
  <w:style w:type="paragraph" w:styleId="TOC4">
    <w:name w:val="toc 4"/>
    <w:basedOn w:val="Normal"/>
    <w:next w:val="Normal"/>
    <w:autoRedefine/>
    <w:uiPriority w:val="39"/>
    <w:semiHidden/>
    <w:rsid w:val="00530B2E"/>
    <w:pPr>
      <w:spacing w:after="100"/>
      <w:ind w:left="660"/>
    </w:pPr>
  </w:style>
  <w:style w:type="paragraph" w:customStyle="1" w:styleId="Orangeblocktext">
    <w:name w:val="Orange block text"/>
    <w:basedOn w:val="Normal"/>
    <w:link w:val="OrangeblocktextChar"/>
    <w:uiPriority w:val="20"/>
    <w:qFormat/>
    <w:rsid w:val="00530B2E"/>
    <w:pPr>
      <w:pBdr>
        <w:top w:val="single" w:sz="4" w:space="5" w:color="FCE2CC" w:themeColor="accent2"/>
        <w:left w:val="single" w:sz="36" w:space="5" w:color="CC6600" w:themeColor="accent1"/>
        <w:bottom w:val="single" w:sz="4" w:space="5" w:color="FCE2CC" w:themeColor="accent2"/>
        <w:right w:val="single" w:sz="36" w:space="5" w:color="FCE2CC" w:themeColor="accent2"/>
      </w:pBdr>
      <w:shd w:val="clear" w:color="auto" w:fill="FCE2CC" w:themeFill="accent2"/>
    </w:pPr>
  </w:style>
  <w:style w:type="paragraph" w:customStyle="1" w:styleId="Orangeblockheading">
    <w:name w:val="Orange block heading"/>
    <w:basedOn w:val="Normal"/>
    <w:next w:val="Orangeblocktext"/>
    <w:link w:val="OrangeblockheadingChar"/>
    <w:uiPriority w:val="19"/>
    <w:qFormat/>
    <w:rsid w:val="00530B2E"/>
    <w:pPr>
      <w:keepNext/>
      <w:pBdr>
        <w:top w:val="single" w:sz="4" w:space="5" w:color="FCE2CC" w:themeColor="accent2"/>
        <w:left w:val="single" w:sz="36" w:space="5" w:color="CC6600" w:themeColor="accent1"/>
        <w:bottom w:val="single" w:sz="4" w:space="5" w:color="FCE2CC" w:themeColor="accent2"/>
        <w:right w:val="single" w:sz="36" w:space="5" w:color="FCE2CC" w:themeColor="accent2"/>
      </w:pBdr>
      <w:shd w:val="clear" w:color="auto" w:fill="FCE2CC" w:themeFill="accent2"/>
    </w:pPr>
    <w:rPr>
      <w:rFonts w:asciiTheme="majorHAnsi" w:hAnsiTheme="majorHAnsi"/>
      <w:sz w:val="28"/>
    </w:rPr>
  </w:style>
  <w:style w:type="paragraph" w:customStyle="1" w:styleId="Listorangeblockbullet">
    <w:name w:val="List orange block bullet"/>
    <w:basedOn w:val="Orangeblocktext"/>
    <w:uiPriority w:val="19"/>
    <w:qFormat/>
    <w:rsid w:val="00530B2E"/>
    <w:pPr>
      <w:numPr>
        <w:ilvl w:val="2"/>
        <w:numId w:val="6"/>
      </w:numPr>
      <w:tabs>
        <w:tab w:val="left" w:pos="357"/>
      </w:tabs>
    </w:pPr>
  </w:style>
  <w:style w:type="paragraph" w:customStyle="1" w:styleId="Tealblocktext">
    <w:name w:val="Teal block text"/>
    <w:basedOn w:val="Orangeblocktext"/>
    <w:link w:val="TealblocktextChar"/>
    <w:uiPriority w:val="23"/>
    <w:qFormat/>
    <w:rsid w:val="00530B2E"/>
    <w:pPr>
      <w:pBdr>
        <w:top w:val="single" w:sz="4" w:space="5" w:color="D9F1ED"/>
        <w:left w:val="single" w:sz="36" w:space="5" w:color="0D8577" w:themeColor="accent5"/>
        <w:bottom w:val="single" w:sz="4" w:space="5" w:color="D9F1ED"/>
        <w:right w:val="single" w:sz="36" w:space="5" w:color="D9F1ED"/>
      </w:pBdr>
      <w:shd w:val="clear" w:color="auto" w:fill="D9F1ED"/>
    </w:pPr>
  </w:style>
  <w:style w:type="paragraph" w:customStyle="1" w:styleId="Tealblockheading">
    <w:name w:val="Teal block heading"/>
    <w:basedOn w:val="Orangeblockheading"/>
    <w:next w:val="Tealblocktext"/>
    <w:link w:val="TealblockheadingChar"/>
    <w:uiPriority w:val="22"/>
    <w:qFormat/>
    <w:rsid w:val="00530B2E"/>
    <w:pPr>
      <w:pBdr>
        <w:top w:val="single" w:sz="4" w:space="5" w:color="D9F1ED"/>
        <w:left w:val="single" w:sz="36" w:space="5" w:color="0D8577" w:themeColor="accent5"/>
        <w:bottom w:val="single" w:sz="4" w:space="5" w:color="D9F1ED"/>
        <w:right w:val="single" w:sz="36" w:space="5" w:color="D9F1ED"/>
      </w:pBdr>
      <w:shd w:val="clear" w:color="auto" w:fill="D9F1ED"/>
    </w:pPr>
  </w:style>
  <w:style w:type="paragraph" w:customStyle="1" w:styleId="Listtealblockbullet">
    <w:name w:val="List teal block bullet"/>
    <w:basedOn w:val="Listorangeblockbullet"/>
    <w:uiPriority w:val="19"/>
    <w:qFormat/>
    <w:rsid w:val="00530B2E"/>
    <w:pPr>
      <w:numPr>
        <w:ilvl w:val="3"/>
      </w:numPr>
      <w:pBdr>
        <w:top w:val="single" w:sz="4" w:space="5" w:color="D9F1ED"/>
        <w:left w:val="single" w:sz="36" w:space="5" w:color="0D8577" w:themeColor="accent5"/>
        <w:bottom w:val="single" w:sz="4" w:space="5" w:color="D9F1ED"/>
        <w:right w:val="single" w:sz="36" w:space="5" w:color="D9F1ED"/>
      </w:pBdr>
      <w:shd w:val="clear" w:color="auto" w:fill="D9F1ED"/>
    </w:pPr>
  </w:style>
  <w:style w:type="paragraph" w:customStyle="1" w:styleId="Greyblocktext">
    <w:name w:val="Grey block text"/>
    <w:basedOn w:val="Orangeblocktext"/>
    <w:uiPriority w:val="19"/>
    <w:qFormat/>
    <w:rsid w:val="00530B2E"/>
    <w:pPr>
      <w:pBdr>
        <w:top w:val="single" w:sz="4" w:space="5" w:color="EAE7E3"/>
        <w:left w:val="single" w:sz="36" w:space="5" w:color="CBC3BB" w:themeColor="text2"/>
        <w:bottom w:val="single" w:sz="4" w:space="5" w:color="EAE7E3"/>
        <w:right w:val="single" w:sz="36" w:space="5" w:color="EAE7E3"/>
      </w:pBdr>
      <w:shd w:val="clear" w:color="auto" w:fill="EAE7E3"/>
    </w:pPr>
  </w:style>
  <w:style w:type="paragraph" w:customStyle="1" w:styleId="Greyblockheading">
    <w:name w:val="Grey block heading"/>
    <w:basedOn w:val="Orangeblockheading"/>
    <w:next w:val="Greyblocktext"/>
    <w:uiPriority w:val="19"/>
    <w:qFormat/>
    <w:rsid w:val="00530B2E"/>
    <w:pPr>
      <w:pBdr>
        <w:top w:val="single" w:sz="4" w:space="5" w:color="EAE7E3"/>
        <w:left w:val="single" w:sz="36" w:space="5" w:color="CBC3BB" w:themeColor="text2"/>
        <w:bottom w:val="single" w:sz="4" w:space="5" w:color="EAE7E3"/>
        <w:right w:val="single" w:sz="36" w:space="5" w:color="EAE7E3"/>
      </w:pBdr>
      <w:shd w:val="clear" w:color="auto" w:fill="EAE7E3"/>
    </w:pPr>
  </w:style>
  <w:style w:type="paragraph" w:customStyle="1" w:styleId="Listgreyblockbullet">
    <w:name w:val="List grey block bullet"/>
    <w:basedOn w:val="Listorangeblockbullet"/>
    <w:uiPriority w:val="19"/>
    <w:qFormat/>
    <w:rsid w:val="00530B2E"/>
    <w:pPr>
      <w:numPr>
        <w:ilvl w:val="1"/>
      </w:numPr>
      <w:pBdr>
        <w:top w:val="single" w:sz="4" w:space="5" w:color="EAE7E3"/>
        <w:left w:val="single" w:sz="36" w:space="5" w:color="CBC3BB" w:themeColor="text2"/>
        <w:bottom w:val="single" w:sz="4" w:space="5" w:color="EAE7E3"/>
        <w:right w:val="single" w:sz="36" w:space="5" w:color="EAE7E3"/>
      </w:pBdr>
      <w:shd w:val="clear" w:color="auto" w:fill="EAE7E3"/>
    </w:pPr>
  </w:style>
  <w:style w:type="paragraph" w:customStyle="1" w:styleId="Blueblocktext">
    <w:name w:val="Blue block text"/>
    <w:basedOn w:val="Orangeblocktext"/>
    <w:uiPriority w:val="19"/>
    <w:qFormat/>
    <w:rsid w:val="00530B2E"/>
    <w:pPr>
      <w:pBdr>
        <w:top w:val="single" w:sz="4" w:space="5" w:color="E4E9F0"/>
        <w:left w:val="single" w:sz="36" w:space="5" w:color="0D3E67" w:themeColor="accent3"/>
        <w:bottom w:val="single" w:sz="4" w:space="5" w:color="E4E9F0"/>
        <w:right w:val="single" w:sz="36" w:space="5" w:color="E4E9F0"/>
      </w:pBdr>
      <w:shd w:val="clear" w:color="auto" w:fill="E4E9F0"/>
    </w:pPr>
  </w:style>
  <w:style w:type="paragraph" w:customStyle="1" w:styleId="Blueblockheading">
    <w:name w:val="Blue block heading"/>
    <w:basedOn w:val="Orangeblockheading"/>
    <w:next w:val="Blueblocktext"/>
    <w:uiPriority w:val="19"/>
    <w:qFormat/>
    <w:rsid w:val="00530B2E"/>
    <w:pPr>
      <w:pBdr>
        <w:top w:val="single" w:sz="4" w:space="5" w:color="E4E9F0"/>
        <w:left w:val="single" w:sz="36" w:space="5" w:color="0D3E67" w:themeColor="accent3"/>
        <w:bottom w:val="single" w:sz="4" w:space="5" w:color="E4E9F0"/>
        <w:right w:val="single" w:sz="36" w:space="5" w:color="E4E9F0"/>
      </w:pBdr>
      <w:shd w:val="clear" w:color="auto" w:fill="E4E9F0"/>
    </w:pPr>
  </w:style>
  <w:style w:type="paragraph" w:customStyle="1" w:styleId="Listblueblockbullet">
    <w:name w:val="List blue block bullet"/>
    <w:basedOn w:val="Blueblocktext"/>
    <w:uiPriority w:val="19"/>
    <w:qFormat/>
    <w:rsid w:val="00530B2E"/>
    <w:pPr>
      <w:numPr>
        <w:numId w:val="6"/>
      </w:numPr>
    </w:pPr>
  </w:style>
  <w:style w:type="paragraph" w:styleId="TableofFigures">
    <w:name w:val="table of figures"/>
    <w:basedOn w:val="Normal"/>
    <w:next w:val="Normal"/>
    <w:uiPriority w:val="99"/>
    <w:rsid w:val="00530B2E"/>
    <w:pPr>
      <w:spacing w:after="0"/>
    </w:pPr>
    <w:rPr>
      <w:sz w:val="22"/>
    </w:rPr>
  </w:style>
  <w:style w:type="paragraph" w:customStyle="1" w:styleId="LetterheadDate">
    <w:name w:val="Letterhead Date"/>
    <w:basedOn w:val="Normal"/>
    <w:uiPriority w:val="34"/>
    <w:semiHidden/>
    <w:rsid w:val="00530B2E"/>
  </w:style>
  <w:style w:type="character" w:styleId="Strong">
    <w:name w:val="Strong"/>
    <w:basedOn w:val="DefaultParagraphFont"/>
    <w:uiPriority w:val="22"/>
    <w:qFormat/>
    <w:rsid w:val="00530B2E"/>
    <w:rPr>
      <w:b/>
      <w:bCs/>
    </w:rPr>
  </w:style>
  <w:style w:type="numbering" w:styleId="ArticleSection">
    <w:name w:val="Outline List 3"/>
    <w:basedOn w:val="NoList"/>
    <w:uiPriority w:val="99"/>
    <w:semiHidden/>
    <w:unhideWhenUsed/>
    <w:locked/>
    <w:rsid w:val="00530B2E"/>
    <w:pPr>
      <w:numPr>
        <w:numId w:val="5"/>
      </w:numPr>
    </w:pPr>
  </w:style>
  <w:style w:type="paragraph" w:styleId="BalloonText">
    <w:name w:val="Balloon Text"/>
    <w:basedOn w:val="Normal"/>
    <w:link w:val="BalloonTextChar"/>
    <w:uiPriority w:val="99"/>
    <w:semiHidden/>
    <w:locked/>
    <w:rsid w:val="00530B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0B2E"/>
    <w:rPr>
      <w:rFonts w:ascii="Segoe UI" w:hAnsi="Segoe UI" w:cs="Segoe UI"/>
      <w:sz w:val="18"/>
      <w:szCs w:val="18"/>
    </w:rPr>
  </w:style>
  <w:style w:type="paragraph" w:styleId="Bibliography">
    <w:name w:val="Bibliography"/>
    <w:basedOn w:val="Normal"/>
    <w:next w:val="Normal"/>
    <w:uiPriority w:val="37"/>
    <w:semiHidden/>
    <w:locked/>
    <w:rsid w:val="00530B2E"/>
  </w:style>
  <w:style w:type="paragraph" w:styleId="BlockText">
    <w:name w:val="Block Text"/>
    <w:basedOn w:val="Normal"/>
    <w:uiPriority w:val="99"/>
    <w:semiHidden/>
    <w:locked/>
    <w:rsid w:val="00530B2E"/>
    <w:pPr>
      <w:pBdr>
        <w:top w:val="single" w:sz="2" w:space="10" w:color="CC6600" w:themeColor="accent1"/>
        <w:left w:val="single" w:sz="2" w:space="10" w:color="CC6600" w:themeColor="accent1"/>
        <w:bottom w:val="single" w:sz="2" w:space="10" w:color="CC6600" w:themeColor="accent1"/>
        <w:right w:val="single" w:sz="2" w:space="10" w:color="CC6600" w:themeColor="accent1"/>
      </w:pBdr>
      <w:ind w:left="1152" w:right="1152"/>
    </w:pPr>
    <w:rPr>
      <w:rFonts w:eastAsiaTheme="minorEastAsia"/>
      <w:i/>
      <w:iCs/>
      <w:color w:val="CC6600" w:themeColor="accent1"/>
    </w:rPr>
  </w:style>
  <w:style w:type="paragraph" w:styleId="BodyText">
    <w:name w:val="Body Text"/>
    <w:basedOn w:val="Normal"/>
    <w:link w:val="BodyTextChar"/>
    <w:uiPriority w:val="99"/>
    <w:semiHidden/>
    <w:rsid w:val="00530B2E"/>
    <w:pPr>
      <w:spacing w:after="120"/>
    </w:pPr>
  </w:style>
  <w:style w:type="character" w:customStyle="1" w:styleId="BodyTextChar">
    <w:name w:val="Body Text Char"/>
    <w:basedOn w:val="DefaultParagraphFont"/>
    <w:link w:val="BodyText"/>
    <w:uiPriority w:val="99"/>
    <w:semiHidden/>
    <w:rsid w:val="00530B2E"/>
  </w:style>
  <w:style w:type="paragraph" w:styleId="BodyText2">
    <w:name w:val="Body Text 2"/>
    <w:basedOn w:val="Normal"/>
    <w:link w:val="BodyText2Char"/>
    <w:uiPriority w:val="99"/>
    <w:semiHidden/>
    <w:rsid w:val="00530B2E"/>
    <w:pPr>
      <w:spacing w:after="120" w:line="480" w:lineRule="auto"/>
    </w:pPr>
  </w:style>
  <w:style w:type="character" w:customStyle="1" w:styleId="BodyText2Char">
    <w:name w:val="Body Text 2 Char"/>
    <w:basedOn w:val="DefaultParagraphFont"/>
    <w:link w:val="BodyText2"/>
    <w:uiPriority w:val="99"/>
    <w:semiHidden/>
    <w:rsid w:val="00530B2E"/>
  </w:style>
  <w:style w:type="paragraph" w:styleId="BodyText3">
    <w:name w:val="Body Text 3"/>
    <w:basedOn w:val="Normal"/>
    <w:link w:val="BodyText3Char"/>
    <w:uiPriority w:val="99"/>
    <w:semiHidden/>
    <w:locked/>
    <w:rsid w:val="00530B2E"/>
    <w:pPr>
      <w:spacing w:after="120"/>
    </w:pPr>
    <w:rPr>
      <w:sz w:val="16"/>
      <w:szCs w:val="16"/>
    </w:rPr>
  </w:style>
  <w:style w:type="character" w:customStyle="1" w:styleId="BodyText3Char">
    <w:name w:val="Body Text 3 Char"/>
    <w:basedOn w:val="DefaultParagraphFont"/>
    <w:link w:val="BodyText3"/>
    <w:uiPriority w:val="99"/>
    <w:semiHidden/>
    <w:rsid w:val="00530B2E"/>
    <w:rPr>
      <w:sz w:val="16"/>
      <w:szCs w:val="16"/>
    </w:rPr>
  </w:style>
  <w:style w:type="paragraph" w:styleId="BodyTextFirstIndent">
    <w:name w:val="Body Text First Indent"/>
    <w:basedOn w:val="BodyText"/>
    <w:link w:val="BodyTextFirstIndentChar"/>
    <w:uiPriority w:val="99"/>
    <w:semiHidden/>
    <w:rsid w:val="00530B2E"/>
    <w:pPr>
      <w:spacing w:after="210"/>
      <w:ind w:firstLine="360"/>
    </w:pPr>
  </w:style>
  <w:style w:type="character" w:customStyle="1" w:styleId="BodyTextFirstIndentChar">
    <w:name w:val="Body Text First Indent Char"/>
    <w:basedOn w:val="BodyTextChar"/>
    <w:link w:val="BodyTextFirstIndent"/>
    <w:uiPriority w:val="99"/>
    <w:semiHidden/>
    <w:rsid w:val="00530B2E"/>
  </w:style>
  <w:style w:type="paragraph" w:styleId="BodyTextIndent">
    <w:name w:val="Body Text Indent"/>
    <w:basedOn w:val="Normal"/>
    <w:link w:val="BodyTextIndentChar"/>
    <w:uiPriority w:val="99"/>
    <w:semiHidden/>
    <w:rsid w:val="00530B2E"/>
    <w:pPr>
      <w:spacing w:after="120"/>
      <w:ind w:left="283"/>
    </w:pPr>
  </w:style>
  <w:style w:type="character" w:customStyle="1" w:styleId="BodyTextIndentChar">
    <w:name w:val="Body Text Indent Char"/>
    <w:basedOn w:val="DefaultParagraphFont"/>
    <w:link w:val="BodyTextIndent"/>
    <w:uiPriority w:val="99"/>
    <w:semiHidden/>
    <w:rsid w:val="00530B2E"/>
  </w:style>
  <w:style w:type="paragraph" w:styleId="BodyTextFirstIndent2">
    <w:name w:val="Body Text First Indent 2"/>
    <w:basedOn w:val="BodyTextIndent"/>
    <w:link w:val="BodyTextFirstIndent2Char"/>
    <w:uiPriority w:val="99"/>
    <w:semiHidden/>
    <w:rsid w:val="00530B2E"/>
    <w:pPr>
      <w:spacing w:after="210"/>
      <w:ind w:left="360" w:firstLine="360"/>
    </w:pPr>
  </w:style>
  <w:style w:type="character" w:customStyle="1" w:styleId="BodyTextFirstIndent2Char">
    <w:name w:val="Body Text First Indent 2 Char"/>
    <w:basedOn w:val="BodyTextIndentChar"/>
    <w:link w:val="BodyTextFirstIndent2"/>
    <w:uiPriority w:val="99"/>
    <w:semiHidden/>
    <w:rsid w:val="00530B2E"/>
  </w:style>
  <w:style w:type="paragraph" w:styleId="BodyTextIndent2">
    <w:name w:val="Body Text Indent 2"/>
    <w:basedOn w:val="Normal"/>
    <w:link w:val="BodyTextIndent2Char"/>
    <w:uiPriority w:val="99"/>
    <w:semiHidden/>
    <w:rsid w:val="00530B2E"/>
    <w:pPr>
      <w:spacing w:after="120" w:line="480" w:lineRule="auto"/>
      <w:ind w:left="283"/>
    </w:pPr>
  </w:style>
  <w:style w:type="character" w:customStyle="1" w:styleId="BodyTextIndent2Char">
    <w:name w:val="Body Text Indent 2 Char"/>
    <w:basedOn w:val="DefaultParagraphFont"/>
    <w:link w:val="BodyTextIndent2"/>
    <w:uiPriority w:val="99"/>
    <w:semiHidden/>
    <w:rsid w:val="00530B2E"/>
  </w:style>
  <w:style w:type="paragraph" w:styleId="BodyTextIndent3">
    <w:name w:val="Body Text Indent 3"/>
    <w:basedOn w:val="Normal"/>
    <w:link w:val="BodyTextIndent3Char"/>
    <w:uiPriority w:val="99"/>
    <w:semiHidden/>
    <w:rsid w:val="00530B2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30B2E"/>
    <w:rPr>
      <w:sz w:val="16"/>
      <w:szCs w:val="16"/>
    </w:rPr>
  </w:style>
  <w:style w:type="character" w:styleId="BookTitle">
    <w:name w:val="Book Title"/>
    <w:basedOn w:val="DefaultParagraphFont"/>
    <w:uiPriority w:val="33"/>
    <w:semiHidden/>
    <w:qFormat/>
    <w:locked/>
    <w:rsid w:val="00530B2E"/>
    <w:rPr>
      <w:b/>
      <w:bCs/>
      <w:i/>
      <w:iCs/>
      <w:spacing w:val="5"/>
    </w:rPr>
  </w:style>
  <w:style w:type="paragraph" w:styleId="Closing">
    <w:name w:val="Closing"/>
    <w:basedOn w:val="Normal"/>
    <w:link w:val="ClosingChar"/>
    <w:uiPriority w:val="99"/>
    <w:semiHidden/>
    <w:locked/>
    <w:rsid w:val="00530B2E"/>
    <w:pPr>
      <w:spacing w:after="0" w:line="240" w:lineRule="auto"/>
      <w:ind w:left="4252"/>
    </w:pPr>
  </w:style>
  <w:style w:type="character" w:customStyle="1" w:styleId="ClosingChar">
    <w:name w:val="Closing Char"/>
    <w:basedOn w:val="DefaultParagraphFont"/>
    <w:link w:val="Closing"/>
    <w:uiPriority w:val="99"/>
    <w:semiHidden/>
    <w:rsid w:val="00530B2E"/>
  </w:style>
  <w:style w:type="character" w:styleId="CommentReference">
    <w:name w:val="annotation reference"/>
    <w:basedOn w:val="DefaultParagraphFont"/>
    <w:uiPriority w:val="99"/>
    <w:semiHidden/>
    <w:locked/>
    <w:rsid w:val="00530B2E"/>
    <w:rPr>
      <w:sz w:val="16"/>
      <w:szCs w:val="16"/>
    </w:rPr>
  </w:style>
  <w:style w:type="paragraph" w:styleId="CommentText">
    <w:name w:val="annotation text"/>
    <w:basedOn w:val="Normal"/>
    <w:link w:val="CommentTextChar"/>
    <w:uiPriority w:val="99"/>
    <w:locked/>
    <w:rsid w:val="00530B2E"/>
    <w:pPr>
      <w:spacing w:line="240" w:lineRule="auto"/>
    </w:pPr>
    <w:rPr>
      <w:sz w:val="20"/>
      <w:szCs w:val="20"/>
    </w:rPr>
  </w:style>
  <w:style w:type="character" w:customStyle="1" w:styleId="CommentTextChar">
    <w:name w:val="Comment Text Char"/>
    <w:basedOn w:val="DefaultParagraphFont"/>
    <w:link w:val="CommentText"/>
    <w:uiPriority w:val="99"/>
    <w:rsid w:val="00530B2E"/>
    <w:rPr>
      <w:sz w:val="20"/>
      <w:szCs w:val="20"/>
    </w:rPr>
  </w:style>
  <w:style w:type="paragraph" w:styleId="CommentSubject">
    <w:name w:val="annotation subject"/>
    <w:basedOn w:val="CommentText"/>
    <w:next w:val="CommentText"/>
    <w:link w:val="CommentSubjectChar"/>
    <w:uiPriority w:val="99"/>
    <w:semiHidden/>
    <w:locked/>
    <w:rsid w:val="00530B2E"/>
    <w:rPr>
      <w:b/>
      <w:bCs/>
    </w:rPr>
  </w:style>
  <w:style w:type="character" w:customStyle="1" w:styleId="CommentSubjectChar">
    <w:name w:val="Comment Subject Char"/>
    <w:basedOn w:val="CommentTextChar"/>
    <w:link w:val="CommentSubject"/>
    <w:uiPriority w:val="99"/>
    <w:semiHidden/>
    <w:rsid w:val="00530B2E"/>
    <w:rPr>
      <w:b/>
      <w:bCs/>
      <w:sz w:val="20"/>
      <w:szCs w:val="20"/>
    </w:rPr>
  </w:style>
  <w:style w:type="paragraph" w:styleId="DocumentMap">
    <w:name w:val="Document Map"/>
    <w:basedOn w:val="Normal"/>
    <w:link w:val="DocumentMapChar"/>
    <w:uiPriority w:val="99"/>
    <w:semiHidden/>
    <w:locked/>
    <w:rsid w:val="00530B2E"/>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30B2E"/>
    <w:rPr>
      <w:rFonts w:ascii="Segoe UI" w:hAnsi="Segoe UI" w:cs="Segoe UI"/>
      <w:sz w:val="16"/>
      <w:szCs w:val="16"/>
    </w:rPr>
  </w:style>
  <w:style w:type="paragraph" w:styleId="E-mailSignature">
    <w:name w:val="E-mail Signature"/>
    <w:basedOn w:val="Normal"/>
    <w:link w:val="E-mailSignatureChar"/>
    <w:uiPriority w:val="99"/>
    <w:semiHidden/>
    <w:locked/>
    <w:rsid w:val="00530B2E"/>
    <w:pPr>
      <w:spacing w:after="0" w:line="240" w:lineRule="auto"/>
    </w:pPr>
  </w:style>
  <w:style w:type="character" w:customStyle="1" w:styleId="E-mailSignatureChar">
    <w:name w:val="E-mail Signature Char"/>
    <w:basedOn w:val="DefaultParagraphFont"/>
    <w:link w:val="E-mailSignature"/>
    <w:uiPriority w:val="99"/>
    <w:semiHidden/>
    <w:rsid w:val="00530B2E"/>
  </w:style>
  <w:style w:type="character" w:styleId="Emphasis">
    <w:name w:val="Emphasis"/>
    <w:basedOn w:val="DefaultParagraphFont"/>
    <w:uiPriority w:val="20"/>
    <w:semiHidden/>
    <w:qFormat/>
    <w:locked/>
    <w:rsid w:val="00530B2E"/>
    <w:rPr>
      <w:i/>
      <w:iCs/>
    </w:rPr>
  </w:style>
  <w:style w:type="character" w:styleId="EndnoteReference">
    <w:name w:val="endnote reference"/>
    <w:basedOn w:val="DefaultParagraphFont"/>
    <w:uiPriority w:val="99"/>
    <w:semiHidden/>
    <w:locked/>
    <w:rsid w:val="00530B2E"/>
    <w:rPr>
      <w:vertAlign w:val="superscript"/>
    </w:rPr>
  </w:style>
  <w:style w:type="paragraph" w:styleId="EndnoteText">
    <w:name w:val="endnote text"/>
    <w:basedOn w:val="Normal"/>
    <w:link w:val="EndnoteTextChar"/>
    <w:uiPriority w:val="99"/>
    <w:semiHidden/>
    <w:locked/>
    <w:rsid w:val="00530B2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30B2E"/>
    <w:rPr>
      <w:sz w:val="20"/>
      <w:szCs w:val="20"/>
    </w:rPr>
  </w:style>
  <w:style w:type="paragraph" w:styleId="EnvelopeReturn">
    <w:name w:val="envelope return"/>
    <w:basedOn w:val="Normal"/>
    <w:uiPriority w:val="99"/>
    <w:semiHidden/>
    <w:rsid w:val="00530B2E"/>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rsid w:val="00530B2E"/>
    <w:rPr>
      <w:color w:val="954F72" w:themeColor="followedHyperlink"/>
      <w:u w:val="single"/>
    </w:rPr>
  </w:style>
  <w:style w:type="character" w:customStyle="1" w:styleId="Hashtag1">
    <w:name w:val="Hashtag1"/>
    <w:basedOn w:val="DefaultParagraphFont"/>
    <w:uiPriority w:val="99"/>
    <w:semiHidden/>
    <w:locked/>
    <w:rsid w:val="00530B2E"/>
    <w:rPr>
      <w:color w:val="2B579A"/>
      <w:shd w:val="clear" w:color="auto" w:fill="E1DFDD"/>
    </w:rPr>
  </w:style>
  <w:style w:type="character" w:styleId="HTMLAcronym">
    <w:name w:val="HTML Acronym"/>
    <w:basedOn w:val="DefaultParagraphFont"/>
    <w:uiPriority w:val="99"/>
    <w:semiHidden/>
    <w:locked/>
    <w:rsid w:val="00530B2E"/>
  </w:style>
  <w:style w:type="paragraph" w:styleId="HTMLAddress">
    <w:name w:val="HTML Address"/>
    <w:basedOn w:val="Normal"/>
    <w:link w:val="HTMLAddressChar"/>
    <w:uiPriority w:val="99"/>
    <w:semiHidden/>
    <w:locked/>
    <w:rsid w:val="00530B2E"/>
    <w:pPr>
      <w:spacing w:after="0" w:line="240" w:lineRule="auto"/>
    </w:pPr>
    <w:rPr>
      <w:i/>
      <w:iCs/>
    </w:rPr>
  </w:style>
  <w:style w:type="character" w:customStyle="1" w:styleId="HTMLAddressChar">
    <w:name w:val="HTML Address Char"/>
    <w:basedOn w:val="DefaultParagraphFont"/>
    <w:link w:val="HTMLAddress"/>
    <w:uiPriority w:val="99"/>
    <w:semiHidden/>
    <w:rsid w:val="00530B2E"/>
    <w:rPr>
      <w:i/>
      <w:iCs/>
    </w:rPr>
  </w:style>
  <w:style w:type="character" w:styleId="HTMLCite">
    <w:name w:val="HTML Cite"/>
    <w:basedOn w:val="DefaultParagraphFont"/>
    <w:uiPriority w:val="99"/>
    <w:semiHidden/>
    <w:locked/>
    <w:rsid w:val="00530B2E"/>
    <w:rPr>
      <w:i/>
      <w:iCs/>
    </w:rPr>
  </w:style>
  <w:style w:type="character" w:styleId="HTMLCode">
    <w:name w:val="HTML Code"/>
    <w:basedOn w:val="DefaultParagraphFont"/>
    <w:uiPriority w:val="99"/>
    <w:semiHidden/>
    <w:locked/>
    <w:rsid w:val="00530B2E"/>
    <w:rPr>
      <w:rFonts w:ascii="Consolas" w:hAnsi="Consolas"/>
      <w:sz w:val="20"/>
      <w:szCs w:val="20"/>
    </w:rPr>
  </w:style>
  <w:style w:type="character" w:styleId="HTMLDefinition">
    <w:name w:val="HTML Definition"/>
    <w:basedOn w:val="DefaultParagraphFont"/>
    <w:uiPriority w:val="99"/>
    <w:semiHidden/>
    <w:locked/>
    <w:rsid w:val="00530B2E"/>
    <w:rPr>
      <w:i/>
      <w:iCs/>
    </w:rPr>
  </w:style>
  <w:style w:type="character" w:styleId="HTMLKeyboard">
    <w:name w:val="HTML Keyboard"/>
    <w:basedOn w:val="DefaultParagraphFont"/>
    <w:uiPriority w:val="99"/>
    <w:semiHidden/>
    <w:locked/>
    <w:rsid w:val="00530B2E"/>
    <w:rPr>
      <w:rFonts w:ascii="Consolas" w:hAnsi="Consolas"/>
      <w:sz w:val="20"/>
      <w:szCs w:val="20"/>
    </w:rPr>
  </w:style>
  <w:style w:type="paragraph" w:styleId="HTMLPreformatted">
    <w:name w:val="HTML Preformatted"/>
    <w:basedOn w:val="Normal"/>
    <w:link w:val="HTMLPreformattedChar"/>
    <w:uiPriority w:val="99"/>
    <w:semiHidden/>
    <w:locked/>
    <w:rsid w:val="00530B2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30B2E"/>
    <w:rPr>
      <w:rFonts w:ascii="Consolas" w:hAnsi="Consolas"/>
      <w:sz w:val="20"/>
      <w:szCs w:val="20"/>
    </w:rPr>
  </w:style>
  <w:style w:type="character" w:styleId="HTMLSample">
    <w:name w:val="HTML Sample"/>
    <w:basedOn w:val="DefaultParagraphFont"/>
    <w:uiPriority w:val="99"/>
    <w:semiHidden/>
    <w:locked/>
    <w:rsid w:val="00530B2E"/>
    <w:rPr>
      <w:rFonts w:ascii="Consolas" w:hAnsi="Consolas"/>
      <w:sz w:val="24"/>
      <w:szCs w:val="24"/>
    </w:rPr>
  </w:style>
  <w:style w:type="character" w:styleId="HTMLTypewriter">
    <w:name w:val="HTML Typewriter"/>
    <w:basedOn w:val="DefaultParagraphFont"/>
    <w:uiPriority w:val="99"/>
    <w:semiHidden/>
    <w:locked/>
    <w:rsid w:val="00530B2E"/>
    <w:rPr>
      <w:rFonts w:ascii="Consolas" w:hAnsi="Consolas"/>
      <w:sz w:val="20"/>
      <w:szCs w:val="20"/>
    </w:rPr>
  </w:style>
  <w:style w:type="character" w:styleId="HTMLVariable">
    <w:name w:val="HTML Variable"/>
    <w:basedOn w:val="DefaultParagraphFont"/>
    <w:uiPriority w:val="99"/>
    <w:semiHidden/>
    <w:locked/>
    <w:rsid w:val="00530B2E"/>
    <w:rPr>
      <w:i/>
      <w:iCs/>
    </w:rPr>
  </w:style>
  <w:style w:type="paragraph" w:styleId="Index1">
    <w:name w:val="index 1"/>
    <w:basedOn w:val="Normal"/>
    <w:next w:val="Normal"/>
    <w:autoRedefine/>
    <w:uiPriority w:val="99"/>
    <w:semiHidden/>
    <w:locked/>
    <w:rsid w:val="00530B2E"/>
    <w:pPr>
      <w:spacing w:after="0" w:line="240" w:lineRule="auto"/>
      <w:ind w:left="210" w:hanging="210"/>
    </w:pPr>
  </w:style>
  <w:style w:type="paragraph" w:styleId="Index2">
    <w:name w:val="index 2"/>
    <w:basedOn w:val="Normal"/>
    <w:next w:val="Normal"/>
    <w:autoRedefine/>
    <w:uiPriority w:val="99"/>
    <w:semiHidden/>
    <w:locked/>
    <w:rsid w:val="00530B2E"/>
    <w:pPr>
      <w:spacing w:after="0" w:line="240" w:lineRule="auto"/>
      <w:ind w:left="420" w:hanging="210"/>
    </w:pPr>
  </w:style>
  <w:style w:type="paragraph" w:styleId="Index3">
    <w:name w:val="index 3"/>
    <w:basedOn w:val="Normal"/>
    <w:next w:val="Normal"/>
    <w:autoRedefine/>
    <w:uiPriority w:val="99"/>
    <w:semiHidden/>
    <w:locked/>
    <w:rsid w:val="00530B2E"/>
    <w:pPr>
      <w:spacing w:after="0" w:line="240" w:lineRule="auto"/>
      <w:ind w:left="630" w:hanging="210"/>
    </w:pPr>
  </w:style>
  <w:style w:type="paragraph" w:styleId="Index4">
    <w:name w:val="index 4"/>
    <w:basedOn w:val="Normal"/>
    <w:next w:val="Normal"/>
    <w:autoRedefine/>
    <w:uiPriority w:val="99"/>
    <w:semiHidden/>
    <w:locked/>
    <w:rsid w:val="00530B2E"/>
    <w:pPr>
      <w:spacing w:after="0" w:line="240" w:lineRule="auto"/>
      <w:ind w:left="840" w:hanging="210"/>
    </w:pPr>
  </w:style>
  <w:style w:type="paragraph" w:styleId="Index5">
    <w:name w:val="index 5"/>
    <w:basedOn w:val="Normal"/>
    <w:next w:val="Normal"/>
    <w:autoRedefine/>
    <w:uiPriority w:val="99"/>
    <w:semiHidden/>
    <w:locked/>
    <w:rsid w:val="00530B2E"/>
    <w:pPr>
      <w:spacing w:after="0" w:line="240" w:lineRule="auto"/>
      <w:ind w:left="1050" w:hanging="210"/>
    </w:pPr>
  </w:style>
  <w:style w:type="paragraph" w:styleId="Index6">
    <w:name w:val="index 6"/>
    <w:basedOn w:val="Normal"/>
    <w:next w:val="Normal"/>
    <w:autoRedefine/>
    <w:uiPriority w:val="99"/>
    <w:semiHidden/>
    <w:locked/>
    <w:rsid w:val="00530B2E"/>
    <w:pPr>
      <w:spacing w:after="0" w:line="240" w:lineRule="auto"/>
      <w:ind w:left="1260" w:hanging="210"/>
    </w:pPr>
  </w:style>
  <w:style w:type="paragraph" w:styleId="Index7">
    <w:name w:val="index 7"/>
    <w:basedOn w:val="Normal"/>
    <w:next w:val="Normal"/>
    <w:autoRedefine/>
    <w:uiPriority w:val="99"/>
    <w:semiHidden/>
    <w:locked/>
    <w:rsid w:val="00530B2E"/>
    <w:pPr>
      <w:spacing w:after="0" w:line="240" w:lineRule="auto"/>
      <w:ind w:left="1470" w:hanging="210"/>
    </w:pPr>
  </w:style>
  <w:style w:type="paragraph" w:styleId="Index8">
    <w:name w:val="index 8"/>
    <w:basedOn w:val="Normal"/>
    <w:next w:val="Normal"/>
    <w:autoRedefine/>
    <w:uiPriority w:val="99"/>
    <w:semiHidden/>
    <w:locked/>
    <w:rsid w:val="00530B2E"/>
    <w:pPr>
      <w:spacing w:after="0" w:line="240" w:lineRule="auto"/>
      <w:ind w:left="1680" w:hanging="210"/>
    </w:pPr>
  </w:style>
  <w:style w:type="paragraph" w:styleId="Index9">
    <w:name w:val="index 9"/>
    <w:basedOn w:val="Normal"/>
    <w:next w:val="Normal"/>
    <w:autoRedefine/>
    <w:uiPriority w:val="99"/>
    <w:semiHidden/>
    <w:locked/>
    <w:rsid w:val="00530B2E"/>
    <w:pPr>
      <w:spacing w:after="0" w:line="240" w:lineRule="auto"/>
      <w:ind w:left="1890" w:hanging="210"/>
    </w:pPr>
  </w:style>
  <w:style w:type="paragraph" w:styleId="IndexHeading">
    <w:name w:val="index heading"/>
    <w:basedOn w:val="Normal"/>
    <w:next w:val="Index1"/>
    <w:uiPriority w:val="99"/>
    <w:semiHidden/>
    <w:locked/>
    <w:rsid w:val="00530B2E"/>
    <w:rPr>
      <w:rFonts w:asciiTheme="majorHAnsi" w:eastAsiaTheme="majorEastAsia" w:hAnsiTheme="majorHAnsi" w:cstheme="majorBidi"/>
      <w:b/>
      <w:bCs/>
    </w:rPr>
  </w:style>
  <w:style w:type="character" w:styleId="IntenseEmphasis">
    <w:name w:val="Intense Emphasis"/>
    <w:basedOn w:val="DefaultParagraphFont"/>
    <w:uiPriority w:val="21"/>
    <w:semiHidden/>
    <w:rsid w:val="00530B2E"/>
    <w:rPr>
      <w:i/>
      <w:iCs/>
      <w:color w:val="CC6600" w:themeColor="accent1"/>
    </w:rPr>
  </w:style>
  <w:style w:type="character" w:styleId="IntenseReference">
    <w:name w:val="Intense Reference"/>
    <w:basedOn w:val="DefaultParagraphFont"/>
    <w:uiPriority w:val="32"/>
    <w:semiHidden/>
    <w:rsid w:val="00530B2E"/>
    <w:rPr>
      <w:b/>
      <w:bCs/>
      <w:smallCaps/>
      <w:color w:val="CC6600" w:themeColor="accent1"/>
      <w:spacing w:val="5"/>
    </w:rPr>
  </w:style>
  <w:style w:type="character" w:styleId="LineNumber">
    <w:name w:val="line number"/>
    <w:basedOn w:val="DefaultParagraphFont"/>
    <w:uiPriority w:val="99"/>
    <w:semiHidden/>
    <w:locked/>
    <w:rsid w:val="00530B2E"/>
  </w:style>
  <w:style w:type="paragraph" w:styleId="MacroText">
    <w:name w:val="macro"/>
    <w:link w:val="MacroTextChar"/>
    <w:uiPriority w:val="99"/>
    <w:semiHidden/>
    <w:locked/>
    <w:rsid w:val="00530B2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530B2E"/>
    <w:rPr>
      <w:rFonts w:ascii="Consolas" w:hAnsi="Consolas"/>
      <w:sz w:val="20"/>
      <w:szCs w:val="20"/>
    </w:rPr>
  </w:style>
  <w:style w:type="character" w:customStyle="1" w:styleId="Mention1">
    <w:name w:val="Mention1"/>
    <w:basedOn w:val="DefaultParagraphFont"/>
    <w:uiPriority w:val="99"/>
    <w:semiHidden/>
    <w:locked/>
    <w:rsid w:val="00530B2E"/>
    <w:rPr>
      <w:color w:val="2B579A"/>
      <w:shd w:val="clear" w:color="auto" w:fill="E1DFDD"/>
    </w:rPr>
  </w:style>
  <w:style w:type="paragraph" w:styleId="MessageHeader">
    <w:name w:val="Message Header"/>
    <w:basedOn w:val="Normal"/>
    <w:link w:val="MessageHeaderChar"/>
    <w:uiPriority w:val="99"/>
    <w:semiHidden/>
    <w:locked/>
    <w:rsid w:val="00530B2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30B2E"/>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rsid w:val="00530B2E"/>
    <w:rPr>
      <w:rFonts w:ascii="Times New Roman" w:hAnsi="Times New Roman" w:cs="Times New Roman"/>
      <w:sz w:val="24"/>
      <w:szCs w:val="24"/>
    </w:rPr>
  </w:style>
  <w:style w:type="paragraph" w:styleId="NormalIndent">
    <w:name w:val="Normal Indent"/>
    <w:basedOn w:val="Normal"/>
    <w:uiPriority w:val="99"/>
    <w:semiHidden/>
    <w:locked/>
    <w:rsid w:val="00530B2E"/>
    <w:pPr>
      <w:ind w:left="720"/>
    </w:pPr>
  </w:style>
  <w:style w:type="character" w:styleId="PageNumber">
    <w:name w:val="page number"/>
    <w:basedOn w:val="DefaultParagraphFont"/>
    <w:uiPriority w:val="99"/>
    <w:semiHidden/>
    <w:locked/>
    <w:rsid w:val="00530B2E"/>
  </w:style>
  <w:style w:type="paragraph" w:styleId="PlainText">
    <w:name w:val="Plain Text"/>
    <w:basedOn w:val="Normal"/>
    <w:link w:val="PlainTextChar"/>
    <w:uiPriority w:val="99"/>
    <w:semiHidden/>
    <w:rsid w:val="00530B2E"/>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530B2E"/>
    <w:rPr>
      <w:rFonts w:ascii="Consolas" w:hAnsi="Consolas"/>
      <w:szCs w:val="21"/>
    </w:rPr>
  </w:style>
  <w:style w:type="character" w:customStyle="1" w:styleId="SmartHyperlink1">
    <w:name w:val="Smart Hyperlink1"/>
    <w:basedOn w:val="DefaultParagraphFont"/>
    <w:uiPriority w:val="99"/>
    <w:semiHidden/>
    <w:locked/>
    <w:rsid w:val="00530B2E"/>
    <w:rPr>
      <w:u w:val="dotted"/>
    </w:rPr>
  </w:style>
  <w:style w:type="character" w:customStyle="1" w:styleId="SmartLink1">
    <w:name w:val="SmartLink1"/>
    <w:basedOn w:val="DefaultParagraphFont"/>
    <w:uiPriority w:val="99"/>
    <w:semiHidden/>
    <w:locked/>
    <w:rsid w:val="00530B2E"/>
    <w:rPr>
      <w:color w:val="0000FF"/>
      <w:u w:val="single"/>
      <w:shd w:val="clear" w:color="auto" w:fill="F3F2F1"/>
    </w:rPr>
  </w:style>
  <w:style w:type="character" w:styleId="SubtleEmphasis">
    <w:name w:val="Subtle Emphasis"/>
    <w:basedOn w:val="DefaultParagraphFont"/>
    <w:uiPriority w:val="19"/>
    <w:semiHidden/>
    <w:rsid w:val="00530B2E"/>
    <w:rPr>
      <w:i/>
      <w:iCs/>
      <w:color w:val="595959" w:themeColor="text1" w:themeTint="BF"/>
    </w:rPr>
  </w:style>
  <w:style w:type="character" w:styleId="SubtleReference">
    <w:name w:val="Subtle Reference"/>
    <w:basedOn w:val="DefaultParagraphFont"/>
    <w:uiPriority w:val="31"/>
    <w:semiHidden/>
    <w:rsid w:val="00530B2E"/>
    <w:rPr>
      <w:smallCaps/>
      <w:color w:val="707070" w:themeColor="text1" w:themeTint="A5"/>
    </w:rPr>
  </w:style>
  <w:style w:type="paragraph" w:styleId="TableofAuthorities">
    <w:name w:val="table of authorities"/>
    <w:basedOn w:val="Normal"/>
    <w:next w:val="Normal"/>
    <w:uiPriority w:val="99"/>
    <w:semiHidden/>
    <w:rsid w:val="00530B2E"/>
    <w:pPr>
      <w:spacing w:after="0"/>
      <w:ind w:left="210" w:hanging="210"/>
    </w:pPr>
  </w:style>
  <w:style w:type="paragraph" w:styleId="TOAHeading">
    <w:name w:val="toa heading"/>
    <w:basedOn w:val="Normal"/>
    <w:next w:val="Normal"/>
    <w:uiPriority w:val="99"/>
    <w:semiHidden/>
    <w:rsid w:val="00530B2E"/>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rsid w:val="00530B2E"/>
    <w:pPr>
      <w:spacing w:after="100"/>
      <w:ind w:left="840"/>
    </w:pPr>
  </w:style>
  <w:style w:type="paragraph" w:styleId="TOC6">
    <w:name w:val="toc 6"/>
    <w:basedOn w:val="Normal"/>
    <w:next w:val="Normal"/>
    <w:autoRedefine/>
    <w:uiPriority w:val="39"/>
    <w:semiHidden/>
    <w:rsid w:val="00530B2E"/>
    <w:pPr>
      <w:spacing w:after="100"/>
      <w:ind w:left="1050"/>
    </w:pPr>
  </w:style>
  <w:style w:type="paragraph" w:styleId="TOC7">
    <w:name w:val="toc 7"/>
    <w:basedOn w:val="Normal"/>
    <w:next w:val="Normal"/>
    <w:autoRedefine/>
    <w:uiPriority w:val="39"/>
    <w:semiHidden/>
    <w:rsid w:val="00530B2E"/>
    <w:pPr>
      <w:spacing w:after="100"/>
      <w:ind w:left="1260"/>
    </w:pPr>
  </w:style>
  <w:style w:type="paragraph" w:styleId="TOC8">
    <w:name w:val="toc 8"/>
    <w:basedOn w:val="Normal"/>
    <w:next w:val="Normal"/>
    <w:autoRedefine/>
    <w:uiPriority w:val="39"/>
    <w:semiHidden/>
    <w:rsid w:val="00530B2E"/>
    <w:pPr>
      <w:spacing w:after="100"/>
      <w:ind w:left="1470"/>
    </w:pPr>
  </w:style>
  <w:style w:type="paragraph" w:styleId="TOC9">
    <w:name w:val="toc 9"/>
    <w:basedOn w:val="Normal"/>
    <w:next w:val="Normal"/>
    <w:autoRedefine/>
    <w:uiPriority w:val="39"/>
    <w:semiHidden/>
    <w:rsid w:val="00530B2E"/>
    <w:pPr>
      <w:spacing w:after="100"/>
      <w:ind w:left="1680"/>
    </w:pPr>
  </w:style>
  <w:style w:type="character" w:customStyle="1" w:styleId="UnresolvedMention1">
    <w:name w:val="Unresolved Mention1"/>
    <w:basedOn w:val="DefaultParagraphFont"/>
    <w:uiPriority w:val="99"/>
    <w:semiHidden/>
    <w:locked/>
    <w:rsid w:val="00530B2E"/>
    <w:rPr>
      <w:color w:val="605E5C"/>
      <w:shd w:val="clear" w:color="auto" w:fill="E1DFDD"/>
    </w:rPr>
  </w:style>
  <w:style w:type="paragraph" w:customStyle="1" w:styleId="ToH2">
    <w:name w:val="ToH2"/>
    <w:basedOn w:val="Normal"/>
    <w:uiPriority w:val="39"/>
    <w:rsid w:val="00530B2E"/>
    <w:pPr>
      <w:spacing w:before="240" w:after="120"/>
    </w:pPr>
    <w:rPr>
      <w:rFonts w:asciiTheme="majorHAnsi" w:hAnsiTheme="majorHAnsi"/>
      <w:color w:val="0D3E67" w:themeColor="accent3"/>
      <w:sz w:val="32"/>
    </w:rPr>
  </w:style>
  <w:style w:type="table" w:customStyle="1" w:styleId="PlainTable51">
    <w:name w:val="Plain Table 51"/>
    <w:basedOn w:val="TableNormal"/>
    <w:uiPriority w:val="45"/>
    <w:locked/>
    <w:rsid w:val="00530B2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9090"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9090"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9090"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9090"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lumnBlock">
    <w:name w:val="Column Block"/>
    <w:basedOn w:val="Normal"/>
    <w:next w:val="Normal"/>
    <w:uiPriority w:val="19"/>
    <w:qFormat/>
    <w:rsid w:val="00530B2E"/>
    <w:pPr>
      <w:pBdr>
        <w:top w:val="single" w:sz="4" w:space="5" w:color="CBC3BB" w:themeColor="text2"/>
        <w:left w:val="single" w:sz="4" w:space="5" w:color="CBC3BB" w:themeColor="text2"/>
        <w:bottom w:val="single" w:sz="4" w:space="5" w:color="CBC3BB" w:themeColor="text2"/>
        <w:right w:val="single" w:sz="4" w:space="5" w:color="CBC3BB" w:themeColor="text2"/>
      </w:pBdr>
      <w:shd w:val="clear" w:color="auto" w:fill="0D3E67" w:themeFill="accent3"/>
    </w:pPr>
    <w:rPr>
      <w:color w:val="FFFFFF" w:themeColor="background1"/>
    </w:rPr>
  </w:style>
  <w:style w:type="paragraph" w:customStyle="1" w:styleId="Pulloutquote">
    <w:name w:val="Pull out quote"/>
    <w:basedOn w:val="Normal"/>
    <w:uiPriority w:val="20"/>
    <w:qFormat/>
    <w:rsid w:val="00530B2E"/>
    <w:pPr>
      <w:pBdr>
        <w:top w:val="single" w:sz="24" w:space="10" w:color="0D3E67" w:themeColor="accent3"/>
        <w:bottom w:val="single" w:sz="24" w:space="10" w:color="0D3E67" w:themeColor="accent3"/>
      </w:pBdr>
      <w:spacing w:before="360" w:after="360"/>
      <w:ind w:left="567" w:right="816"/>
      <w:jc w:val="center"/>
    </w:pPr>
    <w:rPr>
      <w:i/>
      <w:color w:val="0D3E67" w:themeColor="accent3"/>
      <w:sz w:val="24"/>
    </w:rPr>
  </w:style>
  <w:style w:type="paragraph" w:customStyle="1" w:styleId="ExecutiveSummary">
    <w:name w:val="Executive Summary"/>
    <w:basedOn w:val="Normal"/>
    <w:uiPriority w:val="11"/>
    <w:semiHidden/>
    <w:qFormat/>
    <w:rsid w:val="00530B2E"/>
    <w:pPr>
      <w:pBdr>
        <w:top w:val="single" w:sz="8" w:space="10" w:color="CC6600" w:themeColor="accent1"/>
      </w:pBdr>
      <w:spacing w:after="360"/>
    </w:pPr>
    <w:rPr>
      <w:rFonts w:asciiTheme="majorHAnsi" w:hAnsiTheme="majorHAnsi"/>
      <w:sz w:val="40"/>
    </w:rPr>
  </w:style>
  <w:style w:type="paragraph" w:customStyle="1" w:styleId="ExecutiveSummary2">
    <w:name w:val="Executive Summary2"/>
    <w:basedOn w:val="Normal"/>
    <w:next w:val="Normal"/>
    <w:uiPriority w:val="11"/>
    <w:semiHidden/>
    <w:qFormat/>
    <w:rsid w:val="00530B2E"/>
    <w:pPr>
      <w:spacing w:before="240" w:after="120"/>
    </w:pPr>
    <w:rPr>
      <w:rFonts w:asciiTheme="majorHAnsi" w:hAnsiTheme="majorHAnsi"/>
      <w:color w:val="0D3E67" w:themeColor="accent3"/>
      <w:sz w:val="32"/>
    </w:rPr>
  </w:style>
  <w:style w:type="numbering" w:customStyle="1" w:styleId="BlockList">
    <w:name w:val="Block List"/>
    <w:basedOn w:val="NoList"/>
    <w:uiPriority w:val="99"/>
    <w:rsid w:val="00530B2E"/>
    <w:pPr>
      <w:numPr>
        <w:numId w:val="6"/>
      </w:numPr>
    </w:pPr>
  </w:style>
  <w:style w:type="paragraph" w:styleId="List">
    <w:name w:val="List"/>
    <w:basedOn w:val="Normal"/>
    <w:uiPriority w:val="99"/>
    <w:semiHidden/>
    <w:rsid w:val="00530B2E"/>
    <w:pPr>
      <w:ind w:left="283" w:hanging="283"/>
      <w:contextualSpacing/>
    </w:pPr>
  </w:style>
  <w:style w:type="paragraph" w:styleId="List2">
    <w:name w:val="List 2"/>
    <w:basedOn w:val="Normal"/>
    <w:uiPriority w:val="99"/>
    <w:semiHidden/>
    <w:rsid w:val="00530B2E"/>
    <w:pPr>
      <w:ind w:left="566" w:hanging="283"/>
      <w:contextualSpacing/>
    </w:pPr>
  </w:style>
  <w:style w:type="paragraph" w:styleId="List3">
    <w:name w:val="List 3"/>
    <w:basedOn w:val="Normal"/>
    <w:uiPriority w:val="99"/>
    <w:semiHidden/>
    <w:rsid w:val="00530B2E"/>
    <w:pPr>
      <w:ind w:left="849" w:hanging="283"/>
      <w:contextualSpacing/>
    </w:pPr>
  </w:style>
  <w:style w:type="paragraph" w:styleId="List4">
    <w:name w:val="List 4"/>
    <w:basedOn w:val="Normal"/>
    <w:uiPriority w:val="99"/>
    <w:semiHidden/>
    <w:rsid w:val="00530B2E"/>
    <w:pPr>
      <w:ind w:left="1132" w:hanging="283"/>
      <w:contextualSpacing/>
    </w:pPr>
  </w:style>
  <w:style w:type="paragraph" w:styleId="List5">
    <w:name w:val="List 5"/>
    <w:basedOn w:val="Normal"/>
    <w:uiPriority w:val="99"/>
    <w:semiHidden/>
    <w:rsid w:val="00530B2E"/>
    <w:pPr>
      <w:ind w:left="1415" w:hanging="283"/>
      <w:contextualSpacing/>
    </w:pPr>
  </w:style>
  <w:style w:type="character" w:customStyle="1" w:styleId="TealblocktextChar">
    <w:name w:val="Teal block text Char"/>
    <w:basedOn w:val="OrangeblocktextChar"/>
    <w:link w:val="Tealblocktext"/>
    <w:uiPriority w:val="23"/>
    <w:rsid w:val="0013285E"/>
    <w:rPr>
      <w:shd w:val="clear" w:color="auto" w:fill="D9F1ED"/>
    </w:rPr>
  </w:style>
  <w:style w:type="character" w:customStyle="1" w:styleId="OrangeblockheadingChar">
    <w:name w:val="Orange block heading Char"/>
    <w:basedOn w:val="DefaultParagraphFont"/>
    <w:link w:val="Orangeblockheading"/>
    <w:uiPriority w:val="19"/>
    <w:rsid w:val="0013285E"/>
    <w:rPr>
      <w:rFonts w:asciiTheme="majorHAnsi" w:hAnsiTheme="majorHAnsi"/>
      <w:sz w:val="28"/>
      <w:shd w:val="clear" w:color="auto" w:fill="FCE2CC" w:themeFill="accent2"/>
    </w:rPr>
  </w:style>
  <w:style w:type="character" w:customStyle="1" w:styleId="OrangeblocktextChar">
    <w:name w:val="Orange block text Char"/>
    <w:basedOn w:val="DefaultParagraphFont"/>
    <w:link w:val="Orangeblocktext"/>
    <w:uiPriority w:val="20"/>
    <w:rsid w:val="0013285E"/>
    <w:rPr>
      <w:shd w:val="clear" w:color="auto" w:fill="FCE2CC" w:themeFill="accent2"/>
    </w:rPr>
  </w:style>
  <w:style w:type="character" w:customStyle="1" w:styleId="TealblockheadingChar">
    <w:name w:val="Teal block heading Char"/>
    <w:basedOn w:val="TealblocktextChar"/>
    <w:link w:val="Tealblockheading"/>
    <w:uiPriority w:val="22"/>
    <w:rsid w:val="0013285E"/>
    <w:rPr>
      <w:rFonts w:asciiTheme="majorHAnsi" w:hAnsiTheme="majorHAnsi"/>
      <w:sz w:val="28"/>
      <w:shd w:val="clear" w:color="auto" w:fill="D9F1ED"/>
    </w:rPr>
  </w:style>
  <w:style w:type="character" w:customStyle="1" w:styleId="Heading1nonumberChar">
    <w:name w:val="Heading 1 no number Char"/>
    <w:basedOn w:val="Heading1Char"/>
    <w:link w:val="Heading1nonumber"/>
    <w:uiPriority w:val="6"/>
    <w:rsid w:val="0013285E"/>
    <w:rPr>
      <w:rFonts w:asciiTheme="majorHAnsi" w:eastAsiaTheme="majorEastAsia" w:hAnsiTheme="majorHAnsi" w:cstheme="majorBidi"/>
      <w:caps/>
      <w:sz w:val="40"/>
      <w:szCs w:val="32"/>
    </w:rPr>
  </w:style>
  <w:style w:type="character" w:customStyle="1" w:styleId="Heading3nonumberChar">
    <w:name w:val="Heading 3 no number Char"/>
    <w:basedOn w:val="Heading3Char"/>
    <w:link w:val="Heading3nonumber"/>
    <w:uiPriority w:val="10"/>
    <w:rsid w:val="0013285E"/>
    <w:rPr>
      <w:rFonts w:asciiTheme="majorHAnsi" w:eastAsiaTheme="majorEastAsia" w:hAnsiTheme="majorHAnsi" w:cstheme="majorBidi"/>
      <w:sz w:val="28"/>
      <w:szCs w:val="24"/>
    </w:rPr>
  </w:style>
  <w:style w:type="character" w:customStyle="1" w:styleId="Heading4nonumberChar">
    <w:name w:val="Heading 4 no number Char"/>
    <w:basedOn w:val="Heading4Char"/>
    <w:link w:val="Heading4nonumber"/>
    <w:uiPriority w:val="12"/>
    <w:rsid w:val="0013285E"/>
    <w:rPr>
      <w:rFonts w:asciiTheme="majorHAnsi" w:eastAsiaTheme="majorEastAsia" w:hAnsiTheme="majorHAnsi" w:cstheme="majorBidi"/>
      <w:i/>
      <w:iCs/>
      <w:sz w:val="24"/>
    </w:rPr>
  </w:style>
  <w:style w:type="table" w:styleId="ColorfulGrid">
    <w:name w:val="Colorful Grid"/>
    <w:basedOn w:val="TableNormal"/>
    <w:uiPriority w:val="73"/>
    <w:semiHidden/>
    <w:unhideWhenUsed/>
    <w:locked/>
    <w:rsid w:val="00530B2E"/>
    <w:pPr>
      <w:spacing w:after="0" w:line="240" w:lineRule="auto"/>
    </w:pPr>
    <w:tblPr>
      <w:tblStyleRowBandSize w:val="1"/>
      <w:tblStyleColBandSize w:val="1"/>
      <w:tblBorders>
        <w:insideH w:val="single" w:sz="4" w:space="0" w:color="FFFFFF" w:themeColor="background1"/>
      </w:tblBorders>
    </w:tblPr>
    <w:tcPr>
      <w:shd w:val="clear" w:color="auto" w:fill="D2D2D2" w:themeFill="text1" w:themeFillTint="33"/>
    </w:tcPr>
    <w:tblStylePr w:type="firstRow">
      <w:rPr>
        <w:b/>
        <w:bCs/>
      </w:rPr>
      <w:tblPr/>
      <w:tcPr>
        <w:shd w:val="clear" w:color="auto" w:fill="A6A6A6" w:themeFill="text1" w:themeFillTint="66"/>
      </w:tcPr>
    </w:tblStylePr>
    <w:tblStylePr w:type="lastRow">
      <w:rPr>
        <w:b/>
        <w:bCs/>
        <w:color w:val="222222" w:themeColor="text1"/>
      </w:rPr>
      <w:tblPr/>
      <w:tcPr>
        <w:shd w:val="clear" w:color="auto" w:fill="A6A6A6" w:themeFill="text1" w:themeFillTint="66"/>
      </w:tcPr>
    </w:tblStylePr>
    <w:tblStylePr w:type="firstCol">
      <w:rPr>
        <w:color w:val="FFFFFF" w:themeColor="background1"/>
      </w:rPr>
      <w:tblPr/>
      <w:tcPr>
        <w:shd w:val="clear" w:color="auto" w:fill="191919" w:themeFill="text1" w:themeFillShade="BF"/>
      </w:tcPr>
    </w:tblStylePr>
    <w:tblStylePr w:type="lastCol">
      <w:rPr>
        <w:color w:val="FFFFFF" w:themeColor="background1"/>
      </w:rPr>
      <w:tblPr/>
      <w:tcPr>
        <w:shd w:val="clear" w:color="auto" w:fill="191919" w:themeFill="text1" w:themeFillShade="BF"/>
      </w:tcPr>
    </w:tblStylePr>
    <w:tblStylePr w:type="band1Vert">
      <w:tblPr/>
      <w:tcPr>
        <w:shd w:val="clear" w:color="auto" w:fill="909090" w:themeFill="text1" w:themeFillTint="7F"/>
      </w:tcPr>
    </w:tblStylePr>
    <w:tblStylePr w:type="band1Horz">
      <w:tblPr/>
      <w:tcPr>
        <w:shd w:val="clear" w:color="auto" w:fill="909090" w:themeFill="text1" w:themeFillTint="7F"/>
      </w:tcPr>
    </w:tblStylePr>
  </w:style>
  <w:style w:type="table" w:styleId="ColorfulGrid-Accent1">
    <w:name w:val="Colorful Grid Accent 1"/>
    <w:basedOn w:val="TableNormal"/>
    <w:uiPriority w:val="73"/>
    <w:semiHidden/>
    <w:unhideWhenUsed/>
    <w:locked/>
    <w:rsid w:val="00530B2E"/>
    <w:pPr>
      <w:spacing w:after="0" w:line="240" w:lineRule="auto"/>
    </w:pPr>
    <w:tblPr>
      <w:tblStyleRowBandSize w:val="1"/>
      <w:tblStyleColBandSize w:val="1"/>
      <w:tblBorders>
        <w:insideH w:val="single" w:sz="4" w:space="0" w:color="FFFFFF" w:themeColor="background1"/>
      </w:tblBorders>
    </w:tblPr>
    <w:tcPr>
      <w:shd w:val="clear" w:color="auto" w:fill="FFE0C1" w:themeFill="accent1" w:themeFillTint="33"/>
    </w:tcPr>
    <w:tblStylePr w:type="firstRow">
      <w:rPr>
        <w:b/>
        <w:bCs/>
      </w:rPr>
      <w:tblPr/>
      <w:tcPr>
        <w:shd w:val="clear" w:color="auto" w:fill="FFC184" w:themeFill="accent1" w:themeFillTint="66"/>
      </w:tcPr>
    </w:tblStylePr>
    <w:tblStylePr w:type="lastRow">
      <w:rPr>
        <w:b/>
        <w:bCs/>
        <w:color w:val="222222" w:themeColor="text1"/>
      </w:rPr>
      <w:tblPr/>
      <w:tcPr>
        <w:shd w:val="clear" w:color="auto" w:fill="FFC184" w:themeFill="accent1" w:themeFillTint="66"/>
      </w:tcPr>
    </w:tblStylePr>
    <w:tblStylePr w:type="firstCol">
      <w:rPr>
        <w:color w:val="FFFFFF" w:themeColor="background1"/>
      </w:rPr>
      <w:tblPr/>
      <w:tcPr>
        <w:shd w:val="clear" w:color="auto" w:fill="984C00" w:themeFill="accent1" w:themeFillShade="BF"/>
      </w:tcPr>
    </w:tblStylePr>
    <w:tblStylePr w:type="lastCol">
      <w:rPr>
        <w:color w:val="FFFFFF" w:themeColor="background1"/>
      </w:rPr>
      <w:tblPr/>
      <w:tcPr>
        <w:shd w:val="clear" w:color="auto" w:fill="984C00" w:themeFill="accent1" w:themeFillShade="BF"/>
      </w:tcPr>
    </w:tblStylePr>
    <w:tblStylePr w:type="band1Vert">
      <w:tblPr/>
      <w:tcPr>
        <w:shd w:val="clear" w:color="auto" w:fill="FFB266" w:themeFill="accent1" w:themeFillTint="7F"/>
      </w:tcPr>
    </w:tblStylePr>
    <w:tblStylePr w:type="band1Horz">
      <w:tblPr/>
      <w:tcPr>
        <w:shd w:val="clear" w:color="auto" w:fill="FFB266" w:themeFill="accent1" w:themeFillTint="7F"/>
      </w:tcPr>
    </w:tblStylePr>
  </w:style>
  <w:style w:type="table" w:styleId="ColorfulGrid-Accent2">
    <w:name w:val="Colorful Grid Accent 2"/>
    <w:basedOn w:val="TableNormal"/>
    <w:uiPriority w:val="73"/>
    <w:semiHidden/>
    <w:unhideWhenUsed/>
    <w:locked/>
    <w:rsid w:val="00530B2E"/>
    <w:pPr>
      <w:spacing w:after="0" w:line="240" w:lineRule="auto"/>
    </w:pPr>
    <w:tblPr>
      <w:tblStyleRowBandSize w:val="1"/>
      <w:tblStyleColBandSize w:val="1"/>
      <w:tblBorders>
        <w:insideH w:val="single" w:sz="4" w:space="0" w:color="FFFFFF" w:themeColor="background1"/>
      </w:tblBorders>
    </w:tblPr>
    <w:tcPr>
      <w:shd w:val="clear" w:color="auto" w:fill="FEF9F4" w:themeFill="accent2" w:themeFillTint="33"/>
    </w:tcPr>
    <w:tblStylePr w:type="firstRow">
      <w:rPr>
        <w:b/>
        <w:bCs/>
      </w:rPr>
      <w:tblPr/>
      <w:tcPr>
        <w:shd w:val="clear" w:color="auto" w:fill="FDF3EA" w:themeFill="accent2" w:themeFillTint="66"/>
      </w:tcPr>
    </w:tblStylePr>
    <w:tblStylePr w:type="lastRow">
      <w:rPr>
        <w:b/>
        <w:bCs/>
        <w:color w:val="222222" w:themeColor="text1"/>
      </w:rPr>
      <w:tblPr/>
      <w:tcPr>
        <w:shd w:val="clear" w:color="auto" w:fill="FDF3EA" w:themeFill="accent2" w:themeFillTint="66"/>
      </w:tcPr>
    </w:tblStylePr>
    <w:tblStylePr w:type="firstCol">
      <w:rPr>
        <w:color w:val="FFFFFF" w:themeColor="background1"/>
      </w:rPr>
      <w:tblPr/>
      <w:tcPr>
        <w:shd w:val="clear" w:color="auto" w:fill="F5A35F" w:themeFill="accent2" w:themeFillShade="BF"/>
      </w:tcPr>
    </w:tblStylePr>
    <w:tblStylePr w:type="lastCol">
      <w:rPr>
        <w:color w:val="FFFFFF" w:themeColor="background1"/>
      </w:rPr>
      <w:tblPr/>
      <w:tcPr>
        <w:shd w:val="clear" w:color="auto" w:fill="F5A35F" w:themeFill="accent2" w:themeFillShade="BF"/>
      </w:tcPr>
    </w:tblStylePr>
    <w:tblStylePr w:type="band1Vert">
      <w:tblPr/>
      <w:tcPr>
        <w:shd w:val="clear" w:color="auto" w:fill="FDF0E5" w:themeFill="accent2" w:themeFillTint="7F"/>
      </w:tcPr>
    </w:tblStylePr>
    <w:tblStylePr w:type="band1Horz">
      <w:tblPr/>
      <w:tcPr>
        <w:shd w:val="clear" w:color="auto" w:fill="FDF0E5" w:themeFill="accent2" w:themeFillTint="7F"/>
      </w:tcPr>
    </w:tblStylePr>
  </w:style>
  <w:style w:type="table" w:styleId="ColorfulGrid-Accent3">
    <w:name w:val="Colorful Grid Accent 3"/>
    <w:basedOn w:val="TableNormal"/>
    <w:uiPriority w:val="73"/>
    <w:semiHidden/>
    <w:unhideWhenUsed/>
    <w:locked/>
    <w:rsid w:val="00530B2E"/>
    <w:pPr>
      <w:spacing w:after="0" w:line="240" w:lineRule="auto"/>
    </w:pPr>
    <w:tblPr>
      <w:tblStyleRowBandSize w:val="1"/>
      <w:tblStyleColBandSize w:val="1"/>
      <w:tblBorders>
        <w:insideH w:val="single" w:sz="4" w:space="0" w:color="FFFFFF" w:themeColor="background1"/>
      </w:tblBorders>
    </w:tblPr>
    <w:tcPr>
      <w:shd w:val="clear" w:color="auto" w:fill="B8DAF6" w:themeFill="accent3" w:themeFillTint="33"/>
    </w:tcPr>
    <w:tblStylePr w:type="firstRow">
      <w:rPr>
        <w:b/>
        <w:bCs/>
      </w:rPr>
      <w:tblPr/>
      <w:tcPr>
        <w:shd w:val="clear" w:color="auto" w:fill="73B5ED" w:themeFill="accent3" w:themeFillTint="66"/>
      </w:tcPr>
    </w:tblStylePr>
    <w:tblStylePr w:type="lastRow">
      <w:rPr>
        <w:b/>
        <w:bCs/>
        <w:color w:val="222222" w:themeColor="text1"/>
      </w:rPr>
      <w:tblPr/>
      <w:tcPr>
        <w:shd w:val="clear" w:color="auto" w:fill="73B5ED" w:themeFill="accent3" w:themeFillTint="66"/>
      </w:tcPr>
    </w:tblStylePr>
    <w:tblStylePr w:type="firstCol">
      <w:rPr>
        <w:color w:val="FFFFFF" w:themeColor="background1"/>
      </w:rPr>
      <w:tblPr/>
      <w:tcPr>
        <w:shd w:val="clear" w:color="auto" w:fill="092E4C" w:themeFill="accent3" w:themeFillShade="BF"/>
      </w:tcPr>
    </w:tblStylePr>
    <w:tblStylePr w:type="lastCol">
      <w:rPr>
        <w:color w:val="FFFFFF" w:themeColor="background1"/>
      </w:rPr>
      <w:tblPr/>
      <w:tcPr>
        <w:shd w:val="clear" w:color="auto" w:fill="092E4C" w:themeFill="accent3" w:themeFillShade="BF"/>
      </w:tcPr>
    </w:tblStylePr>
    <w:tblStylePr w:type="band1Vert">
      <w:tblPr/>
      <w:tcPr>
        <w:shd w:val="clear" w:color="auto" w:fill="50A3E9" w:themeFill="accent3" w:themeFillTint="7F"/>
      </w:tcPr>
    </w:tblStylePr>
    <w:tblStylePr w:type="band1Horz">
      <w:tblPr/>
      <w:tcPr>
        <w:shd w:val="clear" w:color="auto" w:fill="50A3E9" w:themeFill="accent3" w:themeFillTint="7F"/>
      </w:tcPr>
    </w:tblStylePr>
  </w:style>
  <w:style w:type="table" w:styleId="ColorfulGrid-Accent4">
    <w:name w:val="Colorful Grid Accent 4"/>
    <w:basedOn w:val="TableNormal"/>
    <w:uiPriority w:val="73"/>
    <w:semiHidden/>
    <w:unhideWhenUsed/>
    <w:locked/>
    <w:rsid w:val="00530B2E"/>
    <w:pPr>
      <w:spacing w:after="0" w:line="240" w:lineRule="auto"/>
    </w:pPr>
    <w:tblPr>
      <w:tblStyleRowBandSize w:val="1"/>
      <w:tblStyleColBandSize w:val="1"/>
      <w:tblBorders>
        <w:insideH w:val="single" w:sz="4" w:space="0" w:color="FFFFFF" w:themeColor="background1"/>
      </w:tblBorders>
    </w:tblPr>
    <w:tcPr>
      <w:shd w:val="clear" w:color="auto" w:fill="E4E9F0" w:themeFill="accent4" w:themeFillTint="33"/>
    </w:tcPr>
    <w:tblStylePr w:type="firstRow">
      <w:rPr>
        <w:b/>
        <w:bCs/>
      </w:rPr>
      <w:tblPr/>
      <w:tcPr>
        <w:shd w:val="clear" w:color="auto" w:fill="CAD4E1" w:themeFill="accent4" w:themeFillTint="66"/>
      </w:tcPr>
    </w:tblStylePr>
    <w:tblStylePr w:type="lastRow">
      <w:rPr>
        <w:b/>
        <w:bCs/>
        <w:color w:val="222222" w:themeColor="text1"/>
      </w:rPr>
      <w:tblPr/>
      <w:tcPr>
        <w:shd w:val="clear" w:color="auto" w:fill="CAD4E1" w:themeFill="accent4" w:themeFillTint="66"/>
      </w:tcPr>
    </w:tblStylePr>
    <w:tblStylePr w:type="firstCol">
      <w:rPr>
        <w:color w:val="FFFFFF" w:themeColor="background1"/>
      </w:rPr>
      <w:tblPr/>
      <w:tcPr>
        <w:shd w:val="clear" w:color="auto" w:fill="536E91" w:themeFill="accent4" w:themeFillShade="BF"/>
      </w:tcPr>
    </w:tblStylePr>
    <w:tblStylePr w:type="lastCol">
      <w:rPr>
        <w:color w:val="FFFFFF" w:themeColor="background1"/>
      </w:rPr>
      <w:tblPr/>
      <w:tcPr>
        <w:shd w:val="clear" w:color="auto" w:fill="536E91" w:themeFill="accent4" w:themeFillShade="BF"/>
      </w:tcPr>
    </w:tblStylePr>
    <w:tblStylePr w:type="band1Vert">
      <w:tblPr/>
      <w:tcPr>
        <w:shd w:val="clear" w:color="auto" w:fill="BECADA" w:themeFill="accent4" w:themeFillTint="7F"/>
      </w:tcPr>
    </w:tblStylePr>
    <w:tblStylePr w:type="band1Horz">
      <w:tblPr/>
      <w:tcPr>
        <w:shd w:val="clear" w:color="auto" w:fill="BECADA" w:themeFill="accent4" w:themeFillTint="7F"/>
      </w:tcPr>
    </w:tblStylePr>
  </w:style>
  <w:style w:type="table" w:styleId="ColorfulGrid-Accent5">
    <w:name w:val="Colorful Grid Accent 5"/>
    <w:basedOn w:val="TableNormal"/>
    <w:uiPriority w:val="73"/>
    <w:semiHidden/>
    <w:unhideWhenUsed/>
    <w:locked/>
    <w:rsid w:val="00530B2E"/>
    <w:pPr>
      <w:spacing w:after="0" w:line="240" w:lineRule="auto"/>
    </w:pPr>
    <w:tblPr>
      <w:tblStyleRowBandSize w:val="1"/>
      <w:tblStyleColBandSize w:val="1"/>
      <w:tblBorders>
        <w:insideH w:val="single" w:sz="4" w:space="0" w:color="FFFFFF" w:themeColor="background1"/>
      </w:tblBorders>
    </w:tblPr>
    <w:tcPr>
      <w:shd w:val="clear" w:color="auto" w:fill="BCF8F1" w:themeFill="accent5" w:themeFillTint="33"/>
    </w:tcPr>
    <w:tblStylePr w:type="firstRow">
      <w:rPr>
        <w:b/>
        <w:bCs/>
      </w:rPr>
      <w:tblPr/>
      <w:tcPr>
        <w:shd w:val="clear" w:color="auto" w:fill="7AF2E4" w:themeFill="accent5" w:themeFillTint="66"/>
      </w:tcPr>
    </w:tblStylePr>
    <w:tblStylePr w:type="lastRow">
      <w:rPr>
        <w:b/>
        <w:bCs/>
        <w:color w:val="222222" w:themeColor="text1"/>
      </w:rPr>
      <w:tblPr/>
      <w:tcPr>
        <w:shd w:val="clear" w:color="auto" w:fill="7AF2E4" w:themeFill="accent5" w:themeFillTint="66"/>
      </w:tcPr>
    </w:tblStylePr>
    <w:tblStylePr w:type="firstCol">
      <w:rPr>
        <w:color w:val="FFFFFF" w:themeColor="background1"/>
      </w:rPr>
      <w:tblPr/>
      <w:tcPr>
        <w:shd w:val="clear" w:color="auto" w:fill="096358" w:themeFill="accent5" w:themeFillShade="BF"/>
      </w:tcPr>
    </w:tblStylePr>
    <w:tblStylePr w:type="lastCol">
      <w:rPr>
        <w:color w:val="FFFFFF" w:themeColor="background1"/>
      </w:rPr>
      <w:tblPr/>
      <w:tcPr>
        <w:shd w:val="clear" w:color="auto" w:fill="096358" w:themeFill="accent5" w:themeFillShade="BF"/>
      </w:tcPr>
    </w:tblStylePr>
    <w:tblStylePr w:type="band1Vert">
      <w:tblPr/>
      <w:tcPr>
        <w:shd w:val="clear" w:color="auto" w:fill="59EEDD" w:themeFill="accent5" w:themeFillTint="7F"/>
      </w:tcPr>
    </w:tblStylePr>
    <w:tblStylePr w:type="band1Horz">
      <w:tblPr/>
      <w:tcPr>
        <w:shd w:val="clear" w:color="auto" w:fill="59EEDD" w:themeFill="accent5" w:themeFillTint="7F"/>
      </w:tcPr>
    </w:tblStylePr>
  </w:style>
  <w:style w:type="table" w:styleId="ColorfulGrid-Accent6">
    <w:name w:val="Colorful Grid Accent 6"/>
    <w:basedOn w:val="TableNormal"/>
    <w:uiPriority w:val="73"/>
    <w:semiHidden/>
    <w:unhideWhenUsed/>
    <w:locked/>
    <w:rsid w:val="00530B2E"/>
    <w:pPr>
      <w:spacing w:after="0" w:line="240" w:lineRule="auto"/>
    </w:pPr>
    <w:tblPr>
      <w:tblStyleRowBandSize w:val="1"/>
      <w:tblStyleColBandSize w:val="1"/>
      <w:tblBorders>
        <w:insideH w:val="single" w:sz="4" w:space="0" w:color="FFFFFF" w:themeColor="background1"/>
      </w:tblBorders>
    </w:tblPr>
    <w:tcPr>
      <w:shd w:val="clear" w:color="auto" w:fill="D9F1ED" w:themeFill="accent6" w:themeFillTint="33"/>
    </w:tcPr>
    <w:tblStylePr w:type="firstRow">
      <w:rPr>
        <w:b/>
        <w:bCs/>
      </w:rPr>
      <w:tblPr/>
      <w:tcPr>
        <w:shd w:val="clear" w:color="auto" w:fill="B4E2DC" w:themeFill="accent6" w:themeFillTint="66"/>
      </w:tcPr>
    </w:tblStylePr>
    <w:tblStylePr w:type="lastRow">
      <w:rPr>
        <w:b/>
        <w:bCs/>
        <w:color w:val="222222" w:themeColor="text1"/>
      </w:rPr>
      <w:tblPr/>
      <w:tcPr>
        <w:shd w:val="clear" w:color="auto" w:fill="B4E2DC" w:themeFill="accent6" w:themeFillTint="66"/>
      </w:tcPr>
    </w:tblStylePr>
    <w:tblStylePr w:type="firstCol">
      <w:rPr>
        <w:color w:val="FFFFFF" w:themeColor="background1"/>
      </w:rPr>
      <w:tblPr/>
      <w:tcPr>
        <w:shd w:val="clear" w:color="auto" w:fill="34897E" w:themeFill="accent6" w:themeFillShade="BF"/>
      </w:tcPr>
    </w:tblStylePr>
    <w:tblStylePr w:type="lastCol">
      <w:rPr>
        <w:color w:val="FFFFFF" w:themeColor="background1"/>
      </w:rPr>
      <w:tblPr/>
      <w:tcPr>
        <w:shd w:val="clear" w:color="auto" w:fill="34897E" w:themeFill="accent6" w:themeFillShade="BF"/>
      </w:tcPr>
    </w:tblStylePr>
    <w:tblStylePr w:type="band1Vert">
      <w:tblPr/>
      <w:tcPr>
        <w:shd w:val="clear" w:color="auto" w:fill="A2DBD4" w:themeFill="accent6" w:themeFillTint="7F"/>
      </w:tcPr>
    </w:tblStylePr>
    <w:tblStylePr w:type="band1Horz">
      <w:tblPr/>
      <w:tcPr>
        <w:shd w:val="clear" w:color="auto" w:fill="A2DBD4" w:themeFill="accent6" w:themeFillTint="7F"/>
      </w:tcPr>
    </w:tblStylePr>
  </w:style>
  <w:style w:type="table" w:styleId="ColorfulList">
    <w:name w:val="Colorful List"/>
    <w:basedOn w:val="TableNormal"/>
    <w:uiPriority w:val="72"/>
    <w:semiHidden/>
    <w:unhideWhenUsed/>
    <w:locked/>
    <w:rsid w:val="00530B2E"/>
    <w:pPr>
      <w:spacing w:after="0" w:line="240" w:lineRule="auto"/>
    </w:pPr>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F7B075" w:themeFill="accent2" w:themeFillShade="CC"/>
      </w:tcPr>
    </w:tblStylePr>
    <w:tblStylePr w:type="lastRow">
      <w:rPr>
        <w:b/>
        <w:bCs/>
        <w:color w:val="F7B075" w:themeColor="accent2" w:themeShade="CC"/>
      </w:rPr>
      <w:tblPr/>
      <w:tcPr>
        <w:tcBorders>
          <w:top w:val="single" w:sz="12" w:space="0" w:color="22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C8C8" w:themeFill="text1" w:themeFillTint="3F"/>
      </w:tcPr>
    </w:tblStylePr>
    <w:tblStylePr w:type="band1Horz">
      <w:tblPr/>
      <w:tcPr>
        <w:shd w:val="clear" w:color="auto" w:fill="D2D2D2" w:themeFill="text1" w:themeFillTint="33"/>
      </w:tcPr>
    </w:tblStylePr>
  </w:style>
  <w:style w:type="table" w:styleId="ColorfulList-Accent1">
    <w:name w:val="Colorful List Accent 1"/>
    <w:basedOn w:val="TableNormal"/>
    <w:uiPriority w:val="72"/>
    <w:semiHidden/>
    <w:unhideWhenUsed/>
    <w:locked/>
    <w:rsid w:val="00530B2E"/>
    <w:pPr>
      <w:spacing w:after="0" w:line="240" w:lineRule="auto"/>
    </w:pPr>
    <w:tblPr>
      <w:tblStyleRowBandSize w:val="1"/>
      <w:tblStyleColBandSize w:val="1"/>
    </w:tblPr>
    <w:tcPr>
      <w:shd w:val="clear" w:color="auto" w:fill="FFEFE1" w:themeFill="accent1" w:themeFillTint="19"/>
    </w:tcPr>
    <w:tblStylePr w:type="firstRow">
      <w:rPr>
        <w:b/>
        <w:bCs/>
        <w:color w:val="FFFFFF" w:themeColor="background1"/>
      </w:rPr>
      <w:tblPr/>
      <w:tcPr>
        <w:tcBorders>
          <w:bottom w:val="single" w:sz="12" w:space="0" w:color="FFFFFF" w:themeColor="background1"/>
        </w:tcBorders>
        <w:shd w:val="clear" w:color="auto" w:fill="F7B075" w:themeFill="accent2" w:themeFillShade="CC"/>
      </w:tcPr>
    </w:tblStylePr>
    <w:tblStylePr w:type="lastRow">
      <w:rPr>
        <w:b/>
        <w:bCs/>
        <w:color w:val="F7B075" w:themeColor="accent2" w:themeShade="CC"/>
      </w:rPr>
      <w:tblPr/>
      <w:tcPr>
        <w:tcBorders>
          <w:top w:val="single" w:sz="12" w:space="0" w:color="22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9B3" w:themeFill="accent1" w:themeFillTint="3F"/>
      </w:tcPr>
    </w:tblStylePr>
    <w:tblStylePr w:type="band1Horz">
      <w:tblPr/>
      <w:tcPr>
        <w:shd w:val="clear" w:color="auto" w:fill="FFE0C1" w:themeFill="accent1" w:themeFillTint="33"/>
      </w:tcPr>
    </w:tblStylePr>
  </w:style>
  <w:style w:type="table" w:styleId="ColorfulList-Accent2">
    <w:name w:val="Colorful List Accent 2"/>
    <w:basedOn w:val="TableNormal"/>
    <w:uiPriority w:val="72"/>
    <w:semiHidden/>
    <w:unhideWhenUsed/>
    <w:locked/>
    <w:rsid w:val="00530B2E"/>
    <w:pPr>
      <w:spacing w:after="0" w:line="240" w:lineRule="auto"/>
    </w:pPr>
    <w:tblPr>
      <w:tblStyleRowBandSize w:val="1"/>
      <w:tblStyleColBandSize w:val="1"/>
    </w:tblPr>
    <w:tcPr>
      <w:shd w:val="clear" w:color="auto" w:fill="FEFCF9" w:themeFill="accent2" w:themeFillTint="19"/>
    </w:tcPr>
    <w:tblStylePr w:type="firstRow">
      <w:rPr>
        <w:b/>
        <w:bCs/>
        <w:color w:val="FFFFFF" w:themeColor="background1"/>
      </w:rPr>
      <w:tblPr/>
      <w:tcPr>
        <w:tcBorders>
          <w:bottom w:val="single" w:sz="12" w:space="0" w:color="FFFFFF" w:themeColor="background1"/>
        </w:tcBorders>
        <w:shd w:val="clear" w:color="auto" w:fill="F7B075" w:themeFill="accent2" w:themeFillShade="CC"/>
      </w:tcPr>
    </w:tblStylePr>
    <w:tblStylePr w:type="lastRow">
      <w:rPr>
        <w:b/>
        <w:bCs/>
        <w:color w:val="F7B075" w:themeColor="accent2" w:themeShade="CC"/>
      </w:rPr>
      <w:tblPr/>
      <w:tcPr>
        <w:tcBorders>
          <w:top w:val="single" w:sz="12" w:space="0" w:color="22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7F2" w:themeFill="accent2" w:themeFillTint="3F"/>
      </w:tcPr>
    </w:tblStylePr>
    <w:tblStylePr w:type="band1Horz">
      <w:tblPr/>
      <w:tcPr>
        <w:shd w:val="clear" w:color="auto" w:fill="FEF9F4" w:themeFill="accent2" w:themeFillTint="33"/>
      </w:tcPr>
    </w:tblStylePr>
  </w:style>
  <w:style w:type="table" w:styleId="ColorfulList-Accent3">
    <w:name w:val="Colorful List Accent 3"/>
    <w:basedOn w:val="TableNormal"/>
    <w:uiPriority w:val="72"/>
    <w:semiHidden/>
    <w:unhideWhenUsed/>
    <w:locked/>
    <w:rsid w:val="00530B2E"/>
    <w:pPr>
      <w:spacing w:after="0" w:line="240" w:lineRule="auto"/>
    </w:pPr>
    <w:tblPr>
      <w:tblStyleRowBandSize w:val="1"/>
      <w:tblStyleColBandSize w:val="1"/>
    </w:tblPr>
    <w:tcPr>
      <w:shd w:val="clear" w:color="auto" w:fill="DCECFA" w:themeFill="accent3" w:themeFillTint="19"/>
    </w:tcPr>
    <w:tblStylePr w:type="firstRow">
      <w:rPr>
        <w:b/>
        <w:bCs/>
        <w:color w:val="FFFFFF" w:themeColor="background1"/>
      </w:rPr>
      <w:tblPr/>
      <w:tcPr>
        <w:tcBorders>
          <w:bottom w:val="single" w:sz="12" w:space="0" w:color="FFFFFF" w:themeColor="background1"/>
        </w:tcBorders>
        <w:shd w:val="clear" w:color="auto" w:fill="58769B" w:themeFill="accent4" w:themeFillShade="CC"/>
      </w:tcPr>
    </w:tblStylePr>
    <w:tblStylePr w:type="lastRow">
      <w:rPr>
        <w:b/>
        <w:bCs/>
        <w:color w:val="58769B" w:themeColor="accent4" w:themeShade="CC"/>
      </w:rPr>
      <w:tblPr/>
      <w:tcPr>
        <w:tcBorders>
          <w:top w:val="single" w:sz="12" w:space="0" w:color="22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1F4" w:themeFill="accent3" w:themeFillTint="3F"/>
      </w:tcPr>
    </w:tblStylePr>
    <w:tblStylePr w:type="band1Horz">
      <w:tblPr/>
      <w:tcPr>
        <w:shd w:val="clear" w:color="auto" w:fill="B8DAF6" w:themeFill="accent3" w:themeFillTint="33"/>
      </w:tcPr>
    </w:tblStylePr>
  </w:style>
  <w:style w:type="table" w:styleId="ColorfulList-Accent4">
    <w:name w:val="Colorful List Accent 4"/>
    <w:basedOn w:val="TableNormal"/>
    <w:uiPriority w:val="72"/>
    <w:semiHidden/>
    <w:unhideWhenUsed/>
    <w:locked/>
    <w:rsid w:val="00530B2E"/>
    <w:pPr>
      <w:spacing w:after="0" w:line="240" w:lineRule="auto"/>
    </w:pPr>
    <w:tblPr>
      <w:tblStyleRowBandSize w:val="1"/>
      <w:tblStyleColBandSize w:val="1"/>
    </w:tblPr>
    <w:tcPr>
      <w:shd w:val="clear" w:color="auto" w:fill="F2F4F7" w:themeFill="accent4" w:themeFillTint="19"/>
    </w:tcPr>
    <w:tblStylePr w:type="firstRow">
      <w:rPr>
        <w:b/>
        <w:bCs/>
        <w:color w:val="FFFFFF" w:themeColor="background1"/>
      </w:rPr>
      <w:tblPr/>
      <w:tcPr>
        <w:tcBorders>
          <w:bottom w:val="single" w:sz="12" w:space="0" w:color="FFFFFF" w:themeColor="background1"/>
        </w:tcBorders>
        <w:shd w:val="clear" w:color="auto" w:fill="0A3152" w:themeFill="accent3" w:themeFillShade="CC"/>
      </w:tcPr>
    </w:tblStylePr>
    <w:tblStylePr w:type="lastRow">
      <w:rPr>
        <w:b/>
        <w:bCs/>
        <w:color w:val="0A3152" w:themeColor="accent3" w:themeShade="CC"/>
      </w:rPr>
      <w:tblPr/>
      <w:tcPr>
        <w:tcBorders>
          <w:top w:val="single" w:sz="12" w:space="0" w:color="22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4EC" w:themeFill="accent4" w:themeFillTint="3F"/>
      </w:tcPr>
    </w:tblStylePr>
    <w:tblStylePr w:type="band1Horz">
      <w:tblPr/>
      <w:tcPr>
        <w:shd w:val="clear" w:color="auto" w:fill="E4E9F0" w:themeFill="accent4" w:themeFillTint="33"/>
      </w:tcPr>
    </w:tblStylePr>
  </w:style>
  <w:style w:type="table" w:styleId="ColorfulList-Accent5">
    <w:name w:val="Colorful List Accent 5"/>
    <w:basedOn w:val="TableNormal"/>
    <w:uiPriority w:val="72"/>
    <w:semiHidden/>
    <w:unhideWhenUsed/>
    <w:locked/>
    <w:rsid w:val="00530B2E"/>
    <w:pPr>
      <w:spacing w:after="0" w:line="240" w:lineRule="auto"/>
    </w:pPr>
    <w:tblPr>
      <w:tblStyleRowBandSize w:val="1"/>
      <w:tblStyleColBandSize w:val="1"/>
    </w:tblPr>
    <w:tcPr>
      <w:shd w:val="clear" w:color="auto" w:fill="DEFBF8" w:themeFill="accent5" w:themeFillTint="19"/>
    </w:tcPr>
    <w:tblStylePr w:type="firstRow">
      <w:rPr>
        <w:b/>
        <w:bCs/>
        <w:color w:val="FFFFFF" w:themeColor="background1"/>
      </w:rPr>
      <w:tblPr/>
      <w:tcPr>
        <w:tcBorders>
          <w:bottom w:val="single" w:sz="12" w:space="0" w:color="FFFFFF" w:themeColor="background1"/>
        </w:tcBorders>
        <w:shd w:val="clear" w:color="auto" w:fill="389386" w:themeFill="accent6" w:themeFillShade="CC"/>
      </w:tcPr>
    </w:tblStylePr>
    <w:tblStylePr w:type="lastRow">
      <w:rPr>
        <w:b/>
        <w:bCs/>
        <w:color w:val="389386" w:themeColor="accent6" w:themeShade="CC"/>
      </w:rPr>
      <w:tblPr/>
      <w:tcPr>
        <w:tcBorders>
          <w:top w:val="single" w:sz="12" w:space="0" w:color="22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F7EE" w:themeFill="accent5" w:themeFillTint="3F"/>
      </w:tcPr>
    </w:tblStylePr>
    <w:tblStylePr w:type="band1Horz">
      <w:tblPr/>
      <w:tcPr>
        <w:shd w:val="clear" w:color="auto" w:fill="BCF8F1" w:themeFill="accent5" w:themeFillTint="33"/>
      </w:tcPr>
    </w:tblStylePr>
  </w:style>
  <w:style w:type="table" w:styleId="ColorfulList-Accent6">
    <w:name w:val="Colorful List Accent 6"/>
    <w:basedOn w:val="TableNormal"/>
    <w:uiPriority w:val="72"/>
    <w:semiHidden/>
    <w:unhideWhenUsed/>
    <w:locked/>
    <w:rsid w:val="00530B2E"/>
    <w:pPr>
      <w:spacing w:after="0" w:line="240" w:lineRule="auto"/>
    </w:pPr>
    <w:tblPr>
      <w:tblStyleRowBandSize w:val="1"/>
      <w:tblStyleColBandSize w:val="1"/>
    </w:tblPr>
    <w:tcPr>
      <w:shd w:val="clear" w:color="auto" w:fill="ECF8F6" w:themeFill="accent6" w:themeFillTint="19"/>
    </w:tcPr>
    <w:tblStylePr w:type="firstRow">
      <w:rPr>
        <w:b/>
        <w:bCs/>
        <w:color w:val="FFFFFF" w:themeColor="background1"/>
      </w:rPr>
      <w:tblPr/>
      <w:tcPr>
        <w:tcBorders>
          <w:bottom w:val="single" w:sz="12" w:space="0" w:color="FFFFFF" w:themeColor="background1"/>
        </w:tcBorders>
        <w:shd w:val="clear" w:color="auto" w:fill="0A6A5E" w:themeFill="accent5" w:themeFillShade="CC"/>
      </w:tcPr>
    </w:tblStylePr>
    <w:tblStylePr w:type="lastRow">
      <w:rPr>
        <w:b/>
        <w:bCs/>
        <w:color w:val="0A6A5E" w:themeColor="accent5" w:themeShade="CC"/>
      </w:rPr>
      <w:tblPr/>
      <w:tcPr>
        <w:tcBorders>
          <w:top w:val="single" w:sz="12" w:space="0" w:color="22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EDE9" w:themeFill="accent6" w:themeFillTint="3F"/>
      </w:tcPr>
    </w:tblStylePr>
    <w:tblStylePr w:type="band1Horz">
      <w:tblPr/>
      <w:tcPr>
        <w:shd w:val="clear" w:color="auto" w:fill="D9F1ED" w:themeFill="accent6" w:themeFillTint="33"/>
      </w:tcPr>
    </w:tblStylePr>
  </w:style>
  <w:style w:type="table" w:styleId="ColorfulShading">
    <w:name w:val="Colorful Shading"/>
    <w:basedOn w:val="TableNormal"/>
    <w:uiPriority w:val="71"/>
    <w:semiHidden/>
    <w:unhideWhenUsed/>
    <w:locked/>
    <w:rsid w:val="00530B2E"/>
    <w:pPr>
      <w:spacing w:after="0" w:line="240" w:lineRule="auto"/>
    </w:pPr>
    <w:tblPr>
      <w:tblStyleRowBandSize w:val="1"/>
      <w:tblStyleColBandSize w:val="1"/>
      <w:tblBorders>
        <w:top w:val="single" w:sz="24" w:space="0" w:color="FCE2CC" w:themeColor="accent2"/>
        <w:left w:val="single" w:sz="4" w:space="0" w:color="222222" w:themeColor="text1"/>
        <w:bottom w:val="single" w:sz="4" w:space="0" w:color="222222" w:themeColor="text1"/>
        <w:right w:val="single" w:sz="4" w:space="0" w:color="22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FCE2C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91919" w:themeFill="text1" w:themeFillShade="BF"/>
      </w:tcPr>
    </w:tblStylePr>
    <w:tblStylePr w:type="band1Vert">
      <w:tblPr/>
      <w:tcPr>
        <w:shd w:val="clear" w:color="auto" w:fill="A6A6A6" w:themeFill="text1" w:themeFillTint="66"/>
      </w:tcPr>
    </w:tblStylePr>
    <w:tblStylePr w:type="band1Horz">
      <w:tblPr/>
      <w:tcPr>
        <w:shd w:val="clear" w:color="auto" w:fill="909090" w:themeFill="text1" w:themeFillTint="7F"/>
      </w:tcPr>
    </w:tblStylePr>
    <w:tblStylePr w:type="neCell">
      <w:rPr>
        <w:color w:val="222222" w:themeColor="text1"/>
      </w:rPr>
    </w:tblStylePr>
    <w:tblStylePr w:type="nwCell">
      <w:rPr>
        <w:color w:val="222222" w:themeColor="text1"/>
      </w:rPr>
    </w:tblStylePr>
  </w:style>
  <w:style w:type="table" w:styleId="ColorfulShading-Accent1">
    <w:name w:val="Colorful Shading Accent 1"/>
    <w:basedOn w:val="TableNormal"/>
    <w:uiPriority w:val="71"/>
    <w:semiHidden/>
    <w:unhideWhenUsed/>
    <w:locked/>
    <w:rsid w:val="00530B2E"/>
    <w:pPr>
      <w:spacing w:after="0" w:line="240" w:lineRule="auto"/>
    </w:pPr>
    <w:tblPr>
      <w:tblStyleRowBandSize w:val="1"/>
      <w:tblStyleColBandSize w:val="1"/>
      <w:tblBorders>
        <w:top w:val="single" w:sz="24" w:space="0" w:color="FCE2CC" w:themeColor="accent2"/>
        <w:left w:val="single" w:sz="4" w:space="0" w:color="CC6600" w:themeColor="accent1"/>
        <w:bottom w:val="single" w:sz="4" w:space="0" w:color="CC6600" w:themeColor="accent1"/>
        <w:right w:val="single" w:sz="4" w:space="0" w:color="CC6600" w:themeColor="accent1"/>
        <w:insideH w:val="single" w:sz="4" w:space="0" w:color="FFFFFF" w:themeColor="background1"/>
        <w:insideV w:val="single" w:sz="4" w:space="0" w:color="FFFFFF" w:themeColor="background1"/>
      </w:tblBorders>
    </w:tblPr>
    <w:tcPr>
      <w:shd w:val="clear" w:color="auto" w:fill="FFEFE1" w:themeFill="accent1" w:themeFillTint="19"/>
    </w:tcPr>
    <w:tblStylePr w:type="firstRow">
      <w:rPr>
        <w:b/>
        <w:bCs/>
      </w:rPr>
      <w:tblPr/>
      <w:tcPr>
        <w:tcBorders>
          <w:top w:val="nil"/>
          <w:left w:val="nil"/>
          <w:bottom w:val="single" w:sz="24" w:space="0" w:color="FCE2C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3C00" w:themeFill="accent1" w:themeFillShade="99"/>
      </w:tcPr>
    </w:tblStylePr>
    <w:tblStylePr w:type="firstCol">
      <w:rPr>
        <w:color w:val="FFFFFF" w:themeColor="background1"/>
      </w:rPr>
      <w:tblPr/>
      <w:tcPr>
        <w:tcBorders>
          <w:top w:val="nil"/>
          <w:left w:val="nil"/>
          <w:bottom w:val="nil"/>
          <w:right w:val="nil"/>
          <w:insideH w:val="single" w:sz="4" w:space="0" w:color="7A3C00" w:themeColor="accent1" w:themeShade="99"/>
          <w:insideV w:val="nil"/>
        </w:tcBorders>
        <w:shd w:val="clear" w:color="auto" w:fill="7A3C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A3C00" w:themeFill="accent1" w:themeFillShade="99"/>
      </w:tcPr>
    </w:tblStylePr>
    <w:tblStylePr w:type="band1Vert">
      <w:tblPr/>
      <w:tcPr>
        <w:shd w:val="clear" w:color="auto" w:fill="FFC184" w:themeFill="accent1" w:themeFillTint="66"/>
      </w:tcPr>
    </w:tblStylePr>
    <w:tblStylePr w:type="band1Horz">
      <w:tblPr/>
      <w:tcPr>
        <w:shd w:val="clear" w:color="auto" w:fill="FFB266" w:themeFill="accent1" w:themeFillTint="7F"/>
      </w:tcPr>
    </w:tblStylePr>
    <w:tblStylePr w:type="neCell">
      <w:rPr>
        <w:color w:val="222222" w:themeColor="text1"/>
      </w:rPr>
    </w:tblStylePr>
    <w:tblStylePr w:type="nwCell">
      <w:rPr>
        <w:color w:val="222222" w:themeColor="text1"/>
      </w:rPr>
    </w:tblStylePr>
  </w:style>
  <w:style w:type="table" w:styleId="ColorfulShading-Accent2">
    <w:name w:val="Colorful Shading Accent 2"/>
    <w:basedOn w:val="TableNormal"/>
    <w:uiPriority w:val="71"/>
    <w:semiHidden/>
    <w:unhideWhenUsed/>
    <w:locked/>
    <w:rsid w:val="00530B2E"/>
    <w:pPr>
      <w:spacing w:after="0" w:line="240" w:lineRule="auto"/>
    </w:pPr>
    <w:tblPr>
      <w:tblStyleRowBandSize w:val="1"/>
      <w:tblStyleColBandSize w:val="1"/>
      <w:tblBorders>
        <w:top w:val="single" w:sz="24" w:space="0" w:color="FCE2CC" w:themeColor="accent2"/>
        <w:left w:val="single" w:sz="4" w:space="0" w:color="FCE2CC" w:themeColor="accent2"/>
        <w:bottom w:val="single" w:sz="4" w:space="0" w:color="FCE2CC" w:themeColor="accent2"/>
        <w:right w:val="single" w:sz="4" w:space="0" w:color="FCE2CC" w:themeColor="accent2"/>
        <w:insideH w:val="single" w:sz="4" w:space="0" w:color="FFFFFF" w:themeColor="background1"/>
        <w:insideV w:val="single" w:sz="4" w:space="0" w:color="FFFFFF" w:themeColor="background1"/>
      </w:tblBorders>
    </w:tblPr>
    <w:tcPr>
      <w:shd w:val="clear" w:color="auto" w:fill="FEFCF9" w:themeFill="accent2" w:themeFillTint="19"/>
    </w:tcPr>
    <w:tblStylePr w:type="firstRow">
      <w:rPr>
        <w:b/>
        <w:bCs/>
      </w:rPr>
      <w:tblPr/>
      <w:tcPr>
        <w:tcBorders>
          <w:top w:val="nil"/>
          <w:left w:val="nil"/>
          <w:bottom w:val="single" w:sz="24" w:space="0" w:color="FCE2C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F27F1F" w:themeFill="accent2" w:themeFillShade="99"/>
      </w:tcPr>
    </w:tblStylePr>
    <w:tblStylePr w:type="firstCol">
      <w:rPr>
        <w:color w:val="FFFFFF" w:themeColor="background1"/>
      </w:rPr>
      <w:tblPr/>
      <w:tcPr>
        <w:tcBorders>
          <w:top w:val="nil"/>
          <w:left w:val="nil"/>
          <w:bottom w:val="nil"/>
          <w:right w:val="nil"/>
          <w:insideH w:val="single" w:sz="4" w:space="0" w:color="F27F1F" w:themeColor="accent2" w:themeShade="99"/>
          <w:insideV w:val="nil"/>
        </w:tcBorders>
        <w:shd w:val="clear" w:color="auto" w:fill="F27F1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F27F1F" w:themeFill="accent2" w:themeFillShade="99"/>
      </w:tcPr>
    </w:tblStylePr>
    <w:tblStylePr w:type="band1Vert">
      <w:tblPr/>
      <w:tcPr>
        <w:shd w:val="clear" w:color="auto" w:fill="FDF3EA" w:themeFill="accent2" w:themeFillTint="66"/>
      </w:tcPr>
    </w:tblStylePr>
    <w:tblStylePr w:type="band1Horz">
      <w:tblPr/>
      <w:tcPr>
        <w:shd w:val="clear" w:color="auto" w:fill="FDF0E5" w:themeFill="accent2" w:themeFillTint="7F"/>
      </w:tcPr>
    </w:tblStylePr>
    <w:tblStylePr w:type="neCell">
      <w:rPr>
        <w:color w:val="222222" w:themeColor="text1"/>
      </w:rPr>
    </w:tblStylePr>
    <w:tblStylePr w:type="nwCell">
      <w:rPr>
        <w:color w:val="222222" w:themeColor="text1"/>
      </w:rPr>
    </w:tblStylePr>
  </w:style>
  <w:style w:type="table" w:styleId="ColorfulShading-Accent3">
    <w:name w:val="Colorful Shading Accent 3"/>
    <w:basedOn w:val="TableNormal"/>
    <w:uiPriority w:val="71"/>
    <w:semiHidden/>
    <w:unhideWhenUsed/>
    <w:locked/>
    <w:rsid w:val="00530B2E"/>
    <w:pPr>
      <w:spacing w:after="0" w:line="240" w:lineRule="auto"/>
    </w:pPr>
    <w:tblPr>
      <w:tblStyleRowBandSize w:val="1"/>
      <w:tblStyleColBandSize w:val="1"/>
      <w:tblBorders>
        <w:top w:val="single" w:sz="24" w:space="0" w:color="7D96B5" w:themeColor="accent4"/>
        <w:left w:val="single" w:sz="4" w:space="0" w:color="0D3E67" w:themeColor="accent3"/>
        <w:bottom w:val="single" w:sz="4" w:space="0" w:color="0D3E67" w:themeColor="accent3"/>
        <w:right w:val="single" w:sz="4" w:space="0" w:color="0D3E67" w:themeColor="accent3"/>
        <w:insideH w:val="single" w:sz="4" w:space="0" w:color="FFFFFF" w:themeColor="background1"/>
        <w:insideV w:val="single" w:sz="4" w:space="0" w:color="FFFFFF" w:themeColor="background1"/>
      </w:tblBorders>
    </w:tblPr>
    <w:tcPr>
      <w:shd w:val="clear" w:color="auto" w:fill="DCECFA" w:themeFill="accent3" w:themeFillTint="19"/>
    </w:tcPr>
    <w:tblStylePr w:type="firstRow">
      <w:rPr>
        <w:b/>
        <w:bCs/>
      </w:rPr>
      <w:tblPr/>
      <w:tcPr>
        <w:tcBorders>
          <w:top w:val="nil"/>
          <w:left w:val="nil"/>
          <w:bottom w:val="single" w:sz="24" w:space="0" w:color="7D96B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243D" w:themeFill="accent3" w:themeFillShade="99"/>
      </w:tcPr>
    </w:tblStylePr>
    <w:tblStylePr w:type="firstCol">
      <w:rPr>
        <w:color w:val="FFFFFF" w:themeColor="background1"/>
      </w:rPr>
      <w:tblPr/>
      <w:tcPr>
        <w:tcBorders>
          <w:top w:val="nil"/>
          <w:left w:val="nil"/>
          <w:bottom w:val="nil"/>
          <w:right w:val="nil"/>
          <w:insideH w:val="single" w:sz="4" w:space="0" w:color="07243D" w:themeColor="accent3" w:themeShade="99"/>
          <w:insideV w:val="nil"/>
        </w:tcBorders>
        <w:shd w:val="clear" w:color="auto" w:fill="07243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243D" w:themeFill="accent3" w:themeFillShade="99"/>
      </w:tcPr>
    </w:tblStylePr>
    <w:tblStylePr w:type="band1Vert">
      <w:tblPr/>
      <w:tcPr>
        <w:shd w:val="clear" w:color="auto" w:fill="73B5ED" w:themeFill="accent3" w:themeFillTint="66"/>
      </w:tcPr>
    </w:tblStylePr>
    <w:tblStylePr w:type="band1Horz">
      <w:tblPr/>
      <w:tcPr>
        <w:shd w:val="clear" w:color="auto" w:fill="50A3E9" w:themeFill="accent3" w:themeFillTint="7F"/>
      </w:tcPr>
    </w:tblStylePr>
  </w:style>
  <w:style w:type="table" w:styleId="ColorfulShading-Accent4">
    <w:name w:val="Colorful Shading Accent 4"/>
    <w:basedOn w:val="TableNormal"/>
    <w:uiPriority w:val="71"/>
    <w:semiHidden/>
    <w:unhideWhenUsed/>
    <w:locked/>
    <w:rsid w:val="00530B2E"/>
    <w:pPr>
      <w:spacing w:after="0" w:line="240" w:lineRule="auto"/>
    </w:pPr>
    <w:tblPr>
      <w:tblStyleRowBandSize w:val="1"/>
      <w:tblStyleColBandSize w:val="1"/>
      <w:tblBorders>
        <w:top w:val="single" w:sz="24" w:space="0" w:color="0D3E67" w:themeColor="accent3"/>
        <w:left w:val="single" w:sz="4" w:space="0" w:color="7D96B5" w:themeColor="accent4"/>
        <w:bottom w:val="single" w:sz="4" w:space="0" w:color="7D96B5" w:themeColor="accent4"/>
        <w:right w:val="single" w:sz="4" w:space="0" w:color="7D96B5" w:themeColor="accent4"/>
        <w:insideH w:val="single" w:sz="4" w:space="0" w:color="FFFFFF" w:themeColor="background1"/>
        <w:insideV w:val="single" w:sz="4" w:space="0" w:color="FFFFFF" w:themeColor="background1"/>
      </w:tblBorders>
    </w:tblPr>
    <w:tcPr>
      <w:shd w:val="clear" w:color="auto" w:fill="F2F4F7" w:themeFill="accent4" w:themeFillTint="19"/>
    </w:tcPr>
    <w:tblStylePr w:type="firstRow">
      <w:rPr>
        <w:b/>
        <w:bCs/>
      </w:rPr>
      <w:tblPr/>
      <w:tcPr>
        <w:tcBorders>
          <w:top w:val="nil"/>
          <w:left w:val="nil"/>
          <w:bottom w:val="single" w:sz="24" w:space="0" w:color="0D3E6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5874" w:themeFill="accent4" w:themeFillShade="99"/>
      </w:tcPr>
    </w:tblStylePr>
    <w:tblStylePr w:type="firstCol">
      <w:rPr>
        <w:color w:val="FFFFFF" w:themeColor="background1"/>
      </w:rPr>
      <w:tblPr/>
      <w:tcPr>
        <w:tcBorders>
          <w:top w:val="nil"/>
          <w:left w:val="nil"/>
          <w:bottom w:val="nil"/>
          <w:right w:val="nil"/>
          <w:insideH w:val="single" w:sz="4" w:space="0" w:color="425874" w:themeColor="accent4" w:themeShade="99"/>
          <w:insideV w:val="nil"/>
        </w:tcBorders>
        <w:shd w:val="clear" w:color="auto" w:fill="42587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25874" w:themeFill="accent4" w:themeFillShade="99"/>
      </w:tcPr>
    </w:tblStylePr>
    <w:tblStylePr w:type="band1Vert">
      <w:tblPr/>
      <w:tcPr>
        <w:shd w:val="clear" w:color="auto" w:fill="CAD4E1" w:themeFill="accent4" w:themeFillTint="66"/>
      </w:tcPr>
    </w:tblStylePr>
    <w:tblStylePr w:type="band1Horz">
      <w:tblPr/>
      <w:tcPr>
        <w:shd w:val="clear" w:color="auto" w:fill="BECADA" w:themeFill="accent4" w:themeFillTint="7F"/>
      </w:tcPr>
    </w:tblStylePr>
    <w:tblStylePr w:type="neCell">
      <w:rPr>
        <w:color w:val="222222" w:themeColor="text1"/>
      </w:rPr>
    </w:tblStylePr>
    <w:tblStylePr w:type="nwCell">
      <w:rPr>
        <w:color w:val="222222" w:themeColor="text1"/>
      </w:rPr>
    </w:tblStylePr>
  </w:style>
  <w:style w:type="table" w:styleId="ColorfulShading-Accent5">
    <w:name w:val="Colorful Shading Accent 5"/>
    <w:basedOn w:val="TableNormal"/>
    <w:uiPriority w:val="71"/>
    <w:semiHidden/>
    <w:unhideWhenUsed/>
    <w:locked/>
    <w:rsid w:val="00530B2E"/>
    <w:pPr>
      <w:spacing w:after="0" w:line="240" w:lineRule="auto"/>
    </w:pPr>
    <w:tblPr>
      <w:tblStyleRowBandSize w:val="1"/>
      <w:tblStyleColBandSize w:val="1"/>
      <w:tblBorders>
        <w:top w:val="single" w:sz="24" w:space="0" w:color="46B8A9" w:themeColor="accent6"/>
        <w:left w:val="single" w:sz="4" w:space="0" w:color="0D8577" w:themeColor="accent5"/>
        <w:bottom w:val="single" w:sz="4" w:space="0" w:color="0D8577" w:themeColor="accent5"/>
        <w:right w:val="single" w:sz="4" w:space="0" w:color="0D8577" w:themeColor="accent5"/>
        <w:insideH w:val="single" w:sz="4" w:space="0" w:color="FFFFFF" w:themeColor="background1"/>
        <w:insideV w:val="single" w:sz="4" w:space="0" w:color="FFFFFF" w:themeColor="background1"/>
      </w:tblBorders>
    </w:tblPr>
    <w:tcPr>
      <w:shd w:val="clear" w:color="auto" w:fill="DEFBF8" w:themeFill="accent5" w:themeFillTint="19"/>
    </w:tcPr>
    <w:tblStylePr w:type="firstRow">
      <w:rPr>
        <w:b/>
        <w:bCs/>
      </w:rPr>
      <w:tblPr/>
      <w:tcPr>
        <w:tcBorders>
          <w:top w:val="nil"/>
          <w:left w:val="nil"/>
          <w:bottom w:val="single" w:sz="24" w:space="0" w:color="46B8A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4F47" w:themeFill="accent5" w:themeFillShade="99"/>
      </w:tcPr>
    </w:tblStylePr>
    <w:tblStylePr w:type="firstCol">
      <w:rPr>
        <w:color w:val="FFFFFF" w:themeColor="background1"/>
      </w:rPr>
      <w:tblPr/>
      <w:tcPr>
        <w:tcBorders>
          <w:top w:val="nil"/>
          <w:left w:val="nil"/>
          <w:bottom w:val="nil"/>
          <w:right w:val="nil"/>
          <w:insideH w:val="single" w:sz="4" w:space="0" w:color="074F47" w:themeColor="accent5" w:themeShade="99"/>
          <w:insideV w:val="nil"/>
        </w:tcBorders>
        <w:shd w:val="clear" w:color="auto" w:fill="074F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74F47" w:themeFill="accent5" w:themeFillShade="99"/>
      </w:tcPr>
    </w:tblStylePr>
    <w:tblStylePr w:type="band1Vert">
      <w:tblPr/>
      <w:tcPr>
        <w:shd w:val="clear" w:color="auto" w:fill="7AF2E4" w:themeFill="accent5" w:themeFillTint="66"/>
      </w:tcPr>
    </w:tblStylePr>
    <w:tblStylePr w:type="band1Horz">
      <w:tblPr/>
      <w:tcPr>
        <w:shd w:val="clear" w:color="auto" w:fill="59EEDD" w:themeFill="accent5" w:themeFillTint="7F"/>
      </w:tcPr>
    </w:tblStylePr>
    <w:tblStylePr w:type="neCell">
      <w:rPr>
        <w:color w:val="222222" w:themeColor="text1"/>
      </w:rPr>
    </w:tblStylePr>
    <w:tblStylePr w:type="nwCell">
      <w:rPr>
        <w:color w:val="222222" w:themeColor="text1"/>
      </w:rPr>
    </w:tblStylePr>
  </w:style>
  <w:style w:type="table" w:styleId="ColorfulShading-Accent6">
    <w:name w:val="Colorful Shading Accent 6"/>
    <w:basedOn w:val="TableNormal"/>
    <w:uiPriority w:val="71"/>
    <w:semiHidden/>
    <w:unhideWhenUsed/>
    <w:locked/>
    <w:rsid w:val="00530B2E"/>
    <w:pPr>
      <w:spacing w:after="0" w:line="240" w:lineRule="auto"/>
    </w:pPr>
    <w:tblPr>
      <w:tblStyleRowBandSize w:val="1"/>
      <w:tblStyleColBandSize w:val="1"/>
      <w:tblBorders>
        <w:top w:val="single" w:sz="24" w:space="0" w:color="0D8577" w:themeColor="accent5"/>
        <w:left w:val="single" w:sz="4" w:space="0" w:color="46B8A9" w:themeColor="accent6"/>
        <w:bottom w:val="single" w:sz="4" w:space="0" w:color="46B8A9" w:themeColor="accent6"/>
        <w:right w:val="single" w:sz="4" w:space="0" w:color="46B8A9" w:themeColor="accent6"/>
        <w:insideH w:val="single" w:sz="4" w:space="0" w:color="FFFFFF" w:themeColor="background1"/>
        <w:insideV w:val="single" w:sz="4" w:space="0" w:color="FFFFFF" w:themeColor="background1"/>
      </w:tblBorders>
    </w:tblPr>
    <w:tcPr>
      <w:shd w:val="clear" w:color="auto" w:fill="ECF8F6" w:themeFill="accent6" w:themeFillTint="19"/>
    </w:tcPr>
    <w:tblStylePr w:type="firstRow">
      <w:rPr>
        <w:b/>
        <w:bCs/>
      </w:rPr>
      <w:tblPr/>
      <w:tcPr>
        <w:tcBorders>
          <w:top w:val="nil"/>
          <w:left w:val="nil"/>
          <w:bottom w:val="single" w:sz="24" w:space="0" w:color="0D857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6E65" w:themeFill="accent6" w:themeFillShade="99"/>
      </w:tcPr>
    </w:tblStylePr>
    <w:tblStylePr w:type="firstCol">
      <w:rPr>
        <w:color w:val="FFFFFF" w:themeColor="background1"/>
      </w:rPr>
      <w:tblPr/>
      <w:tcPr>
        <w:tcBorders>
          <w:top w:val="nil"/>
          <w:left w:val="nil"/>
          <w:bottom w:val="nil"/>
          <w:right w:val="nil"/>
          <w:insideH w:val="single" w:sz="4" w:space="0" w:color="2A6E65" w:themeColor="accent6" w:themeShade="99"/>
          <w:insideV w:val="nil"/>
        </w:tcBorders>
        <w:shd w:val="clear" w:color="auto" w:fill="2A6E6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A6E65" w:themeFill="accent6" w:themeFillShade="99"/>
      </w:tcPr>
    </w:tblStylePr>
    <w:tblStylePr w:type="band1Vert">
      <w:tblPr/>
      <w:tcPr>
        <w:shd w:val="clear" w:color="auto" w:fill="B4E2DC" w:themeFill="accent6" w:themeFillTint="66"/>
      </w:tcPr>
    </w:tblStylePr>
    <w:tblStylePr w:type="band1Horz">
      <w:tblPr/>
      <w:tcPr>
        <w:shd w:val="clear" w:color="auto" w:fill="A2DBD4" w:themeFill="accent6" w:themeFillTint="7F"/>
      </w:tcPr>
    </w:tblStylePr>
    <w:tblStylePr w:type="neCell">
      <w:rPr>
        <w:color w:val="222222" w:themeColor="text1"/>
      </w:rPr>
    </w:tblStylePr>
    <w:tblStylePr w:type="nwCell">
      <w:rPr>
        <w:color w:val="222222" w:themeColor="text1"/>
      </w:rPr>
    </w:tblStylePr>
  </w:style>
  <w:style w:type="table" w:styleId="DarkList">
    <w:name w:val="Dark List"/>
    <w:basedOn w:val="TableNormal"/>
    <w:uiPriority w:val="70"/>
    <w:semiHidden/>
    <w:unhideWhenUsed/>
    <w:locked/>
    <w:rsid w:val="00530B2E"/>
    <w:pPr>
      <w:spacing w:after="0" w:line="240" w:lineRule="auto"/>
    </w:pPr>
    <w:rPr>
      <w:color w:val="FFFFFF" w:themeColor="background1"/>
    </w:rPr>
    <w:tblPr>
      <w:tblStyleRowBandSize w:val="1"/>
      <w:tblStyleColBandSize w:val="1"/>
    </w:tblPr>
    <w:tcPr>
      <w:shd w:val="clear" w:color="auto" w:fill="22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22222" w:themeFill="text1"/>
      </w:tcPr>
    </w:tblStylePr>
    <w:tblStylePr w:type="lastRow">
      <w:tblPr/>
      <w:tcPr>
        <w:tcBorders>
          <w:top w:val="single" w:sz="18" w:space="0" w:color="FFFFFF" w:themeColor="background1"/>
          <w:left w:val="nil"/>
          <w:bottom w:val="nil"/>
          <w:right w:val="nil"/>
          <w:insideH w:val="nil"/>
          <w:insideV w:val="nil"/>
        </w:tcBorders>
        <w:shd w:val="clear" w:color="auto" w:fill="10101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9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91919" w:themeFill="text1" w:themeFillShade="BF"/>
      </w:tcPr>
    </w:tblStylePr>
    <w:tblStylePr w:type="band1Vert">
      <w:tblPr/>
      <w:tcPr>
        <w:tcBorders>
          <w:top w:val="nil"/>
          <w:left w:val="nil"/>
          <w:bottom w:val="nil"/>
          <w:right w:val="nil"/>
          <w:insideH w:val="nil"/>
          <w:insideV w:val="nil"/>
        </w:tcBorders>
        <w:shd w:val="clear" w:color="auto" w:fill="191919" w:themeFill="text1" w:themeFillShade="BF"/>
      </w:tcPr>
    </w:tblStylePr>
    <w:tblStylePr w:type="band1Horz">
      <w:tblPr/>
      <w:tcPr>
        <w:tcBorders>
          <w:top w:val="nil"/>
          <w:left w:val="nil"/>
          <w:bottom w:val="nil"/>
          <w:right w:val="nil"/>
          <w:insideH w:val="nil"/>
          <w:insideV w:val="nil"/>
        </w:tcBorders>
        <w:shd w:val="clear" w:color="auto" w:fill="191919" w:themeFill="text1" w:themeFillShade="BF"/>
      </w:tcPr>
    </w:tblStylePr>
  </w:style>
  <w:style w:type="table" w:styleId="DarkList-Accent1">
    <w:name w:val="Dark List Accent 1"/>
    <w:basedOn w:val="TableNormal"/>
    <w:uiPriority w:val="70"/>
    <w:semiHidden/>
    <w:unhideWhenUsed/>
    <w:locked/>
    <w:rsid w:val="00530B2E"/>
    <w:pPr>
      <w:spacing w:after="0" w:line="240" w:lineRule="auto"/>
    </w:pPr>
    <w:rPr>
      <w:color w:val="FFFFFF" w:themeColor="background1"/>
    </w:rPr>
    <w:tblPr>
      <w:tblStyleRowBandSize w:val="1"/>
      <w:tblStyleColBandSize w:val="1"/>
    </w:tblPr>
    <w:tcPr>
      <w:shd w:val="clear" w:color="auto" w:fill="CC66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22222" w:themeFill="text1"/>
      </w:tcPr>
    </w:tblStylePr>
    <w:tblStylePr w:type="lastRow">
      <w:tblPr/>
      <w:tcPr>
        <w:tcBorders>
          <w:top w:val="single" w:sz="18" w:space="0" w:color="FFFFFF" w:themeColor="background1"/>
          <w:left w:val="nil"/>
          <w:bottom w:val="nil"/>
          <w:right w:val="nil"/>
          <w:insideH w:val="nil"/>
          <w:insideV w:val="nil"/>
        </w:tcBorders>
        <w:shd w:val="clear" w:color="auto" w:fill="6532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984C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984C00" w:themeFill="accent1" w:themeFillShade="BF"/>
      </w:tcPr>
    </w:tblStylePr>
    <w:tblStylePr w:type="band1Vert">
      <w:tblPr/>
      <w:tcPr>
        <w:tcBorders>
          <w:top w:val="nil"/>
          <w:left w:val="nil"/>
          <w:bottom w:val="nil"/>
          <w:right w:val="nil"/>
          <w:insideH w:val="nil"/>
          <w:insideV w:val="nil"/>
        </w:tcBorders>
        <w:shd w:val="clear" w:color="auto" w:fill="984C00" w:themeFill="accent1" w:themeFillShade="BF"/>
      </w:tcPr>
    </w:tblStylePr>
    <w:tblStylePr w:type="band1Horz">
      <w:tblPr/>
      <w:tcPr>
        <w:tcBorders>
          <w:top w:val="nil"/>
          <w:left w:val="nil"/>
          <w:bottom w:val="nil"/>
          <w:right w:val="nil"/>
          <w:insideH w:val="nil"/>
          <w:insideV w:val="nil"/>
        </w:tcBorders>
        <w:shd w:val="clear" w:color="auto" w:fill="984C00" w:themeFill="accent1" w:themeFillShade="BF"/>
      </w:tcPr>
    </w:tblStylePr>
  </w:style>
  <w:style w:type="table" w:styleId="DarkList-Accent2">
    <w:name w:val="Dark List Accent 2"/>
    <w:basedOn w:val="TableNormal"/>
    <w:uiPriority w:val="70"/>
    <w:semiHidden/>
    <w:unhideWhenUsed/>
    <w:locked/>
    <w:rsid w:val="00530B2E"/>
    <w:pPr>
      <w:spacing w:after="0" w:line="240" w:lineRule="auto"/>
    </w:pPr>
    <w:rPr>
      <w:color w:val="FFFFFF" w:themeColor="background1"/>
    </w:rPr>
    <w:tblPr>
      <w:tblStyleRowBandSize w:val="1"/>
      <w:tblStyleColBandSize w:val="1"/>
    </w:tblPr>
    <w:tcPr>
      <w:shd w:val="clear" w:color="auto" w:fill="FCE2C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22222" w:themeFill="text1"/>
      </w:tcPr>
    </w:tblStylePr>
    <w:tblStylePr w:type="lastRow">
      <w:tblPr/>
      <w:tcPr>
        <w:tcBorders>
          <w:top w:val="single" w:sz="18" w:space="0" w:color="FFFFFF" w:themeColor="background1"/>
          <w:left w:val="nil"/>
          <w:bottom w:val="nil"/>
          <w:right w:val="nil"/>
          <w:insideH w:val="nil"/>
          <w:insideV w:val="nil"/>
        </w:tcBorders>
        <w:shd w:val="clear" w:color="auto" w:fill="D6680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F5A35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F5A35F" w:themeFill="accent2" w:themeFillShade="BF"/>
      </w:tcPr>
    </w:tblStylePr>
    <w:tblStylePr w:type="band1Vert">
      <w:tblPr/>
      <w:tcPr>
        <w:tcBorders>
          <w:top w:val="nil"/>
          <w:left w:val="nil"/>
          <w:bottom w:val="nil"/>
          <w:right w:val="nil"/>
          <w:insideH w:val="nil"/>
          <w:insideV w:val="nil"/>
        </w:tcBorders>
        <w:shd w:val="clear" w:color="auto" w:fill="F5A35F" w:themeFill="accent2" w:themeFillShade="BF"/>
      </w:tcPr>
    </w:tblStylePr>
    <w:tblStylePr w:type="band1Horz">
      <w:tblPr/>
      <w:tcPr>
        <w:tcBorders>
          <w:top w:val="nil"/>
          <w:left w:val="nil"/>
          <w:bottom w:val="nil"/>
          <w:right w:val="nil"/>
          <w:insideH w:val="nil"/>
          <w:insideV w:val="nil"/>
        </w:tcBorders>
        <w:shd w:val="clear" w:color="auto" w:fill="F5A35F" w:themeFill="accent2" w:themeFillShade="BF"/>
      </w:tcPr>
    </w:tblStylePr>
  </w:style>
  <w:style w:type="table" w:styleId="DarkList-Accent3">
    <w:name w:val="Dark List Accent 3"/>
    <w:basedOn w:val="TableNormal"/>
    <w:uiPriority w:val="70"/>
    <w:semiHidden/>
    <w:unhideWhenUsed/>
    <w:locked/>
    <w:rsid w:val="00530B2E"/>
    <w:pPr>
      <w:spacing w:after="0" w:line="240" w:lineRule="auto"/>
    </w:pPr>
    <w:rPr>
      <w:color w:val="FFFFFF" w:themeColor="background1"/>
    </w:rPr>
    <w:tblPr>
      <w:tblStyleRowBandSize w:val="1"/>
      <w:tblStyleColBandSize w:val="1"/>
    </w:tblPr>
    <w:tcPr>
      <w:shd w:val="clear" w:color="auto" w:fill="0D3E6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22222" w:themeFill="text1"/>
      </w:tcPr>
    </w:tblStylePr>
    <w:tblStylePr w:type="lastRow">
      <w:tblPr/>
      <w:tcPr>
        <w:tcBorders>
          <w:top w:val="single" w:sz="18" w:space="0" w:color="FFFFFF" w:themeColor="background1"/>
          <w:left w:val="nil"/>
          <w:bottom w:val="nil"/>
          <w:right w:val="nil"/>
          <w:insideH w:val="nil"/>
          <w:insideV w:val="nil"/>
        </w:tcBorders>
        <w:shd w:val="clear" w:color="auto" w:fill="061E3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2E4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2E4C" w:themeFill="accent3" w:themeFillShade="BF"/>
      </w:tcPr>
    </w:tblStylePr>
    <w:tblStylePr w:type="band1Vert">
      <w:tblPr/>
      <w:tcPr>
        <w:tcBorders>
          <w:top w:val="nil"/>
          <w:left w:val="nil"/>
          <w:bottom w:val="nil"/>
          <w:right w:val="nil"/>
          <w:insideH w:val="nil"/>
          <w:insideV w:val="nil"/>
        </w:tcBorders>
        <w:shd w:val="clear" w:color="auto" w:fill="092E4C" w:themeFill="accent3" w:themeFillShade="BF"/>
      </w:tcPr>
    </w:tblStylePr>
    <w:tblStylePr w:type="band1Horz">
      <w:tblPr/>
      <w:tcPr>
        <w:tcBorders>
          <w:top w:val="nil"/>
          <w:left w:val="nil"/>
          <w:bottom w:val="nil"/>
          <w:right w:val="nil"/>
          <w:insideH w:val="nil"/>
          <w:insideV w:val="nil"/>
        </w:tcBorders>
        <w:shd w:val="clear" w:color="auto" w:fill="092E4C" w:themeFill="accent3" w:themeFillShade="BF"/>
      </w:tcPr>
    </w:tblStylePr>
  </w:style>
  <w:style w:type="table" w:styleId="DarkList-Accent4">
    <w:name w:val="Dark List Accent 4"/>
    <w:basedOn w:val="TableNormal"/>
    <w:uiPriority w:val="70"/>
    <w:semiHidden/>
    <w:unhideWhenUsed/>
    <w:locked/>
    <w:rsid w:val="00530B2E"/>
    <w:pPr>
      <w:spacing w:after="0" w:line="240" w:lineRule="auto"/>
    </w:pPr>
    <w:rPr>
      <w:color w:val="FFFFFF" w:themeColor="background1"/>
    </w:rPr>
    <w:tblPr>
      <w:tblStyleRowBandSize w:val="1"/>
      <w:tblStyleColBandSize w:val="1"/>
    </w:tblPr>
    <w:tcPr>
      <w:shd w:val="clear" w:color="auto" w:fill="7D96B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22222" w:themeFill="text1"/>
      </w:tcPr>
    </w:tblStylePr>
    <w:tblStylePr w:type="lastRow">
      <w:tblPr/>
      <w:tcPr>
        <w:tcBorders>
          <w:top w:val="single" w:sz="18" w:space="0" w:color="FFFFFF" w:themeColor="background1"/>
          <w:left w:val="nil"/>
          <w:bottom w:val="nil"/>
          <w:right w:val="nil"/>
          <w:insideH w:val="nil"/>
          <w:insideV w:val="nil"/>
        </w:tcBorders>
        <w:shd w:val="clear" w:color="auto" w:fill="37496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36E9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36E91" w:themeFill="accent4" w:themeFillShade="BF"/>
      </w:tcPr>
    </w:tblStylePr>
    <w:tblStylePr w:type="band1Vert">
      <w:tblPr/>
      <w:tcPr>
        <w:tcBorders>
          <w:top w:val="nil"/>
          <w:left w:val="nil"/>
          <w:bottom w:val="nil"/>
          <w:right w:val="nil"/>
          <w:insideH w:val="nil"/>
          <w:insideV w:val="nil"/>
        </w:tcBorders>
        <w:shd w:val="clear" w:color="auto" w:fill="536E91" w:themeFill="accent4" w:themeFillShade="BF"/>
      </w:tcPr>
    </w:tblStylePr>
    <w:tblStylePr w:type="band1Horz">
      <w:tblPr/>
      <w:tcPr>
        <w:tcBorders>
          <w:top w:val="nil"/>
          <w:left w:val="nil"/>
          <w:bottom w:val="nil"/>
          <w:right w:val="nil"/>
          <w:insideH w:val="nil"/>
          <w:insideV w:val="nil"/>
        </w:tcBorders>
        <w:shd w:val="clear" w:color="auto" w:fill="536E91" w:themeFill="accent4" w:themeFillShade="BF"/>
      </w:tcPr>
    </w:tblStylePr>
  </w:style>
  <w:style w:type="table" w:styleId="DarkList-Accent5">
    <w:name w:val="Dark List Accent 5"/>
    <w:basedOn w:val="TableNormal"/>
    <w:uiPriority w:val="70"/>
    <w:semiHidden/>
    <w:unhideWhenUsed/>
    <w:locked/>
    <w:rsid w:val="00530B2E"/>
    <w:pPr>
      <w:spacing w:after="0" w:line="240" w:lineRule="auto"/>
    </w:pPr>
    <w:rPr>
      <w:color w:val="FFFFFF" w:themeColor="background1"/>
    </w:rPr>
    <w:tblPr>
      <w:tblStyleRowBandSize w:val="1"/>
      <w:tblStyleColBandSize w:val="1"/>
    </w:tblPr>
    <w:tcPr>
      <w:shd w:val="clear" w:color="auto" w:fill="0D857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22222" w:themeFill="text1"/>
      </w:tcPr>
    </w:tblStylePr>
    <w:tblStylePr w:type="lastRow">
      <w:tblPr/>
      <w:tcPr>
        <w:tcBorders>
          <w:top w:val="single" w:sz="18" w:space="0" w:color="FFFFFF" w:themeColor="background1"/>
          <w:left w:val="nil"/>
          <w:bottom w:val="nil"/>
          <w:right w:val="nil"/>
          <w:insideH w:val="nil"/>
          <w:insideV w:val="nil"/>
        </w:tcBorders>
        <w:shd w:val="clear" w:color="auto" w:fill="0642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9635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96358" w:themeFill="accent5" w:themeFillShade="BF"/>
      </w:tcPr>
    </w:tblStylePr>
    <w:tblStylePr w:type="band1Vert">
      <w:tblPr/>
      <w:tcPr>
        <w:tcBorders>
          <w:top w:val="nil"/>
          <w:left w:val="nil"/>
          <w:bottom w:val="nil"/>
          <w:right w:val="nil"/>
          <w:insideH w:val="nil"/>
          <w:insideV w:val="nil"/>
        </w:tcBorders>
        <w:shd w:val="clear" w:color="auto" w:fill="096358" w:themeFill="accent5" w:themeFillShade="BF"/>
      </w:tcPr>
    </w:tblStylePr>
    <w:tblStylePr w:type="band1Horz">
      <w:tblPr/>
      <w:tcPr>
        <w:tcBorders>
          <w:top w:val="nil"/>
          <w:left w:val="nil"/>
          <w:bottom w:val="nil"/>
          <w:right w:val="nil"/>
          <w:insideH w:val="nil"/>
          <w:insideV w:val="nil"/>
        </w:tcBorders>
        <w:shd w:val="clear" w:color="auto" w:fill="096358" w:themeFill="accent5" w:themeFillShade="BF"/>
      </w:tcPr>
    </w:tblStylePr>
  </w:style>
  <w:style w:type="table" w:styleId="DarkList-Accent6">
    <w:name w:val="Dark List Accent 6"/>
    <w:basedOn w:val="TableNormal"/>
    <w:uiPriority w:val="70"/>
    <w:semiHidden/>
    <w:unhideWhenUsed/>
    <w:locked/>
    <w:rsid w:val="00530B2E"/>
    <w:pPr>
      <w:spacing w:after="0" w:line="240" w:lineRule="auto"/>
    </w:pPr>
    <w:rPr>
      <w:color w:val="FFFFFF" w:themeColor="background1"/>
    </w:rPr>
    <w:tblPr>
      <w:tblStyleRowBandSize w:val="1"/>
      <w:tblStyleColBandSize w:val="1"/>
    </w:tblPr>
    <w:tcPr>
      <w:shd w:val="clear" w:color="auto" w:fill="46B8A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22222" w:themeFill="text1"/>
      </w:tcPr>
    </w:tblStylePr>
    <w:tblStylePr w:type="lastRow">
      <w:tblPr/>
      <w:tcPr>
        <w:tcBorders>
          <w:top w:val="single" w:sz="18" w:space="0" w:color="FFFFFF" w:themeColor="background1"/>
          <w:left w:val="nil"/>
          <w:bottom w:val="nil"/>
          <w:right w:val="nil"/>
          <w:insideH w:val="nil"/>
          <w:insideV w:val="nil"/>
        </w:tcBorders>
        <w:shd w:val="clear" w:color="auto" w:fill="235B5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4897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4897E" w:themeFill="accent6" w:themeFillShade="BF"/>
      </w:tcPr>
    </w:tblStylePr>
    <w:tblStylePr w:type="band1Vert">
      <w:tblPr/>
      <w:tcPr>
        <w:tcBorders>
          <w:top w:val="nil"/>
          <w:left w:val="nil"/>
          <w:bottom w:val="nil"/>
          <w:right w:val="nil"/>
          <w:insideH w:val="nil"/>
          <w:insideV w:val="nil"/>
        </w:tcBorders>
        <w:shd w:val="clear" w:color="auto" w:fill="34897E" w:themeFill="accent6" w:themeFillShade="BF"/>
      </w:tcPr>
    </w:tblStylePr>
    <w:tblStylePr w:type="band1Horz">
      <w:tblPr/>
      <w:tcPr>
        <w:tcBorders>
          <w:top w:val="nil"/>
          <w:left w:val="nil"/>
          <w:bottom w:val="nil"/>
          <w:right w:val="nil"/>
          <w:insideH w:val="nil"/>
          <w:insideV w:val="nil"/>
        </w:tcBorders>
        <w:shd w:val="clear" w:color="auto" w:fill="34897E" w:themeFill="accent6" w:themeFillShade="BF"/>
      </w:tcPr>
    </w:tblStylePr>
  </w:style>
  <w:style w:type="table" w:customStyle="1" w:styleId="GridTable1Light1">
    <w:name w:val="Grid Table 1 Light1"/>
    <w:basedOn w:val="TableNormal"/>
    <w:uiPriority w:val="46"/>
    <w:locked/>
    <w:rsid w:val="00530B2E"/>
    <w:pPr>
      <w:spacing w:after="0" w:line="240" w:lineRule="auto"/>
    </w:pPr>
    <w:tblPr>
      <w:tblStyleRowBandSize w:val="1"/>
      <w:tblStyleColBandSize w:val="1"/>
      <w:tblBorders>
        <w:top w:val="single" w:sz="4" w:space="0" w:color="A6A6A6" w:themeColor="text1" w:themeTint="66"/>
        <w:left w:val="single" w:sz="4" w:space="0" w:color="A6A6A6" w:themeColor="text1" w:themeTint="66"/>
        <w:bottom w:val="single" w:sz="4" w:space="0" w:color="A6A6A6" w:themeColor="text1" w:themeTint="66"/>
        <w:right w:val="single" w:sz="4" w:space="0" w:color="A6A6A6" w:themeColor="text1" w:themeTint="66"/>
        <w:insideH w:val="single" w:sz="4" w:space="0" w:color="A6A6A6" w:themeColor="text1" w:themeTint="66"/>
        <w:insideV w:val="single" w:sz="4" w:space="0" w:color="A6A6A6" w:themeColor="text1" w:themeTint="66"/>
      </w:tblBorders>
    </w:tblPr>
    <w:tblStylePr w:type="firstRow">
      <w:rPr>
        <w:b/>
        <w:bCs/>
      </w:rPr>
      <w:tblPr/>
      <w:tcPr>
        <w:tcBorders>
          <w:bottom w:val="single" w:sz="12" w:space="0" w:color="7A7A7A" w:themeColor="text1" w:themeTint="99"/>
        </w:tcBorders>
      </w:tcPr>
    </w:tblStylePr>
    <w:tblStylePr w:type="lastRow">
      <w:rPr>
        <w:b/>
        <w:bCs/>
      </w:rPr>
      <w:tblPr/>
      <w:tcPr>
        <w:tcBorders>
          <w:top w:val="double" w:sz="2" w:space="0" w:color="7A7A7A"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locked/>
    <w:rsid w:val="00530B2E"/>
    <w:pPr>
      <w:spacing w:after="0" w:line="240" w:lineRule="auto"/>
    </w:pPr>
    <w:tblPr>
      <w:tblStyleRowBandSize w:val="1"/>
      <w:tblStyleColBandSize w:val="1"/>
      <w:tblBorders>
        <w:top w:val="single" w:sz="4" w:space="0" w:color="FFC184" w:themeColor="accent1" w:themeTint="66"/>
        <w:left w:val="single" w:sz="4" w:space="0" w:color="FFC184" w:themeColor="accent1" w:themeTint="66"/>
        <w:bottom w:val="single" w:sz="4" w:space="0" w:color="FFC184" w:themeColor="accent1" w:themeTint="66"/>
        <w:right w:val="single" w:sz="4" w:space="0" w:color="FFC184" w:themeColor="accent1" w:themeTint="66"/>
        <w:insideH w:val="single" w:sz="4" w:space="0" w:color="FFC184" w:themeColor="accent1" w:themeTint="66"/>
        <w:insideV w:val="single" w:sz="4" w:space="0" w:color="FFC184" w:themeColor="accent1" w:themeTint="66"/>
      </w:tblBorders>
    </w:tblPr>
    <w:tblStylePr w:type="firstRow">
      <w:rPr>
        <w:b/>
        <w:bCs/>
      </w:rPr>
      <w:tblPr/>
      <w:tcPr>
        <w:tcBorders>
          <w:bottom w:val="single" w:sz="12" w:space="0" w:color="FFA247" w:themeColor="accent1" w:themeTint="99"/>
        </w:tcBorders>
      </w:tcPr>
    </w:tblStylePr>
    <w:tblStylePr w:type="lastRow">
      <w:rPr>
        <w:b/>
        <w:bCs/>
      </w:rPr>
      <w:tblPr/>
      <w:tcPr>
        <w:tcBorders>
          <w:top w:val="double" w:sz="2" w:space="0" w:color="FFA24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locked/>
    <w:rsid w:val="00530B2E"/>
    <w:pPr>
      <w:spacing w:after="0" w:line="240" w:lineRule="auto"/>
    </w:pPr>
    <w:tblPr>
      <w:tblStyleRowBandSize w:val="1"/>
      <w:tblStyleColBandSize w:val="1"/>
      <w:tblBorders>
        <w:top w:val="single" w:sz="4" w:space="0" w:color="FDF3EA" w:themeColor="accent2" w:themeTint="66"/>
        <w:left w:val="single" w:sz="4" w:space="0" w:color="FDF3EA" w:themeColor="accent2" w:themeTint="66"/>
        <w:bottom w:val="single" w:sz="4" w:space="0" w:color="FDF3EA" w:themeColor="accent2" w:themeTint="66"/>
        <w:right w:val="single" w:sz="4" w:space="0" w:color="FDF3EA" w:themeColor="accent2" w:themeTint="66"/>
        <w:insideH w:val="single" w:sz="4" w:space="0" w:color="FDF3EA" w:themeColor="accent2" w:themeTint="66"/>
        <w:insideV w:val="single" w:sz="4" w:space="0" w:color="FDF3EA" w:themeColor="accent2" w:themeTint="66"/>
      </w:tblBorders>
    </w:tblPr>
    <w:tblStylePr w:type="firstRow">
      <w:rPr>
        <w:b/>
        <w:bCs/>
      </w:rPr>
      <w:tblPr/>
      <w:tcPr>
        <w:tcBorders>
          <w:bottom w:val="single" w:sz="12" w:space="0" w:color="FDEDE0" w:themeColor="accent2" w:themeTint="99"/>
        </w:tcBorders>
      </w:tcPr>
    </w:tblStylePr>
    <w:tblStylePr w:type="lastRow">
      <w:rPr>
        <w:b/>
        <w:bCs/>
      </w:rPr>
      <w:tblPr/>
      <w:tcPr>
        <w:tcBorders>
          <w:top w:val="double" w:sz="2" w:space="0" w:color="FDEDE0"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locked/>
    <w:rsid w:val="00530B2E"/>
    <w:pPr>
      <w:spacing w:after="0" w:line="240" w:lineRule="auto"/>
    </w:pPr>
    <w:tblPr>
      <w:tblStyleRowBandSize w:val="1"/>
      <w:tblStyleColBandSize w:val="1"/>
      <w:tblBorders>
        <w:top w:val="single" w:sz="4" w:space="0" w:color="73B5ED" w:themeColor="accent3" w:themeTint="66"/>
        <w:left w:val="single" w:sz="4" w:space="0" w:color="73B5ED" w:themeColor="accent3" w:themeTint="66"/>
        <w:bottom w:val="single" w:sz="4" w:space="0" w:color="73B5ED" w:themeColor="accent3" w:themeTint="66"/>
        <w:right w:val="single" w:sz="4" w:space="0" w:color="73B5ED" w:themeColor="accent3" w:themeTint="66"/>
        <w:insideH w:val="single" w:sz="4" w:space="0" w:color="73B5ED" w:themeColor="accent3" w:themeTint="66"/>
        <w:insideV w:val="single" w:sz="4" w:space="0" w:color="73B5ED" w:themeColor="accent3" w:themeTint="66"/>
      </w:tblBorders>
    </w:tblPr>
    <w:tblStylePr w:type="firstRow">
      <w:rPr>
        <w:b/>
        <w:bCs/>
      </w:rPr>
      <w:tblPr/>
      <w:tcPr>
        <w:tcBorders>
          <w:bottom w:val="single" w:sz="12" w:space="0" w:color="2C90E4" w:themeColor="accent3" w:themeTint="99"/>
        </w:tcBorders>
      </w:tcPr>
    </w:tblStylePr>
    <w:tblStylePr w:type="lastRow">
      <w:rPr>
        <w:b/>
        <w:bCs/>
      </w:rPr>
      <w:tblPr/>
      <w:tcPr>
        <w:tcBorders>
          <w:top w:val="double" w:sz="2" w:space="0" w:color="2C90E4"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locked/>
    <w:rsid w:val="00530B2E"/>
    <w:pPr>
      <w:spacing w:after="0" w:line="240" w:lineRule="auto"/>
    </w:pPr>
    <w:tblPr>
      <w:tblStyleRowBandSize w:val="1"/>
      <w:tblStyleColBandSize w:val="1"/>
      <w:tblBorders>
        <w:top w:val="single" w:sz="4" w:space="0" w:color="CAD4E1" w:themeColor="accent4" w:themeTint="66"/>
        <w:left w:val="single" w:sz="4" w:space="0" w:color="CAD4E1" w:themeColor="accent4" w:themeTint="66"/>
        <w:bottom w:val="single" w:sz="4" w:space="0" w:color="CAD4E1" w:themeColor="accent4" w:themeTint="66"/>
        <w:right w:val="single" w:sz="4" w:space="0" w:color="CAD4E1" w:themeColor="accent4" w:themeTint="66"/>
        <w:insideH w:val="single" w:sz="4" w:space="0" w:color="CAD4E1" w:themeColor="accent4" w:themeTint="66"/>
        <w:insideV w:val="single" w:sz="4" w:space="0" w:color="CAD4E1" w:themeColor="accent4" w:themeTint="66"/>
      </w:tblBorders>
    </w:tblPr>
    <w:tblStylePr w:type="firstRow">
      <w:rPr>
        <w:b/>
        <w:bCs/>
      </w:rPr>
      <w:tblPr/>
      <w:tcPr>
        <w:tcBorders>
          <w:bottom w:val="single" w:sz="12" w:space="0" w:color="B0BFD2" w:themeColor="accent4" w:themeTint="99"/>
        </w:tcBorders>
      </w:tcPr>
    </w:tblStylePr>
    <w:tblStylePr w:type="lastRow">
      <w:rPr>
        <w:b/>
        <w:bCs/>
      </w:rPr>
      <w:tblPr/>
      <w:tcPr>
        <w:tcBorders>
          <w:top w:val="double" w:sz="2" w:space="0" w:color="B0BFD2"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locked/>
    <w:rsid w:val="00530B2E"/>
    <w:pPr>
      <w:spacing w:after="0" w:line="240" w:lineRule="auto"/>
    </w:pPr>
    <w:tblPr>
      <w:tblStyleRowBandSize w:val="1"/>
      <w:tblStyleColBandSize w:val="1"/>
      <w:tblBorders>
        <w:top w:val="single" w:sz="4" w:space="0" w:color="7AF2E4" w:themeColor="accent5" w:themeTint="66"/>
        <w:left w:val="single" w:sz="4" w:space="0" w:color="7AF2E4" w:themeColor="accent5" w:themeTint="66"/>
        <w:bottom w:val="single" w:sz="4" w:space="0" w:color="7AF2E4" w:themeColor="accent5" w:themeTint="66"/>
        <w:right w:val="single" w:sz="4" w:space="0" w:color="7AF2E4" w:themeColor="accent5" w:themeTint="66"/>
        <w:insideH w:val="single" w:sz="4" w:space="0" w:color="7AF2E4" w:themeColor="accent5" w:themeTint="66"/>
        <w:insideV w:val="single" w:sz="4" w:space="0" w:color="7AF2E4" w:themeColor="accent5" w:themeTint="66"/>
      </w:tblBorders>
    </w:tblPr>
    <w:tblStylePr w:type="firstRow">
      <w:rPr>
        <w:b/>
        <w:bCs/>
      </w:rPr>
      <w:tblPr/>
      <w:tcPr>
        <w:tcBorders>
          <w:bottom w:val="single" w:sz="12" w:space="0" w:color="37EBD6" w:themeColor="accent5" w:themeTint="99"/>
        </w:tcBorders>
      </w:tcPr>
    </w:tblStylePr>
    <w:tblStylePr w:type="lastRow">
      <w:rPr>
        <w:b/>
        <w:bCs/>
      </w:rPr>
      <w:tblPr/>
      <w:tcPr>
        <w:tcBorders>
          <w:top w:val="double" w:sz="2" w:space="0" w:color="37EBD6"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locked/>
    <w:rsid w:val="00530B2E"/>
    <w:pPr>
      <w:spacing w:after="0" w:line="240" w:lineRule="auto"/>
    </w:pPr>
    <w:tblPr>
      <w:tblStyleRowBandSize w:val="1"/>
      <w:tblStyleColBandSize w:val="1"/>
      <w:tblBorders>
        <w:top w:val="single" w:sz="4" w:space="0" w:color="B4E2DC" w:themeColor="accent6" w:themeTint="66"/>
        <w:left w:val="single" w:sz="4" w:space="0" w:color="B4E2DC" w:themeColor="accent6" w:themeTint="66"/>
        <w:bottom w:val="single" w:sz="4" w:space="0" w:color="B4E2DC" w:themeColor="accent6" w:themeTint="66"/>
        <w:right w:val="single" w:sz="4" w:space="0" w:color="B4E2DC" w:themeColor="accent6" w:themeTint="66"/>
        <w:insideH w:val="single" w:sz="4" w:space="0" w:color="B4E2DC" w:themeColor="accent6" w:themeTint="66"/>
        <w:insideV w:val="single" w:sz="4" w:space="0" w:color="B4E2DC" w:themeColor="accent6" w:themeTint="66"/>
      </w:tblBorders>
    </w:tblPr>
    <w:tblStylePr w:type="firstRow">
      <w:rPr>
        <w:b/>
        <w:bCs/>
      </w:rPr>
      <w:tblPr/>
      <w:tcPr>
        <w:tcBorders>
          <w:bottom w:val="single" w:sz="12" w:space="0" w:color="8FD4CB" w:themeColor="accent6" w:themeTint="99"/>
        </w:tcBorders>
      </w:tcPr>
    </w:tblStylePr>
    <w:tblStylePr w:type="lastRow">
      <w:rPr>
        <w:b/>
        <w:bCs/>
      </w:rPr>
      <w:tblPr/>
      <w:tcPr>
        <w:tcBorders>
          <w:top w:val="double" w:sz="2" w:space="0" w:color="8FD4CB"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locked/>
    <w:rsid w:val="00530B2E"/>
    <w:pPr>
      <w:spacing w:after="0" w:line="240" w:lineRule="auto"/>
    </w:pPr>
    <w:tblPr>
      <w:tblStyleRowBandSize w:val="1"/>
      <w:tblStyleColBandSize w:val="1"/>
      <w:tblBorders>
        <w:top w:val="single" w:sz="2" w:space="0" w:color="7A7A7A" w:themeColor="text1" w:themeTint="99"/>
        <w:bottom w:val="single" w:sz="2" w:space="0" w:color="7A7A7A" w:themeColor="text1" w:themeTint="99"/>
        <w:insideH w:val="single" w:sz="2" w:space="0" w:color="7A7A7A" w:themeColor="text1" w:themeTint="99"/>
        <w:insideV w:val="single" w:sz="2" w:space="0" w:color="7A7A7A" w:themeColor="text1" w:themeTint="99"/>
      </w:tblBorders>
    </w:tblPr>
    <w:tblStylePr w:type="firstRow">
      <w:rPr>
        <w:b/>
        <w:bCs/>
      </w:rPr>
      <w:tblPr/>
      <w:tcPr>
        <w:tcBorders>
          <w:top w:val="nil"/>
          <w:bottom w:val="single" w:sz="12" w:space="0" w:color="7A7A7A" w:themeColor="text1" w:themeTint="99"/>
          <w:insideH w:val="nil"/>
          <w:insideV w:val="nil"/>
        </w:tcBorders>
        <w:shd w:val="clear" w:color="auto" w:fill="FFFFFF" w:themeFill="background1"/>
      </w:tcPr>
    </w:tblStylePr>
    <w:tblStylePr w:type="lastRow">
      <w:rPr>
        <w:b/>
        <w:bCs/>
      </w:rPr>
      <w:tblPr/>
      <w:tcPr>
        <w:tcBorders>
          <w:top w:val="double" w:sz="2" w:space="0" w:color="7A7A7A"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2D2" w:themeFill="text1" w:themeFillTint="33"/>
      </w:tcPr>
    </w:tblStylePr>
    <w:tblStylePr w:type="band1Horz">
      <w:tblPr/>
      <w:tcPr>
        <w:shd w:val="clear" w:color="auto" w:fill="D2D2D2" w:themeFill="text1" w:themeFillTint="33"/>
      </w:tcPr>
    </w:tblStylePr>
  </w:style>
  <w:style w:type="table" w:customStyle="1" w:styleId="GridTable2-Accent11">
    <w:name w:val="Grid Table 2 - Accent 11"/>
    <w:basedOn w:val="TableNormal"/>
    <w:uiPriority w:val="47"/>
    <w:locked/>
    <w:rsid w:val="00530B2E"/>
    <w:pPr>
      <w:spacing w:after="0" w:line="240" w:lineRule="auto"/>
    </w:pPr>
    <w:tblPr>
      <w:tblStyleRowBandSize w:val="1"/>
      <w:tblStyleColBandSize w:val="1"/>
      <w:tblBorders>
        <w:top w:val="single" w:sz="2" w:space="0" w:color="FFA247" w:themeColor="accent1" w:themeTint="99"/>
        <w:bottom w:val="single" w:sz="2" w:space="0" w:color="FFA247" w:themeColor="accent1" w:themeTint="99"/>
        <w:insideH w:val="single" w:sz="2" w:space="0" w:color="FFA247" w:themeColor="accent1" w:themeTint="99"/>
        <w:insideV w:val="single" w:sz="2" w:space="0" w:color="FFA247" w:themeColor="accent1" w:themeTint="99"/>
      </w:tblBorders>
    </w:tblPr>
    <w:tblStylePr w:type="firstRow">
      <w:rPr>
        <w:b/>
        <w:bCs/>
      </w:rPr>
      <w:tblPr/>
      <w:tcPr>
        <w:tcBorders>
          <w:top w:val="nil"/>
          <w:bottom w:val="single" w:sz="12" w:space="0" w:color="FFA247" w:themeColor="accent1" w:themeTint="99"/>
          <w:insideH w:val="nil"/>
          <w:insideV w:val="nil"/>
        </w:tcBorders>
        <w:shd w:val="clear" w:color="auto" w:fill="FFFFFF" w:themeFill="background1"/>
      </w:tcPr>
    </w:tblStylePr>
    <w:tblStylePr w:type="lastRow">
      <w:rPr>
        <w:b/>
        <w:bCs/>
      </w:rPr>
      <w:tblPr/>
      <w:tcPr>
        <w:tcBorders>
          <w:top w:val="double" w:sz="2" w:space="0" w:color="FFA24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0C1" w:themeFill="accent1" w:themeFillTint="33"/>
      </w:tcPr>
    </w:tblStylePr>
    <w:tblStylePr w:type="band1Horz">
      <w:tblPr/>
      <w:tcPr>
        <w:shd w:val="clear" w:color="auto" w:fill="FFE0C1" w:themeFill="accent1" w:themeFillTint="33"/>
      </w:tcPr>
    </w:tblStylePr>
  </w:style>
  <w:style w:type="table" w:customStyle="1" w:styleId="GridTable2-Accent21">
    <w:name w:val="Grid Table 2 - Accent 21"/>
    <w:basedOn w:val="TableNormal"/>
    <w:uiPriority w:val="47"/>
    <w:locked/>
    <w:rsid w:val="00530B2E"/>
    <w:pPr>
      <w:spacing w:after="0" w:line="240" w:lineRule="auto"/>
    </w:pPr>
    <w:tblPr>
      <w:tblStyleRowBandSize w:val="1"/>
      <w:tblStyleColBandSize w:val="1"/>
      <w:tblBorders>
        <w:top w:val="single" w:sz="2" w:space="0" w:color="FDEDE0" w:themeColor="accent2" w:themeTint="99"/>
        <w:bottom w:val="single" w:sz="2" w:space="0" w:color="FDEDE0" w:themeColor="accent2" w:themeTint="99"/>
        <w:insideH w:val="single" w:sz="2" w:space="0" w:color="FDEDE0" w:themeColor="accent2" w:themeTint="99"/>
        <w:insideV w:val="single" w:sz="2" w:space="0" w:color="FDEDE0" w:themeColor="accent2" w:themeTint="99"/>
      </w:tblBorders>
    </w:tblPr>
    <w:tblStylePr w:type="firstRow">
      <w:rPr>
        <w:b/>
        <w:bCs/>
      </w:rPr>
      <w:tblPr/>
      <w:tcPr>
        <w:tcBorders>
          <w:top w:val="nil"/>
          <w:bottom w:val="single" w:sz="12" w:space="0" w:color="FDEDE0" w:themeColor="accent2" w:themeTint="99"/>
          <w:insideH w:val="nil"/>
          <w:insideV w:val="nil"/>
        </w:tcBorders>
        <w:shd w:val="clear" w:color="auto" w:fill="FFFFFF" w:themeFill="background1"/>
      </w:tcPr>
    </w:tblStylePr>
    <w:tblStylePr w:type="lastRow">
      <w:rPr>
        <w:b/>
        <w:bCs/>
      </w:rPr>
      <w:tblPr/>
      <w:tcPr>
        <w:tcBorders>
          <w:top w:val="double" w:sz="2" w:space="0" w:color="FDEDE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9F4" w:themeFill="accent2" w:themeFillTint="33"/>
      </w:tcPr>
    </w:tblStylePr>
    <w:tblStylePr w:type="band1Horz">
      <w:tblPr/>
      <w:tcPr>
        <w:shd w:val="clear" w:color="auto" w:fill="FEF9F4" w:themeFill="accent2" w:themeFillTint="33"/>
      </w:tcPr>
    </w:tblStylePr>
  </w:style>
  <w:style w:type="table" w:customStyle="1" w:styleId="GridTable2-Accent31">
    <w:name w:val="Grid Table 2 - Accent 31"/>
    <w:basedOn w:val="TableNormal"/>
    <w:uiPriority w:val="47"/>
    <w:locked/>
    <w:rsid w:val="00530B2E"/>
    <w:pPr>
      <w:spacing w:after="0" w:line="240" w:lineRule="auto"/>
    </w:pPr>
    <w:tblPr>
      <w:tblStyleRowBandSize w:val="1"/>
      <w:tblStyleColBandSize w:val="1"/>
      <w:tblBorders>
        <w:top w:val="single" w:sz="2" w:space="0" w:color="2C90E4" w:themeColor="accent3" w:themeTint="99"/>
        <w:bottom w:val="single" w:sz="2" w:space="0" w:color="2C90E4" w:themeColor="accent3" w:themeTint="99"/>
        <w:insideH w:val="single" w:sz="2" w:space="0" w:color="2C90E4" w:themeColor="accent3" w:themeTint="99"/>
        <w:insideV w:val="single" w:sz="2" w:space="0" w:color="2C90E4" w:themeColor="accent3" w:themeTint="99"/>
      </w:tblBorders>
    </w:tblPr>
    <w:tblStylePr w:type="firstRow">
      <w:rPr>
        <w:b/>
        <w:bCs/>
      </w:rPr>
      <w:tblPr/>
      <w:tcPr>
        <w:tcBorders>
          <w:top w:val="nil"/>
          <w:bottom w:val="single" w:sz="12" w:space="0" w:color="2C90E4" w:themeColor="accent3" w:themeTint="99"/>
          <w:insideH w:val="nil"/>
          <w:insideV w:val="nil"/>
        </w:tcBorders>
        <w:shd w:val="clear" w:color="auto" w:fill="FFFFFF" w:themeFill="background1"/>
      </w:tcPr>
    </w:tblStylePr>
    <w:tblStylePr w:type="lastRow">
      <w:rPr>
        <w:b/>
        <w:bCs/>
      </w:rPr>
      <w:tblPr/>
      <w:tcPr>
        <w:tcBorders>
          <w:top w:val="double" w:sz="2" w:space="0" w:color="2C90E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DAF6" w:themeFill="accent3" w:themeFillTint="33"/>
      </w:tcPr>
    </w:tblStylePr>
    <w:tblStylePr w:type="band1Horz">
      <w:tblPr/>
      <w:tcPr>
        <w:shd w:val="clear" w:color="auto" w:fill="B8DAF6" w:themeFill="accent3" w:themeFillTint="33"/>
      </w:tcPr>
    </w:tblStylePr>
  </w:style>
  <w:style w:type="table" w:customStyle="1" w:styleId="GridTable2-Accent41">
    <w:name w:val="Grid Table 2 - Accent 41"/>
    <w:basedOn w:val="TableNormal"/>
    <w:uiPriority w:val="47"/>
    <w:locked/>
    <w:rsid w:val="00530B2E"/>
    <w:pPr>
      <w:spacing w:after="0" w:line="240" w:lineRule="auto"/>
    </w:pPr>
    <w:tblPr>
      <w:tblStyleRowBandSize w:val="1"/>
      <w:tblStyleColBandSize w:val="1"/>
      <w:tblBorders>
        <w:top w:val="single" w:sz="2" w:space="0" w:color="B0BFD2" w:themeColor="accent4" w:themeTint="99"/>
        <w:bottom w:val="single" w:sz="2" w:space="0" w:color="B0BFD2" w:themeColor="accent4" w:themeTint="99"/>
        <w:insideH w:val="single" w:sz="2" w:space="0" w:color="B0BFD2" w:themeColor="accent4" w:themeTint="99"/>
        <w:insideV w:val="single" w:sz="2" w:space="0" w:color="B0BFD2" w:themeColor="accent4" w:themeTint="99"/>
      </w:tblBorders>
    </w:tblPr>
    <w:tblStylePr w:type="firstRow">
      <w:rPr>
        <w:b/>
        <w:bCs/>
      </w:rPr>
      <w:tblPr/>
      <w:tcPr>
        <w:tcBorders>
          <w:top w:val="nil"/>
          <w:bottom w:val="single" w:sz="12" w:space="0" w:color="B0BFD2" w:themeColor="accent4" w:themeTint="99"/>
          <w:insideH w:val="nil"/>
          <w:insideV w:val="nil"/>
        </w:tcBorders>
        <w:shd w:val="clear" w:color="auto" w:fill="FFFFFF" w:themeFill="background1"/>
      </w:tcPr>
    </w:tblStylePr>
    <w:tblStylePr w:type="lastRow">
      <w:rPr>
        <w:b/>
        <w:bCs/>
      </w:rPr>
      <w:tblPr/>
      <w:tcPr>
        <w:tcBorders>
          <w:top w:val="double" w:sz="2" w:space="0" w:color="B0BFD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9F0" w:themeFill="accent4" w:themeFillTint="33"/>
      </w:tcPr>
    </w:tblStylePr>
    <w:tblStylePr w:type="band1Horz">
      <w:tblPr/>
      <w:tcPr>
        <w:shd w:val="clear" w:color="auto" w:fill="E4E9F0" w:themeFill="accent4" w:themeFillTint="33"/>
      </w:tcPr>
    </w:tblStylePr>
  </w:style>
  <w:style w:type="table" w:customStyle="1" w:styleId="GridTable2-Accent51">
    <w:name w:val="Grid Table 2 - Accent 51"/>
    <w:basedOn w:val="TableNormal"/>
    <w:uiPriority w:val="47"/>
    <w:locked/>
    <w:rsid w:val="00530B2E"/>
    <w:pPr>
      <w:spacing w:after="0" w:line="240" w:lineRule="auto"/>
    </w:pPr>
    <w:tblPr>
      <w:tblStyleRowBandSize w:val="1"/>
      <w:tblStyleColBandSize w:val="1"/>
      <w:tblBorders>
        <w:top w:val="single" w:sz="2" w:space="0" w:color="37EBD6" w:themeColor="accent5" w:themeTint="99"/>
        <w:bottom w:val="single" w:sz="2" w:space="0" w:color="37EBD6" w:themeColor="accent5" w:themeTint="99"/>
        <w:insideH w:val="single" w:sz="2" w:space="0" w:color="37EBD6" w:themeColor="accent5" w:themeTint="99"/>
        <w:insideV w:val="single" w:sz="2" w:space="0" w:color="37EBD6" w:themeColor="accent5" w:themeTint="99"/>
      </w:tblBorders>
    </w:tblPr>
    <w:tblStylePr w:type="firstRow">
      <w:rPr>
        <w:b/>
        <w:bCs/>
      </w:rPr>
      <w:tblPr/>
      <w:tcPr>
        <w:tcBorders>
          <w:top w:val="nil"/>
          <w:bottom w:val="single" w:sz="12" w:space="0" w:color="37EBD6" w:themeColor="accent5" w:themeTint="99"/>
          <w:insideH w:val="nil"/>
          <w:insideV w:val="nil"/>
        </w:tcBorders>
        <w:shd w:val="clear" w:color="auto" w:fill="FFFFFF" w:themeFill="background1"/>
      </w:tcPr>
    </w:tblStylePr>
    <w:tblStylePr w:type="lastRow">
      <w:rPr>
        <w:b/>
        <w:bCs/>
      </w:rPr>
      <w:tblPr/>
      <w:tcPr>
        <w:tcBorders>
          <w:top w:val="double" w:sz="2" w:space="0" w:color="37EBD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8F1" w:themeFill="accent5" w:themeFillTint="33"/>
      </w:tcPr>
    </w:tblStylePr>
    <w:tblStylePr w:type="band1Horz">
      <w:tblPr/>
      <w:tcPr>
        <w:shd w:val="clear" w:color="auto" w:fill="BCF8F1" w:themeFill="accent5" w:themeFillTint="33"/>
      </w:tcPr>
    </w:tblStylePr>
  </w:style>
  <w:style w:type="table" w:customStyle="1" w:styleId="GridTable2-Accent61">
    <w:name w:val="Grid Table 2 - Accent 61"/>
    <w:basedOn w:val="TableNormal"/>
    <w:uiPriority w:val="47"/>
    <w:locked/>
    <w:rsid w:val="00530B2E"/>
    <w:pPr>
      <w:spacing w:after="0" w:line="240" w:lineRule="auto"/>
    </w:pPr>
    <w:tblPr>
      <w:tblStyleRowBandSize w:val="1"/>
      <w:tblStyleColBandSize w:val="1"/>
      <w:tblBorders>
        <w:top w:val="single" w:sz="2" w:space="0" w:color="8FD4CB" w:themeColor="accent6" w:themeTint="99"/>
        <w:bottom w:val="single" w:sz="2" w:space="0" w:color="8FD4CB" w:themeColor="accent6" w:themeTint="99"/>
        <w:insideH w:val="single" w:sz="2" w:space="0" w:color="8FD4CB" w:themeColor="accent6" w:themeTint="99"/>
        <w:insideV w:val="single" w:sz="2" w:space="0" w:color="8FD4CB" w:themeColor="accent6" w:themeTint="99"/>
      </w:tblBorders>
    </w:tblPr>
    <w:tblStylePr w:type="firstRow">
      <w:rPr>
        <w:b/>
        <w:bCs/>
      </w:rPr>
      <w:tblPr/>
      <w:tcPr>
        <w:tcBorders>
          <w:top w:val="nil"/>
          <w:bottom w:val="single" w:sz="12" w:space="0" w:color="8FD4CB" w:themeColor="accent6" w:themeTint="99"/>
          <w:insideH w:val="nil"/>
          <w:insideV w:val="nil"/>
        </w:tcBorders>
        <w:shd w:val="clear" w:color="auto" w:fill="FFFFFF" w:themeFill="background1"/>
      </w:tcPr>
    </w:tblStylePr>
    <w:tblStylePr w:type="lastRow">
      <w:rPr>
        <w:b/>
        <w:bCs/>
      </w:rPr>
      <w:tblPr/>
      <w:tcPr>
        <w:tcBorders>
          <w:top w:val="double" w:sz="2" w:space="0" w:color="8FD4C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1ED" w:themeFill="accent6" w:themeFillTint="33"/>
      </w:tcPr>
    </w:tblStylePr>
    <w:tblStylePr w:type="band1Horz">
      <w:tblPr/>
      <w:tcPr>
        <w:shd w:val="clear" w:color="auto" w:fill="D9F1ED" w:themeFill="accent6" w:themeFillTint="33"/>
      </w:tcPr>
    </w:tblStylePr>
  </w:style>
  <w:style w:type="table" w:customStyle="1" w:styleId="GridTable31">
    <w:name w:val="Grid Table 31"/>
    <w:basedOn w:val="TableNormal"/>
    <w:uiPriority w:val="48"/>
    <w:locked/>
    <w:rsid w:val="00530B2E"/>
    <w:pPr>
      <w:spacing w:after="0" w:line="240" w:lineRule="auto"/>
    </w:pPr>
    <w:tblPr>
      <w:tblStyleRowBandSize w:val="1"/>
      <w:tblStyleColBandSize w:val="1"/>
      <w:tblBorders>
        <w:top w:val="single" w:sz="4" w:space="0" w:color="7A7A7A" w:themeColor="text1" w:themeTint="99"/>
        <w:left w:val="single" w:sz="4" w:space="0" w:color="7A7A7A" w:themeColor="text1" w:themeTint="99"/>
        <w:bottom w:val="single" w:sz="4" w:space="0" w:color="7A7A7A" w:themeColor="text1" w:themeTint="99"/>
        <w:right w:val="single" w:sz="4" w:space="0" w:color="7A7A7A" w:themeColor="text1" w:themeTint="99"/>
        <w:insideH w:val="single" w:sz="4" w:space="0" w:color="7A7A7A" w:themeColor="text1" w:themeTint="99"/>
        <w:insideV w:val="single" w:sz="4" w:space="0" w:color="7A7A7A"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2D2" w:themeFill="text1" w:themeFillTint="33"/>
      </w:tcPr>
    </w:tblStylePr>
    <w:tblStylePr w:type="band1Horz">
      <w:tblPr/>
      <w:tcPr>
        <w:shd w:val="clear" w:color="auto" w:fill="D2D2D2" w:themeFill="text1" w:themeFillTint="33"/>
      </w:tcPr>
    </w:tblStylePr>
    <w:tblStylePr w:type="neCell">
      <w:tblPr/>
      <w:tcPr>
        <w:tcBorders>
          <w:bottom w:val="single" w:sz="4" w:space="0" w:color="7A7A7A" w:themeColor="text1" w:themeTint="99"/>
        </w:tcBorders>
      </w:tcPr>
    </w:tblStylePr>
    <w:tblStylePr w:type="nwCell">
      <w:tblPr/>
      <w:tcPr>
        <w:tcBorders>
          <w:bottom w:val="single" w:sz="4" w:space="0" w:color="7A7A7A" w:themeColor="text1" w:themeTint="99"/>
        </w:tcBorders>
      </w:tcPr>
    </w:tblStylePr>
    <w:tblStylePr w:type="seCell">
      <w:tblPr/>
      <w:tcPr>
        <w:tcBorders>
          <w:top w:val="single" w:sz="4" w:space="0" w:color="7A7A7A" w:themeColor="text1" w:themeTint="99"/>
        </w:tcBorders>
      </w:tcPr>
    </w:tblStylePr>
    <w:tblStylePr w:type="swCell">
      <w:tblPr/>
      <w:tcPr>
        <w:tcBorders>
          <w:top w:val="single" w:sz="4" w:space="0" w:color="7A7A7A" w:themeColor="text1" w:themeTint="99"/>
        </w:tcBorders>
      </w:tcPr>
    </w:tblStylePr>
  </w:style>
  <w:style w:type="table" w:customStyle="1" w:styleId="GridTable3-Accent11">
    <w:name w:val="Grid Table 3 - Accent 11"/>
    <w:basedOn w:val="TableNormal"/>
    <w:uiPriority w:val="48"/>
    <w:locked/>
    <w:rsid w:val="00530B2E"/>
    <w:pPr>
      <w:spacing w:after="0" w:line="240" w:lineRule="auto"/>
    </w:pPr>
    <w:tblPr>
      <w:tblStyleRowBandSize w:val="1"/>
      <w:tblStyleColBandSize w:val="1"/>
      <w:tblBorders>
        <w:top w:val="single" w:sz="4" w:space="0" w:color="FFA247" w:themeColor="accent1" w:themeTint="99"/>
        <w:left w:val="single" w:sz="4" w:space="0" w:color="FFA247" w:themeColor="accent1" w:themeTint="99"/>
        <w:bottom w:val="single" w:sz="4" w:space="0" w:color="FFA247" w:themeColor="accent1" w:themeTint="99"/>
        <w:right w:val="single" w:sz="4" w:space="0" w:color="FFA247" w:themeColor="accent1" w:themeTint="99"/>
        <w:insideH w:val="single" w:sz="4" w:space="0" w:color="FFA247" w:themeColor="accent1" w:themeTint="99"/>
        <w:insideV w:val="single" w:sz="4" w:space="0" w:color="FFA24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0C1" w:themeFill="accent1" w:themeFillTint="33"/>
      </w:tcPr>
    </w:tblStylePr>
    <w:tblStylePr w:type="band1Horz">
      <w:tblPr/>
      <w:tcPr>
        <w:shd w:val="clear" w:color="auto" w:fill="FFE0C1" w:themeFill="accent1" w:themeFillTint="33"/>
      </w:tcPr>
    </w:tblStylePr>
    <w:tblStylePr w:type="neCell">
      <w:tblPr/>
      <w:tcPr>
        <w:tcBorders>
          <w:bottom w:val="single" w:sz="4" w:space="0" w:color="FFA247" w:themeColor="accent1" w:themeTint="99"/>
        </w:tcBorders>
      </w:tcPr>
    </w:tblStylePr>
    <w:tblStylePr w:type="nwCell">
      <w:tblPr/>
      <w:tcPr>
        <w:tcBorders>
          <w:bottom w:val="single" w:sz="4" w:space="0" w:color="FFA247" w:themeColor="accent1" w:themeTint="99"/>
        </w:tcBorders>
      </w:tcPr>
    </w:tblStylePr>
    <w:tblStylePr w:type="seCell">
      <w:tblPr/>
      <w:tcPr>
        <w:tcBorders>
          <w:top w:val="single" w:sz="4" w:space="0" w:color="FFA247" w:themeColor="accent1" w:themeTint="99"/>
        </w:tcBorders>
      </w:tcPr>
    </w:tblStylePr>
    <w:tblStylePr w:type="swCell">
      <w:tblPr/>
      <w:tcPr>
        <w:tcBorders>
          <w:top w:val="single" w:sz="4" w:space="0" w:color="FFA247" w:themeColor="accent1" w:themeTint="99"/>
        </w:tcBorders>
      </w:tcPr>
    </w:tblStylePr>
  </w:style>
  <w:style w:type="table" w:customStyle="1" w:styleId="GridTable3-Accent21">
    <w:name w:val="Grid Table 3 - Accent 21"/>
    <w:basedOn w:val="TableNormal"/>
    <w:uiPriority w:val="48"/>
    <w:locked/>
    <w:rsid w:val="00530B2E"/>
    <w:pPr>
      <w:spacing w:after="0" w:line="240" w:lineRule="auto"/>
    </w:pPr>
    <w:tblPr>
      <w:tblStyleRowBandSize w:val="1"/>
      <w:tblStyleColBandSize w:val="1"/>
      <w:tblBorders>
        <w:top w:val="single" w:sz="4" w:space="0" w:color="FDEDE0" w:themeColor="accent2" w:themeTint="99"/>
        <w:left w:val="single" w:sz="4" w:space="0" w:color="FDEDE0" w:themeColor="accent2" w:themeTint="99"/>
        <w:bottom w:val="single" w:sz="4" w:space="0" w:color="FDEDE0" w:themeColor="accent2" w:themeTint="99"/>
        <w:right w:val="single" w:sz="4" w:space="0" w:color="FDEDE0" w:themeColor="accent2" w:themeTint="99"/>
        <w:insideH w:val="single" w:sz="4" w:space="0" w:color="FDEDE0" w:themeColor="accent2" w:themeTint="99"/>
        <w:insideV w:val="single" w:sz="4" w:space="0" w:color="FDEDE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9F4" w:themeFill="accent2" w:themeFillTint="33"/>
      </w:tcPr>
    </w:tblStylePr>
    <w:tblStylePr w:type="band1Horz">
      <w:tblPr/>
      <w:tcPr>
        <w:shd w:val="clear" w:color="auto" w:fill="FEF9F4" w:themeFill="accent2" w:themeFillTint="33"/>
      </w:tcPr>
    </w:tblStylePr>
    <w:tblStylePr w:type="neCell">
      <w:tblPr/>
      <w:tcPr>
        <w:tcBorders>
          <w:bottom w:val="single" w:sz="4" w:space="0" w:color="FDEDE0" w:themeColor="accent2" w:themeTint="99"/>
        </w:tcBorders>
      </w:tcPr>
    </w:tblStylePr>
    <w:tblStylePr w:type="nwCell">
      <w:tblPr/>
      <w:tcPr>
        <w:tcBorders>
          <w:bottom w:val="single" w:sz="4" w:space="0" w:color="FDEDE0" w:themeColor="accent2" w:themeTint="99"/>
        </w:tcBorders>
      </w:tcPr>
    </w:tblStylePr>
    <w:tblStylePr w:type="seCell">
      <w:tblPr/>
      <w:tcPr>
        <w:tcBorders>
          <w:top w:val="single" w:sz="4" w:space="0" w:color="FDEDE0" w:themeColor="accent2" w:themeTint="99"/>
        </w:tcBorders>
      </w:tcPr>
    </w:tblStylePr>
    <w:tblStylePr w:type="swCell">
      <w:tblPr/>
      <w:tcPr>
        <w:tcBorders>
          <w:top w:val="single" w:sz="4" w:space="0" w:color="FDEDE0" w:themeColor="accent2" w:themeTint="99"/>
        </w:tcBorders>
      </w:tcPr>
    </w:tblStylePr>
  </w:style>
  <w:style w:type="table" w:customStyle="1" w:styleId="GridTable3-Accent31">
    <w:name w:val="Grid Table 3 - Accent 31"/>
    <w:basedOn w:val="TableNormal"/>
    <w:uiPriority w:val="48"/>
    <w:locked/>
    <w:rsid w:val="00530B2E"/>
    <w:pPr>
      <w:spacing w:after="0" w:line="240" w:lineRule="auto"/>
    </w:pPr>
    <w:tblPr>
      <w:tblStyleRowBandSize w:val="1"/>
      <w:tblStyleColBandSize w:val="1"/>
      <w:tblBorders>
        <w:top w:val="single" w:sz="4" w:space="0" w:color="2C90E4" w:themeColor="accent3" w:themeTint="99"/>
        <w:left w:val="single" w:sz="4" w:space="0" w:color="2C90E4" w:themeColor="accent3" w:themeTint="99"/>
        <w:bottom w:val="single" w:sz="4" w:space="0" w:color="2C90E4" w:themeColor="accent3" w:themeTint="99"/>
        <w:right w:val="single" w:sz="4" w:space="0" w:color="2C90E4" w:themeColor="accent3" w:themeTint="99"/>
        <w:insideH w:val="single" w:sz="4" w:space="0" w:color="2C90E4" w:themeColor="accent3" w:themeTint="99"/>
        <w:insideV w:val="single" w:sz="4" w:space="0" w:color="2C90E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DAF6" w:themeFill="accent3" w:themeFillTint="33"/>
      </w:tcPr>
    </w:tblStylePr>
    <w:tblStylePr w:type="band1Horz">
      <w:tblPr/>
      <w:tcPr>
        <w:shd w:val="clear" w:color="auto" w:fill="B8DAF6" w:themeFill="accent3" w:themeFillTint="33"/>
      </w:tcPr>
    </w:tblStylePr>
    <w:tblStylePr w:type="neCell">
      <w:tblPr/>
      <w:tcPr>
        <w:tcBorders>
          <w:bottom w:val="single" w:sz="4" w:space="0" w:color="2C90E4" w:themeColor="accent3" w:themeTint="99"/>
        </w:tcBorders>
      </w:tcPr>
    </w:tblStylePr>
    <w:tblStylePr w:type="nwCell">
      <w:tblPr/>
      <w:tcPr>
        <w:tcBorders>
          <w:bottom w:val="single" w:sz="4" w:space="0" w:color="2C90E4" w:themeColor="accent3" w:themeTint="99"/>
        </w:tcBorders>
      </w:tcPr>
    </w:tblStylePr>
    <w:tblStylePr w:type="seCell">
      <w:tblPr/>
      <w:tcPr>
        <w:tcBorders>
          <w:top w:val="single" w:sz="4" w:space="0" w:color="2C90E4" w:themeColor="accent3" w:themeTint="99"/>
        </w:tcBorders>
      </w:tcPr>
    </w:tblStylePr>
    <w:tblStylePr w:type="swCell">
      <w:tblPr/>
      <w:tcPr>
        <w:tcBorders>
          <w:top w:val="single" w:sz="4" w:space="0" w:color="2C90E4" w:themeColor="accent3" w:themeTint="99"/>
        </w:tcBorders>
      </w:tcPr>
    </w:tblStylePr>
  </w:style>
  <w:style w:type="table" w:customStyle="1" w:styleId="GridTable3-Accent41">
    <w:name w:val="Grid Table 3 - Accent 41"/>
    <w:basedOn w:val="TableNormal"/>
    <w:uiPriority w:val="48"/>
    <w:locked/>
    <w:rsid w:val="00530B2E"/>
    <w:pPr>
      <w:spacing w:after="0" w:line="240" w:lineRule="auto"/>
    </w:pPr>
    <w:tblPr>
      <w:tblStyleRowBandSize w:val="1"/>
      <w:tblStyleColBandSize w:val="1"/>
      <w:tblBorders>
        <w:top w:val="single" w:sz="4" w:space="0" w:color="B0BFD2" w:themeColor="accent4" w:themeTint="99"/>
        <w:left w:val="single" w:sz="4" w:space="0" w:color="B0BFD2" w:themeColor="accent4" w:themeTint="99"/>
        <w:bottom w:val="single" w:sz="4" w:space="0" w:color="B0BFD2" w:themeColor="accent4" w:themeTint="99"/>
        <w:right w:val="single" w:sz="4" w:space="0" w:color="B0BFD2" w:themeColor="accent4" w:themeTint="99"/>
        <w:insideH w:val="single" w:sz="4" w:space="0" w:color="B0BFD2" w:themeColor="accent4" w:themeTint="99"/>
        <w:insideV w:val="single" w:sz="4" w:space="0" w:color="B0BFD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9F0" w:themeFill="accent4" w:themeFillTint="33"/>
      </w:tcPr>
    </w:tblStylePr>
    <w:tblStylePr w:type="band1Horz">
      <w:tblPr/>
      <w:tcPr>
        <w:shd w:val="clear" w:color="auto" w:fill="E4E9F0" w:themeFill="accent4" w:themeFillTint="33"/>
      </w:tcPr>
    </w:tblStylePr>
    <w:tblStylePr w:type="neCell">
      <w:tblPr/>
      <w:tcPr>
        <w:tcBorders>
          <w:bottom w:val="single" w:sz="4" w:space="0" w:color="B0BFD2" w:themeColor="accent4" w:themeTint="99"/>
        </w:tcBorders>
      </w:tcPr>
    </w:tblStylePr>
    <w:tblStylePr w:type="nwCell">
      <w:tblPr/>
      <w:tcPr>
        <w:tcBorders>
          <w:bottom w:val="single" w:sz="4" w:space="0" w:color="B0BFD2" w:themeColor="accent4" w:themeTint="99"/>
        </w:tcBorders>
      </w:tcPr>
    </w:tblStylePr>
    <w:tblStylePr w:type="seCell">
      <w:tblPr/>
      <w:tcPr>
        <w:tcBorders>
          <w:top w:val="single" w:sz="4" w:space="0" w:color="B0BFD2" w:themeColor="accent4" w:themeTint="99"/>
        </w:tcBorders>
      </w:tcPr>
    </w:tblStylePr>
    <w:tblStylePr w:type="swCell">
      <w:tblPr/>
      <w:tcPr>
        <w:tcBorders>
          <w:top w:val="single" w:sz="4" w:space="0" w:color="B0BFD2" w:themeColor="accent4" w:themeTint="99"/>
        </w:tcBorders>
      </w:tcPr>
    </w:tblStylePr>
  </w:style>
  <w:style w:type="table" w:customStyle="1" w:styleId="GridTable3-Accent51">
    <w:name w:val="Grid Table 3 - Accent 51"/>
    <w:basedOn w:val="TableNormal"/>
    <w:uiPriority w:val="48"/>
    <w:locked/>
    <w:rsid w:val="00530B2E"/>
    <w:pPr>
      <w:spacing w:after="0" w:line="240" w:lineRule="auto"/>
    </w:pPr>
    <w:tblPr>
      <w:tblStyleRowBandSize w:val="1"/>
      <w:tblStyleColBandSize w:val="1"/>
      <w:tblBorders>
        <w:top w:val="single" w:sz="4" w:space="0" w:color="37EBD6" w:themeColor="accent5" w:themeTint="99"/>
        <w:left w:val="single" w:sz="4" w:space="0" w:color="37EBD6" w:themeColor="accent5" w:themeTint="99"/>
        <w:bottom w:val="single" w:sz="4" w:space="0" w:color="37EBD6" w:themeColor="accent5" w:themeTint="99"/>
        <w:right w:val="single" w:sz="4" w:space="0" w:color="37EBD6" w:themeColor="accent5" w:themeTint="99"/>
        <w:insideH w:val="single" w:sz="4" w:space="0" w:color="37EBD6" w:themeColor="accent5" w:themeTint="99"/>
        <w:insideV w:val="single" w:sz="4" w:space="0" w:color="37EB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8F1" w:themeFill="accent5" w:themeFillTint="33"/>
      </w:tcPr>
    </w:tblStylePr>
    <w:tblStylePr w:type="band1Horz">
      <w:tblPr/>
      <w:tcPr>
        <w:shd w:val="clear" w:color="auto" w:fill="BCF8F1" w:themeFill="accent5" w:themeFillTint="33"/>
      </w:tcPr>
    </w:tblStylePr>
    <w:tblStylePr w:type="neCell">
      <w:tblPr/>
      <w:tcPr>
        <w:tcBorders>
          <w:bottom w:val="single" w:sz="4" w:space="0" w:color="37EBD6" w:themeColor="accent5" w:themeTint="99"/>
        </w:tcBorders>
      </w:tcPr>
    </w:tblStylePr>
    <w:tblStylePr w:type="nwCell">
      <w:tblPr/>
      <w:tcPr>
        <w:tcBorders>
          <w:bottom w:val="single" w:sz="4" w:space="0" w:color="37EBD6" w:themeColor="accent5" w:themeTint="99"/>
        </w:tcBorders>
      </w:tcPr>
    </w:tblStylePr>
    <w:tblStylePr w:type="seCell">
      <w:tblPr/>
      <w:tcPr>
        <w:tcBorders>
          <w:top w:val="single" w:sz="4" w:space="0" w:color="37EBD6" w:themeColor="accent5" w:themeTint="99"/>
        </w:tcBorders>
      </w:tcPr>
    </w:tblStylePr>
    <w:tblStylePr w:type="swCell">
      <w:tblPr/>
      <w:tcPr>
        <w:tcBorders>
          <w:top w:val="single" w:sz="4" w:space="0" w:color="37EBD6" w:themeColor="accent5" w:themeTint="99"/>
        </w:tcBorders>
      </w:tcPr>
    </w:tblStylePr>
  </w:style>
  <w:style w:type="table" w:customStyle="1" w:styleId="GridTable3-Accent61">
    <w:name w:val="Grid Table 3 - Accent 61"/>
    <w:basedOn w:val="TableNormal"/>
    <w:uiPriority w:val="48"/>
    <w:locked/>
    <w:rsid w:val="00530B2E"/>
    <w:pPr>
      <w:spacing w:after="0" w:line="240" w:lineRule="auto"/>
    </w:pPr>
    <w:tblPr>
      <w:tblStyleRowBandSize w:val="1"/>
      <w:tblStyleColBandSize w:val="1"/>
      <w:tblBorders>
        <w:top w:val="single" w:sz="4" w:space="0" w:color="8FD4CB" w:themeColor="accent6" w:themeTint="99"/>
        <w:left w:val="single" w:sz="4" w:space="0" w:color="8FD4CB" w:themeColor="accent6" w:themeTint="99"/>
        <w:bottom w:val="single" w:sz="4" w:space="0" w:color="8FD4CB" w:themeColor="accent6" w:themeTint="99"/>
        <w:right w:val="single" w:sz="4" w:space="0" w:color="8FD4CB" w:themeColor="accent6" w:themeTint="99"/>
        <w:insideH w:val="single" w:sz="4" w:space="0" w:color="8FD4CB" w:themeColor="accent6" w:themeTint="99"/>
        <w:insideV w:val="single" w:sz="4" w:space="0" w:color="8FD4C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1ED" w:themeFill="accent6" w:themeFillTint="33"/>
      </w:tcPr>
    </w:tblStylePr>
    <w:tblStylePr w:type="band1Horz">
      <w:tblPr/>
      <w:tcPr>
        <w:shd w:val="clear" w:color="auto" w:fill="D9F1ED" w:themeFill="accent6" w:themeFillTint="33"/>
      </w:tcPr>
    </w:tblStylePr>
    <w:tblStylePr w:type="neCell">
      <w:tblPr/>
      <w:tcPr>
        <w:tcBorders>
          <w:bottom w:val="single" w:sz="4" w:space="0" w:color="8FD4CB" w:themeColor="accent6" w:themeTint="99"/>
        </w:tcBorders>
      </w:tcPr>
    </w:tblStylePr>
    <w:tblStylePr w:type="nwCell">
      <w:tblPr/>
      <w:tcPr>
        <w:tcBorders>
          <w:bottom w:val="single" w:sz="4" w:space="0" w:color="8FD4CB" w:themeColor="accent6" w:themeTint="99"/>
        </w:tcBorders>
      </w:tcPr>
    </w:tblStylePr>
    <w:tblStylePr w:type="seCell">
      <w:tblPr/>
      <w:tcPr>
        <w:tcBorders>
          <w:top w:val="single" w:sz="4" w:space="0" w:color="8FD4CB" w:themeColor="accent6" w:themeTint="99"/>
        </w:tcBorders>
      </w:tcPr>
    </w:tblStylePr>
    <w:tblStylePr w:type="swCell">
      <w:tblPr/>
      <w:tcPr>
        <w:tcBorders>
          <w:top w:val="single" w:sz="4" w:space="0" w:color="8FD4CB" w:themeColor="accent6" w:themeTint="99"/>
        </w:tcBorders>
      </w:tcPr>
    </w:tblStylePr>
  </w:style>
  <w:style w:type="table" w:customStyle="1" w:styleId="GridTable41">
    <w:name w:val="Grid Table 41"/>
    <w:basedOn w:val="TableNormal"/>
    <w:uiPriority w:val="49"/>
    <w:locked/>
    <w:rsid w:val="00530B2E"/>
    <w:pPr>
      <w:spacing w:after="0" w:line="240" w:lineRule="auto"/>
    </w:pPr>
    <w:tblPr>
      <w:tblStyleRowBandSize w:val="1"/>
      <w:tblStyleColBandSize w:val="1"/>
      <w:tblBorders>
        <w:top w:val="single" w:sz="4" w:space="0" w:color="7A7A7A" w:themeColor="text1" w:themeTint="99"/>
        <w:left w:val="single" w:sz="4" w:space="0" w:color="7A7A7A" w:themeColor="text1" w:themeTint="99"/>
        <w:bottom w:val="single" w:sz="4" w:space="0" w:color="7A7A7A" w:themeColor="text1" w:themeTint="99"/>
        <w:right w:val="single" w:sz="4" w:space="0" w:color="7A7A7A" w:themeColor="text1" w:themeTint="99"/>
        <w:insideH w:val="single" w:sz="4" w:space="0" w:color="7A7A7A" w:themeColor="text1" w:themeTint="99"/>
        <w:insideV w:val="single" w:sz="4" w:space="0" w:color="7A7A7A" w:themeColor="text1" w:themeTint="99"/>
      </w:tblBorders>
    </w:tblPr>
    <w:tblStylePr w:type="firstRow">
      <w:rPr>
        <w:b/>
        <w:bCs/>
        <w:color w:val="FFFFFF" w:themeColor="background1"/>
      </w:rPr>
      <w:tblPr/>
      <w:tcPr>
        <w:tcBorders>
          <w:top w:val="single" w:sz="4" w:space="0" w:color="222222" w:themeColor="text1"/>
          <w:left w:val="single" w:sz="4" w:space="0" w:color="222222" w:themeColor="text1"/>
          <w:bottom w:val="single" w:sz="4" w:space="0" w:color="222222" w:themeColor="text1"/>
          <w:right w:val="single" w:sz="4" w:space="0" w:color="222222" w:themeColor="text1"/>
          <w:insideH w:val="nil"/>
          <w:insideV w:val="nil"/>
        </w:tcBorders>
        <w:shd w:val="clear" w:color="auto" w:fill="222222" w:themeFill="text1"/>
      </w:tcPr>
    </w:tblStylePr>
    <w:tblStylePr w:type="lastRow">
      <w:rPr>
        <w:b/>
        <w:bCs/>
      </w:rPr>
      <w:tblPr/>
      <w:tcPr>
        <w:tcBorders>
          <w:top w:val="double" w:sz="4" w:space="0" w:color="222222" w:themeColor="text1"/>
        </w:tcBorders>
      </w:tcPr>
    </w:tblStylePr>
    <w:tblStylePr w:type="firstCol">
      <w:rPr>
        <w:b/>
        <w:bCs/>
      </w:rPr>
    </w:tblStylePr>
    <w:tblStylePr w:type="lastCol">
      <w:rPr>
        <w:b/>
        <w:bCs/>
      </w:rPr>
    </w:tblStylePr>
    <w:tblStylePr w:type="band1Vert">
      <w:tblPr/>
      <w:tcPr>
        <w:shd w:val="clear" w:color="auto" w:fill="D2D2D2" w:themeFill="text1" w:themeFillTint="33"/>
      </w:tcPr>
    </w:tblStylePr>
    <w:tblStylePr w:type="band1Horz">
      <w:tblPr/>
      <w:tcPr>
        <w:shd w:val="clear" w:color="auto" w:fill="D2D2D2" w:themeFill="text1" w:themeFillTint="33"/>
      </w:tcPr>
    </w:tblStylePr>
  </w:style>
  <w:style w:type="table" w:customStyle="1" w:styleId="GridTable4-Accent11">
    <w:name w:val="Grid Table 4 - Accent 11"/>
    <w:basedOn w:val="TableNormal"/>
    <w:uiPriority w:val="49"/>
    <w:locked/>
    <w:rsid w:val="00530B2E"/>
    <w:pPr>
      <w:spacing w:after="0" w:line="240" w:lineRule="auto"/>
    </w:pPr>
    <w:tblPr>
      <w:tblStyleRowBandSize w:val="1"/>
      <w:tblStyleColBandSize w:val="1"/>
      <w:tblBorders>
        <w:top w:val="single" w:sz="4" w:space="0" w:color="FFA247" w:themeColor="accent1" w:themeTint="99"/>
        <w:left w:val="single" w:sz="4" w:space="0" w:color="FFA247" w:themeColor="accent1" w:themeTint="99"/>
        <w:bottom w:val="single" w:sz="4" w:space="0" w:color="FFA247" w:themeColor="accent1" w:themeTint="99"/>
        <w:right w:val="single" w:sz="4" w:space="0" w:color="FFA247" w:themeColor="accent1" w:themeTint="99"/>
        <w:insideH w:val="single" w:sz="4" w:space="0" w:color="FFA247" w:themeColor="accent1" w:themeTint="99"/>
        <w:insideV w:val="single" w:sz="4" w:space="0" w:color="FFA247" w:themeColor="accent1" w:themeTint="99"/>
      </w:tblBorders>
    </w:tblPr>
    <w:tblStylePr w:type="firstRow">
      <w:rPr>
        <w:b/>
        <w:bCs/>
        <w:color w:val="FFFFFF" w:themeColor="background1"/>
      </w:rPr>
      <w:tblPr/>
      <w:tcPr>
        <w:tcBorders>
          <w:top w:val="single" w:sz="4" w:space="0" w:color="CC6600" w:themeColor="accent1"/>
          <w:left w:val="single" w:sz="4" w:space="0" w:color="CC6600" w:themeColor="accent1"/>
          <w:bottom w:val="single" w:sz="4" w:space="0" w:color="CC6600" w:themeColor="accent1"/>
          <w:right w:val="single" w:sz="4" w:space="0" w:color="CC6600" w:themeColor="accent1"/>
          <w:insideH w:val="nil"/>
          <w:insideV w:val="nil"/>
        </w:tcBorders>
        <w:shd w:val="clear" w:color="auto" w:fill="CC6600" w:themeFill="accent1"/>
      </w:tcPr>
    </w:tblStylePr>
    <w:tblStylePr w:type="lastRow">
      <w:rPr>
        <w:b/>
        <w:bCs/>
      </w:rPr>
      <w:tblPr/>
      <w:tcPr>
        <w:tcBorders>
          <w:top w:val="double" w:sz="4" w:space="0" w:color="CC6600" w:themeColor="accent1"/>
        </w:tcBorders>
      </w:tcPr>
    </w:tblStylePr>
    <w:tblStylePr w:type="firstCol">
      <w:rPr>
        <w:b/>
        <w:bCs/>
      </w:rPr>
    </w:tblStylePr>
    <w:tblStylePr w:type="lastCol">
      <w:rPr>
        <w:b/>
        <w:bCs/>
      </w:rPr>
    </w:tblStylePr>
    <w:tblStylePr w:type="band1Vert">
      <w:tblPr/>
      <w:tcPr>
        <w:shd w:val="clear" w:color="auto" w:fill="FFE0C1" w:themeFill="accent1" w:themeFillTint="33"/>
      </w:tcPr>
    </w:tblStylePr>
    <w:tblStylePr w:type="band1Horz">
      <w:tblPr/>
      <w:tcPr>
        <w:shd w:val="clear" w:color="auto" w:fill="FFE0C1" w:themeFill="accent1" w:themeFillTint="33"/>
      </w:tcPr>
    </w:tblStylePr>
  </w:style>
  <w:style w:type="table" w:customStyle="1" w:styleId="GridTable4-Accent21">
    <w:name w:val="Grid Table 4 - Accent 21"/>
    <w:basedOn w:val="TableNormal"/>
    <w:uiPriority w:val="49"/>
    <w:locked/>
    <w:rsid w:val="00530B2E"/>
    <w:pPr>
      <w:spacing w:after="0" w:line="240" w:lineRule="auto"/>
    </w:pPr>
    <w:tblPr>
      <w:tblStyleRowBandSize w:val="1"/>
      <w:tblStyleColBandSize w:val="1"/>
      <w:tblBorders>
        <w:top w:val="single" w:sz="4" w:space="0" w:color="FDEDE0" w:themeColor="accent2" w:themeTint="99"/>
        <w:left w:val="single" w:sz="4" w:space="0" w:color="FDEDE0" w:themeColor="accent2" w:themeTint="99"/>
        <w:bottom w:val="single" w:sz="4" w:space="0" w:color="FDEDE0" w:themeColor="accent2" w:themeTint="99"/>
        <w:right w:val="single" w:sz="4" w:space="0" w:color="FDEDE0" w:themeColor="accent2" w:themeTint="99"/>
        <w:insideH w:val="single" w:sz="4" w:space="0" w:color="FDEDE0" w:themeColor="accent2" w:themeTint="99"/>
        <w:insideV w:val="single" w:sz="4" w:space="0" w:color="FDEDE0" w:themeColor="accent2" w:themeTint="99"/>
      </w:tblBorders>
    </w:tblPr>
    <w:tblStylePr w:type="firstRow">
      <w:rPr>
        <w:b/>
        <w:bCs/>
        <w:color w:val="FFFFFF" w:themeColor="background1"/>
      </w:rPr>
      <w:tblPr/>
      <w:tcPr>
        <w:tcBorders>
          <w:top w:val="single" w:sz="4" w:space="0" w:color="FCE2CC" w:themeColor="accent2"/>
          <w:left w:val="single" w:sz="4" w:space="0" w:color="FCE2CC" w:themeColor="accent2"/>
          <w:bottom w:val="single" w:sz="4" w:space="0" w:color="FCE2CC" w:themeColor="accent2"/>
          <w:right w:val="single" w:sz="4" w:space="0" w:color="FCE2CC" w:themeColor="accent2"/>
          <w:insideH w:val="nil"/>
          <w:insideV w:val="nil"/>
        </w:tcBorders>
        <w:shd w:val="clear" w:color="auto" w:fill="FCE2CC" w:themeFill="accent2"/>
      </w:tcPr>
    </w:tblStylePr>
    <w:tblStylePr w:type="lastRow">
      <w:rPr>
        <w:b/>
        <w:bCs/>
      </w:rPr>
      <w:tblPr/>
      <w:tcPr>
        <w:tcBorders>
          <w:top w:val="double" w:sz="4" w:space="0" w:color="FCE2CC" w:themeColor="accent2"/>
        </w:tcBorders>
      </w:tcPr>
    </w:tblStylePr>
    <w:tblStylePr w:type="firstCol">
      <w:rPr>
        <w:b/>
        <w:bCs/>
      </w:rPr>
    </w:tblStylePr>
    <w:tblStylePr w:type="lastCol">
      <w:rPr>
        <w:b/>
        <w:bCs/>
      </w:rPr>
    </w:tblStylePr>
    <w:tblStylePr w:type="band1Vert">
      <w:tblPr/>
      <w:tcPr>
        <w:shd w:val="clear" w:color="auto" w:fill="FEF9F4" w:themeFill="accent2" w:themeFillTint="33"/>
      </w:tcPr>
    </w:tblStylePr>
    <w:tblStylePr w:type="band1Horz">
      <w:tblPr/>
      <w:tcPr>
        <w:shd w:val="clear" w:color="auto" w:fill="FEF9F4" w:themeFill="accent2" w:themeFillTint="33"/>
      </w:tcPr>
    </w:tblStylePr>
  </w:style>
  <w:style w:type="table" w:customStyle="1" w:styleId="GridTable4-Accent31">
    <w:name w:val="Grid Table 4 - Accent 31"/>
    <w:basedOn w:val="TableNormal"/>
    <w:uiPriority w:val="49"/>
    <w:locked/>
    <w:rsid w:val="00530B2E"/>
    <w:pPr>
      <w:spacing w:after="0" w:line="240" w:lineRule="auto"/>
    </w:pPr>
    <w:tblPr>
      <w:tblStyleRowBandSize w:val="1"/>
      <w:tblStyleColBandSize w:val="1"/>
      <w:tblBorders>
        <w:top w:val="single" w:sz="4" w:space="0" w:color="2C90E4" w:themeColor="accent3" w:themeTint="99"/>
        <w:left w:val="single" w:sz="4" w:space="0" w:color="2C90E4" w:themeColor="accent3" w:themeTint="99"/>
        <w:bottom w:val="single" w:sz="4" w:space="0" w:color="2C90E4" w:themeColor="accent3" w:themeTint="99"/>
        <w:right w:val="single" w:sz="4" w:space="0" w:color="2C90E4" w:themeColor="accent3" w:themeTint="99"/>
        <w:insideH w:val="single" w:sz="4" w:space="0" w:color="2C90E4" w:themeColor="accent3" w:themeTint="99"/>
        <w:insideV w:val="single" w:sz="4" w:space="0" w:color="2C90E4" w:themeColor="accent3" w:themeTint="99"/>
      </w:tblBorders>
    </w:tblPr>
    <w:tblStylePr w:type="firstRow">
      <w:rPr>
        <w:b/>
        <w:bCs/>
        <w:color w:val="FFFFFF" w:themeColor="background1"/>
      </w:rPr>
      <w:tblPr/>
      <w:tcPr>
        <w:tcBorders>
          <w:top w:val="single" w:sz="4" w:space="0" w:color="0D3E67" w:themeColor="accent3"/>
          <w:left w:val="single" w:sz="4" w:space="0" w:color="0D3E67" w:themeColor="accent3"/>
          <w:bottom w:val="single" w:sz="4" w:space="0" w:color="0D3E67" w:themeColor="accent3"/>
          <w:right w:val="single" w:sz="4" w:space="0" w:color="0D3E67" w:themeColor="accent3"/>
          <w:insideH w:val="nil"/>
          <w:insideV w:val="nil"/>
        </w:tcBorders>
        <w:shd w:val="clear" w:color="auto" w:fill="0D3E67" w:themeFill="accent3"/>
      </w:tcPr>
    </w:tblStylePr>
    <w:tblStylePr w:type="lastRow">
      <w:rPr>
        <w:b/>
        <w:bCs/>
      </w:rPr>
      <w:tblPr/>
      <w:tcPr>
        <w:tcBorders>
          <w:top w:val="double" w:sz="4" w:space="0" w:color="0D3E67" w:themeColor="accent3"/>
        </w:tcBorders>
      </w:tcPr>
    </w:tblStylePr>
    <w:tblStylePr w:type="firstCol">
      <w:rPr>
        <w:b/>
        <w:bCs/>
      </w:rPr>
    </w:tblStylePr>
    <w:tblStylePr w:type="lastCol">
      <w:rPr>
        <w:b/>
        <w:bCs/>
      </w:rPr>
    </w:tblStylePr>
    <w:tblStylePr w:type="band1Vert">
      <w:tblPr/>
      <w:tcPr>
        <w:shd w:val="clear" w:color="auto" w:fill="B8DAF6" w:themeFill="accent3" w:themeFillTint="33"/>
      </w:tcPr>
    </w:tblStylePr>
    <w:tblStylePr w:type="band1Horz">
      <w:tblPr/>
      <w:tcPr>
        <w:shd w:val="clear" w:color="auto" w:fill="B8DAF6" w:themeFill="accent3" w:themeFillTint="33"/>
      </w:tcPr>
    </w:tblStylePr>
  </w:style>
  <w:style w:type="table" w:customStyle="1" w:styleId="GridTable4-Accent41">
    <w:name w:val="Grid Table 4 - Accent 41"/>
    <w:basedOn w:val="TableNormal"/>
    <w:uiPriority w:val="49"/>
    <w:locked/>
    <w:rsid w:val="00530B2E"/>
    <w:pPr>
      <w:spacing w:after="0" w:line="240" w:lineRule="auto"/>
    </w:pPr>
    <w:tblPr>
      <w:tblStyleRowBandSize w:val="1"/>
      <w:tblStyleColBandSize w:val="1"/>
      <w:tblBorders>
        <w:top w:val="single" w:sz="4" w:space="0" w:color="B0BFD2" w:themeColor="accent4" w:themeTint="99"/>
        <w:left w:val="single" w:sz="4" w:space="0" w:color="B0BFD2" w:themeColor="accent4" w:themeTint="99"/>
        <w:bottom w:val="single" w:sz="4" w:space="0" w:color="B0BFD2" w:themeColor="accent4" w:themeTint="99"/>
        <w:right w:val="single" w:sz="4" w:space="0" w:color="B0BFD2" w:themeColor="accent4" w:themeTint="99"/>
        <w:insideH w:val="single" w:sz="4" w:space="0" w:color="B0BFD2" w:themeColor="accent4" w:themeTint="99"/>
        <w:insideV w:val="single" w:sz="4" w:space="0" w:color="B0BFD2" w:themeColor="accent4" w:themeTint="99"/>
      </w:tblBorders>
    </w:tblPr>
    <w:tblStylePr w:type="firstRow">
      <w:rPr>
        <w:b/>
        <w:bCs/>
        <w:color w:val="FFFFFF" w:themeColor="background1"/>
      </w:rPr>
      <w:tblPr/>
      <w:tcPr>
        <w:tcBorders>
          <w:top w:val="single" w:sz="4" w:space="0" w:color="7D96B5" w:themeColor="accent4"/>
          <w:left w:val="single" w:sz="4" w:space="0" w:color="7D96B5" w:themeColor="accent4"/>
          <w:bottom w:val="single" w:sz="4" w:space="0" w:color="7D96B5" w:themeColor="accent4"/>
          <w:right w:val="single" w:sz="4" w:space="0" w:color="7D96B5" w:themeColor="accent4"/>
          <w:insideH w:val="nil"/>
          <w:insideV w:val="nil"/>
        </w:tcBorders>
        <w:shd w:val="clear" w:color="auto" w:fill="7D96B5" w:themeFill="accent4"/>
      </w:tcPr>
    </w:tblStylePr>
    <w:tblStylePr w:type="lastRow">
      <w:rPr>
        <w:b/>
        <w:bCs/>
      </w:rPr>
      <w:tblPr/>
      <w:tcPr>
        <w:tcBorders>
          <w:top w:val="double" w:sz="4" w:space="0" w:color="7D96B5" w:themeColor="accent4"/>
        </w:tcBorders>
      </w:tcPr>
    </w:tblStylePr>
    <w:tblStylePr w:type="firstCol">
      <w:rPr>
        <w:b/>
        <w:bCs/>
      </w:rPr>
    </w:tblStylePr>
    <w:tblStylePr w:type="lastCol">
      <w:rPr>
        <w:b/>
        <w:bCs/>
      </w:rPr>
    </w:tblStylePr>
    <w:tblStylePr w:type="band1Vert">
      <w:tblPr/>
      <w:tcPr>
        <w:shd w:val="clear" w:color="auto" w:fill="E4E9F0" w:themeFill="accent4" w:themeFillTint="33"/>
      </w:tcPr>
    </w:tblStylePr>
    <w:tblStylePr w:type="band1Horz">
      <w:tblPr/>
      <w:tcPr>
        <w:shd w:val="clear" w:color="auto" w:fill="E4E9F0" w:themeFill="accent4" w:themeFillTint="33"/>
      </w:tcPr>
    </w:tblStylePr>
  </w:style>
  <w:style w:type="table" w:customStyle="1" w:styleId="GridTable4-Accent51">
    <w:name w:val="Grid Table 4 - Accent 51"/>
    <w:basedOn w:val="TableNormal"/>
    <w:uiPriority w:val="49"/>
    <w:locked/>
    <w:rsid w:val="00530B2E"/>
    <w:pPr>
      <w:spacing w:after="0" w:line="240" w:lineRule="auto"/>
    </w:pPr>
    <w:tblPr>
      <w:tblStyleRowBandSize w:val="1"/>
      <w:tblStyleColBandSize w:val="1"/>
      <w:tblBorders>
        <w:top w:val="single" w:sz="4" w:space="0" w:color="37EBD6" w:themeColor="accent5" w:themeTint="99"/>
        <w:left w:val="single" w:sz="4" w:space="0" w:color="37EBD6" w:themeColor="accent5" w:themeTint="99"/>
        <w:bottom w:val="single" w:sz="4" w:space="0" w:color="37EBD6" w:themeColor="accent5" w:themeTint="99"/>
        <w:right w:val="single" w:sz="4" w:space="0" w:color="37EBD6" w:themeColor="accent5" w:themeTint="99"/>
        <w:insideH w:val="single" w:sz="4" w:space="0" w:color="37EBD6" w:themeColor="accent5" w:themeTint="99"/>
        <w:insideV w:val="single" w:sz="4" w:space="0" w:color="37EBD6" w:themeColor="accent5" w:themeTint="99"/>
      </w:tblBorders>
    </w:tblPr>
    <w:tblStylePr w:type="firstRow">
      <w:rPr>
        <w:b/>
        <w:bCs/>
        <w:color w:val="FFFFFF" w:themeColor="background1"/>
      </w:rPr>
      <w:tblPr/>
      <w:tcPr>
        <w:tcBorders>
          <w:top w:val="single" w:sz="4" w:space="0" w:color="0D8577" w:themeColor="accent5"/>
          <w:left w:val="single" w:sz="4" w:space="0" w:color="0D8577" w:themeColor="accent5"/>
          <w:bottom w:val="single" w:sz="4" w:space="0" w:color="0D8577" w:themeColor="accent5"/>
          <w:right w:val="single" w:sz="4" w:space="0" w:color="0D8577" w:themeColor="accent5"/>
          <w:insideH w:val="nil"/>
          <w:insideV w:val="nil"/>
        </w:tcBorders>
        <w:shd w:val="clear" w:color="auto" w:fill="0D8577" w:themeFill="accent5"/>
      </w:tcPr>
    </w:tblStylePr>
    <w:tblStylePr w:type="lastRow">
      <w:rPr>
        <w:b/>
        <w:bCs/>
      </w:rPr>
      <w:tblPr/>
      <w:tcPr>
        <w:tcBorders>
          <w:top w:val="double" w:sz="4" w:space="0" w:color="0D8577" w:themeColor="accent5"/>
        </w:tcBorders>
      </w:tcPr>
    </w:tblStylePr>
    <w:tblStylePr w:type="firstCol">
      <w:rPr>
        <w:b/>
        <w:bCs/>
      </w:rPr>
    </w:tblStylePr>
    <w:tblStylePr w:type="lastCol">
      <w:rPr>
        <w:b/>
        <w:bCs/>
      </w:rPr>
    </w:tblStylePr>
    <w:tblStylePr w:type="band1Vert">
      <w:tblPr/>
      <w:tcPr>
        <w:shd w:val="clear" w:color="auto" w:fill="BCF8F1" w:themeFill="accent5" w:themeFillTint="33"/>
      </w:tcPr>
    </w:tblStylePr>
    <w:tblStylePr w:type="band1Horz">
      <w:tblPr/>
      <w:tcPr>
        <w:shd w:val="clear" w:color="auto" w:fill="BCF8F1" w:themeFill="accent5" w:themeFillTint="33"/>
      </w:tcPr>
    </w:tblStylePr>
  </w:style>
  <w:style w:type="table" w:customStyle="1" w:styleId="GridTable4-Accent61">
    <w:name w:val="Grid Table 4 - Accent 61"/>
    <w:basedOn w:val="TableNormal"/>
    <w:uiPriority w:val="49"/>
    <w:locked/>
    <w:rsid w:val="00530B2E"/>
    <w:pPr>
      <w:spacing w:after="0" w:line="240" w:lineRule="auto"/>
    </w:pPr>
    <w:tblPr>
      <w:tblStyleRowBandSize w:val="1"/>
      <w:tblStyleColBandSize w:val="1"/>
      <w:tblBorders>
        <w:top w:val="single" w:sz="4" w:space="0" w:color="8FD4CB" w:themeColor="accent6" w:themeTint="99"/>
        <w:left w:val="single" w:sz="4" w:space="0" w:color="8FD4CB" w:themeColor="accent6" w:themeTint="99"/>
        <w:bottom w:val="single" w:sz="4" w:space="0" w:color="8FD4CB" w:themeColor="accent6" w:themeTint="99"/>
        <w:right w:val="single" w:sz="4" w:space="0" w:color="8FD4CB" w:themeColor="accent6" w:themeTint="99"/>
        <w:insideH w:val="single" w:sz="4" w:space="0" w:color="8FD4CB" w:themeColor="accent6" w:themeTint="99"/>
        <w:insideV w:val="single" w:sz="4" w:space="0" w:color="8FD4CB" w:themeColor="accent6" w:themeTint="99"/>
      </w:tblBorders>
    </w:tblPr>
    <w:tblStylePr w:type="firstRow">
      <w:rPr>
        <w:b/>
        <w:bCs/>
        <w:color w:val="FFFFFF" w:themeColor="background1"/>
      </w:rPr>
      <w:tblPr/>
      <w:tcPr>
        <w:tcBorders>
          <w:top w:val="single" w:sz="4" w:space="0" w:color="46B8A9" w:themeColor="accent6"/>
          <w:left w:val="single" w:sz="4" w:space="0" w:color="46B8A9" w:themeColor="accent6"/>
          <w:bottom w:val="single" w:sz="4" w:space="0" w:color="46B8A9" w:themeColor="accent6"/>
          <w:right w:val="single" w:sz="4" w:space="0" w:color="46B8A9" w:themeColor="accent6"/>
          <w:insideH w:val="nil"/>
          <w:insideV w:val="nil"/>
        </w:tcBorders>
        <w:shd w:val="clear" w:color="auto" w:fill="46B8A9" w:themeFill="accent6"/>
      </w:tcPr>
    </w:tblStylePr>
    <w:tblStylePr w:type="lastRow">
      <w:rPr>
        <w:b/>
        <w:bCs/>
      </w:rPr>
      <w:tblPr/>
      <w:tcPr>
        <w:tcBorders>
          <w:top w:val="double" w:sz="4" w:space="0" w:color="46B8A9" w:themeColor="accent6"/>
        </w:tcBorders>
      </w:tcPr>
    </w:tblStylePr>
    <w:tblStylePr w:type="firstCol">
      <w:rPr>
        <w:b/>
        <w:bCs/>
      </w:rPr>
    </w:tblStylePr>
    <w:tblStylePr w:type="lastCol">
      <w:rPr>
        <w:b/>
        <w:bCs/>
      </w:rPr>
    </w:tblStylePr>
    <w:tblStylePr w:type="band1Vert">
      <w:tblPr/>
      <w:tcPr>
        <w:shd w:val="clear" w:color="auto" w:fill="D9F1ED" w:themeFill="accent6" w:themeFillTint="33"/>
      </w:tcPr>
    </w:tblStylePr>
    <w:tblStylePr w:type="band1Horz">
      <w:tblPr/>
      <w:tcPr>
        <w:shd w:val="clear" w:color="auto" w:fill="D9F1ED" w:themeFill="accent6" w:themeFillTint="33"/>
      </w:tcPr>
    </w:tblStylePr>
  </w:style>
  <w:style w:type="table" w:customStyle="1" w:styleId="GridTable5Dark1">
    <w:name w:val="Grid Table 5 Dark1"/>
    <w:basedOn w:val="TableNormal"/>
    <w:uiPriority w:val="50"/>
    <w:locked/>
    <w:rsid w:val="00530B2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2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2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2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22222" w:themeFill="text1"/>
      </w:tcPr>
    </w:tblStylePr>
    <w:tblStylePr w:type="band1Vert">
      <w:tblPr/>
      <w:tcPr>
        <w:shd w:val="clear" w:color="auto" w:fill="A6A6A6" w:themeFill="text1" w:themeFillTint="66"/>
      </w:tcPr>
    </w:tblStylePr>
    <w:tblStylePr w:type="band1Horz">
      <w:tblPr/>
      <w:tcPr>
        <w:shd w:val="clear" w:color="auto" w:fill="A6A6A6" w:themeFill="text1" w:themeFillTint="66"/>
      </w:tcPr>
    </w:tblStylePr>
  </w:style>
  <w:style w:type="table" w:customStyle="1" w:styleId="GridTable5Dark-Accent11">
    <w:name w:val="Grid Table 5 Dark - Accent 11"/>
    <w:basedOn w:val="TableNormal"/>
    <w:uiPriority w:val="50"/>
    <w:locked/>
    <w:rsid w:val="00530B2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0C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66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66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66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6600" w:themeFill="accent1"/>
      </w:tcPr>
    </w:tblStylePr>
    <w:tblStylePr w:type="band1Vert">
      <w:tblPr/>
      <w:tcPr>
        <w:shd w:val="clear" w:color="auto" w:fill="FFC184" w:themeFill="accent1" w:themeFillTint="66"/>
      </w:tcPr>
    </w:tblStylePr>
    <w:tblStylePr w:type="band1Horz">
      <w:tblPr/>
      <w:tcPr>
        <w:shd w:val="clear" w:color="auto" w:fill="FFC184" w:themeFill="accent1" w:themeFillTint="66"/>
      </w:tcPr>
    </w:tblStylePr>
  </w:style>
  <w:style w:type="table" w:customStyle="1" w:styleId="GridTable5Dark-Accent21">
    <w:name w:val="Grid Table 5 Dark - Accent 21"/>
    <w:basedOn w:val="TableNormal"/>
    <w:uiPriority w:val="50"/>
    <w:locked/>
    <w:rsid w:val="00530B2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9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E2C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E2C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E2C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E2CC" w:themeFill="accent2"/>
      </w:tcPr>
    </w:tblStylePr>
    <w:tblStylePr w:type="band1Vert">
      <w:tblPr/>
      <w:tcPr>
        <w:shd w:val="clear" w:color="auto" w:fill="FDF3EA" w:themeFill="accent2" w:themeFillTint="66"/>
      </w:tcPr>
    </w:tblStylePr>
    <w:tblStylePr w:type="band1Horz">
      <w:tblPr/>
      <w:tcPr>
        <w:shd w:val="clear" w:color="auto" w:fill="FDF3EA" w:themeFill="accent2" w:themeFillTint="66"/>
      </w:tcPr>
    </w:tblStylePr>
  </w:style>
  <w:style w:type="table" w:customStyle="1" w:styleId="GridTable5Dark-Accent31">
    <w:name w:val="Grid Table 5 Dark - Accent 31"/>
    <w:basedOn w:val="TableNormal"/>
    <w:uiPriority w:val="50"/>
    <w:locked/>
    <w:rsid w:val="00530B2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DAF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3E6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3E6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3E6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3E67" w:themeFill="accent3"/>
      </w:tcPr>
    </w:tblStylePr>
    <w:tblStylePr w:type="band1Vert">
      <w:tblPr/>
      <w:tcPr>
        <w:shd w:val="clear" w:color="auto" w:fill="73B5ED" w:themeFill="accent3" w:themeFillTint="66"/>
      </w:tcPr>
    </w:tblStylePr>
    <w:tblStylePr w:type="band1Horz">
      <w:tblPr/>
      <w:tcPr>
        <w:shd w:val="clear" w:color="auto" w:fill="73B5ED" w:themeFill="accent3" w:themeFillTint="66"/>
      </w:tcPr>
    </w:tblStylePr>
  </w:style>
  <w:style w:type="table" w:customStyle="1" w:styleId="GridTable5Dark-Accent41">
    <w:name w:val="Grid Table 5 Dark - Accent 41"/>
    <w:basedOn w:val="TableNormal"/>
    <w:uiPriority w:val="50"/>
    <w:locked/>
    <w:rsid w:val="00530B2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9F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96B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96B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96B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96B5" w:themeFill="accent4"/>
      </w:tcPr>
    </w:tblStylePr>
    <w:tblStylePr w:type="band1Vert">
      <w:tblPr/>
      <w:tcPr>
        <w:shd w:val="clear" w:color="auto" w:fill="CAD4E1" w:themeFill="accent4" w:themeFillTint="66"/>
      </w:tcPr>
    </w:tblStylePr>
    <w:tblStylePr w:type="band1Horz">
      <w:tblPr/>
      <w:tcPr>
        <w:shd w:val="clear" w:color="auto" w:fill="CAD4E1" w:themeFill="accent4" w:themeFillTint="66"/>
      </w:tcPr>
    </w:tblStylePr>
  </w:style>
  <w:style w:type="table" w:customStyle="1" w:styleId="GridTable5Dark-Accent51">
    <w:name w:val="Grid Table 5 Dark - Accent 51"/>
    <w:basedOn w:val="TableNormal"/>
    <w:uiPriority w:val="50"/>
    <w:locked/>
    <w:rsid w:val="00530B2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8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857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857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857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8577" w:themeFill="accent5"/>
      </w:tcPr>
    </w:tblStylePr>
    <w:tblStylePr w:type="band1Vert">
      <w:tblPr/>
      <w:tcPr>
        <w:shd w:val="clear" w:color="auto" w:fill="7AF2E4" w:themeFill="accent5" w:themeFillTint="66"/>
      </w:tcPr>
    </w:tblStylePr>
    <w:tblStylePr w:type="band1Horz">
      <w:tblPr/>
      <w:tcPr>
        <w:shd w:val="clear" w:color="auto" w:fill="7AF2E4" w:themeFill="accent5" w:themeFillTint="66"/>
      </w:tcPr>
    </w:tblStylePr>
  </w:style>
  <w:style w:type="table" w:customStyle="1" w:styleId="GridTable5Dark-Accent61">
    <w:name w:val="Grid Table 5 Dark - Accent 61"/>
    <w:basedOn w:val="TableNormal"/>
    <w:uiPriority w:val="50"/>
    <w:locked/>
    <w:rsid w:val="00530B2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1E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B8A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B8A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B8A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B8A9" w:themeFill="accent6"/>
      </w:tcPr>
    </w:tblStylePr>
    <w:tblStylePr w:type="band1Vert">
      <w:tblPr/>
      <w:tcPr>
        <w:shd w:val="clear" w:color="auto" w:fill="B4E2DC" w:themeFill="accent6" w:themeFillTint="66"/>
      </w:tcPr>
    </w:tblStylePr>
    <w:tblStylePr w:type="band1Horz">
      <w:tblPr/>
      <w:tcPr>
        <w:shd w:val="clear" w:color="auto" w:fill="B4E2DC" w:themeFill="accent6" w:themeFillTint="66"/>
      </w:tcPr>
    </w:tblStylePr>
  </w:style>
  <w:style w:type="table" w:customStyle="1" w:styleId="GridTable6Colorful1">
    <w:name w:val="Grid Table 6 Colorful1"/>
    <w:basedOn w:val="TableNormal"/>
    <w:uiPriority w:val="51"/>
    <w:locked/>
    <w:rsid w:val="00530B2E"/>
    <w:pPr>
      <w:spacing w:after="0" w:line="240" w:lineRule="auto"/>
    </w:pPr>
    <w:tblPr>
      <w:tblStyleRowBandSize w:val="1"/>
      <w:tblStyleColBandSize w:val="1"/>
      <w:tblBorders>
        <w:top w:val="single" w:sz="4" w:space="0" w:color="7A7A7A" w:themeColor="text1" w:themeTint="99"/>
        <w:left w:val="single" w:sz="4" w:space="0" w:color="7A7A7A" w:themeColor="text1" w:themeTint="99"/>
        <w:bottom w:val="single" w:sz="4" w:space="0" w:color="7A7A7A" w:themeColor="text1" w:themeTint="99"/>
        <w:right w:val="single" w:sz="4" w:space="0" w:color="7A7A7A" w:themeColor="text1" w:themeTint="99"/>
        <w:insideH w:val="single" w:sz="4" w:space="0" w:color="7A7A7A" w:themeColor="text1" w:themeTint="99"/>
        <w:insideV w:val="single" w:sz="4" w:space="0" w:color="7A7A7A" w:themeColor="text1" w:themeTint="99"/>
      </w:tblBorders>
    </w:tblPr>
    <w:tblStylePr w:type="firstRow">
      <w:rPr>
        <w:b/>
        <w:bCs/>
      </w:rPr>
      <w:tblPr/>
      <w:tcPr>
        <w:tcBorders>
          <w:bottom w:val="single" w:sz="12" w:space="0" w:color="7A7A7A" w:themeColor="text1" w:themeTint="99"/>
        </w:tcBorders>
      </w:tcPr>
    </w:tblStylePr>
    <w:tblStylePr w:type="lastRow">
      <w:rPr>
        <w:b/>
        <w:bCs/>
      </w:rPr>
      <w:tblPr/>
      <w:tcPr>
        <w:tcBorders>
          <w:top w:val="double" w:sz="4" w:space="0" w:color="7A7A7A" w:themeColor="text1" w:themeTint="99"/>
        </w:tcBorders>
      </w:tcPr>
    </w:tblStylePr>
    <w:tblStylePr w:type="firstCol">
      <w:rPr>
        <w:b/>
        <w:bCs/>
      </w:rPr>
    </w:tblStylePr>
    <w:tblStylePr w:type="lastCol">
      <w:rPr>
        <w:b/>
        <w:bCs/>
      </w:rPr>
    </w:tblStylePr>
    <w:tblStylePr w:type="band1Vert">
      <w:tblPr/>
      <w:tcPr>
        <w:shd w:val="clear" w:color="auto" w:fill="D2D2D2" w:themeFill="text1" w:themeFillTint="33"/>
      </w:tcPr>
    </w:tblStylePr>
    <w:tblStylePr w:type="band1Horz">
      <w:tblPr/>
      <w:tcPr>
        <w:shd w:val="clear" w:color="auto" w:fill="D2D2D2" w:themeFill="text1" w:themeFillTint="33"/>
      </w:tcPr>
    </w:tblStylePr>
  </w:style>
  <w:style w:type="table" w:customStyle="1" w:styleId="GridTable6Colorful-Accent11">
    <w:name w:val="Grid Table 6 Colorful - Accent 11"/>
    <w:basedOn w:val="TableNormal"/>
    <w:uiPriority w:val="51"/>
    <w:locked/>
    <w:rsid w:val="00530B2E"/>
    <w:pPr>
      <w:spacing w:after="0" w:line="240" w:lineRule="auto"/>
    </w:pPr>
    <w:rPr>
      <w:color w:val="984C00" w:themeColor="accent1" w:themeShade="BF"/>
    </w:rPr>
    <w:tblPr>
      <w:tblStyleRowBandSize w:val="1"/>
      <w:tblStyleColBandSize w:val="1"/>
      <w:tblBorders>
        <w:top w:val="single" w:sz="4" w:space="0" w:color="FFA247" w:themeColor="accent1" w:themeTint="99"/>
        <w:left w:val="single" w:sz="4" w:space="0" w:color="FFA247" w:themeColor="accent1" w:themeTint="99"/>
        <w:bottom w:val="single" w:sz="4" w:space="0" w:color="FFA247" w:themeColor="accent1" w:themeTint="99"/>
        <w:right w:val="single" w:sz="4" w:space="0" w:color="FFA247" w:themeColor="accent1" w:themeTint="99"/>
        <w:insideH w:val="single" w:sz="4" w:space="0" w:color="FFA247" w:themeColor="accent1" w:themeTint="99"/>
        <w:insideV w:val="single" w:sz="4" w:space="0" w:color="FFA247" w:themeColor="accent1" w:themeTint="99"/>
      </w:tblBorders>
    </w:tblPr>
    <w:tblStylePr w:type="firstRow">
      <w:rPr>
        <w:b/>
        <w:bCs/>
      </w:rPr>
      <w:tblPr/>
      <w:tcPr>
        <w:tcBorders>
          <w:bottom w:val="single" w:sz="12" w:space="0" w:color="FFA247" w:themeColor="accent1" w:themeTint="99"/>
        </w:tcBorders>
      </w:tcPr>
    </w:tblStylePr>
    <w:tblStylePr w:type="lastRow">
      <w:rPr>
        <w:b/>
        <w:bCs/>
      </w:rPr>
      <w:tblPr/>
      <w:tcPr>
        <w:tcBorders>
          <w:top w:val="double" w:sz="4" w:space="0" w:color="FFA247" w:themeColor="accent1" w:themeTint="99"/>
        </w:tcBorders>
      </w:tcPr>
    </w:tblStylePr>
    <w:tblStylePr w:type="firstCol">
      <w:rPr>
        <w:b/>
        <w:bCs/>
      </w:rPr>
    </w:tblStylePr>
    <w:tblStylePr w:type="lastCol">
      <w:rPr>
        <w:b/>
        <w:bCs/>
      </w:rPr>
    </w:tblStylePr>
    <w:tblStylePr w:type="band1Vert">
      <w:tblPr/>
      <w:tcPr>
        <w:shd w:val="clear" w:color="auto" w:fill="FFE0C1" w:themeFill="accent1" w:themeFillTint="33"/>
      </w:tcPr>
    </w:tblStylePr>
    <w:tblStylePr w:type="band1Horz">
      <w:tblPr/>
      <w:tcPr>
        <w:shd w:val="clear" w:color="auto" w:fill="FFE0C1" w:themeFill="accent1" w:themeFillTint="33"/>
      </w:tcPr>
    </w:tblStylePr>
  </w:style>
  <w:style w:type="table" w:customStyle="1" w:styleId="GridTable6Colorful-Accent21">
    <w:name w:val="Grid Table 6 Colorful - Accent 21"/>
    <w:basedOn w:val="TableNormal"/>
    <w:uiPriority w:val="51"/>
    <w:locked/>
    <w:rsid w:val="00530B2E"/>
    <w:pPr>
      <w:spacing w:after="0" w:line="240" w:lineRule="auto"/>
    </w:pPr>
    <w:rPr>
      <w:color w:val="F5A35F" w:themeColor="accent2" w:themeShade="BF"/>
    </w:rPr>
    <w:tblPr>
      <w:tblStyleRowBandSize w:val="1"/>
      <w:tblStyleColBandSize w:val="1"/>
      <w:tblBorders>
        <w:top w:val="single" w:sz="4" w:space="0" w:color="FDEDE0" w:themeColor="accent2" w:themeTint="99"/>
        <w:left w:val="single" w:sz="4" w:space="0" w:color="FDEDE0" w:themeColor="accent2" w:themeTint="99"/>
        <w:bottom w:val="single" w:sz="4" w:space="0" w:color="FDEDE0" w:themeColor="accent2" w:themeTint="99"/>
        <w:right w:val="single" w:sz="4" w:space="0" w:color="FDEDE0" w:themeColor="accent2" w:themeTint="99"/>
        <w:insideH w:val="single" w:sz="4" w:space="0" w:color="FDEDE0" w:themeColor="accent2" w:themeTint="99"/>
        <w:insideV w:val="single" w:sz="4" w:space="0" w:color="FDEDE0" w:themeColor="accent2" w:themeTint="99"/>
      </w:tblBorders>
    </w:tblPr>
    <w:tblStylePr w:type="firstRow">
      <w:rPr>
        <w:b/>
        <w:bCs/>
      </w:rPr>
      <w:tblPr/>
      <w:tcPr>
        <w:tcBorders>
          <w:bottom w:val="single" w:sz="12" w:space="0" w:color="FDEDE0" w:themeColor="accent2" w:themeTint="99"/>
        </w:tcBorders>
      </w:tcPr>
    </w:tblStylePr>
    <w:tblStylePr w:type="lastRow">
      <w:rPr>
        <w:b/>
        <w:bCs/>
      </w:rPr>
      <w:tblPr/>
      <w:tcPr>
        <w:tcBorders>
          <w:top w:val="double" w:sz="4" w:space="0" w:color="FDEDE0" w:themeColor="accent2" w:themeTint="99"/>
        </w:tcBorders>
      </w:tcPr>
    </w:tblStylePr>
    <w:tblStylePr w:type="firstCol">
      <w:rPr>
        <w:b/>
        <w:bCs/>
      </w:rPr>
    </w:tblStylePr>
    <w:tblStylePr w:type="lastCol">
      <w:rPr>
        <w:b/>
        <w:bCs/>
      </w:rPr>
    </w:tblStylePr>
    <w:tblStylePr w:type="band1Vert">
      <w:tblPr/>
      <w:tcPr>
        <w:shd w:val="clear" w:color="auto" w:fill="FEF9F4" w:themeFill="accent2" w:themeFillTint="33"/>
      </w:tcPr>
    </w:tblStylePr>
    <w:tblStylePr w:type="band1Horz">
      <w:tblPr/>
      <w:tcPr>
        <w:shd w:val="clear" w:color="auto" w:fill="FEF9F4" w:themeFill="accent2" w:themeFillTint="33"/>
      </w:tcPr>
    </w:tblStylePr>
  </w:style>
  <w:style w:type="table" w:customStyle="1" w:styleId="GridTable6Colorful-Accent31">
    <w:name w:val="Grid Table 6 Colorful - Accent 31"/>
    <w:basedOn w:val="TableNormal"/>
    <w:uiPriority w:val="51"/>
    <w:locked/>
    <w:rsid w:val="00530B2E"/>
    <w:pPr>
      <w:spacing w:after="0" w:line="240" w:lineRule="auto"/>
    </w:pPr>
    <w:rPr>
      <w:color w:val="092E4C" w:themeColor="accent3" w:themeShade="BF"/>
    </w:rPr>
    <w:tblPr>
      <w:tblStyleRowBandSize w:val="1"/>
      <w:tblStyleColBandSize w:val="1"/>
      <w:tblBorders>
        <w:top w:val="single" w:sz="4" w:space="0" w:color="2C90E4" w:themeColor="accent3" w:themeTint="99"/>
        <w:left w:val="single" w:sz="4" w:space="0" w:color="2C90E4" w:themeColor="accent3" w:themeTint="99"/>
        <w:bottom w:val="single" w:sz="4" w:space="0" w:color="2C90E4" w:themeColor="accent3" w:themeTint="99"/>
        <w:right w:val="single" w:sz="4" w:space="0" w:color="2C90E4" w:themeColor="accent3" w:themeTint="99"/>
        <w:insideH w:val="single" w:sz="4" w:space="0" w:color="2C90E4" w:themeColor="accent3" w:themeTint="99"/>
        <w:insideV w:val="single" w:sz="4" w:space="0" w:color="2C90E4" w:themeColor="accent3" w:themeTint="99"/>
      </w:tblBorders>
    </w:tblPr>
    <w:tblStylePr w:type="firstRow">
      <w:rPr>
        <w:b/>
        <w:bCs/>
      </w:rPr>
      <w:tblPr/>
      <w:tcPr>
        <w:tcBorders>
          <w:bottom w:val="single" w:sz="12" w:space="0" w:color="2C90E4" w:themeColor="accent3" w:themeTint="99"/>
        </w:tcBorders>
      </w:tcPr>
    </w:tblStylePr>
    <w:tblStylePr w:type="lastRow">
      <w:rPr>
        <w:b/>
        <w:bCs/>
      </w:rPr>
      <w:tblPr/>
      <w:tcPr>
        <w:tcBorders>
          <w:top w:val="double" w:sz="4" w:space="0" w:color="2C90E4" w:themeColor="accent3" w:themeTint="99"/>
        </w:tcBorders>
      </w:tcPr>
    </w:tblStylePr>
    <w:tblStylePr w:type="firstCol">
      <w:rPr>
        <w:b/>
        <w:bCs/>
      </w:rPr>
    </w:tblStylePr>
    <w:tblStylePr w:type="lastCol">
      <w:rPr>
        <w:b/>
        <w:bCs/>
      </w:rPr>
    </w:tblStylePr>
    <w:tblStylePr w:type="band1Vert">
      <w:tblPr/>
      <w:tcPr>
        <w:shd w:val="clear" w:color="auto" w:fill="B8DAF6" w:themeFill="accent3" w:themeFillTint="33"/>
      </w:tcPr>
    </w:tblStylePr>
    <w:tblStylePr w:type="band1Horz">
      <w:tblPr/>
      <w:tcPr>
        <w:shd w:val="clear" w:color="auto" w:fill="B8DAF6" w:themeFill="accent3" w:themeFillTint="33"/>
      </w:tcPr>
    </w:tblStylePr>
  </w:style>
  <w:style w:type="table" w:customStyle="1" w:styleId="GridTable6Colorful-Accent41">
    <w:name w:val="Grid Table 6 Colorful - Accent 41"/>
    <w:basedOn w:val="TableNormal"/>
    <w:uiPriority w:val="51"/>
    <w:locked/>
    <w:rsid w:val="00530B2E"/>
    <w:pPr>
      <w:spacing w:after="0" w:line="240" w:lineRule="auto"/>
    </w:pPr>
    <w:rPr>
      <w:color w:val="536E91" w:themeColor="accent4" w:themeShade="BF"/>
    </w:rPr>
    <w:tblPr>
      <w:tblStyleRowBandSize w:val="1"/>
      <w:tblStyleColBandSize w:val="1"/>
      <w:tblBorders>
        <w:top w:val="single" w:sz="4" w:space="0" w:color="B0BFD2" w:themeColor="accent4" w:themeTint="99"/>
        <w:left w:val="single" w:sz="4" w:space="0" w:color="B0BFD2" w:themeColor="accent4" w:themeTint="99"/>
        <w:bottom w:val="single" w:sz="4" w:space="0" w:color="B0BFD2" w:themeColor="accent4" w:themeTint="99"/>
        <w:right w:val="single" w:sz="4" w:space="0" w:color="B0BFD2" w:themeColor="accent4" w:themeTint="99"/>
        <w:insideH w:val="single" w:sz="4" w:space="0" w:color="B0BFD2" w:themeColor="accent4" w:themeTint="99"/>
        <w:insideV w:val="single" w:sz="4" w:space="0" w:color="B0BFD2" w:themeColor="accent4" w:themeTint="99"/>
      </w:tblBorders>
    </w:tblPr>
    <w:tblStylePr w:type="firstRow">
      <w:rPr>
        <w:b/>
        <w:bCs/>
      </w:rPr>
      <w:tblPr/>
      <w:tcPr>
        <w:tcBorders>
          <w:bottom w:val="single" w:sz="12" w:space="0" w:color="B0BFD2" w:themeColor="accent4" w:themeTint="99"/>
        </w:tcBorders>
      </w:tcPr>
    </w:tblStylePr>
    <w:tblStylePr w:type="lastRow">
      <w:rPr>
        <w:b/>
        <w:bCs/>
      </w:rPr>
      <w:tblPr/>
      <w:tcPr>
        <w:tcBorders>
          <w:top w:val="double" w:sz="4" w:space="0" w:color="B0BFD2" w:themeColor="accent4" w:themeTint="99"/>
        </w:tcBorders>
      </w:tcPr>
    </w:tblStylePr>
    <w:tblStylePr w:type="firstCol">
      <w:rPr>
        <w:b/>
        <w:bCs/>
      </w:rPr>
    </w:tblStylePr>
    <w:tblStylePr w:type="lastCol">
      <w:rPr>
        <w:b/>
        <w:bCs/>
      </w:rPr>
    </w:tblStylePr>
    <w:tblStylePr w:type="band1Vert">
      <w:tblPr/>
      <w:tcPr>
        <w:shd w:val="clear" w:color="auto" w:fill="E4E9F0" w:themeFill="accent4" w:themeFillTint="33"/>
      </w:tcPr>
    </w:tblStylePr>
    <w:tblStylePr w:type="band1Horz">
      <w:tblPr/>
      <w:tcPr>
        <w:shd w:val="clear" w:color="auto" w:fill="E4E9F0" w:themeFill="accent4" w:themeFillTint="33"/>
      </w:tcPr>
    </w:tblStylePr>
  </w:style>
  <w:style w:type="table" w:customStyle="1" w:styleId="GridTable6Colorful-Accent51">
    <w:name w:val="Grid Table 6 Colorful - Accent 51"/>
    <w:basedOn w:val="TableNormal"/>
    <w:uiPriority w:val="51"/>
    <w:locked/>
    <w:rsid w:val="00530B2E"/>
    <w:pPr>
      <w:spacing w:after="0" w:line="240" w:lineRule="auto"/>
    </w:pPr>
    <w:rPr>
      <w:color w:val="096358" w:themeColor="accent5" w:themeShade="BF"/>
    </w:rPr>
    <w:tblPr>
      <w:tblStyleRowBandSize w:val="1"/>
      <w:tblStyleColBandSize w:val="1"/>
      <w:tblBorders>
        <w:top w:val="single" w:sz="4" w:space="0" w:color="37EBD6" w:themeColor="accent5" w:themeTint="99"/>
        <w:left w:val="single" w:sz="4" w:space="0" w:color="37EBD6" w:themeColor="accent5" w:themeTint="99"/>
        <w:bottom w:val="single" w:sz="4" w:space="0" w:color="37EBD6" w:themeColor="accent5" w:themeTint="99"/>
        <w:right w:val="single" w:sz="4" w:space="0" w:color="37EBD6" w:themeColor="accent5" w:themeTint="99"/>
        <w:insideH w:val="single" w:sz="4" w:space="0" w:color="37EBD6" w:themeColor="accent5" w:themeTint="99"/>
        <w:insideV w:val="single" w:sz="4" w:space="0" w:color="37EBD6" w:themeColor="accent5" w:themeTint="99"/>
      </w:tblBorders>
    </w:tblPr>
    <w:tblStylePr w:type="firstRow">
      <w:rPr>
        <w:b/>
        <w:bCs/>
      </w:rPr>
      <w:tblPr/>
      <w:tcPr>
        <w:tcBorders>
          <w:bottom w:val="single" w:sz="12" w:space="0" w:color="37EBD6" w:themeColor="accent5" w:themeTint="99"/>
        </w:tcBorders>
      </w:tcPr>
    </w:tblStylePr>
    <w:tblStylePr w:type="lastRow">
      <w:rPr>
        <w:b/>
        <w:bCs/>
      </w:rPr>
      <w:tblPr/>
      <w:tcPr>
        <w:tcBorders>
          <w:top w:val="double" w:sz="4" w:space="0" w:color="37EBD6" w:themeColor="accent5" w:themeTint="99"/>
        </w:tcBorders>
      </w:tcPr>
    </w:tblStylePr>
    <w:tblStylePr w:type="firstCol">
      <w:rPr>
        <w:b/>
        <w:bCs/>
      </w:rPr>
    </w:tblStylePr>
    <w:tblStylePr w:type="lastCol">
      <w:rPr>
        <w:b/>
        <w:bCs/>
      </w:rPr>
    </w:tblStylePr>
    <w:tblStylePr w:type="band1Vert">
      <w:tblPr/>
      <w:tcPr>
        <w:shd w:val="clear" w:color="auto" w:fill="BCF8F1" w:themeFill="accent5" w:themeFillTint="33"/>
      </w:tcPr>
    </w:tblStylePr>
    <w:tblStylePr w:type="band1Horz">
      <w:tblPr/>
      <w:tcPr>
        <w:shd w:val="clear" w:color="auto" w:fill="BCF8F1" w:themeFill="accent5" w:themeFillTint="33"/>
      </w:tcPr>
    </w:tblStylePr>
  </w:style>
  <w:style w:type="table" w:customStyle="1" w:styleId="GridTable6Colorful-Accent61">
    <w:name w:val="Grid Table 6 Colorful - Accent 61"/>
    <w:basedOn w:val="TableNormal"/>
    <w:uiPriority w:val="51"/>
    <w:locked/>
    <w:rsid w:val="00530B2E"/>
    <w:pPr>
      <w:spacing w:after="0" w:line="240" w:lineRule="auto"/>
    </w:pPr>
    <w:rPr>
      <w:color w:val="34897E" w:themeColor="accent6" w:themeShade="BF"/>
    </w:rPr>
    <w:tblPr>
      <w:tblStyleRowBandSize w:val="1"/>
      <w:tblStyleColBandSize w:val="1"/>
      <w:tblBorders>
        <w:top w:val="single" w:sz="4" w:space="0" w:color="8FD4CB" w:themeColor="accent6" w:themeTint="99"/>
        <w:left w:val="single" w:sz="4" w:space="0" w:color="8FD4CB" w:themeColor="accent6" w:themeTint="99"/>
        <w:bottom w:val="single" w:sz="4" w:space="0" w:color="8FD4CB" w:themeColor="accent6" w:themeTint="99"/>
        <w:right w:val="single" w:sz="4" w:space="0" w:color="8FD4CB" w:themeColor="accent6" w:themeTint="99"/>
        <w:insideH w:val="single" w:sz="4" w:space="0" w:color="8FD4CB" w:themeColor="accent6" w:themeTint="99"/>
        <w:insideV w:val="single" w:sz="4" w:space="0" w:color="8FD4CB" w:themeColor="accent6" w:themeTint="99"/>
      </w:tblBorders>
    </w:tblPr>
    <w:tblStylePr w:type="firstRow">
      <w:rPr>
        <w:b/>
        <w:bCs/>
      </w:rPr>
      <w:tblPr/>
      <w:tcPr>
        <w:tcBorders>
          <w:bottom w:val="single" w:sz="12" w:space="0" w:color="8FD4CB" w:themeColor="accent6" w:themeTint="99"/>
        </w:tcBorders>
      </w:tcPr>
    </w:tblStylePr>
    <w:tblStylePr w:type="lastRow">
      <w:rPr>
        <w:b/>
        <w:bCs/>
      </w:rPr>
      <w:tblPr/>
      <w:tcPr>
        <w:tcBorders>
          <w:top w:val="double" w:sz="4" w:space="0" w:color="8FD4CB" w:themeColor="accent6" w:themeTint="99"/>
        </w:tcBorders>
      </w:tcPr>
    </w:tblStylePr>
    <w:tblStylePr w:type="firstCol">
      <w:rPr>
        <w:b/>
        <w:bCs/>
      </w:rPr>
    </w:tblStylePr>
    <w:tblStylePr w:type="lastCol">
      <w:rPr>
        <w:b/>
        <w:bCs/>
      </w:rPr>
    </w:tblStylePr>
    <w:tblStylePr w:type="band1Vert">
      <w:tblPr/>
      <w:tcPr>
        <w:shd w:val="clear" w:color="auto" w:fill="D9F1ED" w:themeFill="accent6" w:themeFillTint="33"/>
      </w:tcPr>
    </w:tblStylePr>
    <w:tblStylePr w:type="band1Horz">
      <w:tblPr/>
      <w:tcPr>
        <w:shd w:val="clear" w:color="auto" w:fill="D9F1ED" w:themeFill="accent6" w:themeFillTint="33"/>
      </w:tcPr>
    </w:tblStylePr>
  </w:style>
  <w:style w:type="table" w:customStyle="1" w:styleId="GridTable7Colorful1">
    <w:name w:val="Grid Table 7 Colorful1"/>
    <w:basedOn w:val="TableNormal"/>
    <w:uiPriority w:val="52"/>
    <w:locked/>
    <w:rsid w:val="00530B2E"/>
    <w:pPr>
      <w:spacing w:after="0" w:line="240" w:lineRule="auto"/>
    </w:pPr>
    <w:tblPr>
      <w:tblStyleRowBandSize w:val="1"/>
      <w:tblStyleColBandSize w:val="1"/>
      <w:tblBorders>
        <w:top w:val="single" w:sz="4" w:space="0" w:color="7A7A7A" w:themeColor="text1" w:themeTint="99"/>
        <w:left w:val="single" w:sz="4" w:space="0" w:color="7A7A7A" w:themeColor="text1" w:themeTint="99"/>
        <w:bottom w:val="single" w:sz="4" w:space="0" w:color="7A7A7A" w:themeColor="text1" w:themeTint="99"/>
        <w:right w:val="single" w:sz="4" w:space="0" w:color="7A7A7A" w:themeColor="text1" w:themeTint="99"/>
        <w:insideH w:val="single" w:sz="4" w:space="0" w:color="7A7A7A" w:themeColor="text1" w:themeTint="99"/>
        <w:insideV w:val="single" w:sz="4" w:space="0" w:color="7A7A7A"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2D2" w:themeFill="text1" w:themeFillTint="33"/>
      </w:tcPr>
    </w:tblStylePr>
    <w:tblStylePr w:type="band1Horz">
      <w:tblPr/>
      <w:tcPr>
        <w:shd w:val="clear" w:color="auto" w:fill="D2D2D2" w:themeFill="text1" w:themeFillTint="33"/>
      </w:tcPr>
    </w:tblStylePr>
    <w:tblStylePr w:type="neCell">
      <w:tblPr/>
      <w:tcPr>
        <w:tcBorders>
          <w:bottom w:val="single" w:sz="4" w:space="0" w:color="7A7A7A" w:themeColor="text1" w:themeTint="99"/>
        </w:tcBorders>
      </w:tcPr>
    </w:tblStylePr>
    <w:tblStylePr w:type="nwCell">
      <w:tblPr/>
      <w:tcPr>
        <w:tcBorders>
          <w:bottom w:val="single" w:sz="4" w:space="0" w:color="7A7A7A" w:themeColor="text1" w:themeTint="99"/>
        </w:tcBorders>
      </w:tcPr>
    </w:tblStylePr>
    <w:tblStylePr w:type="seCell">
      <w:tblPr/>
      <w:tcPr>
        <w:tcBorders>
          <w:top w:val="single" w:sz="4" w:space="0" w:color="7A7A7A" w:themeColor="text1" w:themeTint="99"/>
        </w:tcBorders>
      </w:tcPr>
    </w:tblStylePr>
    <w:tblStylePr w:type="swCell">
      <w:tblPr/>
      <w:tcPr>
        <w:tcBorders>
          <w:top w:val="single" w:sz="4" w:space="0" w:color="7A7A7A" w:themeColor="text1" w:themeTint="99"/>
        </w:tcBorders>
      </w:tcPr>
    </w:tblStylePr>
  </w:style>
  <w:style w:type="table" w:customStyle="1" w:styleId="GridTable7Colorful-Accent11">
    <w:name w:val="Grid Table 7 Colorful - Accent 11"/>
    <w:basedOn w:val="TableNormal"/>
    <w:uiPriority w:val="52"/>
    <w:locked/>
    <w:rsid w:val="00530B2E"/>
    <w:pPr>
      <w:spacing w:after="0" w:line="240" w:lineRule="auto"/>
    </w:pPr>
    <w:rPr>
      <w:color w:val="984C00" w:themeColor="accent1" w:themeShade="BF"/>
    </w:rPr>
    <w:tblPr>
      <w:tblStyleRowBandSize w:val="1"/>
      <w:tblStyleColBandSize w:val="1"/>
      <w:tblBorders>
        <w:top w:val="single" w:sz="4" w:space="0" w:color="FFA247" w:themeColor="accent1" w:themeTint="99"/>
        <w:left w:val="single" w:sz="4" w:space="0" w:color="FFA247" w:themeColor="accent1" w:themeTint="99"/>
        <w:bottom w:val="single" w:sz="4" w:space="0" w:color="FFA247" w:themeColor="accent1" w:themeTint="99"/>
        <w:right w:val="single" w:sz="4" w:space="0" w:color="FFA247" w:themeColor="accent1" w:themeTint="99"/>
        <w:insideH w:val="single" w:sz="4" w:space="0" w:color="FFA247" w:themeColor="accent1" w:themeTint="99"/>
        <w:insideV w:val="single" w:sz="4" w:space="0" w:color="FFA24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0C1" w:themeFill="accent1" w:themeFillTint="33"/>
      </w:tcPr>
    </w:tblStylePr>
    <w:tblStylePr w:type="band1Horz">
      <w:tblPr/>
      <w:tcPr>
        <w:shd w:val="clear" w:color="auto" w:fill="FFE0C1" w:themeFill="accent1" w:themeFillTint="33"/>
      </w:tcPr>
    </w:tblStylePr>
    <w:tblStylePr w:type="neCell">
      <w:tblPr/>
      <w:tcPr>
        <w:tcBorders>
          <w:bottom w:val="single" w:sz="4" w:space="0" w:color="FFA247" w:themeColor="accent1" w:themeTint="99"/>
        </w:tcBorders>
      </w:tcPr>
    </w:tblStylePr>
    <w:tblStylePr w:type="nwCell">
      <w:tblPr/>
      <w:tcPr>
        <w:tcBorders>
          <w:bottom w:val="single" w:sz="4" w:space="0" w:color="FFA247" w:themeColor="accent1" w:themeTint="99"/>
        </w:tcBorders>
      </w:tcPr>
    </w:tblStylePr>
    <w:tblStylePr w:type="seCell">
      <w:tblPr/>
      <w:tcPr>
        <w:tcBorders>
          <w:top w:val="single" w:sz="4" w:space="0" w:color="FFA247" w:themeColor="accent1" w:themeTint="99"/>
        </w:tcBorders>
      </w:tcPr>
    </w:tblStylePr>
    <w:tblStylePr w:type="swCell">
      <w:tblPr/>
      <w:tcPr>
        <w:tcBorders>
          <w:top w:val="single" w:sz="4" w:space="0" w:color="FFA247" w:themeColor="accent1" w:themeTint="99"/>
        </w:tcBorders>
      </w:tcPr>
    </w:tblStylePr>
  </w:style>
  <w:style w:type="table" w:customStyle="1" w:styleId="GridTable7Colorful-Accent21">
    <w:name w:val="Grid Table 7 Colorful - Accent 21"/>
    <w:basedOn w:val="TableNormal"/>
    <w:uiPriority w:val="52"/>
    <w:locked/>
    <w:rsid w:val="00530B2E"/>
    <w:pPr>
      <w:spacing w:after="0" w:line="240" w:lineRule="auto"/>
    </w:pPr>
    <w:rPr>
      <w:color w:val="F5A35F" w:themeColor="accent2" w:themeShade="BF"/>
    </w:rPr>
    <w:tblPr>
      <w:tblStyleRowBandSize w:val="1"/>
      <w:tblStyleColBandSize w:val="1"/>
      <w:tblBorders>
        <w:top w:val="single" w:sz="4" w:space="0" w:color="FDEDE0" w:themeColor="accent2" w:themeTint="99"/>
        <w:left w:val="single" w:sz="4" w:space="0" w:color="FDEDE0" w:themeColor="accent2" w:themeTint="99"/>
        <w:bottom w:val="single" w:sz="4" w:space="0" w:color="FDEDE0" w:themeColor="accent2" w:themeTint="99"/>
        <w:right w:val="single" w:sz="4" w:space="0" w:color="FDEDE0" w:themeColor="accent2" w:themeTint="99"/>
        <w:insideH w:val="single" w:sz="4" w:space="0" w:color="FDEDE0" w:themeColor="accent2" w:themeTint="99"/>
        <w:insideV w:val="single" w:sz="4" w:space="0" w:color="FDEDE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9F4" w:themeFill="accent2" w:themeFillTint="33"/>
      </w:tcPr>
    </w:tblStylePr>
    <w:tblStylePr w:type="band1Horz">
      <w:tblPr/>
      <w:tcPr>
        <w:shd w:val="clear" w:color="auto" w:fill="FEF9F4" w:themeFill="accent2" w:themeFillTint="33"/>
      </w:tcPr>
    </w:tblStylePr>
    <w:tblStylePr w:type="neCell">
      <w:tblPr/>
      <w:tcPr>
        <w:tcBorders>
          <w:bottom w:val="single" w:sz="4" w:space="0" w:color="FDEDE0" w:themeColor="accent2" w:themeTint="99"/>
        </w:tcBorders>
      </w:tcPr>
    </w:tblStylePr>
    <w:tblStylePr w:type="nwCell">
      <w:tblPr/>
      <w:tcPr>
        <w:tcBorders>
          <w:bottom w:val="single" w:sz="4" w:space="0" w:color="FDEDE0" w:themeColor="accent2" w:themeTint="99"/>
        </w:tcBorders>
      </w:tcPr>
    </w:tblStylePr>
    <w:tblStylePr w:type="seCell">
      <w:tblPr/>
      <w:tcPr>
        <w:tcBorders>
          <w:top w:val="single" w:sz="4" w:space="0" w:color="FDEDE0" w:themeColor="accent2" w:themeTint="99"/>
        </w:tcBorders>
      </w:tcPr>
    </w:tblStylePr>
    <w:tblStylePr w:type="swCell">
      <w:tblPr/>
      <w:tcPr>
        <w:tcBorders>
          <w:top w:val="single" w:sz="4" w:space="0" w:color="FDEDE0" w:themeColor="accent2" w:themeTint="99"/>
        </w:tcBorders>
      </w:tcPr>
    </w:tblStylePr>
  </w:style>
  <w:style w:type="table" w:customStyle="1" w:styleId="GridTable7Colorful-Accent31">
    <w:name w:val="Grid Table 7 Colorful - Accent 31"/>
    <w:basedOn w:val="TableNormal"/>
    <w:uiPriority w:val="52"/>
    <w:locked/>
    <w:rsid w:val="00530B2E"/>
    <w:pPr>
      <w:spacing w:after="0" w:line="240" w:lineRule="auto"/>
    </w:pPr>
    <w:rPr>
      <w:color w:val="092E4C" w:themeColor="accent3" w:themeShade="BF"/>
    </w:rPr>
    <w:tblPr>
      <w:tblStyleRowBandSize w:val="1"/>
      <w:tblStyleColBandSize w:val="1"/>
      <w:tblBorders>
        <w:top w:val="single" w:sz="4" w:space="0" w:color="2C90E4" w:themeColor="accent3" w:themeTint="99"/>
        <w:left w:val="single" w:sz="4" w:space="0" w:color="2C90E4" w:themeColor="accent3" w:themeTint="99"/>
        <w:bottom w:val="single" w:sz="4" w:space="0" w:color="2C90E4" w:themeColor="accent3" w:themeTint="99"/>
        <w:right w:val="single" w:sz="4" w:space="0" w:color="2C90E4" w:themeColor="accent3" w:themeTint="99"/>
        <w:insideH w:val="single" w:sz="4" w:space="0" w:color="2C90E4" w:themeColor="accent3" w:themeTint="99"/>
        <w:insideV w:val="single" w:sz="4" w:space="0" w:color="2C90E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DAF6" w:themeFill="accent3" w:themeFillTint="33"/>
      </w:tcPr>
    </w:tblStylePr>
    <w:tblStylePr w:type="band1Horz">
      <w:tblPr/>
      <w:tcPr>
        <w:shd w:val="clear" w:color="auto" w:fill="B8DAF6" w:themeFill="accent3" w:themeFillTint="33"/>
      </w:tcPr>
    </w:tblStylePr>
    <w:tblStylePr w:type="neCell">
      <w:tblPr/>
      <w:tcPr>
        <w:tcBorders>
          <w:bottom w:val="single" w:sz="4" w:space="0" w:color="2C90E4" w:themeColor="accent3" w:themeTint="99"/>
        </w:tcBorders>
      </w:tcPr>
    </w:tblStylePr>
    <w:tblStylePr w:type="nwCell">
      <w:tblPr/>
      <w:tcPr>
        <w:tcBorders>
          <w:bottom w:val="single" w:sz="4" w:space="0" w:color="2C90E4" w:themeColor="accent3" w:themeTint="99"/>
        </w:tcBorders>
      </w:tcPr>
    </w:tblStylePr>
    <w:tblStylePr w:type="seCell">
      <w:tblPr/>
      <w:tcPr>
        <w:tcBorders>
          <w:top w:val="single" w:sz="4" w:space="0" w:color="2C90E4" w:themeColor="accent3" w:themeTint="99"/>
        </w:tcBorders>
      </w:tcPr>
    </w:tblStylePr>
    <w:tblStylePr w:type="swCell">
      <w:tblPr/>
      <w:tcPr>
        <w:tcBorders>
          <w:top w:val="single" w:sz="4" w:space="0" w:color="2C90E4" w:themeColor="accent3" w:themeTint="99"/>
        </w:tcBorders>
      </w:tcPr>
    </w:tblStylePr>
  </w:style>
  <w:style w:type="table" w:customStyle="1" w:styleId="GridTable7Colorful-Accent41">
    <w:name w:val="Grid Table 7 Colorful - Accent 41"/>
    <w:basedOn w:val="TableNormal"/>
    <w:uiPriority w:val="52"/>
    <w:locked/>
    <w:rsid w:val="00530B2E"/>
    <w:pPr>
      <w:spacing w:after="0" w:line="240" w:lineRule="auto"/>
    </w:pPr>
    <w:rPr>
      <w:color w:val="536E91" w:themeColor="accent4" w:themeShade="BF"/>
    </w:rPr>
    <w:tblPr>
      <w:tblStyleRowBandSize w:val="1"/>
      <w:tblStyleColBandSize w:val="1"/>
      <w:tblBorders>
        <w:top w:val="single" w:sz="4" w:space="0" w:color="B0BFD2" w:themeColor="accent4" w:themeTint="99"/>
        <w:left w:val="single" w:sz="4" w:space="0" w:color="B0BFD2" w:themeColor="accent4" w:themeTint="99"/>
        <w:bottom w:val="single" w:sz="4" w:space="0" w:color="B0BFD2" w:themeColor="accent4" w:themeTint="99"/>
        <w:right w:val="single" w:sz="4" w:space="0" w:color="B0BFD2" w:themeColor="accent4" w:themeTint="99"/>
        <w:insideH w:val="single" w:sz="4" w:space="0" w:color="B0BFD2" w:themeColor="accent4" w:themeTint="99"/>
        <w:insideV w:val="single" w:sz="4" w:space="0" w:color="B0BFD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9F0" w:themeFill="accent4" w:themeFillTint="33"/>
      </w:tcPr>
    </w:tblStylePr>
    <w:tblStylePr w:type="band1Horz">
      <w:tblPr/>
      <w:tcPr>
        <w:shd w:val="clear" w:color="auto" w:fill="E4E9F0" w:themeFill="accent4" w:themeFillTint="33"/>
      </w:tcPr>
    </w:tblStylePr>
    <w:tblStylePr w:type="neCell">
      <w:tblPr/>
      <w:tcPr>
        <w:tcBorders>
          <w:bottom w:val="single" w:sz="4" w:space="0" w:color="B0BFD2" w:themeColor="accent4" w:themeTint="99"/>
        </w:tcBorders>
      </w:tcPr>
    </w:tblStylePr>
    <w:tblStylePr w:type="nwCell">
      <w:tblPr/>
      <w:tcPr>
        <w:tcBorders>
          <w:bottom w:val="single" w:sz="4" w:space="0" w:color="B0BFD2" w:themeColor="accent4" w:themeTint="99"/>
        </w:tcBorders>
      </w:tcPr>
    </w:tblStylePr>
    <w:tblStylePr w:type="seCell">
      <w:tblPr/>
      <w:tcPr>
        <w:tcBorders>
          <w:top w:val="single" w:sz="4" w:space="0" w:color="B0BFD2" w:themeColor="accent4" w:themeTint="99"/>
        </w:tcBorders>
      </w:tcPr>
    </w:tblStylePr>
    <w:tblStylePr w:type="swCell">
      <w:tblPr/>
      <w:tcPr>
        <w:tcBorders>
          <w:top w:val="single" w:sz="4" w:space="0" w:color="B0BFD2" w:themeColor="accent4" w:themeTint="99"/>
        </w:tcBorders>
      </w:tcPr>
    </w:tblStylePr>
  </w:style>
  <w:style w:type="table" w:customStyle="1" w:styleId="GridTable7Colorful-Accent51">
    <w:name w:val="Grid Table 7 Colorful - Accent 51"/>
    <w:basedOn w:val="TableNormal"/>
    <w:uiPriority w:val="52"/>
    <w:locked/>
    <w:rsid w:val="00530B2E"/>
    <w:pPr>
      <w:spacing w:after="0" w:line="240" w:lineRule="auto"/>
    </w:pPr>
    <w:rPr>
      <w:color w:val="096358" w:themeColor="accent5" w:themeShade="BF"/>
    </w:rPr>
    <w:tblPr>
      <w:tblStyleRowBandSize w:val="1"/>
      <w:tblStyleColBandSize w:val="1"/>
      <w:tblBorders>
        <w:top w:val="single" w:sz="4" w:space="0" w:color="37EBD6" w:themeColor="accent5" w:themeTint="99"/>
        <w:left w:val="single" w:sz="4" w:space="0" w:color="37EBD6" w:themeColor="accent5" w:themeTint="99"/>
        <w:bottom w:val="single" w:sz="4" w:space="0" w:color="37EBD6" w:themeColor="accent5" w:themeTint="99"/>
        <w:right w:val="single" w:sz="4" w:space="0" w:color="37EBD6" w:themeColor="accent5" w:themeTint="99"/>
        <w:insideH w:val="single" w:sz="4" w:space="0" w:color="37EBD6" w:themeColor="accent5" w:themeTint="99"/>
        <w:insideV w:val="single" w:sz="4" w:space="0" w:color="37EB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8F1" w:themeFill="accent5" w:themeFillTint="33"/>
      </w:tcPr>
    </w:tblStylePr>
    <w:tblStylePr w:type="band1Horz">
      <w:tblPr/>
      <w:tcPr>
        <w:shd w:val="clear" w:color="auto" w:fill="BCF8F1" w:themeFill="accent5" w:themeFillTint="33"/>
      </w:tcPr>
    </w:tblStylePr>
    <w:tblStylePr w:type="neCell">
      <w:tblPr/>
      <w:tcPr>
        <w:tcBorders>
          <w:bottom w:val="single" w:sz="4" w:space="0" w:color="37EBD6" w:themeColor="accent5" w:themeTint="99"/>
        </w:tcBorders>
      </w:tcPr>
    </w:tblStylePr>
    <w:tblStylePr w:type="nwCell">
      <w:tblPr/>
      <w:tcPr>
        <w:tcBorders>
          <w:bottom w:val="single" w:sz="4" w:space="0" w:color="37EBD6" w:themeColor="accent5" w:themeTint="99"/>
        </w:tcBorders>
      </w:tcPr>
    </w:tblStylePr>
    <w:tblStylePr w:type="seCell">
      <w:tblPr/>
      <w:tcPr>
        <w:tcBorders>
          <w:top w:val="single" w:sz="4" w:space="0" w:color="37EBD6" w:themeColor="accent5" w:themeTint="99"/>
        </w:tcBorders>
      </w:tcPr>
    </w:tblStylePr>
    <w:tblStylePr w:type="swCell">
      <w:tblPr/>
      <w:tcPr>
        <w:tcBorders>
          <w:top w:val="single" w:sz="4" w:space="0" w:color="37EBD6" w:themeColor="accent5" w:themeTint="99"/>
        </w:tcBorders>
      </w:tcPr>
    </w:tblStylePr>
  </w:style>
  <w:style w:type="table" w:customStyle="1" w:styleId="GridTable7Colorful-Accent61">
    <w:name w:val="Grid Table 7 Colorful - Accent 61"/>
    <w:basedOn w:val="TableNormal"/>
    <w:uiPriority w:val="52"/>
    <w:locked/>
    <w:rsid w:val="00530B2E"/>
    <w:pPr>
      <w:spacing w:after="0" w:line="240" w:lineRule="auto"/>
    </w:pPr>
    <w:rPr>
      <w:color w:val="34897E" w:themeColor="accent6" w:themeShade="BF"/>
    </w:rPr>
    <w:tblPr>
      <w:tblStyleRowBandSize w:val="1"/>
      <w:tblStyleColBandSize w:val="1"/>
      <w:tblBorders>
        <w:top w:val="single" w:sz="4" w:space="0" w:color="8FD4CB" w:themeColor="accent6" w:themeTint="99"/>
        <w:left w:val="single" w:sz="4" w:space="0" w:color="8FD4CB" w:themeColor="accent6" w:themeTint="99"/>
        <w:bottom w:val="single" w:sz="4" w:space="0" w:color="8FD4CB" w:themeColor="accent6" w:themeTint="99"/>
        <w:right w:val="single" w:sz="4" w:space="0" w:color="8FD4CB" w:themeColor="accent6" w:themeTint="99"/>
        <w:insideH w:val="single" w:sz="4" w:space="0" w:color="8FD4CB" w:themeColor="accent6" w:themeTint="99"/>
        <w:insideV w:val="single" w:sz="4" w:space="0" w:color="8FD4C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1ED" w:themeFill="accent6" w:themeFillTint="33"/>
      </w:tcPr>
    </w:tblStylePr>
    <w:tblStylePr w:type="band1Horz">
      <w:tblPr/>
      <w:tcPr>
        <w:shd w:val="clear" w:color="auto" w:fill="D9F1ED" w:themeFill="accent6" w:themeFillTint="33"/>
      </w:tcPr>
    </w:tblStylePr>
    <w:tblStylePr w:type="neCell">
      <w:tblPr/>
      <w:tcPr>
        <w:tcBorders>
          <w:bottom w:val="single" w:sz="4" w:space="0" w:color="8FD4CB" w:themeColor="accent6" w:themeTint="99"/>
        </w:tcBorders>
      </w:tcPr>
    </w:tblStylePr>
    <w:tblStylePr w:type="nwCell">
      <w:tblPr/>
      <w:tcPr>
        <w:tcBorders>
          <w:bottom w:val="single" w:sz="4" w:space="0" w:color="8FD4CB" w:themeColor="accent6" w:themeTint="99"/>
        </w:tcBorders>
      </w:tcPr>
    </w:tblStylePr>
    <w:tblStylePr w:type="seCell">
      <w:tblPr/>
      <w:tcPr>
        <w:tcBorders>
          <w:top w:val="single" w:sz="4" w:space="0" w:color="8FD4CB" w:themeColor="accent6" w:themeTint="99"/>
        </w:tcBorders>
      </w:tcPr>
    </w:tblStylePr>
    <w:tblStylePr w:type="swCell">
      <w:tblPr/>
      <w:tcPr>
        <w:tcBorders>
          <w:top w:val="single" w:sz="4" w:space="0" w:color="8FD4CB" w:themeColor="accent6" w:themeTint="99"/>
        </w:tcBorders>
      </w:tcPr>
    </w:tblStylePr>
  </w:style>
  <w:style w:type="table" w:styleId="LightGrid">
    <w:name w:val="Light Grid"/>
    <w:basedOn w:val="TableNormal"/>
    <w:uiPriority w:val="62"/>
    <w:semiHidden/>
    <w:unhideWhenUsed/>
    <w:locked/>
    <w:rsid w:val="00530B2E"/>
    <w:pPr>
      <w:spacing w:after="0" w:line="240" w:lineRule="auto"/>
    </w:pPr>
    <w:tblPr>
      <w:tblStyleRowBandSize w:val="1"/>
      <w:tblStyleColBandSize w:val="1"/>
      <w:tblBorders>
        <w:top w:val="single" w:sz="8" w:space="0" w:color="222222" w:themeColor="text1"/>
        <w:left w:val="single" w:sz="8" w:space="0" w:color="222222" w:themeColor="text1"/>
        <w:bottom w:val="single" w:sz="8" w:space="0" w:color="222222" w:themeColor="text1"/>
        <w:right w:val="single" w:sz="8" w:space="0" w:color="222222" w:themeColor="text1"/>
        <w:insideH w:val="single" w:sz="8" w:space="0" w:color="222222" w:themeColor="text1"/>
        <w:insideV w:val="single" w:sz="8" w:space="0" w:color="22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22222" w:themeColor="text1"/>
          <w:left w:val="single" w:sz="8" w:space="0" w:color="222222" w:themeColor="text1"/>
          <w:bottom w:val="single" w:sz="18" w:space="0" w:color="222222" w:themeColor="text1"/>
          <w:right w:val="single" w:sz="8" w:space="0" w:color="222222" w:themeColor="text1"/>
          <w:insideH w:val="nil"/>
          <w:insideV w:val="single" w:sz="8" w:space="0" w:color="22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22222" w:themeColor="text1"/>
          <w:left w:val="single" w:sz="8" w:space="0" w:color="222222" w:themeColor="text1"/>
          <w:bottom w:val="single" w:sz="8" w:space="0" w:color="222222" w:themeColor="text1"/>
          <w:right w:val="single" w:sz="8" w:space="0" w:color="222222" w:themeColor="text1"/>
          <w:insideH w:val="nil"/>
          <w:insideV w:val="single" w:sz="8" w:space="0" w:color="22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22222" w:themeColor="text1"/>
          <w:left w:val="single" w:sz="8" w:space="0" w:color="222222" w:themeColor="text1"/>
          <w:bottom w:val="single" w:sz="8" w:space="0" w:color="222222" w:themeColor="text1"/>
          <w:right w:val="single" w:sz="8" w:space="0" w:color="222222" w:themeColor="text1"/>
        </w:tcBorders>
      </w:tcPr>
    </w:tblStylePr>
    <w:tblStylePr w:type="band1Vert">
      <w:tblPr/>
      <w:tcPr>
        <w:tcBorders>
          <w:top w:val="single" w:sz="8" w:space="0" w:color="222222" w:themeColor="text1"/>
          <w:left w:val="single" w:sz="8" w:space="0" w:color="222222" w:themeColor="text1"/>
          <w:bottom w:val="single" w:sz="8" w:space="0" w:color="222222" w:themeColor="text1"/>
          <w:right w:val="single" w:sz="8" w:space="0" w:color="222222" w:themeColor="text1"/>
        </w:tcBorders>
        <w:shd w:val="clear" w:color="auto" w:fill="C8C8C8" w:themeFill="text1" w:themeFillTint="3F"/>
      </w:tcPr>
    </w:tblStylePr>
    <w:tblStylePr w:type="band1Horz">
      <w:tblPr/>
      <w:tcPr>
        <w:tcBorders>
          <w:top w:val="single" w:sz="8" w:space="0" w:color="222222" w:themeColor="text1"/>
          <w:left w:val="single" w:sz="8" w:space="0" w:color="222222" w:themeColor="text1"/>
          <w:bottom w:val="single" w:sz="8" w:space="0" w:color="222222" w:themeColor="text1"/>
          <w:right w:val="single" w:sz="8" w:space="0" w:color="222222" w:themeColor="text1"/>
          <w:insideV w:val="single" w:sz="8" w:space="0" w:color="222222" w:themeColor="text1"/>
        </w:tcBorders>
        <w:shd w:val="clear" w:color="auto" w:fill="C8C8C8" w:themeFill="text1" w:themeFillTint="3F"/>
      </w:tcPr>
    </w:tblStylePr>
    <w:tblStylePr w:type="band2Horz">
      <w:tblPr/>
      <w:tcPr>
        <w:tcBorders>
          <w:top w:val="single" w:sz="8" w:space="0" w:color="222222" w:themeColor="text1"/>
          <w:left w:val="single" w:sz="8" w:space="0" w:color="222222" w:themeColor="text1"/>
          <w:bottom w:val="single" w:sz="8" w:space="0" w:color="222222" w:themeColor="text1"/>
          <w:right w:val="single" w:sz="8" w:space="0" w:color="222222" w:themeColor="text1"/>
          <w:insideV w:val="single" w:sz="8" w:space="0" w:color="222222" w:themeColor="text1"/>
        </w:tcBorders>
      </w:tcPr>
    </w:tblStylePr>
  </w:style>
  <w:style w:type="table" w:styleId="LightGrid-Accent1">
    <w:name w:val="Light Grid Accent 1"/>
    <w:basedOn w:val="TableNormal"/>
    <w:uiPriority w:val="62"/>
    <w:semiHidden/>
    <w:unhideWhenUsed/>
    <w:locked/>
    <w:rsid w:val="00530B2E"/>
    <w:pPr>
      <w:spacing w:after="0" w:line="240" w:lineRule="auto"/>
    </w:pPr>
    <w:tblPr>
      <w:tblStyleRowBandSize w:val="1"/>
      <w:tblStyleColBandSize w:val="1"/>
      <w:tblBorders>
        <w:top w:val="single" w:sz="8" w:space="0" w:color="CC6600" w:themeColor="accent1"/>
        <w:left w:val="single" w:sz="8" w:space="0" w:color="CC6600" w:themeColor="accent1"/>
        <w:bottom w:val="single" w:sz="8" w:space="0" w:color="CC6600" w:themeColor="accent1"/>
        <w:right w:val="single" w:sz="8" w:space="0" w:color="CC6600" w:themeColor="accent1"/>
        <w:insideH w:val="single" w:sz="8" w:space="0" w:color="CC6600" w:themeColor="accent1"/>
        <w:insideV w:val="single" w:sz="8" w:space="0" w:color="CC66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6600" w:themeColor="accent1"/>
          <w:left w:val="single" w:sz="8" w:space="0" w:color="CC6600" w:themeColor="accent1"/>
          <w:bottom w:val="single" w:sz="18" w:space="0" w:color="CC6600" w:themeColor="accent1"/>
          <w:right w:val="single" w:sz="8" w:space="0" w:color="CC6600" w:themeColor="accent1"/>
          <w:insideH w:val="nil"/>
          <w:insideV w:val="single" w:sz="8" w:space="0" w:color="CC66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6600" w:themeColor="accent1"/>
          <w:left w:val="single" w:sz="8" w:space="0" w:color="CC6600" w:themeColor="accent1"/>
          <w:bottom w:val="single" w:sz="8" w:space="0" w:color="CC6600" w:themeColor="accent1"/>
          <w:right w:val="single" w:sz="8" w:space="0" w:color="CC6600" w:themeColor="accent1"/>
          <w:insideH w:val="nil"/>
          <w:insideV w:val="single" w:sz="8" w:space="0" w:color="CC66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6600" w:themeColor="accent1"/>
          <w:left w:val="single" w:sz="8" w:space="0" w:color="CC6600" w:themeColor="accent1"/>
          <w:bottom w:val="single" w:sz="8" w:space="0" w:color="CC6600" w:themeColor="accent1"/>
          <w:right w:val="single" w:sz="8" w:space="0" w:color="CC6600" w:themeColor="accent1"/>
        </w:tcBorders>
      </w:tcPr>
    </w:tblStylePr>
    <w:tblStylePr w:type="band1Vert">
      <w:tblPr/>
      <w:tcPr>
        <w:tcBorders>
          <w:top w:val="single" w:sz="8" w:space="0" w:color="CC6600" w:themeColor="accent1"/>
          <w:left w:val="single" w:sz="8" w:space="0" w:color="CC6600" w:themeColor="accent1"/>
          <w:bottom w:val="single" w:sz="8" w:space="0" w:color="CC6600" w:themeColor="accent1"/>
          <w:right w:val="single" w:sz="8" w:space="0" w:color="CC6600" w:themeColor="accent1"/>
        </w:tcBorders>
        <w:shd w:val="clear" w:color="auto" w:fill="FFD9B3" w:themeFill="accent1" w:themeFillTint="3F"/>
      </w:tcPr>
    </w:tblStylePr>
    <w:tblStylePr w:type="band1Horz">
      <w:tblPr/>
      <w:tcPr>
        <w:tcBorders>
          <w:top w:val="single" w:sz="8" w:space="0" w:color="CC6600" w:themeColor="accent1"/>
          <w:left w:val="single" w:sz="8" w:space="0" w:color="CC6600" w:themeColor="accent1"/>
          <w:bottom w:val="single" w:sz="8" w:space="0" w:color="CC6600" w:themeColor="accent1"/>
          <w:right w:val="single" w:sz="8" w:space="0" w:color="CC6600" w:themeColor="accent1"/>
          <w:insideV w:val="single" w:sz="8" w:space="0" w:color="CC6600" w:themeColor="accent1"/>
        </w:tcBorders>
        <w:shd w:val="clear" w:color="auto" w:fill="FFD9B3" w:themeFill="accent1" w:themeFillTint="3F"/>
      </w:tcPr>
    </w:tblStylePr>
    <w:tblStylePr w:type="band2Horz">
      <w:tblPr/>
      <w:tcPr>
        <w:tcBorders>
          <w:top w:val="single" w:sz="8" w:space="0" w:color="CC6600" w:themeColor="accent1"/>
          <w:left w:val="single" w:sz="8" w:space="0" w:color="CC6600" w:themeColor="accent1"/>
          <w:bottom w:val="single" w:sz="8" w:space="0" w:color="CC6600" w:themeColor="accent1"/>
          <w:right w:val="single" w:sz="8" w:space="0" w:color="CC6600" w:themeColor="accent1"/>
          <w:insideV w:val="single" w:sz="8" w:space="0" w:color="CC6600" w:themeColor="accent1"/>
        </w:tcBorders>
      </w:tcPr>
    </w:tblStylePr>
  </w:style>
  <w:style w:type="table" w:styleId="LightGrid-Accent2">
    <w:name w:val="Light Grid Accent 2"/>
    <w:basedOn w:val="TableNormal"/>
    <w:uiPriority w:val="62"/>
    <w:semiHidden/>
    <w:unhideWhenUsed/>
    <w:locked/>
    <w:rsid w:val="00530B2E"/>
    <w:pPr>
      <w:spacing w:after="0" w:line="240" w:lineRule="auto"/>
    </w:pPr>
    <w:tblPr>
      <w:tblStyleRowBandSize w:val="1"/>
      <w:tblStyleColBandSize w:val="1"/>
      <w:tblBorders>
        <w:top w:val="single" w:sz="8" w:space="0" w:color="FCE2CC" w:themeColor="accent2"/>
        <w:left w:val="single" w:sz="8" w:space="0" w:color="FCE2CC" w:themeColor="accent2"/>
        <w:bottom w:val="single" w:sz="8" w:space="0" w:color="FCE2CC" w:themeColor="accent2"/>
        <w:right w:val="single" w:sz="8" w:space="0" w:color="FCE2CC" w:themeColor="accent2"/>
        <w:insideH w:val="single" w:sz="8" w:space="0" w:color="FCE2CC" w:themeColor="accent2"/>
        <w:insideV w:val="single" w:sz="8" w:space="0" w:color="FCE2C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E2CC" w:themeColor="accent2"/>
          <w:left w:val="single" w:sz="8" w:space="0" w:color="FCE2CC" w:themeColor="accent2"/>
          <w:bottom w:val="single" w:sz="18" w:space="0" w:color="FCE2CC" w:themeColor="accent2"/>
          <w:right w:val="single" w:sz="8" w:space="0" w:color="FCE2CC" w:themeColor="accent2"/>
          <w:insideH w:val="nil"/>
          <w:insideV w:val="single" w:sz="8" w:space="0" w:color="FCE2C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E2CC" w:themeColor="accent2"/>
          <w:left w:val="single" w:sz="8" w:space="0" w:color="FCE2CC" w:themeColor="accent2"/>
          <w:bottom w:val="single" w:sz="8" w:space="0" w:color="FCE2CC" w:themeColor="accent2"/>
          <w:right w:val="single" w:sz="8" w:space="0" w:color="FCE2CC" w:themeColor="accent2"/>
          <w:insideH w:val="nil"/>
          <w:insideV w:val="single" w:sz="8" w:space="0" w:color="FCE2C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E2CC" w:themeColor="accent2"/>
          <w:left w:val="single" w:sz="8" w:space="0" w:color="FCE2CC" w:themeColor="accent2"/>
          <w:bottom w:val="single" w:sz="8" w:space="0" w:color="FCE2CC" w:themeColor="accent2"/>
          <w:right w:val="single" w:sz="8" w:space="0" w:color="FCE2CC" w:themeColor="accent2"/>
        </w:tcBorders>
      </w:tcPr>
    </w:tblStylePr>
    <w:tblStylePr w:type="band1Vert">
      <w:tblPr/>
      <w:tcPr>
        <w:tcBorders>
          <w:top w:val="single" w:sz="8" w:space="0" w:color="FCE2CC" w:themeColor="accent2"/>
          <w:left w:val="single" w:sz="8" w:space="0" w:color="FCE2CC" w:themeColor="accent2"/>
          <w:bottom w:val="single" w:sz="8" w:space="0" w:color="FCE2CC" w:themeColor="accent2"/>
          <w:right w:val="single" w:sz="8" w:space="0" w:color="FCE2CC" w:themeColor="accent2"/>
        </w:tcBorders>
        <w:shd w:val="clear" w:color="auto" w:fill="FEF7F2" w:themeFill="accent2" w:themeFillTint="3F"/>
      </w:tcPr>
    </w:tblStylePr>
    <w:tblStylePr w:type="band1Horz">
      <w:tblPr/>
      <w:tcPr>
        <w:tcBorders>
          <w:top w:val="single" w:sz="8" w:space="0" w:color="FCE2CC" w:themeColor="accent2"/>
          <w:left w:val="single" w:sz="8" w:space="0" w:color="FCE2CC" w:themeColor="accent2"/>
          <w:bottom w:val="single" w:sz="8" w:space="0" w:color="FCE2CC" w:themeColor="accent2"/>
          <w:right w:val="single" w:sz="8" w:space="0" w:color="FCE2CC" w:themeColor="accent2"/>
          <w:insideV w:val="single" w:sz="8" w:space="0" w:color="FCE2CC" w:themeColor="accent2"/>
        </w:tcBorders>
        <w:shd w:val="clear" w:color="auto" w:fill="FEF7F2" w:themeFill="accent2" w:themeFillTint="3F"/>
      </w:tcPr>
    </w:tblStylePr>
    <w:tblStylePr w:type="band2Horz">
      <w:tblPr/>
      <w:tcPr>
        <w:tcBorders>
          <w:top w:val="single" w:sz="8" w:space="0" w:color="FCE2CC" w:themeColor="accent2"/>
          <w:left w:val="single" w:sz="8" w:space="0" w:color="FCE2CC" w:themeColor="accent2"/>
          <w:bottom w:val="single" w:sz="8" w:space="0" w:color="FCE2CC" w:themeColor="accent2"/>
          <w:right w:val="single" w:sz="8" w:space="0" w:color="FCE2CC" w:themeColor="accent2"/>
          <w:insideV w:val="single" w:sz="8" w:space="0" w:color="FCE2CC" w:themeColor="accent2"/>
        </w:tcBorders>
      </w:tcPr>
    </w:tblStylePr>
  </w:style>
  <w:style w:type="table" w:styleId="LightGrid-Accent3">
    <w:name w:val="Light Grid Accent 3"/>
    <w:basedOn w:val="TableNormal"/>
    <w:uiPriority w:val="62"/>
    <w:semiHidden/>
    <w:unhideWhenUsed/>
    <w:locked/>
    <w:rsid w:val="00530B2E"/>
    <w:pPr>
      <w:spacing w:after="0" w:line="240" w:lineRule="auto"/>
    </w:pPr>
    <w:tblPr>
      <w:tblStyleRowBandSize w:val="1"/>
      <w:tblStyleColBandSize w:val="1"/>
      <w:tblBorders>
        <w:top w:val="single" w:sz="8" w:space="0" w:color="0D3E67" w:themeColor="accent3"/>
        <w:left w:val="single" w:sz="8" w:space="0" w:color="0D3E67" w:themeColor="accent3"/>
        <w:bottom w:val="single" w:sz="8" w:space="0" w:color="0D3E67" w:themeColor="accent3"/>
        <w:right w:val="single" w:sz="8" w:space="0" w:color="0D3E67" w:themeColor="accent3"/>
        <w:insideH w:val="single" w:sz="8" w:space="0" w:color="0D3E67" w:themeColor="accent3"/>
        <w:insideV w:val="single" w:sz="8" w:space="0" w:color="0D3E6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3E67" w:themeColor="accent3"/>
          <w:left w:val="single" w:sz="8" w:space="0" w:color="0D3E67" w:themeColor="accent3"/>
          <w:bottom w:val="single" w:sz="18" w:space="0" w:color="0D3E67" w:themeColor="accent3"/>
          <w:right w:val="single" w:sz="8" w:space="0" w:color="0D3E67" w:themeColor="accent3"/>
          <w:insideH w:val="nil"/>
          <w:insideV w:val="single" w:sz="8" w:space="0" w:color="0D3E6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3E67" w:themeColor="accent3"/>
          <w:left w:val="single" w:sz="8" w:space="0" w:color="0D3E67" w:themeColor="accent3"/>
          <w:bottom w:val="single" w:sz="8" w:space="0" w:color="0D3E67" w:themeColor="accent3"/>
          <w:right w:val="single" w:sz="8" w:space="0" w:color="0D3E67" w:themeColor="accent3"/>
          <w:insideH w:val="nil"/>
          <w:insideV w:val="single" w:sz="8" w:space="0" w:color="0D3E6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3E67" w:themeColor="accent3"/>
          <w:left w:val="single" w:sz="8" w:space="0" w:color="0D3E67" w:themeColor="accent3"/>
          <w:bottom w:val="single" w:sz="8" w:space="0" w:color="0D3E67" w:themeColor="accent3"/>
          <w:right w:val="single" w:sz="8" w:space="0" w:color="0D3E67" w:themeColor="accent3"/>
        </w:tcBorders>
      </w:tcPr>
    </w:tblStylePr>
    <w:tblStylePr w:type="band1Vert">
      <w:tblPr/>
      <w:tcPr>
        <w:tcBorders>
          <w:top w:val="single" w:sz="8" w:space="0" w:color="0D3E67" w:themeColor="accent3"/>
          <w:left w:val="single" w:sz="8" w:space="0" w:color="0D3E67" w:themeColor="accent3"/>
          <w:bottom w:val="single" w:sz="8" w:space="0" w:color="0D3E67" w:themeColor="accent3"/>
          <w:right w:val="single" w:sz="8" w:space="0" w:color="0D3E67" w:themeColor="accent3"/>
        </w:tcBorders>
        <w:shd w:val="clear" w:color="auto" w:fill="A8D1F4" w:themeFill="accent3" w:themeFillTint="3F"/>
      </w:tcPr>
    </w:tblStylePr>
    <w:tblStylePr w:type="band1Horz">
      <w:tblPr/>
      <w:tcPr>
        <w:tcBorders>
          <w:top w:val="single" w:sz="8" w:space="0" w:color="0D3E67" w:themeColor="accent3"/>
          <w:left w:val="single" w:sz="8" w:space="0" w:color="0D3E67" w:themeColor="accent3"/>
          <w:bottom w:val="single" w:sz="8" w:space="0" w:color="0D3E67" w:themeColor="accent3"/>
          <w:right w:val="single" w:sz="8" w:space="0" w:color="0D3E67" w:themeColor="accent3"/>
          <w:insideV w:val="single" w:sz="8" w:space="0" w:color="0D3E67" w:themeColor="accent3"/>
        </w:tcBorders>
        <w:shd w:val="clear" w:color="auto" w:fill="A8D1F4" w:themeFill="accent3" w:themeFillTint="3F"/>
      </w:tcPr>
    </w:tblStylePr>
    <w:tblStylePr w:type="band2Horz">
      <w:tblPr/>
      <w:tcPr>
        <w:tcBorders>
          <w:top w:val="single" w:sz="8" w:space="0" w:color="0D3E67" w:themeColor="accent3"/>
          <w:left w:val="single" w:sz="8" w:space="0" w:color="0D3E67" w:themeColor="accent3"/>
          <w:bottom w:val="single" w:sz="8" w:space="0" w:color="0D3E67" w:themeColor="accent3"/>
          <w:right w:val="single" w:sz="8" w:space="0" w:color="0D3E67" w:themeColor="accent3"/>
          <w:insideV w:val="single" w:sz="8" w:space="0" w:color="0D3E67" w:themeColor="accent3"/>
        </w:tcBorders>
      </w:tcPr>
    </w:tblStylePr>
  </w:style>
  <w:style w:type="table" w:styleId="LightGrid-Accent4">
    <w:name w:val="Light Grid Accent 4"/>
    <w:basedOn w:val="TableNormal"/>
    <w:uiPriority w:val="62"/>
    <w:semiHidden/>
    <w:unhideWhenUsed/>
    <w:locked/>
    <w:rsid w:val="00530B2E"/>
    <w:pPr>
      <w:spacing w:after="0" w:line="240" w:lineRule="auto"/>
    </w:pPr>
    <w:tblPr>
      <w:tblStyleRowBandSize w:val="1"/>
      <w:tblStyleColBandSize w:val="1"/>
      <w:tblBorders>
        <w:top w:val="single" w:sz="8" w:space="0" w:color="7D96B5" w:themeColor="accent4"/>
        <w:left w:val="single" w:sz="8" w:space="0" w:color="7D96B5" w:themeColor="accent4"/>
        <w:bottom w:val="single" w:sz="8" w:space="0" w:color="7D96B5" w:themeColor="accent4"/>
        <w:right w:val="single" w:sz="8" w:space="0" w:color="7D96B5" w:themeColor="accent4"/>
        <w:insideH w:val="single" w:sz="8" w:space="0" w:color="7D96B5" w:themeColor="accent4"/>
        <w:insideV w:val="single" w:sz="8" w:space="0" w:color="7D96B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D96B5" w:themeColor="accent4"/>
          <w:left w:val="single" w:sz="8" w:space="0" w:color="7D96B5" w:themeColor="accent4"/>
          <w:bottom w:val="single" w:sz="18" w:space="0" w:color="7D96B5" w:themeColor="accent4"/>
          <w:right w:val="single" w:sz="8" w:space="0" w:color="7D96B5" w:themeColor="accent4"/>
          <w:insideH w:val="nil"/>
          <w:insideV w:val="single" w:sz="8" w:space="0" w:color="7D96B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D96B5" w:themeColor="accent4"/>
          <w:left w:val="single" w:sz="8" w:space="0" w:color="7D96B5" w:themeColor="accent4"/>
          <w:bottom w:val="single" w:sz="8" w:space="0" w:color="7D96B5" w:themeColor="accent4"/>
          <w:right w:val="single" w:sz="8" w:space="0" w:color="7D96B5" w:themeColor="accent4"/>
          <w:insideH w:val="nil"/>
          <w:insideV w:val="single" w:sz="8" w:space="0" w:color="7D96B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D96B5" w:themeColor="accent4"/>
          <w:left w:val="single" w:sz="8" w:space="0" w:color="7D96B5" w:themeColor="accent4"/>
          <w:bottom w:val="single" w:sz="8" w:space="0" w:color="7D96B5" w:themeColor="accent4"/>
          <w:right w:val="single" w:sz="8" w:space="0" w:color="7D96B5" w:themeColor="accent4"/>
        </w:tcBorders>
      </w:tcPr>
    </w:tblStylePr>
    <w:tblStylePr w:type="band1Vert">
      <w:tblPr/>
      <w:tcPr>
        <w:tcBorders>
          <w:top w:val="single" w:sz="8" w:space="0" w:color="7D96B5" w:themeColor="accent4"/>
          <w:left w:val="single" w:sz="8" w:space="0" w:color="7D96B5" w:themeColor="accent4"/>
          <w:bottom w:val="single" w:sz="8" w:space="0" w:color="7D96B5" w:themeColor="accent4"/>
          <w:right w:val="single" w:sz="8" w:space="0" w:color="7D96B5" w:themeColor="accent4"/>
        </w:tcBorders>
        <w:shd w:val="clear" w:color="auto" w:fill="DEE4EC" w:themeFill="accent4" w:themeFillTint="3F"/>
      </w:tcPr>
    </w:tblStylePr>
    <w:tblStylePr w:type="band1Horz">
      <w:tblPr/>
      <w:tcPr>
        <w:tcBorders>
          <w:top w:val="single" w:sz="8" w:space="0" w:color="7D96B5" w:themeColor="accent4"/>
          <w:left w:val="single" w:sz="8" w:space="0" w:color="7D96B5" w:themeColor="accent4"/>
          <w:bottom w:val="single" w:sz="8" w:space="0" w:color="7D96B5" w:themeColor="accent4"/>
          <w:right w:val="single" w:sz="8" w:space="0" w:color="7D96B5" w:themeColor="accent4"/>
          <w:insideV w:val="single" w:sz="8" w:space="0" w:color="7D96B5" w:themeColor="accent4"/>
        </w:tcBorders>
        <w:shd w:val="clear" w:color="auto" w:fill="DEE4EC" w:themeFill="accent4" w:themeFillTint="3F"/>
      </w:tcPr>
    </w:tblStylePr>
    <w:tblStylePr w:type="band2Horz">
      <w:tblPr/>
      <w:tcPr>
        <w:tcBorders>
          <w:top w:val="single" w:sz="8" w:space="0" w:color="7D96B5" w:themeColor="accent4"/>
          <w:left w:val="single" w:sz="8" w:space="0" w:color="7D96B5" w:themeColor="accent4"/>
          <w:bottom w:val="single" w:sz="8" w:space="0" w:color="7D96B5" w:themeColor="accent4"/>
          <w:right w:val="single" w:sz="8" w:space="0" w:color="7D96B5" w:themeColor="accent4"/>
          <w:insideV w:val="single" w:sz="8" w:space="0" w:color="7D96B5" w:themeColor="accent4"/>
        </w:tcBorders>
      </w:tcPr>
    </w:tblStylePr>
  </w:style>
  <w:style w:type="table" w:styleId="LightGrid-Accent5">
    <w:name w:val="Light Grid Accent 5"/>
    <w:basedOn w:val="TableNormal"/>
    <w:uiPriority w:val="62"/>
    <w:semiHidden/>
    <w:unhideWhenUsed/>
    <w:locked/>
    <w:rsid w:val="00530B2E"/>
    <w:pPr>
      <w:spacing w:after="0" w:line="240" w:lineRule="auto"/>
    </w:pPr>
    <w:tblPr>
      <w:tblStyleRowBandSize w:val="1"/>
      <w:tblStyleColBandSize w:val="1"/>
      <w:tblBorders>
        <w:top w:val="single" w:sz="8" w:space="0" w:color="0D8577" w:themeColor="accent5"/>
        <w:left w:val="single" w:sz="8" w:space="0" w:color="0D8577" w:themeColor="accent5"/>
        <w:bottom w:val="single" w:sz="8" w:space="0" w:color="0D8577" w:themeColor="accent5"/>
        <w:right w:val="single" w:sz="8" w:space="0" w:color="0D8577" w:themeColor="accent5"/>
        <w:insideH w:val="single" w:sz="8" w:space="0" w:color="0D8577" w:themeColor="accent5"/>
        <w:insideV w:val="single" w:sz="8" w:space="0" w:color="0D857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8577" w:themeColor="accent5"/>
          <w:left w:val="single" w:sz="8" w:space="0" w:color="0D8577" w:themeColor="accent5"/>
          <w:bottom w:val="single" w:sz="18" w:space="0" w:color="0D8577" w:themeColor="accent5"/>
          <w:right w:val="single" w:sz="8" w:space="0" w:color="0D8577" w:themeColor="accent5"/>
          <w:insideH w:val="nil"/>
          <w:insideV w:val="single" w:sz="8" w:space="0" w:color="0D857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8577" w:themeColor="accent5"/>
          <w:left w:val="single" w:sz="8" w:space="0" w:color="0D8577" w:themeColor="accent5"/>
          <w:bottom w:val="single" w:sz="8" w:space="0" w:color="0D8577" w:themeColor="accent5"/>
          <w:right w:val="single" w:sz="8" w:space="0" w:color="0D8577" w:themeColor="accent5"/>
          <w:insideH w:val="nil"/>
          <w:insideV w:val="single" w:sz="8" w:space="0" w:color="0D857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8577" w:themeColor="accent5"/>
          <w:left w:val="single" w:sz="8" w:space="0" w:color="0D8577" w:themeColor="accent5"/>
          <w:bottom w:val="single" w:sz="8" w:space="0" w:color="0D8577" w:themeColor="accent5"/>
          <w:right w:val="single" w:sz="8" w:space="0" w:color="0D8577" w:themeColor="accent5"/>
        </w:tcBorders>
      </w:tcPr>
    </w:tblStylePr>
    <w:tblStylePr w:type="band1Vert">
      <w:tblPr/>
      <w:tcPr>
        <w:tcBorders>
          <w:top w:val="single" w:sz="8" w:space="0" w:color="0D8577" w:themeColor="accent5"/>
          <w:left w:val="single" w:sz="8" w:space="0" w:color="0D8577" w:themeColor="accent5"/>
          <w:bottom w:val="single" w:sz="8" w:space="0" w:color="0D8577" w:themeColor="accent5"/>
          <w:right w:val="single" w:sz="8" w:space="0" w:color="0D8577" w:themeColor="accent5"/>
        </w:tcBorders>
        <w:shd w:val="clear" w:color="auto" w:fill="ADF7EE" w:themeFill="accent5" w:themeFillTint="3F"/>
      </w:tcPr>
    </w:tblStylePr>
    <w:tblStylePr w:type="band1Horz">
      <w:tblPr/>
      <w:tcPr>
        <w:tcBorders>
          <w:top w:val="single" w:sz="8" w:space="0" w:color="0D8577" w:themeColor="accent5"/>
          <w:left w:val="single" w:sz="8" w:space="0" w:color="0D8577" w:themeColor="accent5"/>
          <w:bottom w:val="single" w:sz="8" w:space="0" w:color="0D8577" w:themeColor="accent5"/>
          <w:right w:val="single" w:sz="8" w:space="0" w:color="0D8577" w:themeColor="accent5"/>
          <w:insideV w:val="single" w:sz="8" w:space="0" w:color="0D8577" w:themeColor="accent5"/>
        </w:tcBorders>
        <w:shd w:val="clear" w:color="auto" w:fill="ADF7EE" w:themeFill="accent5" w:themeFillTint="3F"/>
      </w:tcPr>
    </w:tblStylePr>
    <w:tblStylePr w:type="band2Horz">
      <w:tblPr/>
      <w:tcPr>
        <w:tcBorders>
          <w:top w:val="single" w:sz="8" w:space="0" w:color="0D8577" w:themeColor="accent5"/>
          <w:left w:val="single" w:sz="8" w:space="0" w:color="0D8577" w:themeColor="accent5"/>
          <w:bottom w:val="single" w:sz="8" w:space="0" w:color="0D8577" w:themeColor="accent5"/>
          <w:right w:val="single" w:sz="8" w:space="0" w:color="0D8577" w:themeColor="accent5"/>
          <w:insideV w:val="single" w:sz="8" w:space="0" w:color="0D8577" w:themeColor="accent5"/>
        </w:tcBorders>
      </w:tcPr>
    </w:tblStylePr>
  </w:style>
  <w:style w:type="table" w:styleId="LightGrid-Accent6">
    <w:name w:val="Light Grid Accent 6"/>
    <w:basedOn w:val="TableNormal"/>
    <w:uiPriority w:val="62"/>
    <w:semiHidden/>
    <w:unhideWhenUsed/>
    <w:locked/>
    <w:rsid w:val="00530B2E"/>
    <w:pPr>
      <w:spacing w:after="0" w:line="240" w:lineRule="auto"/>
    </w:pPr>
    <w:tblPr>
      <w:tblStyleRowBandSize w:val="1"/>
      <w:tblStyleColBandSize w:val="1"/>
      <w:tblBorders>
        <w:top w:val="single" w:sz="8" w:space="0" w:color="46B8A9" w:themeColor="accent6"/>
        <w:left w:val="single" w:sz="8" w:space="0" w:color="46B8A9" w:themeColor="accent6"/>
        <w:bottom w:val="single" w:sz="8" w:space="0" w:color="46B8A9" w:themeColor="accent6"/>
        <w:right w:val="single" w:sz="8" w:space="0" w:color="46B8A9" w:themeColor="accent6"/>
        <w:insideH w:val="single" w:sz="8" w:space="0" w:color="46B8A9" w:themeColor="accent6"/>
        <w:insideV w:val="single" w:sz="8" w:space="0" w:color="46B8A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6B8A9" w:themeColor="accent6"/>
          <w:left w:val="single" w:sz="8" w:space="0" w:color="46B8A9" w:themeColor="accent6"/>
          <w:bottom w:val="single" w:sz="18" w:space="0" w:color="46B8A9" w:themeColor="accent6"/>
          <w:right w:val="single" w:sz="8" w:space="0" w:color="46B8A9" w:themeColor="accent6"/>
          <w:insideH w:val="nil"/>
          <w:insideV w:val="single" w:sz="8" w:space="0" w:color="46B8A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B8A9" w:themeColor="accent6"/>
          <w:left w:val="single" w:sz="8" w:space="0" w:color="46B8A9" w:themeColor="accent6"/>
          <w:bottom w:val="single" w:sz="8" w:space="0" w:color="46B8A9" w:themeColor="accent6"/>
          <w:right w:val="single" w:sz="8" w:space="0" w:color="46B8A9" w:themeColor="accent6"/>
          <w:insideH w:val="nil"/>
          <w:insideV w:val="single" w:sz="8" w:space="0" w:color="46B8A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B8A9" w:themeColor="accent6"/>
          <w:left w:val="single" w:sz="8" w:space="0" w:color="46B8A9" w:themeColor="accent6"/>
          <w:bottom w:val="single" w:sz="8" w:space="0" w:color="46B8A9" w:themeColor="accent6"/>
          <w:right w:val="single" w:sz="8" w:space="0" w:color="46B8A9" w:themeColor="accent6"/>
        </w:tcBorders>
      </w:tcPr>
    </w:tblStylePr>
    <w:tblStylePr w:type="band1Vert">
      <w:tblPr/>
      <w:tcPr>
        <w:tcBorders>
          <w:top w:val="single" w:sz="8" w:space="0" w:color="46B8A9" w:themeColor="accent6"/>
          <w:left w:val="single" w:sz="8" w:space="0" w:color="46B8A9" w:themeColor="accent6"/>
          <w:bottom w:val="single" w:sz="8" w:space="0" w:color="46B8A9" w:themeColor="accent6"/>
          <w:right w:val="single" w:sz="8" w:space="0" w:color="46B8A9" w:themeColor="accent6"/>
        </w:tcBorders>
        <w:shd w:val="clear" w:color="auto" w:fill="D1EDE9" w:themeFill="accent6" w:themeFillTint="3F"/>
      </w:tcPr>
    </w:tblStylePr>
    <w:tblStylePr w:type="band1Horz">
      <w:tblPr/>
      <w:tcPr>
        <w:tcBorders>
          <w:top w:val="single" w:sz="8" w:space="0" w:color="46B8A9" w:themeColor="accent6"/>
          <w:left w:val="single" w:sz="8" w:space="0" w:color="46B8A9" w:themeColor="accent6"/>
          <w:bottom w:val="single" w:sz="8" w:space="0" w:color="46B8A9" w:themeColor="accent6"/>
          <w:right w:val="single" w:sz="8" w:space="0" w:color="46B8A9" w:themeColor="accent6"/>
          <w:insideV w:val="single" w:sz="8" w:space="0" w:color="46B8A9" w:themeColor="accent6"/>
        </w:tcBorders>
        <w:shd w:val="clear" w:color="auto" w:fill="D1EDE9" w:themeFill="accent6" w:themeFillTint="3F"/>
      </w:tcPr>
    </w:tblStylePr>
    <w:tblStylePr w:type="band2Horz">
      <w:tblPr/>
      <w:tcPr>
        <w:tcBorders>
          <w:top w:val="single" w:sz="8" w:space="0" w:color="46B8A9" w:themeColor="accent6"/>
          <w:left w:val="single" w:sz="8" w:space="0" w:color="46B8A9" w:themeColor="accent6"/>
          <w:bottom w:val="single" w:sz="8" w:space="0" w:color="46B8A9" w:themeColor="accent6"/>
          <w:right w:val="single" w:sz="8" w:space="0" w:color="46B8A9" w:themeColor="accent6"/>
          <w:insideV w:val="single" w:sz="8" w:space="0" w:color="46B8A9" w:themeColor="accent6"/>
        </w:tcBorders>
      </w:tcPr>
    </w:tblStylePr>
  </w:style>
  <w:style w:type="table" w:styleId="LightList">
    <w:name w:val="Light List"/>
    <w:basedOn w:val="TableNormal"/>
    <w:uiPriority w:val="61"/>
    <w:semiHidden/>
    <w:unhideWhenUsed/>
    <w:locked/>
    <w:rsid w:val="00530B2E"/>
    <w:pPr>
      <w:spacing w:after="0" w:line="240" w:lineRule="auto"/>
    </w:pPr>
    <w:tblPr>
      <w:tblStyleRowBandSize w:val="1"/>
      <w:tblStyleColBandSize w:val="1"/>
      <w:tblBorders>
        <w:top w:val="single" w:sz="8" w:space="0" w:color="222222" w:themeColor="text1"/>
        <w:left w:val="single" w:sz="8" w:space="0" w:color="222222" w:themeColor="text1"/>
        <w:bottom w:val="single" w:sz="8" w:space="0" w:color="222222" w:themeColor="text1"/>
        <w:right w:val="single" w:sz="8" w:space="0" w:color="222222" w:themeColor="text1"/>
      </w:tblBorders>
    </w:tblPr>
    <w:tblStylePr w:type="firstRow">
      <w:pPr>
        <w:spacing w:before="0" w:after="0" w:line="240" w:lineRule="auto"/>
      </w:pPr>
      <w:rPr>
        <w:b/>
        <w:bCs/>
        <w:color w:val="FFFFFF" w:themeColor="background1"/>
      </w:rPr>
      <w:tblPr/>
      <w:tcPr>
        <w:shd w:val="clear" w:color="auto" w:fill="222222" w:themeFill="text1"/>
      </w:tcPr>
    </w:tblStylePr>
    <w:tblStylePr w:type="lastRow">
      <w:pPr>
        <w:spacing w:before="0" w:after="0" w:line="240" w:lineRule="auto"/>
      </w:pPr>
      <w:rPr>
        <w:b/>
        <w:bCs/>
      </w:rPr>
      <w:tblPr/>
      <w:tcPr>
        <w:tcBorders>
          <w:top w:val="double" w:sz="6" w:space="0" w:color="222222" w:themeColor="text1"/>
          <w:left w:val="single" w:sz="8" w:space="0" w:color="222222" w:themeColor="text1"/>
          <w:bottom w:val="single" w:sz="8" w:space="0" w:color="222222" w:themeColor="text1"/>
          <w:right w:val="single" w:sz="8" w:space="0" w:color="222222" w:themeColor="text1"/>
        </w:tcBorders>
      </w:tcPr>
    </w:tblStylePr>
    <w:tblStylePr w:type="firstCol">
      <w:rPr>
        <w:b/>
        <w:bCs/>
      </w:rPr>
    </w:tblStylePr>
    <w:tblStylePr w:type="lastCol">
      <w:rPr>
        <w:b/>
        <w:bCs/>
      </w:rPr>
    </w:tblStylePr>
    <w:tblStylePr w:type="band1Vert">
      <w:tblPr/>
      <w:tcPr>
        <w:tcBorders>
          <w:top w:val="single" w:sz="8" w:space="0" w:color="222222" w:themeColor="text1"/>
          <w:left w:val="single" w:sz="8" w:space="0" w:color="222222" w:themeColor="text1"/>
          <w:bottom w:val="single" w:sz="8" w:space="0" w:color="222222" w:themeColor="text1"/>
          <w:right w:val="single" w:sz="8" w:space="0" w:color="222222" w:themeColor="text1"/>
        </w:tcBorders>
      </w:tcPr>
    </w:tblStylePr>
    <w:tblStylePr w:type="band1Horz">
      <w:tblPr/>
      <w:tcPr>
        <w:tcBorders>
          <w:top w:val="single" w:sz="8" w:space="0" w:color="222222" w:themeColor="text1"/>
          <w:left w:val="single" w:sz="8" w:space="0" w:color="222222" w:themeColor="text1"/>
          <w:bottom w:val="single" w:sz="8" w:space="0" w:color="222222" w:themeColor="text1"/>
          <w:right w:val="single" w:sz="8" w:space="0" w:color="222222" w:themeColor="text1"/>
        </w:tcBorders>
      </w:tcPr>
    </w:tblStylePr>
  </w:style>
  <w:style w:type="table" w:styleId="LightList-Accent1">
    <w:name w:val="Light List Accent 1"/>
    <w:basedOn w:val="TableNormal"/>
    <w:uiPriority w:val="61"/>
    <w:semiHidden/>
    <w:unhideWhenUsed/>
    <w:locked/>
    <w:rsid w:val="00530B2E"/>
    <w:pPr>
      <w:spacing w:after="0" w:line="240" w:lineRule="auto"/>
    </w:pPr>
    <w:tblPr>
      <w:tblStyleRowBandSize w:val="1"/>
      <w:tblStyleColBandSize w:val="1"/>
      <w:tblBorders>
        <w:top w:val="single" w:sz="8" w:space="0" w:color="CC6600" w:themeColor="accent1"/>
        <w:left w:val="single" w:sz="8" w:space="0" w:color="CC6600" w:themeColor="accent1"/>
        <w:bottom w:val="single" w:sz="8" w:space="0" w:color="CC6600" w:themeColor="accent1"/>
        <w:right w:val="single" w:sz="8" w:space="0" w:color="CC6600" w:themeColor="accent1"/>
      </w:tblBorders>
    </w:tblPr>
    <w:tblStylePr w:type="firstRow">
      <w:pPr>
        <w:spacing w:before="0" w:after="0" w:line="240" w:lineRule="auto"/>
      </w:pPr>
      <w:rPr>
        <w:b/>
        <w:bCs/>
        <w:color w:val="FFFFFF" w:themeColor="background1"/>
      </w:rPr>
      <w:tblPr/>
      <w:tcPr>
        <w:shd w:val="clear" w:color="auto" w:fill="CC6600" w:themeFill="accent1"/>
      </w:tcPr>
    </w:tblStylePr>
    <w:tblStylePr w:type="lastRow">
      <w:pPr>
        <w:spacing w:before="0" w:after="0" w:line="240" w:lineRule="auto"/>
      </w:pPr>
      <w:rPr>
        <w:b/>
        <w:bCs/>
      </w:rPr>
      <w:tblPr/>
      <w:tcPr>
        <w:tcBorders>
          <w:top w:val="double" w:sz="6" w:space="0" w:color="CC6600" w:themeColor="accent1"/>
          <w:left w:val="single" w:sz="8" w:space="0" w:color="CC6600" w:themeColor="accent1"/>
          <w:bottom w:val="single" w:sz="8" w:space="0" w:color="CC6600" w:themeColor="accent1"/>
          <w:right w:val="single" w:sz="8" w:space="0" w:color="CC6600" w:themeColor="accent1"/>
        </w:tcBorders>
      </w:tcPr>
    </w:tblStylePr>
    <w:tblStylePr w:type="firstCol">
      <w:rPr>
        <w:b/>
        <w:bCs/>
      </w:rPr>
    </w:tblStylePr>
    <w:tblStylePr w:type="lastCol">
      <w:rPr>
        <w:b/>
        <w:bCs/>
      </w:rPr>
    </w:tblStylePr>
    <w:tblStylePr w:type="band1Vert">
      <w:tblPr/>
      <w:tcPr>
        <w:tcBorders>
          <w:top w:val="single" w:sz="8" w:space="0" w:color="CC6600" w:themeColor="accent1"/>
          <w:left w:val="single" w:sz="8" w:space="0" w:color="CC6600" w:themeColor="accent1"/>
          <w:bottom w:val="single" w:sz="8" w:space="0" w:color="CC6600" w:themeColor="accent1"/>
          <w:right w:val="single" w:sz="8" w:space="0" w:color="CC6600" w:themeColor="accent1"/>
        </w:tcBorders>
      </w:tcPr>
    </w:tblStylePr>
    <w:tblStylePr w:type="band1Horz">
      <w:tblPr/>
      <w:tcPr>
        <w:tcBorders>
          <w:top w:val="single" w:sz="8" w:space="0" w:color="CC6600" w:themeColor="accent1"/>
          <w:left w:val="single" w:sz="8" w:space="0" w:color="CC6600" w:themeColor="accent1"/>
          <w:bottom w:val="single" w:sz="8" w:space="0" w:color="CC6600" w:themeColor="accent1"/>
          <w:right w:val="single" w:sz="8" w:space="0" w:color="CC6600" w:themeColor="accent1"/>
        </w:tcBorders>
      </w:tcPr>
    </w:tblStylePr>
  </w:style>
  <w:style w:type="table" w:styleId="LightList-Accent2">
    <w:name w:val="Light List Accent 2"/>
    <w:basedOn w:val="TableNormal"/>
    <w:uiPriority w:val="61"/>
    <w:semiHidden/>
    <w:unhideWhenUsed/>
    <w:locked/>
    <w:rsid w:val="00530B2E"/>
    <w:pPr>
      <w:spacing w:after="0" w:line="240" w:lineRule="auto"/>
    </w:pPr>
    <w:tblPr>
      <w:tblStyleRowBandSize w:val="1"/>
      <w:tblStyleColBandSize w:val="1"/>
      <w:tblBorders>
        <w:top w:val="single" w:sz="8" w:space="0" w:color="FCE2CC" w:themeColor="accent2"/>
        <w:left w:val="single" w:sz="8" w:space="0" w:color="FCE2CC" w:themeColor="accent2"/>
        <w:bottom w:val="single" w:sz="8" w:space="0" w:color="FCE2CC" w:themeColor="accent2"/>
        <w:right w:val="single" w:sz="8" w:space="0" w:color="FCE2CC" w:themeColor="accent2"/>
      </w:tblBorders>
    </w:tblPr>
    <w:tblStylePr w:type="firstRow">
      <w:pPr>
        <w:spacing w:before="0" w:after="0" w:line="240" w:lineRule="auto"/>
      </w:pPr>
      <w:rPr>
        <w:b/>
        <w:bCs/>
        <w:color w:val="FFFFFF" w:themeColor="background1"/>
      </w:rPr>
      <w:tblPr/>
      <w:tcPr>
        <w:shd w:val="clear" w:color="auto" w:fill="FCE2CC" w:themeFill="accent2"/>
      </w:tcPr>
    </w:tblStylePr>
    <w:tblStylePr w:type="lastRow">
      <w:pPr>
        <w:spacing w:before="0" w:after="0" w:line="240" w:lineRule="auto"/>
      </w:pPr>
      <w:rPr>
        <w:b/>
        <w:bCs/>
      </w:rPr>
      <w:tblPr/>
      <w:tcPr>
        <w:tcBorders>
          <w:top w:val="double" w:sz="6" w:space="0" w:color="FCE2CC" w:themeColor="accent2"/>
          <w:left w:val="single" w:sz="8" w:space="0" w:color="FCE2CC" w:themeColor="accent2"/>
          <w:bottom w:val="single" w:sz="8" w:space="0" w:color="FCE2CC" w:themeColor="accent2"/>
          <w:right w:val="single" w:sz="8" w:space="0" w:color="FCE2CC" w:themeColor="accent2"/>
        </w:tcBorders>
      </w:tcPr>
    </w:tblStylePr>
    <w:tblStylePr w:type="firstCol">
      <w:rPr>
        <w:b/>
        <w:bCs/>
      </w:rPr>
    </w:tblStylePr>
    <w:tblStylePr w:type="lastCol">
      <w:rPr>
        <w:b/>
        <w:bCs/>
      </w:rPr>
    </w:tblStylePr>
    <w:tblStylePr w:type="band1Vert">
      <w:tblPr/>
      <w:tcPr>
        <w:tcBorders>
          <w:top w:val="single" w:sz="8" w:space="0" w:color="FCE2CC" w:themeColor="accent2"/>
          <w:left w:val="single" w:sz="8" w:space="0" w:color="FCE2CC" w:themeColor="accent2"/>
          <w:bottom w:val="single" w:sz="8" w:space="0" w:color="FCE2CC" w:themeColor="accent2"/>
          <w:right w:val="single" w:sz="8" w:space="0" w:color="FCE2CC" w:themeColor="accent2"/>
        </w:tcBorders>
      </w:tcPr>
    </w:tblStylePr>
    <w:tblStylePr w:type="band1Horz">
      <w:tblPr/>
      <w:tcPr>
        <w:tcBorders>
          <w:top w:val="single" w:sz="8" w:space="0" w:color="FCE2CC" w:themeColor="accent2"/>
          <w:left w:val="single" w:sz="8" w:space="0" w:color="FCE2CC" w:themeColor="accent2"/>
          <w:bottom w:val="single" w:sz="8" w:space="0" w:color="FCE2CC" w:themeColor="accent2"/>
          <w:right w:val="single" w:sz="8" w:space="0" w:color="FCE2CC" w:themeColor="accent2"/>
        </w:tcBorders>
      </w:tcPr>
    </w:tblStylePr>
  </w:style>
  <w:style w:type="table" w:styleId="LightList-Accent3">
    <w:name w:val="Light List Accent 3"/>
    <w:basedOn w:val="TableNormal"/>
    <w:uiPriority w:val="61"/>
    <w:semiHidden/>
    <w:unhideWhenUsed/>
    <w:locked/>
    <w:rsid w:val="00530B2E"/>
    <w:pPr>
      <w:spacing w:after="0" w:line="240" w:lineRule="auto"/>
    </w:pPr>
    <w:tblPr>
      <w:tblStyleRowBandSize w:val="1"/>
      <w:tblStyleColBandSize w:val="1"/>
      <w:tblBorders>
        <w:top w:val="single" w:sz="8" w:space="0" w:color="0D3E67" w:themeColor="accent3"/>
        <w:left w:val="single" w:sz="8" w:space="0" w:color="0D3E67" w:themeColor="accent3"/>
        <w:bottom w:val="single" w:sz="8" w:space="0" w:color="0D3E67" w:themeColor="accent3"/>
        <w:right w:val="single" w:sz="8" w:space="0" w:color="0D3E67" w:themeColor="accent3"/>
      </w:tblBorders>
    </w:tblPr>
    <w:tblStylePr w:type="firstRow">
      <w:pPr>
        <w:spacing w:before="0" w:after="0" w:line="240" w:lineRule="auto"/>
      </w:pPr>
      <w:rPr>
        <w:b/>
        <w:bCs/>
        <w:color w:val="FFFFFF" w:themeColor="background1"/>
      </w:rPr>
      <w:tblPr/>
      <w:tcPr>
        <w:shd w:val="clear" w:color="auto" w:fill="0D3E67" w:themeFill="accent3"/>
      </w:tcPr>
    </w:tblStylePr>
    <w:tblStylePr w:type="lastRow">
      <w:pPr>
        <w:spacing w:before="0" w:after="0" w:line="240" w:lineRule="auto"/>
      </w:pPr>
      <w:rPr>
        <w:b/>
        <w:bCs/>
      </w:rPr>
      <w:tblPr/>
      <w:tcPr>
        <w:tcBorders>
          <w:top w:val="double" w:sz="6" w:space="0" w:color="0D3E67" w:themeColor="accent3"/>
          <w:left w:val="single" w:sz="8" w:space="0" w:color="0D3E67" w:themeColor="accent3"/>
          <w:bottom w:val="single" w:sz="8" w:space="0" w:color="0D3E67" w:themeColor="accent3"/>
          <w:right w:val="single" w:sz="8" w:space="0" w:color="0D3E67" w:themeColor="accent3"/>
        </w:tcBorders>
      </w:tcPr>
    </w:tblStylePr>
    <w:tblStylePr w:type="firstCol">
      <w:rPr>
        <w:b/>
        <w:bCs/>
      </w:rPr>
    </w:tblStylePr>
    <w:tblStylePr w:type="lastCol">
      <w:rPr>
        <w:b/>
        <w:bCs/>
      </w:rPr>
    </w:tblStylePr>
    <w:tblStylePr w:type="band1Vert">
      <w:tblPr/>
      <w:tcPr>
        <w:tcBorders>
          <w:top w:val="single" w:sz="8" w:space="0" w:color="0D3E67" w:themeColor="accent3"/>
          <w:left w:val="single" w:sz="8" w:space="0" w:color="0D3E67" w:themeColor="accent3"/>
          <w:bottom w:val="single" w:sz="8" w:space="0" w:color="0D3E67" w:themeColor="accent3"/>
          <w:right w:val="single" w:sz="8" w:space="0" w:color="0D3E67" w:themeColor="accent3"/>
        </w:tcBorders>
      </w:tcPr>
    </w:tblStylePr>
    <w:tblStylePr w:type="band1Horz">
      <w:tblPr/>
      <w:tcPr>
        <w:tcBorders>
          <w:top w:val="single" w:sz="8" w:space="0" w:color="0D3E67" w:themeColor="accent3"/>
          <w:left w:val="single" w:sz="8" w:space="0" w:color="0D3E67" w:themeColor="accent3"/>
          <w:bottom w:val="single" w:sz="8" w:space="0" w:color="0D3E67" w:themeColor="accent3"/>
          <w:right w:val="single" w:sz="8" w:space="0" w:color="0D3E67" w:themeColor="accent3"/>
        </w:tcBorders>
      </w:tcPr>
    </w:tblStylePr>
  </w:style>
  <w:style w:type="table" w:styleId="LightList-Accent4">
    <w:name w:val="Light List Accent 4"/>
    <w:basedOn w:val="TableNormal"/>
    <w:uiPriority w:val="61"/>
    <w:semiHidden/>
    <w:unhideWhenUsed/>
    <w:locked/>
    <w:rsid w:val="00530B2E"/>
    <w:pPr>
      <w:spacing w:after="0" w:line="240" w:lineRule="auto"/>
    </w:pPr>
    <w:tblPr>
      <w:tblStyleRowBandSize w:val="1"/>
      <w:tblStyleColBandSize w:val="1"/>
      <w:tblBorders>
        <w:top w:val="single" w:sz="8" w:space="0" w:color="7D96B5" w:themeColor="accent4"/>
        <w:left w:val="single" w:sz="8" w:space="0" w:color="7D96B5" w:themeColor="accent4"/>
        <w:bottom w:val="single" w:sz="8" w:space="0" w:color="7D96B5" w:themeColor="accent4"/>
        <w:right w:val="single" w:sz="8" w:space="0" w:color="7D96B5" w:themeColor="accent4"/>
      </w:tblBorders>
    </w:tblPr>
    <w:tblStylePr w:type="firstRow">
      <w:pPr>
        <w:spacing w:before="0" w:after="0" w:line="240" w:lineRule="auto"/>
      </w:pPr>
      <w:rPr>
        <w:b/>
        <w:bCs/>
        <w:color w:val="FFFFFF" w:themeColor="background1"/>
      </w:rPr>
      <w:tblPr/>
      <w:tcPr>
        <w:shd w:val="clear" w:color="auto" w:fill="7D96B5" w:themeFill="accent4"/>
      </w:tcPr>
    </w:tblStylePr>
    <w:tblStylePr w:type="lastRow">
      <w:pPr>
        <w:spacing w:before="0" w:after="0" w:line="240" w:lineRule="auto"/>
      </w:pPr>
      <w:rPr>
        <w:b/>
        <w:bCs/>
      </w:rPr>
      <w:tblPr/>
      <w:tcPr>
        <w:tcBorders>
          <w:top w:val="double" w:sz="6" w:space="0" w:color="7D96B5" w:themeColor="accent4"/>
          <w:left w:val="single" w:sz="8" w:space="0" w:color="7D96B5" w:themeColor="accent4"/>
          <w:bottom w:val="single" w:sz="8" w:space="0" w:color="7D96B5" w:themeColor="accent4"/>
          <w:right w:val="single" w:sz="8" w:space="0" w:color="7D96B5" w:themeColor="accent4"/>
        </w:tcBorders>
      </w:tcPr>
    </w:tblStylePr>
    <w:tblStylePr w:type="firstCol">
      <w:rPr>
        <w:b/>
        <w:bCs/>
      </w:rPr>
    </w:tblStylePr>
    <w:tblStylePr w:type="lastCol">
      <w:rPr>
        <w:b/>
        <w:bCs/>
      </w:rPr>
    </w:tblStylePr>
    <w:tblStylePr w:type="band1Vert">
      <w:tblPr/>
      <w:tcPr>
        <w:tcBorders>
          <w:top w:val="single" w:sz="8" w:space="0" w:color="7D96B5" w:themeColor="accent4"/>
          <w:left w:val="single" w:sz="8" w:space="0" w:color="7D96B5" w:themeColor="accent4"/>
          <w:bottom w:val="single" w:sz="8" w:space="0" w:color="7D96B5" w:themeColor="accent4"/>
          <w:right w:val="single" w:sz="8" w:space="0" w:color="7D96B5" w:themeColor="accent4"/>
        </w:tcBorders>
      </w:tcPr>
    </w:tblStylePr>
    <w:tblStylePr w:type="band1Horz">
      <w:tblPr/>
      <w:tcPr>
        <w:tcBorders>
          <w:top w:val="single" w:sz="8" w:space="0" w:color="7D96B5" w:themeColor="accent4"/>
          <w:left w:val="single" w:sz="8" w:space="0" w:color="7D96B5" w:themeColor="accent4"/>
          <w:bottom w:val="single" w:sz="8" w:space="0" w:color="7D96B5" w:themeColor="accent4"/>
          <w:right w:val="single" w:sz="8" w:space="0" w:color="7D96B5" w:themeColor="accent4"/>
        </w:tcBorders>
      </w:tcPr>
    </w:tblStylePr>
  </w:style>
  <w:style w:type="table" w:styleId="LightList-Accent5">
    <w:name w:val="Light List Accent 5"/>
    <w:basedOn w:val="TableNormal"/>
    <w:uiPriority w:val="61"/>
    <w:semiHidden/>
    <w:unhideWhenUsed/>
    <w:locked/>
    <w:rsid w:val="00530B2E"/>
    <w:pPr>
      <w:spacing w:after="0" w:line="240" w:lineRule="auto"/>
    </w:pPr>
    <w:tblPr>
      <w:tblStyleRowBandSize w:val="1"/>
      <w:tblStyleColBandSize w:val="1"/>
      <w:tblBorders>
        <w:top w:val="single" w:sz="8" w:space="0" w:color="0D8577" w:themeColor="accent5"/>
        <w:left w:val="single" w:sz="8" w:space="0" w:color="0D8577" w:themeColor="accent5"/>
        <w:bottom w:val="single" w:sz="8" w:space="0" w:color="0D8577" w:themeColor="accent5"/>
        <w:right w:val="single" w:sz="8" w:space="0" w:color="0D8577" w:themeColor="accent5"/>
      </w:tblBorders>
    </w:tblPr>
    <w:tblStylePr w:type="firstRow">
      <w:pPr>
        <w:spacing w:before="0" w:after="0" w:line="240" w:lineRule="auto"/>
      </w:pPr>
      <w:rPr>
        <w:b/>
        <w:bCs/>
        <w:color w:val="FFFFFF" w:themeColor="background1"/>
      </w:rPr>
      <w:tblPr/>
      <w:tcPr>
        <w:shd w:val="clear" w:color="auto" w:fill="0D8577" w:themeFill="accent5"/>
      </w:tcPr>
    </w:tblStylePr>
    <w:tblStylePr w:type="lastRow">
      <w:pPr>
        <w:spacing w:before="0" w:after="0" w:line="240" w:lineRule="auto"/>
      </w:pPr>
      <w:rPr>
        <w:b/>
        <w:bCs/>
      </w:rPr>
      <w:tblPr/>
      <w:tcPr>
        <w:tcBorders>
          <w:top w:val="double" w:sz="6" w:space="0" w:color="0D8577" w:themeColor="accent5"/>
          <w:left w:val="single" w:sz="8" w:space="0" w:color="0D8577" w:themeColor="accent5"/>
          <w:bottom w:val="single" w:sz="8" w:space="0" w:color="0D8577" w:themeColor="accent5"/>
          <w:right w:val="single" w:sz="8" w:space="0" w:color="0D8577" w:themeColor="accent5"/>
        </w:tcBorders>
      </w:tcPr>
    </w:tblStylePr>
    <w:tblStylePr w:type="firstCol">
      <w:rPr>
        <w:b/>
        <w:bCs/>
      </w:rPr>
    </w:tblStylePr>
    <w:tblStylePr w:type="lastCol">
      <w:rPr>
        <w:b/>
        <w:bCs/>
      </w:rPr>
    </w:tblStylePr>
    <w:tblStylePr w:type="band1Vert">
      <w:tblPr/>
      <w:tcPr>
        <w:tcBorders>
          <w:top w:val="single" w:sz="8" w:space="0" w:color="0D8577" w:themeColor="accent5"/>
          <w:left w:val="single" w:sz="8" w:space="0" w:color="0D8577" w:themeColor="accent5"/>
          <w:bottom w:val="single" w:sz="8" w:space="0" w:color="0D8577" w:themeColor="accent5"/>
          <w:right w:val="single" w:sz="8" w:space="0" w:color="0D8577" w:themeColor="accent5"/>
        </w:tcBorders>
      </w:tcPr>
    </w:tblStylePr>
    <w:tblStylePr w:type="band1Horz">
      <w:tblPr/>
      <w:tcPr>
        <w:tcBorders>
          <w:top w:val="single" w:sz="8" w:space="0" w:color="0D8577" w:themeColor="accent5"/>
          <w:left w:val="single" w:sz="8" w:space="0" w:color="0D8577" w:themeColor="accent5"/>
          <w:bottom w:val="single" w:sz="8" w:space="0" w:color="0D8577" w:themeColor="accent5"/>
          <w:right w:val="single" w:sz="8" w:space="0" w:color="0D8577" w:themeColor="accent5"/>
        </w:tcBorders>
      </w:tcPr>
    </w:tblStylePr>
  </w:style>
  <w:style w:type="table" w:styleId="LightList-Accent6">
    <w:name w:val="Light List Accent 6"/>
    <w:basedOn w:val="TableNormal"/>
    <w:uiPriority w:val="61"/>
    <w:semiHidden/>
    <w:unhideWhenUsed/>
    <w:locked/>
    <w:rsid w:val="00530B2E"/>
    <w:pPr>
      <w:spacing w:after="0" w:line="240" w:lineRule="auto"/>
    </w:pPr>
    <w:tblPr>
      <w:tblStyleRowBandSize w:val="1"/>
      <w:tblStyleColBandSize w:val="1"/>
      <w:tblBorders>
        <w:top w:val="single" w:sz="8" w:space="0" w:color="46B8A9" w:themeColor="accent6"/>
        <w:left w:val="single" w:sz="8" w:space="0" w:color="46B8A9" w:themeColor="accent6"/>
        <w:bottom w:val="single" w:sz="8" w:space="0" w:color="46B8A9" w:themeColor="accent6"/>
        <w:right w:val="single" w:sz="8" w:space="0" w:color="46B8A9" w:themeColor="accent6"/>
      </w:tblBorders>
    </w:tblPr>
    <w:tblStylePr w:type="firstRow">
      <w:pPr>
        <w:spacing w:before="0" w:after="0" w:line="240" w:lineRule="auto"/>
      </w:pPr>
      <w:rPr>
        <w:b/>
        <w:bCs/>
        <w:color w:val="FFFFFF" w:themeColor="background1"/>
      </w:rPr>
      <w:tblPr/>
      <w:tcPr>
        <w:shd w:val="clear" w:color="auto" w:fill="46B8A9" w:themeFill="accent6"/>
      </w:tcPr>
    </w:tblStylePr>
    <w:tblStylePr w:type="lastRow">
      <w:pPr>
        <w:spacing w:before="0" w:after="0" w:line="240" w:lineRule="auto"/>
      </w:pPr>
      <w:rPr>
        <w:b/>
        <w:bCs/>
      </w:rPr>
      <w:tblPr/>
      <w:tcPr>
        <w:tcBorders>
          <w:top w:val="double" w:sz="6" w:space="0" w:color="46B8A9" w:themeColor="accent6"/>
          <w:left w:val="single" w:sz="8" w:space="0" w:color="46B8A9" w:themeColor="accent6"/>
          <w:bottom w:val="single" w:sz="8" w:space="0" w:color="46B8A9" w:themeColor="accent6"/>
          <w:right w:val="single" w:sz="8" w:space="0" w:color="46B8A9" w:themeColor="accent6"/>
        </w:tcBorders>
      </w:tcPr>
    </w:tblStylePr>
    <w:tblStylePr w:type="firstCol">
      <w:rPr>
        <w:b/>
        <w:bCs/>
      </w:rPr>
    </w:tblStylePr>
    <w:tblStylePr w:type="lastCol">
      <w:rPr>
        <w:b/>
        <w:bCs/>
      </w:rPr>
    </w:tblStylePr>
    <w:tblStylePr w:type="band1Vert">
      <w:tblPr/>
      <w:tcPr>
        <w:tcBorders>
          <w:top w:val="single" w:sz="8" w:space="0" w:color="46B8A9" w:themeColor="accent6"/>
          <w:left w:val="single" w:sz="8" w:space="0" w:color="46B8A9" w:themeColor="accent6"/>
          <w:bottom w:val="single" w:sz="8" w:space="0" w:color="46B8A9" w:themeColor="accent6"/>
          <w:right w:val="single" w:sz="8" w:space="0" w:color="46B8A9" w:themeColor="accent6"/>
        </w:tcBorders>
      </w:tcPr>
    </w:tblStylePr>
    <w:tblStylePr w:type="band1Horz">
      <w:tblPr/>
      <w:tcPr>
        <w:tcBorders>
          <w:top w:val="single" w:sz="8" w:space="0" w:color="46B8A9" w:themeColor="accent6"/>
          <w:left w:val="single" w:sz="8" w:space="0" w:color="46B8A9" w:themeColor="accent6"/>
          <w:bottom w:val="single" w:sz="8" w:space="0" w:color="46B8A9" w:themeColor="accent6"/>
          <w:right w:val="single" w:sz="8" w:space="0" w:color="46B8A9" w:themeColor="accent6"/>
        </w:tcBorders>
      </w:tcPr>
    </w:tblStylePr>
  </w:style>
  <w:style w:type="table" w:styleId="LightShading">
    <w:name w:val="Light Shading"/>
    <w:basedOn w:val="TableNormal"/>
    <w:uiPriority w:val="60"/>
    <w:semiHidden/>
    <w:unhideWhenUsed/>
    <w:locked/>
    <w:rsid w:val="00530B2E"/>
    <w:pPr>
      <w:spacing w:after="0" w:line="240" w:lineRule="auto"/>
    </w:pPr>
    <w:rPr>
      <w:color w:val="191919" w:themeColor="text1" w:themeShade="BF"/>
    </w:rPr>
    <w:tblPr>
      <w:tblStyleRowBandSize w:val="1"/>
      <w:tblStyleColBandSize w:val="1"/>
      <w:tblBorders>
        <w:top w:val="single" w:sz="8" w:space="0" w:color="222222" w:themeColor="text1"/>
        <w:bottom w:val="single" w:sz="8" w:space="0" w:color="222222" w:themeColor="text1"/>
      </w:tblBorders>
    </w:tblPr>
    <w:tblStylePr w:type="firstRow">
      <w:pPr>
        <w:spacing w:before="0" w:after="0" w:line="240" w:lineRule="auto"/>
      </w:pPr>
      <w:rPr>
        <w:b/>
        <w:bCs/>
      </w:rPr>
      <w:tblPr/>
      <w:tcPr>
        <w:tcBorders>
          <w:top w:val="single" w:sz="8" w:space="0" w:color="222222" w:themeColor="text1"/>
          <w:left w:val="nil"/>
          <w:bottom w:val="single" w:sz="8" w:space="0" w:color="222222" w:themeColor="text1"/>
          <w:right w:val="nil"/>
          <w:insideH w:val="nil"/>
          <w:insideV w:val="nil"/>
        </w:tcBorders>
      </w:tcPr>
    </w:tblStylePr>
    <w:tblStylePr w:type="lastRow">
      <w:pPr>
        <w:spacing w:before="0" w:after="0" w:line="240" w:lineRule="auto"/>
      </w:pPr>
      <w:rPr>
        <w:b/>
        <w:bCs/>
      </w:rPr>
      <w:tblPr/>
      <w:tcPr>
        <w:tcBorders>
          <w:top w:val="single" w:sz="8" w:space="0" w:color="222222" w:themeColor="text1"/>
          <w:left w:val="nil"/>
          <w:bottom w:val="single" w:sz="8" w:space="0" w:color="22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C8C8" w:themeFill="text1" w:themeFillTint="3F"/>
      </w:tcPr>
    </w:tblStylePr>
    <w:tblStylePr w:type="band1Horz">
      <w:tblPr/>
      <w:tcPr>
        <w:tcBorders>
          <w:left w:val="nil"/>
          <w:right w:val="nil"/>
          <w:insideH w:val="nil"/>
          <w:insideV w:val="nil"/>
        </w:tcBorders>
        <w:shd w:val="clear" w:color="auto" w:fill="C8C8C8" w:themeFill="text1" w:themeFillTint="3F"/>
      </w:tcPr>
    </w:tblStylePr>
  </w:style>
  <w:style w:type="table" w:styleId="LightShading-Accent1">
    <w:name w:val="Light Shading Accent 1"/>
    <w:basedOn w:val="TableNormal"/>
    <w:uiPriority w:val="60"/>
    <w:semiHidden/>
    <w:unhideWhenUsed/>
    <w:locked/>
    <w:rsid w:val="00530B2E"/>
    <w:pPr>
      <w:spacing w:after="0" w:line="240" w:lineRule="auto"/>
    </w:pPr>
    <w:rPr>
      <w:color w:val="984C00" w:themeColor="accent1" w:themeShade="BF"/>
    </w:rPr>
    <w:tblPr>
      <w:tblStyleRowBandSize w:val="1"/>
      <w:tblStyleColBandSize w:val="1"/>
      <w:tblBorders>
        <w:top w:val="single" w:sz="8" w:space="0" w:color="CC6600" w:themeColor="accent1"/>
        <w:bottom w:val="single" w:sz="8" w:space="0" w:color="CC6600" w:themeColor="accent1"/>
      </w:tblBorders>
    </w:tblPr>
    <w:tblStylePr w:type="firstRow">
      <w:pPr>
        <w:spacing w:before="0" w:after="0" w:line="240" w:lineRule="auto"/>
      </w:pPr>
      <w:rPr>
        <w:b/>
        <w:bCs/>
      </w:rPr>
      <w:tblPr/>
      <w:tcPr>
        <w:tcBorders>
          <w:top w:val="single" w:sz="8" w:space="0" w:color="CC6600" w:themeColor="accent1"/>
          <w:left w:val="nil"/>
          <w:bottom w:val="single" w:sz="8" w:space="0" w:color="CC6600" w:themeColor="accent1"/>
          <w:right w:val="nil"/>
          <w:insideH w:val="nil"/>
          <w:insideV w:val="nil"/>
        </w:tcBorders>
      </w:tcPr>
    </w:tblStylePr>
    <w:tblStylePr w:type="lastRow">
      <w:pPr>
        <w:spacing w:before="0" w:after="0" w:line="240" w:lineRule="auto"/>
      </w:pPr>
      <w:rPr>
        <w:b/>
        <w:bCs/>
      </w:rPr>
      <w:tblPr/>
      <w:tcPr>
        <w:tcBorders>
          <w:top w:val="single" w:sz="8" w:space="0" w:color="CC6600" w:themeColor="accent1"/>
          <w:left w:val="nil"/>
          <w:bottom w:val="single" w:sz="8" w:space="0" w:color="CC66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9B3" w:themeFill="accent1" w:themeFillTint="3F"/>
      </w:tcPr>
    </w:tblStylePr>
    <w:tblStylePr w:type="band1Horz">
      <w:tblPr/>
      <w:tcPr>
        <w:tcBorders>
          <w:left w:val="nil"/>
          <w:right w:val="nil"/>
          <w:insideH w:val="nil"/>
          <w:insideV w:val="nil"/>
        </w:tcBorders>
        <w:shd w:val="clear" w:color="auto" w:fill="FFD9B3" w:themeFill="accent1" w:themeFillTint="3F"/>
      </w:tcPr>
    </w:tblStylePr>
  </w:style>
  <w:style w:type="table" w:styleId="LightShading-Accent2">
    <w:name w:val="Light Shading Accent 2"/>
    <w:basedOn w:val="TableNormal"/>
    <w:uiPriority w:val="60"/>
    <w:semiHidden/>
    <w:unhideWhenUsed/>
    <w:locked/>
    <w:rsid w:val="00530B2E"/>
    <w:pPr>
      <w:spacing w:after="0" w:line="240" w:lineRule="auto"/>
    </w:pPr>
    <w:rPr>
      <w:color w:val="F5A35F" w:themeColor="accent2" w:themeShade="BF"/>
    </w:rPr>
    <w:tblPr>
      <w:tblStyleRowBandSize w:val="1"/>
      <w:tblStyleColBandSize w:val="1"/>
      <w:tblBorders>
        <w:top w:val="single" w:sz="8" w:space="0" w:color="FCE2CC" w:themeColor="accent2"/>
        <w:bottom w:val="single" w:sz="8" w:space="0" w:color="FCE2CC" w:themeColor="accent2"/>
      </w:tblBorders>
    </w:tblPr>
    <w:tblStylePr w:type="firstRow">
      <w:pPr>
        <w:spacing w:before="0" w:after="0" w:line="240" w:lineRule="auto"/>
      </w:pPr>
      <w:rPr>
        <w:b/>
        <w:bCs/>
      </w:rPr>
      <w:tblPr/>
      <w:tcPr>
        <w:tcBorders>
          <w:top w:val="single" w:sz="8" w:space="0" w:color="FCE2CC" w:themeColor="accent2"/>
          <w:left w:val="nil"/>
          <w:bottom w:val="single" w:sz="8" w:space="0" w:color="FCE2CC" w:themeColor="accent2"/>
          <w:right w:val="nil"/>
          <w:insideH w:val="nil"/>
          <w:insideV w:val="nil"/>
        </w:tcBorders>
      </w:tcPr>
    </w:tblStylePr>
    <w:tblStylePr w:type="lastRow">
      <w:pPr>
        <w:spacing w:before="0" w:after="0" w:line="240" w:lineRule="auto"/>
      </w:pPr>
      <w:rPr>
        <w:b/>
        <w:bCs/>
      </w:rPr>
      <w:tblPr/>
      <w:tcPr>
        <w:tcBorders>
          <w:top w:val="single" w:sz="8" w:space="0" w:color="FCE2CC" w:themeColor="accent2"/>
          <w:left w:val="nil"/>
          <w:bottom w:val="single" w:sz="8" w:space="0" w:color="FCE2C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7F2" w:themeFill="accent2" w:themeFillTint="3F"/>
      </w:tcPr>
    </w:tblStylePr>
    <w:tblStylePr w:type="band1Horz">
      <w:tblPr/>
      <w:tcPr>
        <w:tcBorders>
          <w:left w:val="nil"/>
          <w:right w:val="nil"/>
          <w:insideH w:val="nil"/>
          <w:insideV w:val="nil"/>
        </w:tcBorders>
        <w:shd w:val="clear" w:color="auto" w:fill="FEF7F2" w:themeFill="accent2" w:themeFillTint="3F"/>
      </w:tcPr>
    </w:tblStylePr>
  </w:style>
  <w:style w:type="table" w:styleId="LightShading-Accent3">
    <w:name w:val="Light Shading Accent 3"/>
    <w:basedOn w:val="TableNormal"/>
    <w:uiPriority w:val="60"/>
    <w:semiHidden/>
    <w:unhideWhenUsed/>
    <w:locked/>
    <w:rsid w:val="00530B2E"/>
    <w:pPr>
      <w:spacing w:after="0" w:line="240" w:lineRule="auto"/>
    </w:pPr>
    <w:rPr>
      <w:color w:val="092E4C" w:themeColor="accent3" w:themeShade="BF"/>
    </w:rPr>
    <w:tblPr>
      <w:tblStyleRowBandSize w:val="1"/>
      <w:tblStyleColBandSize w:val="1"/>
      <w:tblBorders>
        <w:top w:val="single" w:sz="8" w:space="0" w:color="0D3E67" w:themeColor="accent3"/>
        <w:bottom w:val="single" w:sz="8" w:space="0" w:color="0D3E67" w:themeColor="accent3"/>
      </w:tblBorders>
    </w:tblPr>
    <w:tblStylePr w:type="firstRow">
      <w:pPr>
        <w:spacing w:before="0" w:after="0" w:line="240" w:lineRule="auto"/>
      </w:pPr>
      <w:rPr>
        <w:b/>
        <w:bCs/>
      </w:rPr>
      <w:tblPr/>
      <w:tcPr>
        <w:tcBorders>
          <w:top w:val="single" w:sz="8" w:space="0" w:color="0D3E67" w:themeColor="accent3"/>
          <w:left w:val="nil"/>
          <w:bottom w:val="single" w:sz="8" w:space="0" w:color="0D3E67" w:themeColor="accent3"/>
          <w:right w:val="nil"/>
          <w:insideH w:val="nil"/>
          <w:insideV w:val="nil"/>
        </w:tcBorders>
      </w:tcPr>
    </w:tblStylePr>
    <w:tblStylePr w:type="lastRow">
      <w:pPr>
        <w:spacing w:before="0" w:after="0" w:line="240" w:lineRule="auto"/>
      </w:pPr>
      <w:rPr>
        <w:b/>
        <w:bCs/>
      </w:rPr>
      <w:tblPr/>
      <w:tcPr>
        <w:tcBorders>
          <w:top w:val="single" w:sz="8" w:space="0" w:color="0D3E67" w:themeColor="accent3"/>
          <w:left w:val="nil"/>
          <w:bottom w:val="single" w:sz="8" w:space="0" w:color="0D3E6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1F4" w:themeFill="accent3" w:themeFillTint="3F"/>
      </w:tcPr>
    </w:tblStylePr>
    <w:tblStylePr w:type="band1Horz">
      <w:tblPr/>
      <w:tcPr>
        <w:tcBorders>
          <w:left w:val="nil"/>
          <w:right w:val="nil"/>
          <w:insideH w:val="nil"/>
          <w:insideV w:val="nil"/>
        </w:tcBorders>
        <w:shd w:val="clear" w:color="auto" w:fill="A8D1F4" w:themeFill="accent3" w:themeFillTint="3F"/>
      </w:tcPr>
    </w:tblStylePr>
  </w:style>
  <w:style w:type="table" w:styleId="LightShading-Accent4">
    <w:name w:val="Light Shading Accent 4"/>
    <w:basedOn w:val="TableNormal"/>
    <w:uiPriority w:val="60"/>
    <w:semiHidden/>
    <w:unhideWhenUsed/>
    <w:locked/>
    <w:rsid w:val="00530B2E"/>
    <w:pPr>
      <w:spacing w:after="0" w:line="240" w:lineRule="auto"/>
    </w:pPr>
    <w:rPr>
      <w:color w:val="536E91" w:themeColor="accent4" w:themeShade="BF"/>
    </w:rPr>
    <w:tblPr>
      <w:tblStyleRowBandSize w:val="1"/>
      <w:tblStyleColBandSize w:val="1"/>
      <w:tblBorders>
        <w:top w:val="single" w:sz="8" w:space="0" w:color="7D96B5" w:themeColor="accent4"/>
        <w:bottom w:val="single" w:sz="8" w:space="0" w:color="7D96B5" w:themeColor="accent4"/>
      </w:tblBorders>
    </w:tblPr>
    <w:tblStylePr w:type="firstRow">
      <w:pPr>
        <w:spacing w:before="0" w:after="0" w:line="240" w:lineRule="auto"/>
      </w:pPr>
      <w:rPr>
        <w:b/>
        <w:bCs/>
      </w:rPr>
      <w:tblPr/>
      <w:tcPr>
        <w:tcBorders>
          <w:top w:val="single" w:sz="8" w:space="0" w:color="7D96B5" w:themeColor="accent4"/>
          <w:left w:val="nil"/>
          <w:bottom w:val="single" w:sz="8" w:space="0" w:color="7D96B5" w:themeColor="accent4"/>
          <w:right w:val="nil"/>
          <w:insideH w:val="nil"/>
          <w:insideV w:val="nil"/>
        </w:tcBorders>
      </w:tcPr>
    </w:tblStylePr>
    <w:tblStylePr w:type="lastRow">
      <w:pPr>
        <w:spacing w:before="0" w:after="0" w:line="240" w:lineRule="auto"/>
      </w:pPr>
      <w:rPr>
        <w:b/>
        <w:bCs/>
      </w:rPr>
      <w:tblPr/>
      <w:tcPr>
        <w:tcBorders>
          <w:top w:val="single" w:sz="8" w:space="0" w:color="7D96B5" w:themeColor="accent4"/>
          <w:left w:val="nil"/>
          <w:bottom w:val="single" w:sz="8" w:space="0" w:color="7D96B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4EC" w:themeFill="accent4" w:themeFillTint="3F"/>
      </w:tcPr>
    </w:tblStylePr>
    <w:tblStylePr w:type="band1Horz">
      <w:tblPr/>
      <w:tcPr>
        <w:tcBorders>
          <w:left w:val="nil"/>
          <w:right w:val="nil"/>
          <w:insideH w:val="nil"/>
          <w:insideV w:val="nil"/>
        </w:tcBorders>
        <w:shd w:val="clear" w:color="auto" w:fill="DEE4EC" w:themeFill="accent4" w:themeFillTint="3F"/>
      </w:tcPr>
    </w:tblStylePr>
  </w:style>
  <w:style w:type="table" w:styleId="LightShading-Accent5">
    <w:name w:val="Light Shading Accent 5"/>
    <w:basedOn w:val="TableNormal"/>
    <w:uiPriority w:val="60"/>
    <w:semiHidden/>
    <w:unhideWhenUsed/>
    <w:locked/>
    <w:rsid w:val="00530B2E"/>
    <w:pPr>
      <w:spacing w:after="0" w:line="240" w:lineRule="auto"/>
    </w:pPr>
    <w:rPr>
      <w:color w:val="096358" w:themeColor="accent5" w:themeShade="BF"/>
    </w:rPr>
    <w:tblPr>
      <w:tblStyleRowBandSize w:val="1"/>
      <w:tblStyleColBandSize w:val="1"/>
      <w:tblBorders>
        <w:top w:val="single" w:sz="8" w:space="0" w:color="0D8577" w:themeColor="accent5"/>
        <w:bottom w:val="single" w:sz="8" w:space="0" w:color="0D8577" w:themeColor="accent5"/>
      </w:tblBorders>
    </w:tblPr>
    <w:tblStylePr w:type="firstRow">
      <w:pPr>
        <w:spacing w:before="0" w:after="0" w:line="240" w:lineRule="auto"/>
      </w:pPr>
      <w:rPr>
        <w:b/>
        <w:bCs/>
      </w:rPr>
      <w:tblPr/>
      <w:tcPr>
        <w:tcBorders>
          <w:top w:val="single" w:sz="8" w:space="0" w:color="0D8577" w:themeColor="accent5"/>
          <w:left w:val="nil"/>
          <w:bottom w:val="single" w:sz="8" w:space="0" w:color="0D8577" w:themeColor="accent5"/>
          <w:right w:val="nil"/>
          <w:insideH w:val="nil"/>
          <w:insideV w:val="nil"/>
        </w:tcBorders>
      </w:tcPr>
    </w:tblStylePr>
    <w:tblStylePr w:type="lastRow">
      <w:pPr>
        <w:spacing w:before="0" w:after="0" w:line="240" w:lineRule="auto"/>
      </w:pPr>
      <w:rPr>
        <w:b/>
        <w:bCs/>
      </w:rPr>
      <w:tblPr/>
      <w:tcPr>
        <w:tcBorders>
          <w:top w:val="single" w:sz="8" w:space="0" w:color="0D8577" w:themeColor="accent5"/>
          <w:left w:val="nil"/>
          <w:bottom w:val="single" w:sz="8" w:space="0" w:color="0D857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F7EE" w:themeFill="accent5" w:themeFillTint="3F"/>
      </w:tcPr>
    </w:tblStylePr>
    <w:tblStylePr w:type="band1Horz">
      <w:tblPr/>
      <w:tcPr>
        <w:tcBorders>
          <w:left w:val="nil"/>
          <w:right w:val="nil"/>
          <w:insideH w:val="nil"/>
          <w:insideV w:val="nil"/>
        </w:tcBorders>
        <w:shd w:val="clear" w:color="auto" w:fill="ADF7EE" w:themeFill="accent5" w:themeFillTint="3F"/>
      </w:tcPr>
    </w:tblStylePr>
  </w:style>
  <w:style w:type="table" w:styleId="LightShading-Accent6">
    <w:name w:val="Light Shading Accent 6"/>
    <w:basedOn w:val="TableNormal"/>
    <w:uiPriority w:val="60"/>
    <w:semiHidden/>
    <w:unhideWhenUsed/>
    <w:locked/>
    <w:rsid w:val="00530B2E"/>
    <w:pPr>
      <w:spacing w:after="0" w:line="240" w:lineRule="auto"/>
    </w:pPr>
    <w:rPr>
      <w:color w:val="34897E" w:themeColor="accent6" w:themeShade="BF"/>
    </w:rPr>
    <w:tblPr>
      <w:tblStyleRowBandSize w:val="1"/>
      <w:tblStyleColBandSize w:val="1"/>
      <w:tblBorders>
        <w:top w:val="single" w:sz="8" w:space="0" w:color="46B8A9" w:themeColor="accent6"/>
        <w:bottom w:val="single" w:sz="8" w:space="0" w:color="46B8A9" w:themeColor="accent6"/>
      </w:tblBorders>
    </w:tblPr>
    <w:tblStylePr w:type="firstRow">
      <w:pPr>
        <w:spacing w:before="0" w:after="0" w:line="240" w:lineRule="auto"/>
      </w:pPr>
      <w:rPr>
        <w:b/>
        <w:bCs/>
      </w:rPr>
      <w:tblPr/>
      <w:tcPr>
        <w:tcBorders>
          <w:top w:val="single" w:sz="8" w:space="0" w:color="46B8A9" w:themeColor="accent6"/>
          <w:left w:val="nil"/>
          <w:bottom w:val="single" w:sz="8" w:space="0" w:color="46B8A9" w:themeColor="accent6"/>
          <w:right w:val="nil"/>
          <w:insideH w:val="nil"/>
          <w:insideV w:val="nil"/>
        </w:tcBorders>
      </w:tcPr>
    </w:tblStylePr>
    <w:tblStylePr w:type="lastRow">
      <w:pPr>
        <w:spacing w:before="0" w:after="0" w:line="240" w:lineRule="auto"/>
      </w:pPr>
      <w:rPr>
        <w:b/>
        <w:bCs/>
      </w:rPr>
      <w:tblPr/>
      <w:tcPr>
        <w:tcBorders>
          <w:top w:val="single" w:sz="8" w:space="0" w:color="46B8A9" w:themeColor="accent6"/>
          <w:left w:val="nil"/>
          <w:bottom w:val="single" w:sz="8" w:space="0" w:color="46B8A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DE9" w:themeFill="accent6" w:themeFillTint="3F"/>
      </w:tcPr>
    </w:tblStylePr>
    <w:tblStylePr w:type="band1Horz">
      <w:tblPr/>
      <w:tcPr>
        <w:tcBorders>
          <w:left w:val="nil"/>
          <w:right w:val="nil"/>
          <w:insideH w:val="nil"/>
          <w:insideV w:val="nil"/>
        </w:tcBorders>
        <w:shd w:val="clear" w:color="auto" w:fill="D1EDE9" w:themeFill="accent6" w:themeFillTint="3F"/>
      </w:tcPr>
    </w:tblStylePr>
  </w:style>
  <w:style w:type="table" w:customStyle="1" w:styleId="ListTable1Light1">
    <w:name w:val="List Table 1 Light1"/>
    <w:basedOn w:val="TableNormal"/>
    <w:uiPriority w:val="46"/>
    <w:locked/>
    <w:rsid w:val="00530B2E"/>
    <w:pPr>
      <w:spacing w:after="0" w:line="240" w:lineRule="auto"/>
    </w:pPr>
    <w:tblPr>
      <w:tblStyleRowBandSize w:val="1"/>
      <w:tblStyleColBandSize w:val="1"/>
    </w:tblPr>
    <w:tblStylePr w:type="firstRow">
      <w:rPr>
        <w:b/>
        <w:bCs/>
      </w:rPr>
      <w:tblPr/>
      <w:tcPr>
        <w:tcBorders>
          <w:bottom w:val="single" w:sz="4" w:space="0" w:color="7A7A7A" w:themeColor="text1" w:themeTint="99"/>
        </w:tcBorders>
      </w:tcPr>
    </w:tblStylePr>
    <w:tblStylePr w:type="lastRow">
      <w:rPr>
        <w:b/>
        <w:bCs/>
      </w:rPr>
      <w:tblPr/>
      <w:tcPr>
        <w:tcBorders>
          <w:top w:val="single" w:sz="4" w:space="0" w:color="7A7A7A" w:themeColor="text1" w:themeTint="99"/>
        </w:tcBorders>
      </w:tcPr>
    </w:tblStylePr>
    <w:tblStylePr w:type="firstCol">
      <w:rPr>
        <w:b/>
        <w:bCs/>
      </w:rPr>
    </w:tblStylePr>
    <w:tblStylePr w:type="lastCol">
      <w:rPr>
        <w:b/>
        <w:bCs/>
      </w:rPr>
    </w:tblStylePr>
    <w:tblStylePr w:type="band1Vert">
      <w:tblPr/>
      <w:tcPr>
        <w:shd w:val="clear" w:color="auto" w:fill="D2D2D2" w:themeFill="text1" w:themeFillTint="33"/>
      </w:tcPr>
    </w:tblStylePr>
    <w:tblStylePr w:type="band1Horz">
      <w:tblPr/>
      <w:tcPr>
        <w:shd w:val="clear" w:color="auto" w:fill="D2D2D2" w:themeFill="text1" w:themeFillTint="33"/>
      </w:tcPr>
    </w:tblStylePr>
  </w:style>
  <w:style w:type="table" w:customStyle="1" w:styleId="ListTable1Light-Accent11">
    <w:name w:val="List Table 1 Light - Accent 11"/>
    <w:basedOn w:val="TableNormal"/>
    <w:uiPriority w:val="46"/>
    <w:locked/>
    <w:rsid w:val="00530B2E"/>
    <w:pPr>
      <w:spacing w:after="0" w:line="240" w:lineRule="auto"/>
    </w:pPr>
    <w:tblPr>
      <w:tblStyleRowBandSize w:val="1"/>
      <w:tblStyleColBandSize w:val="1"/>
    </w:tblPr>
    <w:tblStylePr w:type="firstRow">
      <w:rPr>
        <w:b/>
        <w:bCs/>
      </w:rPr>
      <w:tblPr/>
      <w:tcPr>
        <w:tcBorders>
          <w:bottom w:val="single" w:sz="4" w:space="0" w:color="FFA247" w:themeColor="accent1" w:themeTint="99"/>
        </w:tcBorders>
      </w:tcPr>
    </w:tblStylePr>
    <w:tblStylePr w:type="lastRow">
      <w:rPr>
        <w:b/>
        <w:bCs/>
      </w:rPr>
      <w:tblPr/>
      <w:tcPr>
        <w:tcBorders>
          <w:top w:val="single" w:sz="4" w:space="0" w:color="FFA247" w:themeColor="accent1" w:themeTint="99"/>
        </w:tcBorders>
      </w:tcPr>
    </w:tblStylePr>
    <w:tblStylePr w:type="firstCol">
      <w:rPr>
        <w:b/>
        <w:bCs/>
      </w:rPr>
    </w:tblStylePr>
    <w:tblStylePr w:type="lastCol">
      <w:rPr>
        <w:b/>
        <w:bCs/>
      </w:rPr>
    </w:tblStylePr>
    <w:tblStylePr w:type="band1Vert">
      <w:tblPr/>
      <w:tcPr>
        <w:shd w:val="clear" w:color="auto" w:fill="FFE0C1" w:themeFill="accent1" w:themeFillTint="33"/>
      </w:tcPr>
    </w:tblStylePr>
    <w:tblStylePr w:type="band1Horz">
      <w:tblPr/>
      <w:tcPr>
        <w:shd w:val="clear" w:color="auto" w:fill="FFE0C1" w:themeFill="accent1" w:themeFillTint="33"/>
      </w:tcPr>
    </w:tblStylePr>
  </w:style>
  <w:style w:type="table" w:customStyle="1" w:styleId="ListTable1Light-Accent21">
    <w:name w:val="List Table 1 Light - Accent 21"/>
    <w:basedOn w:val="TableNormal"/>
    <w:uiPriority w:val="46"/>
    <w:locked/>
    <w:rsid w:val="00530B2E"/>
    <w:pPr>
      <w:spacing w:after="0" w:line="240" w:lineRule="auto"/>
    </w:pPr>
    <w:tblPr>
      <w:tblStyleRowBandSize w:val="1"/>
      <w:tblStyleColBandSize w:val="1"/>
    </w:tblPr>
    <w:tblStylePr w:type="firstRow">
      <w:rPr>
        <w:b/>
        <w:bCs/>
      </w:rPr>
      <w:tblPr/>
      <w:tcPr>
        <w:tcBorders>
          <w:bottom w:val="single" w:sz="4" w:space="0" w:color="FDEDE0" w:themeColor="accent2" w:themeTint="99"/>
        </w:tcBorders>
      </w:tcPr>
    </w:tblStylePr>
    <w:tblStylePr w:type="lastRow">
      <w:rPr>
        <w:b/>
        <w:bCs/>
      </w:rPr>
      <w:tblPr/>
      <w:tcPr>
        <w:tcBorders>
          <w:top w:val="single" w:sz="4" w:space="0" w:color="FDEDE0" w:themeColor="accent2" w:themeTint="99"/>
        </w:tcBorders>
      </w:tcPr>
    </w:tblStylePr>
    <w:tblStylePr w:type="firstCol">
      <w:rPr>
        <w:b/>
        <w:bCs/>
      </w:rPr>
    </w:tblStylePr>
    <w:tblStylePr w:type="lastCol">
      <w:rPr>
        <w:b/>
        <w:bCs/>
      </w:rPr>
    </w:tblStylePr>
    <w:tblStylePr w:type="band1Vert">
      <w:tblPr/>
      <w:tcPr>
        <w:shd w:val="clear" w:color="auto" w:fill="FEF9F4" w:themeFill="accent2" w:themeFillTint="33"/>
      </w:tcPr>
    </w:tblStylePr>
    <w:tblStylePr w:type="band1Horz">
      <w:tblPr/>
      <w:tcPr>
        <w:shd w:val="clear" w:color="auto" w:fill="FEF9F4" w:themeFill="accent2" w:themeFillTint="33"/>
      </w:tcPr>
    </w:tblStylePr>
  </w:style>
  <w:style w:type="table" w:customStyle="1" w:styleId="ListTable1Light-Accent31">
    <w:name w:val="List Table 1 Light - Accent 31"/>
    <w:basedOn w:val="TableNormal"/>
    <w:uiPriority w:val="46"/>
    <w:locked/>
    <w:rsid w:val="00530B2E"/>
    <w:pPr>
      <w:spacing w:after="0" w:line="240" w:lineRule="auto"/>
    </w:pPr>
    <w:tblPr>
      <w:tblStyleRowBandSize w:val="1"/>
      <w:tblStyleColBandSize w:val="1"/>
    </w:tblPr>
    <w:tblStylePr w:type="firstRow">
      <w:rPr>
        <w:b/>
        <w:bCs/>
      </w:rPr>
      <w:tblPr/>
      <w:tcPr>
        <w:tcBorders>
          <w:bottom w:val="single" w:sz="4" w:space="0" w:color="2C90E4" w:themeColor="accent3" w:themeTint="99"/>
        </w:tcBorders>
      </w:tcPr>
    </w:tblStylePr>
    <w:tblStylePr w:type="lastRow">
      <w:rPr>
        <w:b/>
        <w:bCs/>
      </w:rPr>
      <w:tblPr/>
      <w:tcPr>
        <w:tcBorders>
          <w:top w:val="single" w:sz="4" w:space="0" w:color="2C90E4" w:themeColor="accent3" w:themeTint="99"/>
        </w:tcBorders>
      </w:tcPr>
    </w:tblStylePr>
    <w:tblStylePr w:type="firstCol">
      <w:rPr>
        <w:b/>
        <w:bCs/>
      </w:rPr>
    </w:tblStylePr>
    <w:tblStylePr w:type="lastCol">
      <w:rPr>
        <w:b/>
        <w:bCs/>
      </w:rPr>
    </w:tblStylePr>
    <w:tblStylePr w:type="band1Vert">
      <w:tblPr/>
      <w:tcPr>
        <w:shd w:val="clear" w:color="auto" w:fill="B8DAF6" w:themeFill="accent3" w:themeFillTint="33"/>
      </w:tcPr>
    </w:tblStylePr>
    <w:tblStylePr w:type="band1Horz">
      <w:tblPr/>
      <w:tcPr>
        <w:shd w:val="clear" w:color="auto" w:fill="B8DAF6" w:themeFill="accent3" w:themeFillTint="33"/>
      </w:tcPr>
    </w:tblStylePr>
  </w:style>
  <w:style w:type="table" w:customStyle="1" w:styleId="ListTable1Light-Accent41">
    <w:name w:val="List Table 1 Light - Accent 41"/>
    <w:basedOn w:val="TableNormal"/>
    <w:uiPriority w:val="46"/>
    <w:locked/>
    <w:rsid w:val="00530B2E"/>
    <w:pPr>
      <w:spacing w:after="0" w:line="240" w:lineRule="auto"/>
    </w:pPr>
    <w:tblPr>
      <w:tblStyleRowBandSize w:val="1"/>
      <w:tblStyleColBandSize w:val="1"/>
    </w:tblPr>
    <w:tblStylePr w:type="firstRow">
      <w:rPr>
        <w:b/>
        <w:bCs/>
      </w:rPr>
      <w:tblPr/>
      <w:tcPr>
        <w:tcBorders>
          <w:bottom w:val="single" w:sz="4" w:space="0" w:color="B0BFD2" w:themeColor="accent4" w:themeTint="99"/>
        </w:tcBorders>
      </w:tcPr>
    </w:tblStylePr>
    <w:tblStylePr w:type="lastRow">
      <w:rPr>
        <w:b/>
        <w:bCs/>
      </w:rPr>
      <w:tblPr/>
      <w:tcPr>
        <w:tcBorders>
          <w:top w:val="single" w:sz="4" w:space="0" w:color="B0BFD2" w:themeColor="accent4" w:themeTint="99"/>
        </w:tcBorders>
      </w:tcPr>
    </w:tblStylePr>
    <w:tblStylePr w:type="firstCol">
      <w:rPr>
        <w:b/>
        <w:bCs/>
      </w:rPr>
    </w:tblStylePr>
    <w:tblStylePr w:type="lastCol">
      <w:rPr>
        <w:b/>
        <w:bCs/>
      </w:rPr>
    </w:tblStylePr>
    <w:tblStylePr w:type="band1Vert">
      <w:tblPr/>
      <w:tcPr>
        <w:shd w:val="clear" w:color="auto" w:fill="E4E9F0" w:themeFill="accent4" w:themeFillTint="33"/>
      </w:tcPr>
    </w:tblStylePr>
    <w:tblStylePr w:type="band1Horz">
      <w:tblPr/>
      <w:tcPr>
        <w:shd w:val="clear" w:color="auto" w:fill="E4E9F0" w:themeFill="accent4" w:themeFillTint="33"/>
      </w:tcPr>
    </w:tblStylePr>
  </w:style>
  <w:style w:type="table" w:customStyle="1" w:styleId="ListTable1Light-Accent51">
    <w:name w:val="List Table 1 Light - Accent 51"/>
    <w:basedOn w:val="TableNormal"/>
    <w:uiPriority w:val="46"/>
    <w:locked/>
    <w:rsid w:val="00530B2E"/>
    <w:pPr>
      <w:spacing w:after="0" w:line="240" w:lineRule="auto"/>
    </w:pPr>
    <w:tblPr>
      <w:tblStyleRowBandSize w:val="1"/>
      <w:tblStyleColBandSize w:val="1"/>
    </w:tblPr>
    <w:tblStylePr w:type="firstRow">
      <w:rPr>
        <w:b/>
        <w:bCs/>
      </w:rPr>
      <w:tblPr/>
      <w:tcPr>
        <w:tcBorders>
          <w:bottom w:val="single" w:sz="4" w:space="0" w:color="37EBD6" w:themeColor="accent5" w:themeTint="99"/>
        </w:tcBorders>
      </w:tcPr>
    </w:tblStylePr>
    <w:tblStylePr w:type="lastRow">
      <w:rPr>
        <w:b/>
        <w:bCs/>
      </w:rPr>
      <w:tblPr/>
      <w:tcPr>
        <w:tcBorders>
          <w:top w:val="single" w:sz="4" w:space="0" w:color="37EBD6" w:themeColor="accent5" w:themeTint="99"/>
        </w:tcBorders>
      </w:tcPr>
    </w:tblStylePr>
    <w:tblStylePr w:type="firstCol">
      <w:rPr>
        <w:b/>
        <w:bCs/>
      </w:rPr>
    </w:tblStylePr>
    <w:tblStylePr w:type="lastCol">
      <w:rPr>
        <w:b/>
        <w:bCs/>
      </w:rPr>
    </w:tblStylePr>
    <w:tblStylePr w:type="band1Vert">
      <w:tblPr/>
      <w:tcPr>
        <w:shd w:val="clear" w:color="auto" w:fill="BCF8F1" w:themeFill="accent5" w:themeFillTint="33"/>
      </w:tcPr>
    </w:tblStylePr>
    <w:tblStylePr w:type="band1Horz">
      <w:tblPr/>
      <w:tcPr>
        <w:shd w:val="clear" w:color="auto" w:fill="BCF8F1" w:themeFill="accent5" w:themeFillTint="33"/>
      </w:tcPr>
    </w:tblStylePr>
  </w:style>
  <w:style w:type="table" w:customStyle="1" w:styleId="ListTable1Light-Accent61">
    <w:name w:val="List Table 1 Light - Accent 61"/>
    <w:basedOn w:val="TableNormal"/>
    <w:uiPriority w:val="46"/>
    <w:locked/>
    <w:rsid w:val="00530B2E"/>
    <w:pPr>
      <w:spacing w:after="0" w:line="240" w:lineRule="auto"/>
    </w:pPr>
    <w:tblPr>
      <w:tblStyleRowBandSize w:val="1"/>
      <w:tblStyleColBandSize w:val="1"/>
    </w:tblPr>
    <w:tblStylePr w:type="firstRow">
      <w:rPr>
        <w:b/>
        <w:bCs/>
      </w:rPr>
      <w:tblPr/>
      <w:tcPr>
        <w:tcBorders>
          <w:bottom w:val="single" w:sz="4" w:space="0" w:color="8FD4CB" w:themeColor="accent6" w:themeTint="99"/>
        </w:tcBorders>
      </w:tcPr>
    </w:tblStylePr>
    <w:tblStylePr w:type="lastRow">
      <w:rPr>
        <w:b/>
        <w:bCs/>
      </w:rPr>
      <w:tblPr/>
      <w:tcPr>
        <w:tcBorders>
          <w:top w:val="single" w:sz="4" w:space="0" w:color="8FD4CB" w:themeColor="accent6" w:themeTint="99"/>
        </w:tcBorders>
      </w:tcPr>
    </w:tblStylePr>
    <w:tblStylePr w:type="firstCol">
      <w:rPr>
        <w:b/>
        <w:bCs/>
      </w:rPr>
    </w:tblStylePr>
    <w:tblStylePr w:type="lastCol">
      <w:rPr>
        <w:b/>
        <w:bCs/>
      </w:rPr>
    </w:tblStylePr>
    <w:tblStylePr w:type="band1Vert">
      <w:tblPr/>
      <w:tcPr>
        <w:shd w:val="clear" w:color="auto" w:fill="D9F1ED" w:themeFill="accent6" w:themeFillTint="33"/>
      </w:tcPr>
    </w:tblStylePr>
    <w:tblStylePr w:type="band1Horz">
      <w:tblPr/>
      <w:tcPr>
        <w:shd w:val="clear" w:color="auto" w:fill="D9F1ED" w:themeFill="accent6" w:themeFillTint="33"/>
      </w:tcPr>
    </w:tblStylePr>
  </w:style>
  <w:style w:type="table" w:customStyle="1" w:styleId="ListTable21">
    <w:name w:val="List Table 21"/>
    <w:basedOn w:val="TableNormal"/>
    <w:uiPriority w:val="47"/>
    <w:locked/>
    <w:rsid w:val="00530B2E"/>
    <w:pPr>
      <w:spacing w:after="0" w:line="240" w:lineRule="auto"/>
    </w:pPr>
    <w:tblPr>
      <w:tblStyleRowBandSize w:val="1"/>
      <w:tblStyleColBandSize w:val="1"/>
      <w:tblBorders>
        <w:top w:val="single" w:sz="4" w:space="0" w:color="7A7A7A" w:themeColor="text1" w:themeTint="99"/>
        <w:bottom w:val="single" w:sz="4" w:space="0" w:color="7A7A7A" w:themeColor="text1" w:themeTint="99"/>
        <w:insideH w:val="single" w:sz="4" w:space="0" w:color="7A7A7A"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D2D2" w:themeFill="text1" w:themeFillTint="33"/>
      </w:tcPr>
    </w:tblStylePr>
    <w:tblStylePr w:type="band1Horz">
      <w:tblPr/>
      <w:tcPr>
        <w:shd w:val="clear" w:color="auto" w:fill="D2D2D2" w:themeFill="text1" w:themeFillTint="33"/>
      </w:tcPr>
    </w:tblStylePr>
  </w:style>
  <w:style w:type="table" w:customStyle="1" w:styleId="ListTable2-Accent11">
    <w:name w:val="List Table 2 - Accent 11"/>
    <w:basedOn w:val="TableNormal"/>
    <w:uiPriority w:val="47"/>
    <w:locked/>
    <w:rsid w:val="00530B2E"/>
    <w:pPr>
      <w:spacing w:after="0" w:line="240" w:lineRule="auto"/>
    </w:pPr>
    <w:tblPr>
      <w:tblStyleRowBandSize w:val="1"/>
      <w:tblStyleColBandSize w:val="1"/>
      <w:tblBorders>
        <w:top w:val="single" w:sz="4" w:space="0" w:color="FFA247" w:themeColor="accent1" w:themeTint="99"/>
        <w:bottom w:val="single" w:sz="4" w:space="0" w:color="FFA247" w:themeColor="accent1" w:themeTint="99"/>
        <w:insideH w:val="single" w:sz="4" w:space="0" w:color="FFA24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0C1" w:themeFill="accent1" w:themeFillTint="33"/>
      </w:tcPr>
    </w:tblStylePr>
    <w:tblStylePr w:type="band1Horz">
      <w:tblPr/>
      <w:tcPr>
        <w:shd w:val="clear" w:color="auto" w:fill="FFE0C1" w:themeFill="accent1" w:themeFillTint="33"/>
      </w:tcPr>
    </w:tblStylePr>
  </w:style>
  <w:style w:type="table" w:customStyle="1" w:styleId="ListTable2-Accent21">
    <w:name w:val="List Table 2 - Accent 21"/>
    <w:basedOn w:val="TableNormal"/>
    <w:uiPriority w:val="47"/>
    <w:locked/>
    <w:rsid w:val="00530B2E"/>
    <w:pPr>
      <w:spacing w:after="0" w:line="240" w:lineRule="auto"/>
    </w:pPr>
    <w:tblPr>
      <w:tblStyleRowBandSize w:val="1"/>
      <w:tblStyleColBandSize w:val="1"/>
      <w:tblBorders>
        <w:top w:val="single" w:sz="4" w:space="0" w:color="FDEDE0" w:themeColor="accent2" w:themeTint="99"/>
        <w:bottom w:val="single" w:sz="4" w:space="0" w:color="FDEDE0" w:themeColor="accent2" w:themeTint="99"/>
        <w:insideH w:val="single" w:sz="4" w:space="0" w:color="FDEDE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9F4" w:themeFill="accent2" w:themeFillTint="33"/>
      </w:tcPr>
    </w:tblStylePr>
    <w:tblStylePr w:type="band1Horz">
      <w:tblPr/>
      <w:tcPr>
        <w:shd w:val="clear" w:color="auto" w:fill="FEF9F4" w:themeFill="accent2" w:themeFillTint="33"/>
      </w:tcPr>
    </w:tblStylePr>
  </w:style>
  <w:style w:type="table" w:customStyle="1" w:styleId="ListTable2-Accent31">
    <w:name w:val="List Table 2 - Accent 31"/>
    <w:basedOn w:val="TableNormal"/>
    <w:uiPriority w:val="47"/>
    <w:locked/>
    <w:rsid w:val="00530B2E"/>
    <w:pPr>
      <w:spacing w:after="0" w:line="240" w:lineRule="auto"/>
    </w:pPr>
    <w:tblPr>
      <w:tblStyleRowBandSize w:val="1"/>
      <w:tblStyleColBandSize w:val="1"/>
      <w:tblBorders>
        <w:top w:val="single" w:sz="4" w:space="0" w:color="2C90E4" w:themeColor="accent3" w:themeTint="99"/>
        <w:bottom w:val="single" w:sz="4" w:space="0" w:color="2C90E4" w:themeColor="accent3" w:themeTint="99"/>
        <w:insideH w:val="single" w:sz="4" w:space="0" w:color="2C90E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DAF6" w:themeFill="accent3" w:themeFillTint="33"/>
      </w:tcPr>
    </w:tblStylePr>
    <w:tblStylePr w:type="band1Horz">
      <w:tblPr/>
      <w:tcPr>
        <w:shd w:val="clear" w:color="auto" w:fill="B8DAF6" w:themeFill="accent3" w:themeFillTint="33"/>
      </w:tcPr>
    </w:tblStylePr>
  </w:style>
  <w:style w:type="table" w:customStyle="1" w:styleId="ListTable2-Accent41">
    <w:name w:val="List Table 2 - Accent 41"/>
    <w:basedOn w:val="TableNormal"/>
    <w:uiPriority w:val="47"/>
    <w:locked/>
    <w:rsid w:val="00530B2E"/>
    <w:pPr>
      <w:spacing w:after="0" w:line="240" w:lineRule="auto"/>
    </w:pPr>
    <w:tblPr>
      <w:tblStyleRowBandSize w:val="1"/>
      <w:tblStyleColBandSize w:val="1"/>
      <w:tblBorders>
        <w:top w:val="single" w:sz="4" w:space="0" w:color="B0BFD2" w:themeColor="accent4" w:themeTint="99"/>
        <w:bottom w:val="single" w:sz="4" w:space="0" w:color="B0BFD2" w:themeColor="accent4" w:themeTint="99"/>
        <w:insideH w:val="single" w:sz="4" w:space="0" w:color="B0BFD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9F0" w:themeFill="accent4" w:themeFillTint="33"/>
      </w:tcPr>
    </w:tblStylePr>
    <w:tblStylePr w:type="band1Horz">
      <w:tblPr/>
      <w:tcPr>
        <w:shd w:val="clear" w:color="auto" w:fill="E4E9F0" w:themeFill="accent4" w:themeFillTint="33"/>
      </w:tcPr>
    </w:tblStylePr>
  </w:style>
  <w:style w:type="table" w:customStyle="1" w:styleId="ListTable2-Accent51">
    <w:name w:val="List Table 2 - Accent 51"/>
    <w:basedOn w:val="TableNormal"/>
    <w:uiPriority w:val="47"/>
    <w:locked/>
    <w:rsid w:val="00530B2E"/>
    <w:pPr>
      <w:spacing w:after="0" w:line="240" w:lineRule="auto"/>
    </w:pPr>
    <w:tblPr>
      <w:tblStyleRowBandSize w:val="1"/>
      <w:tblStyleColBandSize w:val="1"/>
      <w:tblBorders>
        <w:top w:val="single" w:sz="4" w:space="0" w:color="37EBD6" w:themeColor="accent5" w:themeTint="99"/>
        <w:bottom w:val="single" w:sz="4" w:space="0" w:color="37EBD6" w:themeColor="accent5" w:themeTint="99"/>
        <w:insideH w:val="single" w:sz="4" w:space="0" w:color="37EB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8F1" w:themeFill="accent5" w:themeFillTint="33"/>
      </w:tcPr>
    </w:tblStylePr>
    <w:tblStylePr w:type="band1Horz">
      <w:tblPr/>
      <w:tcPr>
        <w:shd w:val="clear" w:color="auto" w:fill="BCF8F1" w:themeFill="accent5" w:themeFillTint="33"/>
      </w:tcPr>
    </w:tblStylePr>
  </w:style>
  <w:style w:type="table" w:customStyle="1" w:styleId="ListTable2-Accent61">
    <w:name w:val="List Table 2 - Accent 61"/>
    <w:basedOn w:val="TableNormal"/>
    <w:uiPriority w:val="47"/>
    <w:locked/>
    <w:rsid w:val="00530B2E"/>
    <w:pPr>
      <w:spacing w:after="0" w:line="240" w:lineRule="auto"/>
    </w:pPr>
    <w:tblPr>
      <w:tblStyleRowBandSize w:val="1"/>
      <w:tblStyleColBandSize w:val="1"/>
      <w:tblBorders>
        <w:top w:val="single" w:sz="4" w:space="0" w:color="8FD4CB" w:themeColor="accent6" w:themeTint="99"/>
        <w:bottom w:val="single" w:sz="4" w:space="0" w:color="8FD4CB" w:themeColor="accent6" w:themeTint="99"/>
        <w:insideH w:val="single" w:sz="4" w:space="0" w:color="8FD4C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1ED" w:themeFill="accent6" w:themeFillTint="33"/>
      </w:tcPr>
    </w:tblStylePr>
    <w:tblStylePr w:type="band1Horz">
      <w:tblPr/>
      <w:tcPr>
        <w:shd w:val="clear" w:color="auto" w:fill="D9F1ED" w:themeFill="accent6" w:themeFillTint="33"/>
      </w:tcPr>
    </w:tblStylePr>
  </w:style>
  <w:style w:type="table" w:customStyle="1" w:styleId="ListTable31">
    <w:name w:val="List Table 31"/>
    <w:basedOn w:val="TableNormal"/>
    <w:uiPriority w:val="48"/>
    <w:locked/>
    <w:rsid w:val="00530B2E"/>
    <w:pPr>
      <w:spacing w:after="0" w:line="240" w:lineRule="auto"/>
    </w:pPr>
    <w:tblPr>
      <w:tblStyleRowBandSize w:val="1"/>
      <w:tblStyleColBandSize w:val="1"/>
      <w:tblBorders>
        <w:top w:val="single" w:sz="4" w:space="0" w:color="222222" w:themeColor="text1"/>
        <w:left w:val="single" w:sz="4" w:space="0" w:color="222222" w:themeColor="text1"/>
        <w:bottom w:val="single" w:sz="4" w:space="0" w:color="222222" w:themeColor="text1"/>
        <w:right w:val="single" w:sz="4" w:space="0" w:color="222222" w:themeColor="text1"/>
      </w:tblBorders>
    </w:tblPr>
    <w:tblStylePr w:type="firstRow">
      <w:rPr>
        <w:b/>
        <w:bCs/>
        <w:color w:val="FFFFFF" w:themeColor="background1"/>
      </w:rPr>
      <w:tblPr/>
      <w:tcPr>
        <w:shd w:val="clear" w:color="auto" w:fill="222222" w:themeFill="text1"/>
      </w:tcPr>
    </w:tblStylePr>
    <w:tblStylePr w:type="lastRow">
      <w:rPr>
        <w:b/>
        <w:bCs/>
      </w:rPr>
      <w:tblPr/>
      <w:tcPr>
        <w:tcBorders>
          <w:top w:val="double" w:sz="4" w:space="0" w:color="22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222" w:themeColor="text1"/>
          <w:right w:val="single" w:sz="4" w:space="0" w:color="222222" w:themeColor="text1"/>
        </w:tcBorders>
      </w:tcPr>
    </w:tblStylePr>
    <w:tblStylePr w:type="band1Horz">
      <w:tblPr/>
      <w:tcPr>
        <w:tcBorders>
          <w:top w:val="single" w:sz="4" w:space="0" w:color="222222" w:themeColor="text1"/>
          <w:bottom w:val="single" w:sz="4" w:space="0" w:color="22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222" w:themeColor="text1"/>
          <w:left w:val="nil"/>
        </w:tcBorders>
      </w:tcPr>
    </w:tblStylePr>
    <w:tblStylePr w:type="swCell">
      <w:tblPr/>
      <w:tcPr>
        <w:tcBorders>
          <w:top w:val="double" w:sz="4" w:space="0" w:color="222222" w:themeColor="text1"/>
          <w:right w:val="nil"/>
        </w:tcBorders>
      </w:tcPr>
    </w:tblStylePr>
  </w:style>
  <w:style w:type="table" w:customStyle="1" w:styleId="ListTable3-Accent11">
    <w:name w:val="List Table 3 - Accent 11"/>
    <w:basedOn w:val="TableNormal"/>
    <w:uiPriority w:val="48"/>
    <w:locked/>
    <w:rsid w:val="00530B2E"/>
    <w:pPr>
      <w:spacing w:after="0" w:line="240" w:lineRule="auto"/>
    </w:pPr>
    <w:tblPr>
      <w:tblStyleRowBandSize w:val="1"/>
      <w:tblStyleColBandSize w:val="1"/>
      <w:tblBorders>
        <w:top w:val="single" w:sz="4" w:space="0" w:color="CC6600" w:themeColor="accent1"/>
        <w:left w:val="single" w:sz="4" w:space="0" w:color="CC6600" w:themeColor="accent1"/>
        <w:bottom w:val="single" w:sz="4" w:space="0" w:color="CC6600" w:themeColor="accent1"/>
        <w:right w:val="single" w:sz="4" w:space="0" w:color="CC6600" w:themeColor="accent1"/>
      </w:tblBorders>
    </w:tblPr>
    <w:tblStylePr w:type="firstRow">
      <w:rPr>
        <w:b/>
        <w:bCs/>
        <w:color w:val="FFFFFF" w:themeColor="background1"/>
      </w:rPr>
      <w:tblPr/>
      <w:tcPr>
        <w:shd w:val="clear" w:color="auto" w:fill="CC6600" w:themeFill="accent1"/>
      </w:tcPr>
    </w:tblStylePr>
    <w:tblStylePr w:type="lastRow">
      <w:rPr>
        <w:b/>
        <w:bCs/>
      </w:rPr>
      <w:tblPr/>
      <w:tcPr>
        <w:tcBorders>
          <w:top w:val="double" w:sz="4" w:space="0" w:color="CC66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C6600" w:themeColor="accent1"/>
          <w:right w:val="single" w:sz="4" w:space="0" w:color="CC6600" w:themeColor="accent1"/>
        </w:tcBorders>
      </w:tcPr>
    </w:tblStylePr>
    <w:tblStylePr w:type="band1Horz">
      <w:tblPr/>
      <w:tcPr>
        <w:tcBorders>
          <w:top w:val="single" w:sz="4" w:space="0" w:color="CC6600" w:themeColor="accent1"/>
          <w:bottom w:val="single" w:sz="4" w:space="0" w:color="CC66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C6600" w:themeColor="accent1"/>
          <w:left w:val="nil"/>
        </w:tcBorders>
      </w:tcPr>
    </w:tblStylePr>
    <w:tblStylePr w:type="swCell">
      <w:tblPr/>
      <w:tcPr>
        <w:tcBorders>
          <w:top w:val="double" w:sz="4" w:space="0" w:color="CC6600" w:themeColor="accent1"/>
          <w:right w:val="nil"/>
        </w:tcBorders>
      </w:tcPr>
    </w:tblStylePr>
  </w:style>
  <w:style w:type="table" w:customStyle="1" w:styleId="ListTable3-Accent21">
    <w:name w:val="List Table 3 - Accent 21"/>
    <w:basedOn w:val="TableNormal"/>
    <w:uiPriority w:val="48"/>
    <w:locked/>
    <w:rsid w:val="00530B2E"/>
    <w:pPr>
      <w:spacing w:after="0" w:line="240" w:lineRule="auto"/>
    </w:pPr>
    <w:tblPr>
      <w:tblStyleRowBandSize w:val="1"/>
      <w:tblStyleColBandSize w:val="1"/>
      <w:tblBorders>
        <w:top w:val="single" w:sz="4" w:space="0" w:color="FCE2CC" w:themeColor="accent2"/>
        <w:left w:val="single" w:sz="4" w:space="0" w:color="FCE2CC" w:themeColor="accent2"/>
        <w:bottom w:val="single" w:sz="4" w:space="0" w:color="FCE2CC" w:themeColor="accent2"/>
        <w:right w:val="single" w:sz="4" w:space="0" w:color="FCE2CC" w:themeColor="accent2"/>
      </w:tblBorders>
    </w:tblPr>
    <w:tblStylePr w:type="firstRow">
      <w:rPr>
        <w:b/>
        <w:bCs/>
        <w:color w:val="FFFFFF" w:themeColor="background1"/>
      </w:rPr>
      <w:tblPr/>
      <w:tcPr>
        <w:shd w:val="clear" w:color="auto" w:fill="FCE2CC" w:themeFill="accent2"/>
      </w:tcPr>
    </w:tblStylePr>
    <w:tblStylePr w:type="lastRow">
      <w:rPr>
        <w:b/>
        <w:bCs/>
      </w:rPr>
      <w:tblPr/>
      <w:tcPr>
        <w:tcBorders>
          <w:top w:val="double" w:sz="4" w:space="0" w:color="FCE2C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E2CC" w:themeColor="accent2"/>
          <w:right w:val="single" w:sz="4" w:space="0" w:color="FCE2CC" w:themeColor="accent2"/>
        </w:tcBorders>
      </w:tcPr>
    </w:tblStylePr>
    <w:tblStylePr w:type="band1Horz">
      <w:tblPr/>
      <w:tcPr>
        <w:tcBorders>
          <w:top w:val="single" w:sz="4" w:space="0" w:color="FCE2CC" w:themeColor="accent2"/>
          <w:bottom w:val="single" w:sz="4" w:space="0" w:color="FCE2C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E2CC" w:themeColor="accent2"/>
          <w:left w:val="nil"/>
        </w:tcBorders>
      </w:tcPr>
    </w:tblStylePr>
    <w:tblStylePr w:type="swCell">
      <w:tblPr/>
      <w:tcPr>
        <w:tcBorders>
          <w:top w:val="double" w:sz="4" w:space="0" w:color="FCE2CC" w:themeColor="accent2"/>
          <w:right w:val="nil"/>
        </w:tcBorders>
      </w:tcPr>
    </w:tblStylePr>
  </w:style>
  <w:style w:type="table" w:customStyle="1" w:styleId="ListTable3-Accent31">
    <w:name w:val="List Table 3 - Accent 31"/>
    <w:basedOn w:val="TableNormal"/>
    <w:uiPriority w:val="48"/>
    <w:locked/>
    <w:rsid w:val="00530B2E"/>
    <w:pPr>
      <w:spacing w:after="0" w:line="240" w:lineRule="auto"/>
    </w:pPr>
    <w:tblPr>
      <w:tblStyleRowBandSize w:val="1"/>
      <w:tblStyleColBandSize w:val="1"/>
      <w:tblBorders>
        <w:top w:val="single" w:sz="4" w:space="0" w:color="0D3E67" w:themeColor="accent3"/>
        <w:left w:val="single" w:sz="4" w:space="0" w:color="0D3E67" w:themeColor="accent3"/>
        <w:bottom w:val="single" w:sz="4" w:space="0" w:color="0D3E67" w:themeColor="accent3"/>
        <w:right w:val="single" w:sz="4" w:space="0" w:color="0D3E67" w:themeColor="accent3"/>
      </w:tblBorders>
    </w:tblPr>
    <w:tblStylePr w:type="firstRow">
      <w:rPr>
        <w:b/>
        <w:bCs/>
        <w:color w:val="FFFFFF" w:themeColor="background1"/>
      </w:rPr>
      <w:tblPr/>
      <w:tcPr>
        <w:shd w:val="clear" w:color="auto" w:fill="0D3E67" w:themeFill="accent3"/>
      </w:tcPr>
    </w:tblStylePr>
    <w:tblStylePr w:type="lastRow">
      <w:rPr>
        <w:b/>
        <w:bCs/>
      </w:rPr>
      <w:tblPr/>
      <w:tcPr>
        <w:tcBorders>
          <w:top w:val="double" w:sz="4" w:space="0" w:color="0D3E6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3E67" w:themeColor="accent3"/>
          <w:right w:val="single" w:sz="4" w:space="0" w:color="0D3E67" w:themeColor="accent3"/>
        </w:tcBorders>
      </w:tcPr>
    </w:tblStylePr>
    <w:tblStylePr w:type="band1Horz">
      <w:tblPr/>
      <w:tcPr>
        <w:tcBorders>
          <w:top w:val="single" w:sz="4" w:space="0" w:color="0D3E67" w:themeColor="accent3"/>
          <w:bottom w:val="single" w:sz="4" w:space="0" w:color="0D3E6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3E67" w:themeColor="accent3"/>
          <w:left w:val="nil"/>
        </w:tcBorders>
      </w:tcPr>
    </w:tblStylePr>
    <w:tblStylePr w:type="swCell">
      <w:tblPr/>
      <w:tcPr>
        <w:tcBorders>
          <w:top w:val="double" w:sz="4" w:space="0" w:color="0D3E67" w:themeColor="accent3"/>
          <w:right w:val="nil"/>
        </w:tcBorders>
      </w:tcPr>
    </w:tblStylePr>
  </w:style>
  <w:style w:type="table" w:customStyle="1" w:styleId="ListTable3-Accent41">
    <w:name w:val="List Table 3 - Accent 41"/>
    <w:basedOn w:val="TableNormal"/>
    <w:uiPriority w:val="48"/>
    <w:locked/>
    <w:rsid w:val="00530B2E"/>
    <w:pPr>
      <w:spacing w:after="0" w:line="240" w:lineRule="auto"/>
    </w:pPr>
    <w:tblPr>
      <w:tblStyleRowBandSize w:val="1"/>
      <w:tblStyleColBandSize w:val="1"/>
      <w:tblBorders>
        <w:top w:val="single" w:sz="4" w:space="0" w:color="7D96B5" w:themeColor="accent4"/>
        <w:left w:val="single" w:sz="4" w:space="0" w:color="7D96B5" w:themeColor="accent4"/>
        <w:bottom w:val="single" w:sz="4" w:space="0" w:color="7D96B5" w:themeColor="accent4"/>
        <w:right w:val="single" w:sz="4" w:space="0" w:color="7D96B5" w:themeColor="accent4"/>
      </w:tblBorders>
    </w:tblPr>
    <w:tblStylePr w:type="firstRow">
      <w:rPr>
        <w:b/>
        <w:bCs/>
        <w:color w:val="FFFFFF" w:themeColor="background1"/>
      </w:rPr>
      <w:tblPr/>
      <w:tcPr>
        <w:shd w:val="clear" w:color="auto" w:fill="7D96B5" w:themeFill="accent4"/>
      </w:tcPr>
    </w:tblStylePr>
    <w:tblStylePr w:type="lastRow">
      <w:rPr>
        <w:b/>
        <w:bCs/>
      </w:rPr>
      <w:tblPr/>
      <w:tcPr>
        <w:tcBorders>
          <w:top w:val="double" w:sz="4" w:space="0" w:color="7D96B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D96B5" w:themeColor="accent4"/>
          <w:right w:val="single" w:sz="4" w:space="0" w:color="7D96B5" w:themeColor="accent4"/>
        </w:tcBorders>
      </w:tcPr>
    </w:tblStylePr>
    <w:tblStylePr w:type="band1Horz">
      <w:tblPr/>
      <w:tcPr>
        <w:tcBorders>
          <w:top w:val="single" w:sz="4" w:space="0" w:color="7D96B5" w:themeColor="accent4"/>
          <w:bottom w:val="single" w:sz="4" w:space="0" w:color="7D96B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96B5" w:themeColor="accent4"/>
          <w:left w:val="nil"/>
        </w:tcBorders>
      </w:tcPr>
    </w:tblStylePr>
    <w:tblStylePr w:type="swCell">
      <w:tblPr/>
      <w:tcPr>
        <w:tcBorders>
          <w:top w:val="double" w:sz="4" w:space="0" w:color="7D96B5" w:themeColor="accent4"/>
          <w:right w:val="nil"/>
        </w:tcBorders>
      </w:tcPr>
    </w:tblStylePr>
  </w:style>
  <w:style w:type="table" w:customStyle="1" w:styleId="ListTable3-Accent51">
    <w:name w:val="List Table 3 - Accent 51"/>
    <w:basedOn w:val="TableNormal"/>
    <w:uiPriority w:val="48"/>
    <w:locked/>
    <w:rsid w:val="00530B2E"/>
    <w:pPr>
      <w:spacing w:after="0" w:line="240" w:lineRule="auto"/>
    </w:pPr>
    <w:tblPr>
      <w:tblStyleRowBandSize w:val="1"/>
      <w:tblStyleColBandSize w:val="1"/>
      <w:tblBorders>
        <w:top w:val="single" w:sz="4" w:space="0" w:color="0D8577" w:themeColor="accent5"/>
        <w:left w:val="single" w:sz="4" w:space="0" w:color="0D8577" w:themeColor="accent5"/>
        <w:bottom w:val="single" w:sz="4" w:space="0" w:color="0D8577" w:themeColor="accent5"/>
        <w:right w:val="single" w:sz="4" w:space="0" w:color="0D8577" w:themeColor="accent5"/>
      </w:tblBorders>
    </w:tblPr>
    <w:tblStylePr w:type="firstRow">
      <w:rPr>
        <w:b/>
        <w:bCs/>
        <w:color w:val="FFFFFF" w:themeColor="background1"/>
      </w:rPr>
      <w:tblPr/>
      <w:tcPr>
        <w:shd w:val="clear" w:color="auto" w:fill="0D8577" w:themeFill="accent5"/>
      </w:tcPr>
    </w:tblStylePr>
    <w:tblStylePr w:type="lastRow">
      <w:rPr>
        <w:b/>
        <w:bCs/>
      </w:rPr>
      <w:tblPr/>
      <w:tcPr>
        <w:tcBorders>
          <w:top w:val="double" w:sz="4" w:space="0" w:color="0D857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8577" w:themeColor="accent5"/>
          <w:right w:val="single" w:sz="4" w:space="0" w:color="0D8577" w:themeColor="accent5"/>
        </w:tcBorders>
      </w:tcPr>
    </w:tblStylePr>
    <w:tblStylePr w:type="band1Horz">
      <w:tblPr/>
      <w:tcPr>
        <w:tcBorders>
          <w:top w:val="single" w:sz="4" w:space="0" w:color="0D8577" w:themeColor="accent5"/>
          <w:bottom w:val="single" w:sz="4" w:space="0" w:color="0D857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8577" w:themeColor="accent5"/>
          <w:left w:val="nil"/>
        </w:tcBorders>
      </w:tcPr>
    </w:tblStylePr>
    <w:tblStylePr w:type="swCell">
      <w:tblPr/>
      <w:tcPr>
        <w:tcBorders>
          <w:top w:val="double" w:sz="4" w:space="0" w:color="0D8577" w:themeColor="accent5"/>
          <w:right w:val="nil"/>
        </w:tcBorders>
      </w:tcPr>
    </w:tblStylePr>
  </w:style>
  <w:style w:type="table" w:customStyle="1" w:styleId="ListTable3-Accent61">
    <w:name w:val="List Table 3 - Accent 61"/>
    <w:basedOn w:val="TableNormal"/>
    <w:uiPriority w:val="48"/>
    <w:locked/>
    <w:rsid w:val="00530B2E"/>
    <w:pPr>
      <w:spacing w:after="0" w:line="240" w:lineRule="auto"/>
    </w:pPr>
    <w:tblPr>
      <w:tblStyleRowBandSize w:val="1"/>
      <w:tblStyleColBandSize w:val="1"/>
      <w:tblBorders>
        <w:top w:val="single" w:sz="4" w:space="0" w:color="46B8A9" w:themeColor="accent6"/>
        <w:left w:val="single" w:sz="4" w:space="0" w:color="46B8A9" w:themeColor="accent6"/>
        <w:bottom w:val="single" w:sz="4" w:space="0" w:color="46B8A9" w:themeColor="accent6"/>
        <w:right w:val="single" w:sz="4" w:space="0" w:color="46B8A9" w:themeColor="accent6"/>
      </w:tblBorders>
    </w:tblPr>
    <w:tblStylePr w:type="firstRow">
      <w:rPr>
        <w:b/>
        <w:bCs/>
        <w:color w:val="FFFFFF" w:themeColor="background1"/>
      </w:rPr>
      <w:tblPr/>
      <w:tcPr>
        <w:shd w:val="clear" w:color="auto" w:fill="46B8A9" w:themeFill="accent6"/>
      </w:tcPr>
    </w:tblStylePr>
    <w:tblStylePr w:type="lastRow">
      <w:rPr>
        <w:b/>
        <w:bCs/>
      </w:rPr>
      <w:tblPr/>
      <w:tcPr>
        <w:tcBorders>
          <w:top w:val="double" w:sz="4" w:space="0" w:color="46B8A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6B8A9" w:themeColor="accent6"/>
          <w:right w:val="single" w:sz="4" w:space="0" w:color="46B8A9" w:themeColor="accent6"/>
        </w:tcBorders>
      </w:tcPr>
    </w:tblStylePr>
    <w:tblStylePr w:type="band1Horz">
      <w:tblPr/>
      <w:tcPr>
        <w:tcBorders>
          <w:top w:val="single" w:sz="4" w:space="0" w:color="46B8A9" w:themeColor="accent6"/>
          <w:bottom w:val="single" w:sz="4" w:space="0" w:color="46B8A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6B8A9" w:themeColor="accent6"/>
          <w:left w:val="nil"/>
        </w:tcBorders>
      </w:tcPr>
    </w:tblStylePr>
    <w:tblStylePr w:type="swCell">
      <w:tblPr/>
      <w:tcPr>
        <w:tcBorders>
          <w:top w:val="double" w:sz="4" w:space="0" w:color="46B8A9" w:themeColor="accent6"/>
          <w:right w:val="nil"/>
        </w:tcBorders>
      </w:tcPr>
    </w:tblStylePr>
  </w:style>
  <w:style w:type="table" w:customStyle="1" w:styleId="ListTable41">
    <w:name w:val="List Table 41"/>
    <w:basedOn w:val="TableNormal"/>
    <w:uiPriority w:val="49"/>
    <w:locked/>
    <w:rsid w:val="00530B2E"/>
    <w:pPr>
      <w:spacing w:after="0" w:line="240" w:lineRule="auto"/>
    </w:pPr>
    <w:tblPr>
      <w:tblStyleRowBandSize w:val="1"/>
      <w:tblStyleColBandSize w:val="1"/>
      <w:tblBorders>
        <w:top w:val="single" w:sz="4" w:space="0" w:color="7A7A7A" w:themeColor="text1" w:themeTint="99"/>
        <w:left w:val="single" w:sz="4" w:space="0" w:color="7A7A7A" w:themeColor="text1" w:themeTint="99"/>
        <w:bottom w:val="single" w:sz="4" w:space="0" w:color="7A7A7A" w:themeColor="text1" w:themeTint="99"/>
        <w:right w:val="single" w:sz="4" w:space="0" w:color="7A7A7A" w:themeColor="text1" w:themeTint="99"/>
        <w:insideH w:val="single" w:sz="4" w:space="0" w:color="7A7A7A" w:themeColor="text1" w:themeTint="99"/>
      </w:tblBorders>
    </w:tblPr>
    <w:tblStylePr w:type="firstRow">
      <w:rPr>
        <w:b/>
        <w:bCs/>
        <w:color w:val="FFFFFF" w:themeColor="background1"/>
      </w:rPr>
      <w:tblPr/>
      <w:tcPr>
        <w:tcBorders>
          <w:top w:val="single" w:sz="4" w:space="0" w:color="222222" w:themeColor="text1"/>
          <w:left w:val="single" w:sz="4" w:space="0" w:color="222222" w:themeColor="text1"/>
          <w:bottom w:val="single" w:sz="4" w:space="0" w:color="222222" w:themeColor="text1"/>
          <w:right w:val="single" w:sz="4" w:space="0" w:color="222222" w:themeColor="text1"/>
          <w:insideH w:val="nil"/>
        </w:tcBorders>
        <w:shd w:val="clear" w:color="auto" w:fill="222222" w:themeFill="text1"/>
      </w:tcPr>
    </w:tblStylePr>
    <w:tblStylePr w:type="lastRow">
      <w:rPr>
        <w:b/>
        <w:bCs/>
      </w:rPr>
      <w:tblPr/>
      <w:tcPr>
        <w:tcBorders>
          <w:top w:val="double" w:sz="4" w:space="0" w:color="7A7A7A" w:themeColor="text1" w:themeTint="99"/>
        </w:tcBorders>
      </w:tcPr>
    </w:tblStylePr>
    <w:tblStylePr w:type="firstCol">
      <w:rPr>
        <w:b/>
        <w:bCs/>
      </w:rPr>
    </w:tblStylePr>
    <w:tblStylePr w:type="lastCol">
      <w:rPr>
        <w:b/>
        <w:bCs/>
      </w:rPr>
    </w:tblStylePr>
    <w:tblStylePr w:type="band1Vert">
      <w:tblPr/>
      <w:tcPr>
        <w:shd w:val="clear" w:color="auto" w:fill="D2D2D2" w:themeFill="text1" w:themeFillTint="33"/>
      </w:tcPr>
    </w:tblStylePr>
    <w:tblStylePr w:type="band1Horz">
      <w:tblPr/>
      <w:tcPr>
        <w:shd w:val="clear" w:color="auto" w:fill="D2D2D2" w:themeFill="text1" w:themeFillTint="33"/>
      </w:tcPr>
    </w:tblStylePr>
  </w:style>
  <w:style w:type="table" w:customStyle="1" w:styleId="ListTable4-Accent11">
    <w:name w:val="List Table 4 - Accent 11"/>
    <w:basedOn w:val="TableNormal"/>
    <w:uiPriority w:val="49"/>
    <w:locked/>
    <w:rsid w:val="00530B2E"/>
    <w:pPr>
      <w:spacing w:after="0" w:line="240" w:lineRule="auto"/>
    </w:pPr>
    <w:tblPr>
      <w:tblStyleRowBandSize w:val="1"/>
      <w:tblStyleColBandSize w:val="1"/>
      <w:tblBorders>
        <w:top w:val="single" w:sz="4" w:space="0" w:color="FFA247" w:themeColor="accent1" w:themeTint="99"/>
        <w:left w:val="single" w:sz="4" w:space="0" w:color="FFA247" w:themeColor="accent1" w:themeTint="99"/>
        <w:bottom w:val="single" w:sz="4" w:space="0" w:color="FFA247" w:themeColor="accent1" w:themeTint="99"/>
        <w:right w:val="single" w:sz="4" w:space="0" w:color="FFA247" w:themeColor="accent1" w:themeTint="99"/>
        <w:insideH w:val="single" w:sz="4" w:space="0" w:color="FFA247" w:themeColor="accent1" w:themeTint="99"/>
      </w:tblBorders>
    </w:tblPr>
    <w:tblStylePr w:type="firstRow">
      <w:rPr>
        <w:b/>
        <w:bCs/>
        <w:color w:val="FFFFFF" w:themeColor="background1"/>
      </w:rPr>
      <w:tblPr/>
      <w:tcPr>
        <w:tcBorders>
          <w:top w:val="single" w:sz="4" w:space="0" w:color="CC6600" w:themeColor="accent1"/>
          <w:left w:val="single" w:sz="4" w:space="0" w:color="CC6600" w:themeColor="accent1"/>
          <w:bottom w:val="single" w:sz="4" w:space="0" w:color="CC6600" w:themeColor="accent1"/>
          <w:right w:val="single" w:sz="4" w:space="0" w:color="CC6600" w:themeColor="accent1"/>
          <w:insideH w:val="nil"/>
        </w:tcBorders>
        <w:shd w:val="clear" w:color="auto" w:fill="CC6600" w:themeFill="accent1"/>
      </w:tcPr>
    </w:tblStylePr>
    <w:tblStylePr w:type="lastRow">
      <w:rPr>
        <w:b/>
        <w:bCs/>
      </w:rPr>
      <w:tblPr/>
      <w:tcPr>
        <w:tcBorders>
          <w:top w:val="double" w:sz="4" w:space="0" w:color="FFA247" w:themeColor="accent1" w:themeTint="99"/>
        </w:tcBorders>
      </w:tcPr>
    </w:tblStylePr>
    <w:tblStylePr w:type="firstCol">
      <w:rPr>
        <w:b/>
        <w:bCs/>
      </w:rPr>
    </w:tblStylePr>
    <w:tblStylePr w:type="lastCol">
      <w:rPr>
        <w:b/>
        <w:bCs/>
      </w:rPr>
    </w:tblStylePr>
    <w:tblStylePr w:type="band1Vert">
      <w:tblPr/>
      <w:tcPr>
        <w:shd w:val="clear" w:color="auto" w:fill="FFE0C1" w:themeFill="accent1" w:themeFillTint="33"/>
      </w:tcPr>
    </w:tblStylePr>
    <w:tblStylePr w:type="band1Horz">
      <w:tblPr/>
      <w:tcPr>
        <w:shd w:val="clear" w:color="auto" w:fill="FFE0C1" w:themeFill="accent1" w:themeFillTint="33"/>
      </w:tcPr>
    </w:tblStylePr>
  </w:style>
  <w:style w:type="table" w:customStyle="1" w:styleId="ListTable4-Accent21">
    <w:name w:val="List Table 4 - Accent 21"/>
    <w:basedOn w:val="TableNormal"/>
    <w:uiPriority w:val="49"/>
    <w:locked/>
    <w:rsid w:val="00530B2E"/>
    <w:pPr>
      <w:spacing w:after="0" w:line="240" w:lineRule="auto"/>
    </w:pPr>
    <w:tblPr>
      <w:tblStyleRowBandSize w:val="1"/>
      <w:tblStyleColBandSize w:val="1"/>
      <w:tblBorders>
        <w:top w:val="single" w:sz="4" w:space="0" w:color="FDEDE0" w:themeColor="accent2" w:themeTint="99"/>
        <w:left w:val="single" w:sz="4" w:space="0" w:color="FDEDE0" w:themeColor="accent2" w:themeTint="99"/>
        <w:bottom w:val="single" w:sz="4" w:space="0" w:color="FDEDE0" w:themeColor="accent2" w:themeTint="99"/>
        <w:right w:val="single" w:sz="4" w:space="0" w:color="FDEDE0" w:themeColor="accent2" w:themeTint="99"/>
        <w:insideH w:val="single" w:sz="4" w:space="0" w:color="FDEDE0" w:themeColor="accent2" w:themeTint="99"/>
      </w:tblBorders>
    </w:tblPr>
    <w:tblStylePr w:type="firstRow">
      <w:rPr>
        <w:b/>
        <w:bCs/>
        <w:color w:val="FFFFFF" w:themeColor="background1"/>
      </w:rPr>
      <w:tblPr/>
      <w:tcPr>
        <w:tcBorders>
          <w:top w:val="single" w:sz="4" w:space="0" w:color="FCE2CC" w:themeColor="accent2"/>
          <w:left w:val="single" w:sz="4" w:space="0" w:color="FCE2CC" w:themeColor="accent2"/>
          <w:bottom w:val="single" w:sz="4" w:space="0" w:color="FCE2CC" w:themeColor="accent2"/>
          <w:right w:val="single" w:sz="4" w:space="0" w:color="FCE2CC" w:themeColor="accent2"/>
          <w:insideH w:val="nil"/>
        </w:tcBorders>
        <w:shd w:val="clear" w:color="auto" w:fill="FCE2CC" w:themeFill="accent2"/>
      </w:tcPr>
    </w:tblStylePr>
    <w:tblStylePr w:type="lastRow">
      <w:rPr>
        <w:b/>
        <w:bCs/>
      </w:rPr>
      <w:tblPr/>
      <w:tcPr>
        <w:tcBorders>
          <w:top w:val="double" w:sz="4" w:space="0" w:color="FDEDE0" w:themeColor="accent2" w:themeTint="99"/>
        </w:tcBorders>
      </w:tcPr>
    </w:tblStylePr>
    <w:tblStylePr w:type="firstCol">
      <w:rPr>
        <w:b/>
        <w:bCs/>
      </w:rPr>
    </w:tblStylePr>
    <w:tblStylePr w:type="lastCol">
      <w:rPr>
        <w:b/>
        <w:bCs/>
      </w:rPr>
    </w:tblStylePr>
    <w:tblStylePr w:type="band1Vert">
      <w:tblPr/>
      <w:tcPr>
        <w:shd w:val="clear" w:color="auto" w:fill="FEF9F4" w:themeFill="accent2" w:themeFillTint="33"/>
      </w:tcPr>
    </w:tblStylePr>
    <w:tblStylePr w:type="band1Horz">
      <w:tblPr/>
      <w:tcPr>
        <w:shd w:val="clear" w:color="auto" w:fill="FEF9F4" w:themeFill="accent2" w:themeFillTint="33"/>
      </w:tcPr>
    </w:tblStylePr>
  </w:style>
  <w:style w:type="table" w:customStyle="1" w:styleId="ListTable4-Accent31">
    <w:name w:val="List Table 4 - Accent 31"/>
    <w:basedOn w:val="TableNormal"/>
    <w:uiPriority w:val="49"/>
    <w:locked/>
    <w:rsid w:val="00530B2E"/>
    <w:pPr>
      <w:spacing w:after="0" w:line="240" w:lineRule="auto"/>
    </w:pPr>
    <w:tblPr>
      <w:tblStyleRowBandSize w:val="1"/>
      <w:tblStyleColBandSize w:val="1"/>
      <w:tblBorders>
        <w:top w:val="single" w:sz="4" w:space="0" w:color="2C90E4" w:themeColor="accent3" w:themeTint="99"/>
        <w:left w:val="single" w:sz="4" w:space="0" w:color="2C90E4" w:themeColor="accent3" w:themeTint="99"/>
        <w:bottom w:val="single" w:sz="4" w:space="0" w:color="2C90E4" w:themeColor="accent3" w:themeTint="99"/>
        <w:right w:val="single" w:sz="4" w:space="0" w:color="2C90E4" w:themeColor="accent3" w:themeTint="99"/>
        <w:insideH w:val="single" w:sz="4" w:space="0" w:color="2C90E4" w:themeColor="accent3" w:themeTint="99"/>
      </w:tblBorders>
    </w:tblPr>
    <w:tblStylePr w:type="firstRow">
      <w:rPr>
        <w:b/>
        <w:bCs/>
        <w:color w:val="FFFFFF" w:themeColor="background1"/>
      </w:rPr>
      <w:tblPr/>
      <w:tcPr>
        <w:tcBorders>
          <w:top w:val="single" w:sz="4" w:space="0" w:color="0D3E67" w:themeColor="accent3"/>
          <w:left w:val="single" w:sz="4" w:space="0" w:color="0D3E67" w:themeColor="accent3"/>
          <w:bottom w:val="single" w:sz="4" w:space="0" w:color="0D3E67" w:themeColor="accent3"/>
          <w:right w:val="single" w:sz="4" w:space="0" w:color="0D3E67" w:themeColor="accent3"/>
          <w:insideH w:val="nil"/>
        </w:tcBorders>
        <w:shd w:val="clear" w:color="auto" w:fill="0D3E67" w:themeFill="accent3"/>
      </w:tcPr>
    </w:tblStylePr>
    <w:tblStylePr w:type="lastRow">
      <w:rPr>
        <w:b/>
        <w:bCs/>
      </w:rPr>
      <w:tblPr/>
      <w:tcPr>
        <w:tcBorders>
          <w:top w:val="double" w:sz="4" w:space="0" w:color="2C90E4" w:themeColor="accent3" w:themeTint="99"/>
        </w:tcBorders>
      </w:tcPr>
    </w:tblStylePr>
    <w:tblStylePr w:type="firstCol">
      <w:rPr>
        <w:b/>
        <w:bCs/>
      </w:rPr>
    </w:tblStylePr>
    <w:tblStylePr w:type="lastCol">
      <w:rPr>
        <w:b/>
        <w:bCs/>
      </w:rPr>
    </w:tblStylePr>
    <w:tblStylePr w:type="band1Vert">
      <w:tblPr/>
      <w:tcPr>
        <w:shd w:val="clear" w:color="auto" w:fill="B8DAF6" w:themeFill="accent3" w:themeFillTint="33"/>
      </w:tcPr>
    </w:tblStylePr>
    <w:tblStylePr w:type="band1Horz">
      <w:tblPr/>
      <w:tcPr>
        <w:shd w:val="clear" w:color="auto" w:fill="B8DAF6" w:themeFill="accent3" w:themeFillTint="33"/>
      </w:tcPr>
    </w:tblStylePr>
  </w:style>
  <w:style w:type="table" w:customStyle="1" w:styleId="ListTable4-Accent41">
    <w:name w:val="List Table 4 - Accent 41"/>
    <w:basedOn w:val="TableNormal"/>
    <w:uiPriority w:val="49"/>
    <w:locked/>
    <w:rsid w:val="00530B2E"/>
    <w:pPr>
      <w:spacing w:after="0" w:line="240" w:lineRule="auto"/>
    </w:pPr>
    <w:tblPr>
      <w:tblStyleRowBandSize w:val="1"/>
      <w:tblStyleColBandSize w:val="1"/>
      <w:tblBorders>
        <w:top w:val="single" w:sz="4" w:space="0" w:color="B0BFD2" w:themeColor="accent4" w:themeTint="99"/>
        <w:left w:val="single" w:sz="4" w:space="0" w:color="B0BFD2" w:themeColor="accent4" w:themeTint="99"/>
        <w:bottom w:val="single" w:sz="4" w:space="0" w:color="B0BFD2" w:themeColor="accent4" w:themeTint="99"/>
        <w:right w:val="single" w:sz="4" w:space="0" w:color="B0BFD2" w:themeColor="accent4" w:themeTint="99"/>
        <w:insideH w:val="single" w:sz="4" w:space="0" w:color="B0BFD2" w:themeColor="accent4" w:themeTint="99"/>
      </w:tblBorders>
    </w:tblPr>
    <w:tblStylePr w:type="firstRow">
      <w:rPr>
        <w:b/>
        <w:bCs/>
        <w:color w:val="FFFFFF" w:themeColor="background1"/>
      </w:rPr>
      <w:tblPr/>
      <w:tcPr>
        <w:tcBorders>
          <w:top w:val="single" w:sz="4" w:space="0" w:color="7D96B5" w:themeColor="accent4"/>
          <w:left w:val="single" w:sz="4" w:space="0" w:color="7D96B5" w:themeColor="accent4"/>
          <w:bottom w:val="single" w:sz="4" w:space="0" w:color="7D96B5" w:themeColor="accent4"/>
          <w:right w:val="single" w:sz="4" w:space="0" w:color="7D96B5" w:themeColor="accent4"/>
          <w:insideH w:val="nil"/>
        </w:tcBorders>
        <w:shd w:val="clear" w:color="auto" w:fill="7D96B5" w:themeFill="accent4"/>
      </w:tcPr>
    </w:tblStylePr>
    <w:tblStylePr w:type="lastRow">
      <w:rPr>
        <w:b/>
        <w:bCs/>
      </w:rPr>
      <w:tblPr/>
      <w:tcPr>
        <w:tcBorders>
          <w:top w:val="double" w:sz="4" w:space="0" w:color="B0BFD2" w:themeColor="accent4" w:themeTint="99"/>
        </w:tcBorders>
      </w:tcPr>
    </w:tblStylePr>
    <w:tblStylePr w:type="firstCol">
      <w:rPr>
        <w:b/>
        <w:bCs/>
      </w:rPr>
    </w:tblStylePr>
    <w:tblStylePr w:type="lastCol">
      <w:rPr>
        <w:b/>
        <w:bCs/>
      </w:rPr>
    </w:tblStylePr>
    <w:tblStylePr w:type="band1Vert">
      <w:tblPr/>
      <w:tcPr>
        <w:shd w:val="clear" w:color="auto" w:fill="E4E9F0" w:themeFill="accent4" w:themeFillTint="33"/>
      </w:tcPr>
    </w:tblStylePr>
    <w:tblStylePr w:type="band1Horz">
      <w:tblPr/>
      <w:tcPr>
        <w:shd w:val="clear" w:color="auto" w:fill="E4E9F0" w:themeFill="accent4" w:themeFillTint="33"/>
      </w:tcPr>
    </w:tblStylePr>
  </w:style>
  <w:style w:type="table" w:customStyle="1" w:styleId="ListTable4-Accent51">
    <w:name w:val="List Table 4 - Accent 51"/>
    <w:basedOn w:val="TableNormal"/>
    <w:uiPriority w:val="49"/>
    <w:locked/>
    <w:rsid w:val="00530B2E"/>
    <w:pPr>
      <w:spacing w:after="0" w:line="240" w:lineRule="auto"/>
    </w:pPr>
    <w:tblPr>
      <w:tblStyleRowBandSize w:val="1"/>
      <w:tblStyleColBandSize w:val="1"/>
      <w:tblBorders>
        <w:top w:val="single" w:sz="4" w:space="0" w:color="37EBD6" w:themeColor="accent5" w:themeTint="99"/>
        <w:left w:val="single" w:sz="4" w:space="0" w:color="37EBD6" w:themeColor="accent5" w:themeTint="99"/>
        <w:bottom w:val="single" w:sz="4" w:space="0" w:color="37EBD6" w:themeColor="accent5" w:themeTint="99"/>
        <w:right w:val="single" w:sz="4" w:space="0" w:color="37EBD6" w:themeColor="accent5" w:themeTint="99"/>
        <w:insideH w:val="single" w:sz="4" w:space="0" w:color="37EBD6" w:themeColor="accent5" w:themeTint="99"/>
      </w:tblBorders>
    </w:tblPr>
    <w:tblStylePr w:type="firstRow">
      <w:rPr>
        <w:b/>
        <w:bCs/>
        <w:color w:val="FFFFFF" w:themeColor="background1"/>
      </w:rPr>
      <w:tblPr/>
      <w:tcPr>
        <w:tcBorders>
          <w:top w:val="single" w:sz="4" w:space="0" w:color="0D8577" w:themeColor="accent5"/>
          <w:left w:val="single" w:sz="4" w:space="0" w:color="0D8577" w:themeColor="accent5"/>
          <w:bottom w:val="single" w:sz="4" w:space="0" w:color="0D8577" w:themeColor="accent5"/>
          <w:right w:val="single" w:sz="4" w:space="0" w:color="0D8577" w:themeColor="accent5"/>
          <w:insideH w:val="nil"/>
        </w:tcBorders>
        <w:shd w:val="clear" w:color="auto" w:fill="0D8577" w:themeFill="accent5"/>
      </w:tcPr>
    </w:tblStylePr>
    <w:tblStylePr w:type="lastRow">
      <w:rPr>
        <w:b/>
        <w:bCs/>
      </w:rPr>
      <w:tblPr/>
      <w:tcPr>
        <w:tcBorders>
          <w:top w:val="double" w:sz="4" w:space="0" w:color="37EBD6" w:themeColor="accent5" w:themeTint="99"/>
        </w:tcBorders>
      </w:tcPr>
    </w:tblStylePr>
    <w:tblStylePr w:type="firstCol">
      <w:rPr>
        <w:b/>
        <w:bCs/>
      </w:rPr>
    </w:tblStylePr>
    <w:tblStylePr w:type="lastCol">
      <w:rPr>
        <w:b/>
        <w:bCs/>
      </w:rPr>
    </w:tblStylePr>
    <w:tblStylePr w:type="band1Vert">
      <w:tblPr/>
      <w:tcPr>
        <w:shd w:val="clear" w:color="auto" w:fill="BCF8F1" w:themeFill="accent5" w:themeFillTint="33"/>
      </w:tcPr>
    </w:tblStylePr>
    <w:tblStylePr w:type="band1Horz">
      <w:tblPr/>
      <w:tcPr>
        <w:shd w:val="clear" w:color="auto" w:fill="BCF8F1" w:themeFill="accent5" w:themeFillTint="33"/>
      </w:tcPr>
    </w:tblStylePr>
  </w:style>
  <w:style w:type="table" w:customStyle="1" w:styleId="ListTable4-Accent61">
    <w:name w:val="List Table 4 - Accent 61"/>
    <w:basedOn w:val="TableNormal"/>
    <w:uiPriority w:val="49"/>
    <w:locked/>
    <w:rsid w:val="00530B2E"/>
    <w:pPr>
      <w:spacing w:after="0" w:line="240" w:lineRule="auto"/>
    </w:pPr>
    <w:tblPr>
      <w:tblStyleRowBandSize w:val="1"/>
      <w:tblStyleColBandSize w:val="1"/>
      <w:tblBorders>
        <w:top w:val="single" w:sz="4" w:space="0" w:color="8FD4CB" w:themeColor="accent6" w:themeTint="99"/>
        <w:left w:val="single" w:sz="4" w:space="0" w:color="8FD4CB" w:themeColor="accent6" w:themeTint="99"/>
        <w:bottom w:val="single" w:sz="4" w:space="0" w:color="8FD4CB" w:themeColor="accent6" w:themeTint="99"/>
        <w:right w:val="single" w:sz="4" w:space="0" w:color="8FD4CB" w:themeColor="accent6" w:themeTint="99"/>
        <w:insideH w:val="single" w:sz="4" w:space="0" w:color="8FD4CB" w:themeColor="accent6" w:themeTint="99"/>
      </w:tblBorders>
    </w:tblPr>
    <w:tblStylePr w:type="firstRow">
      <w:rPr>
        <w:b/>
        <w:bCs/>
        <w:color w:val="FFFFFF" w:themeColor="background1"/>
      </w:rPr>
      <w:tblPr/>
      <w:tcPr>
        <w:tcBorders>
          <w:top w:val="single" w:sz="4" w:space="0" w:color="46B8A9" w:themeColor="accent6"/>
          <w:left w:val="single" w:sz="4" w:space="0" w:color="46B8A9" w:themeColor="accent6"/>
          <w:bottom w:val="single" w:sz="4" w:space="0" w:color="46B8A9" w:themeColor="accent6"/>
          <w:right w:val="single" w:sz="4" w:space="0" w:color="46B8A9" w:themeColor="accent6"/>
          <w:insideH w:val="nil"/>
        </w:tcBorders>
        <w:shd w:val="clear" w:color="auto" w:fill="46B8A9" w:themeFill="accent6"/>
      </w:tcPr>
    </w:tblStylePr>
    <w:tblStylePr w:type="lastRow">
      <w:rPr>
        <w:b/>
        <w:bCs/>
      </w:rPr>
      <w:tblPr/>
      <w:tcPr>
        <w:tcBorders>
          <w:top w:val="double" w:sz="4" w:space="0" w:color="8FD4CB" w:themeColor="accent6" w:themeTint="99"/>
        </w:tcBorders>
      </w:tcPr>
    </w:tblStylePr>
    <w:tblStylePr w:type="firstCol">
      <w:rPr>
        <w:b/>
        <w:bCs/>
      </w:rPr>
    </w:tblStylePr>
    <w:tblStylePr w:type="lastCol">
      <w:rPr>
        <w:b/>
        <w:bCs/>
      </w:rPr>
    </w:tblStylePr>
    <w:tblStylePr w:type="band1Vert">
      <w:tblPr/>
      <w:tcPr>
        <w:shd w:val="clear" w:color="auto" w:fill="D9F1ED" w:themeFill="accent6" w:themeFillTint="33"/>
      </w:tcPr>
    </w:tblStylePr>
    <w:tblStylePr w:type="band1Horz">
      <w:tblPr/>
      <w:tcPr>
        <w:shd w:val="clear" w:color="auto" w:fill="D9F1ED" w:themeFill="accent6" w:themeFillTint="33"/>
      </w:tcPr>
    </w:tblStylePr>
  </w:style>
  <w:style w:type="table" w:customStyle="1" w:styleId="ListTable5Dark1">
    <w:name w:val="List Table 5 Dark1"/>
    <w:basedOn w:val="TableNormal"/>
    <w:uiPriority w:val="50"/>
    <w:locked/>
    <w:rsid w:val="00530B2E"/>
    <w:pPr>
      <w:spacing w:after="0" w:line="240" w:lineRule="auto"/>
    </w:pPr>
    <w:rPr>
      <w:color w:val="FFFFFF" w:themeColor="background1"/>
    </w:rPr>
    <w:tblPr>
      <w:tblStyleRowBandSize w:val="1"/>
      <w:tblStyleColBandSize w:val="1"/>
      <w:tblBorders>
        <w:top w:val="single" w:sz="24" w:space="0" w:color="222222" w:themeColor="text1"/>
        <w:left w:val="single" w:sz="24" w:space="0" w:color="222222" w:themeColor="text1"/>
        <w:bottom w:val="single" w:sz="24" w:space="0" w:color="222222" w:themeColor="text1"/>
        <w:right w:val="single" w:sz="24" w:space="0" w:color="222222" w:themeColor="text1"/>
      </w:tblBorders>
    </w:tblPr>
    <w:tcPr>
      <w:shd w:val="clear" w:color="auto" w:fill="22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locked/>
    <w:rsid w:val="00530B2E"/>
    <w:pPr>
      <w:spacing w:after="0" w:line="240" w:lineRule="auto"/>
    </w:pPr>
    <w:rPr>
      <w:color w:val="FFFFFF" w:themeColor="background1"/>
    </w:rPr>
    <w:tblPr>
      <w:tblStyleRowBandSize w:val="1"/>
      <w:tblStyleColBandSize w:val="1"/>
      <w:tblBorders>
        <w:top w:val="single" w:sz="24" w:space="0" w:color="CC6600" w:themeColor="accent1"/>
        <w:left w:val="single" w:sz="24" w:space="0" w:color="CC6600" w:themeColor="accent1"/>
        <w:bottom w:val="single" w:sz="24" w:space="0" w:color="CC6600" w:themeColor="accent1"/>
        <w:right w:val="single" w:sz="24" w:space="0" w:color="CC6600" w:themeColor="accent1"/>
      </w:tblBorders>
    </w:tblPr>
    <w:tcPr>
      <w:shd w:val="clear" w:color="auto" w:fill="CC66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locked/>
    <w:rsid w:val="00530B2E"/>
    <w:pPr>
      <w:spacing w:after="0" w:line="240" w:lineRule="auto"/>
    </w:pPr>
    <w:rPr>
      <w:color w:val="FFFFFF" w:themeColor="background1"/>
    </w:rPr>
    <w:tblPr>
      <w:tblStyleRowBandSize w:val="1"/>
      <w:tblStyleColBandSize w:val="1"/>
      <w:tblBorders>
        <w:top w:val="single" w:sz="24" w:space="0" w:color="FCE2CC" w:themeColor="accent2"/>
        <w:left w:val="single" w:sz="24" w:space="0" w:color="FCE2CC" w:themeColor="accent2"/>
        <w:bottom w:val="single" w:sz="24" w:space="0" w:color="FCE2CC" w:themeColor="accent2"/>
        <w:right w:val="single" w:sz="24" w:space="0" w:color="FCE2CC" w:themeColor="accent2"/>
      </w:tblBorders>
    </w:tblPr>
    <w:tcPr>
      <w:shd w:val="clear" w:color="auto" w:fill="FCE2C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locked/>
    <w:rsid w:val="00530B2E"/>
    <w:pPr>
      <w:spacing w:after="0" w:line="240" w:lineRule="auto"/>
    </w:pPr>
    <w:rPr>
      <w:color w:val="FFFFFF" w:themeColor="background1"/>
    </w:rPr>
    <w:tblPr>
      <w:tblStyleRowBandSize w:val="1"/>
      <w:tblStyleColBandSize w:val="1"/>
      <w:tblBorders>
        <w:top w:val="single" w:sz="24" w:space="0" w:color="0D3E67" w:themeColor="accent3"/>
        <w:left w:val="single" w:sz="24" w:space="0" w:color="0D3E67" w:themeColor="accent3"/>
        <w:bottom w:val="single" w:sz="24" w:space="0" w:color="0D3E67" w:themeColor="accent3"/>
        <w:right w:val="single" w:sz="24" w:space="0" w:color="0D3E67" w:themeColor="accent3"/>
      </w:tblBorders>
    </w:tblPr>
    <w:tcPr>
      <w:shd w:val="clear" w:color="auto" w:fill="0D3E6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locked/>
    <w:rsid w:val="00530B2E"/>
    <w:pPr>
      <w:spacing w:after="0" w:line="240" w:lineRule="auto"/>
    </w:pPr>
    <w:rPr>
      <w:color w:val="FFFFFF" w:themeColor="background1"/>
    </w:rPr>
    <w:tblPr>
      <w:tblStyleRowBandSize w:val="1"/>
      <w:tblStyleColBandSize w:val="1"/>
      <w:tblBorders>
        <w:top w:val="single" w:sz="24" w:space="0" w:color="7D96B5" w:themeColor="accent4"/>
        <w:left w:val="single" w:sz="24" w:space="0" w:color="7D96B5" w:themeColor="accent4"/>
        <w:bottom w:val="single" w:sz="24" w:space="0" w:color="7D96B5" w:themeColor="accent4"/>
        <w:right w:val="single" w:sz="24" w:space="0" w:color="7D96B5" w:themeColor="accent4"/>
      </w:tblBorders>
    </w:tblPr>
    <w:tcPr>
      <w:shd w:val="clear" w:color="auto" w:fill="7D96B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locked/>
    <w:rsid w:val="00530B2E"/>
    <w:pPr>
      <w:spacing w:after="0" w:line="240" w:lineRule="auto"/>
    </w:pPr>
    <w:rPr>
      <w:color w:val="FFFFFF" w:themeColor="background1"/>
    </w:rPr>
    <w:tblPr>
      <w:tblStyleRowBandSize w:val="1"/>
      <w:tblStyleColBandSize w:val="1"/>
      <w:tblBorders>
        <w:top w:val="single" w:sz="24" w:space="0" w:color="0D8577" w:themeColor="accent5"/>
        <w:left w:val="single" w:sz="24" w:space="0" w:color="0D8577" w:themeColor="accent5"/>
        <w:bottom w:val="single" w:sz="24" w:space="0" w:color="0D8577" w:themeColor="accent5"/>
        <w:right w:val="single" w:sz="24" w:space="0" w:color="0D8577" w:themeColor="accent5"/>
      </w:tblBorders>
    </w:tblPr>
    <w:tcPr>
      <w:shd w:val="clear" w:color="auto" w:fill="0D857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locked/>
    <w:rsid w:val="00530B2E"/>
    <w:pPr>
      <w:spacing w:after="0" w:line="240" w:lineRule="auto"/>
    </w:pPr>
    <w:rPr>
      <w:color w:val="FFFFFF" w:themeColor="background1"/>
    </w:rPr>
    <w:tblPr>
      <w:tblStyleRowBandSize w:val="1"/>
      <w:tblStyleColBandSize w:val="1"/>
      <w:tblBorders>
        <w:top w:val="single" w:sz="24" w:space="0" w:color="46B8A9" w:themeColor="accent6"/>
        <w:left w:val="single" w:sz="24" w:space="0" w:color="46B8A9" w:themeColor="accent6"/>
        <w:bottom w:val="single" w:sz="24" w:space="0" w:color="46B8A9" w:themeColor="accent6"/>
        <w:right w:val="single" w:sz="24" w:space="0" w:color="46B8A9" w:themeColor="accent6"/>
      </w:tblBorders>
    </w:tblPr>
    <w:tcPr>
      <w:shd w:val="clear" w:color="auto" w:fill="46B8A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locked/>
    <w:rsid w:val="00530B2E"/>
    <w:pPr>
      <w:spacing w:after="0" w:line="240" w:lineRule="auto"/>
    </w:pPr>
    <w:tblPr>
      <w:tblStyleRowBandSize w:val="1"/>
      <w:tblStyleColBandSize w:val="1"/>
      <w:tblBorders>
        <w:top w:val="single" w:sz="4" w:space="0" w:color="222222" w:themeColor="text1"/>
        <w:bottom w:val="single" w:sz="4" w:space="0" w:color="222222" w:themeColor="text1"/>
      </w:tblBorders>
    </w:tblPr>
    <w:tblStylePr w:type="firstRow">
      <w:rPr>
        <w:b/>
        <w:bCs/>
      </w:rPr>
      <w:tblPr/>
      <w:tcPr>
        <w:tcBorders>
          <w:bottom w:val="single" w:sz="4" w:space="0" w:color="222222" w:themeColor="text1"/>
        </w:tcBorders>
      </w:tcPr>
    </w:tblStylePr>
    <w:tblStylePr w:type="lastRow">
      <w:rPr>
        <w:b/>
        <w:bCs/>
      </w:rPr>
      <w:tblPr/>
      <w:tcPr>
        <w:tcBorders>
          <w:top w:val="double" w:sz="4" w:space="0" w:color="222222" w:themeColor="text1"/>
        </w:tcBorders>
      </w:tcPr>
    </w:tblStylePr>
    <w:tblStylePr w:type="firstCol">
      <w:rPr>
        <w:b/>
        <w:bCs/>
      </w:rPr>
    </w:tblStylePr>
    <w:tblStylePr w:type="lastCol">
      <w:rPr>
        <w:b/>
        <w:bCs/>
      </w:rPr>
    </w:tblStylePr>
    <w:tblStylePr w:type="band1Vert">
      <w:tblPr/>
      <w:tcPr>
        <w:shd w:val="clear" w:color="auto" w:fill="D2D2D2" w:themeFill="text1" w:themeFillTint="33"/>
      </w:tcPr>
    </w:tblStylePr>
    <w:tblStylePr w:type="band1Horz">
      <w:tblPr/>
      <w:tcPr>
        <w:shd w:val="clear" w:color="auto" w:fill="D2D2D2" w:themeFill="text1" w:themeFillTint="33"/>
      </w:tcPr>
    </w:tblStylePr>
  </w:style>
  <w:style w:type="table" w:customStyle="1" w:styleId="ListTable6Colorful-Accent11">
    <w:name w:val="List Table 6 Colorful - Accent 11"/>
    <w:basedOn w:val="TableNormal"/>
    <w:uiPriority w:val="51"/>
    <w:locked/>
    <w:rsid w:val="00530B2E"/>
    <w:pPr>
      <w:spacing w:after="0" w:line="240" w:lineRule="auto"/>
    </w:pPr>
    <w:rPr>
      <w:color w:val="984C00" w:themeColor="accent1" w:themeShade="BF"/>
    </w:rPr>
    <w:tblPr>
      <w:tblStyleRowBandSize w:val="1"/>
      <w:tblStyleColBandSize w:val="1"/>
      <w:tblBorders>
        <w:top w:val="single" w:sz="4" w:space="0" w:color="CC6600" w:themeColor="accent1"/>
        <w:bottom w:val="single" w:sz="4" w:space="0" w:color="CC6600" w:themeColor="accent1"/>
      </w:tblBorders>
    </w:tblPr>
    <w:tblStylePr w:type="firstRow">
      <w:rPr>
        <w:b/>
        <w:bCs/>
      </w:rPr>
      <w:tblPr/>
      <w:tcPr>
        <w:tcBorders>
          <w:bottom w:val="single" w:sz="4" w:space="0" w:color="CC6600" w:themeColor="accent1"/>
        </w:tcBorders>
      </w:tcPr>
    </w:tblStylePr>
    <w:tblStylePr w:type="lastRow">
      <w:rPr>
        <w:b/>
        <w:bCs/>
      </w:rPr>
      <w:tblPr/>
      <w:tcPr>
        <w:tcBorders>
          <w:top w:val="double" w:sz="4" w:space="0" w:color="CC6600" w:themeColor="accent1"/>
        </w:tcBorders>
      </w:tcPr>
    </w:tblStylePr>
    <w:tblStylePr w:type="firstCol">
      <w:rPr>
        <w:b/>
        <w:bCs/>
      </w:rPr>
    </w:tblStylePr>
    <w:tblStylePr w:type="lastCol">
      <w:rPr>
        <w:b/>
        <w:bCs/>
      </w:rPr>
    </w:tblStylePr>
    <w:tblStylePr w:type="band1Vert">
      <w:tblPr/>
      <w:tcPr>
        <w:shd w:val="clear" w:color="auto" w:fill="FFE0C1" w:themeFill="accent1" w:themeFillTint="33"/>
      </w:tcPr>
    </w:tblStylePr>
    <w:tblStylePr w:type="band1Horz">
      <w:tblPr/>
      <w:tcPr>
        <w:shd w:val="clear" w:color="auto" w:fill="FFE0C1" w:themeFill="accent1" w:themeFillTint="33"/>
      </w:tcPr>
    </w:tblStylePr>
  </w:style>
  <w:style w:type="table" w:customStyle="1" w:styleId="ListTable6Colorful-Accent21">
    <w:name w:val="List Table 6 Colorful - Accent 21"/>
    <w:basedOn w:val="TableNormal"/>
    <w:uiPriority w:val="51"/>
    <w:locked/>
    <w:rsid w:val="00530B2E"/>
    <w:pPr>
      <w:spacing w:after="0" w:line="240" w:lineRule="auto"/>
    </w:pPr>
    <w:rPr>
      <w:color w:val="F5A35F" w:themeColor="accent2" w:themeShade="BF"/>
    </w:rPr>
    <w:tblPr>
      <w:tblStyleRowBandSize w:val="1"/>
      <w:tblStyleColBandSize w:val="1"/>
      <w:tblBorders>
        <w:top w:val="single" w:sz="4" w:space="0" w:color="FCE2CC" w:themeColor="accent2"/>
        <w:bottom w:val="single" w:sz="4" w:space="0" w:color="FCE2CC" w:themeColor="accent2"/>
      </w:tblBorders>
    </w:tblPr>
    <w:tblStylePr w:type="firstRow">
      <w:rPr>
        <w:b/>
        <w:bCs/>
      </w:rPr>
      <w:tblPr/>
      <w:tcPr>
        <w:tcBorders>
          <w:bottom w:val="single" w:sz="4" w:space="0" w:color="FCE2CC" w:themeColor="accent2"/>
        </w:tcBorders>
      </w:tcPr>
    </w:tblStylePr>
    <w:tblStylePr w:type="lastRow">
      <w:rPr>
        <w:b/>
        <w:bCs/>
      </w:rPr>
      <w:tblPr/>
      <w:tcPr>
        <w:tcBorders>
          <w:top w:val="double" w:sz="4" w:space="0" w:color="FCE2CC" w:themeColor="accent2"/>
        </w:tcBorders>
      </w:tcPr>
    </w:tblStylePr>
    <w:tblStylePr w:type="firstCol">
      <w:rPr>
        <w:b/>
        <w:bCs/>
      </w:rPr>
    </w:tblStylePr>
    <w:tblStylePr w:type="lastCol">
      <w:rPr>
        <w:b/>
        <w:bCs/>
      </w:rPr>
    </w:tblStylePr>
    <w:tblStylePr w:type="band1Vert">
      <w:tblPr/>
      <w:tcPr>
        <w:shd w:val="clear" w:color="auto" w:fill="FEF9F4" w:themeFill="accent2" w:themeFillTint="33"/>
      </w:tcPr>
    </w:tblStylePr>
    <w:tblStylePr w:type="band1Horz">
      <w:tblPr/>
      <w:tcPr>
        <w:shd w:val="clear" w:color="auto" w:fill="FEF9F4" w:themeFill="accent2" w:themeFillTint="33"/>
      </w:tcPr>
    </w:tblStylePr>
  </w:style>
  <w:style w:type="table" w:customStyle="1" w:styleId="ListTable6Colorful-Accent31">
    <w:name w:val="List Table 6 Colorful - Accent 31"/>
    <w:basedOn w:val="TableNormal"/>
    <w:uiPriority w:val="51"/>
    <w:locked/>
    <w:rsid w:val="00530B2E"/>
    <w:pPr>
      <w:spacing w:after="0" w:line="240" w:lineRule="auto"/>
    </w:pPr>
    <w:rPr>
      <w:color w:val="092E4C" w:themeColor="accent3" w:themeShade="BF"/>
    </w:rPr>
    <w:tblPr>
      <w:tblStyleRowBandSize w:val="1"/>
      <w:tblStyleColBandSize w:val="1"/>
      <w:tblBorders>
        <w:top w:val="single" w:sz="4" w:space="0" w:color="0D3E67" w:themeColor="accent3"/>
        <w:bottom w:val="single" w:sz="4" w:space="0" w:color="0D3E67" w:themeColor="accent3"/>
      </w:tblBorders>
    </w:tblPr>
    <w:tblStylePr w:type="firstRow">
      <w:rPr>
        <w:b/>
        <w:bCs/>
      </w:rPr>
      <w:tblPr/>
      <w:tcPr>
        <w:tcBorders>
          <w:bottom w:val="single" w:sz="4" w:space="0" w:color="0D3E67" w:themeColor="accent3"/>
        </w:tcBorders>
      </w:tcPr>
    </w:tblStylePr>
    <w:tblStylePr w:type="lastRow">
      <w:rPr>
        <w:b/>
        <w:bCs/>
      </w:rPr>
      <w:tblPr/>
      <w:tcPr>
        <w:tcBorders>
          <w:top w:val="double" w:sz="4" w:space="0" w:color="0D3E67" w:themeColor="accent3"/>
        </w:tcBorders>
      </w:tcPr>
    </w:tblStylePr>
    <w:tblStylePr w:type="firstCol">
      <w:rPr>
        <w:b/>
        <w:bCs/>
      </w:rPr>
    </w:tblStylePr>
    <w:tblStylePr w:type="lastCol">
      <w:rPr>
        <w:b/>
        <w:bCs/>
      </w:rPr>
    </w:tblStylePr>
    <w:tblStylePr w:type="band1Vert">
      <w:tblPr/>
      <w:tcPr>
        <w:shd w:val="clear" w:color="auto" w:fill="B8DAF6" w:themeFill="accent3" w:themeFillTint="33"/>
      </w:tcPr>
    </w:tblStylePr>
    <w:tblStylePr w:type="band1Horz">
      <w:tblPr/>
      <w:tcPr>
        <w:shd w:val="clear" w:color="auto" w:fill="B8DAF6" w:themeFill="accent3" w:themeFillTint="33"/>
      </w:tcPr>
    </w:tblStylePr>
  </w:style>
  <w:style w:type="table" w:customStyle="1" w:styleId="ListTable6Colorful-Accent41">
    <w:name w:val="List Table 6 Colorful - Accent 41"/>
    <w:basedOn w:val="TableNormal"/>
    <w:uiPriority w:val="51"/>
    <w:locked/>
    <w:rsid w:val="00530B2E"/>
    <w:pPr>
      <w:spacing w:after="0" w:line="240" w:lineRule="auto"/>
    </w:pPr>
    <w:rPr>
      <w:color w:val="536E91" w:themeColor="accent4" w:themeShade="BF"/>
    </w:rPr>
    <w:tblPr>
      <w:tblStyleRowBandSize w:val="1"/>
      <w:tblStyleColBandSize w:val="1"/>
      <w:tblBorders>
        <w:top w:val="single" w:sz="4" w:space="0" w:color="7D96B5" w:themeColor="accent4"/>
        <w:bottom w:val="single" w:sz="4" w:space="0" w:color="7D96B5" w:themeColor="accent4"/>
      </w:tblBorders>
    </w:tblPr>
    <w:tblStylePr w:type="firstRow">
      <w:rPr>
        <w:b/>
        <w:bCs/>
      </w:rPr>
      <w:tblPr/>
      <w:tcPr>
        <w:tcBorders>
          <w:bottom w:val="single" w:sz="4" w:space="0" w:color="7D96B5" w:themeColor="accent4"/>
        </w:tcBorders>
      </w:tcPr>
    </w:tblStylePr>
    <w:tblStylePr w:type="lastRow">
      <w:rPr>
        <w:b/>
        <w:bCs/>
      </w:rPr>
      <w:tblPr/>
      <w:tcPr>
        <w:tcBorders>
          <w:top w:val="double" w:sz="4" w:space="0" w:color="7D96B5" w:themeColor="accent4"/>
        </w:tcBorders>
      </w:tcPr>
    </w:tblStylePr>
    <w:tblStylePr w:type="firstCol">
      <w:rPr>
        <w:b/>
        <w:bCs/>
      </w:rPr>
    </w:tblStylePr>
    <w:tblStylePr w:type="lastCol">
      <w:rPr>
        <w:b/>
        <w:bCs/>
      </w:rPr>
    </w:tblStylePr>
    <w:tblStylePr w:type="band1Vert">
      <w:tblPr/>
      <w:tcPr>
        <w:shd w:val="clear" w:color="auto" w:fill="E4E9F0" w:themeFill="accent4" w:themeFillTint="33"/>
      </w:tcPr>
    </w:tblStylePr>
    <w:tblStylePr w:type="band1Horz">
      <w:tblPr/>
      <w:tcPr>
        <w:shd w:val="clear" w:color="auto" w:fill="E4E9F0" w:themeFill="accent4" w:themeFillTint="33"/>
      </w:tcPr>
    </w:tblStylePr>
  </w:style>
  <w:style w:type="table" w:customStyle="1" w:styleId="ListTable6Colorful-Accent51">
    <w:name w:val="List Table 6 Colorful - Accent 51"/>
    <w:basedOn w:val="TableNormal"/>
    <w:uiPriority w:val="51"/>
    <w:locked/>
    <w:rsid w:val="00530B2E"/>
    <w:pPr>
      <w:spacing w:after="0" w:line="240" w:lineRule="auto"/>
    </w:pPr>
    <w:rPr>
      <w:color w:val="096358" w:themeColor="accent5" w:themeShade="BF"/>
    </w:rPr>
    <w:tblPr>
      <w:tblStyleRowBandSize w:val="1"/>
      <w:tblStyleColBandSize w:val="1"/>
      <w:tblBorders>
        <w:top w:val="single" w:sz="4" w:space="0" w:color="0D8577" w:themeColor="accent5"/>
        <w:bottom w:val="single" w:sz="4" w:space="0" w:color="0D8577" w:themeColor="accent5"/>
      </w:tblBorders>
    </w:tblPr>
    <w:tblStylePr w:type="firstRow">
      <w:rPr>
        <w:b/>
        <w:bCs/>
      </w:rPr>
      <w:tblPr/>
      <w:tcPr>
        <w:tcBorders>
          <w:bottom w:val="single" w:sz="4" w:space="0" w:color="0D8577" w:themeColor="accent5"/>
        </w:tcBorders>
      </w:tcPr>
    </w:tblStylePr>
    <w:tblStylePr w:type="lastRow">
      <w:rPr>
        <w:b/>
        <w:bCs/>
      </w:rPr>
      <w:tblPr/>
      <w:tcPr>
        <w:tcBorders>
          <w:top w:val="double" w:sz="4" w:space="0" w:color="0D8577" w:themeColor="accent5"/>
        </w:tcBorders>
      </w:tcPr>
    </w:tblStylePr>
    <w:tblStylePr w:type="firstCol">
      <w:rPr>
        <w:b/>
        <w:bCs/>
      </w:rPr>
    </w:tblStylePr>
    <w:tblStylePr w:type="lastCol">
      <w:rPr>
        <w:b/>
        <w:bCs/>
      </w:rPr>
    </w:tblStylePr>
    <w:tblStylePr w:type="band1Vert">
      <w:tblPr/>
      <w:tcPr>
        <w:shd w:val="clear" w:color="auto" w:fill="BCF8F1" w:themeFill="accent5" w:themeFillTint="33"/>
      </w:tcPr>
    </w:tblStylePr>
    <w:tblStylePr w:type="band1Horz">
      <w:tblPr/>
      <w:tcPr>
        <w:shd w:val="clear" w:color="auto" w:fill="BCF8F1" w:themeFill="accent5" w:themeFillTint="33"/>
      </w:tcPr>
    </w:tblStylePr>
  </w:style>
  <w:style w:type="table" w:customStyle="1" w:styleId="ListTable6Colorful-Accent61">
    <w:name w:val="List Table 6 Colorful - Accent 61"/>
    <w:basedOn w:val="TableNormal"/>
    <w:uiPriority w:val="51"/>
    <w:locked/>
    <w:rsid w:val="00530B2E"/>
    <w:pPr>
      <w:spacing w:after="0" w:line="240" w:lineRule="auto"/>
    </w:pPr>
    <w:rPr>
      <w:color w:val="34897E" w:themeColor="accent6" w:themeShade="BF"/>
    </w:rPr>
    <w:tblPr>
      <w:tblStyleRowBandSize w:val="1"/>
      <w:tblStyleColBandSize w:val="1"/>
      <w:tblBorders>
        <w:top w:val="single" w:sz="4" w:space="0" w:color="46B8A9" w:themeColor="accent6"/>
        <w:bottom w:val="single" w:sz="4" w:space="0" w:color="46B8A9" w:themeColor="accent6"/>
      </w:tblBorders>
    </w:tblPr>
    <w:tblStylePr w:type="firstRow">
      <w:rPr>
        <w:b/>
        <w:bCs/>
      </w:rPr>
      <w:tblPr/>
      <w:tcPr>
        <w:tcBorders>
          <w:bottom w:val="single" w:sz="4" w:space="0" w:color="46B8A9" w:themeColor="accent6"/>
        </w:tcBorders>
      </w:tcPr>
    </w:tblStylePr>
    <w:tblStylePr w:type="lastRow">
      <w:rPr>
        <w:b/>
        <w:bCs/>
      </w:rPr>
      <w:tblPr/>
      <w:tcPr>
        <w:tcBorders>
          <w:top w:val="double" w:sz="4" w:space="0" w:color="46B8A9" w:themeColor="accent6"/>
        </w:tcBorders>
      </w:tcPr>
    </w:tblStylePr>
    <w:tblStylePr w:type="firstCol">
      <w:rPr>
        <w:b/>
        <w:bCs/>
      </w:rPr>
    </w:tblStylePr>
    <w:tblStylePr w:type="lastCol">
      <w:rPr>
        <w:b/>
        <w:bCs/>
      </w:rPr>
    </w:tblStylePr>
    <w:tblStylePr w:type="band1Vert">
      <w:tblPr/>
      <w:tcPr>
        <w:shd w:val="clear" w:color="auto" w:fill="D9F1ED" w:themeFill="accent6" w:themeFillTint="33"/>
      </w:tcPr>
    </w:tblStylePr>
    <w:tblStylePr w:type="band1Horz">
      <w:tblPr/>
      <w:tcPr>
        <w:shd w:val="clear" w:color="auto" w:fill="D9F1ED" w:themeFill="accent6" w:themeFillTint="33"/>
      </w:tcPr>
    </w:tblStylePr>
  </w:style>
  <w:style w:type="table" w:customStyle="1" w:styleId="ListTable7Colorful1">
    <w:name w:val="List Table 7 Colorful1"/>
    <w:basedOn w:val="TableNormal"/>
    <w:uiPriority w:val="52"/>
    <w:locked/>
    <w:rsid w:val="00530B2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2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2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2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22222" w:themeColor="text1"/>
        </w:tcBorders>
        <w:shd w:val="clear" w:color="auto" w:fill="FFFFFF" w:themeFill="background1"/>
      </w:tcPr>
    </w:tblStylePr>
    <w:tblStylePr w:type="band1Vert">
      <w:tblPr/>
      <w:tcPr>
        <w:shd w:val="clear" w:color="auto" w:fill="D2D2D2" w:themeFill="text1" w:themeFillTint="33"/>
      </w:tcPr>
    </w:tblStylePr>
    <w:tblStylePr w:type="band1Horz">
      <w:tblPr/>
      <w:tcPr>
        <w:shd w:val="clear" w:color="auto" w:fill="D2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locked/>
    <w:rsid w:val="00530B2E"/>
    <w:pPr>
      <w:spacing w:after="0" w:line="240" w:lineRule="auto"/>
    </w:pPr>
    <w:rPr>
      <w:color w:val="984C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C66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C66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C66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C6600" w:themeColor="accent1"/>
        </w:tcBorders>
        <w:shd w:val="clear" w:color="auto" w:fill="FFFFFF" w:themeFill="background1"/>
      </w:tcPr>
    </w:tblStylePr>
    <w:tblStylePr w:type="band1Vert">
      <w:tblPr/>
      <w:tcPr>
        <w:shd w:val="clear" w:color="auto" w:fill="FFE0C1" w:themeFill="accent1" w:themeFillTint="33"/>
      </w:tcPr>
    </w:tblStylePr>
    <w:tblStylePr w:type="band1Horz">
      <w:tblPr/>
      <w:tcPr>
        <w:shd w:val="clear" w:color="auto" w:fill="FFE0C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locked/>
    <w:rsid w:val="00530B2E"/>
    <w:pPr>
      <w:spacing w:after="0" w:line="240" w:lineRule="auto"/>
    </w:pPr>
    <w:rPr>
      <w:color w:val="F5A35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E2C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E2C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E2C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E2CC" w:themeColor="accent2"/>
        </w:tcBorders>
        <w:shd w:val="clear" w:color="auto" w:fill="FFFFFF" w:themeFill="background1"/>
      </w:tcPr>
    </w:tblStylePr>
    <w:tblStylePr w:type="band1Vert">
      <w:tblPr/>
      <w:tcPr>
        <w:shd w:val="clear" w:color="auto" w:fill="FEF9F4" w:themeFill="accent2" w:themeFillTint="33"/>
      </w:tcPr>
    </w:tblStylePr>
    <w:tblStylePr w:type="band1Horz">
      <w:tblPr/>
      <w:tcPr>
        <w:shd w:val="clear" w:color="auto" w:fill="FEF9F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locked/>
    <w:rsid w:val="00530B2E"/>
    <w:pPr>
      <w:spacing w:after="0" w:line="240" w:lineRule="auto"/>
    </w:pPr>
    <w:rPr>
      <w:color w:val="092E4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3E6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3E6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3E6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3E67" w:themeColor="accent3"/>
        </w:tcBorders>
        <w:shd w:val="clear" w:color="auto" w:fill="FFFFFF" w:themeFill="background1"/>
      </w:tcPr>
    </w:tblStylePr>
    <w:tblStylePr w:type="band1Vert">
      <w:tblPr/>
      <w:tcPr>
        <w:shd w:val="clear" w:color="auto" w:fill="B8DAF6" w:themeFill="accent3" w:themeFillTint="33"/>
      </w:tcPr>
    </w:tblStylePr>
    <w:tblStylePr w:type="band1Horz">
      <w:tblPr/>
      <w:tcPr>
        <w:shd w:val="clear" w:color="auto" w:fill="B8DAF6"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locked/>
    <w:rsid w:val="00530B2E"/>
    <w:pPr>
      <w:spacing w:after="0" w:line="240" w:lineRule="auto"/>
    </w:pPr>
    <w:rPr>
      <w:color w:val="536E9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D96B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D96B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D96B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D96B5" w:themeColor="accent4"/>
        </w:tcBorders>
        <w:shd w:val="clear" w:color="auto" w:fill="FFFFFF" w:themeFill="background1"/>
      </w:tcPr>
    </w:tblStylePr>
    <w:tblStylePr w:type="band1Vert">
      <w:tblPr/>
      <w:tcPr>
        <w:shd w:val="clear" w:color="auto" w:fill="E4E9F0" w:themeFill="accent4" w:themeFillTint="33"/>
      </w:tcPr>
    </w:tblStylePr>
    <w:tblStylePr w:type="band1Horz">
      <w:tblPr/>
      <w:tcPr>
        <w:shd w:val="clear" w:color="auto" w:fill="E4E9F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locked/>
    <w:rsid w:val="00530B2E"/>
    <w:pPr>
      <w:spacing w:after="0" w:line="240" w:lineRule="auto"/>
    </w:pPr>
    <w:rPr>
      <w:color w:val="09635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857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857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857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8577" w:themeColor="accent5"/>
        </w:tcBorders>
        <w:shd w:val="clear" w:color="auto" w:fill="FFFFFF" w:themeFill="background1"/>
      </w:tcPr>
    </w:tblStylePr>
    <w:tblStylePr w:type="band1Vert">
      <w:tblPr/>
      <w:tcPr>
        <w:shd w:val="clear" w:color="auto" w:fill="BCF8F1" w:themeFill="accent5" w:themeFillTint="33"/>
      </w:tcPr>
    </w:tblStylePr>
    <w:tblStylePr w:type="band1Horz">
      <w:tblPr/>
      <w:tcPr>
        <w:shd w:val="clear" w:color="auto" w:fill="BCF8F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locked/>
    <w:rsid w:val="00530B2E"/>
    <w:pPr>
      <w:spacing w:after="0" w:line="240" w:lineRule="auto"/>
    </w:pPr>
    <w:rPr>
      <w:color w:val="34897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6B8A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6B8A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6B8A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6B8A9" w:themeColor="accent6"/>
        </w:tcBorders>
        <w:shd w:val="clear" w:color="auto" w:fill="FFFFFF" w:themeFill="background1"/>
      </w:tcPr>
    </w:tblStylePr>
    <w:tblStylePr w:type="band1Vert">
      <w:tblPr/>
      <w:tcPr>
        <w:shd w:val="clear" w:color="auto" w:fill="D9F1ED" w:themeFill="accent6" w:themeFillTint="33"/>
      </w:tcPr>
    </w:tblStylePr>
    <w:tblStylePr w:type="band1Horz">
      <w:tblPr/>
      <w:tcPr>
        <w:shd w:val="clear" w:color="auto" w:fill="D9F1E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locked/>
    <w:rsid w:val="00530B2E"/>
    <w:pPr>
      <w:spacing w:after="0" w:line="240" w:lineRule="auto"/>
    </w:pPr>
    <w:tblPr>
      <w:tblStyleRowBandSize w:val="1"/>
      <w:tblStyleColBandSize w:val="1"/>
      <w:tblBorders>
        <w:top w:val="single" w:sz="8" w:space="0" w:color="595959" w:themeColor="text1" w:themeTint="BF"/>
        <w:left w:val="single" w:sz="8" w:space="0" w:color="595959" w:themeColor="text1" w:themeTint="BF"/>
        <w:bottom w:val="single" w:sz="8" w:space="0" w:color="595959" w:themeColor="text1" w:themeTint="BF"/>
        <w:right w:val="single" w:sz="8" w:space="0" w:color="595959" w:themeColor="text1" w:themeTint="BF"/>
        <w:insideH w:val="single" w:sz="8" w:space="0" w:color="595959" w:themeColor="text1" w:themeTint="BF"/>
        <w:insideV w:val="single" w:sz="8" w:space="0" w:color="595959" w:themeColor="text1" w:themeTint="BF"/>
      </w:tblBorders>
    </w:tblPr>
    <w:tcPr>
      <w:shd w:val="clear" w:color="auto" w:fill="C8C8C8" w:themeFill="text1" w:themeFillTint="3F"/>
    </w:tcPr>
    <w:tblStylePr w:type="firstRow">
      <w:rPr>
        <w:b/>
        <w:bCs/>
      </w:rPr>
    </w:tblStylePr>
    <w:tblStylePr w:type="lastRow">
      <w:rPr>
        <w:b/>
        <w:bCs/>
      </w:rPr>
      <w:tblPr/>
      <w:tcPr>
        <w:tcBorders>
          <w:top w:val="single" w:sz="18" w:space="0" w:color="595959" w:themeColor="text1" w:themeTint="BF"/>
        </w:tcBorders>
      </w:tcPr>
    </w:tblStylePr>
    <w:tblStylePr w:type="firstCol">
      <w:rPr>
        <w:b/>
        <w:bCs/>
      </w:rPr>
    </w:tblStylePr>
    <w:tblStylePr w:type="lastCol">
      <w:rPr>
        <w:b/>
        <w:bCs/>
      </w:rPr>
    </w:tblStylePr>
    <w:tblStylePr w:type="band1Vert">
      <w:tblPr/>
      <w:tcPr>
        <w:shd w:val="clear" w:color="auto" w:fill="909090" w:themeFill="text1" w:themeFillTint="7F"/>
      </w:tcPr>
    </w:tblStylePr>
    <w:tblStylePr w:type="band1Horz">
      <w:tblPr/>
      <w:tcPr>
        <w:shd w:val="clear" w:color="auto" w:fill="909090" w:themeFill="text1" w:themeFillTint="7F"/>
      </w:tcPr>
    </w:tblStylePr>
  </w:style>
  <w:style w:type="table" w:styleId="MediumGrid1-Accent1">
    <w:name w:val="Medium Grid 1 Accent 1"/>
    <w:basedOn w:val="TableNormal"/>
    <w:uiPriority w:val="67"/>
    <w:semiHidden/>
    <w:unhideWhenUsed/>
    <w:locked/>
    <w:rsid w:val="00530B2E"/>
    <w:pPr>
      <w:spacing w:after="0" w:line="240" w:lineRule="auto"/>
    </w:pPr>
    <w:tblPr>
      <w:tblStyleRowBandSize w:val="1"/>
      <w:tblStyleColBandSize w:val="1"/>
      <w:tblBorders>
        <w:top w:val="single" w:sz="8" w:space="0" w:color="FF8B19" w:themeColor="accent1" w:themeTint="BF"/>
        <w:left w:val="single" w:sz="8" w:space="0" w:color="FF8B19" w:themeColor="accent1" w:themeTint="BF"/>
        <w:bottom w:val="single" w:sz="8" w:space="0" w:color="FF8B19" w:themeColor="accent1" w:themeTint="BF"/>
        <w:right w:val="single" w:sz="8" w:space="0" w:color="FF8B19" w:themeColor="accent1" w:themeTint="BF"/>
        <w:insideH w:val="single" w:sz="8" w:space="0" w:color="FF8B19" w:themeColor="accent1" w:themeTint="BF"/>
        <w:insideV w:val="single" w:sz="8" w:space="0" w:color="FF8B19" w:themeColor="accent1" w:themeTint="BF"/>
      </w:tblBorders>
    </w:tblPr>
    <w:tcPr>
      <w:shd w:val="clear" w:color="auto" w:fill="FFD9B3" w:themeFill="accent1" w:themeFillTint="3F"/>
    </w:tcPr>
    <w:tblStylePr w:type="firstRow">
      <w:rPr>
        <w:b/>
        <w:bCs/>
      </w:rPr>
    </w:tblStylePr>
    <w:tblStylePr w:type="lastRow">
      <w:rPr>
        <w:b/>
        <w:bCs/>
      </w:rPr>
      <w:tblPr/>
      <w:tcPr>
        <w:tcBorders>
          <w:top w:val="single" w:sz="18" w:space="0" w:color="FF8B19" w:themeColor="accent1" w:themeTint="BF"/>
        </w:tcBorders>
      </w:tcPr>
    </w:tblStylePr>
    <w:tblStylePr w:type="firstCol">
      <w:rPr>
        <w:b/>
        <w:bCs/>
      </w:rPr>
    </w:tblStylePr>
    <w:tblStylePr w:type="lastCol">
      <w:rPr>
        <w:b/>
        <w:bCs/>
      </w:rPr>
    </w:tblStylePr>
    <w:tblStylePr w:type="band1Vert">
      <w:tblPr/>
      <w:tcPr>
        <w:shd w:val="clear" w:color="auto" w:fill="FFB266" w:themeFill="accent1" w:themeFillTint="7F"/>
      </w:tcPr>
    </w:tblStylePr>
    <w:tblStylePr w:type="band1Horz">
      <w:tblPr/>
      <w:tcPr>
        <w:shd w:val="clear" w:color="auto" w:fill="FFB266" w:themeFill="accent1" w:themeFillTint="7F"/>
      </w:tcPr>
    </w:tblStylePr>
  </w:style>
  <w:style w:type="table" w:styleId="MediumGrid1-Accent2">
    <w:name w:val="Medium Grid 1 Accent 2"/>
    <w:basedOn w:val="TableNormal"/>
    <w:uiPriority w:val="67"/>
    <w:semiHidden/>
    <w:unhideWhenUsed/>
    <w:locked/>
    <w:rsid w:val="00530B2E"/>
    <w:pPr>
      <w:spacing w:after="0" w:line="240" w:lineRule="auto"/>
    </w:pPr>
    <w:tblPr>
      <w:tblStyleRowBandSize w:val="1"/>
      <w:tblStyleColBandSize w:val="1"/>
      <w:tblBorders>
        <w:top w:val="single" w:sz="8" w:space="0" w:color="FCE9D8" w:themeColor="accent2" w:themeTint="BF"/>
        <w:left w:val="single" w:sz="8" w:space="0" w:color="FCE9D8" w:themeColor="accent2" w:themeTint="BF"/>
        <w:bottom w:val="single" w:sz="8" w:space="0" w:color="FCE9D8" w:themeColor="accent2" w:themeTint="BF"/>
        <w:right w:val="single" w:sz="8" w:space="0" w:color="FCE9D8" w:themeColor="accent2" w:themeTint="BF"/>
        <w:insideH w:val="single" w:sz="8" w:space="0" w:color="FCE9D8" w:themeColor="accent2" w:themeTint="BF"/>
        <w:insideV w:val="single" w:sz="8" w:space="0" w:color="FCE9D8" w:themeColor="accent2" w:themeTint="BF"/>
      </w:tblBorders>
    </w:tblPr>
    <w:tcPr>
      <w:shd w:val="clear" w:color="auto" w:fill="FEF7F2" w:themeFill="accent2" w:themeFillTint="3F"/>
    </w:tcPr>
    <w:tblStylePr w:type="firstRow">
      <w:rPr>
        <w:b/>
        <w:bCs/>
      </w:rPr>
    </w:tblStylePr>
    <w:tblStylePr w:type="lastRow">
      <w:rPr>
        <w:b/>
        <w:bCs/>
      </w:rPr>
      <w:tblPr/>
      <w:tcPr>
        <w:tcBorders>
          <w:top w:val="single" w:sz="18" w:space="0" w:color="FCE9D8" w:themeColor="accent2" w:themeTint="BF"/>
        </w:tcBorders>
      </w:tcPr>
    </w:tblStylePr>
    <w:tblStylePr w:type="firstCol">
      <w:rPr>
        <w:b/>
        <w:bCs/>
      </w:rPr>
    </w:tblStylePr>
    <w:tblStylePr w:type="lastCol">
      <w:rPr>
        <w:b/>
        <w:bCs/>
      </w:rPr>
    </w:tblStylePr>
    <w:tblStylePr w:type="band1Vert">
      <w:tblPr/>
      <w:tcPr>
        <w:shd w:val="clear" w:color="auto" w:fill="FDF0E5" w:themeFill="accent2" w:themeFillTint="7F"/>
      </w:tcPr>
    </w:tblStylePr>
    <w:tblStylePr w:type="band1Horz">
      <w:tblPr/>
      <w:tcPr>
        <w:shd w:val="clear" w:color="auto" w:fill="FDF0E5" w:themeFill="accent2" w:themeFillTint="7F"/>
      </w:tcPr>
    </w:tblStylePr>
  </w:style>
  <w:style w:type="table" w:styleId="MediumGrid1-Accent3">
    <w:name w:val="Medium Grid 1 Accent 3"/>
    <w:basedOn w:val="TableNormal"/>
    <w:uiPriority w:val="67"/>
    <w:semiHidden/>
    <w:unhideWhenUsed/>
    <w:locked/>
    <w:rsid w:val="00530B2E"/>
    <w:pPr>
      <w:spacing w:after="0" w:line="240" w:lineRule="auto"/>
    </w:pPr>
    <w:tblPr>
      <w:tblStyleRowBandSize w:val="1"/>
      <w:tblStyleColBandSize w:val="1"/>
      <w:tblBorders>
        <w:top w:val="single" w:sz="8" w:space="0" w:color="1872BE" w:themeColor="accent3" w:themeTint="BF"/>
        <w:left w:val="single" w:sz="8" w:space="0" w:color="1872BE" w:themeColor="accent3" w:themeTint="BF"/>
        <w:bottom w:val="single" w:sz="8" w:space="0" w:color="1872BE" w:themeColor="accent3" w:themeTint="BF"/>
        <w:right w:val="single" w:sz="8" w:space="0" w:color="1872BE" w:themeColor="accent3" w:themeTint="BF"/>
        <w:insideH w:val="single" w:sz="8" w:space="0" w:color="1872BE" w:themeColor="accent3" w:themeTint="BF"/>
        <w:insideV w:val="single" w:sz="8" w:space="0" w:color="1872BE" w:themeColor="accent3" w:themeTint="BF"/>
      </w:tblBorders>
    </w:tblPr>
    <w:tcPr>
      <w:shd w:val="clear" w:color="auto" w:fill="A8D1F4" w:themeFill="accent3" w:themeFillTint="3F"/>
    </w:tcPr>
    <w:tblStylePr w:type="firstRow">
      <w:rPr>
        <w:b/>
        <w:bCs/>
      </w:rPr>
    </w:tblStylePr>
    <w:tblStylePr w:type="lastRow">
      <w:rPr>
        <w:b/>
        <w:bCs/>
      </w:rPr>
      <w:tblPr/>
      <w:tcPr>
        <w:tcBorders>
          <w:top w:val="single" w:sz="18" w:space="0" w:color="1872BE" w:themeColor="accent3" w:themeTint="BF"/>
        </w:tcBorders>
      </w:tcPr>
    </w:tblStylePr>
    <w:tblStylePr w:type="firstCol">
      <w:rPr>
        <w:b/>
        <w:bCs/>
      </w:rPr>
    </w:tblStylePr>
    <w:tblStylePr w:type="lastCol">
      <w:rPr>
        <w:b/>
        <w:bCs/>
      </w:rPr>
    </w:tblStylePr>
    <w:tblStylePr w:type="band1Vert">
      <w:tblPr/>
      <w:tcPr>
        <w:shd w:val="clear" w:color="auto" w:fill="50A3E9" w:themeFill="accent3" w:themeFillTint="7F"/>
      </w:tcPr>
    </w:tblStylePr>
    <w:tblStylePr w:type="band1Horz">
      <w:tblPr/>
      <w:tcPr>
        <w:shd w:val="clear" w:color="auto" w:fill="50A3E9" w:themeFill="accent3" w:themeFillTint="7F"/>
      </w:tcPr>
    </w:tblStylePr>
  </w:style>
  <w:style w:type="table" w:styleId="MediumGrid1-Accent4">
    <w:name w:val="Medium Grid 1 Accent 4"/>
    <w:basedOn w:val="TableNormal"/>
    <w:uiPriority w:val="67"/>
    <w:semiHidden/>
    <w:unhideWhenUsed/>
    <w:locked/>
    <w:rsid w:val="00530B2E"/>
    <w:pPr>
      <w:spacing w:after="0" w:line="240" w:lineRule="auto"/>
    </w:pPr>
    <w:tblPr>
      <w:tblStyleRowBandSize w:val="1"/>
      <w:tblStyleColBandSize w:val="1"/>
      <w:tblBorders>
        <w:top w:val="single" w:sz="8" w:space="0" w:color="9DB0C7" w:themeColor="accent4" w:themeTint="BF"/>
        <w:left w:val="single" w:sz="8" w:space="0" w:color="9DB0C7" w:themeColor="accent4" w:themeTint="BF"/>
        <w:bottom w:val="single" w:sz="8" w:space="0" w:color="9DB0C7" w:themeColor="accent4" w:themeTint="BF"/>
        <w:right w:val="single" w:sz="8" w:space="0" w:color="9DB0C7" w:themeColor="accent4" w:themeTint="BF"/>
        <w:insideH w:val="single" w:sz="8" w:space="0" w:color="9DB0C7" w:themeColor="accent4" w:themeTint="BF"/>
        <w:insideV w:val="single" w:sz="8" w:space="0" w:color="9DB0C7" w:themeColor="accent4" w:themeTint="BF"/>
      </w:tblBorders>
    </w:tblPr>
    <w:tcPr>
      <w:shd w:val="clear" w:color="auto" w:fill="DEE4EC" w:themeFill="accent4" w:themeFillTint="3F"/>
    </w:tcPr>
    <w:tblStylePr w:type="firstRow">
      <w:rPr>
        <w:b/>
        <w:bCs/>
      </w:rPr>
    </w:tblStylePr>
    <w:tblStylePr w:type="lastRow">
      <w:rPr>
        <w:b/>
        <w:bCs/>
      </w:rPr>
      <w:tblPr/>
      <w:tcPr>
        <w:tcBorders>
          <w:top w:val="single" w:sz="18" w:space="0" w:color="9DB0C7" w:themeColor="accent4" w:themeTint="BF"/>
        </w:tcBorders>
      </w:tcPr>
    </w:tblStylePr>
    <w:tblStylePr w:type="firstCol">
      <w:rPr>
        <w:b/>
        <w:bCs/>
      </w:rPr>
    </w:tblStylePr>
    <w:tblStylePr w:type="lastCol">
      <w:rPr>
        <w:b/>
        <w:bCs/>
      </w:rPr>
    </w:tblStylePr>
    <w:tblStylePr w:type="band1Vert">
      <w:tblPr/>
      <w:tcPr>
        <w:shd w:val="clear" w:color="auto" w:fill="BECADA" w:themeFill="accent4" w:themeFillTint="7F"/>
      </w:tcPr>
    </w:tblStylePr>
    <w:tblStylePr w:type="band1Horz">
      <w:tblPr/>
      <w:tcPr>
        <w:shd w:val="clear" w:color="auto" w:fill="BECADA" w:themeFill="accent4" w:themeFillTint="7F"/>
      </w:tcPr>
    </w:tblStylePr>
  </w:style>
  <w:style w:type="table" w:styleId="MediumGrid1-Accent5">
    <w:name w:val="Medium Grid 1 Accent 5"/>
    <w:basedOn w:val="TableNormal"/>
    <w:uiPriority w:val="67"/>
    <w:semiHidden/>
    <w:unhideWhenUsed/>
    <w:locked/>
    <w:rsid w:val="00530B2E"/>
    <w:pPr>
      <w:spacing w:after="0" w:line="240" w:lineRule="auto"/>
    </w:pPr>
    <w:tblPr>
      <w:tblStyleRowBandSize w:val="1"/>
      <w:tblStyleColBandSize w:val="1"/>
      <w:tblBorders>
        <w:top w:val="single" w:sz="8" w:space="0" w:color="15D8C1" w:themeColor="accent5" w:themeTint="BF"/>
        <w:left w:val="single" w:sz="8" w:space="0" w:color="15D8C1" w:themeColor="accent5" w:themeTint="BF"/>
        <w:bottom w:val="single" w:sz="8" w:space="0" w:color="15D8C1" w:themeColor="accent5" w:themeTint="BF"/>
        <w:right w:val="single" w:sz="8" w:space="0" w:color="15D8C1" w:themeColor="accent5" w:themeTint="BF"/>
        <w:insideH w:val="single" w:sz="8" w:space="0" w:color="15D8C1" w:themeColor="accent5" w:themeTint="BF"/>
        <w:insideV w:val="single" w:sz="8" w:space="0" w:color="15D8C1" w:themeColor="accent5" w:themeTint="BF"/>
      </w:tblBorders>
    </w:tblPr>
    <w:tcPr>
      <w:shd w:val="clear" w:color="auto" w:fill="ADF7EE" w:themeFill="accent5" w:themeFillTint="3F"/>
    </w:tcPr>
    <w:tblStylePr w:type="firstRow">
      <w:rPr>
        <w:b/>
        <w:bCs/>
      </w:rPr>
    </w:tblStylePr>
    <w:tblStylePr w:type="lastRow">
      <w:rPr>
        <w:b/>
        <w:bCs/>
      </w:rPr>
      <w:tblPr/>
      <w:tcPr>
        <w:tcBorders>
          <w:top w:val="single" w:sz="18" w:space="0" w:color="15D8C1" w:themeColor="accent5" w:themeTint="BF"/>
        </w:tcBorders>
      </w:tcPr>
    </w:tblStylePr>
    <w:tblStylePr w:type="firstCol">
      <w:rPr>
        <w:b/>
        <w:bCs/>
      </w:rPr>
    </w:tblStylePr>
    <w:tblStylePr w:type="lastCol">
      <w:rPr>
        <w:b/>
        <w:bCs/>
      </w:rPr>
    </w:tblStylePr>
    <w:tblStylePr w:type="band1Vert">
      <w:tblPr/>
      <w:tcPr>
        <w:shd w:val="clear" w:color="auto" w:fill="59EEDD" w:themeFill="accent5" w:themeFillTint="7F"/>
      </w:tcPr>
    </w:tblStylePr>
    <w:tblStylePr w:type="band1Horz">
      <w:tblPr/>
      <w:tcPr>
        <w:shd w:val="clear" w:color="auto" w:fill="59EEDD" w:themeFill="accent5" w:themeFillTint="7F"/>
      </w:tcPr>
    </w:tblStylePr>
  </w:style>
  <w:style w:type="table" w:styleId="MediumGrid1-Accent6">
    <w:name w:val="Medium Grid 1 Accent 6"/>
    <w:basedOn w:val="TableNormal"/>
    <w:uiPriority w:val="67"/>
    <w:semiHidden/>
    <w:unhideWhenUsed/>
    <w:locked/>
    <w:rsid w:val="00530B2E"/>
    <w:pPr>
      <w:spacing w:after="0" w:line="240" w:lineRule="auto"/>
    </w:pPr>
    <w:tblPr>
      <w:tblStyleRowBandSize w:val="1"/>
      <w:tblStyleColBandSize w:val="1"/>
      <w:tblBorders>
        <w:top w:val="single" w:sz="8" w:space="0" w:color="73CABE" w:themeColor="accent6" w:themeTint="BF"/>
        <w:left w:val="single" w:sz="8" w:space="0" w:color="73CABE" w:themeColor="accent6" w:themeTint="BF"/>
        <w:bottom w:val="single" w:sz="8" w:space="0" w:color="73CABE" w:themeColor="accent6" w:themeTint="BF"/>
        <w:right w:val="single" w:sz="8" w:space="0" w:color="73CABE" w:themeColor="accent6" w:themeTint="BF"/>
        <w:insideH w:val="single" w:sz="8" w:space="0" w:color="73CABE" w:themeColor="accent6" w:themeTint="BF"/>
        <w:insideV w:val="single" w:sz="8" w:space="0" w:color="73CABE" w:themeColor="accent6" w:themeTint="BF"/>
      </w:tblBorders>
    </w:tblPr>
    <w:tcPr>
      <w:shd w:val="clear" w:color="auto" w:fill="D1EDE9" w:themeFill="accent6" w:themeFillTint="3F"/>
    </w:tcPr>
    <w:tblStylePr w:type="firstRow">
      <w:rPr>
        <w:b/>
        <w:bCs/>
      </w:rPr>
    </w:tblStylePr>
    <w:tblStylePr w:type="lastRow">
      <w:rPr>
        <w:b/>
        <w:bCs/>
      </w:rPr>
      <w:tblPr/>
      <w:tcPr>
        <w:tcBorders>
          <w:top w:val="single" w:sz="18" w:space="0" w:color="73CABE" w:themeColor="accent6" w:themeTint="BF"/>
        </w:tcBorders>
      </w:tcPr>
    </w:tblStylePr>
    <w:tblStylePr w:type="firstCol">
      <w:rPr>
        <w:b/>
        <w:bCs/>
      </w:rPr>
    </w:tblStylePr>
    <w:tblStylePr w:type="lastCol">
      <w:rPr>
        <w:b/>
        <w:bCs/>
      </w:rPr>
    </w:tblStylePr>
    <w:tblStylePr w:type="band1Vert">
      <w:tblPr/>
      <w:tcPr>
        <w:shd w:val="clear" w:color="auto" w:fill="A2DBD4" w:themeFill="accent6" w:themeFillTint="7F"/>
      </w:tcPr>
    </w:tblStylePr>
    <w:tblStylePr w:type="band1Horz">
      <w:tblPr/>
      <w:tcPr>
        <w:shd w:val="clear" w:color="auto" w:fill="A2DBD4" w:themeFill="accent6" w:themeFillTint="7F"/>
      </w:tcPr>
    </w:tblStylePr>
  </w:style>
  <w:style w:type="table" w:styleId="MediumGrid2">
    <w:name w:val="Medium Grid 2"/>
    <w:basedOn w:val="TableNormal"/>
    <w:uiPriority w:val="68"/>
    <w:semiHidden/>
    <w:unhideWhenUsed/>
    <w:locked/>
    <w:rsid w:val="00530B2E"/>
    <w:pPr>
      <w:spacing w:after="0" w:line="240" w:lineRule="auto"/>
    </w:pPr>
    <w:rPr>
      <w:rFonts w:asciiTheme="majorHAnsi" w:eastAsiaTheme="majorEastAsia" w:hAnsiTheme="majorHAnsi" w:cstheme="majorBidi"/>
    </w:rPr>
    <w:tblPr>
      <w:tblStyleRowBandSize w:val="1"/>
      <w:tblStyleColBandSize w:val="1"/>
      <w:tblBorders>
        <w:top w:val="single" w:sz="8" w:space="0" w:color="222222" w:themeColor="text1"/>
        <w:left w:val="single" w:sz="8" w:space="0" w:color="222222" w:themeColor="text1"/>
        <w:bottom w:val="single" w:sz="8" w:space="0" w:color="222222" w:themeColor="text1"/>
        <w:right w:val="single" w:sz="8" w:space="0" w:color="222222" w:themeColor="text1"/>
        <w:insideH w:val="single" w:sz="8" w:space="0" w:color="222222" w:themeColor="text1"/>
        <w:insideV w:val="single" w:sz="8" w:space="0" w:color="222222" w:themeColor="text1"/>
      </w:tblBorders>
    </w:tblPr>
    <w:tcPr>
      <w:shd w:val="clear" w:color="auto" w:fill="C8C8C8" w:themeFill="text1" w:themeFillTint="3F"/>
    </w:tcPr>
    <w:tblStylePr w:type="firstRow">
      <w:rPr>
        <w:b/>
        <w:bCs/>
        <w:color w:val="222222" w:themeColor="text1"/>
      </w:rPr>
      <w:tblPr/>
      <w:tcPr>
        <w:shd w:val="clear" w:color="auto" w:fill="E9E9E9" w:themeFill="text1" w:themeFillTint="19"/>
      </w:tcPr>
    </w:tblStylePr>
    <w:tblStylePr w:type="lastRow">
      <w:rPr>
        <w:b/>
        <w:bCs/>
        <w:color w:val="222222" w:themeColor="text1"/>
      </w:rPr>
      <w:tblPr/>
      <w:tcPr>
        <w:tcBorders>
          <w:top w:val="single" w:sz="12" w:space="0" w:color="222222" w:themeColor="text1"/>
          <w:left w:val="nil"/>
          <w:bottom w:val="nil"/>
          <w:right w:val="nil"/>
          <w:insideH w:val="nil"/>
          <w:insideV w:val="nil"/>
        </w:tcBorders>
        <w:shd w:val="clear" w:color="auto" w:fill="FFFFFF" w:themeFill="background1"/>
      </w:tcPr>
    </w:tblStylePr>
    <w:tblStylePr w:type="firstCol">
      <w:rPr>
        <w:b/>
        <w:bCs/>
        <w:color w:val="22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22222" w:themeColor="text1"/>
      </w:rPr>
      <w:tblPr/>
      <w:tcPr>
        <w:tcBorders>
          <w:top w:val="nil"/>
          <w:left w:val="nil"/>
          <w:bottom w:val="nil"/>
          <w:right w:val="nil"/>
          <w:insideH w:val="nil"/>
          <w:insideV w:val="nil"/>
        </w:tcBorders>
        <w:shd w:val="clear" w:color="auto" w:fill="D2D2D2" w:themeFill="text1" w:themeFillTint="33"/>
      </w:tcPr>
    </w:tblStylePr>
    <w:tblStylePr w:type="band1Vert">
      <w:tblPr/>
      <w:tcPr>
        <w:shd w:val="clear" w:color="auto" w:fill="909090" w:themeFill="text1" w:themeFillTint="7F"/>
      </w:tcPr>
    </w:tblStylePr>
    <w:tblStylePr w:type="band1Horz">
      <w:tblPr/>
      <w:tcPr>
        <w:tcBorders>
          <w:insideH w:val="single" w:sz="6" w:space="0" w:color="222222" w:themeColor="text1"/>
          <w:insideV w:val="single" w:sz="6" w:space="0" w:color="222222" w:themeColor="text1"/>
        </w:tcBorders>
        <w:shd w:val="clear" w:color="auto" w:fill="90909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locked/>
    <w:rsid w:val="00530B2E"/>
    <w:pPr>
      <w:spacing w:after="0" w:line="240" w:lineRule="auto"/>
    </w:pPr>
    <w:rPr>
      <w:rFonts w:asciiTheme="majorHAnsi" w:eastAsiaTheme="majorEastAsia" w:hAnsiTheme="majorHAnsi" w:cstheme="majorBidi"/>
    </w:rPr>
    <w:tblPr>
      <w:tblStyleRowBandSize w:val="1"/>
      <w:tblStyleColBandSize w:val="1"/>
      <w:tblBorders>
        <w:top w:val="single" w:sz="8" w:space="0" w:color="CC6600" w:themeColor="accent1"/>
        <w:left w:val="single" w:sz="8" w:space="0" w:color="CC6600" w:themeColor="accent1"/>
        <w:bottom w:val="single" w:sz="8" w:space="0" w:color="CC6600" w:themeColor="accent1"/>
        <w:right w:val="single" w:sz="8" w:space="0" w:color="CC6600" w:themeColor="accent1"/>
        <w:insideH w:val="single" w:sz="8" w:space="0" w:color="CC6600" w:themeColor="accent1"/>
        <w:insideV w:val="single" w:sz="8" w:space="0" w:color="CC6600" w:themeColor="accent1"/>
      </w:tblBorders>
    </w:tblPr>
    <w:tcPr>
      <w:shd w:val="clear" w:color="auto" w:fill="FFD9B3" w:themeFill="accent1" w:themeFillTint="3F"/>
    </w:tcPr>
    <w:tblStylePr w:type="firstRow">
      <w:rPr>
        <w:b/>
        <w:bCs/>
        <w:color w:val="222222" w:themeColor="text1"/>
      </w:rPr>
      <w:tblPr/>
      <w:tcPr>
        <w:shd w:val="clear" w:color="auto" w:fill="FFEFE1" w:themeFill="accent1" w:themeFillTint="19"/>
      </w:tcPr>
    </w:tblStylePr>
    <w:tblStylePr w:type="lastRow">
      <w:rPr>
        <w:b/>
        <w:bCs/>
        <w:color w:val="222222" w:themeColor="text1"/>
      </w:rPr>
      <w:tblPr/>
      <w:tcPr>
        <w:tcBorders>
          <w:top w:val="single" w:sz="12" w:space="0" w:color="222222" w:themeColor="text1"/>
          <w:left w:val="nil"/>
          <w:bottom w:val="nil"/>
          <w:right w:val="nil"/>
          <w:insideH w:val="nil"/>
          <w:insideV w:val="nil"/>
        </w:tcBorders>
        <w:shd w:val="clear" w:color="auto" w:fill="FFFFFF" w:themeFill="background1"/>
      </w:tcPr>
    </w:tblStylePr>
    <w:tblStylePr w:type="firstCol">
      <w:rPr>
        <w:b/>
        <w:bCs/>
        <w:color w:val="22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22222" w:themeColor="text1"/>
      </w:rPr>
      <w:tblPr/>
      <w:tcPr>
        <w:tcBorders>
          <w:top w:val="nil"/>
          <w:left w:val="nil"/>
          <w:bottom w:val="nil"/>
          <w:right w:val="nil"/>
          <w:insideH w:val="nil"/>
          <w:insideV w:val="nil"/>
        </w:tcBorders>
        <w:shd w:val="clear" w:color="auto" w:fill="FFE0C1" w:themeFill="accent1" w:themeFillTint="33"/>
      </w:tcPr>
    </w:tblStylePr>
    <w:tblStylePr w:type="band1Vert">
      <w:tblPr/>
      <w:tcPr>
        <w:shd w:val="clear" w:color="auto" w:fill="FFB266" w:themeFill="accent1" w:themeFillTint="7F"/>
      </w:tcPr>
    </w:tblStylePr>
    <w:tblStylePr w:type="band1Horz">
      <w:tblPr/>
      <w:tcPr>
        <w:tcBorders>
          <w:insideH w:val="single" w:sz="6" w:space="0" w:color="CC6600" w:themeColor="accent1"/>
          <w:insideV w:val="single" w:sz="6" w:space="0" w:color="CC6600" w:themeColor="accent1"/>
        </w:tcBorders>
        <w:shd w:val="clear" w:color="auto" w:fill="FFB26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locked/>
    <w:rsid w:val="00530B2E"/>
    <w:pPr>
      <w:spacing w:after="0" w:line="240" w:lineRule="auto"/>
    </w:pPr>
    <w:rPr>
      <w:rFonts w:asciiTheme="majorHAnsi" w:eastAsiaTheme="majorEastAsia" w:hAnsiTheme="majorHAnsi" w:cstheme="majorBidi"/>
    </w:rPr>
    <w:tblPr>
      <w:tblStyleRowBandSize w:val="1"/>
      <w:tblStyleColBandSize w:val="1"/>
      <w:tblBorders>
        <w:top w:val="single" w:sz="8" w:space="0" w:color="FCE2CC" w:themeColor="accent2"/>
        <w:left w:val="single" w:sz="8" w:space="0" w:color="FCE2CC" w:themeColor="accent2"/>
        <w:bottom w:val="single" w:sz="8" w:space="0" w:color="FCE2CC" w:themeColor="accent2"/>
        <w:right w:val="single" w:sz="8" w:space="0" w:color="FCE2CC" w:themeColor="accent2"/>
        <w:insideH w:val="single" w:sz="8" w:space="0" w:color="FCE2CC" w:themeColor="accent2"/>
        <w:insideV w:val="single" w:sz="8" w:space="0" w:color="FCE2CC" w:themeColor="accent2"/>
      </w:tblBorders>
    </w:tblPr>
    <w:tcPr>
      <w:shd w:val="clear" w:color="auto" w:fill="FEF7F2" w:themeFill="accent2" w:themeFillTint="3F"/>
    </w:tcPr>
    <w:tblStylePr w:type="firstRow">
      <w:rPr>
        <w:b/>
        <w:bCs/>
        <w:color w:val="222222" w:themeColor="text1"/>
      </w:rPr>
      <w:tblPr/>
      <w:tcPr>
        <w:shd w:val="clear" w:color="auto" w:fill="FEFCF9" w:themeFill="accent2" w:themeFillTint="19"/>
      </w:tcPr>
    </w:tblStylePr>
    <w:tblStylePr w:type="lastRow">
      <w:rPr>
        <w:b/>
        <w:bCs/>
        <w:color w:val="222222" w:themeColor="text1"/>
      </w:rPr>
      <w:tblPr/>
      <w:tcPr>
        <w:tcBorders>
          <w:top w:val="single" w:sz="12" w:space="0" w:color="222222" w:themeColor="text1"/>
          <w:left w:val="nil"/>
          <w:bottom w:val="nil"/>
          <w:right w:val="nil"/>
          <w:insideH w:val="nil"/>
          <w:insideV w:val="nil"/>
        </w:tcBorders>
        <w:shd w:val="clear" w:color="auto" w:fill="FFFFFF" w:themeFill="background1"/>
      </w:tcPr>
    </w:tblStylePr>
    <w:tblStylePr w:type="firstCol">
      <w:rPr>
        <w:b/>
        <w:bCs/>
        <w:color w:val="22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22222" w:themeColor="text1"/>
      </w:rPr>
      <w:tblPr/>
      <w:tcPr>
        <w:tcBorders>
          <w:top w:val="nil"/>
          <w:left w:val="nil"/>
          <w:bottom w:val="nil"/>
          <w:right w:val="nil"/>
          <w:insideH w:val="nil"/>
          <w:insideV w:val="nil"/>
        </w:tcBorders>
        <w:shd w:val="clear" w:color="auto" w:fill="FEF9F4" w:themeFill="accent2" w:themeFillTint="33"/>
      </w:tcPr>
    </w:tblStylePr>
    <w:tblStylePr w:type="band1Vert">
      <w:tblPr/>
      <w:tcPr>
        <w:shd w:val="clear" w:color="auto" w:fill="FDF0E5" w:themeFill="accent2" w:themeFillTint="7F"/>
      </w:tcPr>
    </w:tblStylePr>
    <w:tblStylePr w:type="band1Horz">
      <w:tblPr/>
      <w:tcPr>
        <w:tcBorders>
          <w:insideH w:val="single" w:sz="6" w:space="0" w:color="FCE2CC" w:themeColor="accent2"/>
          <w:insideV w:val="single" w:sz="6" w:space="0" w:color="FCE2CC" w:themeColor="accent2"/>
        </w:tcBorders>
        <w:shd w:val="clear" w:color="auto" w:fill="FDF0E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locked/>
    <w:rsid w:val="00530B2E"/>
    <w:pPr>
      <w:spacing w:after="0" w:line="240" w:lineRule="auto"/>
    </w:pPr>
    <w:rPr>
      <w:rFonts w:asciiTheme="majorHAnsi" w:eastAsiaTheme="majorEastAsia" w:hAnsiTheme="majorHAnsi" w:cstheme="majorBidi"/>
    </w:rPr>
    <w:tblPr>
      <w:tblStyleRowBandSize w:val="1"/>
      <w:tblStyleColBandSize w:val="1"/>
      <w:tblBorders>
        <w:top w:val="single" w:sz="8" w:space="0" w:color="0D3E67" w:themeColor="accent3"/>
        <w:left w:val="single" w:sz="8" w:space="0" w:color="0D3E67" w:themeColor="accent3"/>
        <w:bottom w:val="single" w:sz="8" w:space="0" w:color="0D3E67" w:themeColor="accent3"/>
        <w:right w:val="single" w:sz="8" w:space="0" w:color="0D3E67" w:themeColor="accent3"/>
        <w:insideH w:val="single" w:sz="8" w:space="0" w:color="0D3E67" w:themeColor="accent3"/>
        <w:insideV w:val="single" w:sz="8" w:space="0" w:color="0D3E67" w:themeColor="accent3"/>
      </w:tblBorders>
    </w:tblPr>
    <w:tcPr>
      <w:shd w:val="clear" w:color="auto" w:fill="A8D1F4" w:themeFill="accent3" w:themeFillTint="3F"/>
    </w:tcPr>
    <w:tblStylePr w:type="firstRow">
      <w:rPr>
        <w:b/>
        <w:bCs/>
        <w:color w:val="222222" w:themeColor="text1"/>
      </w:rPr>
      <w:tblPr/>
      <w:tcPr>
        <w:shd w:val="clear" w:color="auto" w:fill="DCECFA" w:themeFill="accent3" w:themeFillTint="19"/>
      </w:tcPr>
    </w:tblStylePr>
    <w:tblStylePr w:type="lastRow">
      <w:rPr>
        <w:b/>
        <w:bCs/>
        <w:color w:val="222222" w:themeColor="text1"/>
      </w:rPr>
      <w:tblPr/>
      <w:tcPr>
        <w:tcBorders>
          <w:top w:val="single" w:sz="12" w:space="0" w:color="222222" w:themeColor="text1"/>
          <w:left w:val="nil"/>
          <w:bottom w:val="nil"/>
          <w:right w:val="nil"/>
          <w:insideH w:val="nil"/>
          <w:insideV w:val="nil"/>
        </w:tcBorders>
        <w:shd w:val="clear" w:color="auto" w:fill="FFFFFF" w:themeFill="background1"/>
      </w:tcPr>
    </w:tblStylePr>
    <w:tblStylePr w:type="firstCol">
      <w:rPr>
        <w:b/>
        <w:bCs/>
        <w:color w:val="22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22222" w:themeColor="text1"/>
      </w:rPr>
      <w:tblPr/>
      <w:tcPr>
        <w:tcBorders>
          <w:top w:val="nil"/>
          <w:left w:val="nil"/>
          <w:bottom w:val="nil"/>
          <w:right w:val="nil"/>
          <w:insideH w:val="nil"/>
          <w:insideV w:val="nil"/>
        </w:tcBorders>
        <w:shd w:val="clear" w:color="auto" w:fill="B8DAF6" w:themeFill="accent3" w:themeFillTint="33"/>
      </w:tcPr>
    </w:tblStylePr>
    <w:tblStylePr w:type="band1Vert">
      <w:tblPr/>
      <w:tcPr>
        <w:shd w:val="clear" w:color="auto" w:fill="50A3E9" w:themeFill="accent3" w:themeFillTint="7F"/>
      </w:tcPr>
    </w:tblStylePr>
    <w:tblStylePr w:type="band1Horz">
      <w:tblPr/>
      <w:tcPr>
        <w:tcBorders>
          <w:insideH w:val="single" w:sz="6" w:space="0" w:color="0D3E67" w:themeColor="accent3"/>
          <w:insideV w:val="single" w:sz="6" w:space="0" w:color="0D3E67" w:themeColor="accent3"/>
        </w:tcBorders>
        <w:shd w:val="clear" w:color="auto" w:fill="50A3E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locked/>
    <w:rsid w:val="00530B2E"/>
    <w:pPr>
      <w:spacing w:after="0" w:line="240" w:lineRule="auto"/>
    </w:pPr>
    <w:rPr>
      <w:rFonts w:asciiTheme="majorHAnsi" w:eastAsiaTheme="majorEastAsia" w:hAnsiTheme="majorHAnsi" w:cstheme="majorBidi"/>
    </w:rPr>
    <w:tblPr>
      <w:tblStyleRowBandSize w:val="1"/>
      <w:tblStyleColBandSize w:val="1"/>
      <w:tblBorders>
        <w:top w:val="single" w:sz="8" w:space="0" w:color="7D96B5" w:themeColor="accent4"/>
        <w:left w:val="single" w:sz="8" w:space="0" w:color="7D96B5" w:themeColor="accent4"/>
        <w:bottom w:val="single" w:sz="8" w:space="0" w:color="7D96B5" w:themeColor="accent4"/>
        <w:right w:val="single" w:sz="8" w:space="0" w:color="7D96B5" w:themeColor="accent4"/>
        <w:insideH w:val="single" w:sz="8" w:space="0" w:color="7D96B5" w:themeColor="accent4"/>
        <w:insideV w:val="single" w:sz="8" w:space="0" w:color="7D96B5" w:themeColor="accent4"/>
      </w:tblBorders>
    </w:tblPr>
    <w:tcPr>
      <w:shd w:val="clear" w:color="auto" w:fill="DEE4EC" w:themeFill="accent4" w:themeFillTint="3F"/>
    </w:tcPr>
    <w:tblStylePr w:type="firstRow">
      <w:rPr>
        <w:b/>
        <w:bCs/>
        <w:color w:val="222222" w:themeColor="text1"/>
      </w:rPr>
      <w:tblPr/>
      <w:tcPr>
        <w:shd w:val="clear" w:color="auto" w:fill="F2F4F7" w:themeFill="accent4" w:themeFillTint="19"/>
      </w:tcPr>
    </w:tblStylePr>
    <w:tblStylePr w:type="lastRow">
      <w:rPr>
        <w:b/>
        <w:bCs/>
        <w:color w:val="222222" w:themeColor="text1"/>
      </w:rPr>
      <w:tblPr/>
      <w:tcPr>
        <w:tcBorders>
          <w:top w:val="single" w:sz="12" w:space="0" w:color="222222" w:themeColor="text1"/>
          <w:left w:val="nil"/>
          <w:bottom w:val="nil"/>
          <w:right w:val="nil"/>
          <w:insideH w:val="nil"/>
          <w:insideV w:val="nil"/>
        </w:tcBorders>
        <w:shd w:val="clear" w:color="auto" w:fill="FFFFFF" w:themeFill="background1"/>
      </w:tcPr>
    </w:tblStylePr>
    <w:tblStylePr w:type="firstCol">
      <w:rPr>
        <w:b/>
        <w:bCs/>
        <w:color w:val="22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22222" w:themeColor="text1"/>
      </w:rPr>
      <w:tblPr/>
      <w:tcPr>
        <w:tcBorders>
          <w:top w:val="nil"/>
          <w:left w:val="nil"/>
          <w:bottom w:val="nil"/>
          <w:right w:val="nil"/>
          <w:insideH w:val="nil"/>
          <w:insideV w:val="nil"/>
        </w:tcBorders>
        <w:shd w:val="clear" w:color="auto" w:fill="E4E9F0" w:themeFill="accent4" w:themeFillTint="33"/>
      </w:tcPr>
    </w:tblStylePr>
    <w:tblStylePr w:type="band1Vert">
      <w:tblPr/>
      <w:tcPr>
        <w:shd w:val="clear" w:color="auto" w:fill="BECADA" w:themeFill="accent4" w:themeFillTint="7F"/>
      </w:tcPr>
    </w:tblStylePr>
    <w:tblStylePr w:type="band1Horz">
      <w:tblPr/>
      <w:tcPr>
        <w:tcBorders>
          <w:insideH w:val="single" w:sz="6" w:space="0" w:color="7D96B5" w:themeColor="accent4"/>
          <w:insideV w:val="single" w:sz="6" w:space="0" w:color="7D96B5" w:themeColor="accent4"/>
        </w:tcBorders>
        <w:shd w:val="clear" w:color="auto" w:fill="BECADA"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locked/>
    <w:rsid w:val="00530B2E"/>
    <w:pPr>
      <w:spacing w:after="0" w:line="240" w:lineRule="auto"/>
    </w:pPr>
    <w:rPr>
      <w:rFonts w:asciiTheme="majorHAnsi" w:eastAsiaTheme="majorEastAsia" w:hAnsiTheme="majorHAnsi" w:cstheme="majorBidi"/>
    </w:rPr>
    <w:tblPr>
      <w:tblStyleRowBandSize w:val="1"/>
      <w:tblStyleColBandSize w:val="1"/>
      <w:tblBorders>
        <w:top w:val="single" w:sz="8" w:space="0" w:color="0D8577" w:themeColor="accent5"/>
        <w:left w:val="single" w:sz="8" w:space="0" w:color="0D8577" w:themeColor="accent5"/>
        <w:bottom w:val="single" w:sz="8" w:space="0" w:color="0D8577" w:themeColor="accent5"/>
        <w:right w:val="single" w:sz="8" w:space="0" w:color="0D8577" w:themeColor="accent5"/>
        <w:insideH w:val="single" w:sz="8" w:space="0" w:color="0D8577" w:themeColor="accent5"/>
        <w:insideV w:val="single" w:sz="8" w:space="0" w:color="0D8577" w:themeColor="accent5"/>
      </w:tblBorders>
    </w:tblPr>
    <w:tcPr>
      <w:shd w:val="clear" w:color="auto" w:fill="ADF7EE" w:themeFill="accent5" w:themeFillTint="3F"/>
    </w:tcPr>
    <w:tblStylePr w:type="firstRow">
      <w:rPr>
        <w:b/>
        <w:bCs/>
        <w:color w:val="222222" w:themeColor="text1"/>
      </w:rPr>
      <w:tblPr/>
      <w:tcPr>
        <w:shd w:val="clear" w:color="auto" w:fill="DEFBF8" w:themeFill="accent5" w:themeFillTint="19"/>
      </w:tcPr>
    </w:tblStylePr>
    <w:tblStylePr w:type="lastRow">
      <w:rPr>
        <w:b/>
        <w:bCs/>
        <w:color w:val="222222" w:themeColor="text1"/>
      </w:rPr>
      <w:tblPr/>
      <w:tcPr>
        <w:tcBorders>
          <w:top w:val="single" w:sz="12" w:space="0" w:color="222222" w:themeColor="text1"/>
          <w:left w:val="nil"/>
          <w:bottom w:val="nil"/>
          <w:right w:val="nil"/>
          <w:insideH w:val="nil"/>
          <w:insideV w:val="nil"/>
        </w:tcBorders>
        <w:shd w:val="clear" w:color="auto" w:fill="FFFFFF" w:themeFill="background1"/>
      </w:tcPr>
    </w:tblStylePr>
    <w:tblStylePr w:type="firstCol">
      <w:rPr>
        <w:b/>
        <w:bCs/>
        <w:color w:val="22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22222" w:themeColor="text1"/>
      </w:rPr>
      <w:tblPr/>
      <w:tcPr>
        <w:tcBorders>
          <w:top w:val="nil"/>
          <w:left w:val="nil"/>
          <w:bottom w:val="nil"/>
          <w:right w:val="nil"/>
          <w:insideH w:val="nil"/>
          <w:insideV w:val="nil"/>
        </w:tcBorders>
        <w:shd w:val="clear" w:color="auto" w:fill="BCF8F1" w:themeFill="accent5" w:themeFillTint="33"/>
      </w:tcPr>
    </w:tblStylePr>
    <w:tblStylePr w:type="band1Vert">
      <w:tblPr/>
      <w:tcPr>
        <w:shd w:val="clear" w:color="auto" w:fill="59EEDD" w:themeFill="accent5" w:themeFillTint="7F"/>
      </w:tcPr>
    </w:tblStylePr>
    <w:tblStylePr w:type="band1Horz">
      <w:tblPr/>
      <w:tcPr>
        <w:tcBorders>
          <w:insideH w:val="single" w:sz="6" w:space="0" w:color="0D8577" w:themeColor="accent5"/>
          <w:insideV w:val="single" w:sz="6" w:space="0" w:color="0D8577" w:themeColor="accent5"/>
        </w:tcBorders>
        <w:shd w:val="clear" w:color="auto" w:fill="59EEDD"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locked/>
    <w:rsid w:val="00530B2E"/>
    <w:pPr>
      <w:spacing w:after="0" w:line="240" w:lineRule="auto"/>
    </w:pPr>
    <w:rPr>
      <w:rFonts w:asciiTheme="majorHAnsi" w:eastAsiaTheme="majorEastAsia" w:hAnsiTheme="majorHAnsi" w:cstheme="majorBidi"/>
    </w:rPr>
    <w:tblPr>
      <w:tblStyleRowBandSize w:val="1"/>
      <w:tblStyleColBandSize w:val="1"/>
      <w:tblBorders>
        <w:top w:val="single" w:sz="8" w:space="0" w:color="46B8A9" w:themeColor="accent6"/>
        <w:left w:val="single" w:sz="8" w:space="0" w:color="46B8A9" w:themeColor="accent6"/>
        <w:bottom w:val="single" w:sz="8" w:space="0" w:color="46B8A9" w:themeColor="accent6"/>
        <w:right w:val="single" w:sz="8" w:space="0" w:color="46B8A9" w:themeColor="accent6"/>
        <w:insideH w:val="single" w:sz="8" w:space="0" w:color="46B8A9" w:themeColor="accent6"/>
        <w:insideV w:val="single" w:sz="8" w:space="0" w:color="46B8A9" w:themeColor="accent6"/>
      </w:tblBorders>
    </w:tblPr>
    <w:tcPr>
      <w:shd w:val="clear" w:color="auto" w:fill="D1EDE9" w:themeFill="accent6" w:themeFillTint="3F"/>
    </w:tcPr>
    <w:tblStylePr w:type="firstRow">
      <w:rPr>
        <w:b/>
        <w:bCs/>
        <w:color w:val="222222" w:themeColor="text1"/>
      </w:rPr>
      <w:tblPr/>
      <w:tcPr>
        <w:shd w:val="clear" w:color="auto" w:fill="ECF8F6" w:themeFill="accent6" w:themeFillTint="19"/>
      </w:tcPr>
    </w:tblStylePr>
    <w:tblStylePr w:type="lastRow">
      <w:rPr>
        <w:b/>
        <w:bCs/>
        <w:color w:val="222222" w:themeColor="text1"/>
      </w:rPr>
      <w:tblPr/>
      <w:tcPr>
        <w:tcBorders>
          <w:top w:val="single" w:sz="12" w:space="0" w:color="222222" w:themeColor="text1"/>
          <w:left w:val="nil"/>
          <w:bottom w:val="nil"/>
          <w:right w:val="nil"/>
          <w:insideH w:val="nil"/>
          <w:insideV w:val="nil"/>
        </w:tcBorders>
        <w:shd w:val="clear" w:color="auto" w:fill="FFFFFF" w:themeFill="background1"/>
      </w:tcPr>
    </w:tblStylePr>
    <w:tblStylePr w:type="firstCol">
      <w:rPr>
        <w:b/>
        <w:bCs/>
        <w:color w:val="22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22222" w:themeColor="text1"/>
      </w:rPr>
      <w:tblPr/>
      <w:tcPr>
        <w:tcBorders>
          <w:top w:val="nil"/>
          <w:left w:val="nil"/>
          <w:bottom w:val="nil"/>
          <w:right w:val="nil"/>
          <w:insideH w:val="nil"/>
          <w:insideV w:val="nil"/>
        </w:tcBorders>
        <w:shd w:val="clear" w:color="auto" w:fill="D9F1ED" w:themeFill="accent6" w:themeFillTint="33"/>
      </w:tcPr>
    </w:tblStylePr>
    <w:tblStylePr w:type="band1Vert">
      <w:tblPr/>
      <w:tcPr>
        <w:shd w:val="clear" w:color="auto" w:fill="A2DBD4" w:themeFill="accent6" w:themeFillTint="7F"/>
      </w:tcPr>
    </w:tblStylePr>
    <w:tblStylePr w:type="band1Horz">
      <w:tblPr/>
      <w:tcPr>
        <w:tcBorders>
          <w:insideH w:val="single" w:sz="6" w:space="0" w:color="46B8A9" w:themeColor="accent6"/>
          <w:insideV w:val="single" w:sz="6" w:space="0" w:color="46B8A9" w:themeColor="accent6"/>
        </w:tcBorders>
        <w:shd w:val="clear" w:color="auto" w:fill="A2DBD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locked/>
    <w:rsid w:val="00530B2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C8C8"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2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2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2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2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0909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09090" w:themeFill="text1" w:themeFillTint="7F"/>
      </w:tcPr>
    </w:tblStylePr>
  </w:style>
  <w:style w:type="table" w:styleId="MediumGrid3-Accent1">
    <w:name w:val="Medium Grid 3 Accent 1"/>
    <w:basedOn w:val="TableNormal"/>
    <w:uiPriority w:val="69"/>
    <w:semiHidden/>
    <w:unhideWhenUsed/>
    <w:locked/>
    <w:rsid w:val="00530B2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9B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66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66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66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66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26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266" w:themeFill="accent1" w:themeFillTint="7F"/>
      </w:tcPr>
    </w:tblStylePr>
  </w:style>
  <w:style w:type="table" w:styleId="MediumGrid3-Accent2">
    <w:name w:val="Medium Grid 3 Accent 2"/>
    <w:basedOn w:val="TableNormal"/>
    <w:uiPriority w:val="69"/>
    <w:semiHidden/>
    <w:unhideWhenUsed/>
    <w:locked/>
    <w:rsid w:val="00530B2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7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E2C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E2C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E2C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E2C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F0E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F0E5" w:themeFill="accent2" w:themeFillTint="7F"/>
      </w:tcPr>
    </w:tblStylePr>
  </w:style>
  <w:style w:type="table" w:styleId="MediumGrid3-Accent3">
    <w:name w:val="Medium Grid 3 Accent 3"/>
    <w:basedOn w:val="TableNormal"/>
    <w:uiPriority w:val="69"/>
    <w:semiHidden/>
    <w:unhideWhenUsed/>
    <w:locked/>
    <w:rsid w:val="00530B2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1F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3E6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3E6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3E6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3E6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0A3E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0A3E9" w:themeFill="accent3" w:themeFillTint="7F"/>
      </w:tcPr>
    </w:tblStylePr>
  </w:style>
  <w:style w:type="table" w:styleId="MediumGrid3-Accent4">
    <w:name w:val="Medium Grid 3 Accent 4"/>
    <w:basedOn w:val="TableNormal"/>
    <w:uiPriority w:val="69"/>
    <w:semiHidden/>
    <w:unhideWhenUsed/>
    <w:locked/>
    <w:rsid w:val="00530B2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4E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96B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96B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96B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96B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AD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ADA" w:themeFill="accent4" w:themeFillTint="7F"/>
      </w:tcPr>
    </w:tblStylePr>
  </w:style>
  <w:style w:type="table" w:styleId="MediumGrid3-Accent5">
    <w:name w:val="Medium Grid 3 Accent 5"/>
    <w:basedOn w:val="TableNormal"/>
    <w:uiPriority w:val="69"/>
    <w:semiHidden/>
    <w:unhideWhenUsed/>
    <w:locked/>
    <w:rsid w:val="00530B2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DF7E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857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857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857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857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EED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EEDD" w:themeFill="accent5" w:themeFillTint="7F"/>
      </w:tcPr>
    </w:tblStylePr>
  </w:style>
  <w:style w:type="table" w:styleId="MediumGrid3-Accent6">
    <w:name w:val="Medium Grid 3 Accent 6"/>
    <w:basedOn w:val="TableNormal"/>
    <w:uiPriority w:val="69"/>
    <w:semiHidden/>
    <w:unhideWhenUsed/>
    <w:locked/>
    <w:rsid w:val="00530B2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DE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B8A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B8A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B8A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B8A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DBD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DBD4" w:themeFill="accent6" w:themeFillTint="7F"/>
      </w:tcPr>
    </w:tblStylePr>
  </w:style>
  <w:style w:type="table" w:styleId="MediumList1">
    <w:name w:val="Medium List 1"/>
    <w:basedOn w:val="TableNormal"/>
    <w:uiPriority w:val="65"/>
    <w:semiHidden/>
    <w:unhideWhenUsed/>
    <w:locked/>
    <w:rsid w:val="00530B2E"/>
    <w:pPr>
      <w:spacing w:after="0" w:line="240" w:lineRule="auto"/>
    </w:pPr>
    <w:tblPr>
      <w:tblStyleRowBandSize w:val="1"/>
      <w:tblStyleColBandSize w:val="1"/>
      <w:tblBorders>
        <w:top w:val="single" w:sz="8" w:space="0" w:color="222222" w:themeColor="text1"/>
        <w:bottom w:val="single" w:sz="8" w:space="0" w:color="222222" w:themeColor="text1"/>
      </w:tblBorders>
    </w:tblPr>
    <w:tblStylePr w:type="firstRow">
      <w:rPr>
        <w:rFonts w:asciiTheme="majorHAnsi" w:eastAsiaTheme="majorEastAsia" w:hAnsiTheme="majorHAnsi" w:cstheme="majorBidi"/>
      </w:rPr>
      <w:tblPr/>
      <w:tcPr>
        <w:tcBorders>
          <w:top w:val="nil"/>
          <w:bottom w:val="single" w:sz="8" w:space="0" w:color="222222" w:themeColor="text1"/>
        </w:tcBorders>
      </w:tcPr>
    </w:tblStylePr>
    <w:tblStylePr w:type="lastRow">
      <w:rPr>
        <w:b/>
        <w:bCs/>
        <w:color w:val="CBC3BB" w:themeColor="text2"/>
      </w:rPr>
      <w:tblPr/>
      <w:tcPr>
        <w:tcBorders>
          <w:top w:val="single" w:sz="8" w:space="0" w:color="222222" w:themeColor="text1"/>
          <w:bottom w:val="single" w:sz="8" w:space="0" w:color="222222" w:themeColor="text1"/>
        </w:tcBorders>
      </w:tcPr>
    </w:tblStylePr>
    <w:tblStylePr w:type="firstCol">
      <w:rPr>
        <w:b/>
        <w:bCs/>
      </w:rPr>
    </w:tblStylePr>
    <w:tblStylePr w:type="lastCol">
      <w:rPr>
        <w:b/>
        <w:bCs/>
      </w:rPr>
      <w:tblPr/>
      <w:tcPr>
        <w:tcBorders>
          <w:top w:val="single" w:sz="8" w:space="0" w:color="222222" w:themeColor="text1"/>
          <w:bottom w:val="single" w:sz="8" w:space="0" w:color="222222" w:themeColor="text1"/>
        </w:tcBorders>
      </w:tcPr>
    </w:tblStylePr>
    <w:tblStylePr w:type="band1Vert">
      <w:tblPr/>
      <w:tcPr>
        <w:shd w:val="clear" w:color="auto" w:fill="C8C8C8" w:themeFill="text1" w:themeFillTint="3F"/>
      </w:tcPr>
    </w:tblStylePr>
    <w:tblStylePr w:type="band1Horz">
      <w:tblPr/>
      <w:tcPr>
        <w:shd w:val="clear" w:color="auto" w:fill="C8C8C8" w:themeFill="text1" w:themeFillTint="3F"/>
      </w:tcPr>
    </w:tblStylePr>
  </w:style>
  <w:style w:type="table" w:styleId="MediumList1-Accent1">
    <w:name w:val="Medium List 1 Accent 1"/>
    <w:basedOn w:val="TableNormal"/>
    <w:uiPriority w:val="65"/>
    <w:semiHidden/>
    <w:unhideWhenUsed/>
    <w:locked/>
    <w:rsid w:val="00530B2E"/>
    <w:pPr>
      <w:spacing w:after="0" w:line="240" w:lineRule="auto"/>
    </w:pPr>
    <w:tblPr>
      <w:tblStyleRowBandSize w:val="1"/>
      <w:tblStyleColBandSize w:val="1"/>
      <w:tblBorders>
        <w:top w:val="single" w:sz="8" w:space="0" w:color="CC6600" w:themeColor="accent1"/>
        <w:bottom w:val="single" w:sz="8" w:space="0" w:color="CC6600" w:themeColor="accent1"/>
      </w:tblBorders>
    </w:tblPr>
    <w:tblStylePr w:type="firstRow">
      <w:rPr>
        <w:rFonts w:asciiTheme="majorHAnsi" w:eastAsiaTheme="majorEastAsia" w:hAnsiTheme="majorHAnsi" w:cstheme="majorBidi"/>
      </w:rPr>
      <w:tblPr/>
      <w:tcPr>
        <w:tcBorders>
          <w:top w:val="nil"/>
          <w:bottom w:val="single" w:sz="8" w:space="0" w:color="CC6600" w:themeColor="accent1"/>
        </w:tcBorders>
      </w:tcPr>
    </w:tblStylePr>
    <w:tblStylePr w:type="lastRow">
      <w:rPr>
        <w:b/>
        <w:bCs/>
        <w:color w:val="CBC3BB" w:themeColor="text2"/>
      </w:rPr>
      <w:tblPr/>
      <w:tcPr>
        <w:tcBorders>
          <w:top w:val="single" w:sz="8" w:space="0" w:color="CC6600" w:themeColor="accent1"/>
          <w:bottom w:val="single" w:sz="8" w:space="0" w:color="CC6600" w:themeColor="accent1"/>
        </w:tcBorders>
      </w:tcPr>
    </w:tblStylePr>
    <w:tblStylePr w:type="firstCol">
      <w:rPr>
        <w:b/>
        <w:bCs/>
      </w:rPr>
    </w:tblStylePr>
    <w:tblStylePr w:type="lastCol">
      <w:rPr>
        <w:b/>
        <w:bCs/>
      </w:rPr>
      <w:tblPr/>
      <w:tcPr>
        <w:tcBorders>
          <w:top w:val="single" w:sz="8" w:space="0" w:color="CC6600" w:themeColor="accent1"/>
          <w:bottom w:val="single" w:sz="8" w:space="0" w:color="CC6600" w:themeColor="accent1"/>
        </w:tcBorders>
      </w:tcPr>
    </w:tblStylePr>
    <w:tblStylePr w:type="band1Vert">
      <w:tblPr/>
      <w:tcPr>
        <w:shd w:val="clear" w:color="auto" w:fill="FFD9B3" w:themeFill="accent1" w:themeFillTint="3F"/>
      </w:tcPr>
    </w:tblStylePr>
    <w:tblStylePr w:type="band1Horz">
      <w:tblPr/>
      <w:tcPr>
        <w:shd w:val="clear" w:color="auto" w:fill="FFD9B3" w:themeFill="accent1" w:themeFillTint="3F"/>
      </w:tcPr>
    </w:tblStylePr>
  </w:style>
  <w:style w:type="table" w:styleId="MediumList1-Accent2">
    <w:name w:val="Medium List 1 Accent 2"/>
    <w:basedOn w:val="TableNormal"/>
    <w:uiPriority w:val="65"/>
    <w:semiHidden/>
    <w:unhideWhenUsed/>
    <w:locked/>
    <w:rsid w:val="00530B2E"/>
    <w:pPr>
      <w:spacing w:after="0" w:line="240" w:lineRule="auto"/>
    </w:pPr>
    <w:tblPr>
      <w:tblStyleRowBandSize w:val="1"/>
      <w:tblStyleColBandSize w:val="1"/>
      <w:tblBorders>
        <w:top w:val="single" w:sz="8" w:space="0" w:color="FCE2CC" w:themeColor="accent2"/>
        <w:bottom w:val="single" w:sz="8" w:space="0" w:color="FCE2CC" w:themeColor="accent2"/>
      </w:tblBorders>
    </w:tblPr>
    <w:tblStylePr w:type="firstRow">
      <w:rPr>
        <w:rFonts w:asciiTheme="majorHAnsi" w:eastAsiaTheme="majorEastAsia" w:hAnsiTheme="majorHAnsi" w:cstheme="majorBidi"/>
      </w:rPr>
      <w:tblPr/>
      <w:tcPr>
        <w:tcBorders>
          <w:top w:val="nil"/>
          <w:bottom w:val="single" w:sz="8" w:space="0" w:color="FCE2CC" w:themeColor="accent2"/>
        </w:tcBorders>
      </w:tcPr>
    </w:tblStylePr>
    <w:tblStylePr w:type="lastRow">
      <w:rPr>
        <w:b/>
        <w:bCs/>
        <w:color w:val="CBC3BB" w:themeColor="text2"/>
      </w:rPr>
      <w:tblPr/>
      <w:tcPr>
        <w:tcBorders>
          <w:top w:val="single" w:sz="8" w:space="0" w:color="FCE2CC" w:themeColor="accent2"/>
          <w:bottom w:val="single" w:sz="8" w:space="0" w:color="FCE2CC" w:themeColor="accent2"/>
        </w:tcBorders>
      </w:tcPr>
    </w:tblStylePr>
    <w:tblStylePr w:type="firstCol">
      <w:rPr>
        <w:b/>
        <w:bCs/>
      </w:rPr>
    </w:tblStylePr>
    <w:tblStylePr w:type="lastCol">
      <w:rPr>
        <w:b/>
        <w:bCs/>
      </w:rPr>
      <w:tblPr/>
      <w:tcPr>
        <w:tcBorders>
          <w:top w:val="single" w:sz="8" w:space="0" w:color="FCE2CC" w:themeColor="accent2"/>
          <w:bottom w:val="single" w:sz="8" w:space="0" w:color="FCE2CC" w:themeColor="accent2"/>
        </w:tcBorders>
      </w:tcPr>
    </w:tblStylePr>
    <w:tblStylePr w:type="band1Vert">
      <w:tblPr/>
      <w:tcPr>
        <w:shd w:val="clear" w:color="auto" w:fill="FEF7F2" w:themeFill="accent2" w:themeFillTint="3F"/>
      </w:tcPr>
    </w:tblStylePr>
    <w:tblStylePr w:type="band1Horz">
      <w:tblPr/>
      <w:tcPr>
        <w:shd w:val="clear" w:color="auto" w:fill="FEF7F2" w:themeFill="accent2" w:themeFillTint="3F"/>
      </w:tcPr>
    </w:tblStylePr>
  </w:style>
  <w:style w:type="table" w:styleId="MediumList1-Accent3">
    <w:name w:val="Medium List 1 Accent 3"/>
    <w:basedOn w:val="TableNormal"/>
    <w:uiPriority w:val="65"/>
    <w:semiHidden/>
    <w:unhideWhenUsed/>
    <w:locked/>
    <w:rsid w:val="00530B2E"/>
    <w:pPr>
      <w:spacing w:after="0" w:line="240" w:lineRule="auto"/>
    </w:pPr>
    <w:tblPr>
      <w:tblStyleRowBandSize w:val="1"/>
      <w:tblStyleColBandSize w:val="1"/>
      <w:tblBorders>
        <w:top w:val="single" w:sz="8" w:space="0" w:color="0D3E67" w:themeColor="accent3"/>
        <w:bottom w:val="single" w:sz="8" w:space="0" w:color="0D3E67" w:themeColor="accent3"/>
      </w:tblBorders>
    </w:tblPr>
    <w:tblStylePr w:type="firstRow">
      <w:rPr>
        <w:rFonts w:asciiTheme="majorHAnsi" w:eastAsiaTheme="majorEastAsia" w:hAnsiTheme="majorHAnsi" w:cstheme="majorBidi"/>
      </w:rPr>
      <w:tblPr/>
      <w:tcPr>
        <w:tcBorders>
          <w:top w:val="nil"/>
          <w:bottom w:val="single" w:sz="8" w:space="0" w:color="0D3E67" w:themeColor="accent3"/>
        </w:tcBorders>
      </w:tcPr>
    </w:tblStylePr>
    <w:tblStylePr w:type="lastRow">
      <w:rPr>
        <w:b/>
        <w:bCs/>
        <w:color w:val="CBC3BB" w:themeColor="text2"/>
      </w:rPr>
      <w:tblPr/>
      <w:tcPr>
        <w:tcBorders>
          <w:top w:val="single" w:sz="8" w:space="0" w:color="0D3E67" w:themeColor="accent3"/>
          <w:bottom w:val="single" w:sz="8" w:space="0" w:color="0D3E67" w:themeColor="accent3"/>
        </w:tcBorders>
      </w:tcPr>
    </w:tblStylePr>
    <w:tblStylePr w:type="firstCol">
      <w:rPr>
        <w:b/>
        <w:bCs/>
      </w:rPr>
    </w:tblStylePr>
    <w:tblStylePr w:type="lastCol">
      <w:rPr>
        <w:b/>
        <w:bCs/>
      </w:rPr>
      <w:tblPr/>
      <w:tcPr>
        <w:tcBorders>
          <w:top w:val="single" w:sz="8" w:space="0" w:color="0D3E67" w:themeColor="accent3"/>
          <w:bottom w:val="single" w:sz="8" w:space="0" w:color="0D3E67" w:themeColor="accent3"/>
        </w:tcBorders>
      </w:tcPr>
    </w:tblStylePr>
    <w:tblStylePr w:type="band1Vert">
      <w:tblPr/>
      <w:tcPr>
        <w:shd w:val="clear" w:color="auto" w:fill="A8D1F4" w:themeFill="accent3" w:themeFillTint="3F"/>
      </w:tcPr>
    </w:tblStylePr>
    <w:tblStylePr w:type="band1Horz">
      <w:tblPr/>
      <w:tcPr>
        <w:shd w:val="clear" w:color="auto" w:fill="A8D1F4" w:themeFill="accent3" w:themeFillTint="3F"/>
      </w:tcPr>
    </w:tblStylePr>
  </w:style>
  <w:style w:type="table" w:styleId="MediumList1-Accent4">
    <w:name w:val="Medium List 1 Accent 4"/>
    <w:basedOn w:val="TableNormal"/>
    <w:uiPriority w:val="65"/>
    <w:semiHidden/>
    <w:unhideWhenUsed/>
    <w:locked/>
    <w:rsid w:val="00530B2E"/>
    <w:pPr>
      <w:spacing w:after="0" w:line="240" w:lineRule="auto"/>
    </w:pPr>
    <w:tblPr>
      <w:tblStyleRowBandSize w:val="1"/>
      <w:tblStyleColBandSize w:val="1"/>
      <w:tblBorders>
        <w:top w:val="single" w:sz="8" w:space="0" w:color="7D96B5" w:themeColor="accent4"/>
        <w:bottom w:val="single" w:sz="8" w:space="0" w:color="7D96B5" w:themeColor="accent4"/>
      </w:tblBorders>
    </w:tblPr>
    <w:tblStylePr w:type="firstRow">
      <w:rPr>
        <w:rFonts w:asciiTheme="majorHAnsi" w:eastAsiaTheme="majorEastAsia" w:hAnsiTheme="majorHAnsi" w:cstheme="majorBidi"/>
      </w:rPr>
      <w:tblPr/>
      <w:tcPr>
        <w:tcBorders>
          <w:top w:val="nil"/>
          <w:bottom w:val="single" w:sz="8" w:space="0" w:color="7D96B5" w:themeColor="accent4"/>
        </w:tcBorders>
      </w:tcPr>
    </w:tblStylePr>
    <w:tblStylePr w:type="lastRow">
      <w:rPr>
        <w:b/>
        <w:bCs/>
        <w:color w:val="CBC3BB" w:themeColor="text2"/>
      </w:rPr>
      <w:tblPr/>
      <w:tcPr>
        <w:tcBorders>
          <w:top w:val="single" w:sz="8" w:space="0" w:color="7D96B5" w:themeColor="accent4"/>
          <w:bottom w:val="single" w:sz="8" w:space="0" w:color="7D96B5" w:themeColor="accent4"/>
        </w:tcBorders>
      </w:tcPr>
    </w:tblStylePr>
    <w:tblStylePr w:type="firstCol">
      <w:rPr>
        <w:b/>
        <w:bCs/>
      </w:rPr>
    </w:tblStylePr>
    <w:tblStylePr w:type="lastCol">
      <w:rPr>
        <w:b/>
        <w:bCs/>
      </w:rPr>
      <w:tblPr/>
      <w:tcPr>
        <w:tcBorders>
          <w:top w:val="single" w:sz="8" w:space="0" w:color="7D96B5" w:themeColor="accent4"/>
          <w:bottom w:val="single" w:sz="8" w:space="0" w:color="7D96B5" w:themeColor="accent4"/>
        </w:tcBorders>
      </w:tcPr>
    </w:tblStylePr>
    <w:tblStylePr w:type="band1Vert">
      <w:tblPr/>
      <w:tcPr>
        <w:shd w:val="clear" w:color="auto" w:fill="DEE4EC" w:themeFill="accent4" w:themeFillTint="3F"/>
      </w:tcPr>
    </w:tblStylePr>
    <w:tblStylePr w:type="band1Horz">
      <w:tblPr/>
      <w:tcPr>
        <w:shd w:val="clear" w:color="auto" w:fill="DEE4EC" w:themeFill="accent4" w:themeFillTint="3F"/>
      </w:tcPr>
    </w:tblStylePr>
  </w:style>
  <w:style w:type="table" w:styleId="MediumList1-Accent5">
    <w:name w:val="Medium List 1 Accent 5"/>
    <w:basedOn w:val="TableNormal"/>
    <w:uiPriority w:val="65"/>
    <w:semiHidden/>
    <w:unhideWhenUsed/>
    <w:locked/>
    <w:rsid w:val="00530B2E"/>
    <w:pPr>
      <w:spacing w:after="0" w:line="240" w:lineRule="auto"/>
    </w:pPr>
    <w:tblPr>
      <w:tblStyleRowBandSize w:val="1"/>
      <w:tblStyleColBandSize w:val="1"/>
      <w:tblBorders>
        <w:top w:val="single" w:sz="8" w:space="0" w:color="0D8577" w:themeColor="accent5"/>
        <w:bottom w:val="single" w:sz="8" w:space="0" w:color="0D8577" w:themeColor="accent5"/>
      </w:tblBorders>
    </w:tblPr>
    <w:tblStylePr w:type="firstRow">
      <w:rPr>
        <w:rFonts w:asciiTheme="majorHAnsi" w:eastAsiaTheme="majorEastAsia" w:hAnsiTheme="majorHAnsi" w:cstheme="majorBidi"/>
      </w:rPr>
      <w:tblPr/>
      <w:tcPr>
        <w:tcBorders>
          <w:top w:val="nil"/>
          <w:bottom w:val="single" w:sz="8" w:space="0" w:color="0D8577" w:themeColor="accent5"/>
        </w:tcBorders>
      </w:tcPr>
    </w:tblStylePr>
    <w:tblStylePr w:type="lastRow">
      <w:rPr>
        <w:b/>
        <w:bCs/>
        <w:color w:val="CBC3BB" w:themeColor="text2"/>
      </w:rPr>
      <w:tblPr/>
      <w:tcPr>
        <w:tcBorders>
          <w:top w:val="single" w:sz="8" w:space="0" w:color="0D8577" w:themeColor="accent5"/>
          <w:bottom w:val="single" w:sz="8" w:space="0" w:color="0D8577" w:themeColor="accent5"/>
        </w:tcBorders>
      </w:tcPr>
    </w:tblStylePr>
    <w:tblStylePr w:type="firstCol">
      <w:rPr>
        <w:b/>
        <w:bCs/>
      </w:rPr>
    </w:tblStylePr>
    <w:tblStylePr w:type="lastCol">
      <w:rPr>
        <w:b/>
        <w:bCs/>
      </w:rPr>
      <w:tblPr/>
      <w:tcPr>
        <w:tcBorders>
          <w:top w:val="single" w:sz="8" w:space="0" w:color="0D8577" w:themeColor="accent5"/>
          <w:bottom w:val="single" w:sz="8" w:space="0" w:color="0D8577" w:themeColor="accent5"/>
        </w:tcBorders>
      </w:tcPr>
    </w:tblStylePr>
    <w:tblStylePr w:type="band1Vert">
      <w:tblPr/>
      <w:tcPr>
        <w:shd w:val="clear" w:color="auto" w:fill="ADF7EE" w:themeFill="accent5" w:themeFillTint="3F"/>
      </w:tcPr>
    </w:tblStylePr>
    <w:tblStylePr w:type="band1Horz">
      <w:tblPr/>
      <w:tcPr>
        <w:shd w:val="clear" w:color="auto" w:fill="ADF7EE" w:themeFill="accent5" w:themeFillTint="3F"/>
      </w:tcPr>
    </w:tblStylePr>
  </w:style>
  <w:style w:type="table" w:styleId="MediumList1-Accent6">
    <w:name w:val="Medium List 1 Accent 6"/>
    <w:basedOn w:val="TableNormal"/>
    <w:uiPriority w:val="65"/>
    <w:semiHidden/>
    <w:unhideWhenUsed/>
    <w:locked/>
    <w:rsid w:val="00530B2E"/>
    <w:pPr>
      <w:spacing w:after="0" w:line="240" w:lineRule="auto"/>
    </w:pPr>
    <w:tblPr>
      <w:tblStyleRowBandSize w:val="1"/>
      <w:tblStyleColBandSize w:val="1"/>
      <w:tblBorders>
        <w:top w:val="single" w:sz="8" w:space="0" w:color="46B8A9" w:themeColor="accent6"/>
        <w:bottom w:val="single" w:sz="8" w:space="0" w:color="46B8A9" w:themeColor="accent6"/>
      </w:tblBorders>
    </w:tblPr>
    <w:tblStylePr w:type="firstRow">
      <w:rPr>
        <w:rFonts w:asciiTheme="majorHAnsi" w:eastAsiaTheme="majorEastAsia" w:hAnsiTheme="majorHAnsi" w:cstheme="majorBidi"/>
      </w:rPr>
      <w:tblPr/>
      <w:tcPr>
        <w:tcBorders>
          <w:top w:val="nil"/>
          <w:bottom w:val="single" w:sz="8" w:space="0" w:color="46B8A9" w:themeColor="accent6"/>
        </w:tcBorders>
      </w:tcPr>
    </w:tblStylePr>
    <w:tblStylePr w:type="lastRow">
      <w:rPr>
        <w:b/>
        <w:bCs/>
        <w:color w:val="CBC3BB" w:themeColor="text2"/>
      </w:rPr>
      <w:tblPr/>
      <w:tcPr>
        <w:tcBorders>
          <w:top w:val="single" w:sz="8" w:space="0" w:color="46B8A9" w:themeColor="accent6"/>
          <w:bottom w:val="single" w:sz="8" w:space="0" w:color="46B8A9" w:themeColor="accent6"/>
        </w:tcBorders>
      </w:tcPr>
    </w:tblStylePr>
    <w:tblStylePr w:type="firstCol">
      <w:rPr>
        <w:b/>
        <w:bCs/>
      </w:rPr>
    </w:tblStylePr>
    <w:tblStylePr w:type="lastCol">
      <w:rPr>
        <w:b/>
        <w:bCs/>
      </w:rPr>
      <w:tblPr/>
      <w:tcPr>
        <w:tcBorders>
          <w:top w:val="single" w:sz="8" w:space="0" w:color="46B8A9" w:themeColor="accent6"/>
          <w:bottom w:val="single" w:sz="8" w:space="0" w:color="46B8A9" w:themeColor="accent6"/>
        </w:tcBorders>
      </w:tcPr>
    </w:tblStylePr>
    <w:tblStylePr w:type="band1Vert">
      <w:tblPr/>
      <w:tcPr>
        <w:shd w:val="clear" w:color="auto" w:fill="D1EDE9" w:themeFill="accent6" w:themeFillTint="3F"/>
      </w:tcPr>
    </w:tblStylePr>
    <w:tblStylePr w:type="band1Horz">
      <w:tblPr/>
      <w:tcPr>
        <w:shd w:val="clear" w:color="auto" w:fill="D1EDE9" w:themeFill="accent6" w:themeFillTint="3F"/>
      </w:tcPr>
    </w:tblStylePr>
  </w:style>
  <w:style w:type="table" w:styleId="MediumList2">
    <w:name w:val="Medium List 2"/>
    <w:basedOn w:val="TableNormal"/>
    <w:uiPriority w:val="66"/>
    <w:semiHidden/>
    <w:unhideWhenUsed/>
    <w:locked/>
    <w:rsid w:val="00530B2E"/>
    <w:pPr>
      <w:spacing w:after="0" w:line="240" w:lineRule="auto"/>
    </w:pPr>
    <w:rPr>
      <w:rFonts w:asciiTheme="majorHAnsi" w:eastAsiaTheme="majorEastAsia" w:hAnsiTheme="majorHAnsi" w:cstheme="majorBidi"/>
    </w:rPr>
    <w:tblPr>
      <w:tblStyleRowBandSize w:val="1"/>
      <w:tblStyleColBandSize w:val="1"/>
      <w:tblBorders>
        <w:top w:val="single" w:sz="8" w:space="0" w:color="222222" w:themeColor="text1"/>
        <w:left w:val="single" w:sz="8" w:space="0" w:color="222222" w:themeColor="text1"/>
        <w:bottom w:val="single" w:sz="8" w:space="0" w:color="222222" w:themeColor="text1"/>
        <w:right w:val="single" w:sz="8" w:space="0" w:color="222222" w:themeColor="text1"/>
      </w:tblBorders>
    </w:tblPr>
    <w:tblStylePr w:type="firstRow">
      <w:rPr>
        <w:sz w:val="24"/>
        <w:szCs w:val="24"/>
      </w:rPr>
      <w:tblPr/>
      <w:tcPr>
        <w:tcBorders>
          <w:top w:val="nil"/>
          <w:left w:val="nil"/>
          <w:bottom w:val="single" w:sz="24" w:space="0" w:color="222222" w:themeColor="text1"/>
          <w:right w:val="nil"/>
          <w:insideH w:val="nil"/>
          <w:insideV w:val="nil"/>
        </w:tcBorders>
        <w:shd w:val="clear" w:color="auto" w:fill="FFFFFF" w:themeFill="background1"/>
      </w:tcPr>
    </w:tblStylePr>
    <w:tblStylePr w:type="lastRow">
      <w:tblPr/>
      <w:tcPr>
        <w:tcBorders>
          <w:top w:val="single" w:sz="8" w:space="0" w:color="22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22222" w:themeColor="text1"/>
          <w:insideH w:val="nil"/>
          <w:insideV w:val="nil"/>
        </w:tcBorders>
        <w:shd w:val="clear" w:color="auto" w:fill="FFFFFF" w:themeFill="background1"/>
      </w:tcPr>
    </w:tblStylePr>
    <w:tblStylePr w:type="lastCol">
      <w:tblPr/>
      <w:tcPr>
        <w:tcBorders>
          <w:top w:val="nil"/>
          <w:left w:val="single" w:sz="8" w:space="0" w:color="22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C8C8" w:themeFill="text1" w:themeFillTint="3F"/>
      </w:tcPr>
    </w:tblStylePr>
    <w:tblStylePr w:type="band1Horz">
      <w:tblPr/>
      <w:tcPr>
        <w:tcBorders>
          <w:top w:val="nil"/>
          <w:bottom w:val="nil"/>
          <w:insideH w:val="nil"/>
          <w:insideV w:val="nil"/>
        </w:tcBorders>
        <w:shd w:val="clear" w:color="auto" w:fill="C8C8C8"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locked/>
    <w:rsid w:val="00530B2E"/>
    <w:pPr>
      <w:spacing w:after="0" w:line="240" w:lineRule="auto"/>
    </w:pPr>
    <w:rPr>
      <w:rFonts w:asciiTheme="majorHAnsi" w:eastAsiaTheme="majorEastAsia" w:hAnsiTheme="majorHAnsi" w:cstheme="majorBidi"/>
    </w:rPr>
    <w:tblPr>
      <w:tblStyleRowBandSize w:val="1"/>
      <w:tblStyleColBandSize w:val="1"/>
      <w:tblBorders>
        <w:top w:val="single" w:sz="8" w:space="0" w:color="CC6600" w:themeColor="accent1"/>
        <w:left w:val="single" w:sz="8" w:space="0" w:color="CC6600" w:themeColor="accent1"/>
        <w:bottom w:val="single" w:sz="8" w:space="0" w:color="CC6600" w:themeColor="accent1"/>
        <w:right w:val="single" w:sz="8" w:space="0" w:color="CC6600" w:themeColor="accent1"/>
      </w:tblBorders>
    </w:tblPr>
    <w:tblStylePr w:type="firstRow">
      <w:rPr>
        <w:sz w:val="24"/>
        <w:szCs w:val="24"/>
      </w:rPr>
      <w:tblPr/>
      <w:tcPr>
        <w:tcBorders>
          <w:top w:val="nil"/>
          <w:left w:val="nil"/>
          <w:bottom w:val="single" w:sz="24" w:space="0" w:color="CC6600" w:themeColor="accent1"/>
          <w:right w:val="nil"/>
          <w:insideH w:val="nil"/>
          <w:insideV w:val="nil"/>
        </w:tcBorders>
        <w:shd w:val="clear" w:color="auto" w:fill="FFFFFF" w:themeFill="background1"/>
      </w:tcPr>
    </w:tblStylePr>
    <w:tblStylePr w:type="lastRow">
      <w:tblPr/>
      <w:tcPr>
        <w:tcBorders>
          <w:top w:val="single" w:sz="8" w:space="0" w:color="CC66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6600" w:themeColor="accent1"/>
          <w:insideH w:val="nil"/>
          <w:insideV w:val="nil"/>
        </w:tcBorders>
        <w:shd w:val="clear" w:color="auto" w:fill="FFFFFF" w:themeFill="background1"/>
      </w:tcPr>
    </w:tblStylePr>
    <w:tblStylePr w:type="lastCol">
      <w:tblPr/>
      <w:tcPr>
        <w:tcBorders>
          <w:top w:val="nil"/>
          <w:left w:val="single" w:sz="8" w:space="0" w:color="CC66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9B3" w:themeFill="accent1" w:themeFillTint="3F"/>
      </w:tcPr>
    </w:tblStylePr>
    <w:tblStylePr w:type="band1Horz">
      <w:tblPr/>
      <w:tcPr>
        <w:tcBorders>
          <w:top w:val="nil"/>
          <w:bottom w:val="nil"/>
          <w:insideH w:val="nil"/>
          <w:insideV w:val="nil"/>
        </w:tcBorders>
        <w:shd w:val="clear" w:color="auto" w:fill="FFD9B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locked/>
    <w:rsid w:val="00530B2E"/>
    <w:pPr>
      <w:spacing w:after="0" w:line="240" w:lineRule="auto"/>
    </w:pPr>
    <w:rPr>
      <w:rFonts w:asciiTheme="majorHAnsi" w:eastAsiaTheme="majorEastAsia" w:hAnsiTheme="majorHAnsi" w:cstheme="majorBidi"/>
    </w:rPr>
    <w:tblPr>
      <w:tblStyleRowBandSize w:val="1"/>
      <w:tblStyleColBandSize w:val="1"/>
      <w:tblBorders>
        <w:top w:val="single" w:sz="8" w:space="0" w:color="FCE2CC" w:themeColor="accent2"/>
        <w:left w:val="single" w:sz="8" w:space="0" w:color="FCE2CC" w:themeColor="accent2"/>
        <w:bottom w:val="single" w:sz="8" w:space="0" w:color="FCE2CC" w:themeColor="accent2"/>
        <w:right w:val="single" w:sz="8" w:space="0" w:color="FCE2CC" w:themeColor="accent2"/>
      </w:tblBorders>
    </w:tblPr>
    <w:tblStylePr w:type="firstRow">
      <w:rPr>
        <w:sz w:val="24"/>
        <w:szCs w:val="24"/>
      </w:rPr>
      <w:tblPr/>
      <w:tcPr>
        <w:tcBorders>
          <w:top w:val="nil"/>
          <w:left w:val="nil"/>
          <w:bottom w:val="single" w:sz="24" w:space="0" w:color="FCE2CC" w:themeColor="accent2"/>
          <w:right w:val="nil"/>
          <w:insideH w:val="nil"/>
          <w:insideV w:val="nil"/>
        </w:tcBorders>
        <w:shd w:val="clear" w:color="auto" w:fill="FFFFFF" w:themeFill="background1"/>
      </w:tcPr>
    </w:tblStylePr>
    <w:tblStylePr w:type="lastRow">
      <w:tblPr/>
      <w:tcPr>
        <w:tcBorders>
          <w:top w:val="single" w:sz="8" w:space="0" w:color="FCE2CC"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FCE2CC" w:themeColor="accent2"/>
          <w:insideH w:val="nil"/>
          <w:insideV w:val="nil"/>
        </w:tcBorders>
        <w:shd w:val="clear" w:color="auto" w:fill="FFFFFF" w:themeFill="background1"/>
      </w:tcPr>
    </w:tblStylePr>
    <w:tblStylePr w:type="lastCol">
      <w:tblPr/>
      <w:tcPr>
        <w:tcBorders>
          <w:top w:val="nil"/>
          <w:left w:val="single" w:sz="8" w:space="0" w:color="FCE2C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7F2" w:themeFill="accent2" w:themeFillTint="3F"/>
      </w:tcPr>
    </w:tblStylePr>
    <w:tblStylePr w:type="band1Horz">
      <w:tblPr/>
      <w:tcPr>
        <w:tcBorders>
          <w:top w:val="nil"/>
          <w:bottom w:val="nil"/>
          <w:insideH w:val="nil"/>
          <w:insideV w:val="nil"/>
        </w:tcBorders>
        <w:shd w:val="clear" w:color="auto" w:fill="FEF7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locked/>
    <w:rsid w:val="00530B2E"/>
    <w:pPr>
      <w:spacing w:after="0" w:line="240" w:lineRule="auto"/>
    </w:pPr>
    <w:rPr>
      <w:rFonts w:asciiTheme="majorHAnsi" w:eastAsiaTheme="majorEastAsia" w:hAnsiTheme="majorHAnsi" w:cstheme="majorBidi"/>
    </w:rPr>
    <w:tblPr>
      <w:tblStyleRowBandSize w:val="1"/>
      <w:tblStyleColBandSize w:val="1"/>
      <w:tblBorders>
        <w:top w:val="single" w:sz="8" w:space="0" w:color="0D3E67" w:themeColor="accent3"/>
        <w:left w:val="single" w:sz="8" w:space="0" w:color="0D3E67" w:themeColor="accent3"/>
        <w:bottom w:val="single" w:sz="8" w:space="0" w:color="0D3E67" w:themeColor="accent3"/>
        <w:right w:val="single" w:sz="8" w:space="0" w:color="0D3E67" w:themeColor="accent3"/>
      </w:tblBorders>
    </w:tblPr>
    <w:tblStylePr w:type="firstRow">
      <w:rPr>
        <w:sz w:val="24"/>
        <w:szCs w:val="24"/>
      </w:rPr>
      <w:tblPr/>
      <w:tcPr>
        <w:tcBorders>
          <w:top w:val="nil"/>
          <w:left w:val="nil"/>
          <w:bottom w:val="single" w:sz="24" w:space="0" w:color="0D3E67" w:themeColor="accent3"/>
          <w:right w:val="nil"/>
          <w:insideH w:val="nil"/>
          <w:insideV w:val="nil"/>
        </w:tcBorders>
        <w:shd w:val="clear" w:color="auto" w:fill="FFFFFF" w:themeFill="background1"/>
      </w:tcPr>
    </w:tblStylePr>
    <w:tblStylePr w:type="lastRow">
      <w:tblPr/>
      <w:tcPr>
        <w:tcBorders>
          <w:top w:val="single" w:sz="8" w:space="0" w:color="0D3E6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3E67" w:themeColor="accent3"/>
          <w:insideH w:val="nil"/>
          <w:insideV w:val="nil"/>
        </w:tcBorders>
        <w:shd w:val="clear" w:color="auto" w:fill="FFFFFF" w:themeFill="background1"/>
      </w:tcPr>
    </w:tblStylePr>
    <w:tblStylePr w:type="lastCol">
      <w:tblPr/>
      <w:tcPr>
        <w:tcBorders>
          <w:top w:val="nil"/>
          <w:left w:val="single" w:sz="8" w:space="0" w:color="0D3E6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1F4" w:themeFill="accent3" w:themeFillTint="3F"/>
      </w:tcPr>
    </w:tblStylePr>
    <w:tblStylePr w:type="band1Horz">
      <w:tblPr/>
      <w:tcPr>
        <w:tcBorders>
          <w:top w:val="nil"/>
          <w:bottom w:val="nil"/>
          <w:insideH w:val="nil"/>
          <w:insideV w:val="nil"/>
        </w:tcBorders>
        <w:shd w:val="clear" w:color="auto" w:fill="A8D1F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locked/>
    <w:rsid w:val="00530B2E"/>
    <w:pPr>
      <w:spacing w:after="0" w:line="240" w:lineRule="auto"/>
    </w:pPr>
    <w:rPr>
      <w:rFonts w:asciiTheme="majorHAnsi" w:eastAsiaTheme="majorEastAsia" w:hAnsiTheme="majorHAnsi" w:cstheme="majorBidi"/>
    </w:rPr>
    <w:tblPr>
      <w:tblStyleRowBandSize w:val="1"/>
      <w:tblStyleColBandSize w:val="1"/>
      <w:tblBorders>
        <w:top w:val="single" w:sz="8" w:space="0" w:color="7D96B5" w:themeColor="accent4"/>
        <w:left w:val="single" w:sz="8" w:space="0" w:color="7D96B5" w:themeColor="accent4"/>
        <w:bottom w:val="single" w:sz="8" w:space="0" w:color="7D96B5" w:themeColor="accent4"/>
        <w:right w:val="single" w:sz="8" w:space="0" w:color="7D96B5" w:themeColor="accent4"/>
      </w:tblBorders>
    </w:tblPr>
    <w:tblStylePr w:type="firstRow">
      <w:rPr>
        <w:sz w:val="24"/>
        <w:szCs w:val="24"/>
      </w:rPr>
      <w:tblPr/>
      <w:tcPr>
        <w:tcBorders>
          <w:top w:val="nil"/>
          <w:left w:val="nil"/>
          <w:bottom w:val="single" w:sz="24" w:space="0" w:color="7D96B5" w:themeColor="accent4"/>
          <w:right w:val="nil"/>
          <w:insideH w:val="nil"/>
          <w:insideV w:val="nil"/>
        </w:tcBorders>
        <w:shd w:val="clear" w:color="auto" w:fill="FFFFFF" w:themeFill="background1"/>
      </w:tcPr>
    </w:tblStylePr>
    <w:tblStylePr w:type="lastRow">
      <w:tblPr/>
      <w:tcPr>
        <w:tcBorders>
          <w:top w:val="single" w:sz="8" w:space="0" w:color="7D96B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D96B5" w:themeColor="accent4"/>
          <w:insideH w:val="nil"/>
          <w:insideV w:val="nil"/>
        </w:tcBorders>
        <w:shd w:val="clear" w:color="auto" w:fill="FFFFFF" w:themeFill="background1"/>
      </w:tcPr>
    </w:tblStylePr>
    <w:tblStylePr w:type="lastCol">
      <w:tblPr/>
      <w:tcPr>
        <w:tcBorders>
          <w:top w:val="nil"/>
          <w:left w:val="single" w:sz="8" w:space="0" w:color="7D96B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4EC" w:themeFill="accent4" w:themeFillTint="3F"/>
      </w:tcPr>
    </w:tblStylePr>
    <w:tblStylePr w:type="band1Horz">
      <w:tblPr/>
      <w:tcPr>
        <w:tcBorders>
          <w:top w:val="nil"/>
          <w:bottom w:val="nil"/>
          <w:insideH w:val="nil"/>
          <w:insideV w:val="nil"/>
        </w:tcBorders>
        <w:shd w:val="clear" w:color="auto" w:fill="DEE4E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locked/>
    <w:rsid w:val="00530B2E"/>
    <w:pPr>
      <w:spacing w:after="0" w:line="240" w:lineRule="auto"/>
    </w:pPr>
    <w:rPr>
      <w:rFonts w:asciiTheme="majorHAnsi" w:eastAsiaTheme="majorEastAsia" w:hAnsiTheme="majorHAnsi" w:cstheme="majorBidi"/>
    </w:rPr>
    <w:tblPr>
      <w:tblStyleRowBandSize w:val="1"/>
      <w:tblStyleColBandSize w:val="1"/>
      <w:tblBorders>
        <w:top w:val="single" w:sz="8" w:space="0" w:color="0D8577" w:themeColor="accent5"/>
        <w:left w:val="single" w:sz="8" w:space="0" w:color="0D8577" w:themeColor="accent5"/>
        <w:bottom w:val="single" w:sz="8" w:space="0" w:color="0D8577" w:themeColor="accent5"/>
        <w:right w:val="single" w:sz="8" w:space="0" w:color="0D8577" w:themeColor="accent5"/>
      </w:tblBorders>
    </w:tblPr>
    <w:tblStylePr w:type="firstRow">
      <w:rPr>
        <w:sz w:val="24"/>
        <w:szCs w:val="24"/>
      </w:rPr>
      <w:tblPr/>
      <w:tcPr>
        <w:tcBorders>
          <w:top w:val="nil"/>
          <w:left w:val="nil"/>
          <w:bottom w:val="single" w:sz="24" w:space="0" w:color="0D8577" w:themeColor="accent5"/>
          <w:right w:val="nil"/>
          <w:insideH w:val="nil"/>
          <w:insideV w:val="nil"/>
        </w:tcBorders>
        <w:shd w:val="clear" w:color="auto" w:fill="FFFFFF" w:themeFill="background1"/>
      </w:tcPr>
    </w:tblStylePr>
    <w:tblStylePr w:type="lastRow">
      <w:tblPr/>
      <w:tcPr>
        <w:tcBorders>
          <w:top w:val="single" w:sz="8" w:space="0" w:color="0D857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8577" w:themeColor="accent5"/>
          <w:insideH w:val="nil"/>
          <w:insideV w:val="nil"/>
        </w:tcBorders>
        <w:shd w:val="clear" w:color="auto" w:fill="FFFFFF" w:themeFill="background1"/>
      </w:tcPr>
    </w:tblStylePr>
    <w:tblStylePr w:type="lastCol">
      <w:tblPr/>
      <w:tcPr>
        <w:tcBorders>
          <w:top w:val="nil"/>
          <w:left w:val="single" w:sz="8" w:space="0" w:color="0D857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F7EE" w:themeFill="accent5" w:themeFillTint="3F"/>
      </w:tcPr>
    </w:tblStylePr>
    <w:tblStylePr w:type="band1Horz">
      <w:tblPr/>
      <w:tcPr>
        <w:tcBorders>
          <w:top w:val="nil"/>
          <w:bottom w:val="nil"/>
          <w:insideH w:val="nil"/>
          <w:insideV w:val="nil"/>
        </w:tcBorders>
        <w:shd w:val="clear" w:color="auto" w:fill="ADF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locked/>
    <w:rsid w:val="00530B2E"/>
    <w:pPr>
      <w:spacing w:after="0" w:line="240" w:lineRule="auto"/>
    </w:pPr>
    <w:rPr>
      <w:rFonts w:asciiTheme="majorHAnsi" w:eastAsiaTheme="majorEastAsia" w:hAnsiTheme="majorHAnsi" w:cstheme="majorBidi"/>
    </w:rPr>
    <w:tblPr>
      <w:tblStyleRowBandSize w:val="1"/>
      <w:tblStyleColBandSize w:val="1"/>
      <w:tblBorders>
        <w:top w:val="single" w:sz="8" w:space="0" w:color="46B8A9" w:themeColor="accent6"/>
        <w:left w:val="single" w:sz="8" w:space="0" w:color="46B8A9" w:themeColor="accent6"/>
        <w:bottom w:val="single" w:sz="8" w:space="0" w:color="46B8A9" w:themeColor="accent6"/>
        <w:right w:val="single" w:sz="8" w:space="0" w:color="46B8A9" w:themeColor="accent6"/>
      </w:tblBorders>
    </w:tblPr>
    <w:tblStylePr w:type="firstRow">
      <w:rPr>
        <w:sz w:val="24"/>
        <w:szCs w:val="24"/>
      </w:rPr>
      <w:tblPr/>
      <w:tcPr>
        <w:tcBorders>
          <w:top w:val="nil"/>
          <w:left w:val="nil"/>
          <w:bottom w:val="single" w:sz="24" w:space="0" w:color="46B8A9" w:themeColor="accent6"/>
          <w:right w:val="nil"/>
          <w:insideH w:val="nil"/>
          <w:insideV w:val="nil"/>
        </w:tcBorders>
        <w:shd w:val="clear" w:color="auto" w:fill="FFFFFF" w:themeFill="background1"/>
      </w:tcPr>
    </w:tblStylePr>
    <w:tblStylePr w:type="lastRow">
      <w:tblPr/>
      <w:tcPr>
        <w:tcBorders>
          <w:top w:val="single" w:sz="8" w:space="0" w:color="46B8A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B8A9" w:themeColor="accent6"/>
          <w:insideH w:val="nil"/>
          <w:insideV w:val="nil"/>
        </w:tcBorders>
        <w:shd w:val="clear" w:color="auto" w:fill="FFFFFF" w:themeFill="background1"/>
      </w:tcPr>
    </w:tblStylePr>
    <w:tblStylePr w:type="lastCol">
      <w:tblPr/>
      <w:tcPr>
        <w:tcBorders>
          <w:top w:val="nil"/>
          <w:left w:val="single" w:sz="8" w:space="0" w:color="46B8A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EDE9" w:themeFill="accent6" w:themeFillTint="3F"/>
      </w:tcPr>
    </w:tblStylePr>
    <w:tblStylePr w:type="band1Horz">
      <w:tblPr/>
      <w:tcPr>
        <w:tcBorders>
          <w:top w:val="nil"/>
          <w:bottom w:val="nil"/>
          <w:insideH w:val="nil"/>
          <w:insideV w:val="nil"/>
        </w:tcBorders>
        <w:shd w:val="clear" w:color="auto" w:fill="D1EDE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locked/>
    <w:rsid w:val="00530B2E"/>
    <w:pPr>
      <w:spacing w:after="0" w:line="240" w:lineRule="auto"/>
    </w:pPr>
    <w:tblPr>
      <w:tblStyleRowBandSize w:val="1"/>
      <w:tblStyleColBandSize w:val="1"/>
      <w:tblBorders>
        <w:top w:val="single" w:sz="8" w:space="0" w:color="595959" w:themeColor="text1" w:themeTint="BF"/>
        <w:left w:val="single" w:sz="8" w:space="0" w:color="595959" w:themeColor="text1" w:themeTint="BF"/>
        <w:bottom w:val="single" w:sz="8" w:space="0" w:color="595959" w:themeColor="text1" w:themeTint="BF"/>
        <w:right w:val="single" w:sz="8" w:space="0" w:color="595959" w:themeColor="text1" w:themeTint="BF"/>
        <w:insideH w:val="single" w:sz="8" w:space="0" w:color="595959" w:themeColor="text1" w:themeTint="BF"/>
      </w:tblBorders>
    </w:tblPr>
    <w:tblStylePr w:type="firstRow">
      <w:pPr>
        <w:spacing w:before="0" w:after="0" w:line="240" w:lineRule="auto"/>
      </w:pPr>
      <w:rPr>
        <w:b/>
        <w:bCs/>
        <w:color w:val="FFFFFF" w:themeColor="background1"/>
      </w:rPr>
      <w:tblPr/>
      <w:tcPr>
        <w:tcBorders>
          <w:top w:val="single" w:sz="8" w:space="0" w:color="595959" w:themeColor="text1" w:themeTint="BF"/>
          <w:left w:val="single" w:sz="8" w:space="0" w:color="595959" w:themeColor="text1" w:themeTint="BF"/>
          <w:bottom w:val="single" w:sz="8" w:space="0" w:color="595959" w:themeColor="text1" w:themeTint="BF"/>
          <w:right w:val="single" w:sz="8" w:space="0" w:color="595959" w:themeColor="text1" w:themeTint="BF"/>
          <w:insideH w:val="nil"/>
          <w:insideV w:val="nil"/>
        </w:tcBorders>
        <w:shd w:val="clear" w:color="auto" w:fill="222222" w:themeFill="text1"/>
      </w:tcPr>
    </w:tblStylePr>
    <w:tblStylePr w:type="lastRow">
      <w:pPr>
        <w:spacing w:before="0" w:after="0" w:line="240" w:lineRule="auto"/>
      </w:pPr>
      <w:rPr>
        <w:b/>
        <w:bCs/>
      </w:rPr>
      <w:tblPr/>
      <w:tcPr>
        <w:tcBorders>
          <w:top w:val="double" w:sz="6" w:space="0" w:color="595959" w:themeColor="text1" w:themeTint="BF"/>
          <w:left w:val="single" w:sz="8" w:space="0" w:color="595959" w:themeColor="text1" w:themeTint="BF"/>
          <w:bottom w:val="single" w:sz="8" w:space="0" w:color="595959" w:themeColor="text1" w:themeTint="BF"/>
          <w:right w:val="single" w:sz="8" w:space="0" w:color="595959" w:themeColor="text1" w:themeTint="BF"/>
          <w:insideH w:val="nil"/>
          <w:insideV w:val="nil"/>
        </w:tcBorders>
      </w:tcPr>
    </w:tblStylePr>
    <w:tblStylePr w:type="firstCol">
      <w:rPr>
        <w:b/>
        <w:bCs/>
      </w:rPr>
    </w:tblStylePr>
    <w:tblStylePr w:type="lastCol">
      <w:rPr>
        <w:b/>
        <w:bCs/>
      </w:rPr>
    </w:tblStylePr>
    <w:tblStylePr w:type="band1Vert">
      <w:tblPr/>
      <w:tcPr>
        <w:shd w:val="clear" w:color="auto" w:fill="C8C8C8" w:themeFill="text1" w:themeFillTint="3F"/>
      </w:tcPr>
    </w:tblStylePr>
    <w:tblStylePr w:type="band1Horz">
      <w:tblPr/>
      <w:tcPr>
        <w:tcBorders>
          <w:insideH w:val="nil"/>
          <w:insideV w:val="nil"/>
        </w:tcBorders>
        <w:shd w:val="clear" w:color="auto" w:fill="C8C8C8"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locked/>
    <w:rsid w:val="00530B2E"/>
    <w:pPr>
      <w:spacing w:after="0" w:line="240" w:lineRule="auto"/>
    </w:pPr>
    <w:tblPr>
      <w:tblStyleRowBandSize w:val="1"/>
      <w:tblStyleColBandSize w:val="1"/>
      <w:tblBorders>
        <w:top w:val="single" w:sz="8" w:space="0" w:color="FF8B19" w:themeColor="accent1" w:themeTint="BF"/>
        <w:left w:val="single" w:sz="8" w:space="0" w:color="FF8B19" w:themeColor="accent1" w:themeTint="BF"/>
        <w:bottom w:val="single" w:sz="8" w:space="0" w:color="FF8B19" w:themeColor="accent1" w:themeTint="BF"/>
        <w:right w:val="single" w:sz="8" w:space="0" w:color="FF8B19" w:themeColor="accent1" w:themeTint="BF"/>
        <w:insideH w:val="single" w:sz="8" w:space="0" w:color="FF8B19" w:themeColor="accent1" w:themeTint="BF"/>
      </w:tblBorders>
    </w:tblPr>
    <w:tblStylePr w:type="firstRow">
      <w:pPr>
        <w:spacing w:before="0" w:after="0" w:line="240" w:lineRule="auto"/>
      </w:pPr>
      <w:rPr>
        <w:b/>
        <w:bCs/>
        <w:color w:val="FFFFFF" w:themeColor="background1"/>
      </w:rPr>
      <w:tblPr/>
      <w:tcPr>
        <w:tcBorders>
          <w:top w:val="single" w:sz="8" w:space="0" w:color="FF8B19" w:themeColor="accent1" w:themeTint="BF"/>
          <w:left w:val="single" w:sz="8" w:space="0" w:color="FF8B19" w:themeColor="accent1" w:themeTint="BF"/>
          <w:bottom w:val="single" w:sz="8" w:space="0" w:color="FF8B19" w:themeColor="accent1" w:themeTint="BF"/>
          <w:right w:val="single" w:sz="8" w:space="0" w:color="FF8B19" w:themeColor="accent1" w:themeTint="BF"/>
          <w:insideH w:val="nil"/>
          <w:insideV w:val="nil"/>
        </w:tcBorders>
        <w:shd w:val="clear" w:color="auto" w:fill="CC6600" w:themeFill="accent1"/>
      </w:tcPr>
    </w:tblStylePr>
    <w:tblStylePr w:type="lastRow">
      <w:pPr>
        <w:spacing w:before="0" w:after="0" w:line="240" w:lineRule="auto"/>
      </w:pPr>
      <w:rPr>
        <w:b/>
        <w:bCs/>
      </w:rPr>
      <w:tblPr/>
      <w:tcPr>
        <w:tcBorders>
          <w:top w:val="double" w:sz="6" w:space="0" w:color="FF8B19" w:themeColor="accent1" w:themeTint="BF"/>
          <w:left w:val="single" w:sz="8" w:space="0" w:color="FF8B19" w:themeColor="accent1" w:themeTint="BF"/>
          <w:bottom w:val="single" w:sz="8" w:space="0" w:color="FF8B19" w:themeColor="accent1" w:themeTint="BF"/>
          <w:right w:val="single" w:sz="8" w:space="0" w:color="FF8B1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D9B3" w:themeFill="accent1" w:themeFillTint="3F"/>
      </w:tcPr>
    </w:tblStylePr>
    <w:tblStylePr w:type="band1Horz">
      <w:tblPr/>
      <w:tcPr>
        <w:tcBorders>
          <w:insideH w:val="nil"/>
          <w:insideV w:val="nil"/>
        </w:tcBorders>
        <w:shd w:val="clear" w:color="auto" w:fill="FFD9B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locked/>
    <w:rsid w:val="00530B2E"/>
    <w:pPr>
      <w:spacing w:after="0" w:line="240" w:lineRule="auto"/>
    </w:pPr>
    <w:tblPr>
      <w:tblStyleRowBandSize w:val="1"/>
      <w:tblStyleColBandSize w:val="1"/>
      <w:tblBorders>
        <w:top w:val="single" w:sz="8" w:space="0" w:color="FCE9D8" w:themeColor="accent2" w:themeTint="BF"/>
        <w:left w:val="single" w:sz="8" w:space="0" w:color="FCE9D8" w:themeColor="accent2" w:themeTint="BF"/>
        <w:bottom w:val="single" w:sz="8" w:space="0" w:color="FCE9D8" w:themeColor="accent2" w:themeTint="BF"/>
        <w:right w:val="single" w:sz="8" w:space="0" w:color="FCE9D8" w:themeColor="accent2" w:themeTint="BF"/>
        <w:insideH w:val="single" w:sz="8" w:space="0" w:color="FCE9D8" w:themeColor="accent2" w:themeTint="BF"/>
      </w:tblBorders>
    </w:tblPr>
    <w:tblStylePr w:type="firstRow">
      <w:pPr>
        <w:spacing w:before="0" w:after="0" w:line="240" w:lineRule="auto"/>
      </w:pPr>
      <w:rPr>
        <w:b/>
        <w:bCs/>
        <w:color w:val="FFFFFF" w:themeColor="background1"/>
      </w:rPr>
      <w:tblPr/>
      <w:tcPr>
        <w:tcBorders>
          <w:top w:val="single" w:sz="8" w:space="0" w:color="FCE9D8" w:themeColor="accent2" w:themeTint="BF"/>
          <w:left w:val="single" w:sz="8" w:space="0" w:color="FCE9D8" w:themeColor="accent2" w:themeTint="BF"/>
          <w:bottom w:val="single" w:sz="8" w:space="0" w:color="FCE9D8" w:themeColor="accent2" w:themeTint="BF"/>
          <w:right w:val="single" w:sz="8" w:space="0" w:color="FCE9D8" w:themeColor="accent2" w:themeTint="BF"/>
          <w:insideH w:val="nil"/>
          <w:insideV w:val="nil"/>
        </w:tcBorders>
        <w:shd w:val="clear" w:color="auto" w:fill="FCE2CC" w:themeFill="accent2"/>
      </w:tcPr>
    </w:tblStylePr>
    <w:tblStylePr w:type="lastRow">
      <w:pPr>
        <w:spacing w:before="0" w:after="0" w:line="240" w:lineRule="auto"/>
      </w:pPr>
      <w:rPr>
        <w:b/>
        <w:bCs/>
      </w:rPr>
      <w:tblPr/>
      <w:tcPr>
        <w:tcBorders>
          <w:top w:val="double" w:sz="6" w:space="0" w:color="FCE9D8" w:themeColor="accent2" w:themeTint="BF"/>
          <w:left w:val="single" w:sz="8" w:space="0" w:color="FCE9D8" w:themeColor="accent2" w:themeTint="BF"/>
          <w:bottom w:val="single" w:sz="8" w:space="0" w:color="FCE9D8" w:themeColor="accent2" w:themeTint="BF"/>
          <w:right w:val="single" w:sz="8" w:space="0" w:color="FCE9D8" w:themeColor="accent2" w:themeTint="BF"/>
          <w:insideH w:val="nil"/>
          <w:insideV w:val="nil"/>
        </w:tcBorders>
      </w:tcPr>
    </w:tblStylePr>
    <w:tblStylePr w:type="firstCol">
      <w:rPr>
        <w:b/>
        <w:bCs/>
      </w:rPr>
    </w:tblStylePr>
    <w:tblStylePr w:type="lastCol">
      <w:rPr>
        <w:b/>
        <w:bCs/>
      </w:rPr>
    </w:tblStylePr>
    <w:tblStylePr w:type="band1Vert">
      <w:tblPr/>
      <w:tcPr>
        <w:shd w:val="clear" w:color="auto" w:fill="FEF7F2" w:themeFill="accent2" w:themeFillTint="3F"/>
      </w:tcPr>
    </w:tblStylePr>
    <w:tblStylePr w:type="band1Horz">
      <w:tblPr/>
      <w:tcPr>
        <w:tcBorders>
          <w:insideH w:val="nil"/>
          <w:insideV w:val="nil"/>
        </w:tcBorders>
        <w:shd w:val="clear" w:color="auto" w:fill="FEF7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locked/>
    <w:rsid w:val="00530B2E"/>
    <w:pPr>
      <w:spacing w:after="0" w:line="240" w:lineRule="auto"/>
    </w:pPr>
    <w:tblPr>
      <w:tblStyleRowBandSize w:val="1"/>
      <w:tblStyleColBandSize w:val="1"/>
      <w:tblBorders>
        <w:top w:val="single" w:sz="8" w:space="0" w:color="1872BE" w:themeColor="accent3" w:themeTint="BF"/>
        <w:left w:val="single" w:sz="8" w:space="0" w:color="1872BE" w:themeColor="accent3" w:themeTint="BF"/>
        <w:bottom w:val="single" w:sz="8" w:space="0" w:color="1872BE" w:themeColor="accent3" w:themeTint="BF"/>
        <w:right w:val="single" w:sz="8" w:space="0" w:color="1872BE" w:themeColor="accent3" w:themeTint="BF"/>
        <w:insideH w:val="single" w:sz="8" w:space="0" w:color="1872BE" w:themeColor="accent3" w:themeTint="BF"/>
      </w:tblBorders>
    </w:tblPr>
    <w:tblStylePr w:type="firstRow">
      <w:pPr>
        <w:spacing w:before="0" w:after="0" w:line="240" w:lineRule="auto"/>
      </w:pPr>
      <w:rPr>
        <w:b/>
        <w:bCs/>
        <w:color w:val="FFFFFF" w:themeColor="background1"/>
      </w:rPr>
      <w:tblPr/>
      <w:tcPr>
        <w:tcBorders>
          <w:top w:val="single" w:sz="8" w:space="0" w:color="1872BE" w:themeColor="accent3" w:themeTint="BF"/>
          <w:left w:val="single" w:sz="8" w:space="0" w:color="1872BE" w:themeColor="accent3" w:themeTint="BF"/>
          <w:bottom w:val="single" w:sz="8" w:space="0" w:color="1872BE" w:themeColor="accent3" w:themeTint="BF"/>
          <w:right w:val="single" w:sz="8" w:space="0" w:color="1872BE" w:themeColor="accent3" w:themeTint="BF"/>
          <w:insideH w:val="nil"/>
          <w:insideV w:val="nil"/>
        </w:tcBorders>
        <w:shd w:val="clear" w:color="auto" w:fill="0D3E67" w:themeFill="accent3"/>
      </w:tcPr>
    </w:tblStylePr>
    <w:tblStylePr w:type="lastRow">
      <w:pPr>
        <w:spacing w:before="0" w:after="0" w:line="240" w:lineRule="auto"/>
      </w:pPr>
      <w:rPr>
        <w:b/>
        <w:bCs/>
      </w:rPr>
      <w:tblPr/>
      <w:tcPr>
        <w:tcBorders>
          <w:top w:val="double" w:sz="6" w:space="0" w:color="1872BE" w:themeColor="accent3" w:themeTint="BF"/>
          <w:left w:val="single" w:sz="8" w:space="0" w:color="1872BE" w:themeColor="accent3" w:themeTint="BF"/>
          <w:bottom w:val="single" w:sz="8" w:space="0" w:color="1872BE" w:themeColor="accent3" w:themeTint="BF"/>
          <w:right w:val="single" w:sz="8" w:space="0" w:color="1872BE" w:themeColor="accent3" w:themeTint="BF"/>
          <w:insideH w:val="nil"/>
          <w:insideV w:val="nil"/>
        </w:tcBorders>
      </w:tcPr>
    </w:tblStylePr>
    <w:tblStylePr w:type="firstCol">
      <w:rPr>
        <w:b/>
        <w:bCs/>
      </w:rPr>
    </w:tblStylePr>
    <w:tblStylePr w:type="lastCol">
      <w:rPr>
        <w:b/>
        <w:bCs/>
      </w:rPr>
    </w:tblStylePr>
    <w:tblStylePr w:type="band1Vert">
      <w:tblPr/>
      <w:tcPr>
        <w:shd w:val="clear" w:color="auto" w:fill="A8D1F4" w:themeFill="accent3" w:themeFillTint="3F"/>
      </w:tcPr>
    </w:tblStylePr>
    <w:tblStylePr w:type="band1Horz">
      <w:tblPr/>
      <w:tcPr>
        <w:tcBorders>
          <w:insideH w:val="nil"/>
          <w:insideV w:val="nil"/>
        </w:tcBorders>
        <w:shd w:val="clear" w:color="auto" w:fill="A8D1F4"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locked/>
    <w:rsid w:val="00530B2E"/>
    <w:pPr>
      <w:spacing w:after="0" w:line="240" w:lineRule="auto"/>
    </w:pPr>
    <w:tblPr>
      <w:tblStyleRowBandSize w:val="1"/>
      <w:tblStyleColBandSize w:val="1"/>
      <w:tblBorders>
        <w:top w:val="single" w:sz="8" w:space="0" w:color="9DB0C7" w:themeColor="accent4" w:themeTint="BF"/>
        <w:left w:val="single" w:sz="8" w:space="0" w:color="9DB0C7" w:themeColor="accent4" w:themeTint="BF"/>
        <w:bottom w:val="single" w:sz="8" w:space="0" w:color="9DB0C7" w:themeColor="accent4" w:themeTint="BF"/>
        <w:right w:val="single" w:sz="8" w:space="0" w:color="9DB0C7" w:themeColor="accent4" w:themeTint="BF"/>
        <w:insideH w:val="single" w:sz="8" w:space="0" w:color="9DB0C7" w:themeColor="accent4" w:themeTint="BF"/>
      </w:tblBorders>
    </w:tblPr>
    <w:tblStylePr w:type="firstRow">
      <w:pPr>
        <w:spacing w:before="0" w:after="0" w:line="240" w:lineRule="auto"/>
      </w:pPr>
      <w:rPr>
        <w:b/>
        <w:bCs/>
        <w:color w:val="FFFFFF" w:themeColor="background1"/>
      </w:rPr>
      <w:tblPr/>
      <w:tcPr>
        <w:tcBorders>
          <w:top w:val="single" w:sz="8" w:space="0" w:color="9DB0C7" w:themeColor="accent4" w:themeTint="BF"/>
          <w:left w:val="single" w:sz="8" w:space="0" w:color="9DB0C7" w:themeColor="accent4" w:themeTint="BF"/>
          <w:bottom w:val="single" w:sz="8" w:space="0" w:color="9DB0C7" w:themeColor="accent4" w:themeTint="BF"/>
          <w:right w:val="single" w:sz="8" w:space="0" w:color="9DB0C7" w:themeColor="accent4" w:themeTint="BF"/>
          <w:insideH w:val="nil"/>
          <w:insideV w:val="nil"/>
        </w:tcBorders>
        <w:shd w:val="clear" w:color="auto" w:fill="7D96B5" w:themeFill="accent4"/>
      </w:tcPr>
    </w:tblStylePr>
    <w:tblStylePr w:type="lastRow">
      <w:pPr>
        <w:spacing w:before="0" w:after="0" w:line="240" w:lineRule="auto"/>
      </w:pPr>
      <w:rPr>
        <w:b/>
        <w:bCs/>
      </w:rPr>
      <w:tblPr/>
      <w:tcPr>
        <w:tcBorders>
          <w:top w:val="double" w:sz="6" w:space="0" w:color="9DB0C7" w:themeColor="accent4" w:themeTint="BF"/>
          <w:left w:val="single" w:sz="8" w:space="0" w:color="9DB0C7" w:themeColor="accent4" w:themeTint="BF"/>
          <w:bottom w:val="single" w:sz="8" w:space="0" w:color="9DB0C7" w:themeColor="accent4" w:themeTint="BF"/>
          <w:right w:val="single" w:sz="8" w:space="0" w:color="9DB0C7" w:themeColor="accent4" w:themeTint="BF"/>
          <w:insideH w:val="nil"/>
          <w:insideV w:val="nil"/>
        </w:tcBorders>
      </w:tcPr>
    </w:tblStylePr>
    <w:tblStylePr w:type="firstCol">
      <w:rPr>
        <w:b/>
        <w:bCs/>
      </w:rPr>
    </w:tblStylePr>
    <w:tblStylePr w:type="lastCol">
      <w:rPr>
        <w:b/>
        <w:bCs/>
      </w:rPr>
    </w:tblStylePr>
    <w:tblStylePr w:type="band1Vert">
      <w:tblPr/>
      <w:tcPr>
        <w:shd w:val="clear" w:color="auto" w:fill="DEE4EC" w:themeFill="accent4" w:themeFillTint="3F"/>
      </w:tcPr>
    </w:tblStylePr>
    <w:tblStylePr w:type="band1Horz">
      <w:tblPr/>
      <w:tcPr>
        <w:tcBorders>
          <w:insideH w:val="nil"/>
          <w:insideV w:val="nil"/>
        </w:tcBorders>
        <w:shd w:val="clear" w:color="auto" w:fill="DEE4E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locked/>
    <w:rsid w:val="00530B2E"/>
    <w:pPr>
      <w:spacing w:after="0" w:line="240" w:lineRule="auto"/>
    </w:pPr>
    <w:tblPr>
      <w:tblStyleRowBandSize w:val="1"/>
      <w:tblStyleColBandSize w:val="1"/>
      <w:tblBorders>
        <w:top w:val="single" w:sz="8" w:space="0" w:color="15D8C1" w:themeColor="accent5" w:themeTint="BF"/>
        <w:left w:val="single" w:sz="8" w:space="0" w:color="15D8C1" w:themeColor="accent5" w:themeTint="BF"/>
        <w:bottom w:val="single" w:sz="8" w:space="0" w:color="15D8C1" w:themeColor="accent5" w:themeTint="BF"/>
        <w:right w:val="single" w:sz="8" w:space="0" w:color="15D8C1" w:themeColor="accent5" w:themeTint="BF"/>
        <w:insideH w:val="single" w:sz="8" w:space="0" w:color="15D8C1" w:themeColor="accent5" w:themeTint="BF"/>
      </w:tblBorders>
    </w:tblPr>
    <w:tblStylePr w:type="firstRow">
      <w:pPr>
        <w:spacing w:before="0" w:after="0" w:line="240" w:lineRule="auto"/>
      </w:pPr>
      <w:rPr>
        <w:b/>
        <w:bCs/>
        <w:color w:val="FFFFFF" w:themeColor="background1"/>
      </w:rPr>
      <w:tblPr/>
      <w:tcPr>
        <w:tcBorders>
          <w:top w:val="single" w:sz="8" w:space="0" w:color="15D8C1" w:themeColor="accent5" w:themeTint="BF"/>
          <w:left w:val="single" w:sz="8" w:space="0" w:color="15D8C1" w:themeColor="accent5" w:themeTint="BF"/>
          <w:bottom w:val="single" w:sz="8" w:space="0" w:color="15D8C1" w:themeColor="accent5" w:themeTint="BF"/>
          <w:right w:val="single" w:sz="8" w:space="0" w:color="15D8C1" w:themeColor="accent5" w:themeTint="BF"/>
          <w:insideH w:val="nil"/>
          <w:insideV w:val="nil"/>
        </w:tcBorders>
        <w:shd w:val="clear" w:color="auto" w:fill="0D8577" w:themeFill="accent5"/>
      </w:tcPr>
    </w:tblStylePr>
    <w:tblStylePr w:type="lastRow">
      <w:pPr>
        <w:spacing w:before="0" w:after="0" w:line="240" w:lineRule="auto"/>
      </w:pPr>
      <w:rPr>
        <w:b/>
        <w:bCs/>
      </w:rPr>
      <w:tblPr/>
      <w:tcPr>
        <w:tcBorders>
          <w:top w:val="double" w:sz="6" w:space="0" w:color="15D8C1" w:themeColor="accent5" w:themeTint="BF"/>
          <w:left w:val="single" w:sz="8" w:space="0" w:color="15D8C1" w:themeColor="accent5" w:themeTint="BF"/>
          <w:bottom w:val="single" w:sz="8" w:space="0" w:color="15D8C1" w:themeColor="accent5" w:themeTint="BF"/>
          <w:right w:val="single" w:sz="8" w:space="0" w:color="15D8C1" w:themeColor="accent5" w:themeTint="BF"/>
          <w:insideH w:val="nil"/>
          <w:insideV w:val="nil"/>
        </w:tcBorders>
      </w:tcPr>
    </w:tblStylePr>
    <w:tblStylePr w:type="firstCol">
      <w:rPr>
        <w:b/>
        <w:bCs/>
      </w:rPr>
    </w:tblStylePr>
    <w:tblStylePr w:type="lastCol">
      <w:rPr>
        <w:b/>
        <w:bCs/>
      </w:rPr>
    </w:tblStylePr>
    <w:tblStylePr w:type="band1Vert">
      <w:tblPr/>
      <w:tcPr>
        <w:shd w:val="clear" w:color="auto" w:fill="ADF7EE" w:themeFill="accent5" w:themeFillTint="3F"/>
      </w:tcPr>
    </w:tblStylePr>
    <w:tblStylePr w:type="band1Horz">
      <w:tblPr/>
      <w:tcPr>
        <w:tcBorders>
          <w:insideH w:val="nil"/>
          <w:insideV w:val="nil"/>
        </w:tcBorders>
        <w:shd w:val="clear" w:color="auto" w:fill="ADF7EE"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locked/>
    <w:rsid w:val="00530B2E"/>
    <w:pPr>
      <w:spacing w:after="0" w:line="240" w:lineRule="auto"/>
    </w:pPr>
    <w:tblPr>
      <w:tblStyleRowBandSize w:val="1"/>
      <w:tblStyleColBandSize w:val="1"/>
      <w:tblBorders>
        <w:top w:val="single" w:sz="8" w:space="0" w:color="73CABE" w:themeColor="accent6" w:themeTint="BF"/>
        <w:left w:val="single" w:sz="8" w:space="0" w:color="73CABE" w:themeColor="accent6" w:themeTint="BF"/>
        <w:bottom w:val="single" w:sz="8" w:space="0" w:color="73CABE" w:themeColor="accent6" w:themeTint="BF"/>
        <w:right w:val="single" w:sz="8" w:space="0" w:color="73CABE" w:themeColor="accent6" w:themeTint="BF"/>
        <w:insideH w:val="single" w:sz="8" w:space="0" w:color="73CABE" w:themeColor="accent6" w:themeTint="BF"/>
      </w:tblBorders>
    </w:tblPr>
    <w:tblStylePr w:type="firstRow">
      <w:pPr>
        <w:spacing w:before="0" w:after="0" w:line="240" w:lineRule="auto"/>
      </w:pPr>
      <w:rPr>
        <w:b/>
        <w:bCs/>
        <w:color w:val="FFFFFF" w:themeColor="background1"/>
      </w:rPr>
      <w:tblPr/>
      <w:tcPr>
        <w:tcBorders>
          <w:top w:val="single" w:sz="8" w:space="0" w:color="73CABE" w:themeColor="accent6" w:themeTint="BF"/>
          <w:left w:val="single" w:sz="8" w:space="0" w:color="73CABE" w:themeColor="accent6" w:themeTint="BF"/>
          <w:bottom w:val="single" w:sz="8" w:space="0" w:color="73CABE" w:themeColor="accent6" w:themeTint="BF"/>
          <w:right w:val="single" w:sz="8" w:space="0" w:color="73CABE" w:themeColor="accent6" w:themeTint="BF"/>
          <w:insideH w:val="nil"/>
          <w:insideV w:val="nil"/>
        </w:tcBorders>
        <w:shd w:val="clear" w:color="auto" w:fill="46B8A9" w:themeFill="accent6"/>
      </w:tcPr>
    </w:tblStylePr>
    <w:tblStylePr w:type="lastRow">
      <w:pPr>
        <w:spacing w:before="0" w:after="0" w:line="240" w:lineRule="auto"/>
      </w:pPr>
      <w:rPr>
        <w:b/>
        <w:bCs/>
      </w:rPr>
      <w:tblPr/>
      <w:tcPr>
        <w:tcBorders>
          <w:top w:val="double" w:sz="6" w:space="0" w:color="73CABE" w:themeColor="accent6" w:themeTint="BF"/>
          <w:left w:val="single" w:sz="8" w:space="0" w:color="73CABE" w:themeColor="accent6" w:themeTint="BF"/>
          <w:bottom w:val="single" w:sz="8" w:space="0" w:color="73CABE" w:themeColor="accent6" w:themeTint="BF"/>
          <w:right w:val="single" w:sz="8" w:space="0" w:color="73CABE" w:themeColor="accent6" w:themeTint="BF"/>
          <w:insideH w:val="nil"/>
          <w:insideV w:val="nil"/>
        </w:tcBorders>
      </w:tcPr>
    </w:tblStylePr>
    <w:tblStylePr w:type="firstCol">
      <w:rPr>
        <w:b/>
        <w:bCs/>
      </w:rPr>
    </w:tblStylePr>
    <w:tblStylePr w:type="lastCol">
      <w:rPr>
        <w:b/>
        <w:bCs/>
      </w:rPr>
    </w:tblStylePr>
    <w:tblStylePr w:type="band1Vert">
      <w:tblPr/>
      <w:tcPr>
        <w:shd w:val="clear" w:color="auto" w:fill="D1EDE9" w:themeFill="accent6" w:themeFillTint="3F"/>
      </w:tcPr>
    </w:tblStylePr>
    <w:tblStylePr w:type="band1Horz">
      <w:tblPr/>
      <w:tcPr>
        <w:tcBorders>
          <w:insideH w:val="nil"/>
          <w:insideV w:val="nil"/>
        </w:tcBorders>
        <w:shd w:val="clear" w:color="auto" w:fill="D1EDE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locked/>
    <w:rsid w:val="00530B2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2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22222" w:themeFill="text1"/>
      </w:tcPr>
    </w:tblStylePr>
    <w:tblStylePr w:type="lastCol">
      <w:rPr>
        <w:b/>
        <w:bCs/>
        <w:color w:val="FFFFFF" w:themeColor="background1"/>
      </w:rPr>
      <w:tblPr/>
      <w:tcPr>
        <w:tcBorders>
          <w:left w:val="nil"/>
          <w:right w:val="nil"/>
          <w:insideH w:val="nil"/>
          <w:insideV w:val="nil"/>
        </w:tcBorders>
        <w:shd w:val="clear" w:color="auto" w:fill="22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locked/>
    <w:rsid w:val="00530B2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66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6600" w:themeFill="accent1"/>
      </w:tcPr>
    </w:tblStylePr>
    <w:tblStylePr w:type="lastCol">
      <w:rPr>
        <w:b/>
        <w:bCs/>
        <w:color w:val="FFFFFF" w:themeColor="background1"/>
      </w:rPr>
      <w:tblPr/>
      <w:tcPr>
        <w:tcBorders>
          <w:left w:val="nil"/>
          <w:right w:val="nil"/>
          <w:insideH w:val="nil"/>
          <w:insideV w:val="nil"/>
        </w:tcBorders>
        <w:shd w:val="clear" w:color="auto" w:fill="CC66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locked/>
    <w:rsid w:val="00530B2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E2C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CE2CC" w:themeFill="accent2"/>
      </w:tcPr>
    </w:tblStylePr>
    <w:tblStylePr w:type="lastCol">
      <w:rPr>
        <w:b/>
        <w:bCs/>
        <w:color w:val="FFFFFF" w:themeColor="background1"/>
      </w:rPr>
      <w:tblPr/>
      <w:tcPr>
        <w:tcBorders>
          <w:left w:val="nil"/>
          <w:right w:val="nil"/>
          <w:insideH w:val="nil"/>
          <w:insideV w:val="nil"/>
        </w:tcBorders>
        <w:shd w:val="clear" w:color="auto" w:fill="FCE2C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locked/>
    <w:rsid w:val="00530B2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3E6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D3E67" w:themeFill="accent3"/>
      </w:tcPr>
    </w:tblStylePr>
    <w:tblStylePr w:type="lastCol">
      <w:rPr>
        <w:b/>
        <w:bCs/>
        <w:color w:val="FFFFFF" w:themeColor="background1"/>
      </w:rPr>
      <w:tblPr/>
      <w:tcPr>
        <w:tcBorders>
          <w:left w:val="nil"/>
          <w:right w:val="nil"/>
          <w:insideH w:val="nil"/>
          <w:insideV w:val="nil"/>
        </w:tcBorders>
        <w:shd w:val="clear" w:color="auto" w:fill="0D3E6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locked/>
    <w:rsid w:val="00530B2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D96B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D96B5" w:themeFill="accent4"/>
      </w:tcPr>
    </w:tblStylePr>
    <w:tblStylePr w:type="lastCol">
      <w:rPr>
        <w:b/>
        <w:bCs/>
        <w:color w:val="FFFFFF" w:themeColor="background1"/>
      </w:rPr>
      <w:tblPr/>
      <w:tcPr>
        <w:tcBorders>
          <w:left w:val="nil"/>
          <w:right w:val="nil"/>
          <w:insideH w:val="nil"/>
          <w:insideV w:val="nil"/>
        </w:tcBorders>
        <w:shd w:val="clear" w:color="auto" w:fill="7D96B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locked/>
    <w:rsid w:val="00530B2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857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D8577" w:themeFill="accent5"/>
      </w:tcPr>
    </w:tblStylePr>
    <w:tblStylePr w:type="lastCol">
      <w:rPr>
        <w:b/>
        <w:bCs/>
        <w:color w:val="FFFFFF" w:themeColor="background1"/>
      </w:rPr>
      <w:tblPr/>
      <w:tcPr>
        <w:tcBorders>
          <w:left w:val="nil"/>
          <w:right w:val="nil"/>
          <w:insideH w:val="nil"/>
          <w:insideV w:val="nil"/>
        </w:tcBorders>
        <w:shd w:val="clear" w:color="auto" w:fill="0D857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locked/>
    <w:rsid w:val="00530B2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6B8A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6B8A9" w:themeFill="accent6"/>
      </w:tcPr>
    </w:tblStylePr>
    <w:tblStylePr w:type="lastCol">
      <w:rPr>
        <w:b/>
        <w:bCs/>
        <w:color w:val="FFFFFF" w:themeColor="background1"/>
      </w:rPr>
      <w:tblPr/>
      <w:tcPr>
        <w:tcBorders>
          <w:left w:val="nil"/>
          <w:right w:val="nil"/>
          <w:insideH w:val="nil"/>
          <w:insideV w:val="nil"/>
        </w:tcBorders>
        <w:shd w:val="clear" w:color="auto" w:fill="46B8A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locked/>
    <w:rsid w:val="00530B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locked/>
    <w:rsid w:val="00530B2E"/>
    <w:pPr>
      <w:spacing w:after="0" w:line="240" w:lineRule="auto"/>
    </w:pPr>
    <w:tblPr>
      <w:tblStyleRowBandSize w:val="1"/>
      <w:tblStyleColBandSize w:val="1"/>
      <w:tblBorders>
        <w:top w:val="single" w:sz="4" w:space="0" w:color="909090" w:themeColor="text1" w:themeTint="80"/>
        <w:bottom w:val="single" w:sz="4" w:space="0" w:color="909090" w:themeColor="text1" w:themeTint="80"/>
      </w:tblBorders>
    </w:tblPr>
    <w:tblStylePr w:type="firstRow">
      <w:rPr>
        <w:b/>
        <w:bCs/>
      </w:rPr>
      <w:tblPr/>
      <w:tcPr>
        <w:tcBorders>
          <w:bottom w:val="single" w:sz="4" w:space="0" w:color="909090" w:themeColor="text1" w:themeTint="80"/>
        </w:tcBorders>
      </w:tcPr>
    </w:tblStylePr>
    <w:tblStylePr w:type="lastRow">
      <w:rPr>
        <w:b/>
        <w:bCs/>
      </w:rPr>
      <w:tblPr/>
      <w:tcPr>
        <w:tcBorders>
          <w:top w:val="single" w:sz="4" w:space="0" w:color="909090" w:themeColor="text1" w:themeTint="80"/>
        </w:tcBorders>
      </w:tcPr>
    </w:tblStylePr>
    <w:tblStylePr w:type="firstCol">
      <w:rPr>
        <w:b/>
        <w:bCs/>
      </w:rPr>
    </w:tblStylePr>
    <w:tblStylePr w:type="lastCol">
      <w:rPr>
        <w:b/>
        <w:bCs/>
      </w:rPr>
    </w:tblStylePr>
    <w:tblStylePr w:type="band1Vert">
      <w:tblPr/>
      <w:tcPr>
        <w:tcBorders>
          <w:left w:val="single" w:sz="4" w:space="0" w:color="909090" w:themeColor="text1" w:themeTint="80"/>
          <w:right w:val="single" w:sz="4" w:space="0" w:color="909090" w:themeColor="text1" w:themeTint="80"/>
        </w:tcBorders>
      </w:tcPr>
    </w:tblStylePr>
    <w:tblStylePr w:type="band2Vert">
      <w:tblPr/>
      <w:tcPr>
        <w:tcBorders>
          <w:left w:val="single" w:sz="4" w:space="0" w:color="909090" w:themeColor="text1" w:themeTint="80"/>
          <w:right w:val="single" w:sz="4" w:space="0" w:color="909090" w:themeColor="text1" w:themeTint="80"/>
        </w:tcBorders>
      </w:tcPr>
    </w:tblStylePr>
    <w:tblStylePr w:type="band1Horz">
      <w:tblPr/>
      <w:tcPr>
        <w:tcBorders>
          <w:top w:val="single" w:sz="4" w:space="0" w:color="909090" w:themeColor="text1" w:themeTint="80"/>
          <w:bottom w:val="single" w:sz="4" w:space="0" w:color="909090" w:themeColor="text1" w:themeTint="80"/>
        </w:tcBorders>
      </w:tcPr>
    </w:tblStylePr>
  </w:style>
  <w:style w:type="table" w:customStyle="1" w:styleId="PlainTable31">
    <w:name w:val="Plain Table 31"/>
    <w:basedOn w:val="TableNormal"/>
    <w:uiPriority w:val="43"/>
    <w:locked/>
    <w:rsid w:val="00530B2E"/>
    <w:pPr>
      <w:spacing w:after="0" w:line="240" w:lineRule="auto"/>
    </w:pPr>
    <w:tblPr>
      <w:tblStyleRowBandSize w:val="1"/>
      <w:tblStyleColBandSize w:val="1"/>
    </w:tblPr>
    <w:tblStylePr w:type="firstRow">
      <w:rPr>
        <w:b/>
        <w:bCs/>
        <w:caps/>
      </w:rPr>
      <w:tblPr/>
      <w:tcPr>
        <w:tcBorders>
          <w:bottom w:val="single" w:sz="4" w:space="0" w:color="909090"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09090"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locked/>
    <w:rsid w:val="00530B2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3Deffects1">
    <w:name w:val="Table 3D effects 1"/>
    <w:basedOn w:val="TableNormal"/>
    <w:uiPriority w:val="99"/>
    <w:semiHidden/>
    <w:unhideWhenUsed/>
    <w:locked/>
    <w:rsid w:val="00530B2E"/>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530B2E"/>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530B2E"/>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530B2E"/>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530B2E"/>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530B2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530B2E"/>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530B2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530B2E"/>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530B2E"/>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530B2E"/>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530B2E"/>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530B2E"/>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530B2E"/>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530B2E"/>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530B2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530B2E"/>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530B2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530B2E"/>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530B2E"/>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530B2E"/>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530B2E"/>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530B2E"/>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530B2E"/>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530B2E"/>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locked/>
    <w:rsid w:val="00530B2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locked/>
    <w:rsid w:val="00530B2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530B2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530B2E"/>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530B2E"/>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530B2E"/>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530B2E"/>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530B2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530B2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locked/>
    <w:rsid w:val="00530B2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530B2E"/>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530B2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530B2E"/>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530B2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530B2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530B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530B2E"/>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530B2E"/>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530B2E"/>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gwcwii">
    <w:name w:val="c-gwcwii"/>
    <w:basedOn w:val="DefaultParagraphFont"/>
    <w:rsid w:val="00D96D9A"/>
  </w:style>
  <w:style w:type="paragraph" w:styleId="Revision">
    <w:name w:val="Revision"/>
    <w:hidden/>
    <w:uiPriority w:val="99"/>
    <w:semiHidden/>
    <w:rsid w:val="00693479"/>
    <w:pPr>
      <w:spacing w:after="0" w:line="240" w:lineRule="auto"/>
    </w:pPr>
  </w:style>
  <w:style w:type="character" w:customStyle="1" w:styleId="normaltextrun">
    <w:name w:val="normaltextrun"/>
    <w:basedOn w:val="DefaultParagraphFont"/>
    <w:rsid w:val="003004EE"/>
  </w:style>
  <w:style w:type="paragraph" w:customStyle="1" w:styleId="whitespace-pre-wrap">
    <w:name w:val="whitespace-pre-wrap"/>
    <w:basedOn w:val="Normal"/>
    <w:rsid w:val="00A74C84"/>
    <w:pPr>
      <w:spacing w:before="100" w:beforeAutospacing="1" w:after="100" w:afterAutospacing="1" w:line="240" w:lineRule="auto"/>
    </w:pPr>
    <w:rPr>
      <w:rFonts w:ascii="Times New Roman" w:hAnsi="Times New Roman" w:cs="Times New Roman"/>
      <w:color w:val="auto"/>
      <w:sz w:val="20"/>
      <w:szCs w:val="20"/>
    </w:rPr>
  </w:style>
  <w:style w:type="table" w:customStyle="1" w:styleId="CHTable2">
    <w:name w:val="CH Table 2"/>
    <w:basedOn w:val="TableNormal"/>
    <w:uiPriority w:val="99"/>
    <w:rsid w:val="00C50990"/>
    <w:pPr>
      <w:spacing w:before="100" w:after="100" w:line="240" w:lineRule="auto"/>
    </w:pPr>
    <w:rPr>
      <w:rFonts w:cs="Times New Roman"/>
      <w:sz w:val="20"/>
      <w:szCs w:val="21"/>
    </w:rPr>
    <w:tblPr>
      <w:tblStyleRowBandSize w:val="1"/>
      <w:tblStyleColBandSize w:val="1"/>
      <w:tblBorders>
        <w:insideH w:val="single" w:sz="4" w:space="0" w:color="7D96B5" w:themeColor="accent4"/>
        <w:insideV w:val="single" w:sz="4" w:space="0" w:color="7D96B5" w:themeColor="accent4"/>
      </w:tblBorders>
    </w:tblPr>
    <w:trPr>
      <w:cantSplit/>
    </w:trPr>
    <w:tblStylePr w:type="firstRow">
      <w:rPr>
        <w:b/>
        <w:color w:val="FFFFFF" w:themeColor="background1"/>
        <w:sz w:val="24"/>
      </w:rPr>
      <w:tblPr/>
      <w:trPr>
        <w:tblHeader/>
      </w:trPr>
      <w:tcPr>
        <w:shd w:val="clear" w:color="auto" w:fill="CC6600" w:themeFill="accent1"/>
      </w:tcPr>
    </w:tblStylePr>
    <w:tblStylePr w:type="firstCol">
      <w:pPr>
        <w:wordWrap/>
        <w:jc w:val="left"/>
      </w:pPr>
      <w:rPr>
        <w:color w:val="FFFFFF" w:themeColor="background1"/>
        <w:sz w:val="24"/>
      </w:rPr>
      <w:tblPr/>
      <w:tcPr>
        <w:tcBorders>
          <w:top w:val="nil"/>
          <w:left w:val="nil"/>
          <w:bottom w:val="nil"/>
          <w:right w:val="nil"/>
          <w:insideH w:val="nil"/>
          <w:insideV w:val="nil"/>
          <w:tl2br w:val="nil"/>
          <w:tr2bl w:val="nil"/>
        </w:tcBorders>
        <w:shd w:val="clear" w:color="auto" w:fill="CC6600" w:themeFill="accent1"/>
      </w:tcPr>
    </w:tblStylePr>
  </w:style>
  <w:style w:type="paragraph" w:customStyle="1" w:styleId="Tablebullet">
    <w:name w:val="Table bullet"/>
    <w:basedOn w:val="Normal"/>
    <w:link w:val="TablebulletChar"/>
    <w:qFormat/>
    <w:rsid w:val="00DD0E8F"/>
    <w:pPr>
      <w:numPr>
        <w:numId w:val="8"/>
      </w:numPr>
      <w:spacing w:after="0" w:line="240" w:lineRule="auto"/>
    </w:pPr>
    <w:rPr>
      <w:rFonts w:ascii="Franklin Gothic Book" w:eastAsiaTheme="minorEastAsia" w:hAnsi="Franklin Gothic Book" w:cs="Times New Roman"/>
      <w:sz w:val="20"/>
      <w:lang w:eastAsia="en-AU"/>
    </w:rPr>
  </w:style>
  <w:style w:type="character" w:customStyle="1" w:styleId="TablebulletChar">
    <w:name w:val="Table bullet Char"/>
    <w:basedOn w:val="DefaultParagraphFont"/>
    <w:link w:val="Tablebullet"/>
    <w:rsid w:val="00DD0E8F"/>
    <w:rPr>
      <w:rFonts w:ascii="Franklin Gothic Book" w:eastAsiaTheme="minorEastAsia" w:hAnsi="Franklin Gothic Book" w:cs="Times New Roman"/>
      <w:sz w:val="20"/>
      <w:lang w:eastAsia="en-AU"/>
    </w:rPr>
  </w:style>
  <w:style w:type="paragraph" w:customStyle="1" w:styleId="paragraph">
    <w:name w:val="paragraph"/>
    <w:basedOn w:val="Normal"/>
    <w:rsid w:val="00F57A82"/>
    <w:pPr>
      <w:spacing w:before="100" w:beforeAutospacing="1" w:after="100" w:afterAutospacing="1" w:line="240" w:lineRule="auto"/>
    </w:pPr>
    <w:rPr>
      <w:rFonts w:ascii="Times New Roman" w:hAnsi="Times New Roman" w:cs="Times New Roman"/>
      <w:color w:val="auto"/>
      <w:sz w:val="20"/>
      <w:szCs w:val="20"/>
    </w:rPr>
  </w:style>
  <w:style w:type="character" w:customStyle="1" w:styleId="eop">
    <w:name w:val="eop"/>
    <w:basedOn w:val="DefaultParagraphFont"/>
    <w:rsid w:val="00F57A82"/>
  </w:style>
  <w:style w:type="character" w:customStyle="1" w:styleId="UnresolvedMention2">
    <w:name w:val="Unresolved Mention2"/>
    <w:basedOn w:val="DefaultParagraphFont"/>
    <w:uiPriority w:val="99"/>
    <w:semiHidden/>
    <w:unhideWhenUsed/>
    <w:rsid w:val="00302EF2"/>
    <w:rPr>
      <w:color w:val="605E5C"/>
      <w:shd w:val="clear" w:color="auto" w:fill="E1DFDD"/>
    </w:rPr>
  </w:style>
  <w:style w:type="character" w:customStyle="1" w:styleId="Mention2">
    <w:name w:val="Mention2"/>
    <w:basedOn w:val="DefaultParagraphFont"/>
    <w:uiPriority w:val="99"/>
    <w:semiHidden/>
    <w:unhideWhenUsed/>
    <w:rsid w:val="009D3BC5"/>
    <w:rPr>
      <w:color w:val="2B579A"/>
      <w:shd w:val="clear" w:color="auto" w:fill="E1DFDD"/>
    </w:rPr>
  </w:style>
  <w:style w:type="character" w:customStyle="1" w:styleId="Mention3">
    <w:name w:val="Mention3"/>
    <w:basedOn w:val="DefaultParagraphFont"/>
    <w:uiPriority w:val="99"/>
    <w:semiHidden/>
    <w:unhideWhenUsed/>
    <w:rsid w:val="00631511"/>
    <w:rPr>
      <w:color w:val="2B579A"/>
      <w:shd w:val="clear" w:color="auto" w:fill="E1DFDD"/>
    </w:rPr>
  </w:style>
  <w:style w:type="character" w:customStyle="1" w:styleId="Hashtag2">
    <w:name w:val="Hashtag2"/>
    <w:basedOn w:val="DefaultParagraphFont"/>
    <w:uiPriority w:val="99"/>
    <w:semiHidden/>
    <w:unhideWhenUsed/>
    <w:rsid w:val="006867FA"/>
    <w:rPr>
      <w:color w:val="2B579A"/>
      <w:shd w:val="clear" w:color="auto" w:fill="E1DFDD"/>
    </w:rPr>
  </w:style>
  <w:style w:type="character" w:customStyle="1" w:styleId="SmartHyperlink2">
    <w:name w:val="Smart Hyperlink2"/>
    <w:basedOn w:val="DefaultParagraphFont"/>
    <w:uiPriority w:val="99"/>
    <w:semiHidden/>
    <w:unhideWhenUsed/>
    <w:rsid w:val="006867FA"/>
    <w:rPr>
      <w:u w:val="dotted"/>
    </w:rPr>
  </w:style>
  <w:style w:type="character" w:customStyle="1" w:styleId="SmartLink2">
    <w:name w:val="SmartLink2"/>
    <w:basedOn w:val="DefaultParagraphFont"/>
    <w:uiPriority w:val="99"/>
    <w:semiHidden/>
    <w:unhideWhenUsed/>
    <w:rsid w:val="006867FA"/>
    <w:rPr>
      <w:color w:val="0000FF"/>
      <w:u w:val="single"/>
      <w:shd w:val="clear" w:color="auto" w:fill="F3F2F1"/>
    </w:rPr>
  </w:style>
  <w:style w:type="character" w:customStyle="1" w:styleId="UnresolvedMention3">
    <w:name w:val="Unresolved Mention3"/>
    <w:basedOn w:val="DefaultParagraphFont"/>
    <w:uiPriority w:val="99"/>
    <w:semiHidden/>
    <w:unhideWhenUsed/>
    <w:rsid w:val="006867FA"/>
    <w:rPr>
      <w:color w:val="605E5C"/>
      <w:shd w:val="clear" w:color="auto" w:fill="E1DFDD"/>
    </w:rPr>
  </w:style>
  <w:style w:type="character" w:customStyle="1" w:styleId="Hashtag3">
    <w:name w:val="Hashtag3"/>
    <w:basedOn w:val="DefaultParagraphFont"/>
    <w:uiPriority w:val="99"/>
    <w:semiHidden/>
    <w:unhideWhenUsed/>
    <w:rsid w:val="00DA60EA"/>
    <w:rPr>
      <w:color w:val="2B579A"/>
      <w:shd w:val="clear" w:color="auto" w:fill="E1DFDD"/>
    </w:rPr>
  </w:style>
  <w:style w:type="character" w:customStyle="1" w:styleId="Mention4">
    <w:name w:val="Mention4"/>
    <w:basedOn w:val="DefaultParagraphFont"/>
    <w:uiPriority w:val="99"/>
    <w:semiHidden/>
    <w:unhideWhenUsed/>
    <w:rsid w:val="00DA60EA"/>
    <w:rPr>
      <w:color w:val="2B579A"/>
      <w:shd w:val="clear" w:color="auto" w:fill="E1DFDD"/>
    </w:rPr>
  </w:style>
  <w:style w:type="character" w:customStyle="1" w:styleId="SmartHyperlink3">
    <w:name w:val="Smart Hyperlink3"/>
    <w:basedOn w:val="DefaultParagraphFont"/>
    <w:uiPriority w:val="99"/>
    <w:semiHidden/>
    <w:unhideWhenUsed/>
    <w:rsid w:val="00DA60EA"/>
    <w:rPr>
      <w:u w:val="dotted"/>
    </w:rPr>
  </w:style>
  <w:style w:type="character" w:customStyle="1" w:styleId="SmartLink3">
    <w:name w:val="SmartLink3"/>
    <w:basedOn w:val="DefaultParagraphFont"/>
    <w:uiPriority w:val="99"/>
    <w:semiHidden/>
    <w:unhideWhenUsed/>
    <w:rsid w:val="00DA60EA"/>
    <w:rPr>
      <w:color w:val="0000FF"/>
      <w:u w:val="single"/>
      <w:shd w:val="clear" w:color="auto" w:fill="F3F2F1"/>
    </w:rPr>
  </w:style>
  <w:style w:type="character" w:customStyle="1" w:styleId="UnresolvedMention4">
    <w:name w:val="Unresolved Mention4"/>
    <w:basedOn w:val="DefaultParagraphFont"/>
    <w:uiPriority w:val="99"/>
    <w:semiHidden/>
    <w:unhideWhenUsed/>
    <w:rsid w:val="00DA60EA"/>
    <w:rPr>
      <w:color w:val="605E5C"/>
      <w:shd w:val="clear" w:color="auto" w:fill="E1DFDD"/>
    </w:rPr>
  </w:style>
  <w:style w:type="character" w:styleId="Hashtag">
    <w:name w:val="Hashtag"/>
    <w:basedOn w:val="DefaultParagraphFont"/>
    <w:uiPriority w:val="99"/>
    <w:semiHidden/>
    <w:unhideWhenUsed/>
    <w:rsid w:val="00141D48"/>
    <w:rPr>
      <w:color w:val="2B579A"/>
      <w:shd w:val="clear" w:color="auto" w:fill="E1DFDD"/>
    </w:rPr>
  </w:style>
  <w:style w:type="character" w:styleId="Mention">
    <w:name w:val="Mention"/>
    <w:basedOn w:val="DefaultParagraphFont"/>
    <w:uiPriority w:val="99"/>
    <w:unhideWhenUsed/>
    <w:rsid w:val="00141D48"/>
    <w:rPr>
      <w:color w:val="2B579A"/>
      <w:shd w:val="clear" w:color="auto" w:fill="E1DFDD"/>
    </w:rPr>
  </w:style>
  <w:style w:type="character" w:styleId="SmartHyperlink">
    <w:name w:val="Smart Hyperlink"/>
    <w:basedOn w:val="DefaultParagraphFont"/>
    <w:uiPriority w:val="99"/>
    <w:semiHidden/>
    <w:unhideWhenUsed/>
    <w:rsid w:val="00141D48"/>
    <w:rPr>
      <w:u w:val="dotted"/>
    </w:rPr>
  </w:style>
  <w:style w:type="character" w:styleId="SmartLink">
    <w:name w:val="Smart Link"/>
    <w:basedOn w:val="DefaultParagraphFont"/>
    <w:uiPriority w:val="99"/>
    <w:semiHidden/>
    <w:unhideWhenUsed/>
    <w:rsid w:val="00141D48"/>
    <w:rPr>
      <w:color w:val="0000FF"/>
      <w:u w:val="single"/>
      <w:shd w:val="clear" w:color="auto" w:fill="F3F2F1"/>
    </w:rPr>
  </w:style>
  <w:style w:type="character" w:styleId="UnresolvedMention">
    <w:name w:val="Unresolved Mention"/>
    <w:basedOn w:val="DefaultParagraphFont"/>
    <w:uiPriority w:val="99"/>
    <w:semiHidden/>
    <w:unhideWhenUsed/>
    <w:rsid w:val="00141D48"/>
    <w:rPr>
      <w:color w:val="605E5C"/>
      <w:shd w:val="clear" w:color="auto" w:fill="E1DFDD"/>
    </w:rPr>
  </w:style>
  <w:style w:type="character" w:customStyle="1" w:styleId="ListParagraphChar">
    <w:name w:val="List Paragraph Char"/>
    <w:aliases w:val="Recommendation Char,L Char,List Paragraph1 Char,List Paragraph11 Char,List Paragraph2 Char,CV text Char,Table text Char,F5 List Paragraph Char,Dot pt Char,List Paragraph111 Char,Medium Grid 1 - Accent 21 Char,Numbered Paragraph Char"/>
    <w:link w:val="ListParagraph"/>
    <w:uiPriority w:val="34"/>
    <w:qFormat/>
    <w:locked/>
    <w:rsid w:val="00F86692"/>
  </w:style>
  <w:style w:type="table" w:customStyle="1" w:styleId="TableGrid10">
    <w:name w:val="Table Grid1"/>
    <w:basedOn w:val="TableNormal"/>
    <w:next w:val="TableGrid"/>
    <w:uiPriority w:val="39"/>
    <w:rsid w:val="00BE291F"/>
    <w:pPr>
      <w:spacing w:after="0" w:line="240" w:lineRule="auto"/>
    </w:pPr>
    <w:rPr>
      <w:color w:val="auto"/>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locked/>
    <w:rsid w:val="00BD3D3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9090"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9090"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9090"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9090"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ntactDetails">
    <w:name w:val="Contact Details"/>
    <w:basedOn w:val="ExecutiveSummary"/>
    <w:uiPriority w:val="99"/>
    <w:rsid w:val="00BD3D35"/>
    <w:rPr>
      <w:caps/>
    </w:rPr>
  </w:style>
  <w:style w:type="numbering" w:customStyle="1" w:styleId="Bullettedlists">
    <w:name w:val="Bulletted lists"/>
    <w:uiPriority w:val="99"/>
    <w:rsid w:val="00BD3D35"/>
    <w:pPr>
      <w:numPr>
        <w:numId w:val="27"/>
      </w:numPr>
    </w:pPr>
  </w:style>
  <w:style w:type="numbering" w:customStyle="1" w:styleId="Headings">
    <w:name w:val="Headings"/>
    <w:uiPriority w:val="99"/>
    <w:rsid w:val="00BD3D35"/>
    <w:pPr>
      <w:numPr>
        <w:numId w:val="28"/>
      </w:numPr>
    </w:pPr>
  </w:style>
  <w:style w:type="paragraph" w:customStyle="1" w:styleId="COREBodyCopyGeneral">
    <w:name w:val="CORE Body Copy General"/>
    <w:basedOn w:val="Normal"/>
    <w:uiPriority w:val="1"/>
    <w:qFormat/>
    <w:rsid w:val="00BD3D35"/>
    <w:pPr>
      <w:spacing w:after="120" w:line="250" w:lineRule="atLeast"/>
    </w:pPr>
    <w:rPr>
      <w:rFonts w:eastAsiaTheme="minorEastAsia"/>
      <w:color w:val="4D4D4F"/>
      <w:sz w:val="20"/>
      <w:szCs w:val="20"/>
    </w:rPr>
  </w:style>
  <w:style w:type="paragraph" w:customStyle="1" w:styleId="msonormal0">
    <w:name w:val="msonormal"/>
    <w:basedOn w:val="Normal"/>
    <w:rsid w:val="00BD3D35"/>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xl66">
    <w:name w:val="xl66"/>
    <w:basedOn w:val="Normal"/>
    <w:rsid w:val="00BD3D35"/>
    <w:pPr>
      <w:spacing w:before="100" w:beforeAutospacing="1" w:after="100" w:afterAutospacing="1" w:line="240" w:lineRule="auto"/>
    </w:pPr>
    <w:rPr>
      <w:rFonts w:ascii="Arial" w:eastAsia="Times New Roman" w:hAnsi="Arial" w:cs="Arial"/>
      <w:color w:val="000000"/>
      <w:sz w:val="20"/>
      <w:szCs w:val="20"/>
      <w:lang w:eastAsia="en-AU"/>
    </w:rPr>
  </w:style>
  <w:style w:type="paragraph" w:customStyle="1" w:styleId="xl67">
    <w:name w:val="xl67"/>
    <w:basedOn w:val="Normal"/>
    <w:rsid w:val="00BD3D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0"/>
      <w:szCs w:val="20"/>
      <w:lang w:eastAsia="en-AU"/>
    </w:rPr>
  </w:style>
  <w:style w:type="paragraph" w:customStyle="1" w:styleId="xl68">
    <w:name w:val="xl68"/>
    <w:basedOn w:val="Normal"/>
    <w:rsid w:val="00BD3D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0"/>
      <w:szCs w:val="20"/>
      <w:lang w:eastAsia="en-AU"/>
    </w:rPr>
  </w:style>
  <w:style w:type="paragraph" w:customStyle="1" w:styleId="xl69">
    <w:name w:val="xl69"/>
    <w:basedOn w:val="Normal"/>
    <w:rsid w:val="00BD3D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Wingdings" w:eastAsia="Times New Roman" w:hAnsi="Wingdings" w:cs="Times New Roman"/>
      <w:color w:val="000000"/>
      <w:sz w:val="24"/>
      <w:szCs w:val="24"/>
      <w:lang w:eastAsia="en-AU"/>
    </w:rPr>
  </w:style>
  <w:style w:type="paragraph" w:customStyle="1" w:styleId="xl70">
    <w:name w:val="xl70"/>
    <w:basedOn w:val="Normal"/>
    <w:rsid w:val="00BD3D35"/>
    <w:pPr>
      <w:spacing w:before="100" w:beforeAutospacing="1" w:after="100" w:afterAutospacing="1" w:line="240" w:lineRule="auto"/>
    </w:pPr>
    <w:rPr>
      <w:rFonts w:ascii="Arial" w:eastAsia="Times New Roman" w:hAnsi="Arial" w:cs="Arial"/>
      <w:b/>
      <w:bCs/>
      <w:color w:val="000000"/>
      <w:sz w:val="20"/>
      <w:szCs w:val="20"/>
      <w:lang w:eastAsia="en-AU"/>
    </w:rPr>
  </w:style>
  <w:style w:type="paragraph" w:customStyle="1" w:styleId="xl71">
    <w:name w:val="xl71"/>
    <w:basedOn w:val="Normal"/>
    <w:rsid w:val="00BD3D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en-AU"/>
    </w:rPr>
  </w:style>
  <w:style w:type="paragraph" w:customStyle="1" w:styleId="xl72">
    <w:name w:val="xl72"/>
    <w:basedOn w:val="Normal"/>
    <w:rsid w:val="00BD3D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auto"/>
      <w:sz w:val="20"/>
      <w:szCs w:val="20"/>
      <w:lang w:eastAsia="en-AU"/>
    </w:rPr>
  </w:style>
  <w:style w:type="paragraph" w:customStyle="1" w:styleId="xl73">
    <w:name w:val="xl73"/>
    <w:basedOn w:val="Normal"/>
    <w:rsid w:val="00BD3D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4"/>
      <w:szCs w:val="24"/>
      <w:lang w:eastAsia="en-AU"/>
    </w:rPr>
  </w:style>
  <w:style w:type="paragraph" w:customStyle="1" w:styleId="xl74">
    <w:name w:val="xl74"/>
    <w:basedOn w:val="Normal"/>
    <w:rsid w:val="00BD3D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20"/>
      <w:szCs w:val="20"/>
      <w:lang w:eastAsia="en-AU"/>
    </w:rPr>
  </w:style>
  <w:style w:type="paragraph" w:customStyle="1" w:styleId="xl75">
    <w:name w:val="xl75"/>
    <w:basedOn w:val="Normal"/>
    <w:rsid w:val="00BD3D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20"/>
      <w:szCs w:val="20"/>
      <w:lang w:eastAsia="en-AU"/>
    </w:rPr>
  </w:style>
  <w:style w:type="paragraph" w:customStyle="1" w:styleId="xl76">
    <w:name w:val="xl76"/>
    <w:basedOn w:val="Normal"/>
    <w:rsid w:val="00BD3D35"/>
    <w:pPr>
      <w:spacing w:before="100" w:beforeAutospacing="1" w:after="100" w:afterAutospacing="1" w:line="240" w:lineRule="auto"/>
    </w:pPr>
    <w:rPr>
      <w:rFonts w:ascii="Arial" w:eastAsia="Times New Roman" w:hAnsi="Arial" w:cs="Arial"/>
      <w:color w:val="000000"/>
      <w:sz w:val="20"/>
      <w:szCs w:val="20"/>
      <w:lang w:eastAsia="en-AU"/>
    </w:rPr>
  </w:style>
  <w:style w:type="paragraph" w:customStyle="1" w:styleId="xl77">
    <w:name w:val="xl77"/>
    <w:basedOn w:val="Normal"/>
    <w:rsid w:val="00BD3D35"/>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color w:val="auto"/>
      <w:sz w:val="20"/>
      <w:szCs w:val="20"/>
      <w:lang w:eastAsia="en-AU"/>
    </w:rPr>
  </w:style>
  <w:style w:type="paragraph" w:customStyle="1" w:styleId="xl78">
    <w:name w:val="xl78"/>
    <w:basedOn w:val="Normal"/>
    <w:rsid w:val="00BD3D35"/>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color w:val="000000"/>
      <w:sz w:val="20"/>
      <w:szCs w:val="20"/>
      <w:lang w:eastAsia="en-AU"/>
    </w:rPr>
  </w:style>
  <w:style w:type="paragraph" w:customStyle="1" w:styleId="xl79">
    <w:name w:val="xl79"/>
    <w:basedOn w:val="Normal"/>
    <w:rsid w:val="00BD3D35"/>
    <w:pPr>
      <w:shd w:val="pct25" w:color="000000" w:fill="auto"/>
      <w:spacing w:before="100" w:beforeAutospacing="1" w:after="100" w:afterAutospacing="1" w:line="240" w:lineRule="auto"/>
    </w:pPr>
    <w:rPr>
      <w:rFonts w:ascii="Arial" w:eastAsia="Times New Roman" w:hAnsi="Arial" w:cs="Arial"/>
      <w:color w:val="000000"/>
      <w:sz w:val="20"/>
      <w:szCs w:val="20"/>
      <w:lang w:eastAsia="en-AU"/>
    </w:rPr>
  </w:style>
  <w:style w:type="paragraph" w:customStyle="1" w:styleId="xl80">
    <w:name w:val="xl80"/>
    <w:basedOn w:val="Normal"/>
    <w:rsid w:val="00BD3D35"/>
    <w:pPr>
      <w:pBdr>
        <w:top w:val="single" w:sz="4" w:space="0" w:color="auto"/>
        <w:left w:val="single" w:sz="4" w:space="0" w:color="auto"/>
        <w:bottom w:val="single" w:sz="4" w:space="0" w:color="auto"/>
        <w:right w:val="single" w:sz="4" w:space="0" w:color="auto"/>
      </w:pBdr>
      <w:shd w:val="pct25" w:color="000000" w:fill="auto"/>
      <w:spacing w:before="100" w:beforeAutospacing="1" w:after="100" w:afterAutospacing="1" w:line="240" w:lineRule="auto"/>
      <w:jc w:val="center"/>
    </w:pPr>
    <w:rPr>
      <w:rFonts w:ascii="Times New Roman" w:eastAsia="Times New Roman" w:hAnsi="Times New Roman" w:cs="Times New Roman"/>
      <w:color w:val="000000"/>
      <w:sz w:val="24"/>
      <w:szCs w:val="24"/>
      <w:lang w:eastAsia="en-AU"/>
    </w:rPr>
  </w:style>
  <w:style w:type="paragraph" w:customStyle="1" w:styleId="xl81">
    <w:name w:val="xl81"/>
    <w:basedOn w:val="Normal"/>
    <w:rsid w:val="00BD3D35"/>
    <w:pPr>
      <w:pBdr>
        <w:top w:val="single" w:sz="4" w:space="0" w:color="auto"/>
        <w:left w:val="single" w:sz="4" w:space="0" w:color="auto"/>
        <w:bottom w:val="single" w:sz="4" w:space="0" w:color="auto"/>
        <w:right w:val="single" w:sz="4" w:space="0" w:color="auto"/>
      </w:pBdr>
      <w:shd w:val="pct25" w:color="000000" w:fill="auto"/>
      <w:spacing w:before="100" w:beforeAutospacing="1" w:after="100" w:afterAutospacing="1" w:line="240" w:lineRule="auto"/>
    </w:pPr>
    <w:rPr>
      <w:rFonts w:ascii="Arial" w:eastAsia="Times New Roman" w:hAnsi="Arial" w:cs="Arial"/>
      <w:color w:val="000000"/>
      <w:sz w:val="20"/>
      <w:szCs w:val="20"/>
      <w:lang w:eastAsia="en-AU"/>
    </w:rPr>
  </w:style>
  <w:style w:type="paragraph" w:customStyle="1" w:styleId="xl82">
    <w:name w:val="xl82"/>
    <w:basedOn w:val="Normal"/>
    <w:rsid w:val="00BD3D35"/>
    <w:pPr>
      <w:pBdr>
        <w:top w:val="single" w:sz="4" w:space="0" w:color="auto"/>
        <w:left w:val="single" w:sz="4" w:space="0" w:color="auto"/>
        <w:bottom w:val="single" w:sz="4" w:space="0" w:color="auto"/>
        <w:right w:val="single" w:sz="4" w:space="0" w:color="auto"/>
      </w:pBdr>
      <w:shd w:val="pct25" w:color="000000" w:fill="FFFFFF"/>
      <w:spacing w:before="100" w:beforeAutospacing="1" w:after="100" w:afterAutospacing="1" w:line="240" w:lineRule="auto"/>
    </w:pPr>
    <w:rPr>
      <w:rFonts w:ascii="Arial" w:eastAsia="Times New Roman" w:hAnsi="Arial" w:cs="Arial"/>
      <w:color w:val="auto"/>
      <w:sz w:val="20"/>
      <w:szCs w:val="20"/>
      <w:lang w:eastAsia="en-AU"/>
    </w:rPr>
  </w:style>
  <w:style w:type="paragraph" w:customStyle="1" w:styleId="xl83">
    <w:name w:val="xl83"/>
    <w:basedOn w:val="Normal"/>
    <w:rsid w:val="00BD3D35"/>
    <w:pPr>
      <w:pBdr>
        <w:top w:val="single" w:sz="4" w:space="0" w:color="auto"/>
        <w:left w:val="single" w:sz="4" w:space="0" w:color="auto"/>
        <w:bottom w:val="single" w:sz="4" w:space="0" w:color="auto"/>
        <w:right w:val="single" w:sz="4" w:space="0" w:color="auto"/>
      </w:pBdr>
      <w:shd w:val="pct25" w:color="000000" w:fill="FFFFFF"/>
      <w:spacing w:before="100" w:beforeAutospacing="1" w:after="100" w:afterAutospacing="1" w:line="240" w:lineRule="auto"/>
    </w:pPr>
    <w:rPr>
      <w:rFonts w:ascii="Arial" w:eastAsia="Times New Roman" w:hAnsi="Arial" w:cs="Arial"/>
      <w:color w:val="000000"/>
      <w:sz w:val="20"/>
      <w:szCs w:val="20"/>
      <w:lang w:eastAsia="en-AU"/>
    </w:rPr>
  </w:style>
  <w:style w:type="paragraph" w:customStyle="1" w:styleId="xl84">
    <w:name w:val="xl84"/>
    <w:basedOn w:val="Normal"/>
    <w:rsid w:val="00BD3D35"/>
    <w:pPr>
      <w:pBdr>
        <w:top w:val="single" w:sz="4" w:space="0" w:color="auto"/>
        <w:left w:val="single" w:sz="4" w:space="0" w:color="auto"/>
        <w:bottom w:val="single" w:sz="4" w:space="0" w:color="auto"/>
        <w:right w:val="single" w:sz="4" w:space="0" w:color="auto"/>
      </w:pBdr>
      <w:shd w:val="pct25" w:color="000000" w:fill="FFFFFF"/>
      <w:spacing w:before="100" w:beforeAutospacing="1" w:after="100" w:afterAutospacing="1" w:line="240" w:lineRule="auto"/>
    </w:pPr>
    <w:rPr>
      <w:rFonts w:ascii="Arial" w:eastAsia="Times New Roman" w:hAnsi="Arial" w:cs="Arial"/>
      <w:color w:val="000000"/>
      <w:sz w:val="20"/>
      <w:szCs w:val="20"/>
      <w:lang w:eastAsia="en-AU"/>
    </w:rPr>
  </w:style>
  <w:style w:type="paragraph" w:customStyle="1" w:styleId="xl85">
    <w:name w:val="xl85"/>
    <w:basedOn w:val="Normal"/>
    <w:rsid w:val="00BD3D35"/>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color w:val="000000"/>
      <w:sz w:val="20"/>
      <w:szCs w:val="20"/>
      <w:lang w:eastAsia="en-AU"/>
    </w:rPr>
  </w:style>
  <w:style w:type="paragraph" w:customStyle="1" w:styleId="xl86">
    <w:name w:val="xl86"/>
    <w:basedOn w:val="Normal"/>
    <w:rsid w:val="00BD3D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Wingdings" w:eastAsia="Times New Roman" w:hAnsi="Wingdings" w:cs="Times New Roman"/>
      <w:color w:val="000000"/>
      <w:sz w:val="24"/>
      <w:szCs w:val="24"/>
      <w:lang w:eastAsia="en-AU"/>
    </w:rPr>
  </w:style>
  <w:style w:type="paragraph" w:customStyle="1" w:styleId="xl87">
    <w:name w:val="xl87"/>
    <w:basedOn w:val="Normal"/>
    <w:rsid w:val="00BD3D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auto"/>
      <w:sz w:val="20"/>
      <w:szCs w:val="20"/>
      <w:lang w:eastAsia="en-AU"/>
    </w:rPr>
  </w:style>
  <w:style w:type="paragraph" w:customStyle="1" w:styleId="xl88">
    <w:name w:val="xl88"/>
    <w:basedOn w:val="Normal"/>
    <w:rsid w:val="00BD3D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20"/>
      <w:szCs w:val="20"/>
      <w:lang w:eastAsia="en-AU"/>
    </w:rPr>
  </w:style>
  <w:style w:type="paragraph" w:customStyle="1" w:styleId="xl89">
    <w:name w:val="xl89"/>
    <w:basedOn w:val="Normal"/>
    <w:rsid w:val="00BD3D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0"/>
      <w:szCs w:val="20"/>
      <w:lang w:eastAsia="en-AU"/>
    </w:rPr>
  </w:style>
  <w:style w:type="paragraph" w:customStyle="1" w:styleId="xl90">
    <w:name w:val="xl90"/>
    <w:basedOn w:val="Normal"/>
    <w:rsid w:val="00BD3D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0000"/>
      <w:sz w:val="20"/>
      <w:szCs w:val="20"/>
      <w:lang w:eastAsia="en-AU"/>
    </w:rPr>
  </w:style>
  <w:style w:type="paragraph" w:customStyle="1" w:styleId="xl91">
    <w:name w:val="xl91"/>
    <w:basedOn w:val="Normal"/>
    <w:rsid w:val="00BD3D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Wingdings" w:eastAsia="Times New Roman" w:hAnsi="Wingdings" w:cs="Times New Roman"/>
      <w:color w:val="000000"/>
      <w:sz w:val="24"/>
      <w:szCs w:val="24"/>
      <w:lang w:eastAsia="en-AU"/>
    </w:rPr>
  </w:style>
  <w:style w:type="paragraph" w:customStyle="1" w:styleId="xl92">
    <w:name w:val="xl92"/>
    <w:basedOn w:val="Normal"/>
    <w:rsid w:val="00BD3D35"/>
    <w:pPr>
      <w:pBdr>
        <w:top w:val="single" w:sz="4" w:space="0" w:color="auto"/>
        <w:left w:val="single" w:sz="4" w:space="0" w:color="auto"/>
        <w:bottom w:val="single" w:sz="4" w:space="0" w:color="auto"/>
        <w:right w:val="single" w:sz="4" w:space="0" w:color="auto"/>
      </w:pBdr>
      <w:shd w:val="pct12" w:color="000000" w:fill="FFFFFF"/>
      <w:spacing w:before="100" w:beforeAutospacing="1" w:after="100" w:afterAutospacing="1" w:line="240" w:lineRule="auto"/>
      <w:jc w:val="right"/>
      <w:textAlignment w:val="center"/>
    </w:pPr>
    <w:rPr>
      <w:rFonts w:ascii="Wingdings" w:eastAsia="Times New Roman" w:hAnsi="Wingdings" w:cs="Times New Roman"/>
      <w:color w:val="000000"/>
      <w:sz w:val="24"/>
      <w:szCs w:val="24"/>
      <w:lang w:eastAsia="en-AU"/>
    </w:rPr>
  </w:style>
  <w:style w:type="paragraph" w:customStyle="1" w:styleId="xl93">
    <w:name w:val="xl93"/>
    <w:basedOn w:val="Normal"/>
    <w:rsid w:val="00BD3D35"/>
    <w:pPr>
      <w:pBdr>
        <w:top w:val="single" w:sz="4" w:space="0" w:color="auto"/>
        <w:left w:val="single" w:sz="4" w:space="0" w:color="auto"/>
        <w:bottom w:val="single" w:sz="4" w:space="0" w:color="auto"/>
        <w:right w:val="single" w:sz="4" w:space="0" w:color="auto"/>
      </w:pBdr>
      <w:shd w:val="pct25" w:color="000000" w:fill="FFFFFF"/>
      <w:spacing w:before="100" w:beforeAutospacing="1" w:after="100" w:afterAutospacing="1" w:line="240" w:lineRule="auto"/>
      <w:jc w:val="right"/>
      <w:textAlignment w:val="center"/>
    </w:pPr>
    <w:rPr>
      <w:rFonts w:ascii="Wingdings" w:eastAsia="Times New Roman" w:hAnsi="Wingdings" w:cs="Times New Roman"/>
      <w:color w:val="000000"/>
      <w:sz w:val="24"/>
      <w:szCs w:val="24"/>
      <w:lang w:eastAsia="en-AU"/>
    </w:rPr>
  </w:style>
  <w:style w:type="paragraph" w:customStyle="1" w:styleId="xl94">
    <w:name w:val="xl94"/>
    <w:basedOn w:val="Normal"/>
    <w:rsid w:val="00BD3D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000000"/>
      <w:sz w:val="20"/>
      <w:szCs w:val="20"/>
      <w:lang w:eastAsia="en-AU"/>
    </w:rPr>
  </w:style>
  <w:style w:type="paragraph" w:customStyle="1" w:styleId="xl95">
    <w:name w:val="xl95"/>
    <w:basedOn w:val="Normal"/>
    <w:rsid w:val="00BD3D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Arial" w:eastAsia="Times New Roman" w:hAnsi="Arial" w:cs="Arial"/>
      <w:b/>
      <w:bCs/>
      <w:color w:val="000000"/>
      <w:sz w:val="20"/>
      <w:szCs w:val="20"/>
      <w:lang w:eastAsia="en-AU"/>
    </w:rPr>
  </w:style>
  <w:style w:type="paragraph" w:customStyle="1" w:styleId="xl96">
    <w:name w:val="xl96"/>
    <w:basedOn w:val="Normal"/>
    <w:rsid w:val="00BD3D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Arial" w:eastAsia="Times New Roman" w:hAnsi="Arial" w:cs="Arial"/>
      <w:b/>
      <w:bCs/>
      <w:color w:val="auto"/>
      <w:sz w:val="20"/>
      <w:szCs w:val="20"/>
      <w:lang w:eastAsia="en-AU"/>
    </w:rPr>
  </w:style>
  <w:style w:type="paragraph" w:customStyle="1" w:styleId="xl97">
    <w:name w:val="xl97"/>
    <w:basedOn w:val="Normal"/>
    <w:rsid w:val="00BD3D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Arial" w:eastAsia="Times New Roman" w:hAnsi="Arial" w:cs="Arial"/>
      <w:b/>
      <w:bCs/>
      <w:color w:val="auto"/>
      <w:sz w:val="20"/>
      <w:szCs w:val="20"/>
      <w:lang w:eastAsia="en-AU"/>
    </w:rPr>
  </w:style>
  <w:style w:type="paragraph" w:customStyle="1" w:styleId="xl98">
    <w:name w:val="xl98"/>
    <w:basedOn w:val="Normal"/>
    <w:rsid w:val="00BD3D35"/>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cs="Times New Roman"/>
      <w:color w:val="000000"/>
      <w:sz w:val="24"/>
      <w:szCs w:val="24"/>
      <w:lang w:eastAsia="en-AU"/>
    </w:rPr>
  </w:style>
  <w:style w:type="paragraph" w:customStyle="1" w:styleId="xl99">
    <w:name w:val="xl99"/>
    <w:basedOn w:val="Normal"/>
    <w:rsid w:val="00BD3D35"/>
    <w:pPr>
      <w:pBdr>
        <w:top w:val="single" w:sz="4" w:space="0" w:color="auto"/>
        <w:left w:val="single" w:sz="4" w:space="0" w:color="auto"/>
        <w:bottom w:val="single" w:sz="4" w:space="0" w:color="auto"/>
        <w:right w:val="single" w:sz="4" w:space="0" w:color="auto"/>
      </w:pBdr>
      <w:shd w:val="pct12" w:color="000000" w:fill="FFFFFF"/>
      <w:spacing w:before="100" w:beforeAutospacing="1" w:after="100" w:afterAutospacing="1" w:line="240" w:lineRule="auto"/>
      <w:jc w:val="right"/>
    </w:pPr>
    <w:rPr>
      <w:rFonts w:ascii="Wingdings" w:eastAsia="Times New Roman" w:hAnsi="Wingdings" w:cs="Times New Roman"/>
      <w:color w:val="000000"/>
      <w:sz w:val="24"/>
      <w:szCs w:val="24"/>
      <w:lang w:eastAsia="en-AU"/>
    </w:rPr>
  </w:style>
  <w:style w:type="paragraph" w:customStyle="1" w:styleId="xl100">
    <w:name w:val="xl100"/>
    <w:basedOn w:val="Normal"/>
    <w:rsid w:val="00BD3D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en-AU"/>
    </w:rPr>
  </w:style>
  <w:style w:type="paragraph" w:customStyle="1" w:styleId="xl101">
    <w:name w:val="xl101"/>
    <w:basedOn w:val="Normal"/>
    <w:rsid w:val="00BD3D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0"/>
      <w:szCs w:val="20"/>
      <w:lang w:eastAsia="en-AU"/>
    </w:rPr>
  </w:style>
  <w:style w:type="paragraph" w:customStyle="1" w:styleId="xl102">
    <w:name w:val="xl102"/>
    <w:basedOn w:val="Normal"/>
    <w:rsid w:val="00BD3D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0"/>
      <w:szCs w:val="20"/>
      <w:lang w:eastAsia="en-AU"/>
    </w:rPr>
  </w:style>
  <w:style w:type="paragraph" w:customStyle="1" w:styleId="xl103">
    <w:name w:val="xl103"/>
    <w:basedOn w:val="Normal"/>
    <w:rsid w:val="00BD3D35"/>
    <w:pPr>
      <w:pBdr>
        <w:top w:val="single" w:sz="4" w:space="0" w:color="auto"/>
        <w:left w:val="single" w:sz="4" w:space="0" w:color="auto"/>
        <w:bottom w:val="single" w:sz="4" w:space="0" w:color="auto"/>
        <w:right w:val="single" w:sz="4" w:space="0" w:color="auto"/>
      </w:pBdr>
      <w:shd w:val="pct25" w:color="000000" w:fill="auto"/>
      <w:spacing w:before="100" w:beforeAutospacing="1" w:after="100" w:afterAutospacing="1" w:line="240" w:lineRule="auto"/>
    </w:pPr>
    <w:rPr>
      <w:rFonts w:ascii="Arial" w:eastAsia="Times New Roman" w:hAnsi="Arial" w:cs="Arial"/>
      <w:color w:val="000000"/>
      <w:sz w:val="20"/>
      <w:szCs w:val="20"/>
      <w:lang w:eastAsia="en-AU"/>
    </w:rPr>
  </w:style>
  <w:style w:type="paragraph" w:customStyle="1" w:styleId="xl104">
    <w:name w:val="xl104"/>
    <w:basedOn w:val="Normal"/>
    <w:rsid w:val="00BD3D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20"/>
      <w:szCs w:val="20"/>
      <w:lang w:eastAsia="en-AU"/>
    </w:rPr>
  </w:style>
  <w:style w:type="paragraph" w:customStyle="1" w:styleId="xl105">
    <w:name w:val="xl105"/>
    <w:basedOn w:val="Normal"/>
    <w:rsid w:val="00BD3D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auto"/>
      <w:sz w:val="20"/>
      <w:szCs w:val="20"/>
      <w:lang w:eastAsia="en-AU"/>
    </w:rPr>
  </w:style>
  <w:style w:type="paragraph" w:customStyle="1" w:styleId="xl106">
    <w:name w:val="xl106"/>
    <w:basedOn w:val="Normal"/>
    <w:rsid w:val="00BD3D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auto"/>
      <w:sz w:val="20"/>
      <w:szCs w:val="20"/>
      <w:lang w:eastAsia="en-AU"/>
    </w:rPr>
  </w:style>
  <w:style w:type="paragraph" w:customStyle="1" w:styleId="xl107">
    <w:name w:val="xl107"/>
    <w:basedOn w:val="Normal"/>
    <w:rsid w:val="00BD3D35"/>
    <w:pPr>
      <w:pBdr>
        <w:top w:val="single" w:sz="4" w:space="0" w:color="auto"/>
        <w:left w:val="single" w:sz="4" w:space="0" w:color="auto"/>
        <w:bottom w:val="single" w:sz="4" w:space="0" w:color="auto"/>
        <w:right w:val="single" w:sz="4" w:space="0" w:color="auto"/>
      </w:pBdr>
      <w:shd w:val="pct25" w:color="000000" w:fill="FFFFFF"/>
      <w:spacing w:before="100" w:beforeAutospacing="1" w:after="100" w:afterAutospacing="1" w:line="240" w:lineRule="auto"/>
    </w:pPr>
    <w:rPr>
      <w:rFonts w:ascii="Arial" w:eastAsia="Times New Roman" w:hAnsi="Arial" w:cs="Arial"/>
      <w:b/>
      <w:bCs/>
      <w:color w:val="auto"/>
      <w:sz w:val="20"/>
      <w:szCs w:val="20"/>
      <w:lang w:eastAsia="en-AU"/>
    </w:rPr>
  </w:style>
  <w:style w:type="paragraph" w:customStyle="1" w:styleId="xl108">
    <w:name w:val="xl108"/>
    <w:basedOn w:val="Normal"/>
    <w:rsid w:val="00BD3D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auto"/>
      <w:sz w:val="20"/>
      <w:szCs w:val="20"/>
      <w:lang w:eastAsia="en-AU"/>
    </w:rPr>
  </w:style>
  <w:style w:type="paragraph" w:customStyle="1" w:styleId="xl109">
    <w:name w:val="xl109"/>
    <w:basedOn w:val="Normal"/>
    <w:rsid w:val="00BD3D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auto"/>
      <w:sz w:val="20"/>
      <w:szCs w:val="20"/>
      <w:lang w:eastAsia="en-AU"/>
    </w:rPr>
  </w:style>
  <w:style w:type="paragraph" w:customStyle="1" w:styleId="xl110">
    <w:name w:val="xl110"/>
    <w:basedOn w:val="Normal"/>
    <w:rsid w:val="00BD3D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20"/>
      <w:szCs w:val="20"/>
      <w:lang w:eastAsia="en-AU"/>
    </w:rPr>
  </w:style>
  <w:style w:type="paragraph" w:customStyle="1" w:styleId="xl111">
    <w:name w:val="xl111"/>
    <w:basedOn w:val="Normal"/>
    <w:rsid w:val="00BD3D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auto"/>
      <w:sz w:val="20"/>
      <w:szCs w:val="20"/>
      <w:lang w:eastAsia="en-AU"/>
    </w:rPr>
  </w:style>
  <w:style w:type="paragraph" w:customStyle="1" w:styleId="xl112">
    <w:name w:val="xl112"/>
    <w:basedOn w:val="Normal"/>
    <w:rsid w:val="00BD3D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auto"/>
      <w:sz w:val="20"/>
      <w:szCs w:val="20"/>
      <w:lang w:eastAsia="en-AU"/>
    </w:rPr>
  </w:style>
  <w:style w:type="paragraph" w:customStyle="1" w:styleId="xl113">
    <w:name w:val="xl113"/>
    <w:basedOn w:val="Normal"/>
    <w:rsid w:val="00BD3D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color w:val="auto"/>
      <w:sz w:val="16"/>
      <w:szCs w:val="16"/>
      <w:lang w:eastAsia="en-AU"/>
    </w:rPr>
  </w:style>
  <w:style w:type="paragraph" w:customStyle="1" w:styleId="xl114">
    <w:name w:val="xl114"/>
    <w:basedOn w:val="Normal"/>
    <w:rsid w:val="00BD3D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0"/>
      <w:szCs w:val="20"/>
      <w:lang w:eastAsia="en-AU"/>
    </w:rPr>
  </w:style>
  <w:style w:type="paragraph" w:customStyle="1" w:styleId="xl115">
    <w:name w:val="xl115"/>
    <w:basedOn w:val="Normal"/>
    <w:rsid w:val="00BD3D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Wingdings" w:eastAsia="Times New Roman" w:hAnsi="Wingdings" w:cs="Times New Roman"/>
      <w:color w:val="000000"/>
      <w:sz w:val="28"/>
      <w:szCs w:val="28"/>
      <w:lang w:eastAsia="en-AU"/>
    </w:rPr>
  </w:style>
  <w:style w:type="paragraph" w:customStyle="1" w:styleId="xl116">
    <w:name w:val="xl116"/>
    <w:basedOn w:val="Normal"/>
    <w:rsid w:val="00BD3D35"/>
    <w:pPr>
      <w:pBdr>
        <w:top w:val="single" w:sz="4" w:space="0" w:color="auto"/>
        <w:left w:val="single" w:sz="4" w:space="0" w:color="auto"/>
        <w:bottom w:val="single" w:sz="4" w:space="0" w:color="auto"/>
        <w:right w:val="single" w:sz="4" w:space="0" w:color="auto"/>
      </w:pBdr>
      <w:shd w:val="clear" w:color="000000" w:fill="FF8021"/>
      <w:spacing w:before="100" w:beforeAutospacing="1" w:after="100" w:afterAutospacing="1" w:line="240" w:lineRule="auto"/>
    </w:pPr>
    <w:rPr>
      <w:rFonts w:ascii="Arial" w:eastAsia="Times New Roman" w:hAnsi="Arial" w:cs="Arial"/>
      <w:b/>
      <w:bCs/>
      <w:color w:val="FFFFFF"/>
      <w:sz w:val="20"/>
      <w:szCs w:val="20"/>
      <w:lang w:eastAsia="en-AU"/>
    </w:rPr>
  </w:style>
  <w:style w:type="paragraph" w:customStyle="1" w:styleId="xl117">
    <w:name w:val="xl117"/>
    <w:basedOn w:val="Normal"/>
    <w:rsid w:val="00BD3D35"/>
    <w:pPr>
      <w:pBdr>
        <w:top w:val="single" w:sz="4" w:space="0" w:color="auto"/>
        <w:left w:val="single" w:sz="4" w:space="0" w:color="auto"/>
        <w:bottom w:val="single" w:sz="4" w:space="0" w:color="auto"/>
        <w:right w:val="single" w:sz="4" w:space="0" w:color="auto"/>
      </w:pBdr>
      <w:shd w:val="clear" w:color="000000" w:fill="FF8021"/>
      <w:spacing w:before="100" w:beforeAutospacing="1" w:after="100" w:afterAutospacing="1" w:line="240" w:lineRule="auto"/>
      <w:textAlignment w:val="center"/>
    </w:pPr>
    <w:rPr>
      <w:rFonts w:ascii="Arial" w:eastAsia="Times New Roman" w:hAnsi="Arial" w:cs="Arial"/>
      <w:b/>
      <w:bCs/>
      <w:color w:val="FFFFFF"/>
      <w:sz w:val="20"/>
      <w:szCs w:val="20"/>
      <w:lang w:eastAsia="en-AU"/>
    </w:rPr>
  </w:style>
  <w:style w:type="paragraph" w:customStyle="1" w:styleId="xl118">
    <w:name w:val="xl118"/>
    <w:basedOn w:val="Normal"/>
    <w:rsid w:val="00BD3D35"/>
    <w:pPr>
      <w:pBdr>
        <w:top w:val="single" w:sz="4" w:space="0" w:color="auto"/>
        <w:left w:val="single" w:sz="4" w:space="0" w:color="auto"/>
        <w:bottom w:val="single" w:sz="4" w:space="0" w:color="auto"/>
        <w:right w:val="single" w:sz="4" w:space="0" w:color="auto"/>
      </w:pBdr>
      <w:shd w:val="clear" w:color="000000" w:fill="FF8021"/>
      <w:spacing w:before="100" w:beforeAutospacing="1" w:after="100" w:afterAutospacing="1" w:line="240" w:lineRule="auto"/>
      <w:jc w:val="center"/>
    </w:pPr>
    <w:rPr>
      <w:rFonts w:ascii="Times New Roman" w:eastAsia="Times New Roman" w:hAnsi="Times New Roman" w:cs="Times New Roman"/>
      <w:color w:val="FFFFFF"/>
      <w:sz w:val="24"/>
      <w:szCs w:val="24"/>
      <w:lang w:eastAsia="en-AU"/>
    </w:rPr>
  </w:style>
  <w:style w:type="paragraph" w:customStyle="1" w:styleId="xl119">
    <w:name w:val="xl119"/>
    <w:basedOn w:val="Normal"/>
    <w:rsid w:val="00BD3D35"/>
    <w:pPr>
      <w:pBdr>
        <w:top w:val="single" w:sz="4" w:space="0" w:color="auto"/>
        <w:left w:val="single" w:sz="4" w:space="0" w:color="auto"/>
        <w:bottom w:val="single" w:sz="4" w:space="0" w:color="auto"/>
        <w:right w:val="single" w:sz="4" w:space="0" w:color="auto"/>
      </w:pBdr>
      <w:shd w:val="pct25" w:color="000000" w:fill="FF8021"/>
      <w:spacing w:before="100" w:beforeAutospacing="1" w:after="100" w:afterAutospacing="1" w:line="240" w:lineRule="auto"/>
      <w:jc w:val="center"/>
    </w:pPr>
    <w:rPr>
      <w:rFonts w:ascii="Times New Roman" w:eastAsia="Times New Roman" w:hAnsi="Times New Roman" w:cs="Times New Roman"/>
      <w:color w:val="FFFFFF"/>
      <w:sz w:val="24"/>
      <w:szCs w:val="24"/>
      <w:lang w:eastAsia="en-AU"/>
    </w:rPr>
  </w:style>
  <w:style w:type="paragraph" w:customStyle="1" w:styleId="xl120">
    <w:name w:val="xl120"/>
    <w:basedOn w:val="Normal"/>
    <w:rsid w:val="00BD3D35"/>
    <w:pPr>
      <w:pBdr>
        <w:top w:val="single" w:sz="4" w:space="0" w:color="auto"/>
        <w:left w:val="single" w:sz="4" w:space="0" w:color="auto"/>
        <w:bottom w:val="single" w:sz="4" w:space="0" w:color="auto"/>
        <w:right w:val="single" w:sz="4" w:space="0" w:color="auto"/>
      </w:pBdr>
      <w:shd w:val="clear" w:color="000000" w:fill="FF8021"/>
      <w:spacing w:before="100" w:beforeAutospacing="1" w:after="100" w:afterAutospacing="1" w:line="240" w:lineRule="auto"/>
    </w:pPr>
    <w:rPr>
      <w:rFonts w:ascii="Arial" w:eastAsia="Times New Roman" w:hAnsi="Arial" w:cs="Arial"/>
      <w:b/>
      <w:bCs/>
      <w:color w:val="000000"/>
      <w:sz w:val="20"/>
      <w:szCs w:val="20"/>
      <w:lang w:eastAsia="en-AU"/>
    </w:rPr>
  </w:style>
  <w:style w:type="paragraph" w:customStyle="1" w:styleId="xl121">
    <w:name w:val="xl121"/>
    <w:basedOn w:val="Normal"/>
    <w:rsid w:val="00BD3D35"/>
    <w:pPr>
      <w:pBdr>
        <w:left w:val="single" w:sz="8" w:space="0" w:color="auto"/>
        <w:right w:val="single" w:sz="8" w:space="0" w:color="auto"/>
      </w:pBdr>
      <w:shd w:val="clear" w:color="000000" w:fill="FF8021"/>
      <w:spacing w:before="100" w:beforeAutospacing="1" w:after="100" w:afterAutospacing="1" w:line="240" w:lineRule="auto"/>
    </w:pPr>
    <w:rPr>
      <w:rFonts w:ascii="Arial" w:eastAsia="Times New Roman" w:hAnsi="Arial" w:cs="Arial"/>
      <w:b/>
      <w:bCs/>
      <w:color w:val="FFFFFF"/>
      <w:sz w:val="20"/>
      <w:szCs w:val="20"/>
      <w:lang w:eastAsia="en-AU"/>
    </w:rPr>
  </w:style>
  <w:style w:type="paragraph" w:customStyle="1" w:styleId="xl122">
    <w:name w:val="xl122"/>
    <w:basedOn w:val="Normal"/>
    <w:rsid w:val="00BD3D35"/>
    <w:pPr>
      <w:pBdr>
        <w:left w:val="single" w:sz="8" w:space="0" w:color="auto"/>
      </w:pBdr>
      <w:shd w:val="clear" w:color="000000" w:fill="FF8021"/>
      <w:spacing w:before="100" w:beforeAutospacing="1" w:after="100" w:afterAutospacing="1" w:line="240" w:lineRule="auto"/>
      <w:textAlignment w:val="center"/>
    </w:pPr>
    <w:rPr>
      <w:rFonts w:ascii="Arial" w:eastAsia="Times New Roman" w:hAnsi="Arial" w:cs="Arial"/>
      <w:b/>
      <w:bCs/>
      <w:color w:val="FFFFFF"/>
      <w:sz w:val="20"/>
      <w:szCs w:val="20"/>
      <w:lang w:eastAsia="en-AU"/>
    </w:rPr>
  </w:style>
  <w:style w:type="paragraph" w:customStyle="1" w:styleId="xl123">
    <w:name w:val="xl123"/>
    <w:basedOn w:val="Normal"/>
    <w:rsid w:val="00BD3D35"/>
    <w:pPr>
      <w:pBdr>
        <w:left w:val="single" w:sz="8" w:space="0" w:color="auto"/>
        <w:right w:val="single" w:sz="4" w:space="0" w:color="auto"/>
      </w:pBdr>
      <w:shd w:val="clear" w:color="000000" w:fill="FF8021"/>
      <w:spacing w:before="100" w:beforeAutospacing="1" w:after="100" w:afterAutospacing="1" w:line="240" w:lineRule="auto"/>
      <w:jc w:val="center"/>
    </w:pPr>
    <w:rPr>
      <w:rFonts w:ascii="Times New Roman" w:eastAsia="Times New Roman" w:hAnsi="Times New Roman" w:cs="Times New Roman"/>
      <w:color w:val="FFFFFF"/>
      <w:sz w:val="24"/>
      <w:szCs w:val="24"/>
      <w:lang w:eastAsia="en-AU"/>
    </w:rPr>
  </w:style>
  <w:style w:type="paragraph" w:customStyle="1" w:styleId="xl124">
    <w:name w:val="xl124"/>
    <w:basedOn w:val="Normal"/>
    <w:rsid w:val="00BD3D35"/>
    <w:pPr>
      <w:pBdr>
        <w:left w:val="single" w:sz="4" w:space="0" w:color="auto"/>
        <w:right w:val="single" w:sz="4" w:space="0" w:color="auto"/>
      </w:pBdr>
      <w:shd w:val="clear" w:color="000000" w:fill="FF8021"/>
      <w:spacing w:before="100" w:beforeAutospacing="1" w:after="100" w:afterAutospacing="1" w:line="240" w:lineRule="auto"/>
      <w:jc w:val="center"/>
    </w:pPr>
    <w:rPr>
      <w:rFonts w:ascii="Times New Roman" w:eastAsia="Times New Roman" w:hAnsi="Times New Roman" w:cs="Times New Roman"/>
      <w:color w:val="FFFFFF"/>
      <w:sz w:val="24"/>
      <w:szCs w:val="24"/>
      <w:lang w:eastAsia="en-AU"/>
    </w:rPr>
  </w:style>
  <w:style w:type="paragraph" w:customStyle="1" w:styleId="xl125">
    <w:name w:val="xl125"/>
    <w:basedOn w:val="Normal"/>
    <w:rsid w:val="00BD3D35"/>
    <w:pPr>
      <w:pBdr>
        <w:left w:val="single" w:sz="4" w:space="0" w:color="auto"/>
        <w:right w:val="single" w:sz="8" w:space="0" w:color="auto"/>
      </w:pBdr>
      <w:shd w:val="clear" w:color="000000" w:fill="FF8021"/>
      <w:spacing w:before="100" w:beforeAutospacing="1" w:after="100" w:afterAutospacing="1" w:line="240" w:lineRule="auto"/>
      <w:jc w:val="center"/>
    </w:pPr>
    <w:rPr>
      <w:rFonts w:ascii="Times New Roman" w:eastAsia="Times New Roman" w:hAnsi="Times New Roman" w:cs="Times New Roman"/>
      <w:color w:val="FFFFFF"/>
      <w:sz w:val="24"/>
      <w:szCs w:val="24"/>
      <w:lang w:eastAsia="en-AU"/>
    </w:rPr>
  </w:style>
  <w:style w:type="paragraph" w:customStyle="1" w:styleId="xl126">
    <w:name w:val="xl126"/>
    <w:basedOn w:val="Normal"/>
    <w:rsid w:val="00BD3D35"/>
    <w:pPr>
      <w:shd w:val="clear" w:color="000000" w:fill="FF8021"/>
      <w:spacing w:before="100" w:beforeAutospacing="1" w:after="100" w:afterAutospacing="1" w:line="240" w:lineRule="auto"/>
      <w:jc w:val="center"/>
    </w:pPr>
    <w:rPr>
      <w:rFonts w:ascii="Times New Roman" w:eastAsia="Times New Roman" w:hAnsi="Times New Roman" w:cs="Times New Roman"/>
      <w:color w:val="FFFFFF"/>
      <w:sz w:val="24"/>
      <w:szCs w:val="24"/>
      <w:lang w:eastAsia="en-AU"/>
    </w:rPr>
  </w:style>
  <w:style w:type="paragraph" w:customStyle="1" w:styleId="xl127">
    <w:name w:val="xl127"/>
    <w:basedOn w:val="Normal"/>
    <w:rsid w:val="00BD3D35"/>
    <w:pPr>
      <w:pBdr>
        <w:left w:val="single" w:sz="4" w:space="0" w:color="auto"/>
      </w:pBdr>
      <w:shd w:val="clear" w:color="000000" w:fill="FF8021"/>
      <w:spacing w:before="100" w:beforeAutospacing="1" w:after="100" w:afterAutospacing="1" w:line="240" w:lineRule="auto"/>
      <w:jc w:val="center"/>
    </w:pPr>
    <w:rPr>
      <w:rFonts w:ascii="Times New Roman" w:eastAsia="Times New Roman" w:hAnsi="Times New Roman" w:cs="Times New Roman"/>
      <w:color w:val="FFFFFF"/>
      <w:sz w:val="24"/>
      <w:szCs w:val="24"/>
      <w:lang w:eastAsia="en-AU"/>
    </w:rPr>
  </w:style>
  <w:style w:type="paragraph" w:customStyle="1" w:styleId="xl128">
    <w:name w:val="xl128"/>
    <w:basedOn w:val="Normal"/>
    <w:rsid w:val="00BD3D35"/>
    <w:pPr>
      <w:pBdr>
        <w:left w:val="single" w:sz="8" w:space="0" w:color="auto"/>
      </w:pBdr>
      <w:shd w:val="clear" w:color="000000" w:fill="FF8021"/>
      <w:spacing w:before="100" w:beforeAutospacing="1" w:after="100" w:afterAutospacing="1" w:line="240" w:lineRule="auto"/>
      <w:jc w:val="center"/>
    </w:pPr>
    <w:rPr>
      <w:rFonts w:ascii="Times New Roman" w:eastAsia="Times New Roman" w:hAnsi="Times New Roman" w:cs="Times New Roman"/>
      <w:color w:val="FFFFFF"/>
      <w:sz w:val="24"/>
      <w:szCs w:val="24"/>
      <w:lang w:eastAsia="en-AU"/>
    </w:rPr>
  </w:style>
  <w:style w:type="paragraph" w:customStyle="1" w:styleId="xl129">
    <w:name w:val="xl129"/>
    <w:basedOn w:val="Normal"/>
    <w:rsid w:val="00BD3D35"/>
    <w:pPr>
      <w:pBdr>
        <w:right w:val="single" w:sz="4" w:space="0" w:color="auto"/>
      </w:pBdr>
      <w:shd w:val="clear" w:color="000000" w:fill="FF8021"/>
      <w:spacing w:before="100" w:beforeAutospacing="1" w:after="100" w:afterAutospacing="1" w:line="240" w:lineRule="auto"/>
      <w:jc w:val="center"/>
    </w:pPr>
    <w:rPr>
      <w:rFonts w:ascii="Times New Roman" w:eastAsia="Times New Roman" w:hAnsi="Times New Roman" w:cs="Times New Roman"/>
      <w:color w:val="FFFFFF"/>
      <w:sz w:val="24"/>
      <w:szCs w:val="24"/>
      <w:lang w:eastAsia="en-AU"/>
    </w:rPr>
  </w:style>
  <w:style w:type="paragraph" w:customStyle="1" w:styleId="xl130">
    <w:name w:val="xl130"/>
    <w:basedOn w:val="Normal"/>
    <w:rsid w:val="00BD3D35"/>
    <w:pPr>
      <w:pBdr>
        <w:left w:val="single" w:sz="4" w:space="0" w:color="auto"/>
        <w:right w:val="single" w:sz="4" w:space="0" w:color="auto"/>
      </w:pBdr>
      <w:shd w:val="pct25" w:color="000000" w:fill="FF8021"/>
      <w:spacing w:before="100" w:beforeAutospacing="1" w:after="100" w:afterAutospacing="1" w:line="240" w:lineRule="auto"/>
      <w:jc w:val="center"/>
    </w:pPr>
    <w:rPr>
      <w:rFonts w:ascii="Times New Roman" w:eastAsia="Times New Roman" w:hAnsi="Times New Roman" w:cs="Times New Roman"/>
      <w:color w:val="FFFFFF"/>
      <w:sz w:val="24"/>
      <w:szCs w:val="24"/>
      <w:lang w:eastAsia="en-AU"/>
    </w:rPr>
  </w:style>
  <w:style w:type="paragraph" w:customStyle="1" w:styleId="xl131">
    <w:name w:val="xl131"/>
    <w:basedOn w:val="Normal"/>
    <w:rsid w:val="00BD3D35"/>
    <w:pPr>
      <w:shd w:val="clear" w:color="000000" w:fill="FF8021"/>
      <w:spacing w:before="100" w:beforeAutospacing="1" w:after="100" w:afterAutospacing="1" w:line="240" w:lineRule="auto"/>
    </w:pPr>
    <w:rPr>
      <w:rFonts w:ascii="Arial" w:eastAsia="Times New Roman" w:hAnsi="Arial" w:cs="Arial"/>
      <w:b/>
      <w:bCs/>
      <w:color w:val="000000"/>
      <w:sz w:val="20"/>
      <w:szCs w:val="20"/>
      <w:lang w:eastAsia="en-AU"/>
    </w:rPr>
  </w:style>
  <w:style w:type="paragraph" w:customStyle="1" w:styleId="xl132">
    <w:name w:val="xl132"/>
    <w:basedOn w:val="Normal"/>
    <w:rsid w:val="00BD3D3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auto"/>
      <w:sz w:val="18"/>
      <w:szCs w:val="18"/>
      <w:lang w:eastAsia="en-AU"/>
    </w:rPr>
  </w:style>
  <w:style w:type="paragraph" w:customStyle="1" w:styleId="xl133">
    <w:name w:val="xl133"/>
    <w:basedOn w:val="Normal"/>
    <w:rsid w:val="00BD3D35"/>
    <w:pPr>
      <w:pBdr>
        <w:top w:val="single" w:sz="8" w:space="0" w:color="auto"/>
        <w:left w:val="single" w:sz="8" w:space="0" w:color="auto"/>
        <w:right w:val="single" w:sz="8" w:space="0" w:color="auto"/>
      </w:pBdr>
      <w:shd w:val="clear" w:color="000000" w:fill="212745"/>
      <w:spacing w:before="100" w:beforeAutospacing="1" w:after="100" w:afterAutospacing="1" w:line="240" w:lineRule="auto"/>
      <w:textAlignment w:val="center"/>
    </w:pPr>
    <w:rPr>
      <w:rFonts w:ascii="Arial" w:eastAsia="Times New Roman" w:hAnsi="Arial" w:cs="Arial"/>
      <w:b/>
      <w:bCs/>
      <w:color w:val="FFFFFF"/>
      <w:sz w:val="20"/>
      <w:szCs w:val="20"/>
      <w:lang w:eastAsia="en-AU"/>
    </w:rPr>
  </w:style>
  <w:style w:type="paragraph" w:customStyle="1" w:styleId="xl134">
    <w:name w:val="xl134"/>
    <w:basedOn w:val="Normal"/>
    <w:rsid w:val="00BD3D35"/>
    <w:pPr>
      <w:pBdr>
        <w:left w:val="single" w:sz="8" w:space="0" w:color="auto"/>
        <w:bottom w:val="single" w:sz="8" w:space="0" w:color="auto"/>
        <w:right w:val="single" w:sz="8" w:space="0" w:color="auto"/>
      </w:pBdr>
      <w:shd w:val="clear" w:color="000000" w:fill="212745"/>
      <w:spacing w:before="100" w:beforeAutospacing="1" w:after="100" w:afterAutospacing="1" w:line="240" w:lineRule="auto"/>
      <w:textAlignment w:val="center"/>
    </w:pPr>
    <w:rPr>
      <w:rFonts w:ascii="Arial" w:eastAsia="Times New Roman" w:hAnsi="Arial" w:cs="Arial"/>
      <w:b/>
      <w:bCs/>
      <w:color w:val="FFFFFF"/>
      <w:sz w:val="20"/>
      <w:szCs w:val="20"/>
      <w:lang w:eastAsia="en-AU"/>
    </w:rPr>
  </w:style>
  <w:style w:type="paragraph" w:customStyle="1" w:styleId="xl135">
    <w:name w:val="xl135"/>
    <w:basedOn w:val="Normal"/>
    <w:rsid w:val="00BD3D35"/>
    <w:pPr>
      <w:pBdr>
        <w:top w:val="single" w:sz="8" w:space="0" w:color="auto"/>
        <w:left w:val="single" w:sz="8" w:space="0" w:color="auto"/>
      </w:pBdr>
      <w:shd w:val="clear" w:color="000000" w:fill="212745"/>
      <w:spacing w:before="100" w:beforeAutospacing="1" w:after="100" w:afterAutospacing="1" w:line="240" w:lineRule="auto"/>
      <w:jc w:val="center"/>
      <w:textAlignment w:val="center"/>
    </w:pPr>
    <w:rPr>
      <w:rFonts w:ascii="Arial" w:eastAsia="Times New Roman" w:hAnsi="Arial" w:cs="Arial"/>
      <w:b/>
      <w:bCs/>
      <w:color w:val="FFFFFF"/>
      <w:sz w:val="20"/>
      <w:szCs w:val="20"/>
      <w:lang w:eastAsia="en-AU"/>
    </w:rPr>
  </w:style>
  <w:style w:type="paragraph" w:customStyle="1" w:styleId="xl136">
    <w:name w:val="xl136"/>
    <w:basedOn w:val="Normal"/>
    <w:rsid w:val="00BD3D35"/>
    <w:pPr>
      <w:pBdr>
        <w:left w:val="single" w:sz="8" w:space="0" w:color="auto"/>
        <w:bottom w:val="single" w:sz="8" w:space="0" w:color="auto"/>
      </w:pBdr>
      <w:shd w:val="clear" w:color="000000" w:fill="212745"/>
      <w:spacing w:before="100" w:beforeAutospacing="1" w:after="100" w:afterAutospacing="1" w:line="240" w:lineRule="auto"/>
      <w:jc w:val="center"/>
      <w:textAlignment w:val="center"/>
    </w:pPr>
    <w:rPr>
      <w:rFonts w:ascii="Arial" w:eastAsia="Times New Roman" w:hAnsi="Arial" w:cs="Arial"/>
      <w:b/>
      <w:bCs/>
      <w:color w:val="FFFFFF"/>
      <w:sz w:val="20"/>
      <w:szCs w:val="20"/>
      <w:lang w:eastAsia="en-AU"/>
    </w:rPr>
  </w:style>
  <w:style w:type="paragraph" w:customStyle="1" w:styleId="xl137">
    <w:name w:val="xl137"/>
    <w:basedOn w:val="Normal"/>
    <w:rsid w:val="00BD3D35"/>
    <w:pPr>
      <w:pBdr>
        <w:top w:val="single" w:sz="8" w:space="0" w:color="auto"/>
        <w:left w:val="single" w:sz="8" w:space="0" w:color="auto"/>
        <w:bottom w:val="single" w:sz="4" w:space="0" w:color="auto"/>
        <w:right w:val="single" w:sz="4" w:space="0" w:color="auto"/>
      </w:pBdr>
      <w:shd w:val="clear" w:color="000000" w:fill="9DE1CE"/>
      <w:spacing w:before="100" w:beforeAutospacing="1" w:after="100" w:afterAutospacing="1" w:line="240" w:lineRule="auto"/>
      <w:jc w:val="center"/>
    </w:pPr>
    <w:rPr>
      <w:rFonts w:ascii="Times New Roman" w:eastAsia="Times New Roman" w:hAnsi="Times New Roman" w:cs="Times New Roman"/>
      <w:color w:val="FFFFFF"/>
      <w:sz w:val="24"/>
      <w:szCs w:val="24"/>
      <w:lang w:eastAsia="en-AU"/>
    </w:rPr>
  </w:style>
  <w:style w:type="paragraph" w:customStyle="1" w:styleId="xl138">
    <w:name w:val="xl138"/>
    <w:basedOn w:val="Normal"/>
    <w:rsid w:val="00BD3D35"/>
    <w:pPr>
      <w:pBdr>
        <w:top w:val="single" w:sz="8" w:space="0" w:color="auto"/>
        <w:left w:val="single" w:sz="4" w:space="0" w:color="auto"/>
        <w:bottom w:val="single" w:sz="4" w:space="0" w:color="auto"/>
        <w:right w:val="single" w:sz="4" w:space="0" w:color="auto"/>
      </w:pBdr>
      <w:shd w:val="clear" w:color="000000" w:fill="9DE1CE"/>
      <w:spacing w:before="100" w:beforeAutospacing="1" w:after="100" w:afterAutospacing="1" w:line="240" w:lineRule="auto"/>
      <w:jc w:val="center"/>
    </w:pPr>
    <w:rPr>
      <w:rFonts w:ascii="Times New Roman" w:eastAsia="Times New Roman" w:hAnsi="Times New Roman" w:cs="Times New Roman"/>
      <w:color w:val="FFFFFF"/>
      <w:sz w:val="24"/>
      <w:szCs w:val="24"/>
      <w:lang w:eastAsia="en-AU"/>
    </w:rPr>
  </w:style>
  <w:style w:type="paragraph" w:customStyle="1" w:styleId="xl139">
    <w:name w:val="xl139"/>
    <w:basedOn w:val="Normal"/>
    <w:rsid w:val="00BD3D35"/>
    <w:pPr>
      <w:pBdr>
        <w:top w:val="single" w:sz="8" w:space="0" w:color="auto"/>
        <w:left w:val="single" w:sz="4" w:space="0" w:color="auto"/>
        <w:bottom w:val="single" w:sz="4" w:space="0" w:color="auto"/>
        <w:right w:val="single" w:sz="8" w:space="0" w:color="auto"/>
      </w:pBdr>
      <w:shd w:val="clear" w:color="000000" w:fill="9DE1CE"/>
      <w:spacing w:before="100" w:beforeAutospacing="1" w:after="100" w:afterAutospacing="1" w:line="240" w:lineRule="auto"/>
      <w:jc w:val="center"/>
    </w:pPr>
    <w:rPr>
      <w:rFonts w:ascii="Times New Roman" w:eastAsia="Times New Roman" w:hAnsi="Times New Roman" w:cs="Times New Roman"/>
      <w:color w:val="FFFFFF"/>
      <w:sz w:val="24"/>
      <w:szCs w:val="24"/>
      <w:lang w:eastAsia="en-AU"/>
    </w:rPr>
  </w:style>
  <w:style w:type="paragraph" w:customStyle="1" w:styleId="xl140">
    <w:name w:val="xl140"/>
    <w:basedOn w:val="Normal"/>
    <w:rsid w:val="00BD3D35"/>
    <w:pPr>
      <w:pBdr>
        <w:bottom w:val="single" w:sz="4" w:space="0" w:color="auto"/>
        <w:right w:val="single" w:sz="4" w:space="0" w:color="auto"/>
      </w:pBdr>
      <w:shd w:val="clear" w:color="000000" w:fill="9DE1CE"/>
      <w:spacing w:before="100" w:beforeAutospacing="1" w:after="100" w:afterAutospacing="1" w:line="240" w:lineRule="auto"/>
      <w:jc w:val="center"/>
    </w:pPr>
    <w:rPr>
      <w:rFonts w:ascii="Times New Roman" w:eastAsia="Times New Roman" w:hAnsi="Times New Roman" w:cs="Times New Roman"/>
      <w:color w:val="FFFFFF"/>
      <w:sz w:val="24"/>
      <w:szCs w:val="24"/>
      <w:lang w:eastAsia="en-AU"/>
    </w:rPr>
  </w:style>
  <w:style w:type="paragraph" w:customStyle="1" w:styleId="xl141">
    <w:name w:val="xl141"/>
    <w:basedOn w:val="Normal"/>
    <w:rsid w:val="00BD3D35"/>
    <w:pPr>
      <w:pBdr>
        <w:left w:val="single" w:sz="4" w:space="0" w:color="auto"/>
        <w:bottom w:val="single" w:sz="4" w:space="0" w:color="auto"/>
        <w:right w:val="single" w:sz="4" w:space="0" w:color="auto"/>
      </w:pBdr>
      <w:shd w:val="clear" w:color="000000" w:fill="9DE1CE"/>
      <w:spacing w:before="100" w:beforeAutospacing="1" w:after="100" w:afterAutospacing="1" w:line="240" w:lineRule="auto"/>
      <w:jc w:val="center"/>
    </w:pPr>
    <w:rPr>
      <w:rFonts w:ascii="Times New Roman" w:eastAsia="Times New Roman" w:hAnsi="Times New Roman" w:cs="Times New Roman"/>
      <w:color w:val="FFFFFF"/>
      <w:sz w:val="24"/>
      <w:szCs w:val="24"/>
      <w:lang w:eastAsia="en-AU"/>
    </w:rPr>
  </w:style>
  <w:style w:type="paragraph" w:customStyle="1" w:styleId="xl142">
    <w:name w:val="xl142"/>
    <w:basedOn w:val="Normal"/>
    <w:rsid w:val="00BD3D35"/>
    <w:pPr>
      <w:pBdr>
        <w:left w:val="single" w:sz="4" w:space="0" w:color="auto"/>
        <w:bottom w:val="single" w:sz="4" w:space="0" w:color="auto"/>
      </w:pBdr>
      <w:shd w:val="clear" w:color="000000" w:fill="9DE1CE"/>
      <w:spacing w:before="100" w:beforeAutospacing="1" w:after="100" w:afterAutospacing="1" w:line="240" w:lineRule="auto"/>
      <w:jc w:val="center"/>
    </w:pPr>
    <w:rPr>
      <w:rFonts w:ascii="Times New Roman" w:eastAsia="Times New Roman" w:hAnsi="Times New Roman" w:cs="Times New Roman"/>
      <w:color w:val="FFFFFF"/>
      <w:sz w:val="24"/>
      <w:szCs w:val="24"/>
      <w:lang w:eastAsia="en-AU"/>
    </w:rPr>
  </w:style>
  <w:style w:type="paragraph" w:customStyle="1" w:styleId="xl143">
    <w:name w:val="xl143"/>
    <w:basedOn w:val="Normal"/>
    <w:rsid w:val="00BD3D35"/>
    <w:pPr>
      <w:pBdr>
        <w:top w:val="single" w:sz="4" w:space="0" w:color="auto"/>
      </w:pBdr>
      <w:shd w:val="clear" w:color="000000" w:fill="212745"/>
      <w:spacing w:before="100" w:beforeAutospacing="1" w:after="100" w:afterAutospacing="1" w:line="240" w:lineRule="auto"/>
      <w:jc w:val="center"/>
      <w:textAlignment w:val="center"/>
    </w:pPr>
    <w:rPr>
      <w:rFonts w:ascii="Arial" w:eastAsia="Times New Roman" w:hAnsi="Arial" w:cs="Arial"/>
      <w:b/>
      <w:bCs/>
      <w:color w:val="FFFFFF"/>
      <w:sz w:val="20"/>
      <w:szCs w:val="20"/>
      <w:lang w:eastAsia="en-AU"/>
    </w:rPr>
  </w:style>
  <w:style w:type="paragraph" w:customStyle="1" w:styleId="xl144">
    <w:name w:val="xl144"/>
    <w:basedOn w:val="Normal"/>
    <w:rsid w:val="00BD3D35"/>
    <w:pPr>
      <w:pBdr>
        <w:top w:val="single" w:sz="4" w:space="0" w:color="auto"/>
        <w:bottom w:val="single" w:sz="4" w:space="0" w:color="auto"/>
      </w:pBdr>
      <w:shd w:val="clear" w:color="000000" w:fill="212745"/>
      <w:spacing w:before="100" w:beforeAutospacing="1" w:after="100" w:afterAutospacing="1" w:line="240" w:lineRule="auto"/>
      <w:jc w:val="center"/>
      <w:textAlignment w:val="center"/>
    </w:pPr>
    <w:rPr>
      <w:rFonts w:ascii="Arial" w:eastAsia="Times New Roman" w:hAnsi="Arial" w:cs="Arial"/>
      <w:b/>
      <w:bCs/>
      <w:color w:val="FFFFFF"/>
      <w:sz w:val="20"/>
      <w:szCs w:val="20"/>
      <w:lang w:eastAsia="en-AU"/>
    </w:rPr>
  </w:style>
  <w:style w:type="paragraph" w:customStyle="1" w:styleId="xl145">
    <w:name w:val="xl145"/>
    <w:basedOn w:val="Normal"/>
    <w:rsid w:val="00BD3D35"/>
    <w:pPr>
      <w:pBdr>
        <w:top w:val="single" w:sz="4" w:space="0" w:color="auto"/>
        <w:right w:val="single" w:sz="4" w:space="0" w:color="auto"/>
      </w:pBdr>
      <w:shd w:val="clear" w:color="000000" w:fill="212745"/>
      <w:spacing w:before="100" w:beforeAutospacing="1" w:after="100" w:afterAutospacing="1" w:line="240" w:lineRule="auto"/>
      <w:jc w:val="center"/>
      <w:textAlignment w:val="center"/>
    </w:pPr>
    <w:rPr>
      <w:rFonts w:ascii="Arial" w:eastAsia="Times New Roman" w:hAnsi="Arial" w:cs="Arial"/>
      <w:b/>
      <w:bCs/>
      <w:color w:val="FFFFFF"/>
      <w:sz w:val="20"/>
      <w:szCs w:val="20"/>
      <w:lang w:eastAsia="en-AU"/>
    </w:rPr>
  </w:style>
  <w:style w:type="numbering" w:customStyle="1" w:styleId="NoList1">
    <w:name w:val="No List1"/>
    <w:next w:val="NoList"/>
    <w:uiPriority w:val="99"/>
    <w:semiHidden/>
    <w:unhideWhenUsed/>
    <w:rsid w:val="00382EA5"/>
  </w:style>
  <w:style w:type="character" w:customStyle="1" w:styleId="textrun">
    <w:name w:val="textrun"/>
    <w:basedOn w:val="DefaultParagraphFont"/>
    <w:rsid w:val="00382E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3347">
      <w:bodyDiv w:val="1"/>
      <w:marLeft w:val="0"/>
      <w:marRight w:val="0"/>
      <w:marTop w:val="0"/>
      <w:marBottom w:val="0"/>
      <w:divBdr>
        <w:top w:val="none" w:sz="0" w:space="0" w:color="auto"/>
        <w:left w:val="none" w:sz="0" w:space="0" w:color="auto"/>
        <w:bottom w:val="none" w:sz="0" w:space="0" w:color="auto"/>
        <w:right w:val="none" w:sz="0" w:space="0" w:color="auto"/>
      </w:divBdr>
      <w:divsChild>
        <w:div w:id="1870872897">
          <w:marLeft w:val="0"/>
          <w:marRight w:val="0"/>
          <w:marTop w:val="0"/>
          <w:marBottom w:val="0"/>
          <w:divBdr>
            <w:top w:val="none" w:sz="0" w:space="0" w:color="auto"/>
            <w:left w:val="none" w:sz="0" w:space="0" w:color="auto"/>
            <w:bottom w:val="none" w:sz="0" w:space="0" w:color="auto"/>
            <w:right w:val="none" w:sz="0" w:space="0" w:color="auto"/>
          </w:divBdr>
          <w:divsChild>
            <w:div w:id="1485002357">
              <w:marLeft w:val="0"/>
              <w:marRight w:val="0"/>
              <w:marTop w:val="0"/>
              <w:marBottom w:val="0"/>
              <w:divBdr>
                <w:top w:val="none" w:sz="0" w:space="0" w:color="auto"/>
                <w:left w:val="none" w:sz="0" w:space="0" w:color="auto"/>
                <w:bottom w:val="none" w:sz="0" w:space="0" w:color="auto"/>
                <w:right w:val="none" w:sz="0" w:space="0" w:color="auto"/>
              </w:divBdr>
              <w:divsChild>
                <w:div w:id="72576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3450">
      <w:bodyDiv w:val="1"/>
      <w:marLeft w:val="0"/>
      <w:marRight w:val="0"/>
      <w:marTop w:val="0"/>
      <w:marBottom w:val="0"/>
      <w:divBdr>
        <w:top w:val="none" w:sz="0" w:space="0" w:color="auto"/>
        <w:left w:val="none" w:sz="0" w:space="0" w:color="auto"/>
        <w:bottom w:val="none" w:sz="0" w:space="0" w:color="auto"/>
        <w:right w:val="none" w:sz="0" w:space="0" w:color="auto"/>
      </w:divBdr>
    </w:div>
    <w:div w:id="78603531">
      <w:bodyDiv w:val="1"/>
      <w:marLeft w:val="0"/>
      <w:marRight w:val="0"/>
      <w:marTop w:val="0"/>
      <w:marBottom w:val="0"/>
      <w:divBdr>
        <w:top w:val="none" w:sz="0" w:space="0" w:color="auto"/>
        <w:left w:val="none" w:sz="0" w:space="0" w:color="auto"/>
        <w:bottom w:val="none" w:sz="0" w:space="0" w:color="auto"/>
        <w:right w:val="none" w:sz="0" w:space="0" w:color="auto"/>
      </w:divBdr>
    </w:div>
    <w:div w:id="106505857">
      <w:bodyDiv w:val="1"/>
      <w:marLeft w:val="0"/>
      <w:marRight w:val="0"/>
      <w:marTop w:val="0"/>
      <w:marBottom w:val="0"/>
      <w:divBdr>
        <w:top w:val="none" w:sz="0" w:space="0" w:color="auto"/>
        <w:left w:val="none" w:sz="0" w:space="0" w:color="auto"/>
        <w:bottom w:val="none" w:sz="0" w:space="0" w:color="auto"/>
        <w:right w:val="none" w:sz="0" w:space="0" w:color="auto"/>
      </w:divBdr>
    </w:div>
    <w:div w:id="149752832">
      <w:bodyDiv w:val="1"/>
      <w:marLeft w:val="0"/>
      <w:marRight w:val="0"/>
      <w:marTop w:val="0"/>
      <w:marBottom w:val="0"/>
      <w:divBdr>
        <w:top w:val="none" w:sz="0" w:space="0" w:color="auto"/>
        <w:left w:val="none" w:sz="0" w:space="0" w:color="auto"/>
        <w:bottom w:val="none" w:sz="0" w:space="0" w:color="auto"/>
        <w:right w:val="none" w:sz="0" w:space="0" w:color="auto"/>
      </w:divBdr>
    </w:div>
    <w:div w:id="150489200">
      <w:bodyDiv w:val="1"/>
      <w:marLeft w:val="0"/>
      <w:marRight w:val="0"/>
      <w:marTop w:val="0"/>
      <w:marBottom w:val="0"/>
      <w:divBdr>
        <w:top w:val="none" w:sz="0" w:space="0" w:color="auto"/>
        <w:left w:val="none" w:sz="0" w:space="0" w:color="auto"/>
        <w:bottom w:val="none" w:sz="0" w:space="0" w:color="auto"/>
        <w:right w:val="none" w:sz="0" w:space="0" w:color="auto"/>
      </w:divBdr>
      <w:divsChild>
        <w:div w:id="759641128">
          <w:marLeft w:val="0"/>
          <w:marRight w:val="0"/>
          <w:marTop w:val="0"/>
          <w:marBottom w:val="0"/>
          <w:divBdr>
            <w:top w:val="none" w:sz="0" w:space="0" w:color="auto"/>
            <w:left w:val="none" w:sz="0" w:space="0" w:color="auto"/>
            <w:bottom w:val="none" w:sz="0" w:space="0" w:color="auto"/>
            <w:right w:val="none" w:sz="0" w:space="0" w:color="auto"/>
          </w:divBdr>
          <w:divsChild>
            <w:div w:id="146755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95178">
      <w:bodyDiv w:val="1"/>
      <w:marLeft w:val="0"/>
      <w:marRight w:val="0"/>
      <w:marTop w:val="0"/>
      <w:marBottom w:val="0"/>
      <w:divBdr>
        <w:top w:val="none" w:sz="0" w:space="0" w:color="auto"/>
        <w:left w:val="none" w:sz="0" w:space="0" w:color="auto"/>
        <w:bottom w:val="none" w:sz="0" w:space="0" w:color="auto"/>
        <w:right w:val="none" w:sz="0" w:space="0" w:color="auto"/>
      </w:divBdr>
      <w:divsChild>
        <w:div w:id="533150210">
          <w:marLeft w:val="0"/>
          <w:marRight w:val="0"/>
          <w:marTop w:val="0"/>
          <w:marBottom w:val="0"/>
          <w:divBdr>
            <w:top w:val="none" w:sz="0" w:space="0" w:color="auto"/>
            <w:left w:val="none" w:sz="0" w:space="0" w:color="auto"/>
            <w:bottom w:val="none" w:sz="0" w:space="0" w:color="auto"/>
            <w:right w:val="none" w:sz="0" w:space="0" w:color="auto"/>
          </w:divBdr>
          <w:divsChild>
            <w:div w:id="120968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4620">
      <w:bodyDiv w:val="1"/>
      <w:marLeft w:val="0"/>
      <w:marRight w:val="0"/>
      <w:marTop w:val="0"/>
      <w:marBottom w:val="0"/>
      <w:divBdr>
        <w:top w:val="none" w:sz="0" w:space="0" w:color="auto"/>
        <w:left w:val="none" w:sz="0" w:space="0" w:color="auto"/>
        <w:bottom w:val="none" w:sz="0" w:space="0" w:color="auto"/>
        <w:right w:val="none" w:sz="0" w:space="0" w:color="auto"/>
      </w:divBdr>
      <w:divsChild>
        <w:div w:id="439643894">
          <w:marLeft w:val="0"/>
          <w:marRight w:val="0"/>
          <w:marTop w:val="0"/>
          <w:marBottom w:val="0"/>
          <w:divBdr>
            <w:top w:val="none" w:sz="0" w:space="0" w:color="auto"/>
            <w:left w:val="none" w:sz="0" w:space="0" w:color="auto"/>
            <w:bottom w:val="none" w:sz="0" w:space="0" w:color="auto"/>
            <w:right w:val="none" w:sz="0" w:space="0" w:color="auto"/>
          </w:divBdr>
          <w:divsChild>
            <w:div w:id="18384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4403">
      <w:bodyDiv w:val="1"/>
      <w:marLeft w:val="0"/>
      <w:marRight w:val="0"/>
      <w:marTop w:val="0"/>
      <w:marBottom w:val="0"/>
      <w:divBdr>
        <w:top w:val="none" w:sz="0" w:space="0" w:color="auto"/>
        <w:left w:val="none" w:sz="0" w:space="0" w:color="auto"/>
        <w:bottom w:val="none" w:sz="0" w:space="0" w:color="auto"/>
        <w:right w:val="none" w:sz="0" w:space="0" w:color="auto"/>
      </w:divBdr>
    </w:div>
    <w:div w:id="214784081">
      <w:bodyDiv w:val="1"/>
      <w:marLeft w:val="0"/>
      <w:marRight w:val="0"/>
      <w:marTop w:val="0"/>
      <w:marBottom w:val="0"/>
      <w:divBdr>
        <w:top w:val="none" w:sz="0" w:space="0" w:color="auto"/>
        <w:left w:val="none" w:sz="0" w:space="0" w:color="auto"/>
        <w:bottom w:val="none" w:sz="0" w:space="0" w:color="auto"/>
        <w:right w:val="none" w:sz="0" w:space="0" w:color="auto"/>
      </w:divBdr>
      <w:divsChild>
        <w:div w:id="14760955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143488">
      <w:bodyDiv w:val="1"/>
      <w:marLeft w:val="0"/>
      <w:marRight w:val="0"/>
      <w:marTop w:val="0"/>
      <w:marBottom w:val="0"/>
      <w:divBdr>
        <w:top w:val="none" w:sz="0" w:space="0" w:color="auto"/>
        <w:left w:val="none" w:sz="0" w:space="0" w:color="auto"/>
        <w:bottom w:val="none" w:sz="0" w:space="0" w:color="auto"/>
        <w:right w:val="none" w:sz="0" w:space="0" w:color="auto"/>
      </w:divBdr>
    </w:div>
    <w:div w:id="232159797">
      <w:bodyDiv w:val="1"/>
      <w:marLeft w:val="0"/>
      <w:marRight w:val="0"/>
      <w:marTop w:val="0"/>
      <w:marBottom w:val="0"/>
      <w:divBdr>
        <w:top w:val="none" w:sz="0" w:space="0" w:color="auto"/>
        <w:left w:val="none" w:sz="0" w:space="0" w:color="auto"/>
        <w:bottom w:val="none" w:sz="0" w:space="0" w:color="auto"/>
        <w:right w:val="none" w:sz="0" w:space="0" w:color="auto"/>
      </w:divBdr>
    </w:div>
    <w:div w:id="326247943">
      <w:bodyDiv w:val="1"/>
      <w:marLeft w:val="0"/>
      <w:marRight w:val="0"/>
      <w:marTop w:val="0"/>
      <w:marBottom w:val="0"/>
      <w:divBdr>
        <w:top w:val="none" w:sz="0" w:space="0" w:color="auto"/>
        <w:left w:val="none" w:sz="0" w:space="0" w:color="auto"/>
        <w:bottom w:val="none" w:sz="0" w:space="0" w:color="auto"/>
        <w:right w:val="none" w:sz="0" w:space="0" w:color="auto"/>
      </w:divBdr>
    </w:div>
    <w:div w:id="332610275">
      <w:bodyDiv w:val="1"/>
      <w:marLeft w:val="0"/>
      <w:marRight w:val="0"/>
      <w:marTop w:val="0"/>
      <w:marBottom w:val="0"/>
      <w:divBdr>
        <w:top w:val="none" w:sz="0" w:space="0" w:color="auto"/>
        <w:left w:val="none" w:sz="0" w:space="0" w:color="auto"/>
        <w:bottom w:val="none" w:sz="0" w:space="0" w:color="auto"/>
        <w:right w:val="none" w:sz="0" w:space="0" w:color="auto"/>
      </w:divBdr>
    </w:div>
    <w:div w:id="374086679">
      <w:bodyDiv w:val="1"/>
      <w:marLeft w:val="0"/>
      <w:marRight w:val="0"/>
      <w:marTop w:val="0"/>
      <w:marBottom w:val="0"/>
      <w:divBdr>
        <w:top w:val="none" w:sz="0" w:space="0" w:color="auto"/>
        <w:left w:val="none" w:sz="0" w:space="0" w:color="auto"/>
        <w:bottom w:val="none" w:sz="0" w:space="0" w:color="auto"/>
        <w:right w:val="none" w:sz="0" w:space="0" w:color="auto"/>
      </w:divBdr>
    </w:div>
    <w:div w:id="407777176">
      <w:bodyDiv w:val="1"/>
      <w:marLeft w:val="0"/>
      <w:marRight w:val="0"/>
      <w:marTop w:val="0"/>
      <w:marBottom w:val="0"/>
      <w:divBdr>
        <w:top w:val="none" w:sz="0" w:space="0" w:color="auto"/>
        <w:left w:val="none" w:sz="0" w:space="0" w:color="auto"/>
        <w:bottom w:val="none" w:sz="0" w:space="0" w:color="auto"/>
        <w:right w:val="none" w:sz="0" w:space="0" w:color="auto"/>
      </w:divBdr>
      <w:divsChild>
        <w:div w:id="723481819">
          <w:marLeft w:val="0"/>
          <w:marRight w:val="0"/>
          <w:marTop w:val="0"/>
          <w:marBottom w:val="0"/>
          <w:divBdr>
            <w:top w:val="none" w:sz="0" w:space="0" w:color="auto"/>
            <w:left w:val="none" w:sz="0" w:space="0" w:color="auto"/>
            <w:bottom w:val="none" w:sz="0" w:space="0" w:color="auto"/>
            <w:right w:val="none" w:sz="0" w:space="0" w:color="auto"/>
          </w:divBdr>
          <w:divsChild>
            <w:div w:id="41374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3842">
      <w:bodyDiv w:val="1"/>
      <w:marLeft w:val="0"/>
      <w:marRight w:val="0"/>
      <w:marTop w:val="0"/>
      <w:marBottom w:val="0"/>
      <w:divBdr>
        <w:top w:val="none" w:sz="0" w:space="0" w:color="auto"/>
        <w:left w:val="none" w:sz="0" w:space="0" w:color="auto"/>
        <w:bottom w:val="none" w:sz="0" w:space="0" w:color="auto"/>
        <w:right w:val="none" w:sz="0" w:space="0" w:color="auto"/>
      </w:divBdr>
    </w:div>
    <w:div w:id="455568297">
      <w:bodyDiv w:val="1"/>
      <w:marLeft w:val="0"/>
      <w:marRight w:val="0"/>
      <w:marTop w:val="0"/>
      <w:marBottom w:val="0"/>
      <w:divBdr>
        <w:top w:val="none" w:sz="0" w:space="0" w:color="auto"/>
        <w:left w:val="none" w:sz="0" w:space="0" w:color="auto"/>
        <w:bottom w:val="none" w:sz="0" w:space="0" w:color="auto"/>
        <w:right w:val="none" w:sz="0" w:space="0" w:color="auto"/>
      </w:divBdr>
      <w:divsChild>
        <w:div w:id="803891381">
          <w:marLeft w:val="0"/>
          <w:marRight w:val="0"/>
          <w:marTop w:val="0"/>
          <w:marBottom w:val="0"/>
          <w:divBdr>
            <w:top w:val="none" w:sz="0" w:space="0" w:color="auto"/>
            <w:left w:val="none" w:sz="0" w:space="0" w:color="auto"/>
            <w:bottom w:val="none" w:sz="0" w:space="0" w:color="auto"/>
            <w:right w:val="none" w:sz="0" w:space="0" w:color="auto"/>
          </w:divBdr>
          <w:divsChild>
            <w:div w:id="206930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442722">
      <w:bodyDiv w:val="1"/>
      <w:marLeft w:val="0"/>
      <w:marRight w:val="0"/>
      <w:marTop w:val="0"/>
      <w:marBottom w:val="0"/>
      <w:divBdr>
        <w:top w:val="none" w:sz="0" w:space="0" w:color="auto"/>
        <w:left w:val="none" w:sz="0" w:space="0" w:color="auto"/>
        <w:bottom w:val="none" w:sz="0" w:space="0" w:color="auto"/>
        <w:right w:val="none" w:sz="0" w:space="0" w:color="auto"/>
      </w:divBdr>
    </w:div>
    <w:div w:id="516623755">
      <w:bodyDiv w:val="1"/>
      <w:marLeft w:val="0"/>
      <w:marRight w:val="0"/>
      <w:marTop w:val="0"/>
      <w:marBottom w:val="0"/>
      <w:divBdr>
        <w:top w:val="none" w:sz="0" w:space="0" w:color="auto"/>
        <w:left w:val="none" w:sz="0" w:space="0" w:color="auto"/>
        <w:bottom w:val="none" w:sz="0" w:space="0" w:color="auto"/>
        <w:right w:val="none" w:sz="0" w:space="0" w:color="auto"/>
      </w:divBdr>
      <w:divsChild>
        <w:div w:id="193274142">
          <w:marLeft w:val="0"/>
          <w:marRight w:val="0"/>
          <w:marTop w:val="0"/>
          <w:marBottom w:val="0"/>
          <w:divBdr>
            <w:top w:val="none" w:sz="0" w:space="0" w:color="auto"/>
            <w:left w:val="none" w:sz="0" w:space="0" w:color="auto"/>
            <w:bottom w:val="none" w:sz="0" w:space="0" w:color="auto"/>
            <w:right w:val="none" w:sz="0" w:space="0" w:color="auto"/>
          </w:divBdr>
          <w:divsChild>
            <w:div w:id="1644003104">
              <w:marLeft w:val="0"/>
              <w:marRight w:val="0"/>
              <w:marTop w:val="0"/>
              <w:marBottom w:val="0"/>
              <w:divBdr>
                <w:top w:val="none" w:sz="0" w:space="0" w:color="auto"/>
                <w:left w:val="none" w:sz="0" w:space="0" w:color="auto"/>
                <w:bottom w:val="none" w:sz="0" w:space="0" w:color="auto"/>
                <w:right w:val="none" w:sz="0" w:space="0" w:color="auto"/>
              </w:divBdr>
            </w:div>
          </w:divsChild>
        </w:div>
        <w:div w:id="414211126">
          <w:marLeft w:val="0"/>
          <w:marRight w:val="0"/>
          <w:marTop w:val="0"/>
          <w:marBottom w:val="0"/>
          <w:divBdr>
            <w:top w:val="none" w:sz="0" w:space="0" w:color="auto"/>
            <w:left w:val="none" w:sz="0" w:space="0" w:color="auto"/>
            <w:bottom w:val="none" w:sz="0" w:space="0" w:color="auto"/>
            <w:right w:val="none" w:sz="0" w:space="0" w:color="auto"/>
          </w:divBdr>
          <w:divsChild>
            <w:div w:id="1153372125">
              <w:marLeft w:val="0"/>
              <w:marRight w:val="0"/>
              <w:marTop w:val="0"/>
              <w:marBottom w:val="0"/>
              <w:divBdr>
                <w:top w:val="none" w:sz="0" w:space="0" w:color="auto"/>
                <w:left w:val="none" w:sz="0" w:space="0" w:color="auto"/>
                <w:bottom w:val="none" w:sz="0" w:space="0" w:color="auto"/>
                <w:right w:val="none" w:sz="0" w:space="0" w:color="auto"/>
              </w:divBdr>
            </w:div>
          </w:divsChild>
        </w:div>
        <w:div w:id="1054616795">
          <w:marLeft w:val="0"/>
          <w:marRight w:val="0"/>
          <w:marTop w:val="0"/>
          <w:marBottom w:val="0"/>
          <w:divBdr>
            <w:top w:val="none" w:sz="0" w:space="0" w:color="auto"/>
            <w:left w:val="none" w:sz="0" w:space="0" w:color="auto"/>
            <w:bottom w:val="none" w:sz="0" w:space="0" w:color="auto"/>
            <w:right w:val="none" w:sz="0" w:space="0" w:color="auto"/>
          </w:divBdr>
          <w:divsChild>
            <w:div w:id="1240871991">
              <w:marLeft w:val="0"/>
              <w:marRight w:val="0"/>
              <w:marTop w:val="0"/>
              <w:marBottom w:val="0"/>
              <w:divBdr>
                <w:top w:val="none" w:sz="0" w:space="0" w:color="auto"/>
                <w:left w:val="none" w:sz="0" w:space="0" w:color="auto"/>
                <w:bottom w:val="none" w:sz="0" w:space="0" w:color="auto"/>
                <w:right w:val="none" w:sz="0" w:space="0" w:color="auto"/>
              </w:divBdr>
            </w:div>
          </w:divsChild>
        </w:div>
        <w:div w:id="1587228047">
          <w:marLeft w:val="0"/>
          <w:marRight w:val="0"/>
          <w:marTop w:val="0"/>
          <w:marBottom w:val="0"/>
          <w:divBdr>
            <w:top w:val="none" w:sz="0" w:space="0" w:color="auto"/>
            <w:left w:val="none" w:sz="0" w:space="0" w:color="auto"/>
            <w:bottom w:val="none" w:sz="0" w:space="0" w:color="auto"/>
            <w:right w:val="none" w:sz="0" w:space="0" w:color="auto"/>
          </w:divBdr>
          <w:divsChild>
            <w:div w:id="7652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408049">
      <w:bodyDiv w:val="1"/>
      <w:marLeft w:val="0"/>
      <w:marRight w:val="0"/>
      <w:marTop w:val="0"/>
      <w:marBottom w:val="0"/>
      <w:divBdr>
        <w:top w:val="none" w:sz="0" w:space="0" w:color="auto"/>
        <w:left w:val="none" w:sz="0" w:space="0" w:color="auto"/>
        <w:bottom w:val="none" w:sz="0" w:space="0" w:color="auto"/>
        <w:right w:val="none" w:sz="0" w:space="0" w:color="auto"/>
      </w:divBdr>
      <w:divsChild>
        <w:div w:id="1856729694">
          <w:marLeft w:val="0"/>
          <w:marRight w:val="0"/>
          <w:marTop w:val="0"/>
          <w:marBottom w:val="0"/>
          <w:divBdr>
            <w:top w:val="none" w:sz="0" w:space="0" w:color="auto"/>
            <w:left w:val="none" w:sz="0" w:space="0" w:color="auto"/>
            <w:bottom w:val="none" w:sz="0" w:space="0" w:color="auto"/>
            <w:right w:val="none" w:sz="0" w:space="0" w:color="auto"/>
          </w:divBdr>
          <w:divsChild>
            <w:div w:id="37789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082058">
      <w:bodyDiv w:val="1"/>
      <w:marLeft w:val="0"/>
      <w:marRight w:val="0"/>
      <w:marTop w:val="0"/>
      <w:marBottom w:val="0"/>
      <w:divBdr>
        <w:top w:val="none" w:sz="0" w:space="0" w:color="auto"/>
        <w:left w:val="none" w:sz="0" w:space="0" w:color="auto"/>
        <w:bottom w:val="none" w:sz="0" w:space="0" w:color="auto"/>
        <w:right w:val="none" w:sz="0" w:space="0" w:color="auto"/>
      </w:divBdr>
    </w:div>
    <w:div w:id="578517428">
      <w:bodyDiv w:val="1"/>
      <w:marLeft w:val="0"/>
      <w:marRight w:val="0"/>
      <w:marTop w:val="0"/>
      <w:marBottom w:val="0"/>
      <w:divBdr>
        <w:top w:val="none" w:sz="0" w:space="0" w:color="auto"/>
        <w:left w:val="none" w:sz="0" w:space="0" w:color="auto"/>
        <w:bottom w:val="none" w:sz="0" w:space="0" w:color="auto"/>
        <w:right w:val="none" w:sz="0" w:space="0" w:color="auto"/>
      </w:divBdr>
      <w:divsChild>
        <w:div w:id="1628705811">
          <w:marLeft w:val="0"/>
          <w:marRight w:val="0"/>
          <w:marTop w:val="0"/>
          <w:marBottom w:val="0"/>
          <w:divBdr>
            <w:top w:val="none" w:sz="0" w:space="0" w:color="auto"/>
            <w:left w:val="none" w:sz="0" w:space="0" w:color="auto"/>
            <w:bottom w:val="none" w:sz="0" w:space="0" w:color="auto"/>
            <w:right w:val="none" w:sz="0" w:space="0" w:color="auto"/>
          </w:divBdr>
        </w:div>
        <w:div w:id="1736850842">
          <w:marLeft w:val="0"/>
          <w:marRight w:val="0"/>
          <w:marTop w:val="0"/>
          <w:marBottom w:val="0"/>
          <w:divBdr>
            <w:top w:val="none" w:sz="0" w:space="0" w:color="auto"/>
            <w:left w:val="none" w:sz="0" w:space="0" w:color="auto"/>
            <w:bottom w:val="none" w:sz="0" w:space="0" w:color="auto"/>
            <w:right w:val="none" w:sz="0" w:space="0" w:color="auto"/>
          </w:divBdr>
          <w:divsChild>
            <w:div w:id="72476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80729">
      <w:bodyDiv w:val="1"/>
      <w:marLeft w:val="0"/>
      <w:marRight w:val="0"/>
      <w:marTop w:val="0"/>
      <w:marBottom w:val="0"/>
      <w:divBdr>
        <w:top w:val="none" w:sz="0" w:space="0" w:color="auto"/>
        <w:left w:val="none" w:sz="0" w:space="0" w:color="auto"/>
        <w:bottom w:val="none" w:sz="0" w:space="0" w:color="auto"/>
        <w:right w:val="none" w:sz="0" w:space="0" w:color="auto"/>
      </w:divBdr>
      <w:divsChild>
        <w:div w:id="678971479">
          <w:marLeft w:val="0"/>
          <w:marRight w:val="0"/>
          <w:marTop w:val="0"/>
          <w:marBottom w:val="0"/>
          <w:divBdr>
            <w:top w:val="none" w:sz="0" w:space="0" w:color="auto"/>
            <w:left w:val="none" w:sz="0" w:space="0" w:color="auto"/>
            <w:bottom w:val="none" w:sz="0" w:space="0" w:color="auto"/>
            <w:right w:val="none" w:sz="0" w:space="0" w:color="auto"/>
          </w:divBdr>
        </w:div>
        <w:div w:id="845368179">
          <w:marLeft w:val="0"/>
          <w:marRight w:val="0"/>
          <w:marTop w:val="0"/>
          <w:marBottom w:val="0"/>
          <w:divBdr>
            <w:top w:val="none" w:sz="0" w:space="0" w:color="auto"/>
            <w:left w:val="none" w:sz="0" w:space="0" w:color="auto"/>
            <w:bottom w:val="none" w:sz="0" w:space="0" w:color="auto"/>
            <w:right w:val="none" w:sz="0" w:space="0" w:color="auto"/>
          </w:divBdr>
        </w:div>
        <w:div w:id="1131629414">
          <w:marLeft w:val="0"/>
          <w:marRight w:val="0"/>
          <w:marTop w:val="0"/>
          <w:marBottom w:val="0"/>
          <w:divBdr>
            <w:top w:val="none" w:sz="0" w:space="0" w:color="auto"/>
            <w:left w:val="none" w:sz="0" w:space="0" w:color="auto"/>
            <w:bottom w:val="none" w:sz="0" w:space="0" w:color="auto"/>
            <w:right w:val="none" w:sz="0" w:space="0" w:color="auto"/>
          </w:divBdr>
        </w:div>
        <w:div w:id="1331299082">
          <w:marLeft w:val="0"/>
          <w:marRight w:val="0"/>
          <w:marTop w:val="0"/>
          <w:marBottom w:val="0"/>
          <w:divBdr>
            <w:top w:val="none" w:sz="0" w:space="0" w:color="auto"/>
            <w:left w:val="none" w:sz="0" w:space="0" w:color="auto"/>
            <w:bottom w:val="none" w:sz="0" w:space="0" w:color="auto"/>
            <w:right w:val="none" w:sz="0" w:space="0" w:color="auto"/>
          </w:divBdr>
        </w:div>
      </w:divsChild>
    </w:div>
    <w:div w:id="693380638">
      <w:bodyDiv w:val="1"/>
      <w:marLeft w:val="0"/>
      <w:marRight w:val="0"/>
      <w:marTop w:val="0"/>
      <w:marBottom w:val="0"/>
      <w:divBdr>
        <w:top w:val="none" w:sz="0" w:space="0" w:color="auto"/>
        <w:left w:val="none" w:sz="0" w:space="0" w:color="auto"/>
        <w:bottom w:val="none" w:sz="0" w:space="0" w:color="auto"/>
        <w:right w:val="none" w:sz="0" w:space="0" w:color="auto"/>
      </w:divBdr>
      <w:divsChild>
        <w:div w:id="138693328">
          <w:marLeft w:val="0"/>
          <w:marRight w:val="0"/>
          <w:marTop w:val="0"/>
          <w:marBottom w:val="0"/>
          <w:divBdr>
            <w:top w:val="none" w:sz="0" w:space="0" w:color="auto"/>
            <w:left w:val="none" w:sz="0" w:space="0" w:color="auto"/>
            <w:bottom w:val="none" w:sz="0" w:space="0" w:color="auto"/>
            <w:right w:val="none" w:sz="0" w:space="0" w:color="auto"/>
          </w:divBdr>
          <w:divsChild>
            <w:div w:id="15002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458033">
      <w:bodyDiv w:val="1"/>
      <w:marLeft w:val="0"/>
      <w:marRight w:val="0"/>
      <w:marTop w:val="0"/>
      <w:marBottom w:val="0"/>
      <w:divBdr>
        <w:top w:val="none" w:sz="0" w:space="0" w:color="auto"/>
        <w:left w:val="none" w:sz="0" w:space="0" w:color="auto"/>
        <w:bottom w:val="none" w:sz="0" w:space="0" w:color="auto"/>
        <w:right w:val="none" w:sz="0" w:space="0" w:color="auto"/>
      </w:divBdr>
      <w:divsChild>
        <w:div w:id="1349257778">
          <w:marLeft w:val="0"/>
          <w:marRight w:val="0"/>
          <w:marTop w:val="0"/>
          <w:marBottom w:val="0"/>
          <w:divBdr>
            <w:top w:val="none" w:sz="0" w:space="0" w:color="auto"/>
            <w:left w:val="none" w:sz="0" w:space="0" w:color="auto"/>
            <w:bottom w:val="none" w:sz="0" w:space="0" w:color="auto"/>
            <w:right w:val="none" w:sz="0" w:space="0" w:color="auto"/>
          </w:divBdr>
          <w:divsChild>
            <w:div w:id="595750345">
              <w:marLeft w:val="0"/>
              <w:marRight w:val="0"/>
              <w:marTop w:val="0"/>
              <w:marBottom w:val="0"/>
              <w:divBdr>
                <w:top w:val="none" w:sz="0" w:space="0" w:color="auto"/>
                <w:left w:val="none" w:sz="0" w:space="0" w:color="auto"/>
                <w:bottom w:val="none" w:sz="0" w:space="0" w:color="auto"/>
                <w:right w:val="none" w:sz="0" w:space="0" w:color="auto"/>
              </w:divBdr>
              <w:divsChild>
                <w:div w:id="2157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124471">
      <w:bodyDiv w:val="1"/>
      <w:marLeft w:val="0"/>
      <w:marRight w:val="0"/>
      <w:marTop w:val="0"/>
      <w:marBottom w:val="0"/>
      <w:divBdr>
        <w:top w:val="none" w:sz="0" w:space="0" w:color="auto"/>
        <w:left w:val="none" w:sz="0" w:space="0" w:color="auto"/>
        <w:bottom w:val="none" w:sz="0" w:space="0" w:color="auto"/>
        <w:right w:val="none" w:sz="0" w:space="0" w:color="auto"/>
      </w:divBdr>
      <w:divsChild>
        <w:div w:id="983117438">
          <w:marLeft w:val="0"/>
          <w:marRight w:val="0"/>
          <w:marTop w:val="0"/>
          <w:marBottom w:val="0"/>
          <w:divBdr>
            <w:top w:val="none" w:sz="0" w:space="0" w:color="auto"/>
            <w:left w:val="none" w:sz="0" w:space="0" w:color="auto"/>
            <w:bottom w:val="none" w:sz="0" w:space="0" w:color="auto"/>
            <w:right w:val="none" w:sz="0" w:space="0" w:color="auto"/>
          </w:divBdr>
          <w:divsChild>
            <w:div w:id="5658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480634">
      <w:bodyDiv w:val="1"/>
      <w:marLeft w:val="0"/>
      <w:marRight w:val="0"/>
      <w:marTop w:val="0"/>
      <w:marBottom w:val="0"/>
      <w:divBdr>
        <w:top w:val="none" w:sz="0" w:space="0" w:color="auto"/>
        <w:left w:val="none" w:sz="0" w:space="0" w:color="auto"/>
        <w:bottom w:val="none" w:sz="0" w:space="0" w:color="auto"/>
        <w:right w:val="none" w:sz="0" w:space="0" w:color="auto"/>
      </w:divBdr>
    </w:div>
    <w:div w:id="782304438">
      <w:bodyDiv w:val="1"/>
      <w:marLeft w:val="0"/>
      <w:marRight w:val="0"/>
      <w:marTop w:val="0"/>
      <w:marBottom w:val="0"/>
      <w:divBdr>
        <w:top w:val="none" w:sz="0" w:space="0" w:color="auto"/>
        <w:left w:val="none" w:sz="0" w:space="0" w:color="auto"/>
        <w:bottom w:val="none" w:sz="0" w:space="0" w:color="auto"/>
        <w:right w:val="none" w:sz="0" w:space="0" w:color="auto"/>
      </w:divBdr>
    </w:div>
    <w:div w:id="867913418">
      <w:bodyDiv w:val="1"/>
      <w:marLeft w:val="0"/>
      <w:marRight w:val="0"/>
      <w:marTop w:val="0"/>
      <w:marBottom w:val="0"/>
      <w:divBdr>
        <w:top w:val="none" w:sz="0" w:space="0" w:color="auto"/>
        <w:left w:val="none" w:sz="0" w:space="0" w:color="auto"/>
        <w:bottom w:val="none" w:sz="0" w:space="0" w:color="auto"/>
        <w:right w:val="none" w:sz="0" w:space="0" w:color="auto"/>
      </w:divBdr>
    </w:div>
    <w:div w:id="871764077">
      <w:bodyDiv w:val="1"/>
      <w:marLeft w:val="0"/>
      <w:marRight w:val="0"/>
      <w:marTop w:val="0"/>
      <w:marBottom w:val="0"/>
      <w:divBdr>
        <w:top w:val="none" w:sz="0" w:space="0" w:color="auto"/>
        <w:left w:val="none" w:sz="0" w:space="0" w:color="auto"/>
        <w:bottom w:val="none" w:sz="0" w:space="0" w:color="auto"/>
        <w:right w:val="none" w:sz="0" w:space="0" w:color="auto"/>
      </w:divBdr>
    </w:div>
    <w:div w:id="891115768">
      <w:bodyDiv w:val="1"/>
      <w:marLeft w:val="0"/>
      <w:marRight w:val="0"/>
      <w:marTop w:val="0"/>
      <w:marBottom w:val="0"/>
      <w:divBdr>
        <w:top w:val="none" w:sz="0" w:space="0" w:color="auto"/>
        <w:left w:val="none" w:sz="0" w:space="0" w:color="auto"/>
        <w:bottom w:val="none" w:sz="0" w:space="0" w:color="auto"/>
        <w:right w:val="none" w:sz="0" w:space="0" w:color="auto"/>
      </w:divBdr>
    </w:div>
    <w:div w:id="894004513">
      <w:bodyDiv w:val="1"/>
      <w:marLeft w:val="0"/>
      <w:marRight w:val="0"/>
      <w:marTop w:val="0"/>
      <w:marBottom w:val="0"/>
      <w:divBdr>
        <w:top w:val="none" w:sz="0" w:space="0" w:color="auto"/>
        <w:left w:val="none" w:sz="0" w:space="0" w:color="auto"/>
        <w:bottom w:val="none" w:sz="0" w:space="0" w:color="auto"/>
        <w:right w:val="none" w:sz="0" w:space="0" w:color="auto"/>
      </w:divBdr>
    </w:div>
    <w:div w:id="924536177">
      <w:bodyDiv w:val="1"/>
      <w:marLeft w:val="0"/>
      <w:marRight w:val="0"/>
      <w:marTop w:val="0"/>
      <w:marBottom w:val="0"/>
      <w:divBdr>
        <w:top w:val="none" w:sz="0" w:space="0" w:color="auto"/>
        <w:left w:val="none" w:sz="0" w:space="0" w:color="auto"/>
        <w:bottom w:val="none" w:sz="0" w:space="0" w:color="auto"/>
        <w:right w:val="none" w:sz="0" w:space="0" w:color="auto"/>
      </w:divBdr>
      <w:divsChild>
        <w:div w:id="248931773">
          <w:marLeft w:val="0"/>
          <w:marRight w:val="0"/>
          <w:marTop w:val="0"/>
          <w:marBottom w:val="0"/>
          <w:divBdr>
            <w:top w:val="none" w:sz="0" w:space="0" w:color="auto"/>
            <w:left w:val="none" w:sz="0" w:space="0" w:color="auto"/>
            <w:bottom w:val="none" w:sz="0" w:space="0" w:color="auto"/>
            <w:right w:val="none" w:sz="0" w:space="0" w:color="auto"/>
          </w:divBdr>
          <w:divsChild>
            <w:div w:id="1449734665">
              <w:marLeft w:val="0"/>
              <w:marRight w:val="0"/>
              <w:marTop w:val="0"/>
              <w:marBottom w:val="0"/>
              <w:divBdr>
                <w:top w:val="none" w:sz="0" w:space="0" w:color="auto"/>
                <w:left w:val="none" w:sz="0" w:space="0" w:color="auto"/>
                <w:bottom w:val="none" w:sz="0" w:space="0" w:color="auto"/>
                <w:right w:val="none" w:sz="0" w:space="0" w:color="auto"/>
              </w:divBdr>
            </w:div>
          </w:divsChild>
        </w:div>
        <w:div w:id="1151865539">
          <w:marLeft w:val="0"/>
          <w:marRight w:val="0"/>
          <w:marTop w:val="0"/>
          <w:marBottom w:val="0"/>
          <w:divBdr>
            <w:top w:val="none" w:sz="0" w:space="0" w:color="auto"/>
            <w:left w:val="none" w:sz="0" w:space="0" w:color="auto"/>
            <w:bottom w:val="none" w:sz="0" w:space="0" w:color="auto"/>
            <w:right w:val="none" w:sz="0" w:space="0" w:color="auto"/>
          </w:divBdr>
          <w:divsChild>
            <w:div w:id="200212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100715">
      <w:bodyDiv w:val="1"/>
      <w:marLeft w:val="0"/>
      <w:marRight w:val="0"/>
      <w:marTop w:val="0"/>
      <w:marBottom w:val="0"/>
      <w:divBdr>
        <w:top w:val="none" w:sz="0" w:space="0" w:color="auto"/>
        <w:left w:val="none" w:sz="0" w:space="0" w:color="auto"/>
        <w:bottom w:val="none" w:sz="0" w:space="0" w:color="auto"/>
        <w:right w:val="none" w:sz="0" w:space="0" w:color="auto"/>
      </w:divBdr>
    </w:div>
    <w:div w:id="967324270">
      <w:bodyDiv w:val="1"/>
      <w:marLeft w:val="0"/>
      <w:marRight w:val="0"/>
      <w:marTop w:val="0"/>
      <w:marBottom w:val="0"/>
      <w:divBdr>
        <w:top w:val="none" w:sz="0" w:space="0" w:color="auto"/>
        <w:left w:val="none" w:sz="0" w:space="0" w:color="auto"/>
        <w:bottom w:val="none" w:sz="0" w:space="0" w:color="auto"/>
        <w:right w:val="none" w:sz="0" w:space="0" w:color="auto"/>
      </w:divBdr>
    </w:div>
    <w:div w:id="1037779545">
      <w:bodyDiv w:val="1"/>
      <w:marLeft w:val="0"/>
      <w:marRight w:val="0"/>
      <w:marTop w:val="0"/>
      <w:marBottom w:val="0"/>
      <w:divBdr>
        <w:top w:val="none" w:sz="0" w:space="0" w:color="auto"/>
        <w:left w:val="none" w:sz="0" w:space="0" w:color="auto"/>
        <w:bottom w:val="none" w:sz="0" w:space="0" w:color="auto"/>
        <w:right w:val="none" w:sz="0" w:space="0" w:color="auto"/>
      </w:divBdr>
    </w:div>
    <w:div w:id="1076781542">
      <w:bodyDiv w:val="1"/>
      <w:marLeft w:val="0"/>
      <w:marRight w:val="0"/>
      <w:marTop w:val="0"/>
      <w:marBottom w:val="0"/>
      <w:divBdr>
        <w:top w:val="none" w:sz="0" w:space="0" w:color="auto"/>
        <w:left w:val="none" w:sz="0" w:space="0" w:color="auto"/>
        <w:bottom w:val="none" w:sz="0" w:space="0" w:color="auto"/>
        <w:right w:val="none" w:sz="0" w:space="0" w:color="auto"/>
      </w:divBdr>
    </w:div>
    <w:div w:id="1105149264">
      <w:bodyDiv w:val="1"/>
      <w:marLeft w:val="0"/>
      <w:marRight w:val="0"/>
      <w:marTop w:val="0"/>
      <w:marBottom w:val="0"/>
      <w:divBdr>
        <w:top w:val="none" w:sz="0" w:space="0" w:color="auto"/>
        <w:left w:val="none" w:sz="0" w:space="0" w:color="auto"/>
        <w:bottom w:val="none" w:sz="0" w:space="0" w:color="auto"/>
        <w:right w:val="none" w:sz="0" w:space="0" w:color="auto"/>
      </w:divBdr>
    </w:div>
    <w:div w:id="1122386644">
      <w:bodyDiv w:val="1"/>
      <w:marLeft w:val="0"/>
      <w:marRight w:val="0"/>
      <w:marTop w:val="0"/>
      <w:marBottom w:val="0"/>
      <w:divBdr>
        <w:top w:val="none" w:sz="0" w:space="0" w:color="auto"/>
        <w:left w:val="none" w:sz="0" w:space="0" w:color="auto"/>
        <w:bottom w:val="none" w:sz="0" w:space="0" w:color="auto"/>
        <w:right w:val="none" w:sz="0" w:space="0" w:color="auto"/>
      </w:divBdr>
    </w:div>
    <w:div w:id="1145322108">
      <w:bodyDiv w:val="1"/>
      <w:marLeft w:val="0"/>
      <w:marRight w:val="0"/>
      <w:marTop w:val="0"/>
      <w:marBottom w:val="0"/>
      <w:divBdr>
        <w:top w:val="none" w:sz="0" w:space="0" w:color="auto"/>
        <w:left w:val="none" w:sz="0" w:space="0" w:color="auto"/>
        <w:bottom w:val="none" w:sz="0" w:space="0" w:color="auto"/>
        <w:right w:val="none" w:sz="0" w:space="0" w:color="auto"/>
      </w:divBdr>
      <w:divsChild>
        <w:div w:id="477302413">
          <w:marLeft w:val="547"/>
          <w:marRight w:val="0"/>
          <w:marTop w:val="0"/>
          <w:marBottom w:val="0"/>
          <w:divBdr>
            <w:top w:val="none" w:sz="0" w:space="0" w:color="auto"/>
            <w:left w:val="none" w:sz="0" w:space="0" w:color="auto"/>
            <w:bottom w:val="none" w:sz="0" w:space="0" w:color="auto"/>
            <w:right w:val="none" w:sz="0" w:space="0" w:color="auto"/>
          </w:divBdr>
        </w:div>
      </w:divsChild>
    </w:div>
    <w:div w:id="1152410255">
      <w:bodyDiv w:val="1"/>
      <w:marLeft w:val="0"/>
      <w:marRight w:val="0"/>
      <w:marTop w:val="0"/>
      <w:marBottom w:val="0"/>
      <w:divBdr>
        <w:top w:val="none" w:sz="0" w:space="0" w:color="auto"/>
        <w:left w:val="none" w:sz="0" w:space="0" w:color="auto"/>
        <w:bottom w:val="none" w:sz="0" w:space="0" w:color="auto"/>
        <w:right w:val="none" w:sz="0" w:space="0" w:color="auto"/>
      </w:divBdr>
    </w:div>
    <w:div w:id="1152676481">
      <w:bodyDiv w:val="1"/>
      <w:marLeft w:val="0"/>
      <w:marRight w:val="0"/>
      <w:marTop w:val="0"/>
      <w:marBottom w:val="0"/>
      <w:divBdr>
        <w:top w:val="none" w:sz="0" w:space="0" w:color="auto"/>
        <w:left w:val="none" w:sz="0" w:space="0" w:color="auto"/>
        <w:bottom w:val="none" w:sz="0" w:space="0" w:color="auto"/>
        <w:right w:val="none" w:sz="0" w:space="0" w:color="auto"/>
      </w:divBdr>
    </w:div>
    <w:div w:id="1173645368">
      <w:bodyDiv w:val="1"/>
      <w:marLeft w:val="0"/>
      <w:marRight w:val="0"/>
      <w:marTop w:val="0"/>
      <w:marBottom w:val="0"/>
      <w:divBdr>
        <w:top w:val="none" w:sz="0" w:space="0" w:color="auto"/>
        <w:left w:val="none" w:sz="0" w:space="0" w:color="auto"/>
        <w:bottom w:val="none" w:sz="0" w:space="0" w:color="auto"/>
        <w:right w:val="none" w:sz="0" w:space="0" w:color="auto"/>
      </w:divBdr>
    </w:div>
    <w:div w:id="1186408693">
      <w:bodyDiv w:val="1"/>
      <w:marLeft w:val="0"/>
      <w:marRight w:val="0"/>
      <w:marTop w:val="0"/>
      <w:marBottom w:val="0"/>
      <w:divBdr>
        <w:top w:val="none" w:sz="0" w:space="0" w:color="auto"/>
        <w:left w:val="none" w:sz="0" w:space="0" w:color="auto"/>
        <w:bottom w:val="none" w:sz="0" w:space="0" w:color="auto"/>
        <w:right w:val="none" w:sz="0" w:space="0" w:color="auto"/>
      </w:divBdr>
      <w:divsChild>
        <w:div w:id="83186865">
          <w:marLeft w:val="0"/>
          <w:marRight w:val="0"/>
          <w:marTop w:val="0"/>
          <w:marBottom w:val="0"/>
          <w:divBdr>
            <w:top w:val="none" w:sz="0" w:space="0" w:color="auto"/>
            <w:left w:val="none" w:sz="0" w:space="0" w:color="auto"/>
            <w:bottom w:val="none" w:sz="0" w:space="0" w:color="auto"/>
            <w:right w:val="none" w:sz="0" w:space="0" w:color="auto"/>
          </w:divBdr>
        </w:div>
        <w:div w:id="654723163">
          <w:marLeft w:val="0"/>
          <w:marRight w:val="0"/>
          <w:marTop w:val="0"/>
          <w:marBottom w:val="0"/>
          <w:divBdr>
            <w:top w:val="none" w:sz="0" w:space="0" w:color="auto"/>
            <w:left w:val="none" w:sz="0" w:space="0" w:color="auto"/>
            <w:bottom w:val="none" w:sz="0" w:space="0" w:color="auto"/>
            <w:right w:val="none" w:sz="0" w:space="0" w:color="auto"/>
          </w:divBdr>
        </w:div>
        <w:div w:id="1031996071">
          <w:marLeft w:val="0"/>
          <w:marRight w:val="0"/>
          <w:marTop w:val="0"/>
          <w:marBottom w:val="0"/>
          <w:divBdr>
            <w:top w:val="none" w:sz="0" w:space="0" w:color="auto"/>
            <w:left w:val="none" w:sz="0" w:space="0" w:color="auto"/>
            <w:bottom w:val="none" w:sz="0" w:space="0" w:color="auto"/>
            <w:right w:val="none" w:sz="0" w:space="0" w:color="auto"/>
          </w:divBdr>
        </w:div>
        <w:div w:id="1549951528">
          <w:marLeft w:val="0"/>
          <w:marRight w:val="0"/>
          <w:marTop w:val="0"/>
          <w:marBottom w:val="0"/>
          <w:divBdr>
            <w:top w:val="none" w:sz="0" w:space="0" w:color="auto"/>
            <w:left w:val="none" w:sz="0" w:space="0" w:color="auto"/>
            <w:bottom w:val="none" w:sz="0" w:space="0" w:color="auto"/>
            <w:right w:val="none" w:sz="0" w:space="0" w:color="auto"/>
          </w:divBdr>
        </w:div>
      </w:divsChild>
    </w:div>
    <w:div w:id="1221404777">
      <w:bodyDiv w:val="1"/>
      <w:marLeft w:val="0"/>
      <w:marRight w:val="0"/>
      <w:marTop w:val="0"/>
      <w:marBottom w:val="0"/>
      <w:divBdr>
        <w:top w:val="none" w:sz="0" w:space="0" w:color="auto"/>
        <w:left w:val="none" w:sz="0" w:space="0" w:color="auto"/>
        <w:bottom w:val="none" w:sz="0" w:space="0" w:color="auto"/>
        <w:right w:val="none" w:sz="0" w:space="0" w:color="auto"/>
      </w:divBdr>
      <w:divsChild>
        <w:div w:id="1078137806">
          <w:marLeft w:val="0"/>
          <w:marRight w:val="0"/>
          <w:marTop w:val="0"/>
          <w:marBottom w:val="0"/>
          <w:divBdr>
            <w:top w:val="none" w:sz="0" w:space="0" w:color="auto"/>
            <w:left w:val="none" w:sz="0" w:space="0" w:color="auto"/>
            <w:bottom w:val="none" w:sz="0" w:space="0" w:color="auto"/>
            <w:right w:val="none" w:sz="0" w:space="0" w:color="auto"/>
          </w:divBdr>
          <w:divsChild>
            <w:div w:id="177624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909222">
      <w:bodyDiv w:val="1"/>
      <w:marLeft w:val="0"/>
      <w:marRight w:val="0"/>
      <w:marTop w:val="0"/>
      <w:marBottom w:val="0"/>
      <w:divBdr>
        <w:top w:val="none" w:sz="0" w:space="0" w:color="auto"/>
        <w:left w:val="none" w:sz="0" w:space="0" w:color="auto"/>
        <w:bottom w:val="none" w:sz="0" w:space="0" w:color="auto"/>
        <w:right w:val="none" w:sz="0" w:space="0" w:color="auto"/>
      </w:divBdr>
      <w:divsChild>
        <w:div w:id="308294415">
          <w:marLeft w:val="0"/>
          <w:marRight w:val="0"/>
          <w:marTop w:val="0"/>
          <w:marBottom w:val="0"/>
          <w:divBdr>
            <w:top w:val="none" w:sz="0" w:space="0" w:color="auto"/>
            <w:left w:val="none" w:sz="0" w:space="0" w:color="auto"/>
            <w:bottom w:val="none" w:sz="0" w:space="0" w:color="auto"/>
            <w:right w:val="none" w:sz="0" w:space="0" w:color="auto"/>
          </w:divBdr>
          <w:divsChild>
            <w:div w:id="195987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59213">
      <w:bodyDiv w:val="1"/>
      <w:marLeft w:val="0"/>
      <w:marRight w:val="0"/>
      <w:marTop w:val="0"/>
      <w:marBottom w:val="0"/>
      <w:divBdr>
        <w:top w:val="none" w:sz="0" w:space="0" w:color="auto"/>
        <w:left w:val="none" w:sz="0" w:space="0" w:color="auto"/>
        <w:bottom w:val="none" w:sz="0" w:space="0" w:color="auto"/>
        <w:right w:val="none" w:sz="0" w:space="0" w:color="auto"/>
      </w:divBdr>
    </w:div>
    <w:div w:id="1302930231">
      <w:bodyDiv w:val="1"/>
      <w:marLeft w:val="0"/>
      <w:marRight w:val="0"/>
      <w:marTop w:val="0"/>
      <w:marBottom w:val="0"/>
      <w:divBdr>
        <w:top w:val="none" w:sz="0" w:space="0" w:color="auto"/>
        <w:left w:val="none" w:sz="0" w:space="0" w:color="auto"/>
        <w:bottom w:val="none" w:sz="0" w:space="0" w:color="auto"/>
        <w:right w:val="none" w:sz="0" w:space="0" w:color="auto"/>
      </w:divBdr>
    </w:div>
    <w:div w:id="1363438098">
      <w:bodyDiv w:val="1"/>
      <w:marLeft w:val="0"/>
      <w:marRight w:val="0"/>
      <w:marTop w:val="0"/>
      <w:marBottom w:val="0"/>
      <w:divBdr>
        <w:top w:val="none" w:sz="0" w:space="0" w:color="auto"/>
        <w:left w:val="none" w:sz="0" w:space="0" w:color="auto"/>
        <w:bottom w:val="none" w:sz="0" w:space="0" w:color="auto"/>
        <w:right w:val="none" w:sz="0" w:space="0" w:color="auto"/>
      </w:divBdr>
      <w:divsChild>
        <w:div w:id="1032415438">
          <w:marLeft w:val="0"/>
          <w:marRight w:val="0"/>
          <w:marTop w:val="0"/>
          <w:marBottom w:val="0"/>
          <w:divBdr>
            <w:top w:val="none" w:sz="0" w:space="0" w:color="auto"/>
            <w:left w:val="none" w:sz="0" w:space="0" w:color="auto"/>
            <w:bottom w:val="none" w:sz="0" w:space="0" w:color="auto"/>
            <w:right w:val="none" w:sz="0" w:space="0" w:color="auto"/>
          </w:divBdr>
          <w:divsChild>
            <w:div w:id="51662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873899">
      <w:bodyDiv w:val="1"/>
      <w:marLeft w:val="0"/>
      <w:marRight w:val="0"/>
      <w:marTop w:val="0"/>
      <w:marBottom w:val="0"/>
      <w:divBdr>
        <w:top w:val="none" w:sz="0" w:space="0" w:color="auto"/>
        <w:left w:val="none" w:sz="0" w:space="0" w:color="auto"/>
        <w:bottom w:val="none" w:sz="0" w:space="0" w:color="auto"/>
        <w:right w:val="none" w:sz="0" w:space="0" w:color="auto"/>
      </w:divBdr>
    </w:div>
    <w:div w:id="1409618774">
      <w:bodyDiv w:val="1"/>
      <w:marLeft w:val="0"/>
      <w:marRight w:val="0"/>
      <w:marTop w:val="0"/>
      <w:marBottom w:val="0"/>
      <w:divBdr>
        <w:top w:val="none" w:sz="0" w:space="0" w:color="auto"/>
        <w:left w:val="none" w:sz="0" w:space="0" w:color="auto"/>
        <w:bottom w:val="none" w:sz="0" w:space="0" w:color="auto"/>
        <w:right w:val="none" w:sz="0" w:space="0" w:color="auto"/>
      </w:divBdr>
      <w:divsChild>
        <w:div w:id="1490171416">
          <w:marLeft w:val="0"/>
          <w:marRight w:val="0"/>
          <w:marTop w:val="0"/>
          <w:marBottom w:val="0"/>
          <w:divBdr>
            <w:top w:val="none" w:sz="0" w:space="0" w:color="auto"/>
            <w:left w:val="none" w:sz="0" w:space="0" w:color="auto"/>
            <w:bottom w:val="none" w:sz="0" w:space="0" w:color="auto"/>
            <w:right w:val="none" w:sz="0" w:space="0" w:color="auto"/>
          </w:divBdr>
          <w:divsChild>
            <w:div w:id="12670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385526">
      <w:bodyDiv w:val="1"/>
      <w:marLeft w:val="0"/>
      <w:marRight w:val="0"/>
      <w:marTop w:val="0"/>
      <w:marBottom w:val="0"/>
      <w:divBdr>
        <w:top w:val="none" w:sz="0" w:space="0" w:color="auto"/>
        <w:left w:val="none" w:sz="0" w:space="0" w:color="auto"/>
        <w:bottom w:val="none" w:sz="0" w:space="0" w:color="auto"/>
        <w:right w:val="none" w:sz="0" w:space="0" w:color="auto"/>
      </w:divBdr>
      <w:divsChild>
        <w:div w:id="1245997367">
          <w:marLeft w:val="0"/>
          <w:marRight w:val="0"/>
          <w:marTop w:val="0"/>
          <w:marBottom w:val="0"/>
          <w:divBdr>
            <w:top w:val="none" w:sz="0" w:space="0" w:color="auto"/>
            <w:left w:val="none" w:sz="0" w:space="0" w:color="auto"/>
            <w:bottom w:val="none" w:sz="0" w:space="0" w:color="auto"/>
            <w:right w:val="none" w:sz="0" w:space="0" w:color="auto"/>
          </w:divBdr>
          <w:divsChild>
            <w:div w:id="914555125">
              <w:marLeft w:val="0"/>
              <w:marRight w:val="0"/>
              <w:marTop w:val="0"/>
              <w:marBottom w:val="0"/>
              <w:divBdr>
                <w:top w:val="none" w:sz="0" w:space="0" w:color="auto"/>
                <w:left w:val="none" w:sz="0" w:space="0" w:color="auto"/>
                <w:bottom w:val="none" w:sz="0" w:space="0" w:color="auto"/>
                <w:right w:val="none" w:sz="0" w:space="0" w:color="auto"/>
              </w:divBdr>
            </w:div>
          </w:divsChild>
        </w:div>
        <w:div w:id="2138062858">
          <w:marLeft w:val="0"/>
          <w:marRight w:val="0"/>
          <w:marTop w:val="0"/>
          <w:marBottom w:val="0"/>
          <w:divBdr>
            <w:top w:val="none" w:sz="0" w:space="0" w:color="auto"/>
            <w:left w:val="none" w:sz="0" w:space="0" w:color="auto"/>
            <w:bottom w:val="none" w:sz="0" w:space="0" w:color="auto"/>
            <w:right w:val="none" w:sz="0" w:space="0" w:color="auto"/>
          </w:divBdr>
          <w:divsChild>
            <w:div w:id="33530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827329">
      <w:bodyDiv w:val="1"/>
      <w:marLeft w:val="0"/>
      <w:marRight w:val="0"/>
      <w:marTop w:val="0"/>
      <w:marBottom w:val="0"/>
      <w:divBdr>
        <w:top w:val="none" w:sz="0" w:space="0" w:color="auto"/>
        <w:left w:val="none" w:sz="0" w:space="0" w:color="auto"/>
        <w:bottom w:val="none" w:sz="0" w:space="0" w:color="auto"/>
        <w:right w:val="none" w:sz="0" w:space="0" w:color="auto"/>
      </w:divBdr>
      <w:divsChild>
        <w:div w:id="202988774">
          <w:marLeft w:val="274"/>
          <w:marRight w:val="0"/>
          <w:marTop w:val="0"/>
          <w:marBottom w:val="0"/>
          <w:divBdr>
            <w:top w:val="none" w:sz="0" w:space="0" w:color="auto"/>
            <w:left w:val="none" w:sz="0" w:space="0" w:color="auto"/>
            <w:bottom w:val="none" w:sz="0" w:space="0" w:color="auto"/>
            <w:right w:val="none" w:sz="0" w:space="0" w:color="auto"/>
          </w:divBdr>
        </w:div>
        <w:div w:id="889993419">
          <w:marLeft w:val="274"/>
          <w:marRight w:val="0"/>
          <w:marTop w:val="0"/>
          <w:marBottom w:val="0"/>
          <w:divBdr>
            <w:top w:val="none" w:sz="0" w:space="0" w:color="auto"/>
            <w:left w:val="none" w:sz="0" w:space="0" w:color="auto"/>
            <w:bottom w:val="none" w:sz="0" w:space="0" w:color="auto"/>
            <w:right w:val="none" w:sz="0" w:space="0" w:color="auto"/>
          </w:divBdr>
        </w:div>
        <w:div w:id="893853868">
          <w:marLeft w:val="274"/>
          <w:marRight w:val="0"/>
          <w:marTop w:val="0"/>
          <w:marBottom w:val="0"/>
          <w:divBdr>
            <w:top w:val="none" w:sz="0" w:space="0" w:color="auto"/>
            <w:left w:val="none" w:sz="0" w:space="0" w:color="auto"/>
            <w:bottom w:val="none" w:sz="0" w:space="0" w:color="auto"/>
            <w:right w:val="none" w:sz="0" w:space="0" w:color="auto"/>
          </w:divBdr>
        </w:div>
        <w:div w:id="1252929752">
          <w:marLeft w:val="274"/>
          <w:marRight w:val="0"/>
          <w:marTop w:val="0"/>
          <w:marBottom w:val="0"/>
          <w:divBdr>
            <w:top w:val="none" w:sz="0" w:space="0" w:color="auto"/>
            <w:left w:val="none" w:sz="0" w:space="0" w:color="auto"/>
            <w:bottom w:val="none" w:sz="0" w:space="0" w:color="auto"/>
            <w:right w:val="none" w:sz="0" w:space="0" w:color="auto"/>
          </w:divBdr>
        </w:div>
        <w:div w:id="1558932872">
          <w:marLeft w:val="274"/>
          <w:marRight w:val="0"/>
          <w:marTop w:val="0"/>
          <w:marBottom w:val="0"/>
          <w:divBdr>
            <w:top w:val="none" w:sz="0" w:space="0" w:color="auto"/>
            <w:left w:val="none" w:sz="0" w:space="0" w:color="auto"/>
            <w:bottom w:val="none" w:sz="0" w:space="0" w:color="auto"/>
            <w:right w:val="none" w:sz="0" w:space="0" w:color="auto"/>
          </w:divBdr>
        </w:div>
        <w:div w:id="2013296740">
          <w:marLeft w:val="274"/>
          <w:marRight w:val="0"/>
          <w:marTop w:val="0"/>
          <w:marBottom w:val="0"/>
          <w:divBdr>
            <w:top w:val="none" w:sz="0" w:space="0" w:color="auto"/>
            <w:left w:val="none" w:sz="0" w:space="0" w:color="auto"/>
            <w:bottom w:val="none" w:sz="0" w:space="0" w:color="auto"/>
            <w:right w:val="none" w:sz="0" w:space="0" w:color="auto"/>
          </w:divBdr>
        </w:div>
      </w:divsChild>
    </w:div>
    <w:div w:id="1500928048">
      <w:bodyDiv w:val="1"/>
      <w:marLeft w:val="0"/>
      <w:marRight w:val="0"/>
      <w:marTop w:val="0"/>
      <w:marBottom w:val="0"/>
      <w:divBdr>
        <w:top w:val="none" w:sz="0" w:space="0" w:color="auto"/>
        <w:left w:val="none" w:sz="0" w:space="0" w:color="auto"/>
        <w:bottom w:val="none" w:sz="0" w:space="0" w:color="auto"/>
        <w:right w:val="none" w:sz="0" w:space="0" w:color="auto"/>
      </w:divBdr>
      <w:divsChild>
        <w:div w:id="545217922">
          <w:marLeft w:val="0"/>
          <w:marRight w:val="0"/>
          <w:marTop w:val="0"/>
          <w:marBottom w:val="0"/>
          <w:divBdr>
            <w:top w:val="none" w:sz="0" w:space="0" w:color="auto"/>
            <w:left w:val="none" w:sz="0" w:space="0" w:color="auto"/>
            <w:bottom w:val="none" w:sz="0" w:space="0" w:color="auto"/>
            <w:right w:val="none" w:sz="0" w:space="0" w:color="auto"/>
          </w:divBdr>
          <w:divsChild>
            <w:div w:id="16732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165375">
      <w:bodyDiv w:val="1"/>
      <w:marLeft w:val="0"/>
      <w:marRight w:val="0"/>
      <w:marTop w:val="0"/>
      <w:marBottom w:val="0"/>
      <w:divBdr>
        <w:top w:val="none" w:sz="0" w:space="0" w:color="auto"/>
        <w:left w:val="none" w:sz="0" w:space="0" w:color="auto"/>
        <w:bottom w:val="none" w:sz="0" w:space="0" w:color="auto"/>
        <w:right w:val="none" w:sz="0" w:space="0" w:color="auto"/>
      </w:divBdr>
      <w:divsChild>
        <w:div w:id="1411850104">
          <w:marLeft w:val="547"/>
          <w:marRight w:val="0"/>
          <w:marTop w:val="0"/>
          <w:marBottom w:val="0"/>
          <w:divBdr>
            <w:top w:val="none" w:sz="0" w:space="0" w:color="auto"/>
            <w:left w:val="none" w:sz="0" w:space="0" w:color="auto"/>
            <w:bottom w:val="none" w:sz="0" w:space="0" w:color="auto"/>
            <w:right w:val="none" w:sz="0" w:space="0" w:color="auto"/>
          </w:divBdr>
        </w:div>
      </w:divsChild>
    </w:div>
    <w:div w:id="1542129387">
      <w:bodyDiv w:val="1"/>
      <w:marLeft w:val="0"/>
      <w:marRight w:val="0"/>
      <w:marTop w:val="0"/>
      <w:marBottom w:val="0"/>
      <w:divBdr>
        <w:top w:val="none" w:sz="0" w:space="0" w:color="auto"/>
        <w:left w:val="none" w:sz="0" w:space="0" w:color="auto"/>
        <w:bottom w:val="none" w:sz="0" w:space="0" w:color="auto"/>
        <w:right w:val="none" w:sz="0" w:space="0" w:color="auto"/>
      </w:divBdr>
    </w:div>
    <w:div w:id="1543443039">
      <w:bodyDiv w:val="1"/>
      <w:marLeft w:val="0"/>
      <w:marRight w:val="0"/>
      <w:marTop w:val="0"/>
      <w:marBottom w:val="0"/>
      <w:divBdr>
        <w:top w:val="none" w:sz="0" w:space="0" w:color="auto"/>
        <w:left w:val="none" w:sz="0" w:space="0" w:color="auto"/>
        <w:bottom w:val="none" w:sz="0" w:space="0" w:color="auto"/>
        <w:right w:val="none" w:sz="0" w:space="0" w:color="auto"/>
      </w:divBdr>
    </w:div>
    <w:div w:id="1564833146">
      <w:bodyDiv w:val="1"/>
      <w:marLeft w:val="0"/>
      <w:marRight w:val="0"/>
      <w:marTop w:val="0"/>
      <w:marBottom w:val="0"/>
      <w:divBdr>
        <w:top w:val="none" w:sz="0" w:space="0" w:color="auto"/>
        <w:left w:val="none" w:sz="0" w:space="0" w:color="auto"/>
        <w:bottom w:val="none" w:sz="0" w:space="0" w:color="auto"/>
        <w:right w:val="none" w:sz="0" w:space="0" w:color="auto"/>
      </w:divBdr>
    </w:div>
    <w:div w:id="1598363581">
      <w:bodyDiv w:val="1"/>
      <w:marLeft w:val="0"/>
      <w:marRight w:val="0"/>
      <w:marTop w:val="0"/>
      <w:marBottom w:val="0"/>
      <w:divBdr>
        <w:top w:val="none" w:sz="0" w:space="0" w:color="auto"/>
        <w:left w:val="none" w:sz="0" w:space="0" w:color="auto"/>
        <w:bottom w:val="none" w:sz="0" w:space="0" w:color="auto"/>
        <w:right w:val="none" w:sz="0" w:space="0" w:color="auto"/>
      </w:divBdr>
    </w:div>
    <w:div w:id="1641764160">
      <w:bodyDiv w:val="1"/>
      <w:marLeft w:val="0"/>
      <w:marRight w:val="0"/>
      <w:marTop w:val="0"/>
      <w:marBottom w:val="0"/>
      <w:divBdr>
        <w:top w:val="none" w:sz="0" w:space="0" w:color="auto"/>
        <w:left w:val="none" w:sz="0" w:space="0" w:color="auto"/>
        <w:bottom w:val="none" w:sz="0" w:space="0" w:color="auto"/>
        <w:right w:val="none" w:sz="0" w:space="0" w:color="auto"/>
      </w:divBdr>
    </w:div>
    <w:div w:id="1644429897">
      <w:bodyDiv w:val="1"/>
      <w:marLeft w:val="0"/>
      <w:marRight w:val="0"/>
      <w:marTop w:val="0"/>
      <w:marBottom w:val="0"/>
      <w:divBdr>
        <w:top w:val="none" w:sz="0" w:space="0" w:color="auto"/>
        <w:left w:val="none" w:sz="0" w:space="0" w:color="auto"/>
        <w:bottom w:val="none" w:sz="0" w:space="0" w:color="auto"/>
        <w:right w:val="none" w:sz="0" w:space="0" w:color="auto"/>
      </w:divBdr>
    </w:div>
    <w:div w:id="1657100687">
      <w:bodyDiv w:val="1"/>
      <w:marLeft w:val="0"/>
      <w:marRight w:val="0"/>
      <w:marTop w:val="0"/>
      <w:marBottom w:val="0"/>
      <w:divBdr>
        <w:top w:val="none" w:sz="0" w:space="0" w:color="auto"/>
        <w:left w:val="none" w:sz="0" w:space="0" w:color="auto"/>
        <w:bottom w:val="none" w:sz="0" w:space="0" w:color="auto"/>
        <w:right w:val="none" w:sz="0" w:space="0" w:color="auto"/>
      </w:divBdr>
    </w:div>
    <w:div w:id="1659922151">
      <w:bodyDiv w:val="1"/>
      <w:marLeft w:val="0"/>
      <w:marRight w:val="0"/>
      <w:marTop w:val="0"/>
      <w:marBottom w:val="0"/>
      <w:divBdr>
        <w:top w:val="none" w:sz="0" w:space="0" w:color="auto"/>
        <w:left w:val="none" w:sz="0" w:space="0" w:color="auto"/>
        <w:bottom w:val="none" w:sz="0" w:space="0" w:color="auto"/>
        <w:right w:val="none" w:sz="0" w:space="0" w:color="auto"/>
      </w:divBdr>
      <w:divsChild>
        <w:div w:id="3554663">
          <w:marLeft w:val="0"/>
          <w:marRight w:val="0"/>
          <w:marTop w:val="0"/>
          <w:marBottom w:val="0"/>
          <w:divBdr>
            <w:top w:val="none" w:sz="0" w:space="0" w:color="auto"/>
            <w:left w:val="none" w:sz="0" w:space="0" w:color="auto"/>
            <w:bottom w:val="none" w:sz="0" w:space="0" w:color="auto"/>
            <w:right w:val="none" w:sz="0" w:space="0" w:color="auto"/>
          </w:divBdr>
          <w:divsChild>
            <w:div w:id="801774707">
              <w:marLeft w:val="0"/>
              <w:marRight w:val="0"/>
              <w:marTop w:val="0"/>
              <w:marBottom w:val="0"/>
              <w:divBdr>
                <w:top w:val="none" w:sz="0" w:space="0" w:color="auto"/>
                <w:left w:val="none" w:sz="0" w:space="0" w:color="auto"/>
                <w:bottom w:val="none" w:sz="0" w:space="0" w:color="auto"/>
                <w:right w:val="none" w:sz="0" w:space="0" w:color="auto"/>
              </w:divBdr>
            </w:div>
          </w:divsChild>
        </w:div>
        <w:div w:id="3825185">
          <w:marLeft w:val="0"/>
          <w:marRight w:val="0"/>
          <w:marTop w:val="0"/>
          <w:marBottom w:val="0"/>
          <w:divBdr>
            <w:top w:val="none" w:sz="0" w:space="0" w:color="auto"/>
            <w:left w:val="none" w:sz="0" w:space="0" w:color="auto"/>
            <w:bottom w:val="none" w:sz="0" w:space="0" w:color="auto"/>
            <w:right w:val="none" w:sz="0" w:space="0" w:color="auto"/>
          </w:divBdr>
          <w:divsChild>
            <w:div w:id="301347727">
              <w:marLeft w:val="0"/>
              <w:marRight w:val="0"/>
              <w:marTop w:val="0"/>
              <w:marBottom w:val="0"/>
              <w:divBdr>
                <w:top w:val="none" w:sz="0" w:space="0" w:color="auto"/>
                <w:left w:val="none" w:sz="0" w:space="0" w:color="auto"/>
                <w:bottom w:val="none" w:sz="0" w:space="0" w:color="auto"/>
                <w:right w:val="none" w:sz="0" w:space="0" w:color="auto"/>
              </w:divBdr>
            </w:div>
          </w:divsChild>
        </w:div>
        <w:div w:id="5135002">
          <w:marLeft w:val="0"/>
          <w:marRight w:val="0"/>
          <w:marTop w:val="0"/>
          <w:marBottom w:val="0"/>
          <w:divBdr>
            <w:top w:val="none" w:sz="0" w:space="0" w:color="auto"/>
            <w:left w:val="none" w:sz="0" w:space="0" w:color="auto"/>
            <w:bottom w:val="none" w:sz="0" w:space="0" w:color="auto"/>
            <w:right w:val="none" w:sz="0" w:space="0" w:color="auto"/>
          </w:divBdr>
          <w:divsChild>
            <w:div w:id="62879732">
              <w:marLeft w:val="0"/>
              <w:marRight w:val="0"/>
              <w:marTop w:val="0"/>
              <w:marBottom w:val="0"/>
              <w:divBdr>
                <w:top w:val="none" w:sz="0" w:space="0" w:color="auto"/>
                <w:left w:val="none" w:sz="0" w:space="0" w:color="auto"/>
                <w:bottom w:val="none" w:sz="0" w:space="0" w:color="auto"/>
                <w:right w:val="none" w:sz="0" w:space="0" w:color="auto"/>
              </w:divBdr>
            </w:div>
          </w:divsChild>
        </w:div>
        <w:div w:id="5181459">
          <w:marLeft w:val="0"/>
          <w:marRight w:val="0"/>
          <w:marTop w:val="0"/>
          <w:marBottom w:val="0"/>
          <w:divBdr>
            <w:top w:val="none" w:sz="0" w:space="0" w:color="auto"/>
            <w:left w:val="none" w:sz="0" w:space="0" w:color="auto"/>
            <w:bottom w:val="none" w:sz="0" w:space="0" w:color="auto"/>
            <w:right w:val="none" w:sz="0" w:space="0" w:color="auto"/>
          </w:divBdr>
          <w:divsChild>
            <w:div w:id="1246643842">
              <w:marLeft w:val="0"/>
              <w:marRight w:val="0"/>
              <w:marTop w:val="0"/>
              <w:marBottom w:val="0"/>
              <w:divBdr>
                <w:top w:val="none" w:sz="0" w:space="0" w:color="auto"/>
                <w:left w:val="none" w:sz="0" w:space="0" w:color="auto"/>
                <w:bottom w:val="none" w:sz="0" w:space="0" w:color="auto"/>
                <w:right w:val="none" w:sz="0" w:space="0" w:color="auto"/>
              </w:divBdr>
            </w:div>
          </w:divsChild>
        </w:div>
        <w:div w:id="5253608">
          <w:marLeft w:val="0"/>
          <w:marRight w:val="0"/>
          <w:marTop w:val="0"/>
          <w:marBottom w:val="0"/>
          <w:divBdr>
            <w:top w:val="none" w:sz="0" w:space="0" w:color="auto"/>
            <w:left w:val="none" w:sz="0" w:space="0" w:color="auto"/>
            <w:bottom w:val="none" w:sz="0" w:space="0" w:color="auto"/>
            <w:right w:val="none" w:sz="0" w:space="0" w:color="auto"/>
          </w:divBdr>
          <w:divsChild>
            <w:div w:id="1889562452">
              <w:marLeft w:val="0"/>
              <w:marRight w:val="0"/>
              <w:marTop w:val="0"/>
              <w:marBottom w:val="0"/>
              <w:divBdr>
                <w:top w:val="none" w:sz="0" w:space="0" w:color="auto"/>
                <w:left w:val="none" w:sz="0" w:space="0" w:color="auto"/>
                <w:bottom w:val="none" w:sz="0" w:space="0" w:color="auto"/>
                <w:right w:val="none" w:sz="0" w:space="0" w:color="auto"/>
              </w:divBdr>
            </w:div>
          </w:divsChild>
        </w:div>
        <w:div w:id="5333528">
          <w:marLeft w:val="0"/>
          <w:marRight w:val="0"/>
          <w:marTop w:val="0"/>
          <w:marBottom w:val="0"/>
          <w:divBdr>
            <w:top w:val="none" w:sz="0" w:space="0" w:color="auto"/>
            <w:left w:val="none" w:sz="0" w:space="0" w:color="auto"/>
            <w:bottom w:val="none" w:sz="0" w:space="0" w:color="auto"/>
            <w:right w:val="none" w:sz="0" w:space="0" w:color="auto"/>
          </w:divBdr>
          <w:divsChild>
            <w:div w:id="1925185983">
              <w:marLeft w:val="0"/>
              <w:marRight w:val="0"/>
              <w:marTop w:val="0"/>
              <w:marBottom w:val="0"/>
              <w:divBdr>
                <w:top w:val="none" w:sz="0" w:space="0" w:color="auto"/>
                <w:left w:val="none" w:sz="0" w:space="0" w:color="auto"/>
                <w:bottom w:val="none" w:sz="0" w:space="0" w:color="auto"/>
                <w:right w:val="none" w:sz="0" w:space="0" w:color="auto"/>
              </w:divBdr>
            </w:div>
          </w:divsChild>
        </w:div>
        <w:div w:id="6760812">
          <w:marLeft w:val="0"/>
          <w:marRight w:val="0"/>
          <w:marTop w:val="0"/>
          <w:marBottom w:val="0"/>
          <w:divBdr>
            <w:top w:val="none" w:sz="0" w:space="0" w:color="auto"/>
            <w:left w:val="none" w:sz="0" w:space="0" w:color="auto"/>
            <w:bottom w:val="none" w:sz="0" w:space="0" w:color="auto"/>
            <w:right w:val="none" w:sz="0" w:space="0" w:color="auto"/>
          </w:divBdr>
          <w:divsChild>
            <w:div w:id="1624341082">
              <w:marLeft w:val="0"/>
              <w:marRight w:val="0"/>
              <w:marTop w:val="0"/>
              <w:marBottom w:val="0"/>
              <w:divBdr>
                <w:top w:val="none" w:sz="0" w:space="0" w:color="auto"/>
                <w:left w:val="none" w:sz="0" w:space="0" w:color="auto"/>
                <w:bottom w:val="none" w:sz="0" w:space="0" w:color="auto"/>
                <w:right w:val="none" w:sz="0" w:space="0" w:color="auto"/>
              </w:divBdr>
            </w:div>
          </w:divsChild>
        </w:div>
        <w:div w:id="9064524">
          <w:marLeft w:val="0"/>
          <w:marRight w:val="0"/>
          <w:marTop w:val="0"/>
          <w:marBottom w:val="0"/>
          <w:divBdr>
            <w:top w:val="none" w:sz="0" w:space="0" w:color="auto"/>
            <w:left w:val="none" w:sz="0" w:space="0" w:color="auto"/>
            <w:bottom w:val="none" w:sz="0" w:space="0" w:color="auto"/>
            <w:right w:val="none" w:sz="0" w:space="0" w:color="auto"/>
          </w:divBdr>
          <w:divsChild>
            <w:div w:id="1177111247">
              <w:marLeft w:val="0"/>
              <w:marRight w:val="0"/>
              <w:marTop w:val="0"/>
              <w:marBottom w:val="0"/>
              <w:divBdr>
                <w:top w:val="none" w:sz="0" w:space="0" w:color="auto"/>
                <w:left w:val="none" w:sz="0" w:space="0" w:color="auto"/>
                <w:bottom w:val="none" w:sz="0" w:space="0" w:color="auto"/>
                <w:right w:val="none" w:sz="0" w:space="0" w:color="auto"/>
              </w:divBdr>
            </w:div>
          </w:divsChild>
        </w:div>
        <w:div w:id="10572494">
          <w:marLeft w:val="0"/>
          <w:marRight w:val="0"/>
          <w:marTop w:val="0"/>
          <w:marBottom w:val="0"/>
          <w:divBdr>
            <w:top w:val="none" w:sz="0" w:space="0" w:color="auto"/>
            <w:left w:val="none" w:sz="0" w:space="0" w:color="auto"/>
            <w:bottom w:val="none" w:sz="0" w:space="0" w:color="auto"/>
            <w:right w:val="none" w:sz="0" w:space="0" w:color="auto"/>
          </w:divBdr>
          <w:divsChild>
            <w:div w:id="1865437099">
              <w:marLeft w:val="0"/>
              <w:marRight w:val="0"/>
              <w:marTop w:val="0"/>
              <w:marBottom w:val="0"/>
              <w:divBdr>
                <w:top w:val="none" w:sz="0" w:space="0" w:color="auto"/>
                <w:left w:val="none" w:sz="0" w:space="0" w:color="auto"/>
                <w:bottom w:val="none" w:sz="0" w:space="0" w:color="auto"/>
                <w:right w:val="none" w:sz="0" w:space="0" w:color="auto"/>
              </w:divBdr>
            </w:div>
          </w:divsChild>
        </w:div>
        <w:div w:id="11734846">
          <w:marLeft w:val="0"/>
          <w:marRight w:val="0"/>
          <w:marTop w:val="0"/>
          <w:marBottom w:val="0"/>
          <w:divBdr>
            <w:top w:val="none" w:sz="0" w:space="0" w:color="auto"/>
            <w:left w:val="none" w:sz="0" w:space="0" w:color="auto"/>
            <w:bottom w:val="none" w:sz="0" w:space="0" w:color="auto"/>
            <w:right w:val="none" w:sz="0" w:space="0" w:color="auto"/>
          </w:divBdr>
          <w:divsChild>
            <w:div w:id="2145347321">
              <w:marLeft w:val="0"/>
              <w:marRight w:val="0"/>
              <w:marTop w:val="0"/>
              <w:marBottom w:val="0"/>
              <w:divBdr>
                <w:top w:val="none" w:sz="0" w:space="0" w:color="auto"/>
                <w:left w:val="none" w:sz="0" w:space="0" w:color="auto"/>
                <w:bottom w:val="none" w:sz="0" w:space="0" w:color="auto"/>
                <w:right w:val="none" w:sz="0" w:space="0" w:color="auto"/>
              </w:divBdr>
            </w:div>
          </w:divsChild>
        </w:div>
        <w:div w:id="11735758">
          <w:marLeft w:val="0"/>
          <w:marRight w:val="0"/>
          <w:marTop w:val="0"/>
          <w:marBottom w:val="0"/>
          <w:divBdr>
            <w:top w:val="none" w:sz="0" w:space="0" w:color="auto"/>
            <w:left w:val="none" w:sz="0" w:space="0" w:color="auto"/>
            <w:bottom w:val="none" w:sz="0" w:space="0" w:color="auto"/>
            <w:right w:val="none" w:sz="0" w:space="0" w:color="auto"/>
          </w:divBdr>
          <w:divsChild>
            <w:div w:id="1825969260">
              <w:marLeft w:val="0"/>
              <w:marRight w:val="0"/>
              <w:marTop w:val="0"/>
              <w:marBottom w:val="0"/>
              <w:divBdr>
                <w:top w:val="none" w:sz="0" w:space="0" w:color="auto"/>
                <w:left w:val="none" w:sz="0" w:space="0" w:color="auto"/>
                <w:bottom w:val="none" w:sz="0" w:space="0" w:color="auto"/>
                <w:right w:val="none" w:sz="0" w:space="0" w:color="auto"/>
              </w:divBdr>
            </w:div>
          </w:divsChild>
        </w:div>
        <w:div w:id="15228882">
          <w:marLeft w:val="0"/>
          <w:marRight w:val="0"/>
          <w:marTop w:val="0"/>
          <w:marBottom w:val="0"/>
          <w:divBdr>
            <w:top w:val="none" w:sz="0" w:space="0" w:color="auto"/>
            <w:left w:val="none" w:sz="0" w:space="0" w:color="auto"/>
            <w:bottom w:val="none" w:sz="0" w:space="0" w:color="auto"/>
            <w:right w:val="none" w:sz="0" w:space="0" w:color="auto"/>
          </w:divBdr>
          <w:divsChild>
            <w:div w:id="128715026">
              <w:marLeft w:val="0"/>
              <w:marRight w:val="0"/>
              <w:marTop w:val="0"/>
              <w:marBottom w:val="0"/>
              <w:divBdr>
                <w:top w:val="none" w:sz="0" w:space="0" w:color="auto"/>
                <w:left w:val="none" w:sz="0" w:space="0" w:color="auto"/>
                <w:bottom w:val="none" w:sz="0" w:space="0" w:color="auto"/>
                <w:right w:val="none" w:sz="0" w:space="0" w:color="auto"/>
              </w:divBdr>
            </w:div>
          </w:divsChild>
        </w:div>
        <w:div w:id="15271922">
          <w:marLeft w:val="0"/>
          <w:marRight w:val="0"/>
          <w:marTop w:val="0"/>
          <w:marBottom w:val="0"/>
          <w:divBdr>
            <w:top w:val="none" w:sz="0" w:space="0" w:color="auto"/>
            <w:left w:val="none" w:sz="0" w:space="0" w:color="auto"/>
            <w:bottom w:val="none" w:sz="0" w:space="0" w:color="auto"/>
            <w:right w:val="none" w:sz="0" w:space="0" w:color="auto"/>
          </w:divBdr>
          <w:divsChild>
            <w:div w:id="1292830824">
              <w:marLeft w:val="0"/>
              <w:marRight w:val="0"/>
              <w:marTop w:val="0"/>
              <w:marBottom w:val="0"/>
              <w:divBdr>
                <w:top w:val="none" w:sz="0" w:space="0" w:color="auto"/>
                <w:left w:val="none" w:sz="0" w:space="0" w:color="auto"/>
                <w:bottom w:val="none" w:sz="0" w:space="0" w:color="auto"/>
                <w:right w:val="none" w:sz="0" w:space="0" w:color="auto"/>
              </w:divBdr>
            </w:div>
          </w:divsChild>
        </w:div>
        <w:div w:id="15277722">
          <w:marLeft w:val="0"/>
          <w:marRight w:val="0"/>
          <w:marTop w:val="0"/>
          <w:marBottom w:val="0"/>
          <w:divBdr>
            <w:top w:val="none" w:sz="0" w:space="0" w:color="auto"/>
            <w:left w:val="none" w:sz="0" w:space="0" w:color="auto"/>
            <w:bottom w:val="none" w:sz="0" w:space="0" w:color="auto"/>
            <w:right w:val="none" w:sz="0" w:space="0" w:color="auto"/>
          </w:divBdr>
          <w:divsChild>
            <w:div w:id="1896382189">
              <w:marLeft w:val="0"/>
              <w:marRight w:val="0"/>
              <w:marTop w:val="0"/>
              <w:marBottom w:val="0"/>
              <w:divBdr>
                <w:top w:val="none" w:sz="0" w:space="0" w:color="auto"/>
                <w:left w:val="none" w:sz="0" w:space="0" w:color="auto"/>
                <w:bottom w:val="none" w:sz="0" w:space="0" w:color="auto"/>
                <w:right w:val="none" w:sz="0" w:space="0" w:color="auto"/>
              </w:divBdr>
            </w:div>
          </w:divsChild>
        </w:div>
        <w:div w:id="16391404">
          <w:marLeft w:val="0"/>
          <w:marRight w:val="0"/>
          <w:marTop w:val="0"/>
          <w:marBottom w:val="0"/>
          <w:divBdr>
            <w:top w:val="none" w:sz="0" w:space="0" w:color="auto"/>
            <w:left w:val="none" w:sz="0" w:space="0" w:color="auto"/>
            <w:bottom w:val="none" w:sz="0" w:space="0" w:color="auto"/>
            <w:right w:val="none" w:sz="0" w:space="0" w:color="auto"/>
          </w:divBdr>
          <w:divsChild>
            <w:div w:id="1723599439">
              <w:marLeft w:val="0"/>
              <w:marRight w:val="0"/>
              <w:marTop w:val="0"/>
              <w:marBottom w:val="0"/>
              <w:divBdr>
                <w:top w:val="none" w:sz="0" w:space="0" w:color="auto"/>
                <w:left w:val="none" w:sz="0" w:space="0" w:color="auto"/>
                <w:bottom w:val="none" w:sz="0" w:space="0" w:color="auto"/>
                <w:right w:val="none" w:sz="0" w:space="0" w:color="auto"/>
              </w:divBdr>
            </w:div>
          </w:divsChild>
        </w:div>
        <w:div w:id="17581509">
          <w:marLeft w:val="0"/>
          <w:marRight w:val="0"/>
          <w:marTop w:val="0"/>
          <w:marBottom w:val="0"/>
          <w:divBdr>
            <w:top w:val="none" w:sz="0" w:space="0" w:color="auto"/>
            <w:left w:val="none" w:sz="0" w:space="0" w:color="auto"/>
            <w:bottom w:val="none" w:sz="0" w:space="0" w:color="auto"/>
            <w:right w:val="none" w:sz="0" w:space="0" w:color="auto"/>
          </w:divBdr>
          <w:divsChild>
            <w:div w:id="1349017256">
              <w:marLeft w:val="0"/>
              <w:marRight w:val="0"/>
              <w:marTop w:val="0"/>
              <w:marBottom w:val="0"/>
              <w:divBdr>
                <w:top w:val="none" w:sz="0" w:space="0" w:color="auto"/>
                <w:left w:val="none" w:sz="0" w:space="0" w:color="auto"/>
                <w:bottom w:val="none" w:sz="0" w:space="0" w:color="auto"/>
                <w:right w:val="none" w:sz="0" w:space="0" w:color="auto"/>
              </w:divBdr>
            </w:div>
          </w:divsChild>
        </w:div>
        <w:div w:id="20085658">
          <w:marLeft w:val="0"/>
          <w:marRight w:val="0"/>
          <w:marTop w:val="0"/>
          <w:marBottom w:val="0"/>
          <w:divBdr>
            <w:top w:val="none" w:sz="0" w:space="0" w:color="auto"/>
            <w:left w:val="none" w:sz="0" w:space="0" w:color="auto"/>
            <w:bottom w:val="none" w:sz="0" w:space="0" w:color="auto"/>
            <w:right w:val="none" w:sz="0" w:space="0" w:color="auto"/>
          </w:divBdr>
          <w:divsChild>
            <w:div w:id="98139935">
              <w:marLeft w:val="0"/>
              <w:marRight w:val="0"/>
              <w:marTop w:val="0"/>
              <w:marBottom w:val="0"/>
              <w:divBdr>
                <w:top w:val="none" w:sz="0" w:space="0" w:color="auto"/>
                <w:left w:val="none" w:sz="0" w:space="0" w:color="auto"/>
                <w:bottom w:val="none" w:sz="0" w:space="0" w:color="auto"/>
                <w:right w:val="none" w:sz="0" w:space="0" w:color="auto"/>
              </w:divBdr>
            </w:div>
          </w:divsChild>
        </w:div>
        <w:div w:id="20786648">
          <w:marLeft w:val="0"/>
          <w:marRight w:val="0"/>
          <w:marTop w:val="0"/>
          <w:marBottom w:val="0"/>
          <w:divBdr>
            <w:top w:val="none" w:sz="0" w:space="0" w:color="auto"/>
            <w:left w:val="none" w:sz="0" w:space="0" w:color="auto"/>
            <w:bottom w:val="none" w:sz="0" w:space="0" w:color="auto"/>
            <w:right w:val="none" w:sz="0" w:space="0" w:color="auto"/>
          </w:divBdr>
          <w:divsChild>
            <w:div w:id="726609119">
              <w:marLeft w:val="0"/>
              <w:marRight w:val="0"/>
              <w:marTop w:val="0"/>
              <w:marBottom w:val="0"/>
              <w:divBdr>
                <w:top w:val="none" w:sz="0" w:space="0" w:color="auto"/>
                <w:left w:val="none" w:sz="0" w:space="0" w:color="auto"/>
                <w:bottom w:val="none" w:sz="0" w:space="0" w:color="auto"/>
                <w:right w:val="none" w:sz="0" w:space="0" w:color="auto"/>
              </w:divBdr>
            </w:div>
          </w:divsChild>
        </w:div>
        <w:div w:id="22437456">
          <w:marLeft w:val="0"/>
          <w:marRight w:val="0"/>
          <w:marTop w:val="0"/>
          <w:marBottom w:val="0"/>
          <w:divBdr>
            <w:top w:val="none" w:sz="0" w:space="0" w:color="auto"/>
            <w:left w:val="none" w:sz="0" w:space="0" w:color="auto"/>
            <w:bottom w:val="none" w:sz="0" w:space="0" w:color="auto"/>
            <w:right w:val="none" w:sz="0" w:space="0" w:color="auto"/>
          </w:divBdr>
          <w:divsChild>
            <w:div w:id="480541998">
              <w:marLeft w:val="0"/>
              <w:marRight w:val="0"/>
              <w:marTop w:val="0"/>
              <w:marBottom w:val="0"/>
              <w:divBdr>
                <w:top w:val="none" w:sz="0" w:space="0" w:color="auto"/>
                <w:left w:val="none" w:sz="0" w:space="0" w:color="auto"/>
                <w:bottom w:val="none" w:sz="0" w:space="0" w:color="auto"/>
                <w:right w:val="none" w:sz="0" w:space="0" w:color="auto"/>
              </w:divBdr>
            </w:div>
          </w:divsChild>
        </w:div>
        <w:div w:id="22675484">
          <w:marLeft w:val="0"/>
          <w:marRight w:val="0"/>
          <w:marTop w:val="0"/>
          <w:marBottom w:val="0"/>
          <w:divBdr>
            <w:top w:val="none" w:sz="0" w:space="0" w:color="auto"/>
            <w:left w:val="none" w:sz="0" w:space="0" w:color="auto"/>
            <w:bottom w:val="none" w:sz="0" w:space="0" w:color="auto"/>
            <w:right w:val="none" w:sz="0" w:space="0" w:color="auto"/>
          </w:divBdr>
          <w:divsChild>
            <w:div w:id="1850562116">
              <w:marLeft w:val="0"/>
              <w:marRight w:val="0"/>
              <w:marTop w:val="0"/>
              <w:marBottom w:val="0"/>
              <w:divBdr>
                <w:top w:val="none" w:sz="0" w:space="0" w:color="auto"/>
                <w:left w:val="none" w:sz="0" w:space="0" w:color="auto"/>
                <w:bottom w:val="none" w:sz="0" w:space="0" w:color="auto"/>
                <w:right w:val="none" w:sz="0" w:space="0" w:color="auto"/>
              </w:divBdr>
            </w:div>
          </w:divsChild>
        </w:div>
        <w:div w:id="24062056">
          <w:marLeft w:val="0"/>
          <w:marRight w:val="0"/>
          <w:marTop w:val="0"/>
          <w:marBottom w:val="0"/>
          <w:divBdr>
            <w:top w:val="none" w:sz="0" w:space="0" w:color="auto"/>
            <w:left w:val="none" w:sz="0" w:space="0" w:color="auto"/>
            <w:bottom w:val="none" w:sz="0" w:space="0" w:color="auto"/>
            <w:right w:val="none" w:sz="0" w:space="0" w:color="auto"/>
          </w:divBdr>
          <w:divsChild>
            <w:div w:id="89546942">
              <w:marLeft w:val="0"/>
              <w:marRight w:val="0"/>
              <w:marTop w:val="0"/>
              <w:marBottom w:val="0"/>
              <w:divBdr>
                <w:top w:val="none" w:sz="0" w:space="0" w:color="auto"/>
                <w:left w:val="none" w:sz="0" w:space="0" w:color="auto"/>
                <w:bottom w:val="none" w:sz="0" w:space="0" w:color="auto"/>
                <w:right w:val="none" w:sz="0" w:space="0" w:color="auto"/>
              </w:divBdr>
            </w:div>
          </w:divsChild>
        </w:div>
        <w:div w:id="29378240">
          <w:marLeft w:val="0"/>
          <w:marRight w:val="0"/>
          <w:marTop w:val="0"/>
          <w:marBottom w:val="0"/>
          <w:divBdr>
            <w:top w:val="none" w:sz="0" w:space="0" w:color="auto"/>
            <w:left w:val="none" w:sz="0" w:space="0" w:color="auto"/>
            <w:bottom w:val="none" w:sz="0" w:space="0" w:color="auto"/>
            <w:right w:val="none" w:sz="0" w:space="0" w:color="auto"/>
          </w:divBdr>
          <w:divsChild>
            <w:div w:id="1296832944">
              <w:marLeft w:val="0"/>
              <w:marRight w:val="0"/>
              <w:marTop w:val="0"/>
              <w:marBottom w:val="0"/>
              <w:divBdr>
                <w:top w:val="none" w:sz="0" w:space="0" w:color="auto"/>
                <w:left w:val="none" w:sz="0" w:space="0" w:color="auto"/>
                <w:bottom w:val="none" w:sz="0" w:space="0" w:color="auto"/>
                <w:right w:val="none" w:sz="0" w:space="0" w:color="auto"/>
              </w:divBdr>
            </w:div>
          </w:divsChild>
        </w:div>
        <w:div w:id="30307711">
          <w:marLeft w:val="0"/>
          <w:marRight w:val="0"/>
          <w:marTop w:val="0"/>
          <w:marBottom w:val="0"/>
          <w:divBdr>
            <w:top w:val="none" w:sz="0" w:space="0" w:color="auto"/>
            <w:left w:val="none" w:sz="0" w:space="0" w:color="auto"/>
            <w:bottom w:val="none" w:sz="0" w:space="0" w:color="auto"/>
            <w:right w:val="none" w:sz="0" w:space="0" w:color="auto"/>
          </w:divBdr>
          <w:divsChild>
            <w:div w:id="764502510">
              <w:marLeft w:val="0"/>
              <w:marRight w:val="0"/>
              <w:marTop w:val="0"/>
              <w:marBottom w:val="0"/>
              <w:divBdr>
                <w:top w:val="none" w:sz="0" w:space="0" w:color="auto"/>
                <w:left w:val="none" w:sz="0" w:space="0" w:color="auto"/>
                <w:bottom w:val="none" w:sz="0" w:space="0" w:color="auto"/>
                <w:right w:val="none" w:sz="0" w:space="0" w:color="auto"/>
              </w:divBdr>
            </w:div>
          </w:divsChild>
        </w:div>
        <w:div w:id="35275182">
          <w:marLeft w:val="0"/>
          <w:marRight w:val="0"/>
          <w:marTop w:val="0"/>
          <w:marBottom w:val="0"/>
          <w:divBdr>
            <w:top w:val="none" w:sz="0" w:space="0" w:color="auto"/>
            <w:left w:val="none" w:sz="0" w:space="0" w:color="auto"/>
            <w:bottom w:val="none" w:sz="0" w:space="0" w:color="auto"/>
            <w:right w:val="none" w:sz="0" w:space="0" w:color="auto"/>
          </w:divBdr>
          <w:divsChild>
            <w:div w:id="210843478">
              <w:marLeft w:val="0"/>
              <w:marRight w:val="0"/>
              <w:marTop w:val="0"/>
              <w:marBottom w:val="0"/>
              <w:divBdr>
                <w:top w:val="none" w:sz="0" w:space="0" w:color="auto"/>
                <w:left w:val="none" w:sz="0" w:space="0" w:color="auto"/>
                <w:bottom w:val="none" w:sz="0" w:space="0" w:color="auto"/>
                <w:right w:val="none" w:sz="0" w:space="0" w:color="auto"/>
              </w:divBdr>
            </w:div>
          </w:divsChild>
        </w:div>
        <w:div w:id="35665333">
          <w:marLeft w:val="0"/>
          <w:marRight w:val="0"/>
          <w:marTop w:val="0"/>
          <w:marBottom w:val="0"/>
          <w:divBdr>
            <w:top w:val="none" w:sz="0" w:space="0" w:color="auto"/>
            <w:left w:val="none" w:sz="0" w:space="0" w:color="auto"/>
            <w:bottom w:val="none" w:sz="0" w:space="0" w:color="auto"/>
            <w:right w:val="none" w:sz="0" w:space="0" w:color="auto"/>
          </w:divBdr>
          <w:divsChild>
            <w:div w:id="1928611561">
              <w:marLeft w:val="0"/>
              <w:marRight w:val="0"/>
              <w:marTop w:val="0"/>
              <w:marBottom w:val="0"/>
              <w:divBdr>
                <w:top w:val="none" w:sz="0" w:space="0" w:color="auto"/>
                <w:left w:val="none" w:sz="0" w:space="0" w:color="auto"/>
                <w:bottom w:val="none" w:sz="0" w:space="0" w:color="auto"/>
                <w:right w:val="none" w:sz="0" w:space="0" w:color="auto"/>
              </w:divBdr>
            </w:div>
          </w:divsChild>
        </w:div>
        <w:div w:id="36128767">
          <w:marLeft w:val="0"/>
          <w:marRight w:val="0"/>
          <w:marTop w:val="0"/>
          <w:marBottom w:val="0"/>
          <w:divBdr>
            <w:top w:val="none" w:sz="0" w:space="0" w:color="auto"/>
            <w:left w:val="none" w:sz="0" w:space="0" w:color="auto"/>
            <w:bottom w:val="none" w:sz="0" w:space="0" w:color="auto"/>
            <w:right w:val="none" w:sz="0" w:space="0" w:color="auto"/>
          </w:divBdr>
          <w:divsChild>
            <w:div w:id="253561226">
              <w:marLeft w:val="0"/>
              <w:marRight w:val="0"/>
              <w:marTop w:val="0"/>
              <w:marBottom w:val="0"/>
              <w:divBdr>
                <w:top w:val="none" w:sz="0" w:space="0" w:color="auto"/>
                <w:left w:val="none" w:sz="0" w:space="0" w:color="auto"/>
                <w:bottom w:val="none" w:sz="0" w:space="0" w:color="auto"/>
                <w:right w:val="none" w:sz="0" w:space="0" w:color="auto"/>
              </w:divBdr>
            </w:div>
          </w:divsChild>
        </w:div>
        <w:div w:id="42214051">
          <w:marLeft w:val="0"/>
          <w:marRight w:val="0"/>
          <w:marTop w:val="0"/>
          <w:marBottom w:val="0"/>
          <w:divBdr>
            <w:top w:val="none" w:sz="0" w:space="0" w:color="auto"/>
            <w:left w:val="none" w:sz="0" w:space="0" w:color="auto"/>
            <w:bottom w:val="none" w:sz="0" w:space="0" w:color="auto"/>
            <w:right w:val="none" w:sz="0" w:space="0" w:color="auto"/>
          </w:divBdr>
          <w:divsChild>
            <w:div w:id="2074232814">
              <w:marLeft w:val="0"/>
              <w:marRight w:val="0"/>
              <w:marTop w:val="0"/>
              <w:marBottom w:val="0"/>
              <w:divBdr>
                <w:top w:val="none" w:sz="0" w:space="0" w:color="auto"/>
                <w:left w:val="none" w:sz="0" w:space="0" w:color="auto"/>
                <w:bottom w:val="none" w:sz="0" w:space="0" w:color="auto"/>
                <w:right w:val="none" w:sz="0" w:space="0" w:color="auto"/>
              </w:divBdr>
            </w:div>
          </w:divsChild>
        </w:div>
        <w:div w:id="44644323">
          <w:marLeft w:val="0"/>
          <w:marRight w:val="0"/>
          <w:marTop w:val="0"/>
          <w:marBottom w:val="0"/>
          <w:divBdr>
            <w:top w:val="none" w:sz="0" w:space="0" w:color="auto"/>
            <w:left w:val="none" w:sz="0" w:space="0" w:color="auto"/>
            <w:bottom w:val="none" w:sz="0" w:space="0" w:color="auto"/>
            <w:right w:val="none" w:sz="0" w:space="0" w:color="auto"/>
          </w:divBdr>
          <w:divsChild>
            <w:div w:id="1662274772">
              <w:marLeft w:val="0"/>
              <w:marRight w:val="0"/>
              <w:marTop w:val="0"/>
              <w:marBottom w:val="0"/>
              <w:divBdr>
                <w:top w:val="none" w:sz="0" w:space="0" w:color="auto"/>
                <w:left w:val="none" w:sz="0" w:space="0" w:color="auto"/>
                <w:bottom w:val="none" w:sz="0" w:space="0" w:color="auto"/>
                <w:right w:val="none" w:sz="0" w:space="0" w:color="auto"/>
              </w:divBdr>
            </w:div>
          </w:divsChild>
        </w:div>
        <w:div w:id="49959443">
          <w:marLeft w:val="0"/>
          <w:marRight w:val="0"/>
          <w:marTop w:val="0"/>
          <w:marBottom w:val="0"/>
          <w:divBdr>
            <w:top w:val="none" w:sz="0" w:space="0" w:color="auto"/>
            <w:left w:val="none" w:sz="0" w:space="0" w:color="auto"/>
            <w:bottom w:val="none" w:sz="0" w:space="0" w:color="auto"/>
            <w:right w:val="none" w:sz="0" w:space="0" w:color="auto"/>
          </w:divBdr>
          <w:divsChild>
            <w:div w:id="2085763036">
              <w:marLeft w:val="0"/>
              <w:marRight w:val="0"/>
              <w:marTop w:val="0"/>
              <w:marBottom w:val="0"/>
              <w:divBdr>
                <w:top w:val="none" w:sz="0" w:space="0" w:color="auto"/>
                <w:left w:val="none" w:sz="0" w:space="0" w:color="auto"/>
                <w:bottom w:val="none" w:sz="0" w:space="0" w:color="auto"/>
                <w:right w:val="none" w:sz="0" w:space="0" w:color="auto"/>
              </w:divBdr>
            </w:div>
          </w:divsChild>
        </w:div>
        <w:div w:id="52197853">
          <w:marLeft w:val="0"/>
          <w:marRight w:val="0"/>
          <w:marTop w:val="0"/>
          <w:marBottom w:val="0"/>
          <w:divBdr>
            <w:top w:val="none" w:sz="0" w:space="0" w:color="auto"/>
            <w:left w:val="none" w:sz="0" w:space="0" w:color="auto"/>
            <w:bottom w:val="none" w:sz="0" w:space="0" w:color="auto"/>
            <w:right w:val="none" w:sz="0" w:space="0" w:color="auto"/>
          </w:divBdr>
          <w:divsChild>
            <w:div w:id="1176458202">
              <w:marLeft w:val="0"/>
              <w:marRight w:val="0"/>
              <w:marTop w:val="0"/>
              <w:marBottom w:val="0"/>
              <w:divBdr>
                <w:top w:val="none" w:sz="0" w:space="0" w:color="auto"/>
                <w:left w:val="none" w:sz="0" w:space="0" w:color="auto"/>
                <w:bottom w:val="none" w:sz="0" w:space="0" w:color="auto"/>
                <w:right w:val="none" w:sz="0" w:space="0" w:color="auto"/>
              </w:divBdr>
            </w:div>
          </w:divsChild>
        </w:div>
        <w:div w:id="54934991">
          <w:marLeft w:val="0"/>
          <w:marRight w:val="0"/>
          <w:marTop w:val="0"/>
          <w:marBottom w:val="0"/>
          <w:divBdr>
            <w:top w:val="none" w:sz="0" w:space="0" w:color="auto"/>
            <w:left w:val="none" w:sz="0" w:space="0" w:color="auto"/>
            <w:bottom w:val="none" w:sz="0" w:space="0" w:color="auto"/>
            <w:right w:val="none" w:sz="0" w:space="0" w:color="auto"/>
          </w:divBdr>
          <w:divsChild>
            <w:div w:id="2069496288">
              <w:marLeft w:val="0"/>
              <w:marRight w:val="0"/>
              <w:marTop w:val="0"/>
              <w:marBottom w:val="0"/>
              <w:divBdr>
                <w:top w:val="none" w:sz="0" w:space="0" w:color="auto"/>
                <w:left w:val="none" w:sz="0" w:space="0" w:color="auto"/>
                <w:bottom w:val="none" w:sz="0" w:space="0" w:color="auto"/>
                <w:right w:val="none" w:sz="0" w:space="0" w:color="auto"/>
              </w:divBdr>
            </w:div>
          </w:divsChild>
        </w:div>
        <w:div w:id="56125515">
          <w:marLeft w:val="0"/>
          <w:marRight w:val="0"/>
          <w:marTop w:val="0"/>
          <w:marBottom w:val="0"/>
          <w:divBdr>
            <w:top w:val="none" w:sz="0" w:space="0" w:color="auto"/>
            <w:left w:val="none" w:sz="0" w:space="0" w:color="auto"/>
            <w:bottom w:val="none" w:sz="0" w:space="0" w:color="auto"/>
            <w:right w:val="none" w:sz="0" w:space="0" w:color="auto"/>
          </w:divBdr>
          <w:divsChild>
            <w:div w:id="1125612276">
              <w:marLeft w:val="0"/>
              <w:marRight w:val="0"/>
              <w:marTop w:val="0"/>
              <w:marBottom w:val="0"/>
              <w:divBdr>
                <w:top w:val="none" w:sz="0" w:space="0" w:color="auto"/>
                <w:left w:val="none" w:sz="0" w:space="0" w:color="auto"/>
                <w:bottom w:val="none" w:sz="0" w:space="0" w:color="auto"/>
                <w:right w:val="none" w:sz="0" w:space="0" w:color="auto"/>
              </w:divBdr>
            </w:div>
          </w:divsChild>
        </w:div>
        <w:div w:id="56368580">
          <w:marLeft w:val="0"/>
          <w:marRight w:val="0"/>
          <w:marTop w:val="0"/>
          <w:marBottom w:val="0"/>
          <w:divBdr>
            <w:top w:val="none" w:sz="0" w:space="0" w:color="auto"/>
            <w:left w:val="none" w:sz="0" w:space="0" w:color="auto"/>
            <w:bottom w:val="none" w:sz="0" w:space="0" w:color="auto"/>
            <w:right w:val="none" w:sz="0" w:space="0" w:color="auto"/>
          </w:divBdr>
          <w:divsChild>
            <w:div w:id="424115659">
              <w:marLeft w:val="0"/>
              <w:marRight w:val="0"/>
              <w:marTop w:val="0"/>
              <w:marBottom w:val="0"/>
              <w:divBdr>
                <w:top w:val="none" w:sz="0" w:space="0" w:color="auto"/>
                <w:left w:val="none" w:sz="0" w:space="0" w:color="auto"/>
                <w:bottom w:val="none" w:sz="0" w:space="0" w:color="auto"/>
                <w:right w:val="none" w:sz="0" w:space="0" w:color="auto"/>
              </w:divBdr>
            </w:div>
          </w:divsChild>
        </w:div>
        <w:div w:id="58596083">
          <w:marLeft w:val="0"/>
          <w:marRight w:val="0"/>
          <w:marTop w:val="0"/>
          <w:marBottom w:val="0"/>
          <w:divBdr>
            <w:top w:val="none" w:sz="0" w:space="0" w:color="auto"/>
            <w:left w:val="none" w:sz="0" w:space="0" w:color="auto"/>
            <w:bottom w:val="none" w:sz="0" w:space="0" w:color="auto"/>
            <w:right w:val="none" w:sz="0" w:space="0" w:color="auto"/>
          </w:divBdr>
          <w:divsChild>
            <w:div w:id="1793549559">
              <w:marLeft w:val="0"/>
              <w:marRight w:val="0"/>
              <w:marTop w:val="0"/>
              <w:marBottom w:val="0"/>
              <w:divBdr>
                <w:top w:val="none" w:sz="0" w:space="0" w:color="auto"/>
                <w:left w:val="none" w:sz="0" w:space="0" w:color="auto"/>
                <w:bottom w:val="none" w:sz="0" w:space="0" w:color="auto"/>
                <w:right w:val="none" w:sz="0" w:space="0" w:color="auto"/>
              </w:divBdr>
            </w:div>
          </w:divsChild>
        </w:div>
        <w:div w:id="59795474">
          <w:marLeft w:val="0"/>
          <w:marRight w:val="0"/>
          <w:marTop w:val="0"/>
          <w:marBottom w:val="0"/>
          <w:divBdr>
            <w:top w:val="none" w:sz="0" w:space="0" w:color="auto"/>
            <w:left w:val="none" w:sz="0" w:space="0" w:color="auto"/>
            <w:bottom w:val="none" w:sz="0" w:space="0" w:color="auto"/>
            <w:right w:val="none" w:sz="0" w:space="0" w:color="auto"/>
          </w:divBdr>
          <w:divsChild>
            <w:div w:id="1931544159">
              <w:marLeft w:val="0"/>
              <w:marRight w:val="0"/>
              <w:marTop w:val="0"/>
              <w:marBottom w:val="0"/>
              <w:divBdr>
                <w:top w:val="none" w:sz="0" w:space="0" w:color="auto"/>
                <w:left w:val="none" w:sz="0" w:space="0" w:color="auto"/>
                <w:bottom w:val="none" w:sz="0" w:space="0" w:color="auto"/>
                <w:right w:val="none" w:sz="0" w:space="0" w:color="auto"/>
              </w:divBdr>
            </w:div>
          </w:divsChild>
        </w:div>
        <w:div w:id="61221477">
          <w:marLeft w:val="0"/>
          <w:marRight w:val="0"/>
          <w:marTop w:val="0"/>
          <w:marBottom w:val="0"/>
          <w:divBdr>
            <w:top w:val="none" w:sz="0" w:space="0" w:color="auto"/>
            <w:left w:val="none" w:sz="0" w:space="0" w:color="auto"/>
            <w:bottom w:val="none" w:sz="0" w:space="0" w:color="auto"/>
            <w:right w:val="none" w:sz="0" w:space="0" w:color="auto"/>
          </w:divBdr>
          <w:divsChild>
            <w:div w:id="1537698023">
              <w:marLeft w:val="0"/>
              <w:marRight w:val="0"/>
              <w:marTop w:val="0"/>
              <w:marBottom w:val="0"/>
              <w:divBdr>
                <w:top w:val="none" w:sz="0" w:space="0" w:color="auto"/>
                <w:left w:val="none" w:sz="0" w:space="0" w:color="auto"/>
                <w:bottom w:val="none" w:sz="0" w:space="0" w:color="auto"/>
                <w:right w:val="none" w:sz="0" w:space="0" w:color="auto"/>
              </w:divBdr>
            </w:div>
          </w:divsChild>
        </w:div>
        <w:div w:id="61681347">
          <w:marLeft w:val="0"/>
          <w:marRight w:val="0"/>
          <w:marTop w:val="0"/>
          <w:marBottom w:val="0"/>
          <w:divBdr>
            <w:top w:val="none" w:sz="0" w:space="0" w:color="auto"/>
            <w:left w:val="none" w:sz="0" w:space="0" w:color="auto"/>
            <w:bottom w:val="none" w:sz="0" w:space="0" w:color="auto"/>
            <w:right w:val="none" w:sz="0" w:space="0" w:color="auto"/>
          </w:divBdr>
          <w:divsChild>
            <w:div w:id="1423063524">
              <w:marLeft w:val="0"/>
              <w:marRight w:val="0"/>
              <w:marTop w:val="0"/>
              <w:marBottom w:val="0"/>
              <w:divBdr>
                <w:top w:val="none" w:sz="0" w:space="0" w:color="auto"/>
                <w:left w:val="none" w:sz="0" w:space="0" w:color="auto"/>
                <w:bottom w:val="none" w:sz="0" w:space="0" w:color="auto"/>
                <w:right w:val="none" w:sz="0" w:space="0" w:color="auto"/>
              </w:divBdr>
            </w:div>
          </w:divsChild>
        </w:div>
        <w:div w:id="61683499">
          <w:marLeft w:val="0"/>
          <w:marRight w:val="0"/>
          <w:marTop w:val="0"/>
          <w:marBottom w:val="0"/>
          <w:divBdr>
            <w:top w:val="none" w:sz="0" w:space="0" w:color="auto"/>
            <w:left w:val="none" w:sz="0" w:space="0" w:color="auto"/>
            <w:bottom w:val="none" w:sz="0" w:space="0" w:color="auto"/>
            <w:right w:val="none" w:sz="0" w:space="0" w:color="auto"/>
          </w:divBdr>
          <w:divsChild>
            <w:div w:id="1137451027">
              <w:marLeft w:val="0"/>
              <w:marRight w:val="0"/>
              <w:marTop w:val="0"/>
              <w:marBottom w:val="0"/>
              <w:divBdr>
                <w:top w:val="none" w:sz="0" w:space="0" w:color="auto"/>
                <w:left w:val="none" w:sz="0" w:space="0" w:color="auto"/>
                <w:bottom w:val="none" w:sz="0" w:space="0" w:color="auto"/>
                <w:right w:val="none" w:sz="0" w:space="0" w:color="auto"/>
              </w:divBdr>
            </w:div>
          </w:divsChild>
        </w:div>
        <w:div w:id="64110443">
          <w:marLeft w:val="0"/>
          <w:marRight w:val="0"/>
          <w:marTop w:val="0"/>
          <w:marBottom w:val="0"/>
          <w:divBdr>
            <w:top w:val="none" w:sz="0" w:space="0" w:color="auto"/>
            <w:left w:val="none" w:sz="0" w:space="0" w:color="auto"/>
            <w:bottom w:val="none" w:sz="0" w:space="0" w:color="auto"/>
            <w:right w:val="none" w:sz="0" w:space="0" w:color="auto"/>
          </w:divBdr>
          <w:divsChild>
            <w:div w:id="1615868404">
              <w:marLeft w:val="0"/>
              <w:marRight w:val="0"/>
              <w:marTop w:val="0"/>
              <w:marBottom w:val="0"/>
              <w:divBdr>
                <w:top w:val="none" w:sz="0" w:space="0" w:color="auto"/>
                <w:left w:val="none" w:sz="0" w:space="0" w:color="auto"/>
                <w:bottom w:val="none" w:sz="0" w:space="0" w:color="auto"/>
                <w:right w:val="none" w:sz="0" w:space="0" w:color="auto"/>
              </w:divBdr>
            </w:div>
          </w:divsChild>
        </w:div>
        <w:div w:id="66539171">
          <w:marLeft w:val="0"/>
          <w:marRight w:val="0"/>
          <w:marTop w:val="0"/>
          <w:marBottom w:val="0"/>
          <w:divBdr>
            <w:top w:val="none" w:sz="0" w:space="0" w:color="auto"/>
            <w:left w:val="none" w:sz="0" w:space="0" w:color="auto"/>
            <w:bottom w:val="none" w:sz="0" w:space="0" w:color="auto"/>
            <w:right w:val="none" w:sz="0" w:space="0" w:color="auto"/>
          </w:divBdr>
          <w:divsChild>
            <w:div w:id="546912687">
              <w:marLeft w:val="0"/>
              <w:marRight w:val="0"/>
              <w:marTop w:val="0"/>
              <w:marBottom w:val="0"/>
              <w:divBdr>
                <w:top w:val="none" w:sz="0" w:space="0" w:color="auto"/>
                <w:left w:val="none" w:sz="0" w:space="0" w:color="auto"/>
                <w:bottom w:val="none" w:sz="0" w:space="0" w:color="auto"/>
                <w:right w:val="none" w:sz="0" w:space="0" w:color="auto"/>
              </w:divBdr>
            </w:div>
          </w:divsChild>
        </w:div>
        <w:div w:id="68891445">
          <w:marLeft w:val="0"/>
          <w:marRight w:val="0"/>
          <w:marTop w:val="0"/>
          <w:marBottom w:val="0"/>
          <w:divBdr>
            <w:top w:val="none" w:sz="0" w:space="0" w:color="auto"/>
            <w:left w:val="none" w:sz="0" w:space="0" w:color="auto"/>
            <w:bottom w:val="none" w:sz="0" w:space="0" w:color="auto"/>
            <w:right w:val="none" w:sz="0" w:space="0" w:color="auto"/>
          </w:divBdr>
          <w:divsChild>
            <w:div w:id="116070889">
              <w:marLeft w:val="0"/>
              <w:marRight w:val="0"/>
              <w:marTop w:val="0"/>
              <w:marBottom w:val="0"/>
              <w:divBdr>
                <w:top w:val="none" w:sz="0" w:space="0" w:color="auto"/>
                <w:left w:val="none" w:sz="0" w:space="0" w:color="auto"/>
                <w:bottom w:val="none" w:sz="0" w:space="0" w:color="auto"/>
                <w:right w:val="none" w:sz="0" w:space="0" w:color="auto"/>
              </w:divBdr>
            </w:div>
          </w:divsChild>
        </w:div>
        <w:div w:id="69812713">
          <w:marLeft w:val="0"/>
          <w:marRight w:val="0"/>
          <w:marTop w:val="0"/>
          <w:marBottom w:val="0"/>
          <w:divBdr>
            <w:top w:val="none" w:sz="0" w:space="0" w:color="auto"/>
            <w:left w:val="none" w:sz="0" w:space="0" w:color="auto"/>
            <w:bottom w:val="none" w:sz="0" w:space="0" w:color="auto"/>
            <w:right w:val="none" w:sz="0" w:space="0" w:color="auto"/>
          </w:divBdr>
          <w:divsChild>
            <w:div w:id="593782768">
              <w:marLeft w:val="0"/>
              <w:marRight w:val="0"/>
              <w:marTop w:val="0"/>
              <w:marBottom w:val="0"/>
              <w:divBdr>
                <w:top w:val="none" w:sz="0" w:space="0" w:color="auto"/>
                <w:left w:val="none" w:sz="0" w:space="0" w:color="auto"/>
                <w:bottom w:val="none" w:sz="0" w:space="0" w:color="auto"/>
                <w:right w:val="none" w:sz="0" w:space="0" w:color="auto"/>
              </w:divBdr>
            </w:div>
          </w:divsChild>
        </w:div>
        <w:div w:id="70737104">
          <w:marLeft w:val="0"/>
          <w:marRight w:val="0"/>
          <w:marTop w:val="0"/>
          <w:marBottom w:val="0"/>
          <w:divBdr>
            <w:top w:val="none" w:sz="0" w:space="0" w:color="auto"/>
            <w:left w:val="none" w:sz="0" w:space="0" w:color="auto"/>
            <w:bottom w:val="none" w:sz="0" w:space="0" w:color="auto"/>
            <w:right w:val="none" w:sz="0" w:space="0" w:color="auto"/>
          </w:divBdr>
          <w:divsChild>
            <w:div w:id="2070764384">
              <w:marLeft w:val="0"/>
              <w:marRight w:val="0"/>
              <w:marTop w:val="0"/>
              <w:marBottom w:val="0"/>
              <w:divBdr>
                <w:top w:val="none" w:sz="0" w:space="0" w:color="auto"/>
                <w:left w:val="none" w:sz="0" w:space="0" w:color="auto"/>
                <w:bottom w:val="none" w:sz="0" w:space="0" w:color="auto"/>
                <w:right w:val="none" w:sz="0" w:space="0" w:color="auto"/>
              </w:divBdr>
            </w:div>
          </w:divsChild>
        </w:div>
        <w:div w:id="72820746">
          <w:marLeft w:val="0"/>
          <w:marRight w:val="0"/>
          <w:marTop w:val="0"/>
          <w:marBottom w:val="0"/>
          <w:divBdr>
            <w:top w:val="none" w:sz="0" w:space="0" w:color="auto"/>
            <w:left w:val="none" w:sz="0" w:space="0" w:color="auto"/>
            <w:bottom w:val="none" w:sz="0" w:space="0" w:color="auto"/>
            <w:right w:val="none" w:sz="0" w:space="0" w:color="auto"/>
          </w:divBdr>
          <w:divsChild>
            <w:div w:id="1071538593">
              <w:marLeft w:val="0"/>
              <w:marRight w:val="0"/>
              <w:marTop w:val="0"/>
              <w:marBottom w:val="0"/>
              <w:divBdr>
                <w:top w:val="none" w:sz="0" w:space="0" w:color="auto"/>
                <w:left w:val="none" w:sz="0" w:space="0" w:color="auto"/>
                <w:bottom w:val="none" w:sz="0" w:space="0" w:color="auto"/>
                <w:right w:val="none" w:sz="0" w:space="0" w:color="auto"/>
              </w:divBdr>
            </w:div>
          </w:divsChild>
        </w:div>
        <w:div w:id="74594927">
          <w:marLeft w:val="0"/>
          <w:marRight w:val="0"/>
          <w:marTop w:val="0"/>
          <w:marBottom w:val="0"/>
          <w:divBdr>
            <w:top w:val="none" w:sz="0" w:space="0" w:color="auto"/>
            <w:left w:val="none" w:sz="0" w:space="0" w:color="auto"/>
            <w:bottom w:val="none" w:sz="0" w:space="0" w:color="auto"/>
            <w:right w:val="none" w:sz="0" w:space="0" w:color="auto"/>
          </w:divBdr>
          <w:divsChild>
            <w:div w:id="1398361470">
              <w:marLeft w:val="0"/>
              <w:marRight w:val="0"/>
              <w:marTop w:val="0"/>
              <w:marBottom w:val="0"/>
              <w:divBdr>
                <w:top w:val="none" w:sz="0" w:space="0" w:color="auto"/>
                <w:left w:val="none" w:sz="0" w:space="0" w:color="auto"/>
                <w:bottom w:val="none" w:sz="0" w:space="0" w:color="auto"/>
                <w:right w:val="none" w:sz="0" w:space="0" w:color="auto"/>
              </w:divBdr>
            </w:div>
          </w:divsChild>
        </w:div>
        <w:div w:id="77795094">
          <w:marLeft w:val="0"/>
          <w:marRight w:val="0"/>
          <w:marTop w:val="0"/>
          <w:marBottom w:val="0"/>
          <w:divBdr>
            <w:top w:val="none" w:sz="0" w:space="0" w:color="auto"/>
            <w:left w:val="none" w:sz="0" w:space="0" w:color="auto"/>
            <w:bottom w:val="none" w:sz="0" w:space="0" w:color="auto"/>
            <w:right w:val="none" w:sz="0" w:space="0" w:color="auto"/>
          </w:divBdr>
          <w:divsChild>
            <w:div w:id="2010403245">
              <w:marLeft w:val="0"/>
              <w:marRight w:val="0"/>
              <w:marTop w:val="0"/>
              <w:marBottom w:val="0"/>
              <w:divBdr>
                <w:top w:val="none" w:sz="0" w:space="0" w:color="auto"/>
                <w:left w:val="none" w:sz="0" w:space="0" w:color="auto"/>
                <w:bottom w:val="none" w:sz="0" w:space="0" w:color="auto"/>
                <w:right w:val="none" w:sz="0" w:space="0" w:color="auto"/>
              </w:divBdr>
            </w:div>
          </w:divsChild>
        </w:div>
        <w:div w:id="78723023">
          <w:marLeft w:val="0"/>
          <w:marRight w:val="0"/>
          <w:marTop w:val="0"/>
          <w:marBottom w:val="0"/>
          <w:divBdr>
            <w:top w:val="none" w:sz="0" w:space="0" w:color="auto"/>
            <w:left w:val="none" w:sz="0" w:space="0" w:color="auto"/>
            <w:bottom w:val="none" w:sz="0" w:space="0" w:color="auto"/>
            <w:right w:val="none" w:sz="0" w:space="0" w:color="auto"/>
          </w:divBdr>
          <w:divsChild>
            <w:div w:id="1676956071">
              <w:marLeft w:val="0"/>
              <w:marRight w:val="0"/>
              <w:marTop w:val="0"/>
              <w:marBottom w:val="0"/>
              <w:divBdr>
                <w:top w:val="none" w:sz="0" w:space="0" w:color="auto"/>
                <w:left w:val="none" w:sz="0" w:space="0" w:color="auto"/>
                <w:bottom w:val="none" w:sz="0" w:space="0" w:color="auto"/>
                <w:right w:val="none" w:sz="0" w:space="0" w:color="auto"/>
              </w:divBdr>
            </w:div>
          </w:divsChild>
        </w:div>
        <w:div w:id="80681717">
          <w:marLeft w:val="0"/>
          <w:marRight w:val="0"/>
          <w:marTop w:val="0"/>
          <w:marBottom w:val="0"/>
          <w:divBdr>
            <w:top w:val="none" w:sz="0" w:space="0" w:color="auto"/>
            <w:left w:val="none" w:sz="0" w:space="0" w:color="auto"/>
            <w:bottom w:val="none" w:sz="0" w:space="0" w:color="auto"/>
            <w:right w:val="none" w:sz="0" w:space="0" w:color="auto"/>
          </w:divBdr>
          <w:divsChild>
            <w:div w:id="377047115">
              <w:marLeft w:val="0"/>
              <w:marRight w:val="0"/>
              <w:marTop w:val="0"/>
              <w:marBottom w:val="0"/>
              <w:divBdr>
                <w:top w:val="none" w:sz="0" w:space="0" w:color="auto"/>
                <w:left w:val="none" w:sz="0" w:space="0" w:color="auto"/>
                <w:bottom w:val="none" w:sz="0" w:space="0" w:color="auto"/>
                <w:right w:val="none" w:sz="0" w:space="0" w:color="auto"/>
              </w:divBdr>
            </w:div>
          </w:divsChild>
        </w:div>
        <w:div w:id="86273479">
          <w:marLeft w:val="0"/>
          <w:marRight w:val="0"/>
          <w:marTop w:val="0"/>
          <w:marBottom w:val="0"/>
          <w:divBdr>
            <w:top w:val="none" w:sz="0" w:space="0" w:color="auto"/>
            <w:left w:val="none" w:sz="0" w:space="0" w:color="auto"/>
            <w:bottom w:val="none" w:sz="0" w:space="0" w:color="auto"/>
            <w:right w:val="none" w:sz="0" w:space="0" w:color="auto"/>
          </w:divBdr>
          <w:divsChild>
            <w:div w:id="1599018199">
              <w:marLeft w:val="0"/>
              <w:marRight w:val="0"/>
              <w:marTop w:val="0"/>
              <w:marBottom w:val="0"/>
              <w:divBdr>
                <w:top w:val="none" w:sz="0" w:space="0" w:color="auto"/>
                <w:left w:val="none" w:sz="0" w:space="0" w:color="auto"/>
                <w:bottom w:val="none" w:sz="0" w:space="0" w:color="auto"/>
                <w:right w:val="none" w:sz="0" w:space="0" w:color="auto"/>
              </w:divBdr>
            </w:div>
          </w:divsChild>
        </w:div>
        <w:div w:id="87848858">
          <w:marLeft w:val="0"/>
          <w:marRight w:val="0"/>
          <w:marTop w:val="0"/>
          <w:marBottom w:val="0"/>
          <w:divBdr>
            <w:top w:val="none" w:sz="0" w:space="0" w:color="auto"/>
            <w:left w:val="none" w:sz="0" w:space="0" w:color="auto"/>
            <w:bottom w:val="none" w:sz="0" w:space="0" w:color="auto"/>
            <w:right w:val="none" w:sz="0" w:space="0" w:color="auto"/>
          </w:divBdr>
          <w:divsChild>
            <w:div w:id="2083671639">
              <w:marLeft w:val="0"/>
              <w:marRight w:val="0"/>
              <w:marTop w:val="0"/>
              <w:marBottom w:val="0"/>
              <w:divBdr>
                <w:top w:val="none" w:sz="0" w:space="0" w:color="auto"/>
                <w:left w:val="none" w:sz="0" w:space="0" w:color="auto"/>
                <w:bottom w:val="none" w:sz="0" w:space="0" w:color="auto"/>
                <w:right w:val="none" w:sz="0" w:space="0" w:color="auto"/>
              </w:divBdr>
            </w:div>
          </w:divsChild>
        </w:div>
        <w:div w:id="90200411">
          <w:marLeft w:val="0"/>
          <w:marRight w:val="0"/>
          <w:marTop w:val="0"/>
          <w:marBottom w:val="0"/>
          <w:divBdr>
            <w:top w:val="none" w:sz="0" w:space="0" w:color="auto"/>
            <w:left w:val="none" w:sz="0" w:space="0" w:color="auto"/>
            <w:bottom w:val="none" w:sz="0" w:space="0" w:color="auto"/>
            <w:right w:val="none" w:sz="0" w:space="0" w:color="auto"/>
          </w:divBdr>
          <w:divsChild>
            <w:div w:id="651711370">
              <w:marLeft w:val="0"/>
              <w:marRight w:val="0"/>
              <w:marTop w:val="0"/>
              <w:marBottom w:val="0"/>
              <w:divBdr>
                <w:top w:val="none" w:sz="0" w:space="0" w:color="auto"/>
                <w:left w:val="none" w:sz="0" w:space="0" w:color="auto"/>
                <w:bottom w:val="none" w:sz="0" w:space="0" w:color="auto"/>
                <w:right w:val="none" w:sz="0" w:space="0" w:color="auto"/>
              </w:divBdr>
            </w:div>
          </w:divsChild>
        </w:div>
        <w:div w:id="109860215">
          <w:marLeft w:val="0"/>
          <w:marRight w:val="0"/>
          <w:marTop w:val="0"/>
          <w:marBottom w:val="0"/>
          <w:divBdr>
            <w:top w:val="none" w:sz="0" w:space="0" w:color="auto"/>
            <w:left w:val="none" w:sz="0" w:space="0" w:color="auto"/>
            <w:bottom w:val="none" w:sz="0" w:space="0" w:color="auto"/>
            <w:right w:val="none" w:sz="0" w:space="0" w:color="auto"/>
          </w:divBdr>
          <w:divsChild>
            <w:div w:id="1924140437">
              <w:marLeft w:val="0"/>
              <w:marRight w:val="0"/>
              <w:marTop w:val="0"/>
              <w:marBottom w:val="0"/>
              <w:divBdr>
                <w:top w:val="none" w:sz="0" w:space="0" w:color="auto"/>
                <w:left w:val="none" w:sz="0" w:space="0" w:color="auto"/>
                <w:bottom w:val="none" w:sz="0" w:space="0" w:color="auto"/>
                <w:right w:val="none" w:sz="0" w:space="0" w:color="auto"/>
              </w:divBdr>
            </w:div>
          </w:divsChild>
        </w:div>
        <w:div w:id="112332309">
          <w:marLeft w:val="0"/>
          <w:marRight w:val="0"/>
          <w:marTop w:val="0"/>
          <w:marBottom w:val="0"/>
          <w:divBdr>
            <w:top w:val="none" w:sz="0" w:space="0" w:color="auto"/>
            <w:left w:val="none" w:sz="0" w:space="0" w:color="auto"/>
            <w:bottom w:val="none" w:sz="0" w:space="0" w:color="auto"/>
            <w:right w:val="none" w:sz="0" w:space="0" w:color="auto"/>
          </w:divBdr>
          <w:divsChild>
            <w:div w:id="891766122">
              <w:marLeft w:val="0"/>
              <w:marRight w:val="0"/>
              <w:marTop w:val="0"/>
              <w:marBottom w:val="0"/>
              <w:divBdr>
                <w:top w:val="none" w:sz="0" w:space="0" w:color="auto"/>
                <w:left w:val="none" w:sz="0" w:space="0" w:color="auto"/>
                <w:bottom w:val="none" w:sz="0" w:space="0" w:color="auto"/>
                <w:right w:val="none" w:sz="0" w:space="0" w:color="auto"/>
              </w:divBdr>
            </w:div>
          </w:divsChild>
        </w:div>
        <w:div w:id="112596853">
          <w:marLeft w:val="0"/>
          <w:marRight w:val="0"/>
          <w:marTop w:val="0"/>
          <w:marBottom w:val="0"/>
          <w:divBdr>
            <w:top w:val="none" w:sz="0" w:space="0" w:color="auto"/>
            <w:left w:val="none" w:sz="0" w:space="0" w:color="auto"/>
            <w:bottom w:val="none" w:sz="0" w:space="0" w:color="auto"/>
            <w:right w:val="none" w:sz="0" w:space="0" w:color="auto"/>
          </w:divBdr>
          <w:divsChild>
            <w:div w:id="636371556">
              <w:marLeft w:val="0"/>
              <w:marRight w:val="0"/>
              <w:marTop w:val="0"/>
              <w:marBottom w:val="0"/>
              <w:divBdr>
                <w:top w:val="none" w:sz="0" w:space="0" w:color="auto"/>
                <w:left w:val="none" w:sz="0" w:space="0" w:color="auto"/>
                <w:bottom w:val="none" w:sz="0" w:space="0" w:color="auto"/>
                <w:right w:val="none" w:sz="0" w:space="0" w:color="auto"/>
              </w:divBdr>
            </w:div>
          </w:divsChild>
        </w:div>
        <w:div w:id="113332779">
          <w:marLeft w:val="0"/>
          <w:marRight w:val="0"/>
          <w:marTop w:val="0"/>
          <w:marBottom w:val="0"/>
          <w:divBdr>
            <w:top w:val="none" w:sz="0" w:space="0" w:color="auto"/>
            <w:left w:val="none" w:sz="0" w:space="0" w:color="auto"/>
            <w:bottom w:val="none" w:sz="0" w:space="0" w:color="auto"/>
            <w:right w:val="none" w:sz="0" w:space="0" w:color="auto"/>
          </w:divBdr>
          <w:divsChild>
            <w:div w:id="1759056587">
              <w:marLeft w:val="0"/>
              <w:marRight w:val="0"/>
              <w:marTop w:val="0"/>
              <w:marBottom w:val="0"/>
              <w:divBdr>
                <w:top w:val="none" w:sz="0" w:space="0" w:color="auto"/>
                <w:left w:val="none" w:sz="0" w:space="0" w:color="auto"/>
                <w:bottom w:val="none" w:sz="0" w:space="0" w:color="auto"/>
                <w:right w:val="none" w:sz="0" w:space="0" w:color="auto"/>
              </w:divBdr>
            </w:div>
          </w:divsChild>
        </w:div>
        <w:div w:id="118496483">
          <w:marLeft w:val="0"/>
          <w:marRight w:val="0"/>
          <w:marTop w:val="0"/>
          <w:marBottom w:val="0"/>
          <w:divBdr>
            <w:top w:val="none" w:sz="0" w:space="0" w:color="auto"/>
            <w:left w:val="none" w:sz="0" w:space="0" w:color="auto"/>
            <w:bottom w:val="none" w:sz="0" w:space="0" w:color="auto"/>
            <w:right w:val="none" w:sz="0" w:space="0" w:color="auto"/>
          </w:divBdr>
          <w:divsChild>
            <w:div w:id="196504707">
              <w:marLeft w:val="0"/>
              <w:marRight w:val="0"/>
              <w:marTop w:val="0"/>
              <w:marBottom w:val="0"/>
              <w:divBdr>
                <w:top w:val="none" w:sz="0" w:space="0" w:color="auto"/>
                <w:left w:val="none" w:sz="0" w:space="0" w:color="auto"/>
                <w:bottom w:val="none" w:sz="0" w:space="0" w:color="auto"/>
                <w:right w:val="none" w:sz="0" w:space="0" w:color="auto"/>
              </w:divBdr>
            </w:div>
          </w:divsChild>
        </w:div>
        <w:div w:id="120996630">
          <w:marLeft w:val="0"/>
          <w:marRight w:val="0"/>
          <w:marTop w:val="0"/>
          <w:marBottom w:val="0"/>
          <w:divBdr>
            <w:top w:val="none" w:sz="0" w:space="0" w:color="auto"/>
            <w:left w:val="none" w:sz="0" w:space="0" w:color="auto"/>
            <w:bottom w:val="none" w:sz="0" w:space="0" w:color="auto"/>
            <w:right w:val="none" w:sz="0" w:space="0" w:color="auto"/>
          </w:divBdr>
          <w:divsChild>
            <w:div w:id="1292173669">
              <w:marLeft w:val="0"/>
              <w:marRight w:val="0"/>
              <w:marTop w:val="0"/>
              <w:marBottom w:val="0"/>
              <w:divBdr>
                <w:top w:val="none" w:sz="0" w:space="0" w:color="auto"/>
                <w:left w:val="none" w:sz="0" w:space="0" w:color="auto"/>
                <w:bottom w:val="none" w:sz="0" w:space="0" w:color="auto"/>
                <w:right w:val="none" w:sz="0" w:space="0" w:color="auto"/>
              </w:divBdr>
            </w:div>
          </w:divsChild>
        </w:div>
        <w:div w:id="121775947">
          <w:marLeft w:val="0"/>
          <w:marRight w:val="0"/>
          <w:marTop w:val="0"/>
          <w:marBottom w:val="0"/>
          <w:divBdr>
            <w:top w:val="none" w:sz="0" w:space="0" w:color="auto"/>
            <w:left w:val="none" w:sz="0" w:space="0" w:color="auto"/>
            <w:bottom w:val="none" w:sz="0" w:space="0" w:color="auto"/>
            <w:right w:val="none" w:sz="0" w:space="0" w:color="auto"/>
          </w:divBdr>
          <w:divsChild>
            <w:div w:id="741366403">
              <w:marLeft w:val="0"/>
              <w:marRight w:val="0"/>
              <w:marTop w:val="0"/>
              <w:marBottom w:val="0"/>
              <w:divBdr>
                <w:top w:val="none" w:sz="0" w:space="0" w:color="auto"/>
                <w:left w:val="none" w:sz="0" w:space="0" w:color="auto"/>
                <w:bottom w:val="none" w:sz="0" w:space="0" w:color="auto"/>
                <w:right w:val="none" w:sz="0" w:space="0" w:color="auto"/>
              </w:divBdr>
            </w:div>
          </w:divsChild>
        </w:div>
        <w:div w:id="124281716">
          <w:marLeft w:val="0"/>
          <w:marRight w:val="0"/>
          <w:marTop w:val="0"/>
          <w:marBottom w:val="0"/>
          <w:divBdr>
            <w:top w:val="none" w:sz="0" w:space="0" w:color="auto"/>
            <w:left w:val="none" w:sz="0" w:space="0" w:color="auto"/>
            <w:bottom w:val="none" w:sz="0" w:space="0" w:color="auto"/>
            <w:right w:val="none" w:sz="0" w:space="0" w:color="auto"/>
          </w:divBdr>
          <w:divsChild>
            <w:div w:id="142506600">
              <w:marLeft w:val="0"/>
              <w:marRight w:val="0"/>
              <w:marTop w:val="0"/>
              <w:marBottom w:val="0"/>
              <w:divBdr>
                <w:top w:val="none" w:sz="0" w:space="0" w:color="auto"/>
                <w:left w:val="none" w:sz="0" w:space="0" w:color="auto"/>
                <w:bottom w:val="none" w:sz="0" w:space="0" w:color="auto"/>
                <w:right w:val="none" w:sz="0" w:space="0" w:color="auto"/>
              </w:divBdr>
            </w:div>
          </w:divsChild>
        </w:div>
        <w:div w:id="124860864">
          <w:marLeft w:val="0"/>
          <w:marRight w:val="0"/>
          <w:marTop w:val="0"/>
          <w:marBottom w:val="0"/>
          <w:divBdr>
            <w:top w:val="none" w:sz="0" w:space="0" w:color="auto"/>
            <w:left w:val="none" w:sz="0" w:space="0" w:color="auto"/>
            <w:bottom w:val="none" w:sz="0" w:space="0" w:color="auto"/>
            <w:right w:val="none" w:sz="0" w:space="0" w:color="auto"/>
          </w:divBdr>
          <w:divsChild>
            <w:div w:id="965281285">
              <w:marLeft w:val="0"/>
              <w:marRight w:val="0"/>
              <w:marTop w:val="0"/>
              <w:marBottom w:val="0"/>
              <w:divBdr>
                <w:top w:val="none" w:sz="0" w:space="0" w:color="auto"/>
                <w:left w:val="none" w:sz="0" w:space="0" w:color="auto"/>
                <w:bottom w:val="none" w:sz="0" w:space="0" w:color="auto"/>
                <w:right w:val="none" w:sz="0" w:space="0" w:color="auto"/>
              </w:divBdr>
            </w:div>
          </w:divsChild>
        </w:div>
        <w:div w:id="129368458">
          <w:marLeft w:val="0"/>
          <w:marRight w:val="0"/>
          <w:marTop w:val="0"/>
          <w:marBottom w:val="0"/>
          <w:divBdr>
            <w:top w:val="none" w:sz="0" w:space="0" w:color="auto"/>
            <w:left w:val="none" w:sz="0" w:space="0" w:color="auto"/>
            <w:bottom w:val="none" w:sz="0" w:space="0" w:color="auto"/>
            <w:right w:val="none" w:sz="0" w:space="0" w:color="auto"/>
          </w:divBdr>
          <w:divsChild>
            <w:div w:id="1934126842">
              <w:marLeft w:val="0"/>
              <w:marRight w:val="0"/>
              <w:marTop w:val="0"/>
              <w:marBottom w:val="0"/>
              <w:divBdr>
                <w:top w:val="none" w:sz="0" w:space="0" w:color="auto"/>
                <w:left w:val="none" w:sz="0" w:space="0" w:color="auto"/>
                <w:bottom w:val="none" w:sz="0" w:space="0" w:color="auto"/>
                <w:right w:val="none" w:sz="0" w:space="0" w:color="auto"/>
              </w:divBdr>
            </w:div>
          </w:divsChild>
        </w:div>
        <w:div w:id="129516673">
          <w:marLeft w:val="0"/>
          <w:marRight w:val="0"/>
          <w:marTop w:val="0"/>
          <w:marBottom w:val="0"/>
          <w:divBdr>
            <w:top w:val="none" w:sz="0" w:space="0" w:color="auto"/>
            <w:left w:val="none" w:sz="0" w:space="0" w:color="auto"/>
            <w:bottom w:val="none" w:sz="0" w:space="0" w:color="auto"/>
            <w:right w:val="none" w:sz="0" w:space="0" w:color="auto"/>
          </w:divBdr>
          <w:divsChild>
            <w:div w:id="1087117484">
              <w:marLeft w:val="0"/>
              <w:marRight w:val="0"/>
              <w:marTop w:val="0"/>
              <w:marBottom w:val="0"/>
              <w:divBdr>
                <w:top w:val="none" w:sz="0" w:space="0" w:color="auto"/>
                <w:left w:val="none" w:sz="0" w:space="0" w:color="auto"/>
                <w:bottom w:val="none" w:sz="0" w:space="0" w:color="auto"/>
                <w:right w:val="none" w:sz="0" w:space="0" w:color="auto"/>
              </w:divBdr>
            </w:div>
          </w:divsChild>
        </w:div>
        <w:div w:id="135531084">
          <w:marLeft w:val="0"/>
          <w:marRight w:val="0"/>
          <w:marTop w:val="0"/>
          <w:marBottom w:val="0"/>
          <w:divBdr>
            <w:top w:val="none" w:sz="0" w:space="0" w:color="auto"/>
            <w:left w:val="none" w:sz="0" w:space="0" w:color="auto"/>
            <w:bottom w:val="none" w:sz="0" w:space="0" w:color="auto"/>
            <w:right w:val="none" w:sz="0" w:space="0" w:color="auto"/>
          </w:divBdr>
          <w:divsChild>
            <w:div w:id="1718702262">
              <w:marLeft w:val="0"/>
              <w:marRight w:val="0"/>
              <w:marTop w:val="0"/>
              <w:marBottom w:val="0"/>
              <w:divBdr>
                <w:top w:val="none" w:sz="0" w:space="0" w:color="auto"/>
                <w:left w:val="none" w:sz="0" w:space="0" w:color="auto"/>
                <w:bottom w:val="none" w:sz="0" w:space="0" w:color="auto"/>
                <w:right w:val="none" w:sz="0" w:space="0" w:color="auto"/>
              </w:divBdr>
            </w:div>
          </w:divsChild>
        </w:div>
        <w:div w:id="136529614">
          <w:marLeft w:val="0"/>
          <w:marRight w:val="0"/>
          <w:marTop w:val="0"/>
          <w:marBottom w:val="0"/>
          <w:divBdr>
            <w:top w:val="none" w:sz="0" w:space="0" w:color="auto"/>
            <w:left w:val="none" w:sz="0" w:space="0" w:color="auto"/>
            <w:bottom w:val="none" w:sz="0" w:space="0" w:color="auto"/>
            <w:right w:val="none" w:sz="0" w:space="0" w:color="auto"/>
          </w:divBdr>
          <w:divsChild>
            <w:div w:id="589655108">
              <w:marLeft w:val="0"/>
              <w:marRight w:val="0"/>
              <w:marTop w:val="0"/>
              <w:marBottom w:val="0"/>
              <w:divBdr>
                <w:top w:val="none" w:sz="0" w:space="0" w:color="auto"/>
                <w:left w:val="none" w:sz="0" w:space="0" w:color="auto"/>
                <w:bottom w:val="none" w:sz="0" w:space="0" w:color="auto"/>
                <w:right w:val="none" w:sz="0" w:space="0" w:color="auto"/>
              </w:divBdr>
            </w:div>
          </w:divsChild>
        </w:div>
        <w:div w:id="139542468">
          <w:marLeft w:val="0"/>
          <w:marRight w:val="0"/>
          <w:marTop w:val="0"/>
          <w:marBottom w:val="0"/>
          <w:divBdr>
            <w:top w:val="none" w:sz="0" w:space="0" w:color="auto"/>
            <w:left w:val="none" w:sz="0" w:space="0" w:color="auto"/>
            <w:bottom w:val="none" w:sz="0" w:space="0" w:color="auto"/>
            <w:right w:val="none" w:sz="0" w:space="0" w:color="auto"/>
          </w:divBdr>
          <w:divsChild>
            <w:div w:id="1380015217">
              <w:marLeft w:val="0"/>
              <w:marRight w:val="0"/>
              <w:marTop w:val="0"/>
              <w:marBottom w:val="0"/>
              <w:divBdr>
                <w:top w:val="none" w:sz="0" w:space="0" w:color="auto"/>
                <w:left w:val="none" w:sz="0" w:space="0" w:color="auto"/>
                <w:bottom w:val="none" w:sz="0" w:space="0" w:color="auto"/>
                <w:right w:val="none" w:sz="0" w:space="0" w:color="auto"/>
              </w:divBdr>
            </w:div>
          </w:divsChild>
        </w:div>
        <w:div w:id="140274693">
          <w:marLeft w:val="0"/>
          <w:marRight w:val="0"/>
          <w:marTop w:val="0"/>
          <w:marBottom w:val="0"/>
          <w:divBdr>
            <w:top w:val="none" w:sz="0" w:space="0" w:color="auto"/>
            <w:left w:val="none" w:sz="0" w:space="0" w:color="auto"/>
            <w:bottom w:val="none" w:sz="0" w:space="0" w:color="auto"/>
            <w:right w:val="none" w:sz="0" w:space="0" w:color="auto"/>
          </w:divBdr>
          <w:divsChild>
            <w:div w:id="1335841498">
              <w:marLeft w:val="0"/>
              <w:marRight w:val="0"/>
              <w:marTop w:val="0"/>
              <w:marBottom w:val="0"/>
              <w:divBdr>
                <w:top w:val="none" w:sz="0" w:space="0" w:color="auto"/>
                <w:left w:val="none" w:sz="0" w:space="0" w:color="auto"/>
                <w:bottom w:val="none" w:sz="0" w:space="0" w:color="auto"/>
                <w:right w:val="none" w:sz="0" w:space="0" w:color="auto"/>
              </w:divBdr>
            </w:div>
          </w:divsChild>
        </w:div>
        <w:div w:id="141581911">
          <w:marLeft w:val="0"/>
          <w:marRight w:val="0"/>
          <w:marTop w:val="0"/>
          <w:marBottom w:val="0"/>
          <w:divBdr>
            <w:top w:val="none" w:sz="0" w:space="0" w:color="auto"/>
            <w:left w:val="none" w:sz="0" w:space="0" w:color="auto"/>
            <w:bottom w:val="none" w:sz="0" w:space="0" w:color="auto"/>
            <w:right w:val="none" w:sz="0" w:space="0" w:color="auto"/>
          </w:divBdr>
          <w:divsChild>
            <w:div w:id="1992978513">
              <w:marLeft w:val="0"/>
              <w:marRight w:val="0"/>
              <w:marTop w:val="0"/>
              <w:marBottom w:val="0"/>
              <w:divBdr>
                <w:top w:val="none" w:sz="0" w:space="0" w:color="auto"/>
                <w:left w:val="none" w:sz="0" w:space="0" w:color="auto"/>
                <w:bottom w:val="none" w:sz="0" w:space="0" w:color="auto"/>
                <w:right w:val="none" w:sz="0" w:space="0" w:color="auto"/>
              </w:divBdr>
            </w:div>
          </w:divsChild>
        </w:div>
        <w:div w:id="147332785">
          <w:marLeft w:val="0"/>
          <w:marRight w:val="0"/>
          <w:marTop w:val="0"/>
          <w:marBottom w:val="0"/>
          <w:divBdr>
            <w:top w:val="none" w:sz="0" w:space="0" w:color="auto"/>
            <w:left w:val="none" w:sz="0" w:space="0" w:color="auto"/>
            <w:bottom w:val="none" w:sz="0" w:space="0" w:color="auto"/>
            <w:right w:val="none" w:sz="0" w:space="0" w:color="auto"/>
          </w:divBdr>
          <w:divsChild>
            <w:div w:id="612059722">
              <w:marLeft w:val="0"/>
              <w:marRight w:val="0"/>
              <w:marTop w:val="0"/>
              <w:marBottom w:val="0"/>
              <w:divBdr>
                <w:top w:val="none" w:sz="0" w:space="0" w:color="auto"/>
                <w:left w:val="none" w:sz="0" w:space="0" w:color="auto"/>
                <w:bottom w:val="none" w:sz="0" w:space="0" w:color="auto"/>
                <w:right w:val="none" w:sz="0" w:space="0" w:color="auto"/>
              </w:divBdr>
            </w:div>
          </w:divsChild>
        </w:div>
        <w:div w:id="147334261">
          <w:marLeft w:val="0"/>
          <w:marRight w:val="0"/>
          <w:marTop w:val="0"/>
          <w:marBottom w:val="0"/>
          <w:divBdr>
            <w:top w:val="none" w:sz="0" w:space="0" w:color="auto"/>
            <w:left w:val="none" w:sz="0" w:space="0" w:color="auto"/>
            <w:bottom w:val="none" w:sz="0" w:space="0" w:color="auto"/>
            <w:right w:val="none" w:sz="0" w:space="0" w:color="auto"/>
          </w:divBdr>
          <w:divsChild>
            <w:div w:id="965507558">
              <w:marLeft w:val="0"/>
              <w:marRight w:val="0"/>
              <w:marTop w:val="0"/>
              <w:marBottom w:val="0"/>
              <w:divBdr>
                <w:top w:val="none" w:sz="0" w:space="0" w:color="auto"/>
                <w:left w:val="none" w:sz="0" w:space="0" w:color="auto"/>
                <w:bottom w:val="none" w:sz="0" w:space="0" w:color="auto"/>
                <w:right w:val="none" w:sz="0" w:space="0" w:color="auto"/>
              </w:divBdr>
            </w:div>
          </w:divsChild>
        </w:div>
        <w:div w:id="148793094">
          <w:marLeft w:val="0"/>
          <w:marRight w:val="0"/>
          <w:marTop w:val="0"/>
          <w:marBottom w:val="0"/>
          <w:divBdr>
            <w:top w:val="none" w:sz="0" w:space="0" w:color="auto"/>
            <w:left w:val="none" w:sz="0" w:space="0" w:color="auto"/>
            <w:bottom w:val="none" w:sz="0" w:space="0" w:color="auto"/>
            <w:right w:val="none" w:sz="0" w:space="0" w:color="auto"/>
          </w:divBdr>
          <w:divsChild>
            <w:div w:id="1507133461">
              <w:marLeft w:val="0"/>
              <w:marRight w:val="0"/>
              <w:marTop w:val="0"/>
              <w:marBottom w:val="0"/>
              <w:divBdr>
                <w:top w:val="none" w:sz="0" w:space="0" w:color="auto"/>
                <w:left w:val="none" w:sz="0" w:space="0" w:color="auto"/>
                <w:bottom w:val="none" w:sz="0" w:space="0" w:color="auto"/>
                <w:right w:val="none" w:sz="0" w:space="0" w:color="auto"/>
              </w:divBdr>
            </w:div>
          </w:divsChild>
        </w:div>
        <w:div w:id="150483940">
          <w:marLeft w:val="0"/>
          <w:marRight w:val="0"/>
          <w:marTop w:val="0"/>
          <w:marBottom w:val="0"/>
          <w:divBdr>
            <w:top w:val="none" w:sz="0" w:space="0" w:color="auto"/>
            <w:left w:val="none" w:sz="0" w:space="0" w:color="auto"/>
            <w:bottom w:val="none" w:sz="0" w:space="0" w:color="auto"/>
            <w:right w:val="none" w:sz="0" w:space="0" w:color="auto"/>
          </w:divBdr>
          <w:divsChild>
            <w:div w:id="1817260719">
              <w:marLeft w:val="0"/>
              <w:marRight w:val="0"/>
              <w:marTop w:val="0"/>
              <w:marBottom w:val="0"/>
              <w:divBdr>
                <w:top w:val="none" w:sz="0" w:space="0" w:color="auto"/>
                <w:left w:val="none" w:sz="0" w:space="0" w:color="auto"/>
                <w:bottom w:val="none" w:sz="0" w:space="0" w:color="auto"/>
                <w:right w:val="none" w:sz="0" w:space="0" w:color="auto"/>
              </w:divBdr>
            </w:div>
          </w:divsChild>
        </w:div>
        <w:div w:id="150684434">
          <w:marLeft w:val="0"/>
          <w:marRight w:val="0"/>
          <w:marTop w:val="0"/>
          <w:marBottom w:val="0"/>
          <w:divBdr>
            <w:top w:val="none" w:sz="0" w:space="0" w:color="auto"/>
            <w:left w:val="none" w:sz="0" w:space="0" w:color="auto"/>
            <w:bottom w:val="none" w:sz="0" w:space="0" w:color="auto"/>
            <w:right w:val="none" w:sz="0" w:space="0" w:color="auto"/>
          </w:divBdr>
          <w:divsChild>
            <w:div w:id="93865542">
              <w:marLeft w:val="0"/>
              <w:marRight w:val="0"/>
              <w:marTop w:val="0"/>
              <w:marBottom w:val="0"/>
              <w:divBdr>
                <w:top w:val="none" w:sz="0" w:space="0" w:color="auto"/>
                <w:left w:val="none" w:sz="0" w:space="0" w:color="auto"/>
                <w:bottom w:val="none" w:sz="0" w:space="0" w:color="auto"/>
                <w:right w:val="none" w:sz="0" w:space="0" w:color="auto"/>
              </w:divBdr>
            </w:div>
          </w:divsChild>
        </w:div>
        <w:div w:id="151063692">
          <w:marLeft w:val="0"/>
          <w:marRight w:val="0"/>
          <w:marTop w:val="0"/>
          <w:marBottom w:val="0"/>
          <w:divBdr>
            <w:top w:val="none" w:sz="0" w:space="0" w:color="auto"/>
            <w:left w:val="none" w:sz="0" w:space="0" w:color="auto"/>
            <w:bottom w:val="none" w:sz="0" w:space="0" w:color="auto"/>
            <w:right w:val="none" w:sz="0" w:space="0" w:color="auto"/>
          </w:divBdr>
          <w:divsChild>
            <w:div w:id="1687755878">
              <w:marLeft w:val="0"/>
              <w:marRight w:val="0"/>
              <w:marTop w:val="0"/>
              <w:marBottom w:val="0"/>
              <w:divBdr>
                <w:top w:val="none" w:sz="0" w:space="0" w:color="auto"/>
                <w:left w:val="none" w:sz="0" w:space="0" w:color="auto"/>
                <w:bottom w:val="none" w:sz="0" w:space="0" w:color="auto"/>
                <w:right w:val="none" w:sz="0" w:space="0" w:color="auto"/>
              </w:divBdr>
            </w:div>
          </w:divsChild>
        </w:div>
        <w:div w:id="151456568">
          <w:marLeft w:val="0"/>
          <w:marRight w:val="0"/>
          <w:marTop w:val="0"/>
          <w:marBottom w:val="0"/>
          <w:divBdr>
            <w:top w:val="none" w:sz="0" w:space="0" w:color="auto"/>
            <w:left w:val="none" w:sz="0" w:space="0" w:color="auto"/>
            <w:bottom w:val="none" w:sz="0" w:space="0" w:color="auto"/>
            <w:right w:val="none" w:sz="0" w:space="0" w:color="auto"/>
          </w:divBdr>
          <w:divsChild>
            <w:div w:id="1580939121">
              <w:marLeft w:val="0"/>
              <w:marRight w:val="0"/>
              <w:marTop w:val="0"/>
              <w:marBottom w:val="0"/>
              <w:divBdr>
                <w:top w:val="none" w:sz="0" w:space="0" w:color="auto"/>
                <w:left w:val="none" w:sz="0" w:space="0" w:color="auto"/>
                <w:bottom w:val="none" w:sz="0" w:space="0" w:color="auto"/>
                <w:right w:val="none" w:sz="0" w:space="0" w:color="auto"/>
              </w:divBdr>
            </w:div>
          </w:divsChild>
        </w:div>
        <w:div w:id="157617224">
          <w:marLeft w:val="0"/>
          <w:marRight w:val="0"/>
          <w:marTop w:val="0"/>
          <w:marBottom w:val="0"/>
          <w:divBdr>
            <w:top w:val="none" w:sz="0" w:space="0" w:color="auto"/>
            <w:left w:val="none" w:sz="0" w:space="0" w:color="auto"/>
            <w:bottom w:val="none" w:sz="0" w:space="0" w:color="auto"/>
            <w:right w:val="none" w:sz="0" w:space="0" w:color="auto"/>
          </w:divBdr>
          <w:divsChild>
            <w:div w:id="1835602515">
              <w:marLeft w:val="0"/>
              <w:marRight w:val="0"/>
              <w:marTop w:val="0"/>
              <w:marBottom w:val="0"/>
              <w:divBdr>
                <w:top w:val="none" w:sz="0" w:space="0" w:color="auto"/>
                <w:left w:val="none" w:sz="0" w:space="0" w:color="auto"/>
                <w:bottom w:val="none" w:sz="0" w:space="0" w:color="auto"/>
                <w:right w:val="none" w:sz="0" w:space="0" w:color="auto"/>
              </w:divBdr>
            </w:div>
          </w:divsChild>
        </w:div>
        <w:div w:id="157841852">
          <w:marLeft w:val="0"/>
          <w:marRight w:val="0"/>
          <w:marTop w:val="0"/>
          <w:marBottom w:val="0"/>
          <w:divBdr>
            <w:top w:val="none" w:sz="0" w:space="0" w:color="auto"/>
            <w:left w:val="none" w:sz="0" w:space="0" w:color="auto"/>
            <w:bottom w:val="none" w:sz="0" w:space="0" w:color="auto"/>
            <w:right w:val="none" w:sz="0" w:space="0" w:color="auto"/>
          </w:divBdr>
          <w:divsChild>
            <w:div w:id="1647127345">
              <w:marLeft w:val="0"/>
              <w:marRight w:val="0"/>
              <w:marTop w:val="0"/>
              <w:marBottom w:val="0"/>
              <w:divBdr>
                <w:top w:val="none" w:sz="0" w:space="0" w:color="auto"/>
                <w:left w:val="none" w:sz="0" w:space="0" w:color="auto"/>
                <w:bottom w:val="none" w:sz="0" w:space="0" w:color="auto"/>
                <w:right w:val="none" w:sz="0" w:space="0" w:color="auto"/>
              </w:divBdr>
            </w:div>
          </w:divsChild>
        </w:div>
        <w:div w:id="158927463">
          <w:marLeft w:val="0"/>
          <w:marRight w:val="0"/>
          <w:marTop w:val="0"/>
          <w:marBottom w:val="0"/>
          <w:divBdr>
            <w:top w:val="none" w:sz="0" w:space="0" w:color="auto"/>
            <w:left w:val="none" w:sz="0" w:space="0" w:color="auto"/>
            <w:bottom w:val="none" w:sz="0" w:space="0" w:color="auto"/>
            <w:right w:val="none" w:sz="0" w:space="0" w:color="auto"/>
          </w:divBdr>
          <w:divsChild>
            <w:div w:id="1530412543">
              <w:marLeft w:val="0"/>
              <w:marRight w:val="0"/>
              <w:marTop w:val="0"/>
              <w:marBottom w:val="0"/>
              <w:divBdr>
                <w:top w:val="none" w:sz="0" w:space="0" w:color="auto"/>
                <w:left w:val="none" w:sz="0" w:space="0" w:color="auto"/>
                <w:bottom w:val="none" w:sz="0" w:space="0" w:color="auto"/>
                <w:right w:val="none" w:sz="0" w:space="0" w:color="auto"/>
              </w:divBdr>
            </w:div>
          </w:divsChild>
        </w:div>
        <w:div w:id="160438579">
          <w:marLeft w:val="0"/>
          <w:marRight w:val="0"/>
          <w:marTop w:val="0"/>
          <w:marBottom w:val="0"/>
          <w:divBdr>
            <w:top w:val="none" w:sz="0" w:space="0" w:color="auto"/>
            <w:left w:val="none" w:sz="0" w:space="0" w:color="auto"/>
            <w:bottom w:val="none" w:sz="0" w:space="0" w:color="auto"/>
            <w:right w:val="none" w:sz="0" w:space="0" w:color="auto"/>
          </w:divBdr>
          <w:divsChild>
            <w:div w:id="147401361">
              <w:marLeft w:val="0"/>
              <w:marRight w:val="0"/>
              <w:marTop w:val="0"/>
              <w:marBottom w:val="0"/>
              <w:divBdr>
                <w:top w:val="none" w:sz="0" w:space="0" w:color="auto"/>
                <w:left w:val="none" w:sz="0" w:space="0" w:color="auto"/>
                <w:bottom w:val="none" w:sz="0" w:space="0" w:color="auto"/>
                <w:right w:val="none" w:sz="0" w:space="0" w:color="auto"/>
              </w:divBdr>
            </w:div>
          </w:divsChild>
        </w:div>
        <w:div w:id="161162503">
          <w:marLeft w:val="0"/>
          <w:marRight w:val="0"/>
          <w:marTop w:val="0"/>
          <w:marBottom w:val="0"/>
          <w:divBdr>
            <w:top w:val="none" w:sz="0" w:space="0" w:color="auto"/>
            <w:left w:val="none" w:sz="0" w:space="0" w:color="auto"/>
            <w:bottom w:val="none" w:sz="0" w:space="0" w:color="auto"/>
            <w:right w:val="none" w:sz="0" w:space="0" w:color="auto"/>
          </w:divBdr>
          <w:divsChild>
            <w:div w:id="926160511">
              <w:marLeft w:val="0"/>
              <w:marRight w:val="0"/>
              <w:marTop w:val="0"/>
              <w:marBottom w:val="0"/>
              <w:divBdr>
                <w:top w:val="none" w:sz="0" w:space="0" w:color="auto"/>
                <w:left w:val="none" w:sz="0" w:space="0" w:color="auto"/>
                <w:bottom w:val="none" w:sz="0" w:space="0" w:color="auto"/>
                <w:right w:val="none" w:sz="0" w:space="0" w:color="auto"/>
              </w:divBdr>
            </w:div>
          </w:divsChild>
        </w:div>
        <w:div w:id="162428928">
          <w:marLeft w:val="0"/>
          <w:marRight w:val="0"/>
          <w:marTop w:val="0"/>
          <w:marBottom w:val="0"/>
          <w:divBdr>
            <w:top w:val="none" w:sz="0" w:space="0" w:color="auto"/>
            <w:left w:val="none" w:sz="0" w:space="0" w:color="auto"/>
            <w:bottom w:val="none" w:sz="0" w:space="0" w:color="auto"/>
            <w:right w:val="none" w:sz="0" w:space="0" w:color="auto"/>
          </w:divBdr>
          <w:divsChild>
            <w:div w:id="1384913168">
              <w:marLeft w:val="0"/>
              <w:marRight w:val="0"/>
              <w:marTop w:val="0"/>
              <w:marBottom w:val="0"/>
              <w:divBdr>
                <w:top w:val="none" w:sz="0" w:space="0" w:color="auto"/>
                <w:left w:val="none" w:sz="0" w:space="0" w:color="auto"/>
                <w:bottom w:val="none" w:sz="0" w:space="0" w:color="auto"/>
                <w:right w:val="none" w:sz="0" w:space="0" w:color="auto"/>
              </w:divBdr>
            </w:div>
          </w:divsChild>
        </w:div>
        <w:div w:id="163327109">
          <w:marLeft w:val="0"/>
          <w:marRight w:val="0"/>
          <w:marTop w:val="0"/>
          <w:marBottom w:val="0"/>
          <w:divBdr>
            <w:top w:val="none" w:sz="0" w:space="0" w:color="auto"/>
            <w:left w:val="none" w:sz="0" w:space="0" w:color="auto"/>
            <w:bottom w:val="none" w:sz="0" w:space="0" w:color="auto"/>
            <w:right w:val="none" w:sz="0" w:space="0" w:color="auto"/>
          </w:divBdr>
          <w:divsChild>
            <w:div w:id="193084624">
              <w:marLeft w:val="0"/>
              <w:marRight w:val="0"/>
              <w:marTop w:val="0"/>
              <w:marBottom w:val="0"/>
              <w:divBdr>
                <w:top w:val="none" w:sz="0" w:space="0" w:color="auto"/>
                <w:left w:val="none" w:sz="0" w:space="0" w:color="auto"/>
                <w:bottom w:val="none" w:sz="0" w:space="0" w:color="auto"/>
                <w:right w:val="none" w:sz="0" w:space="0" w:color="auto"/>
              </w:divBdr>
            </w:div>
          </w:divsChild>
        </w:div>
        <w:div w:id="165944222">
          <w:marLeft w:val="0"/>
          <w:marRight w:val="0"/>
          <w:marTop w:val="0"/>
          <w:marBottom w:val="0"/>
          <w:divBdr>
            <w:top w:val="none" w:sz="0" w:space="0" w:color="auto"/>
            <w:left w:val="none" w:sz="0" w:space="0" w:color="auto"/>
            <w:bottom w:val="none" w:sz="0" w:space="0" w:color="auto"/>
            <w:right w:val="none" w:sz="0" w:space="0" w:color="auto"/>
          </w:divBdr>
          <w:divsChild>
            <w:div w:id="894974300">
              <w:marLeft w:val="0"/>
              <w:marRight w:val="0"/>
              <w:marTop w:val="0"/>
              <w:marBottom w:val="0"/>
              <w:divBdr>
                <w:top w:val="none" w:sz="0" w:space="0" w:color="auto"/>
                <w:left w:val="none" w:sz="0" w:space="0" w:color="auto"/>
                <w:bottom w:val="none" w:sz="0" w:space="0" w:color="auto"/>
                <w:right w:val="none" w:sz="0" w:space="0" w:color="auto"/>
              </w:divBdr>
            </w:div>
          </w:divsChild>
        </w:div>
        <w:div w:id="166137520">
          <w:marLeft w:val="0"/>
          <w:marRight w:val="0"/>
          <w:marTop w:val="0"/>
          <w:marBottom w:val="0"/>
          <w:divBdr>
            <w:top w:val="none" w:sz="0" w:space="0" w:color="auto"/>
            <w:left w:val="none" w:sz="0" w:space="0" w:color="auto"/>
            <w:bottom w:val="none" w:sz="0" w:space="0" w:color="auto"/>
            <w:right w:val="none" w:sz="0" w:space="0" w:color="auto"/>
          </w:divBdr>
          <w:divsChild>
            <w:div w:id="155851097">
              <w:marLeft w:val="0"/>
              <w:marRight w:val="0"/>
              <w:marTop w:val="0"/>
              <w:marBottom w:val="0"/>
              <w:divBdr>
                <w:top w:val="none" w:sz="0" w:space="0" w:color="auto"/>
                <w:left w:val="none" w:sz="0" w:space="0" w:color="auto"/>
                <w:bottom w:val="none" w:sz="0" w:space="0" w:color="auto"/>
                <w:right w:val="none" w:sz="0" w:space="0" w:color="auto"/>
              </w:divBdr>
            </w:div>
          </w:divsChild>
        </w:div>
        <w:div w:id="167721072">
          <w:marLeft w:val="0"/>
          <w:marRight w:val="0"/>
          <w:marTop w:val="0"/>
          <w:marBottom w:val="0"/>
          <w:divBdr>
            <w:top w:val="none" w:sz="0" w:space="0" w:color="auto"/>
            <w:left w:val="none" w:sz="0" w:space="0" w:color="auto"/>
            <w:bottom w:val="none" w:sz="0" w:space="0" w:color="auto"/>
            <w:right w:val="none" w:sz="0" w:space="0" w:color="auto"/>
          </w:divBdr>
          <w:divsChild>
            <w:div w:id="1286231867">
              <w:marLeft w:val="0"/>
              <w:marRight w:val="0"/>
              <w:marTop w:val="0"/>
              <w:marBottom w:val="0"/>
              <w:divBdr>
                <w:top w:val="none" w:sz="0" w:space="0" w:color="auto"/>
                <w:left w:val="none" w:sz="0" w:space="0" w:color="auto"/>
                <w:bottom w:val="none" w:sz="0" w:space="0" w:color="auto"/>
                <w:right w:val="none" w:sz="0" w:space="0" w:color="auto"/>
              </w:divBdr>
            </w:div>
          </w:divsChild>
        </w:div>
        <w:div w:id="173501591">
          <w:marLeft w:val="0"/>
          <w:marRight w:val="0"/>
          <w:marTop w:val="0"/>
          <w:marBottom w:val="0"/>
          <w:divBdr>
            <w:top w:val="none" w:sz="0" w:space="0" w:color="auto"/>
            <w:left w:val="none" w:sz="0" w:space="0" w:color="auto"/>
            <w:bottom w:val="none" w:sz="0" w:space="0" w:color="auto"/>
            <w:right w:val="none" w:sz="0" w:space="0" w:color="auto"/>
          </w:divBdr>
          <w:divsChild>
            <w:div w:id="1552035086">
              <w:marLeft w:val="0"/>
              <w:marRight w:val="0"/>
              <w:marTop w:val="0"/>
              <w:marBottom w:val="0"/>
              <w:divBdr>
                <w:top w:val="none" w:sz="0" w:space="0" w:color="auto"/>
                <w:left w:val="none" w:sz="0" w:space="0" w:color="auto"/>
                <w:bottom w:val="none" w:sz="0" w:space="0" w:color="auto"/>
                <w:right w:val="none" w:sz="0" w:space="0" w:color="auto"/>
              </w:divBdr>
            </w:div>
          </w:divsChild>
        </w:div>
        <w:div w:id="179003606">
          <w:marLeft w:val="0"/>
          <w:marRight w:val="0"/>
          <w:marTop w:val="0"/>
          <w:marBottom w:val="0"/>
          <w:divBdr>
            <w:top w:val="none" w:sz="0" w:space="0" w:color="auto"/>
            <w:left w:val="none" w:sz="0" w:space="0" w:color="auto"/>
            <w:bottom w:val="none" w:sz="0" w:space="0" w:color="auto"/>
            <w:right w:val="none" w:sz="0" w:space="0" w:color="auto"/>
          </w:divBdr>
          <w:divsChild>
            <w:div w:id="976841392">
              <w:marLeft w:val="0"/>
              <w:marRight w:val="0"/>
              <w:marTop w:val="0"/>
              <w:marBottom w:val="0"/>
              <w:divBdr>
                <w:top w:val="none" w:sz="0" w:space="0" w:color="auto"/>
                <w:left w:val="none" w:sz="0" w:space="0" w:color="auto"/>
                <w:bottom w:val="none" w:sz="0" w:space="0" w:color="auto"/>
                <w:right w:val="none" w:sz="0" w:space="0" w:color="auto"/>
              </w:divBdr>
            </w:div>
          </w:divsChild>
        </w:div>
        <w:div w:id="179517421">
          <w:marLeft w:val="0"/>
          <w:marRight w:val="0"/>
          <w:marTop w:val="0"/>
          <w:marBottom w:val="0"/>
          <w:divBdr>
            <w:top w:val="none" w:sz="0" w:space="0" w:color="auto"/>
            <w:left w:val="none" w:sz="0" w:space="0" w:color="auto"/>
            <w:bottom w:val="none" w:sz="0" w:space="0" w:color="auto"/>
            <w:right w:val="none" w:sz="0" w:space="0" w:color="auto"/>
          </w:divBdr>
          <w:divsChild>
            <w:div w:id="692995988">
              <w:marLeft w:val="0"/>
              <w:marRight w:val="0"/>
              <w:marTop w:val="0"/>
              <w:marBottom w:val="0"/>
              <w:divBdr>
                <w:top w:val="none" w:sz="0" w:space="0" w:color="auto"/>
                <w:left w:val="none" w:sz="0" w:space="0" w:color="auto"/>
                <w:bottom w:val="none" w:sz="0" w:space="0" w:color="auto"/>
                <w:right w:val="none" w:sz="0" w:space="0" w:color="auto"/>
              </w:divBdr>
            </w:div>
          </w:divsChild>
        </w:div>
        <w:div w:id="181746940">
          <w:marLeft w:val="0"/>
          <w:marRight w:val="0"/>
          <w:marTop w:val="0"/>
          <w:marBottom w:val="0"/>
          <w:divBdr>
            <w:top w:val="none" w:sz="0" w:space="0" w:color="auto"/>
            <w:left w:val="none" w:sz="0" w:space="0" w:color="auto"/>
            <w:bottom w:val="none" w:sz="0" w:space="0" w:color="auto"/>
            <w:right w:val="none" w:sz="0" w:space="0" w:color="auto"/>
          </w:divBdr>
          <w:divsChild>
            <w:div w:id="186139516">
              <w:marLeft w:val="0"/>
              <w:marRight w:val="0"/>
              <w:marTop w:val="0"/>
              <w:marBottom w:val="0"/>
              <w:divBdr>
                <w:top w:val="none" w:sz="0" w:space="0" w:color="auto"/>
                <w:left w:val="none" w:sz="0" w:space="0" w:color="auto"/>
                <w:bottom w:val="none" w:sz="0" w:space="0" w:color="auto"/>
                <w:right w:val="none" w:sz="0" w:space="0" w:color="auto"/>
              </w:divBdr>
            </w:div>
          </w:divsChild>
        </w:div>
        <w:div w:id="183789155">
          <w:marLeft w:val="0"/>
          <w:marRight w:val="0"/>
          <w:marTop w:val="0"/>
          <w:marBottom w:val="0"/>
          <w:divBdr>
            <w:top w:val="none" w:sz="0" w:space="0" w:color="auto"/>
            <w:left w:val="none" w:sz="0" w:space="0" w:color="auto"/>
            <w:bottom w:val="none" w:sz="0" w:space="0" w:color="auto"/>
            <w:right w:val="none" w:sz="0" w:space="0" w:color="auto"/>
          </w:divBdr>
          <w:divsChild>
            <w:div w:id="1261447882">
              <w:marLeft w:val="0"/>
              <w:marRight w:val="0"/>
              <w:marTop w:val="0"/>
              <w:marBottom w:val="0"/>
              <w:divBdr>
                <w:top w:val="none" w:sz="0" w:space="0" w:color="auto"/>
                <w:left w:val="none" w:sz="0" w:space="0" w:color="auto"/>
                <w:bottom w:val="none" w:sz="0" w:space="0" w:color="auto"/>
                <w:right w:val="none" w:sz="0" w:space="0" w:color="auto"/>
              </w:divBdr>
            </w:div>
          </w:divsChild>
        </w:div>
        <w:div w:id="184683262">
          <w:marLeft w:val="0"/>
          <w:marRight w:val="0"/>
          <w:marTop w:val="0"/>
          <w:marBottom w:val="0"/>
          <w:divBdr>
            <w:top w:val="none" w:sz="0" w:space="0" w:color="auto"/>
            <w:left w:val="none" w:sz="0" w:space="0" w:color="auto"/>
            <w:bottom w:val="none" w:sz="0" w:space="0" w:color="auto"/>
            <w:right w:val="none" w:sz="0" w:space="0" w:color="auto"/>
          </w:divBdr>
          <w:divsChild>
            <w:div w:id="760224547">
              <w:marLeft w:val="0"/>
              <w:marRight w:val="0"/>
              <w:marTop w:val="0"/>
              <w:marBottom w:val="0"/>
              <w:divBdr>
                <w:top w:val="none" w:sz="0" w:space="0" w:color="auto"/>
                <w:left w:val="none" w:sz="0" w:space="0" w:color="auto"/>
                <w:bottom w:val="none" w:sz="0" w:space="0" w:color="auto"/>
                <w:right w:val="none" w:sz="0" w:space="0" w:color="auto"/>
              </w:divBdr>
            </w:div>
          </w:divsChild>
        </w:div>
        <w:div w:id="186722302">
          <w:marLeft w:val="0"/>
          <w:marRight w:val="0"/>
          <w:marTop w:val="0"/>
          <w:marBottom w:val="0"/>
          <w:divBdr>
            <w:top w:val="none" w:sz="0" w:space="0" w:color="auto"/>
            <w:left w:val="none" w:sz="0" w:space="0" w:color="auto"/>
            <w:bottom w:val="none" w:sz="0" w:space="0" w:color="auto"/>
            <w:right w:val="none" w:sz="0" w:space="0" w:color="auto"/>
          </w:divBdr>
          <w:divsChild>
            <w:div w:id="2053797443">
              <w:marLeft w:val="0"/>
              <w:marRight w:val="0"/>
              <w:marTop w:val="0"/>
              <w:marBottom w:val="0"/>
              <w:divBdr>
                <w:top w:val="none" w:sz="0" w:space="0" w:color="auto"/>
                <w:left w:val="none" w:sz="0" w:space="0" w:color="auto"/>
                <w:bottom w:val="none" w:sz="0" w:space="0" w:color="auto"/>
                <w:right w:val="none" w:sz="0" w:space="0" w:color="auto"/>
              </w:divBdr>
            </w:div>
          </w:divsChild>
        </w:div>
        <w:div w:id="187371851">
          <w:marLeft w:val="0"/>
          <w:marRight w:val="0"/>
          <w:marTop w:val="0"/>
          <w:marBottom w:val="0"/>
          <w:divBdr>
            <w:top w:val="none" w:sz="0" w:space="0" w:color="auto"/>
            <w:left w:val="none" w:sz="0" w:space="0" w:color="auto"/>
            <w:bottom w:val="none" w:sz="0" w:space="0" w:color="auto"/>
            <w:right w:val="none" w:sz="0" w:space="0" w:color="auto"/>
          </w:divBdr>
          <w:divsChild>
            <w:div w:id="1895773648">
              <w:marLeft w:val="0"/>
              <w:marRight w:val="0"/>
              <w:marTop w:val="0"/>
              <w:marBottom w:val="0"/>
              <w:divBdr>
                <w:top w:val="none" w:sz="0" w:space="0" w:color="auto"/>
                <w:left w:val="none" w:sz="0" w:space="0" w:color="auto"/>
                <w:bottom w:val="none" w:sz="0" w:space="0" w:color="auto"/>
                <w:right w:val="none" w:sz="0" w:space="0" w:color="auto"/>
              </w:divBdr>
            </w:div>
          </w:divsChild>
        </w:div>
        <w:div w:id="190076811">
          <w:marLeft w:val="0"/>
          <w:marRight w:val="0"/>
          <w:marTop w:val="0"/>
          <w:marBottom w:val="0"/>
          <w:divBdr>
            <w:top w:val="none" w:sz="0" w:space="0" w:color="auto"/>
            <w:left w:val="none" w:sz="0" w:space="0" w:color="auto"/>
            <w:bottom w:val="none" w:sz="0" w:space="0" w:color="auto"/>
            <w:right w:val="none" w:sz="0" w:space="0" w:color="auto"/>
          </w:divBdr>
          <w:divsChild>
            <w:div w:id="1814442792">
              <w:marLeft w:val="0"/>
              <w:marRight w:val="0"/>
              <w:marTop w:val="0"/>
              <w:marBottom w:val="0"/>
              <w:divBdr>
                <w:top w:val="none" w:sz="0" w:space="0" w:color="auto"/>
                <w:left w:val="none" w:sz="0" w:space="0" w:color="auto"/>
                <w:bottom w:val="none" w:sz="0" w:space="0" w:color="auto"/>
                <w:right w:val="none" w:sz="0" w:space="0" w:color="auto"/>
              </w:divBdr>
            </w:div>
          </w:divsChild>
        </w:div>
        <w:div w:id="191724798">
          <w:marLeft w:val="0"/>
          <w:marRight w:val="0"/>
          <w:marTop w:val="0"/>
          <w:marBottom w:val="0"/>
          <w:divBdr>
            <w:top w:val="none" w:sz="0" w:space="0" w:color="auto"/>
            <w:left w:val="none" w:sz="0" w:space="0" w:color="auto"/>
            <w:bottom w:val="none" w:sz="0" w:space="0" w:color="auto"/>
            <w:right w:val="none" w:sz="0" w:space="0" w:color="auto"/>
          </w:divBdr>
          <w:divsChild>
            <w:div w:id="149830624">
              <w:marLeft w:val="0"/>
              <w:marRight w:val="0"/>
              <w:marTop w:val="0"/>
              <w:marBottom w:val="0"/>
              <w:divBdr>
                <w:top w:val="none" w:sz="0" w:space="0" w:color="auto"/>
                <w:left w:val="none" w:sz="0" w:space="0" w:color="auto"/>
                <w:bottom w:val="none" w:sz="0" w:space="0" w:color="auto"/>
                <w:right w:val="none" w:sz="0" w:space="0" w:color="auto"/>
              </w:divBdr>
            </w:div>
          </w:divsChild>
        </w:div>
        <w:div w:id="193928590">
          <w:marLeft w:val="0"/>
          <w:marRight w:val="0"/>
          <w:marTop w:val="0"/>
          <w:marBottom w:val="0"/>
          <w:divBdr>
            <w:top w:val="none" w:sz="0" w:space="0" w:color="auto"/>
            <w:left w:val="none" w:sz="0" w:space="0" w:color="auto"/>
            <w:bottom w:val="none" w:sz="0" w:space="0" w:color="auto"/>
            <w:right w:val="none" w:sz="0" w:space="0" w:color="auto"/>
          </w:divBdr>
          <w:divsChild>
            <w:div w:id="947079113">
              <w:marLeft w:val="0"/>
              <w:marRight w:val="0"/>
              <w:marTop w:val="0"/>
              <w:marBottom w:val="0"/>
              <w:divBdr>
                <w:top w:val="none" w:sz="0" w:space="0" w:color="auto"/>
                <w:left w:val="none" w:sz="0" w:space="0" w:color="auto"/>
                <w:bottom w:val="none" w:sz="0" w:space="0" w:color="auto"/>
                <w:right w:val="none" w:sz="0" w:space="0" w:color="auto"/>
              </w:divBdr>
            </w:div>
          </w:divsChild>
        </w:div>
        <w:div w:id="195042212">
          <w:marLeft w:val="0"/>
          <w:marRight w:val="0"/>
          <w:marTop w:val="0"/>
          <w:marBottom w:val="0"/>
          <w:divBdr>
            <w:top w:val="none" w:sz="0" w:space="0" w:color="auto"/>
            <w:left w:val="none" w:sz="0" w:space="0" w:color="auto"/>
            <w:bottom w:val="none" w:sz="0" w:space="0" w:color="auto"/>
            <w:right w:val="none" w:sz="0" w:space="0" w:color="auto"/>
          </w:divBdr>
          <w:divsChild>
            <w:div w:id="1410082932">
              <w:marLeft w:val="0"/>
              <w:marRight w:val="0"/>
              <w:marTop w:val="0"/>
              <w:marBottom w:val="0"/>
              <w:divBdr>
                <w:top w:val="none" w:sz="0" w:space="0" w:color="auto"/>
                <w:left w:val="none" w:sz="0" w:space="0" w:color="auto"/>
                <w:bottom w:val="none" w:sz="0" w:space="0" w:color="auto"/>
                <w:right w:val="none" w:sz="0" w:space="0" w:color="auto"/>
              </w:divBdr>
            </w:div>
          </w:divsChild>
        </w:div>
        <w:div w:id="196938957">
          <w:marLeft w:val="0"/>
          <w:marRight w:val="0"/>
          <w:marTop w:val="0"/>
          <w:marBottom w:val="0"/>
          <w:divBdr>
            <w:top w:val="none" w:sz="0" w:space="0" w:color="auto"/>
            <w:left w:val="none" w:sz="0" w:space="0" w:color="auto"/>
            <w:bottom w:val="none" w:sz="0" w:space="0" w:color="auto"/>
            <w:right w:val="none" w:sz="0" w:space="0" w:color="auto"/>
          </w:divBdr>
          <w:divsChild>
            <w:div w:id="1476483946">
              <w:marLeft w:val="0"/>
              <w:marRight w:val="0"/>
              <w:marTop w:val="0"/>
              <w:marBottom w:val="0"/>
              <w:divBdr>
                <w:top w:val="none" w:sz="0" w:space="0" w:color="auto"/>
                <w:left w:val="none" w:sz="0" w:space="0" w:color="auto"/>
                <w:bottom w:val="none" w:sz="0" w:space="0" w:color="auto"/>
                <w:right w:val="none" w:sz="0" w:space="0" w:color="auto"/>
              </w:divBdr>
            </w:div>
          </w:divsChild>
        </w:div>
        <w:div w:id="199636034">
          <w:marLeft w:val="0"/>
          <w:marRight w:val="0"/>
          <w:marTop w:val="0"/>
          <w:marBottom w:val="0"/>
          <w:divBdr>
            <w:top w:val="none" w:sz="0" w:space="0" w:color="auto"/>
            <w:left w:val="none" w:sz="0" w:space="0" w:color="auto"/>
            <w:bottom w:val="none" w:sz="0" w:space="0" w:color="auto"/>
            <w:right w:val="none" w:sz="0" w:space="0" w:color="auto"/>
          </w:divBdr>
          <w:divsChild>
            <w:div w:id="2014599254">
              <w:marLeft w:val="0"/>
              <w:marRight w:val="0"/>
              <w:marTop w:val="0"/>
              <w:marBottom w:val="0"/>
              <w:divBdr>
                <w:top w:val="none" w:sz="0" w:space="0" w:color="auto"/>
                <w:left w:val="none" w:sz="0" w:space="0" w:color="auto"/>
                <w:bottom w:val="none" w:sz="0" w:space="0" w:color="auto"/>
                <w:right w:val="none" w:sz="0" w:space="0" w:color="auto"/>
              </w:divBdr>
            </w:div>
          </w:divsChild>
        </w:div>
        <w:div w:id="201213027">
          <w:marLeft w:val="0"/>
          <w:marRight w:val="0"/>
          <w:marTop w:val="0"/>
          <w:marBottom w:val="0"/>
          <w:divBdr>
            <w:top w:val="none" w:sz="0" w:space="0" w:color="auto"/>
            <w:left w:val="none" w:sz="0" w:space="0" w:color="auto"/>
            <w:bottom w:val="none" w:sz="0" w:space="0" w:color="auto"/>
            <w:right w:val="none" w:sz="0" w:space="0" w:color="auto"/>
          </w:divBdr>
          <w:divsChild>
            <w:div w:id="134875260">
              <w:marLeft w:val="0"/>
              <w:marRight w:val="0"/>
              <w:marTop w:val="0"/>
              <w:marBottom w:val="0"/>
              <w:divBdr>
                <w:top w:val="none" w:sz="0" w:space="0" w:color="auto"/>
                <w:left w:val="none" w:sz="0" w:space="0" w:color="auto"/>
                <w:bottom w:val="none" w:sz="0" w:space="0" w:color="auto"/>
                <w:right w:val="none" w:sz="0" w:space="0" w:color="auto"/>
              </w:divBdr>
            </w:div>
          </w:divsChild>
        </w:div>
        <w:div w:id="201330041">
          <w:marLeft w:val="0"/>
          <w:marRight w:val="0"/>
          <w:marTop w:val="0"/>
          <w:marBottom w:val="0"/>
          <w:divBdr>
            <w:top w:val="none" w:sz="0" w:space="0" w:color="auto"/>
            <w:left w:val="none" w:sz="0" w:space="0" w:color="auto"/>
            <w:bottom w:val="none" w:sz="0" w:space="0" w:color="auto"/>
            <w:right w:val="none" w:sz="0" w:space="0" w:color="auto"/>
          </w:divBdr>
          <w:divsChild>
            <w:div w:id="270237648">
              <w:marLeft w:val="0"/>
              <w:marRight w:val="0"/>
              <w:marTop w:val="0"/>
              <w:marBottom w:val="0"/>
              <w:divBdr>
                <w:top w:val="none" w:sz="0" w:space="0" w:color="auto"/>
                <w:left w:val="none" w:sz="0" w:space="0" w:color="auto"/>
                <w:bottom w:val="none" w:sz="0" w:space="0" w:color="auto"/>
                <w:right w:val="none" w:sz="0" w:space="0" w:color="auto"/>
              </w:divBdr>
            </w:div>
          </w:divsChild>
        </w:div>
        <w:div w:id="203644663">
          <w:marLeft w:val="0"/>
          <w:marRight w:val="0"/>
          <w:marTop w:val="0"/>
          <w:marBottom w:val="0"/>
          <w:divBdr>
            <w:top w:val="none" w:sz="0" w:space="0" w:color="auto"/>
            <w:left w:val="none" w:sz="0" w:space="0" w:color="auto"/>
            <w:bottom w:val="none" w:sz="0" w:space="0" w:color="auto"/>
            <w:right w:val="none" w:sz="0" w:space="0" w:color="auto"/>
          </w:divBdr>
          <w:divsChild>
            <w:div w:id="298386366">
              <w:marLeft w:val="0"/>
              <w:marRight w:val="0"/>
              <w:marTop w:val="0"/>
              <w:marBottom w:val="0"/>
              <w:divBdr>
                <w:top w:val="none" w:sz="0" w:space="0" w:color="auto"/>
                <w:left w:val="none" w:sz="0" w:space="0" w:color="auto"/>
                <w:bottom w:val="none" w:sz="0" w:space="0" w:color="auto"/>
                <w:right w:val="none" w:sz="0" w:space="0" w:color="auto"/>
              </w:divBdr>
            </w:div>
          </w:divsChild>
        </w:div>
        <w:div w:id="207036016">
          <w:marLeft w:val="0"/>
          <w:marRight w:val="0"/>
          <w:marTop w:val="0"/>
          <w:marBottom w:val="0"/>
          <w:divBdr>
            <w:top w:val="none" w:sz="0" w:space="0" w:color="auto"/>
            <w:left w:val="none" w:sz="0" w:space="0" w:color="auto"/>
            <w:bottom w:val="none" w:sz="0" w:space="0" w:color="auto"/>
            <w:right w:val="none" w:sz="0" w:space="0" w:color="auto"/>
          </w:divBdr>
          <w:divsChild>
            <w:div w:id="290328557">
              <w:marLeft w:val="0"/>
              <w:marRight w:val="0"/>
              <w:marTop w:val="0"/>
              <w:marBottom w:val="0"/>
              <w:divBdr>
                <w:top w:val="none" w:sz="0" w:space="0" w:color="auto"/>
                <w:left w:val="none" w:sz="0" w:space="0" w:color="auto"/>
                <w:bottom w:val="none" w:sz="0" w:space="0" w:color="auto"/>
                <w:right w:val="none" w:sz="0" w:space="0" w:color="auto"/>
              </w:divBdr>
            </w:div>
          </w:divsChild>
        </w:div>
        <w:div w:id="207227454">
          <w:marLeft w:val="0"/>
          <w:marRight w:val="0"/>
          <w:marTop w:val="0"/>
          <w:marBottom w:val="0"/>
          <w:divBdr>
            <w:top w:val="none" w:sz="0" w:space="0" w:color="auto"/>
            <w:left w:val="none" w:sz="0" w:space="0" w:color="auto"/>
            <w:bottom w:val="none" w:sz="0" w:space="0" w:color="auto"/>
            <w:right w:val="none" w:sz="0" w:space="0" w:color="auto"/>
          </w:divBdr>
          <w:divsChild>
            <w:div w:id="1168060403">
              <w:marLeft w:val="0"/>
              <w:marRight w:val="0"/>
              <w:marTop w:val="0"/>
              <w:marBottom w:val="0"/>
              <w:divBdr>
                <w:top w:val="none" w:sz="0" w:space="0" w:color="auto"/>
                <w:left w:val="none" w:sz="0" w:space="0" w:color="auto"/>
                <w:bottom w:val="none" w:sz="0" w:space="0" w:color="auto"/>
                <w:right w:val="none" w:sz="0" w:space="0" w:color="auto"/>
              </w:divBdr>
            </w:div>
          </w:divsChild>
        </w:div>
        <w:div w:id="212155689">
          <w:marLeft w:val="0"/>
          <w:marRight w:val="0"/>
          <w:marTop w:val="0"/>
          <w:marBottom w:val="0"/>
          <w:divBdr>
            <w:top w:val="none" w:sz="0" w:space="0" w:color="auto"/>
            <w:left w:val="none" w:sz="0" w:space="0" w:color="auto"/>
            <w:bottom w:val="none" w:sz="0" w:space="0" w:color="auto"/>
            <w:right w:val="none" w:sz="0" w:space="0" w:color="auto"/>
          </w:divBdr>
          <w:divsChild>
            <w:div w:id="726877252">
              <w:marLeft w:val="0"/>
              <w:marRight w:val="0"/>
              <w:marTop w:val="0"/>
              <w:marBottom w:val="0"/>
              <w:divBdr>
                <w:top w:val="none" w:sz="0" w:space="0" w:color="auto"/>
                <w:left w:val="none" w:sz="0" w:space="0" w:color="auto"/>
                <w:bottom w:val="none" w:sz="0" w:space="0" w:color="auto"/>
                <w:right w:val="none" w:sz="0" w:space="0" w:color="auto"/>
              </w:divBdr>
            </w:div>
          </w:divsChild>
        </w:div>
        <w:div w:id="212617966">
          <w:marLeft w:val="0"/>
          <w:marRight w:val="0"/>
          <w:marTop w:val="0"/>
          <w:marBottom w:val="0"/>
          <w:divBdr>
            <w:top w:val="none" w:sz="0" w:space="0" w:color="auto"/>
            <w:left w:val="none" w:sz="0" w:space="0" w:color="auto"/>
            <w:bottom w:val="none" w:sz="0" w:space="0" w:color="auto"/>
            <w:right w:val="none" w:sz="0" w:space="0" w:color="auto"/>
          </w:divBdr>
          <w:divsChild>
            <w:div w:id="2050716774">
              <w:marLeft w:val="0"/>
              <w:marRight w:val="0"/>
              <w:marTop w:val="0"/>
              <w:marBottom w:val="0"/>
              <w:divBdr>
                <w:top w:val="none" w:sz="0" w:space="0" w:color="auto"/>
                <w:left w:val="none" w:sz="0" w:space="0" w:color="auto"/>
                <w:bottom w:val="none" w:sz="0" w:space="0" w:color="auto"/>
                <w:right w:val="none" w:sz="0" w:space="0" w:color="auto"/>
              </w:divBdr>
            </w:div>
          </w:divsChild>
        </w:div>
        <w:div w:id="213347636">
          <w:marLeft w:val="0"/>
          <w:marRight w:val="0"/>
          <w:marTop w:val="0"/>
          <w:marBottom w:val="0"/>
          <w:divBdr>
            <w:top w:val="none" w:sz="0" w:space="0" w:color="auto"/>
            <w:left w:val="none" w:sz="0" w:space="0" w:color="auto"/>
            <w:bottom w:val="none" w:sz="0" w:space="0" w:color="auto"/>
            <w:right w:val="none" w:sz="0" w:space="0" w:color="auto"/>
          </w:divBdr>
          <w:divsChild>
            <w:div w:id="250159206">
              <w:marLeft w:val="0"/>
              <w:marRight w:val="0"/>
              <w:marTop w:val="0"/>
              <w:marBottom w:val="0"/>
              <w:divBdr>
                <w:top w:val="none" w:sz="0" w:space="0" w:color="auto"/>
                <w:left w:val="none" w:sz="0" w:space="0" w:color="auto"/>
                <w:bottom w:val="none" w:sz="0" w:space="0" w:color="auto"/>
                <w:right w:val="none" w:sz="0" w:space="0" w:color="auto"/>
              </w:divBdr>
            </w:div>
          </w:divsChild>
        </w:div>
        <w:div w:id="219753508">
          <w:marLeft w:val="0"/>
          <w:marRight w:val="0"/>
          <w:marTop w:val="0"/>
          <w:marBottom w:val="0"/>
          <w:divBdr>
            <w:top w:val="none" w:sz="0" w:space="0" w:color="auto"/>
            <w:left w:val="none" w:sz="0" w:space="0" w:color="auto"/>
            <w:bottom w:val="none" w:sz="0" w:space="0" w:color="auto"/>
            <w:right w:val="none" w:sz="0" w:space="0" w:color="auto"/>
          </w:divBdr>
          <w:divsChild>
            <w:div w:id="564684667">
              <w:marLeft w:val="0"/>
              <w:marRight w:val="0"/>
              <w:marTop w:val="0"/>
              <w:marBottom w:val="0"/>
              <w:divBdr>
                <w:top w:val="none" w:sz="0" w:space="0" w:color="auto"/>
                <w:left w:val="none" w:sz="0" w:space="0" w:color="auto"/>
                <w:bottom w:val="none" w:sz="0" w:space="0" w:color="auto"/>
                <w:right w:val="none" w:sz="0" w:space="0" w:color="auto"/>
              </w:divBdr>
            </w:div>
          </w:divsChild>
        </w:div>
        <w:div w:id="227883193">
          <w:marLeft w:val="0"/>
          <w:marRight w:val="0"/>
          <w:marTop w:val="0"/>
          <w:marBottom w:val="0"/>
          <w:divBdr>
            <w:top w:val="none" w:sz="0" w:space="0" w:color="auto"/>
            <w:left w:val="none" w:sz="0" w:space="0" w:color="auto"/>
            <w:bottom w:val="none" w:sz="0" w:space="0" w:color="auto"/>
            <w:right w:val="none" w:sz="0" w:space="0" w:color="auto"/>
          </w:divBdr>
          <w:divsChild>
            <w:div w:id="874535926">
              <w:marLeft w:val="0"/>
              <w:marRight w:val="0"/>
              <w:marTop w:val="0"/>
              <w:marBottom w:val="0"/>
              <w:divBdr>
                <w:top w:val="none" w:sz="0" w:space="0" w:color="auto"/>
                <w:left w:val="none" w:sz="0" w:space="0" w:color="auto"/>
                <w:bottom w:val="none" w:sz="0" w:space="0" w:color="auto"/>
                <w:right w:val="none" w:sz="0" w:space="0" w:color="auto"/>
              </w:divBdr>
            </w:div>
          </w:divsChild>
        </w:div>
        <w:div w:id="228853475">
          <w:marLeft w:val="0"/>
          <w:marRight w:val="0"/>
          <w:marTop w:val="0"/>
          <w:marBottom w:val="0"/>
          <w:divBdr>
            <w:top w:val="none" w:sz="0" w:space="0" w:color="auto"/>
            <w:left w:val="none" w:sz="0" w:space="0" w:color="auto"/>
            <w:bottom w:val="none" w:sz="0" w:space="0" w:color="auto"/>
            <w:right w:val="none" w:sz="0" w:space="0" w:color="auto"/>
          </w:divBdr>
          <w:divsChild>
            <w:div w:id="1243836764">
              <w:marLeft w:val="0"/>
              <w:marRight w:val="0"/>
              <w:marTop w:val="0"/>
              <w:marBottom w:val="0"/>
              <w:divBdr>
                <w:top w:val="none" w:sz="0" w:space="0" w:color="auto"/>
                <w:left w:val="none" w:sz="0" w:space="0" w:color="auto"/>
                <w:bottom w:val="none" w:sz="0" w:space="0" w:color="auto"/>
                <w:right w:val="none" w:sz="0" w:space="0" w:color="auto"/>
              </w:divBdr>
            </w:div>
          </w:divsChild>
        </w:div>
        <w:div w:id="230580504">
          <w:marLeft w:val="0"/>
          <w:marRight w:val="0"/>
          <w:marTop w:val="0"/>
          <w:marBottom w:val="0"/>
          <w:divBdr>
            <w:top w:val="none" w:sz="0" w:space="0" w:color="auto"/>
            <w:left w:val="none" w:sz="0" w:space="0" w:color="auto"/>
            <w:bottom w:val="none" w:sz="0" w:space="0" w:color="auto"/>
            <w:right w:val="none" w:sz="0" w:space="0" w:color="auto"/>
          </w:divBdr>
          <w:divsChild>
            <w:div w:id="217665902">
              <w:marLeft w:val="0"/>
              <w:marRight w:val="0"/>
              <w:marTop w:val="0"/>
              <w:marBottom w:val="0"/>
              <w:divBdr>
                <w:top w:val="none" w:sz="0" w:space="0" w:color="auto"/>
                <w:left w:val="none" w:sz="0" w:space="0" w:color="auto"/>
                <w:bottom w:val="none" w:sz="0" w:space="0" w:color="auto"/>
                <w:right w:val="none" w:sz="0" w:space="0" w:color="auto"/>
              </w:divBdr>
            </w:div>
          </w:divsChild>
        </w:div>
        <w:div w:id="231889384">
          <w:marLeft w:val="0"/>
          <w:marRight w:val="0"/>
          <w:marTop w:val="0"/>
          <w:marBottom w:val="0"/>
          <w:divBdr>
            <w:top w:val="none" w:sz="0" w:space="0" w:color="auto"/>
            <w:left w:val="none" w:sz="0" w:space="0" w:color="auto"/>
            <w:bottom w:val="none" w:sz="0" w:space="0" w:color="auto"/>
            <w:right w:val="none" w:sz="0" w:space="0" w:color="auto"/>
          </w:divBdr>
          <w:divsChild>
            <w:div w:id="646594391">
              <w:marLeft w:val="0"/>
              <w:marRight w:val="0"/>
              <w:marTop w:val="0"/>
              <w:marBottom w:val="0"/>
              <w:divBdr>
                <w:top w:val="none" w:sz="0" w:space="0" w:color="auto"/>
                <w:left w:val="none" w:sz="0" w:space="0" w:color="auto"/>
                <w:bottom w:val="none" w:sz="0" w:space="0" w:color="auto"/>
                <w:right w:val="none" w:sz="0" w:space="0" w:color="auto"/>
              </w:divBdr>
            </w:div>
          </w:divsChild>
        </w:div>
        <w:div w:id="233898241">
          <w:marLeft w:val="0"/>
          <w:marRight w:val="0"/>
          <w:marTop w:val="0"/>
          <w:marBottom w:val="0"/>
          <w:divBdr>
            <w:top w:val="none" w:sz="0" w:space="0" w:color="auto"/>
            <w:left w:val="none" w:sz="0" w:space="0" w:color="auto"/>
            <w:bottom w:val="none" w:sz="0" w:space="0" w:color="auto"/>
            <w:right w:val="none" w:sz="0" w:space="0" w:color="auto"/>
          </w:divBdr>
          <w:divsChild>
            <w:div w:id="2034070306">
              <w:marLeft w:val="0"/>
              <w:marRight w:val="0"/>
              <w:marTop w:val="0"/>
              <w:marBottom w:val="0"/>
              <w:divBdr>
                <w:top w:val="none" w:sz="0" w:space="0" w:color="auto"/>
                <w:left w:val="none" w:sz="0" w:space="0" w:color="auto"/>
                <w:bottom w:val="none" w:sz="0" w:space="0" w:color="auto"/>
                <w:right w:val="none" w:sz="0" w:space="0" w:color="auto"/>
              </w:divBdr>
            </w:div>
          </w:divsChild>
        </w:div>
        <w:div w:id="234820746">
          <w:marLeft w:val="0"/>
          <w:marRight w:val="0"/>
          <w:marTop w:val="0"/>
          <w:marBottom w:val="0"/>
          <w:divBdr>
            <w:top w:val="none" w:sz="0" w:space="0" w:color="auto"/>
            <w:left w:val="none" w:sz="0" w:space="0" w:color="auto"/>
            <w:bottom w:val="none" w:sz="0" w:space="0" w:color="auto"/>
            <w:right w:val="none" w:sz="0" w:space="0" w:color="auto"/>
          </w:divBdr>
          <w:divsChild>
            <w:div w:id="2137916823">
              <w:marLeft w:val="0"/>
              <w:marRight w:val="0"/>
              <w:marTop w:val="0"/>
              <w:marBottom w:val="0"/>
              <w:divBdr>
                <w:top w:val="none" w:sz="0" w:space="0" w:color="auto"/>
                <w:left w:val="none" w:sz="0" w:space="0" w:color="auto"/>
                <w:bottom w:val="none" w:sz="0" w:space="0" w:color="auto"/>
                <w:right w:val="none" w:sz="0" w:space="0" w:color="auto"/>
              </w:divBdr>
            </w:div>
          </w:divsChild>
        </w:div>
        <w:div w:id="235477971">
          <w:marLeft w:val="0"/>
          <w:marRight w:val="0"/>
          <w:marTop w:val="0"/>
          <w:marBottom w:val="0"/>
          <w:divBdr>
            <w:top w:val="none" w:sz="0" w:space="0" w:color="auto"/>
            <w:left w:val="none" w:sz="0" w:space="0" w:color="auto"/>
            <w:bottom w:val="none" w:sz="0" w:space="0" w:color="auto"/>
            <w:right w:val="none" w:sz="0" w:space="0" w:color="auto"/>
          </w:divBdr>
          <w:divsChild>
            <w:div w:id="1770737923">
              <w:marLeft w:val="0"/>
              <w:marRight w:val="0"/>
              <w:marTop w:val="0"/>
              <w:marBottom w:val="0"/>
              <w:divBdr>
                <w:top w:val="none" w:sz="0" w:space="0" w:color="auto"/>
                <w:left w:val="none" w:sz="0" w:space="0" w:color="auto"/>
                <w:bottom w:val="none" w:sz="0" w:space="0" w:color="auto"/>
                <w:right w:val="none" w:sz="0" w:space="0" w:color="auto"/>
              </w:divBdr>
            </w:div>
          </w:divsChild>
        </w:div>
        <w:div w:id="237055312">
          <w:marLeft w:val="0"/>
          <w:marRight w:val="0"/>
          <w:marTop w:val="0"/>
          <w:marBottom w:val="0"/>
          <w:divBdr>
            <w:top w:val="none" w:sz="0" w:space="0" w:color="auto"/>
            <w:left w:val="none" w:sz="0" w:space="0" w:color="auto"/>
            <w:bottom w:val="none" w:sz="0" w:space="0" w:color="auto"/>
            <w:right w:val="none" w:sz="0" w:space="0" w:color="auto"/>
          </w:divBdr>
          <w:divsChild>
            <w:div w:id="2117023421">
              <w:marLeft w:val="0"/>
              <w:marRight w:val="0"/>
              <w:marTop w:val="0"/>
              <w:marBottom w:val="0"/>
              <w:divBdr>
                <w:top w:val="none" w:sz="0" w:space="0" w:color="auto"/>
                <w:left w:val="none" w:sz="0" w:space="0" w:color="auto"/>
                <w:bottom w:val="none" w:sz="0" w:space="0" w:color="auto"/>
                <w:right w:val="none" w:sz="0" w:space="0" w:color="auto"/>
              </w:divBdr>
            </w:div>
          </w:divsChild>
        </w:div>
        <w:div w:id="237205902">
          <w:marLeft w:val="0"/>
          <w:marRight w:val="0"/>
          <w:marTop w:val="0"/>
          <w:marBottom w:val="0"/>
          <w:divBdr>
            <w:top w:val="none" w:sz="0" w:space="0" w:color="auto"/>
            <w:left w:val="none" w:sz="0" w:space="0" w:color="auto"/>
            <w:bottom w:val="none" w:sz="0" w:space="0" w:color="auto"/>
            <w:right w:val="none" w:sz="0" w:space="0" w:color="auto"/>
          </w:divBdr>
          <w:divsChild>
            <w:div w:id="630987471">
              <w:marLeft w:val="0"/>
              <w:marRight w:val="0"/>
              <w:marTop w:val="0"/>
              <w:marBottom w:val="0"/>
              <w:divBdr>
                <w:top w:val="none" w:sz="0" w:space="0" w:color="auto"/>
                <w:left w:val="none" w:sz="0" w:space="0" w:color="auto"/>
                <w:bottom w:val="none" w:sz="0" w:space="0" w:color="auto"/>
                <w:right w:val="none" w:sz="0" w:space="0" w:color="auto"/>
              </w:divBdr>
            </w:div>
          </w:divsChild>
        </w:div>
        <w:div w:id="237987358">
          <w:marLeft w:val="0"/>
          <w:marRight w:val="0"/>
          <w:marTop w:val="0"/>
          <w:marBottom w:val="0"/>
          <w:divBdr>
            <w:top w:val="none" w:sz="0" w:space="0" w:color="auto"/>
            <w:left w:val="none" w:sz="0" w:space="0" w:color="auto"/>
            <w:bottom w:val="none" w:sz="0" w:space="0" w:color="auto"/>
            <w:right w:val="none" w:sz="0" w:space="0" w:color="auto"/>
          </w:divBdr>
          <w:divsChild>
            <w:div w:id="1744524127">
              <w:marLeft w:val="0"/>
              <w:marRight w:val="0"/>
              <w:marTop w:val="0"/>
              <w:marBottom w:val="0"/>
              <w:divBdr>
                <w:top w:val="none" w:sz="0" w:space="0" w:color="auto"/>
                <w:left w:val="none" w:sz="0" w:space="0" w:color="auto"/>
                <w:bottom w:val="none" w:sz="0" w:space="0" w:color="auto"/>
                <w:right w:val="none" w:sz="0" w:space="0" w:color="auto"/>
              </w:divBdr>
            </w:div>
          </w:divsChild>
        </w:div>
        <w:div w:id="240070182">
          <w:marLeft w:val="0"/>
          <w:marRight w:val="0"/>
          <w:marTop w:val="0"/>
          <w:marBottom w:val="0"/>
          <w:divBdr>
            <w:top w:val="none" w:sz="0" w:space="0" w:color="auto"/>
            <w:left w:val="none" w:sz="0" w:space="0" w:color="auto"/>
            <w:bottom w:val="none" w:sz="0" w:space="0" w:color="auto"/>
            <w:right w:val="none" w:sz="0" w:space="0" w:color="auto"/>
          </w:divBdr>
          <w:divsChild>
            <w:div w:id="1875969512">
              <w:marLeft w:val="0"/>
              <w:marRight w:val="0"/>
              <w:marTop w:val="0"/>
              <w:marBottom w:val="0"/>
              <w:divBdr>
                <w:top w:val="none" w:sz="0" w:space="0" w:color="auto"/>
                <w:left w:val="none" w:sz="0" w:space="0" w:color="auto"/>
                <w:bottom w:val="none" w:sz="0" w:space="0" w:color="auto"/>
                <w:right w:val="none" w:sz="0" w:space="0" w:color="auto"/>
              </w:divBdr>
            </w:div>
          </w:divsChild>
        </w:div>
        <w:div w:id="240406116">
          <w:marLeft w:val="0"/>
          <w:marRight w:val="0"/>
          <w:marTop w:val="0"/>
          <w:marBottom w:val="0"/>
          <w:divBdr>
            <w:top w:val="none" w:sz="0" w:space="0" w:color="auto"/>
            <w:left w:val="none" w:sz="0" w:space="0" w:color="auto"/>
            <w:bottom w:val="none" w:sz="0" w:space="0" w:color="auto"/>
            <w:right w:val="none" w:sz="0" w:space="0" w:color="auto"/>
          </w:divBdr>
          <w:divsChild>
            <w:div w:id="725492225">
              <w:marLeft w:val="0"/>
              <w:marRight w:val="0"/>
              <w:marTop w:val="0"/>
              <w:marBottom w:val="0"/>
              <w:divBdr>
                <w:top w:val="none" w:sz="0" w:space="0" w:color="auto"/>
                <w:left w:val="none" w:sz="0" w:space="0" w:color="auto"/>
                <w:bottom w:val="none" w:sz="0" w:space="0" w:color="auto"/>
                <w:right w:val="none" w:sz="0" w:space="0" w:color="auto"/>
              </w:divBdr>
            </w:div>
          </w:divsChild>
        </w:div>
        <w:div w:id="241572863">
          <w:marLeft w:val="0"/>
          <w:marRight w:val="0"/>
          <w:marTop w:val="0"/>
          <w:marBottom w:val="0"/>
          <w:divBdr>
            <w:top w:val="none" w:sz="0" w:space="0" w:color="auto"/>
            <w:left w:val="none" w:sz="0" w:space="0" w:color="auto"/>
            <w:bottom w:val="none" w:sz="0" w:space="0" w:color="auto"/>
            <w:right w:val="none" w:sz="0" w:space="0" w:color="auto"/>
          </w:divBdr>
          <w:divsChild>
            <w:div w:id="1597395684">
              <w:marLeft w:val="0"/>
              <w:marRight w:val="0"/>
              <w:marTop w:val="0"/>
              <w:marBottom w:val="0"/>
              <w:divBdr>
                <w:top w:val="none" w:sz="0" w:space="0" w:color="auto"/>
                <w:left w:val="none" w:sz="0" w:space="0" w:color="auto"/>
                <w:bottom w:val="none" w:sz="0" w:space="0" w:color="auto"/>
                <w:right w:val="none" w:sz="0" w:space="0" w:color="auto"/>
              </w:divBdr>
            </w:div>
          </w:divsChild>
        </w:div>
        <w:div w:id="241649975">
          <w:marLeft w:val="0"/>
          <w:marRight w:val="0"/>
          <w:marTop w:val="0"/>
          <w:marBottom w:val="0"/>
          <w:divBdr>
            <w:top w:val="none" w:sz="0" w:space="0" w:color="auto"/>
            <w:left w:val="none" w:sz="0" w:space="0" w:color="auto"/>
            <w:bottom w:val="none" w:sz="0" w:space="0" w:color="auto"/>
            <w:right w:val="none" w:sz="0" w:space="0" w:color="auto"/>
          </w:divBdr>
          <w:divsChild>
            <w:div w:id="1530295168">
              <w:marLeft w:val="0"/>
              <w:marRight w:val="0"/>
              <w:marTop w:val="0"/>
              <w:marBottom w:val="0"/>
              <w:divBdr>
                <w:top w:val="none" w:sz="0" w:space="0" w:color="auto"/>
                <w:left w:val="none" w:sz="0" w:space="0" w:color="auto"/>
                <w:bottom w:val="none" w:sz="0" w:space="0" w:color="auto"/>
                <w:right w:val="none" w:sz="0" w:space="0" w:color="auto"/>
              </w:divBdr>
            </w:div>
          </w:divsChild>
        </w:div>
        <w:div w:id="244850293">
          <w:marLeft w:val="0"/>
          <w:marRight w:val="0"/>
          <w:marTop w:val="0"/>
          <w:marBottom w:val="0"/>
          <w:divBdr>
            <w:top w:val="none" w:sz="0" w:space="0" w:color="auto"/>
            <w:left w:val="none" w:sz="0" w:space="0" w:color="auto"/>
            <w:bottom w:val="none" w:sz="0" w:space="0" w:color="auto"/>
            <w:right w:val="none" w:sz="0" w:space="0" w:color="auto"/>
          </w:divBdr>
          <w:divsChild>
            <w:div w:id="1604259568">
              <w:marLeft w:val="0"/>
              <w:marRight w:val="0"/>
              <w:marTop w:val="0"/>
              <w:marBottom w:val="0"/>
              <w:divBdr>
                <w:top w:val="none" w:sz="0" w:space="0" w:color="auto"/>
                <w:left w:val="none" w:sz="0" w:space="0" w:color="auto"/>
                <w:bottom w:val="none" w:sz="0" w:space="0" w:color="auto"/>
                <w:right w:val="none" w:sz="0" w:space="0" w:color="auto"/>
              </w:divBdr>
            </w:div>
          </w:divsChild>
        </w:div>
        <w:div w:id="245655788">
          <w:marLeft w:val="0"/>
          <w:marRight w:val="0"/>
          <w:marTop w:val="0"/>
          <w:marBottom w:val="0"/>
          <w:divBdr>
            <w:top w:val="none" w:sz="0" w:space="0" w:color="auto"/>
            <w:left w:val="none" w:sz="0" w:space="0" w:color="auto"/>
            <w:bottom w:val="none" w:sz="0" w:space="0" w:color="auto"/>
            <w:right w:val="none" w:sz="0" w:space="0" w:color="auto"/>
          </w:divBdr>
          <w:divsChild>
            <w:div w:id="359551819">
              <w:marLeft w:val="0"/>
              <w:marRight w:val="0"/>
              <w:marTop w:val="0"/>
              <w:marBottom w:val="0"/>
              <w:divBdr>
                <w:top w:val="none" w:sz="0" w:space="0" w:color="auto"/>
                <w:left w:val="none" w:sz="0" w:space="0" w:color="auto"/>
                <w:bottom w:val="none" w:sz="0" w:space="0" w:color="auto"/>
                <w:right w:val="none" w:sz="0" w:space="0" w:color="auto"/>
              </w:divBdr>
            </w:div>
          </w:divsChild>
        </w:div>
        <w:div w:id="250047209">
          <w:marLeft w:val="0"/>
          <w:marRight w:val="0"/>
          <w:marTop w:val="0"/>
          <w:marBottom w:val="0"/>
          <w:divBdr>
            <w:top w:val="none" w:sz="0" w:space="0" w:color="auto"/>
            <w:left w:val="none" w:sz="0" w:space="0" w:color="auto"/>
            <w:bottom w:val="none" w:sz="0" w:space="0" w:color="auto"/>
            <w:right w:val="none" w:sz="0" w:space="0" w:color="auto"/>
          </w:divBdr>
          <w:divsChild>
            <w:div w:id="1754550621">
              <w:marLeft w:val="0"/>
              <w:marRight w:val="0"/>
              <w:marTop w:val="0"/>
              <w:marBottom w:val="0"/>
              <w:divBdr>
                <w:top w:val="none" w:sz="0" w:space="0" w:color="auto"/>
                <w:left w:val="none" w:sz="0" w:space="0" w:color="auto"/>
                <w:bottom w:val="none" w:sz="0" w:space="0" w:color="auto"/>
                <w:right w:val="none" w:sz="0" w:space="0" w:color="auto"/>
              </w:divBdr>
            </w:div>
          </w:divsChild>
        </w:div>
        <w:div w:id="251282323">
          <w:marLeft w:val="0"/>
          <w:marRight w:val="0"/>
          <w:marTop w:val="0"/>
          <w:marBottom w:val="0"/>
          <w:divBdr>
            <w:top w:val="none" w:sz="0" w:space="0" w:color="auto"/>
            <w:left w:val="none" w:sz="0" w:space="0" w:color="auto"/>
            <w:bottom w:val="none" w:sz="0" w:space="0" w:color="auto"/>
            <w:right w:val="none" w:sz="0" w:space="0" w:color="auto"/>
          </w:divBdr>
          <w:divsChild>
            <w:div w:id="652292073">
              <w:marLeft w:val="0"/>
              <w:marRight w:val="0"/>
              <w:marTop w:val="0"/>
              <w:marBottom w:val="0"/>
              <w:divBdr>
                <w:top w:val="none" w:sz="0" w:space="0" w:color="auto"/>
                <w:left w:val="none" w:sz="0" w:space="0" w:color="auto"/>
                <w:bottom w:val="none" w:sz="0" w:space="0" w:color="auto"/>
                <w:right w:val="none" w:sz="0" w:space="0" w:color="auto"/>
              </w:divBdr>
            </w:div>
          </w:divsChild>
        </w:div>
        <w:div w:id="257326882">
          <w:marLeft w:val="0"/>
          <w:marRight w:val="0"/>
          <w:marTop w:val="0"/>
          <w:marBottom w:val="0"/>
          <w:divBdr>
            <w:top w:val="none" w:sz="0" w:space="0" w:color="auto"/>
            <w:left w:val="none" w:sz="0" w:space="0" w:color="auto"/>
            <w:bottom w:val="none" w:sz="0" w:space="0" w:color="auto"/>
            <w:right w:val="none" w:sz="0" w:space="0" w:color="auto"/>
          </w:divBdr>
          <w:divsChild>
            <w:div w:id="1486123059">
              <w:marLeft w:val="0"/>
              <w:marRight w:val="0"/>
              <w:marTop w:val="0"/>
              <w:marBottom w:val="0"/>
              <w:divBdr>
                <w:top w:val="none" w:sz="0" w:space="0" w:color="auto"/>
                <w:left w:val="none" w:sz="0" w:space="0" w:color="auto"/>
                <w:bottom w:val="none" w:sz="0" w:space="0" w:color="auto"/>
                <w:right w:val="none" w:sz="0" w:space="0" w:color="auto"/>
              </w:divBdr>
            </w:div>
          </w:divsChild>
        </w:div>
        <w:div w:id="258412769">
          <w:marLeft w:val="0"/>
          <w:marRight w:val="0"/>
          <w:marTop w:val="0"/>
          <w:marBottom w:val="0"/>
          <w:divBdr>
            <w:top w:val="none" w:sz="0" w:space="0" w:color="auto"/>
            <w:left w:val="none" w:sz="0" w:space="0" w:color="auto"/>
            <w:bottom w:val="none" w:sz="0" w:space="0" w:color="auto"/>
            <w:right w:val="none" w:sz="0" w:space="0" w:color="auto"/>
          </w:divBdr>
          <w:divsChild>
            <w:div w:id="1225094793">
              <w:marLeft w:val="0"/>
              <w:marRight w:val="0"/>
              <w:marTop w:val="0"/>
              <w:marBottom w:val="0"/>
              <w:divBdr>
                <w:top w:val="none" w:sz="0" w:space="0" w:color="auto"/>
                <w:left w:val="none" w:sz="0" w:space="0" w:color="auto"/>
                <w:bottom w:val="none" w:sz="0" w:space="0" w:color="auto"/>
                <w:right w:val="none" w:sz="0" w:space="0" w:color="auto"/>
              </w:divBdr>
            </w:div>
          </w:divsChild>
        </w:div>
        <w:div w:id="258757547">
          <w:marLeft w:val="0"/>
          <w:marRight w:val="0"/>
          <w:marTop w:val="0"/>
          <w:marBottom w:val="0"/>
          <w:divBdr>
            <w:top w:val="none" w:sz="0" w:space="0" w:color="auto"/>
            <w:left w:val="none" w:sz="0" w:space="0" w:color="auto"/>
            <w:bottom w:val="none" w:sz="0" w:space="0" w:color="auto"/>
            <w:right w:val="none" w:sz="0" w:space="0" w:color="auto"/>
          </w:divBdr>
          <w:divsChild>
            <w:div w:id="990333527">
              <w:marLeft w:val="0"/>
              <w:marRight w:val="0"/>
              <w:marTop w:val="0"/>
              <w:marBottom w:val="0"/>
              <w:divBdr>
                <w:top w:val="none" w:sz="0" w:space="0" w:color="auto"/>
                <w:left w:val="none" w:sz="0" w:space="0" w:color="auto"/>
                <w:bottom w:val="none" w:sz="0" w:space="0" w:color="auto"/>
                <w:right w:val="none" w:sz="0" w:space="0" w:color="auto"/>
              </w:divBdr>
            </w:div>
          </w:divsChild>
        </w:div>
        <w:div w:id="266889510">
          <w:marLeft w:val="0"/>
          <w:marRight w:val="0"/>
          <w:marTop w:val="0"/>
          <w:marBottom w:val="0"/>
          <w:divBdr>
            <w:top w:val="none" w:sz="0" w:space="0" w:color="auto"/>
            <w:left w:val="none" w:sz="0" w:space="0" w:color="auto"/>
            <w:bottom w:val="none" w:sz="0" w:space="0" w:color="auto"/>
            <w:right w:val="none" w:sz="0" w:space="0" w:color="auto"/>
          </w:divBdr>
          <w:divsChild>
            <w:div w:id="1452629262">
              <w:marLeft w:val="0"/>
              <w:marRight w:val="0"/>
              <w:marTop w:val="0"/>
              <w:marBottom w:val="0"/>
              <w:divBdr>
                <w:top w:val="none" w:sz="0" w:space="0" w:color="auto"/>
                <w:left w:val="none" w:sz="0" w:space="0" w:color="auto"/>
                <w:bottom w:val="none" w:sz="0" w:space="0" w:color="auto"/>
                <w:right w:val="none" w:sz="0" w:space="0" w:color="auto"/>
              </w:divBdr>
            </w:div>
          </w:divsChild>
        </w:div>
        <w:div w:id="268319425">
          <w:marLeft w:val="0"/>
          <w:marRight w:val="0"/>
          <w:marTop w:val="0"/>
          <w:marBottom w:val="0"/>
          <w:divBdr>
            <w:top w:val="none" w:sz="0" w:space="0" w:color="auto"/>
            <w:left w:val="none" w:sz="0" w:space="0" w:color="auto"/>
            <w:bottom w:val="none" w:sz="0" w:space="0" w:color="auto"/>
            <w:right w:val="none" w:sz="0" w:space="0" w:color="auto"/>
          </w:divBdr>
          <w:divsChild>
            <w:div w:id="1236276990">
              <w:marLeft w:val="0"/>
              <w:marRight w:val="0"/>
              <w:marTop w:val="0"/>
              <w:marBottom w:val="0"/>
              <w:divBdr>
                <w:top w:val="none" w:sz="0" w:space="0" w:color="auto"/>
                <w:left w:val="none" w:sz="0" w:space="0" w:color="auto"/>
                <w:bottom w:val="none" w:sz="0" w:space="0" w:color="auto"/>
                <w:right w:val="none" w:sz="0" w:space="0" w:color="auto"/>
              </w:divBdr>
            </w:div>
          </w:divsChild>
        </w:div>
        <w:div w:id="269943842">
          <w:marLeft w:val="0"/>
          <w:marRight w:val="0"/>
          <w:marTop w:val="0"/>
          <w:marBottom w:val="0"/>
          <w:divBdr>
            <w:top w:val="none" w:sz="0" w:space="0" w:color="auto"/>
            <w:left w:val="none" w:sz="0" w:space="0" w:color="auto"/>
            <w:bottom w:val="none" w:sz="0" w:space="0" w:color="auto"/>
            <w:right w:val="none" w:sz="0" w:space="0" w:color="auto"/>
          </w:divBdr>
          <w:divsChild>
            <w:div w:id="202597493">
              <w:marLeft w:val="0"/>
              <w:marRight w:val="0"/>
              <w:marTop w:val="0"/>
              <w:marBottom w:val="0"/>
              <w:divBdr>
                <w:top w:val="none" w:sz="0" w:space="0" w:color="auto"/>
                <w:left w:val="none" w:sz="0" w:space="0" w:color="auto"/>
                <w:bottom w:val="none" w:sz="0" w:space="0" w:color="auto"/>
                <w:right w:val="none" w:sz="0" w:space="0" w:color="auto"/>
              </w:divBdr>
            </w:div>
          </w:divsChild>
        </w:div>
        <w:div w:id="271985666">
          <w:marLeft w:val="0"/>
          <w:marRight w:val="0"/>
          <w:marTop w:val="0"/>
          <w:marBottom w:val="0"/>
          <w:divBdr>
            <w:top w:val="none" w:sz="0" w:space="0" w:color="auto"/>
            <w:left w:val="none" w:sz="0" w:space="0" w:color="auto"/>
            <w:bottom w:val="none" w:sz="0" w:space="0" w:color="auto"/>
            <w:right w:val="none" w:sz="0" w:space="0" w:color="auto"/>
          </w:divBdr>
          <w:divsChild>
            <w:div w:id="658458169">
              <w:marLeft w:val="0"/>
              <w:marRight w:val="0"/>
              <w:marTop w:val="0"/>
              <w:marBottom w:val="0"/>
              <w:divBdr>
                <w:top w:val="none" w:sz="0" w:space="0" w:color="auto"/>
                <w:left w:val="none" w:sz="0" w:space="0" w:color="auto"/>
                <w:bottom w:val="none" w:sz="0" w:space="0" w:color="auto"/>
                <w:right w:val="none" w:sz="0" w:space="0" w:color="auto"/>
              </w:divBdr>
            </w:div>
          </w:divsChild>
        </w:div>
        <w:div w:id="272128834">
          <w:marLeft w:val="0"/>
          <w:marRight w:val="0"/>
          <w:marTop w:val="0"/>
          <w:marBottom w:val="0"/>
          <w:divBdr>
            <w:top w:val="none" w:sz="0" w:space="0" w:color="auto"/>
            <w:left w:val="none" w:sz="0" w:space="0" w:color="auto"/>
            <w:bottom w:val="none" w:sz="0" w:space="0" w:color="auto"/>
            <w:right w:val="none" w:sz="0" w:space="0" w:color="auto"/>
          </w:divBdr>
          <w:divsChild>
            <w:div w:id="898128502">
              <w:marLeft w:val="0"/>
              <w:marRight w:val="0"/>
              <w:marTop w:val="0"/>
              <w:marBottom w:val="0"/>
              <w:divBdr>
                <w:top w:val="none" w:sz="0" w:space="0" w:color="auto"/>
                <w:left w:val="none" w:sz="0" w:space="0" w:color="auto"/>
                <w:bottom w:val="none" w:sz="0" w:space="0" w:color="auto"/>
                <w:right w:val="none" w:sz="0" w:space="0" w:color="auto"/>
              </w:divBdr>
            </w:div>
          </w:divsChild>
        </w:div>
        <w:div w:id="279454659">
          <w:marLeft w:val="0"/>
          <w:marRight w:val="0"/>
          <w:marTop w:val="0"/>
          <w:marBottom w:val="0"/>
          <w:divBdr>
            <w:top w:val="none" w:sz="0" w:space="0" w:color="auto"/>
            <w:left w:val="none" w:sz="0" w:space="0" w:color="auto"/>
            <w:bottom w:val="none" w:sz="0" w:space="0" w:color="auto"/>
            <w:right w:val="none" w:sz="0" w:space="0" w:color="auto"/>
          </w:divBdr>
          <w:divsChild>
            <w:div w:id="1151367110">
              <w:marLeft w:val="0"/>
              <w:marRight w:val="0"/>
              <w:marTop w:val="0"/>
              <w:marBottom w:val="0"/>
              <w:divBdr>
                <w:top w:val="none" w:sz="0" w:space="0" w:color="auto"/>
                <w:left w:val="none" w:sz="0" w:space="0" w:color="auto"/>
                <w:bottom w:val="none" w:sz="0" w:space="0" w:color="auto"/>
                <w:right w:val="none" w:sz="0" w:space="0" w:color="auto"/>
              </w:divBdr>
            </w:div>
          </w:divsChild>
        </w:div>
        <w:div w:id="279844328">
          <w:marLeft w:val="0"/>
          <w:marRight w:val="0"/>
          <w:marTop w:val="0"/>
          <w:marBottom w:val="0"/>
          <w:divBdr>
            <w:top w:val="none" w:sz="0" w:space="0" w:color="auto"/>
            <w:left w:val="none" w:sz="0" w:space="0" w:color="auto"/>
            <w:bottom w:val="none" w:sz="0" w:space="0" w:color="auto"/>
            <w:right w:val="none" w:sz="0" w:space="0" w:color="auto"/>
          </w:divBdr>
          <w:divsChild>
            <w:div w:id="1935045624">
              <w:marLeft w:val="0"/>
              <w:marRight w:val="0"/>
              <w:marTop w:val="0"/>
              <w:marBottom w:val="0"/>
              <w:divBdr>
                <w:top w:val="none" w:sz="0" w:space="0" w:color="auto"/>
                <w:left w:val="none" w:sz="0" w:space="0" w:color="auto"/>
                <w:bottom w:val="none" w:sz="0" w:space="0" w:color="auto"/>
                <w:right w:val="none" w:sz="0" w:space="0" w:color="auto"/>
              </w:divBdr>
            </w:div>
          </w:divsChild>
        </w:div>
        <w:div w:id="280773129">
          <w:marLeft w:val="0"/>
          <w:marRight w:val="0"/>
          <w:marTop w:val="0"/>
          <w:marBottom w:val="0"/>
          <w:divBdr>
            <w:top w:val="none" w:sz="0" w:space="0" w:color="auto"/>
            <w:left w:val="none" w:sz="0" w:space="0" w:color="auto"/>
            <w:bottom w:val="none" w:sz="0" w:space="0" w:color="auto"/>
            <w:right w:val="none" w:sz="0" w:space="0" w:color="auto"/>
          </w:divBdr>
          <w:divsChild>
            <w:div w:id="1118067428">
              <w:marLeft w:val="0"/>
              <w:marRight w:val="0"/>
              <w:marTop w:val="0"/>
              <w:marBottom w:val="0"/>
              <w:divBdr>
                <w:top w:val="none" w:sz="0" w:space="0" w:color="auto"/>
                <w:left w:val="none" w:sz="0" w:space="0" w:color="auto"/>
                <w:bottom w:val="none" w:sz="0" w:space="0" w:color="auto"/>
                <w:right w:val="none" w:sz="0" w:space="0" w:color="auto"/>
              </w:divBdr>
            </w:div>
          </w:divsChild>
        </w:div>
        <w:div w:id="283387080">
          <w:marLeft w:val="0"/>
          <w:marRight w:val="0"/>
          <w:marTop w:val="0"/>
          <w:marBottom w:val="0"/>
          <w:divBdr>
            <w:top w:val="none" w:sz="0" w:space="0" w:color="auto"/>
            <w:left w:val="none" w:sz="0" w:space="0" w:color="auto"/>
            <w:bottom w:val="none" w:sz="0" w:space="0" w:color="auto"/>
            <w:right w:val="none" w:sz="0" w:space="0" w:color="auto"/>
          </w:divBdr>
          <w:divsChild>
            <w:div w:id="1974284335">
              <w:marLeft w:val="0"/>
              <w:marRight w:val="0"/>
              <w:marTop w:val="0"/>
              <w:marBottom w:val="0"/>
              <w:divBdr>
                <w:top w:val="none" w:sz="0" w:space="0" w:color="auto"/>
                <w:left w:val="none" w:sz="0" w:space="0" w:color="auto"/>
                <w:bottom w:val="none" w:sz="0" w:space="0" w:color="auto"/>
                <w:right w:val="none" w:sz="0" w:space="0" w:color="auto"/>
              </w:divBdr>
            </w:div>
          </w:divsChild>
        </w:div>
        <w:div w:id="284653076">
          <w:marLeft w:val="0"/>
          <w:marRight w:val="0"/>
          <w:marTop w:val="0"/>
          <w:marBottom w:val="0"/>
          <w:divBdr>
            <w:top w:val="none" w:sz="0" w:space="0" w:color="auto"/>
            <w:left w:val="none" w:sz="0" w:space="0" w:color="auto"/>
            <w:bottom w:val="none" w:sz="0" w:space="0" w:color="auto"/>
            <w:right w:val="none" w:sz="0" w:space="0" w:color="auto"/>
          </w:divBdr>
          <w:divsChild>
            <w:div w:id="1132938042">
              <w:marLeft w:val="0"/>
              <w:marRight w:val="0"/>
              <w:marTop w:val="0"/>
              <w:marBottom w:val="0"/>
              <w:divBdr>
                <w:top w:val="none" w:sz="0" w:space="0" w:color="auto"/>
                <w:left w:val="none" w:sz="0" w:space="0" w:color="auto"/>
                <w:bottom w:val="none" w:sz="0" w:space="0" w:color="auto"/>
                <w:right w:val="none" w:sz="0" w:space="0" w:color="auto"/>
              </w:divBdr>
            </w:div>
          </w:divsChild>
        </w:div>
        <w:div w:id="286279223">
          <w:marLeft w:val="0"/>
          <w:marRight w:val="0"/>
          <w:marTop w:val="0"/>
          <w:marBottom w:val="0"/>
          <w:divBdr>
            <w:top w:val="none" w:sz="0" w:space="0" w:color="auto"/>
            <w:left w:val="none" w:sz="0" w:space="0" w:color="auto"/>
            <w:bottom w:val="none" w:sz="0" w:space="0" w:color="auto"/>
            <w:right w:val="none" w:sz="0" w:space="0" w:color="auto"/>
          </w:divBdr>
          <w:divsChild>
            <w:div w:id="852961590">
              <w:marLeft w:val="0"/>
              <w:marRight w:val="0"/>
              <w:marTop w:val="0"/>
              <w:marBottom w:val="0"/>
              <w:divBdr>
                <w:top w:val="none" w:sz="0" w:space="0" w:color="auto"/>
                <w:left w:val="none" w:sz="0" w:space="0" w:color="auto"/>
                <w:bottom w:val="none" w:sz="0" w:space="0" w:color="auto"/>
                <w:right w:val="none" w:sz="0" w:space="0" w:color="auto"/>
              </w:divBdr>
            </w:div>
          </w:divsChild>
        </w:div>
        <w:div w:id="287972468">
          <w:marLeft w:val="0"/>
          <w:marRight w:val="0"/>
          <w:marTop w:val="0"/>
          <w:marBottom w:val="0"/>
          <w:divBdr>
            <w:top w:val="none" w:sz="0" w:space="0" w:color="auto"/>
            <w:left w:val="none" w:sz="0" w:space="0" w:color="auto"/>
            <w:bottom w:val="none" w:sz="0" w:space="0" w:color="auto"/>
            <w:right w:val="none" w:sz="0" w:space="0" w:color="auto"/>
          </w:divBdr>
          <w:divsChild>
            <w:div w:id="242764615">
              <w:marLeft w:val="0"/>
              <w:marRight w:val="0"/>
              <w:marTop w:val="0"/>
              <w:marBottom w:val="0"/>
              <w:divBdr>
                <w:top w:val="none" w:sz="0" w:space="0" w:color="auto"/>
                <w:left w:val="none" w:sz="0" w:space="0" w:color="auto"/>
                <w:bottom w:val="none" w:sz="0" w:space="0" w:color="auto"/>
                <w:right w:val="none" w:sz="0" w:space="0" w:color="auto"/>
              </w:divBdr>
            </w:div>
          </w:divsChild>
        </w:div>
        <w:div w:id="288051726">
          <w:marLeft w:val="0"/>
          <w:marRight w:val="0"/>
          <w:marTop w:val="0"/>
          <w:marBottom w:val="0"/>
          <w:divBdr>
            <w:top w:val="none" w:sz="0" w:space="0" w:color="auto"/>
            <w:left w:val="none" w:sz="0" w:space="0" w:color="auto"/>
            <w:bottom w:val="none" w:sz="0" w:space="0" w:color="auto"/>
            <w:right w:val="none" w:sz="0" w:space="0" w:color="auto"/>
          </w:divBdr>
          <w:divsChild>
            <w:div w:id="1441023198">
              <w:marLeft w:val="0"/>
              <w:marRight w:val="0"/>
              <w:marTop w:val="0"/>
              <w:marBottom w:val="0"/>
              <w:divBdr>
                <w:top w:val="none" w:sz="0" w:space="0" w:color="auto"/>
                <w:left w:val="none" w:sz="0" w:space="0" w:color="auto"/>
                <w:bottom w:val="none" w:sz="0" w:space="0" w:color="auto"/>
                <w:right w:val="none" w:sz="0" w:space="0" w:color="auto"/>
              </w:divBdr>
            </w:div>
          </w:divsChild>
        </w:div>
        <w:div w:id="289364249">
          <w:marLeft w:val="0"/>
          <w:marRight w:val="0"/>
          <w:marTop w:val="0"/>
          <w:marBottom w:val="0"/>
          <w:divBdr>
            <w:top w:val="none" w:sz="0" w:space="0" w:color="auto"/>
            <w:left w:val="none" w:sz="0" w:space="0" w:color="auto"/>
            <w:bottom w:val="none" w:sz="0" w:space="0" w:color="auto"/>
            <w:right w:val="none" w:sz="0" w:space="0" w:color="auto"/>
          </w:divBdr>
          <w:divsChild>
            <w:div w:id="1418406185">
              <w:marLeft w:val="0"/>
              <w:marRight w:val="0"/>
              <w:marTop w:val="0"/>
              <w:marBottom w:val="0"/>
              <w:divBdr>
                <w:top w:val="none" w:sz="0" w:space="0" w:color="auto"/>
                <w:left w:val="none" w:sz="0" w:space="0" w:color="auto"/>
                <w:bottom w:val="none" w:sz="0" w:space="0" w:color="auto"/>
                <w:right w:val="none" w:sz="0" w:space="0" w:color="auto"/>
              </w:divBdr>
            </w:div>
          </w:divsChild>
        </w:div>
        <w:div w:id="292176193">
          <w:marLeft w:val="0"/>
          <w:marRight w:val="0"/>
          <w:marTop w:val="0"/>
          <w:marBottom w:val="0"/>
          <w:divBdr>
            <w:top w:val="none" w:sz="0" w:space="0" w:color="auto"/>
            <w:left w:val="none" w:sz="0" w:space="0" w:color="auto"/>
            <w:bottom w:val="none" w:sz="0" w:space="0" w:color="auto"/>
            <w:right w:val="none" w:sz="0" w:space="0" w:color="auto"/>
          </w:divBdr>
          <w:divsChild>
            <w:div w:id="1077019398">
              <w:marLeft w:val="0"/>
              <w:marRight w:val="0"/>
              <w:marTop w:val="0"/>
              <w:marBottom w:val="0"/>
              <w:divBdr>
                <w:top w:val="none" w:sz="0" w:space="0" w:color="auto"/>
                <w:left w:val="none" w:sz="0" w:space="0" w:color="auto"/>
                <w:bottom w:val="none" w:sz="0" w:space="0" w:color="auto"/>
                <w:right w:val="none" w:sz="0" w:space="0" w:color="auto"/>
              </w:divBdr>
            </w:div>
          </w:divsChild>
        </w:div>
        <w:div w:id="293490618">
          <w:marLeft w:val="0"/>
          <w:marRight w:val="0"/>
          <w:marTop w:val="0"/>
          <w:marBottom w:val="0"/>
          <w:divBdr>
            <w:top w:val="none" w:sz="0" w:space="0" w:color="auto"/>
            <w:left w:val="none" w:sz="0" w:space="0" w:color="auto"/>
            <w:bottom w:val="none" w:sz="0" w:space="0" w:color="auto"/>
            <w:right w:val="none" w:sz="0" w:space="0" w:color="auto"/>
          </w:divBdr>
          <w:divsChild>
            <w:div w:id="1308316341">
              <w:marLeft w:val="0"/>
              <w:marRight w:val="0"/>
              <w:marTop w:val="0"/>
              <w:marBottom w:val="0"/>
              <w:divBdr>
                <w:top w:val="none" w:sz="0" w:space="0" w:color="auto"/>
                <w:left w:val="none" w:sz="0" w:space="0" w:color="auto"/>
                <w:bottom w:val="none" w:sz="0" w:space="0" w:color="auto"/>
                <w:right w:val="none" w:sz="0" w:space="0" w:color="auto"/>
              </w:divBdr>
            </w:div>
          </w:divsChild>
        </w:div>
        <w:div w:id="296422782">
          <w:marLeft w:val="0"/>
          <w:marRight w:val="0"/>
          <w:marTop w:val="0"/>
          <w:marBottom w:val="0"/>
          <w:divBdr>
            <w:top w:val="none" w:sz="0" w:space="0" w:color="auto"/>
            <w:left w:val="none" w:sz="0" w:space="0" w:color="auto"/>
            <w:bottom w:val="none" w:sz="0" w:space="0" w:color="auto"/>
            <w:right w:val="none" w:sz="0" w:space="0" w:color="auto"/>
          </w:divBdr>
          <w:divsChild>
            <w:div w:id="587467657">
              <w:marLeft w:val="0"/>
              <w:marRight w:val="0"/>
              <w:marTop w:val="0"/>
              <w:marBottom w:val="0"/>
              <w:divBdr>
                <w:top w:val="none" w:sz="0" w:space="0" w:color="auto"/>
                <w:left w:val="none" w:sz="0" w:space="0" w:color="auto"/>
                <w:bottom w:val="none" w:sz="0" w:space="0" w:color="auto"/>
                <w:right w:val="none" w:sz="0" w:space="0" w:color="auto"/>
              </w:divBdr>
            </w:div>
          </w:divsChild>
        </w:div>
        <w:div w:id="299771512">
          <w:marLeft w:val="0"/>
          <w:marRight w:val="0"/>
          <w:marTop w:val="0"/>
          <w:marBottom w:val="0"/>
          <w:divBdr>
            <w:top w:val="none" w:sz="0" w:space="0" w:color="auto"/>
            <w:left w:val="none" w:sz="0" w:space="0" w:color="auto"/>
            <w:bottom w:val="none" w:sz="0" w:space="0" w:color="auto"/>
            <w:right w:val="none" w:sz="0" w:space="0" w:color="auto"/>
          </w:divBdr>
          <w:divsChild>
            <w:div w:id="1555001349">
              <w:marLeft w:val="0"/>
              <w:marRight w:val="0"/>
              <w:marTop w:val="0"/>
              <w:marBottom w:val="0"/>
              <w:divBdr>
                <w:top w:val="none" w:sz="0" w:space="0" w:color="auto"/>
                <w:left w:val="none" w:sz="0" w:space="0" w:color="auto"/>
                <w:bottom w:val="none" w:sz="0" w:space="0" w:color="auto"/>
                <w:right w:val="none" w:sz="0" w:space="0" w:color="auto"/>
              </w:divBdr>
            </w:div>
          </w:divsChild>
        </w:div>
        <w:div w:id="301034316">
          <w:marLeft w:val="0"/>
          <w:marRight w:val="0"/>
          <w:marTop w:val="0"/>
          <w:marBottom w:val="0"/>
          <w:divBdr>
            <w:top w:val="none" w:sz="0" w:space="0" w:color="auto"/>
            <w:left w:val="none" w:sz="0" w:space="0" w:color="auto"/>
            <w:bottom w:val="none" w:sz="0" w:space="0" w:color="auto"/>
            <w:right w:val="none" w:sz="0" w:space="0" w:color="auto"/>
          </w:divBdr>
          <w:divsChild>
            <w:div w:id="1018700429">
              <w:marLeft w:val="0"/>
              <w:marRight w:val="0"/>
              <w:marTop w:val="0"/>
              <w:marBottom w:val="0"/>
              <w:divBdr>
                <w:top w:val="none" w:sz="0" w:space="0" w:color="auto"/>
                <w:left w:val="none" w:sz="0" w:space="0" w:color="auto"/>
                <w:bottom w:val="none" w:sz="0" w:space="0" w:color="auto"/>
                <w:right w:val="none" w:sz="0" w:space="0" w:color="auto"/>
              </w:divBdr>
            </w:div>
          </w:divsChild>
        </w:div>
        <w:div w:id="303586816">
          <w:marLeft w:val="0"/>
          <w:marRight w:val="0"/>
          <w:marTop w:val="0"/>
          <w:marBottom w:val="0"/>
          <w:divBdr>
            <w:top w:val="none" w:sz="0" w:space="0" w:color="auto"/>
            <w:left w:val="none" w:sz="0" w:space="0" w:color="auto"/>
            <w:bottom w:val="none" w:sz="0" w:space="0" w:color="auto"/>
            <w:right w:val="none" w:sz="0" w:space="0" w:color="auto"/>
          </w:divBdr>
          <w:divsChild>
            <w:div w:id="1557666748">
              <w:marLeft w:val="0"/>
              <w:marRight w:val="0"/>
              <w:marTop w:val="0"/>
              <w:marBottom w:val="0"/>
              <w:divBdr>
                <w:top w:val="none" w:sz="0" w:space="0" w:color="auto"/>
                <w:left w:val="none" w:sz="0" w:space="0" w:color="auto"/>
                <w:bottom w:val="none" w:sz="0" w:space="0" w:color="auto"/>
                <w:right w:val="none" w:sz="0" w:space="0" w:color="auto"/>
              </w:divBdr>
            </w:div>
          </w:divsChild>
        </w:div>
        <w:div w:id="305624638">
          <w:marLeft w:val="0"/>
          <w:marRight w:val="0"/>
          <w:marTop w:val="0"/>
          <w:marBottom w:val="0"/>
          <w:divBdr>
            <w:top w:val="none" w:sz="0" w:space="0" w:color="auto"/>
            <w:left w:val="none" w:sz="0" w:space="0" w:color="auto"/>
            <w:bottom w:val="none" w:sz="0" w:space="0" w:color="auto"/>
            <w:right w:val="none" w:sz="0" w:space="0" w:color="auto"/>
          </w:divBdr>
          <w:divsChild>
            <w:div w:id="1483497065">
              <w:marLeft w:val="0"/>
              <w:marRight w:val="0"/>
              <w:marTop w:val="0"/>
              <w:marBottom w:val="0"/>
              <w:divBdr>
                <w:top w:val="none" w:sz="0" w:space="0" w:color="auto"/>
                <w:left w:val="none" w:sz="0" w:space="0" w:color="auto"/>
                <w:bottom w:val="none" w:sz="0" w:space="0" w:color="auto"/>
                <w:right w:val="none" w:sz="0" w:space="0" w:color="auto"/>
              </w:divBdr>
            </w:div>
          </w:divsChild>
        </w:div>
        <w:div w:id="307442597">
          <w:marLeft w:val="0"/>
          <w:marRight w:val="0"/>
          <w:marTop w:val="0"/>
          <w:marBottom w:val="0"/>
          <w:divBdr>
            <w:top w:val="none" w:sz="0" w:space="0" w:color="auto"/>
            <w:left w:val="none" w:sz="0" w:space="0" w:color="auto"/>
            <w:bottom w:val="none" w:sz="0" w:space="0" w:color="auto"/>
            <w:right w:val="none" w:sz="0" w:space="0" w:color="auto"/>
          </w:divBdr>
          <w:divsChild>
            <w:div w:id="1864322974">
              <w:marLeft w:val="0"/>
              <w:marRight w:val="0"/>
              <w:marTop w:val="0"/>
              <w:marBottom w:val="0"/>
              <w:divBdr>
                <w:top w:val="none" w:sz="0" w:space="0" w:color="auto"/>
                <w:left w:val="none" w:sz="0" w:space="0" w:color="auto"/>
                <w:bottom w:val="none" w:sz="0" w:space="0" w:color="auto"/>
                <w:right w:val="none" w:sz="0" w:space="0" w:color="auto"/>
              </w:divBdr>
            </w:div>
          </w:divsChild>
        </w:div>
        <w:div w:id="309293181">
          <w:marLeft w:val="0"/>
          <w:marRight w:val="0"/>
          <w:marTop w:val="0"/>
          <w:marBottom w:val="0"/>
          <w:divBdr>
            <w:top w:val="none" w:sz="0" w:space="0" w:color="auto"/>
            <w:left w:val="none" w:sz="0" w:space="0" w:color="auto"/>
            <w:bottom w:val="none" w:sz="0" w:space="0" w:color="auto"/>
            <w:right w:val="none" w:sz="0" w:space="0" w:color="auto"/>
          </w:divBdr>
          <w:divsChild>
            <w:div w:id="2124038179">
              <w:marLeft w:val="0"/>
              <w:marRight w:val="0"/>
              <w:marTop w:val="0"/>
              <w:marBottom w:val="0"/>
              <w:divBdr>
                <w:top w:val="none" w:sz="0" w:space="0" w:color="auto"/>
                <w:left w:val="none" w:sz="0" w:space="0" w:color="auto"/>
                <w:bottom w:val="none" w:sz="0" w:space="0" w:color="auto"/>
                <w:right w:val="none" w:sz="0" w:space="0" w:color="auto"/>
              </w:divBdr>
            </w:div>
          </w:divsChild>
        </w:div>
        <w:div w:id="310015436">
          <w:marLeft w:val="0"/>
          <w:marRight w:val="0"/>
          <w:marTop w:val="0"/>
          <w:marBottom w:val="0"/>
          <w:divBdr>
            <w:top w:val="none" w:sz="0" w:space="0" w:color="auto"/>
            <w:left w:val="none" w:sz="0" w:space="0" w:color="auto"/>
            <w:bottom w:val="none" w:sz="0" w:space="0" w:color="auto"/>
            <w:right w:val="none" w:sz="0" w:space="0" w:color="auto"/>
          </w:divBdr>
          <w:divsChild>
            <w:div w:id="537622256">
              <w:marLeft w:val="0"/>
              <w:marRight w:val="0"/>
              <w:marTop w:val="0"/>
              <w:marBottom w:val="0"/>
              <w:divBdr>
                <w:top w:val="none" w:sz="0" w:space="0" w:color="auto"/>
                <w:left w:val="none" w:sz="0" w:space="0" w:color="auto"/>
                <w:bottom w:val="none" w:sz="0" w:space="0" w:color="auto"/>
                <w:right w:val="none" w:sz="0" w:space="0" w:color="auto"/>
              </w:divBdr>
            </w:div>
          </w:divsChild>
        </w:div>
        <w:div w:id="314528969">
          <w:marLeft w:val="0"/>
          <w:marRight w:val="0"/>
          <w:marTop w:val="0"/>
          <w:marBottom w:val="0"/>
          <w:divBdr>
            <w:top w:val="none" w:sz="0" w:space="0" w:color="auto"/>
            <w:left w:val="none" w:sz="0" w:space="0" w:color="auto"/>
            <w:bottom w:val="none" w:sz="0" w:space="0" w:color="auto"/>
            <w:right w:val="none" w:sz="0" w:space="0" w:color="auto"/>
          </w:divBdr>
          <w:divsChild>
            <w:div w:id="80300391">
              <w:marLeft w:val="0"/>
              <w:marRight w:val="0"/>
              <w:marTop w:val="0"/>
              <w:marBottom w:val="0"/>
              <w:divBdr>
                <w:top w:val="none" w:sz="0" w:space="0" w:color="auto"/>
                <w:left w:val="none" w:sz="0" w:space="0" w:color="auto"/>
                <w:bottom w:val="none" w:sz="0" w:space="0" w:color="auto"/>
                <w:right w:val="none" w:sz="0" w:space="0" w:color="auto"/>
              </w:divBdr>
            </w:div>
          </w:divsChild>
        </w:div>
        <w:div w:id="317150314">
          <w:marLeft w:val="0"/>
          <w:marRight w:val="0"/>
          <w:marTop w:val="0"/>
          <w:marBottom w:val="0"/>
          <w:divBdr>
            <w:top w:val="none" w:sz="0" w:space="0" w:color="auto"/>
            <w:left w:val="none" w:sz="0" w:space="0" w:color="auto"/>
            <w:bottom w:val="none" w:sz="0" w:space="0" w:color="auto"/>
            <w:right w:val="none" w:sz="0" w:space="0" w:color="auto"/>
          </w:divBdr>
          <w:divsChild>
            <w:div w:id="57672194">
              <w:marLeft w:val="0"/>
              <w:marRight w:val="0"/>
              <w:marTop w:val="0"/>
              <w:marBottom w:val="0"/>
              <w:divBdr>
                <w:top w:val="none" w:sz="0" w:space="0" w:color="auto"/>
                <w:left w:val="none" w:sz="0" w:space="0" w:color="auto"/>
                <w:bottom w:val="none" w:sz="0" w:space="0" w:color="auto"/>
                <w:right w:val="none" w:sz="0" w:space="0" w:color="auto"/>
              </w:divBdr>
            </w:div>
          </w:divsChild>
        </w:div>
        <w:div w:id="327557687">
          <w:marLeft w:val="0"/>
          <w:marRight w:val="0"/>
          <w:marTop w:val="0"/>
          <w:marBottom w:val="0"/>
          <w:divBdr>
            <w:top w:val="none" w:sz="0" w:space="0" w:color="auto"/>
            <w:left w:val="none" w:sz="0" w:space="0" w:color="auto"/>
            <w:bottom w:val="none" w:sz="0" w:space="0" w:color="auto"/>
            <w:right w:val="none" w:sz="0" w:space="0" w:color="auto"/>
          </w:divBdr>
          <w:divsChild>
            <w:div w:id="118308375">
              <w:marLeft w:val="0"/>
              <w:marRight w:val="0"/>
              <w:marTop w:val="0"/>
              <w:marBottom w:val="0"/>
              <w:divBdr>
                <w:top w:val="none" w:sz="0" w:space="0" w:color="auto"/>
                <w:left w:val="none" w:sz="0" w:space="0" w:color="auto"/>
                <w:bottom w:val="none" w:sz="0" w:space="0" w:color="auto"/>
                <w:right w:val="none" w:sz="0" w:space="0" w:color="auto"/>
              </w:divBdr>
            </w:div>
          </w:divsChild>
        </w:div>
        <w:div w:id="328170752">
          <w:marLeft w:val="0"/>
          <w:marRight w:val="0"/>
          <w:marTop w:val="0"/>
          <w:marBottom w:val="0"/>
          <w:divBdr>
            <w:top w:val="none" w:sz="0" w:space="0" w:color="auto"/>
            <w:left w:val="none" w:sz="0" w:space="0" w:color="auto"/>
            <w:bottom w:val="none" w:sz="0" w:space="0" w:color="auto"/>
            <w:right w:val="none" w:sz="0" w:space="0" w:color="auto"/>
          </w:divBdr>
          <w:divsChild>
            <w:div w:id="167714495">
              <w:marLeft w:val="0"/>
              <w:marRight w:val="0"/>
              <w:marTop w:val="0"/>
              <w:marBottom w:val="0"/>
              <w:divBdr>
                <w:top w:val="none" w:sz="0" w:space="0" w:color="auto"/>
                <w:left w:val="none" w:sz="0" w:space="0" w:color="auto"/>
                <w:bottom w:val="none" w:sz="0" w:space="0" w:color="auto"/>
                <w:right w:val="none" w:sz="0" w:space="0" w:color="auto"/>
              </w:divBdr>
            </w:div>
          </w:divsChild>
        </w:div>
        <w:div w:id="329911038">
          <w:marLeft w:val="0"/>
          <w:marRight w:val="0"/>
          <w:marTop w:val="0"/>
          <w:marBottom w:val="0"/>
          <w:divBdr>
            <w:top w:val="none" w:sz="0" w:space="0" w:color="auto"/>
            <w:left w:val="none" w:sz="0" w:space="0" w:color="auto"/>
            <w:bottom w:val="none" w:sz="0" w:space="0" w:color="auto"/>
            <w:right w:val="none" w:sz="0" w:space="0" w:color="auto"/>
          </w:divBdr>
          <w:divsChild>
            <w:div w:id="331570550">
              <w:marLeft w:val="0"/>
              <w:marRight w:val="0"/>
              <w:marTop w:val="0"/>
              <w:marBottom w:val="0"/>
              <w:divBdr>
                <w:top w:val="none" w:sz="0" w:space="0" w:color="auto"/>
                <w:left w:val="none" w:sz="0" w:space="0" w:color="auto"/>
                <w:bottom w:val="none" w:sz="0" w:space="0" w:color="auto"/>
                <w:right w:val="none" w:sz="0" w:space="0" w:color="auto"/>
              </w:divBdr>
            </w:div>
          </w:divsChild>
        </w:div>
        <w:div w:id="330912143">
          <w:marLeft w:val="0"/>
          <w:marRight w:val="0"/>
          <w:marTop w:val="0"/>
          <w:marBottom w:val="0"/>
          <w:divBdr>
            <w:top w:val="none" w:sz="0" w:space="0" w:color="auto"/>
            <w:left w:val="none" w:sz="0" w:space="0" w:color="auto"/>
            <w:bottom w:val="none" w:sz="0" w:space="0" w:color="auto"/>
            <w:right w:val="none" w:sz="0" w:space="0" w:color="auto"/>
          </w:divBdr>
          <w:divsChild>
            <w:div w:id="979649598">
              <w:marLeft w:val="0"/>
              <w:marRight w:val="0"/>
              <w:marTop w:val="0"/>
              <w:marBottom w:val="0"/>
              <w:divBdr>
                <w:top w:val="none" w:sz="0" w:space="0" w:color="auto"/>
                <w:left w:val="none" w:sz="0" w:space="0" w:color="auto"/>
                <w:bottom w:val="none" w:sz="0" w:space="0" w:color="auto"/>
                <w:right w:val="none" w:sz="0" w:space="0" w:color="auto"/>
              </w:divBdr>
            </w:div>
          </w:divsChild>
        </w:div>
        <w:div w:id="331416390">
          <w:marLeft w:val="0"/>
          <w:marRight w:val="0"/>
          <w:marTop w:val="0"/>
          <w:marBottom w:val="0"/>
          <w:divBdr>
            <w:top w:val="none" w:sz="0" w:space="0" w:color="auto"/>
            <w:left w:val="none" w:sz="0" w:space="0" w:color="auto"/>
            <w:bottom w:val="none" w:sz="0" w:space="0" w:color="auto"/>
            <w:right w:val="none" w:sz="0" w:space="0" w:color="auto"/>
          </w:divBdr>
          <w:divsChild>
            <w:div w:id="577058513">
              <w:marLeft w:val="0"/>
              <w:marRight w:val="0"/>
              <w:marTop w:val="0"/>
              <w:marBottom w:val="0"/>
              <w:divBdr>
                <w:top w:val="none" w:sz="0" w:space="0" w:color="auto"/>
                <w:left w:val="none" w:sz="0" w:space="0" w:color="auto"/>
                <w:bottom w:val="none" w:sz="0" w:space="0" w:color="auto"/>
                <w:right w:val="none" w:sz="0" w:space="0" w:color="auto"/>
              </w:divBdr>
            </w:div>
          </w:divsChild>
        </w:div>
        <w:div w:id="331952935">
          <w:marLeft w:val="0"/>
          <w:marRight w:val="0"/>
          <w:marTop w:val="0"/>
          <w:marBottom w:val="0"/>
          <w:divBdr>
            <w:top w:val="none" w:sz="0" w:space="0" w:color="auto"/>
            <w:left w:val="none" w:sz="0" w:space="0" w:color="auto"/>
            <w:bottom w:val="none" w:sz="0" w:space="0" w:color="auto"/>
            <w:right w:val="none" w:sz="0" w:space="0" w:color="auto"/>
          </w:divBdr>
          <w:divsChild>
            <w:div w:id="2063795814">
              <w:marLeft w:val="0"/>
              <w:marRight w:val="0"/>
              <w:marTop w:val="0"/>
              <w:marBottom w:val="0"/>
              <w:divBdr>
                <w:top w:val="none" w:sz="0" w:space="0" w:color="auto"/>
                <w:left w:val="none" w:sz="0" w:space="0" w:color="auto"/>
                <w:bottom w:val="none" w:sz="0" w:space="0" w:color="auto"/>
                <w:right w:val="none" w:sz="0" w:space="0" w:color="auto"/>
              </w:divBdr>
            </w:div>
          </w:divsChild>
        </w:div>
        <w:div w:id="332033175">
          <w:marLeft w:val="0"/>
          <w:marRight w:val="0"/>
          <w:marTop w:val="0"/>
          <w:marBottom w:val="0"/>
          <w:divBdr>
            <w:top w:val="none" w:sz="0" w:space="0" w:color="auto"/>
            <w:left w:val="none" w:sz="0" w:space="0" w:color="auto"/>
            <w:bottom w:val="none" w:sz="0" w:space="0" w:color="auto"/>
            <w:right w:val="none" w:sz="0" w:space="0" w:color="auto"/>
          </w:divBdr>
          <w:divsChild>
            <w:div w:id="156191343">
              <w:marLeft w:val="0"/>
              <w:marRight w:val="0"/>
              <w:marTop w:val="0"/>
              <w:marBottom w:val="0"/>
              <w:divBdr>
                <w:top w:val="none" w:sz="0" w:space="0" w:color="auto"/>
                <w:left w:val="none" w:sz="0" w:space="0" w:color="auto"/>
                <w:bottom w:val="none" w:sz="0" w:space="0" w:color="auto"/>
                <w:right w:val="none" w:sz="0" w:space="0" w:color="auto"/>
              </w:divBdr>
            </w:div>
          </w:divsChild>
        </w:div>
        <w:div w:id="334453705">
          <w:marLeft w:val="0"/>
          <w:marRight w:val="0"/>
          <w:marTop w:val="0"/>
          <w:marBottom w:val="0"/>
          <w:divBdr>
            <w:top w:val="none" w:sz="0" w:space="0" w:color="auto"/>
            <w:left w:val="none" w:sz="0" w:space="0" w:color="auto"/>
            <w:bottom w:val="none" w:sz="0" w:space="0" w:color="auto"/>
            <w:right w:val="none" w:sz="0" w:space="0" w:color="auto"/>
          </w:divBdr>
          <w:divsChild>
            <w:div w:id="1998994547">
              <w:marLeft w:val="0"/>
              <w:marRight w:val="0"/>
              <w:marTop w:val="0"/>
              <w:marBottom w:val="0"/>
              <w:divBdr>
                <w:top w:val="none" w:sz="0" w:space="0" w:color="auto"/>
                <w:left w:val="none" w:sz="0" w:space="0" w:color="auto"/>
                <w:bottom w:val="none" w:sz="0" w:space="0" w:color="auto"/>
                <w:right w:val="none" w:sz="0" w:space="0" w:color="auto"/>
              </w:divBdr>
            </w:div>
          </w:divsChild>
        </w:div>
        <w:div w:id="335379280">
          <w:marLeft w:val="0"/>
          <w:marRight w:val="0"/>
          <w:marTop w:val="0"/>
          <w:marBottom w:val="0"/>
          <w:divBdr>
            <w:top w:val="none" w:sz="0" w:space="0" w:color="auto"/>
            <w:left w:val="none" w:sz="0" w:space="0" w:color="auto"/>
            <w:bottom w:val="none" w:sz="0" w:space="0" w:color="auto"/>
            <w:right w:val="none" w:sz="0" w:space="0" w:color="auto"/>
          </w:divBdr>
          <w:divsChild>
            <w:div w:id="1093627318">
              <w:marLeft w:val="0"/>
              <w:marRight w:val="0"/>
              <w:marTop w:val="0"/>
              <w:marBottom w:val="0"/>
              <w:divBdr>
                <w:top w:val="none" w:sz="0" w:space="0" w:color="auto"/>
                <w:left w:val="none" w:sz="0" w:space="0" w:color="auto"/>
                <w:bottom w:val="none" w:sz="0" w:space="0" w:color="auto"/>
                <w:right w:val="none" w:sz="0" w:space="0" w:color="auto"/>
              </w:divBdr>
            </w:div>
          </w:divsChild>
        </w:div>
        <w:div w:id="336539402">
          <w:marLeft w:val="0"/>
          <w:marRight w:val="0"/>
          <w:marTop w:val="0"/>
          <w:marBottom w:val="0"/>
          <w:divBdr>
            <w:top w:val="none" w:sz="0" w:space="0" w:color="auto"/>
            <w:left w:val="none" w:sz="0" w:space="0" w:color="auto"/>
            <w:bottom w:val="none" w:sz="0" w:space="0" w:color="auto"/>
            <w:right w:val="none" w:sz="0" w:space="0" w:color="auto"/>
          </w:divBdr>
          <w:divsChild>
            <w:div w:id="1731882416">
              <w:marLeft w:val="0"/>
              <w:marRight w:val="0"/>
              <w:marTop w:val="0"/>
              <w:marBottom w:val="0"/>
              <w:divBdr>
                <w:top w:val="none" w:sz="0" w:space="0" w:color="auto"/>
                <w:left w:val="none" w:sz="0" w:space="0" w:color="auto"/>
                <w:bottom w:val="none" w:sz="0" w:space="0" w:color="auto"/>
                <w:right w:val="none" w:sz="0" w:space="0" w:color="auto"/>
              </w:divBdr>
            </w:div>
          </w:divsChild>
        </w:div>
        <w:div w:id="337390530">
          <w:marLeft w:val="0"/>
          <w:marRight w:val="0"/>
          <w:marTop w:val="0"/>
          <w:marBottom w:val="0"/>
          <w:divBdr>
            <w:top w:val="none" w:sz="0" w:space="0" w:color="auto"/>
            <w:left w:val="none" w:sz="0" w:space="0" w:color="auto"/>
            <w:bottom w:val="none" w:sz="0" w:space="0" w:color="auto"/>
            <w:right w:val="none" w:sz="0" w:space="0" w:color="auto"/>
          </w:divBdr>
          <w:divsChild>
            <w:div w:id="504830678">
              <w:marLeft w:val="0"/>
              <w:marRight w:val="0"/>
              <w:marTop w:val="0"/>
              <w:marBottom w:val="0"/>
              <w:divBdr>
                <w:top w:val="none" w:sz="0" w:space="0" w:color="auto"/>
                <w:left w:val="none" w:sz="0" w:space="0" w:color="auto"/>
                <w:bottom w:val="none" w:sz="0" w:space="0" w:color="auto"/>
                <w:right w:val="none" w:sz="0" w:space="0" w:color="auto"/>
              </w:divBdr>
            </w:div>
          </w:divsChild>
        </w:div>
        <w:div w:id="340471257">
          <w:marLeft w:val="0"/>
          <w:marRight w:val="0"/>
          <w:marTop w:val="0"/>
          <w:marBottom w:val="0"/>
          <w:divBdr>
            <w:top w:val="none" w:sz="0" w:space="0" w:color="auto"/>
            <w:left w:val="none" w:sz="0" w:space="0" w:color="auto"/>
            <w:bottom w:val="none" w:sz="0" w:space="0" w:color="auto"/>
            <w:right w:val="none" w:sz="0" w:space="0" w:color="auto"/>
          </w:divBdr>
          <w:divsChild>
            <w:div w:id="1131362809">
              <w:marLeft w:val="0"/>
              <w:marRight w:val="0"/>
              <w:marTop w:val="0"/>
              <w:marBottom w:val="0"/>
              <w:divBdr>
                <w:top w:val="none" w:sz="0" w:space="0" w:color="auto"/>
                <w:left w:val="none" w:sz="0" w:space="0" w:color="auto"/>
                <w:bottom w:val="none" w:sz="0" w:space="0" w:color="auto"/>
                <w:right w:val="none" w:sz="0" w:space="0" w:color="auto"/>
              </w:divBdr>
            </w:div>
          </w:divsChild>
        </w:div>
        <w:div w:id="340548397">
          <w:marLeft w:val="0"/>
          <w:marRight w:val="0"/>
          <w:marTop w:val="0"/>
          <w:marBottom w:val="0"/>
          <w:divBdr>
            <w:top w:val="none" w:sz="0" w:space="0" w:color="auto"/>
            <w:left w:val="none" w:sz="0" w:space="0" w:color="auto"/>
            <w:bottom w:val="none" w:sz="0" w:space="0" w:color="auto"/>
            <w:right w:val="none" w:sz="0" w:space="0" w:color="auto"/>
          </w:divBdr>
          <w:divsChild>
            <w:div w:id="1992783220">
              <w:marLeft w:val="0"/>
              <w:marRight w:val="0"/>
              <w:marTop w:val="0"/>
              <w:marBottom w:val="0"/>
              <w:divBdr>
                <w:top w:val="none" w:sz="0" w:space="0" w:color="auto"/>
                <w:left w:val="none" w:sz="0" w:space="0" w:color="auto"/>
                <w:bottom w:val="none" w:sz="0" w:space="0" w:color="auto"/>
                <w:right w:val="none" w:sz="0" w:space="0" w:color="auto"/>
              </w:divBdr>
            </w:div>
          </w:divsChild>
        </w:div>
        <w:div w:id="341011617">
          <w:marLeft w:val="0"/>
          <w:marRight w:val="0"/>
          <w:marTop w:val="0"/>
          <w:marBottom w:val="0"/>
          <w:divBdr>
            <w:top w:val="none" w:sz="0" w:space="0" w:color="auto"/>
            <w:left w:val="none" w:sz="0" w:space="0" w:color="auto"/>
            <w:bottom w:val="none" w:sz="0" w:space="0" w:color="auto"/>
            <w:right w:val="none" w:sz="0" w:space="0" w:color="auto"/>
          </w:divBdr>
          <w:divsChild>
            <w:div w:id="1422412519">
              <w:marLeft w:val="0"/>
              <w:marRight w:val="0"/>
              <w:marTop w:val="0"/>
              <w:marBottom w:val="0"/>
              <w:divBdr>
                <w:top w:val="none" w:sz="0" w:space="0" w:color="auto"/>
                <w:left w:val="none" w:sz="0" w:space="0" w:color="auto"/>
                <w:bottom w:val="none" w:sz="0" w:space="0" w:color="auto"/>
                <w:right w:val="none" w:sz="0" w:space="0" w:color="auto"/>
              </w:divBdr>
            </w:div>
          </w:divsChild>
        </w:div>
        <w:div w:id="343826396">
          <w:marLeft w:val="0"/>
          <w:marRight w:val="0"/>
          <w:marTop w:val="0"/>
          <w:marBottom w:val="0"/>
          <w:divBdr>
            <w:top w:val="none" w:sz="0" w:space="0" w:color="auto"/>
            <w:left w:val="none" w:sz="0" w:space="0" w:color="auto"/>
            <w:bottom w:val="none" w:sz="0" w:space="0" w:color="auto"/>
            <w:right w:val="none" w:sz="0" w:space="0" w:color="auto"/>
          </w:divBdr>
          <w:divsChild>
            <w:div w:id="1660116125">
              <w:marLeft w:val="0"/>
              <w:marRight w:val="0"/>
              <w:marTop w:val="0"/>
              <w:marBottom w:val="0"/>
              <w:divBdr>
                <w:top w:val="none" w:sz="0" w:space="0" w:color="auto"/>
                <w:left w:val="none" w:sz="0" w:space="0" w:color="auto"/>
                <w:bottom w:val="none" w:sz="0" w:space="0" w:color="auto"/>
                <w:right w:val="none" w:sz="0" w:space="0" w:color="auto"/>
              </w:divBdr>
            </w:div>
          </w:divsChild>
        </w:div>
        <w:div w:id="344064765">
          <w:marLeft w:val="0"/>
          <w:marRight w:val="0"/>
          <w:marTop w:val="0"/>
          <w:marBottom w:val="0"/>
          <w:divBdr>
            <w:top w:val="none" w:sz="0" w:space="0" w:color="auto"/>
            <w:left w:val="none" w:sz="0" w:space="0" w:color="auto"/>
            <w:bottom w:val="none" w:sz="0" w:space="0" w:color="auto"/>
            <w:right w:val="none" w:sz="0" w:space="0" w:color="auto"/>
          </w:divBdr>
          <w:divsChild>
            <w:div w:id="180045432">
              <w:marLeft w:val="0"/>
              <w:marRight w:val="0"/>
              <w:marTop w:val="0"/>
              <w:marBottom w:val="0"/>
              <w:divBdr>
                <w:top w:val="none" w:sz="0" w:space="0" w:color="auto"/>
                <w:left w:val="none" w:sz="0" w:space="0" w:color="auto"/>
                <w:bottom w:val="none" w:sz="0" w:space="0" w:color="auto"/>
                <w:right w:val="none" w:sz="0" w:space="0" w:color="auto"/>
              </w:divBdr>
            </w:div>
          </w:divsChild>
        </w:div>
        <w:div w:id="344215116">
          <w:marLeft w:val="0"/>
          <w:marRight w:val="0"/>
          <w:marTop w:val="0"/>
          <w:marBottom w:val="0"/>
          <w:divBdr>
            <w:top w:val="none" w:sz="0" w:space="0" w:color="auto"/>
            <w:left w:val="none" w:sz="0" w:space="0" w:color="auto"/>
            <w:bottom w:val="none" w:sz="0" w:space="0" w:color="auto"/>
            <w:right w:val="none" w:sz="0" w:space="0" w:color="auto"/>
          </w:divBdr>
          <w:divsChild>
            <w:div w:id="1784611984">
              <w:marLeft w:val="0"/>
              <w:marRight w:val="0"/>
              <w:marTop w:val="0"/>
              <w:marBottom w:val="0"/>
              <w:divBdr>
                <w:top w:val="none" w:sz="0" w:space="0" w:color="auto"/>
                <w:left w:val="none" w:sz="0" w:space="0" w:color="auto"/>
                <w:bottom w:val="none" w:sz="0" w:space="0" w:color="auto"/>
                <w:right w:val="none" w:sz="0" w:space="0" w:color="auto"/>
              </w:divBdr>
            </w:div>
          </w:divsChild>
        </w:div>
        <w:div w:id="345332396">
          <w:marLeft w:val="0"/>
          <w:marRight w:val="0"/>
          <w:marTop w:val="0"/>
          <w:marBottom w:val="0"/>
          <w:divBdr>
            <w:top w:val="none" w:sz="0" w:space="0" w:color="auto"/>
            <w:left w:val="none" w:sz="0" w:space="0" w:color="auto"/>
            <w:bottom w:val="none" w:sz="0" w:space="0" w:color="auto"/>
            <w:right w:val="none" w:sz="0" w:space="0" w:color="auto"/>
          </w:divBdr>
          <w:divsChild>
            <w:div w:id="1724212345">
              <w:marLeft w:val="0"/>
              <w:marRight w:val="0"/>
              <w:marTop w:val="0"/>
              <w:marBottom w:val="0"/>
              <w:divBdr>
                <w:top w:val="none" w:sz="0" w:space="0" w:color="auto"/>
                <w:left w:val="none" w:sz="0" w:space="0" w:color="auto"/>
                <w:bottom w:val="none" w:sz="0" w:space="0" w:color="auto"/>
                <w:right w:val="none" w:sz="0" w:space="0" w:color="auto"/>
              </w:divBdr>
            </w:div>
          </w:divsChild>
        </w:div>
        <w:div w:id="347873588">
          <w:marLeft w:val="0"/>
          <w:marRight w:val="0"/>
          <w:marTop w:val="0"/>
          <w:marBottom w:val="0"/>
          <w:divBdr>
            <w:top w:val="none" w:sz="0" w:space="0" w:color="auto"/>
            <w:left w:val="none" w:sz="0" w:space="0" w:color="auto"/>
            <w:bottom w:val="none" w:sz="0" w:space="0" w:color="auto"/>
            <w:right w:val="none" w:sz="0" w:space="0" w:color="auto"/>
          </w:divBdr>
          <w:divsChild>
            <w:div w:id="1122959500">
              <w:marLeft w:val="0"/>
              <w:marRight w:val="0"/>
              <w:marTop w:val="0"/>
              <w:marBottom w:val="0"/>
              <w:divBdr>
                <w:top w:val="none" w:sz="0" w:space="0" w:color="auto"/>
                <w:left w:val="none" w:sz="0" w:space="0" w:color="auto"/>
                <w:bottom w:val="none" w:sz="0" w:space="0" w:color="auto"/>
                <w:right w:val="none" w:sz="0" w:space="0" w:color="auto"/>
              </w:divBdr>
            </w:div>
          </w:divsChild>
        </w:div>
        <w:div w:id="349794853">
          <w:marLeft w:val="0"/>
          <w:marRight w:val="0"/>
          <w:marTop w:val="0"/>
          <w:marBottom w:val="0"/>
          <w:divBdr>
            <w:top w:val="none" w:sz="0" w:space="0" w:color="auto"/>
            <w:left w:val="none" w:sz="0" w:space="0" w:color="auto"/>
            <w:bottom w:val="none" w:sz="0" w:space="0" w:color="auto"/>
            <w:right w:val="none" w:sz="0" w:space="0" w:color="auto"/>
          </w:divBdr>
          <w:divsChild>
            <w:div w:id="629291106">
              <w:marLeft w:val="0"/>
              <w:marRight w:val="0"/>
              <w:marTop w:val="0"/>
              <w:marBottom w:val="0"/>
              <w:divBdr>
                <w:top w:val="none" w:sz="0" w:space="0" w:color="auto"/>
                <w:left w:val="none" w:sz="0" w:space="0" w:color="auto"/>
                <w:bottom w:val="none" w:sz="0" w:space="0" w:color="auto"/>
                <w:right w:val="none" w:sz="0" w:space="0" w:color="auto"/>
              </w:divBdr>
            </w:div>
          </w:divsChild>
        </w:div>
        <w:div w:id="353385674">
          <w:marLeft w:val="0"/>
          <w:marRight w:val="0"/>
          <w:marTop w:val="0"/>
          <w:marBottom w:val="0"/>
          <w:divBdr>
            <w:top w:val="none" w:sz="0" w:space="0" w:color="auto"/>
            <w:left w:val="none" w:sz="0" w:space="0" w:color="auto"/>
            <w:bottom w:val="none" w:sz="0" w:space="0" w:color="auto"/>
            <w:right w:val="none" w:sz="0" w:space="0" w:color="auto"/>
          </w:divBdr>
          <w:divsChild>
            <w:div w:id="1699038430">
              <w:marLeft w:val="0"/>
              <w:marRight w:val="0"/>
              <w:marTop w:val="0"/>
              <w:marBottom w:val="0"/>
              <w:divBdr>
                <w:top w:val="none" w:sz="0" w:space="0" w:color="auto"/>
                <w:left w:val="none" w:sz="0" w:space="0" w:color="auto"/>
                <w:bottom w:val="none" w:sz="0" w:space="0" w:color="auto"/>
                <w:right w:val="none" w:sz="0" w:space="0" w:color="auto"/>
              </w:divBdr>
            </w:div>
          </w:divsChild>
        </w:div>
        <w:div w:id="354231428">
          <w:marLeft w:val="0"/>
          <w:marRight w:val="0"/>
          <w:marTop w:val="0"/>
          <w:marBottom w:val="0"/>
          <w:divBdr>
            <w:top w:val="none" w:sz="0" w:space="0" w:color="auto"/>
            <w:left w:val="none" w:sz="0" w:space="0" w:color="auto"/>
            <w:bottom w:val="none" w:sz="0" w:space="0" w:color="auto"/>
            <w:right w:val="none" w:sz="0" w:space="0" w:color="auto"/>
          </w:divBdr>
          <w:divsChild>
            <w:div w:id="1978030610">
              <w:marLeft w:val="0"/>
              <w:marRight w:val="0"/>
              <w:marTop w:val="0"/>
              <w:marBottom w:val="0"/>
              <w:divBdr>
                <w:top w:val="none" w:sz="0" w:space="0" w:color="auto"/>
                <w:left w:val="none" w:sz="0" w:space="0" w:color="auto"/>
                <w:bottom w:val="none" w:sz="0" w:space="0" w:color="auto"/>
                <w:right w:val="none" w:sz="0" w:space="0" w:color="auto"/>
              </w:divBdr>
            </w:div>
          </w:divsChild>
        </w:div>
        <w:div w:id="356543509">
          <w:marLeft w:val="0"/>
          <w:marRight w:val="0"/>
          <w:marTop w:val="0"/>
          <w:marBottom w:val="0"/>
          <w:divBdr>
            <w:top w:val="none" w:sz="0" w:space="0" w:color="auto"/>
            <w:left w:val="none" w:sz="0" w:space="0" w:color="auto"/>
            <w:bottom w:val="none" w:sz="0" w:space="0" w:color="auto"/>
            <w:right w:val="none" w:sz="0" w:space="0" w:color="auto"/>
          </w:divBdr>
          <w:divsChild>
            <w:div w:id="1967006319">
              <w:marLeft w:val="0"/>
              <w:marRight w:val="0"/>
              <w:marTop w:val="0"/>
              <w:marBottom w:val="0"/>
              <w:divBdr>
                <w:top w:val="none" w:sz="0" w:space="0" w:color="auto"/>
                <w:left w:val="none" w:sz="0" w:space="0" w:color="auto"/>
                <w:bottom w:val="none" w:sz="0" w:space="0" w:color="auto"/>
                <w:right w:val="none" w:sz="0" w:space="0" w:color="auto"/>
              </w:divBdr>
            </w:div>
          </w:divsChild>
        </w:div>
        <w:div w:id="358513339">
          <w:marLeft w:val="0"/>
          <w:marRight w:val="0"/>
          <w:marTop w:val="0"/>
          <w:marBottom w:val="0"/>
          <w:divBdr>
            <w:top w:val="none" w:sz="0" w:space="0" w:color="auto"/>
            <w:left w:val="none" w:sz="0" w:space="0" w:color="auto"/>
            <w:bottom w:val="none" w:sz="0" w:space="0" w:color="auto"/>
            <w:right w:val="none" w:sz="0" w:space="0" w:color="auto"/>
          </w:divBdr>
          <w:divsChild>
            <w:div w:id="1947536886">
              <w:marLeft w:val="0"/>
              <w:marRight w:val="0"/>
              <w:marTop w:val="0"/>
              <w:marBottom w:val="0"/>
              <w:divBdr>
                <w:top w:val="none" w:sz="0" w:space="0" w:color="auto"/>
                <w:left w:val="none" w:sz="0" w:space="0" w:color="auto"/>
                <w:bottom w:val="none" w:sz="0" w:space="0" w:color="auto"/>
                <w:right w:val="none" w:sz="0" w:space="0" w:color="auto"/>
              </w:divBdr>
            </w:div>
          </w:divsChild>
        </w:div>
        <w:div w:id="359092785">
          <w:marLeft w:val="0"/>
          <w:marRight w:val="0"/>
          <w:marTop w:val="0"/>
          <w:marBottom w:val="0"/>
          <w:divBdr>
            <w:top w:val="none" w:sz="0" w:space="0" w:color="auto"/>
            <w:left w:val="none" w:sz="0" w:space="0" w:color="auto"/>
            <w:bottom w:val="none" w:sz="0" w:space="0" w:color="auto"/>
            <w:right w:val="none" w:sz="0" w:space="0" w:color="auto"/>
          </w:divBdr>
          <w:divsChild>
            <w:div w:id="922033251">
              <w:marLeft w:val="0"/>
              <w:marRight w:val="0"/>
              <w:marTop w:val="0"/>
              <w:marBottom w:val="0"/>
              <w:divBdr>
                <w:top w:val="none" w:sz="0" w:space="0" w:color="auto"/>
                <w:left w:val="none" w:sz="0" w:space="0" w:color="auto"/>
                <w:bottom w:val="none" w:sz="0" w:space="0" w:color="auto"/>
                <w:right w:val="none" w:sz="0" w:space="0" w:color="auto"/>
              </w:divBdr>
            </w:div>
          </w:divsChild>
        </w:div>
        <w:div w:id="360206534">
          <w:marLeft w:val="0"/>
          <w:marRight w:val="0"/>
          <w:marTop w:val="0"/>
          <w:marBottom w:val="0"/>
          <w:divBdr>
            <w:top w:val="none" w:sz="0" w:space="0" w:color="auto"/>
            <w:left w:val="none" w:sz="0" w:space="0" w:color="auto"/>
            <w:bottom w:val="none" w:sz="0" w:space="0" w:color="auto"/>
            <w:right w:val="none" w:sz="0" w:space="0" w:color="auto"/>
          </w:divBdr>
          <w:divsChild>
            <w:div w:id="1850021169">
              <w:marLeft w:val="0"/>
              <w:marRight w:val="0"/>
              <w:marTop w:val="0"/>
              <w:marBottom w:val="0"/>
              <w:divBdr>
                <w:top w:val="none" w:sz="0" w:space="0" w:color="auto"/>
                <w:left w:val="none" w:sz="0" w:space="0" w:color="auto"/>
                <w:bottom w:val="none" w:sz="0" w:space="0" w:color="auto"/>
                <w:right w:val="none" w:sz="0" w:space="0" w:color="auto"/>
              </w:divBdr>
            </w:div>
          </w:divsChild>
        </w:div>
        <w:div w:id="362556008">
          <w:marLeft w:val="0"/>
          <w:marRight w:val="0"/>
          <w:marTop w:val="0"/>
          <w:marBottom w:val="0"/>
          <w:divBdr>
            <w:top w:val="none" w:sz="0" w:space="0" w:color="auto"/>
            <w:left w:val="none" w:sz="0" w:space="0" w:color="auto"/>
            <w:bottom w:val="none" w:sz="0" w:space="0" w:color="auto"/>
            <w:right w:val="none" w:sz="0" w:space="0" w:color="auto"/>
          </w:divBdr>
          <w:divsChild>
            <w:div w:id="1986229964">
              <w:marLeft w:val="0"/>
              <w:marRight w:val="0"/>
              <w:marTop w:val="0"/>
              <w:marBottom w:val="0"/>
              <w:divBdr>
                <w:top w:val="none" w:sz="0" w:space="0" w:color="auto"/>
                <w:left w:val="none" w:sz="0" w:space="0" w:color="auto"/>
                <w:bottom w:val="none" w:sz="0" w:space="0" w:color="auto"/>
                <w:right w:val="none" w:sz="0" w:space="0" w:color="auto"/>
              </w:divBdr>
            </w:div>
          </w:divsChild>
        </w:div>
        <w:div w:id="363099091">
          <w:marLeft w:val="0"/>
          <w:marRight w:val="0"/>
          <w:marTop w:val="0"/>
          <w:marBottom w:val="0"/>
          <w:divBdr>
            <w:top w:val="none" w:sz="0" w:space="0" w:color="auto"/>
            <w:left w:val="none" w:sz="0" w:space="0" w:color="auto"/>
            <w:bottom w:val="none" w:sz="0" w:space="0" w:color="auto"/>
            <w:right w:val="none" w:sz="0" w:space="0" w:color="auto"/>
          </w:divBdr>
          <w:divsChild>
            <w:div w:id="734551661">
              <w:marLeft w:val="0"/>
              <w:marRight w:val="0"/>
              <w:marTop w:val="0"/>
              <w:marBottom w:val="0"/>
              <w:divBdr>
                <w:top w:val="none" w:sz="0" w:space="0" w:color="auto"/>
                <w:left w:val="none" w:sz="0" w:space="0" w:color="auto"/>
                <w:bottom w:val="none" w:sz="0" w:space="0" w:color="auto"/>
                <w:right w:val="none" w:sz="0" w:space="0" w:color="auto"/>
              </w:divBdr>
            </w:div>
          </w:divsChild>
        </w:div>
        <w:div w:id="367871996">
          <w:marLeft w:val="0"/>
          <w:marRight w:val="0"/>
          <w:marTop w:val="0"/>
          <w:marBottom w:val="0"/>
          <w:divBdr>
            <w:top w:val="none" w:sz="0" w:space="0" w:color="auto"/>
            <w:left w:val="none" w:sz="0" w:space="0" w:color="auto"/>
            <w:bottom w:val="none" w:sz="0" w:space="0" w:color="auto"/>
            <w:right w:val="none" w:sz="0" w:space="0" w:color="auto"/>
          </w:divBdr>
          <w:divsChild>
            <w:div w:id="1240679426">
              <w:marLeft w:val="0"/>
              <w:marRight w:val="0"/>
              <w:marTop w:val="0"/>
              <w:marBottom w:val="0"/>
              <w:divBdr>
                <w:top w:val="none" w:sz="0" w:space="0" w:color="auto"/>
                <w:left w:val="none" w:sz="0" w:space="0" w:color="auto"/>
                <w:bottom w:val="none" w:sz="0" w:space="0" w:color="auto"/>
                <w:right w:val="none" w:sz="0" w:space="0" w:color="auto"/>
              </w:divBdr>
            </w:div>
          </w:divsChild>
        </w:div>
        <w:div w:id="370305433">
          <w:marLeft w:val="0"/>
          <w:marRight w:val="0"/>
          <w:marTop w:val="0"/>
          <w:marBottom w:val="0"/>
          <w:divBdr>
            <w:top w:val="none" w:sz="0" w:space="0" w:color="auto"/>
            <w:left w:val="none" w:sz="0" w:space="0" w:color="auto"/>
            <w:bottom w:val="none" w:sz="0" w:space="0" w:color="auto"/>
            <w:right w:val="none" w:sz="0" w:space="0" w:color="auto"/>
          </w:divBdr>
          <w:divsChild>
            <w:div w:id="1729650535">
              <w:marLeft w:val="0"/>
              <w:marRight w:val="0"/>
              <w:marTop w:val="0"/>
              <w:marBottom w:val="0"/>
              <w:divBdr>
                <w:top w:val="none" w:sz="0" w:space="0" w:color="auto"/>
                <w:left w:val="none" w:sz="0" w:space="0" w:color="auto"/>
                <w:bottom w:val="none" w:sz="0" w:space="0" w:color="auto"/>
                <w:right w:val="none" w:sz="0" w:space="0" w:color="auto"/>
              </w:divBdr>
            </w:div>
          </w:divsChild>
        </w:div>
        <w:div w:id="371152421">
          <w:marLeft w:val="0"/>
          <w:marRight w:val="0"/>
          <w:marTop w:val="0"/>
          <w:marBottom w:val="0"/>
          <w:divBdr>
            <w:top w:val="none" w:sz="0" w:space="0" w:color="auto"/>
            <w:left w:val="none" w:sz="0" w:space="0" w:color="auto"/>
            <w:bottom w:val="none" w:sz="0" w:space="0" w:color="auto"/>
            <w:right w:val="none" w:sz="0" w:space="0" w:color="auto"/>
          </w:divBdr>
          <w:divsChild>
            <w:div w:id="1108043991">
              <w:marLeft w:val="0"/>
              <w:marRight w:val="0"/>
              <w:marTop w:val="0"/>
              <w:marBottom w:val="0"/>
              <w:divBdr>
                <w:top w:val="none" w:sz="0" w:space="0" w:color="auto"/>
                <w:left w:val="none" w:sz="0" w:space="0" w:color="auto"/>
                <w:bottom w:val="none" w:sz="0" w:space="0" w:color="auto"/>
                <w:right w:val="none" w:sz="0" w:space="0" w:color="auto"/>
              </w:divBdr>
            </w:div>
          </w:divsChild>
        </w:div>
        <w:div w:id="371657015">
          <w:marLeft w:val="0"/>
          <w:marRight w:val="0"/>
          <w:marTop w:val="0"/>
          <w:marBottom w:val="0"/>
          <w:divBdr>
            <w:top w:val="none" w:sz="0" w:space="0" w:color="auto"/>
            <w:left w:val="none" w:sz="0" w:space="0" w:color="auto"/>
            <w:bottom w:val="none" w:sz="0" w:space="0" w:color="auto"/>
            <w:right w:val="none" w:sz="0" w:space="0" w:color="auto"/>
          </w:divBdr>
          <w:divsChild>
            <w:div w:id="244463664">
              <w:marLeft w:val="0"/>
              <w:marRight w:val="0"/>
              <w:marTop w:val="0"/>
              <w:marBottom w:val="0"/>
              <w:divBdr>
                <w:top w:val="none" w:sz="0" w:space="0" w:color="auto"/>
                <w:left w:val="none" w:sz="0" w:space="0" w:color="auto"/>
                <w:bottom w:val="none" w:sz="0" w:space="0" w:color="auto"/>
                <w:right w:val="none" w:sz="0" w:space="0" w:color="auto"/>
              </w:divBdr>
            </w:div>
          </w:divsChild>
        </w:div>
        <w:div w:id="372388446">
          <w:marLeft w:val="0"/>
          <w:marRight w:val="0"/>
          <w:marTop w:val="0"/>
          <w:marBottom w:val="0"/>
          <w:divBdr>
            <w:top w:val="none" w:sz="0" w:space="0" w:color="auto"/>
            <w:left w:val="none" w:sz="0" w:space="0" w:color="auto"/>
            <w:bottom w:val="none" w:sz="0" w:space="0" w:color="auto"/>
            <w:right w:val="none" w:sz="0" w:space="0" w:color="auto"/>
          </w:divBdr>
          <w:divsChild>
            <w:div w:id="1360855057">
              <w:marLeft w:val="0"/>
              <w:marRight w:val="0"/>
              <w:marTop w:val="0"/>
              <w:marBottom w:val="0"/>
              <w:divBdr>
                <w:top w:val="none" w:sz="0" w:space="0" w:color="auto"/>
                <w:left w:val="none" w:sz="0" w:space="0" w:color="auto"/>
                <w:bottom w:val="none" w:sz="0" w:space="0" w:color="auto"/>
                <w:right w:val="none" w:sz="0" w:space="0" w:color="auto"/>
              </w:divBdr>
            </w:div>
          </w:divsChild>
        </w:div>
        <w:div w:id="379981819">
          <w:marLeft w:val="0"/>
          <w:marRight w:val="0"/>
          <w:marTop w:val="0"/>
          <w:marBottom w:val="0"/>
          <w:divBdr>
            <w:top w:val="none" w:sz="0" w:space="0" w:color="auto"/>
            <w:left w:val="none" w:sz="0" w:space="0" w:color="auto"/>
            <w:bottom w:val="none" w:sz="0" w:space="0" w:color="auto"/>
            <w:right w:val="none" w:sz="0" w:space="0" w:color="auto"/>
          </w:divBdr>
          <w:divsChild>
            <w:div w:id="1493637793">
              <w:marLeft w:val="0"/>
              <w:marRight w:val="0"/>
              <w:marTop w:val="0"/>
              <w:marBottom w:val="0"/>
              <w:divBdr>
                <w:top w:val="none" w:sz="0" w:space="0" w:color="auto"/>
                <w:left w:val="none" w:sz="0" w:space="0" w:color="auto"/>
                <w:bottom w:val="none" w:sz="0" w:space="0" w:color="auto"/>
                <w:right w:val="none" w:sz="0" w:space="0" w:color="auto"/>
              </w:divBdr>
            </w:div>
          </w:divsChild>
        </w:div>
        <w:div w:id="380254702">
          <w:marLeft w:val="0"/>
          <w:marRight w:val="0"/>
          <w:marTop w:val="0"/>
          <w:marBottom w:val="0"/>
          <w:divBdr>
            <w:top w:val="none" w:sz="0" w:space="0" w:color="auto"/>
            <w:left w:val="none" w:sz="0" w:space="0" w:color="auto"/>
            <w:bottom w:val="none" w:sz="0" w:space="0" w:color="auto"/>
            <w:right w:val="none" w:sz="0" w:space="0" w:color="auto"/>
          </w:divBdr>
          <w:divsChild>
            <w:div w:id="41053626">
              <w:marLeft w:val="0"/>
              <w:marRight w:val="0"/>
              <w:marTop w:val="0"/>
              <w:marBottom w:val="0"/>
              <w:divBdr>
                <w:top w:val="none" w:sz="0" w:space="0" w:color="auto"/>
                <w:left w:val="none" w:sz="0" w:space="0" w:color="auto"/>
                <w:bottom w:val="none" w:sz="0" w:space="0" w:color="auto"/>
                <w:right w:val="none" w:sz="0" w:space="0" w:color="auto"/>
              </w:divBdr>
            </w:div>
          </w:divsChild>
        </w:div>
        <w:div w:id="380516637">
          <w:marLeft w:val="0"/>
          <w:marRight w:val="0"/>
          <w:marTop w:val="0"/>
          <w:marBottom w:val="0"/>
          <w:divBdr>
            <w:top w:val="none" w:sz="0" w:space="0" w:color="auto"/>
            <w:left w:val="none" w:sz="0" w:space="0" w:color="auto"/>
            <w:bottom w:val="none" w:sz="0" w:space="0" w:color="auto"/>
            <w:right w:val="none" w:sz="0" w:space="0" w:color="auto"/>
          </w:divBdr>
          <w:divsChild>
            <w:div w:id="93480044">
              <w:marLeft w:val="0"/>
              <w:marRight w:val="0"/>
              <w:marTop w:val="0"/>
              <w:marBottom w:val="0"/>
              <w:divBdr>
                <w:top w:val="none" w:sz="0" w:space="0" w:color="auto"/>
                <w:left w:val="none" w:sz="0" w:space="0" w:color="auto"/>
                <w:bottom w:val="none" w:sz="0" w:space="0" w:color="auto"/>
                <w:right w:val="none" w:sz="0" w:space="0" w:color="auto"/>
              </w:divBdr>
            </w:div>
          </w:divsChild>
        </w:div>
        <w:div w:id="380636257">
          <w:marLeft w:val="0"/>
          <w:marRight w:val="0"/>
          <w:marTop w:val="0"/>
          <w:marBottom w:val="0"/>
          <w:divBdr>
            <w:top w:val="none" w:sz="0" w:space="0" w:color="auto"/>
            <w:left w:val="none" w:sz="0" w:space="0" w:color="auto"/>
            <w:bottom w:val="none" w:sz="0" w:space="0" w:color="auto"/>
            <w:right w:val="none" w:sz="0" w:space="0" w:color="auto"/>
          </w:divBdr>
          <w:divsChild>
            <w:div w:id="1871456346">
              <w:marLeft w:val="0"/>
              <w:marRight w:val="0"/>
              <w:marTop w:val="0"/>
              <w:marBottom w:val="0"/>
              <w:divBdr>
                <w:top w:val="none" w:sz="0" w:space="0" w:color="auto"/>
                <w:left w:val="none" w:sz="0" w:space="0" w:color="auto"/>
                <w:bottom w:val="none" w:sz="0" w:space="0" w:color="auto"/>
                <w:right w:val="none" w:sz="0" w:space="0" w:color="auto"/>
              </w:divBdr>
            </w:div>
          </w:divsChild>
        </w:div>
        <w:div w:id="380904670">
          <w:marLeft w:val="0"/>
          <w:marRight w:val="0"/>
          <w:marTop w:val="0"/>
          <w:marBottom w:val="0"/>
          <w:divBdr>
            <w:top w:val="none" w:sz="0" w:space="0" w:color="auto"/>
            <w:left w:val="none" w:sz="0" w:space="0" w:color="auto"/>
            <w:bottom w:val="none" w:sz="0" w:space="0" w:color="auto"/>
            <w:right w:val="none" w:sz="0" w:space="0" w:color="auto"/>
          </w:divBdr>
          <w:divsChild>
            <w:div w:id="87702669">
              <w:marLeft w:val="0"/>
              <w:marRight w:val="0"/>
              <w:marTop w:val="0"/>
              <w:marBottom w:val="0"/>
              <w:divBdr>
                <w:top w:val="none" w:sz="0" w:space="0" w:color="auto"/>
                <w:left w:val="none" w:sz="0" w:space="0" w:color="auto"/>
                <w:bottom w:val="none" w:sz="0" w:space="0" w:color="auto"/>
                <w:right w:val="none" w:sz="0" w:space="0" w:color="auto"/>
              </w:divBdr>
            </w:div>
          </w:divsChild>
        </w:div>
        <w:div w:id="384644600">
          <w:marLeft w:val="0"/>
          <w:marRight w:val="0"/>
          <w:marTop w:val="0"/>
          <w:marBottom w:val="0"/>
          <w:divBdr>
            <w:top w:val="none" w:sz="0" w:space="0" w:color="auto"/>
            <w:left w:val="none" w:sz="0" w:space="0" w:color="auto"/>
            <w:bottom w:val="none" w:sz="0" w:space="0" w:color="auto"/>
            <w:right w:val="none" w:sz="0" w:space="0" w:color="auto"/>
          </w:divBdr>
          <w:divsChild>
            <w:div w:id="962804467">
              <w:marLeft w:val="0"/>
              <w:marRight w:val="0"/>
              <w:marTop w:val="0"/>
              <w:marBottom w:val="0"/>
              <w:divBdr>
                <w:top w:val="none" w:sz="0" w:space="0" w:color="auto"/>
                <w:left w:val="none" w:sz="0" w:space="0" w:color="auto"/>
                <w:bottom w:val="none" w:sz="0" w:space="0" w:color="auto"/>
                <w:right w:val="none" w:sz="0" w:space="0" w:color="auto"/>
              </w:divBdr>
            </w:div>
          </w:divsChild>
        </w:div>
        <w:div w:id="384988365">
          <w:marLeft w:val="0"/>
          <w:marRight w:val="0"/>
          <w:marTop w:val="0"/>
          <w:marBottom w:val="0"/>
          <w:divBdr>
            <w:top w:val="none" w:sz="0" w:space="0" w:color="auto"/>
            <w:left w:val="none" w:sz="0" w:space="0" w:color="auto"/>
            <w:bottom w:val="none" w:sz="0" w:space="0" w:color="auto"/>
            <w:right w:val="none" w:sz="0" w:space="0" w:color="auto"/>
          </w:divBdr>
          <w:divsChild>
            <w:div w:id="174224599">
              <w:marLeft w:val="0"/>
              <w:marRight w:val="0"/>
              <w:marTop w:val="0"/>
              <w:marBottom w:val="0"/>
              <w:divBdr>
                <w:top w:val="none" w:sz="0" w:space="0" w:color="auto"/>
                <w:left w:val="none" w:sz="0" w:space="0" w:color="auto"/>
                <w:bottom w:val="none" w:sz="0" w:space="0" w:color="auto"/>
                <w:right w:val="none" w:sz="0" w:space="0" w:color="auto"/>
              </w:divBdr>
            </w:div>
          </w:divsChild>
        </w:div>
        <w:div w:id="387727625">
          <w:marLeft w:val="0"/>
          <w:marRight w:val="0"/>
          <w:marTop w:val="0"/>
          <w:marBottom w:val="0"/>
          <w:divBdr>
            <w:top w:val="none" w:sz="0" w:space="0" w:color="auto"/>
            <w:left w:val="none" w:sz="0" w:space="0" w:color="auto"/>
            <w:bottom w:val="none" w:sz="0" w:space="0" w:color="auto"/>
            <w:right w:val="none" w:sz="0" w:space="0" w:color="auto"/>
          </w:divBdr>
          <w:divsChild>
            <w:div w:id="1959680861">
              <w:marLeft w:val="0"/>
              <w:marRight w:val="0"/>
              <w:marTop w:val="0"/>
              <w:marBottom w:val="0"/>
              <w:divBdr>
                <w:top w:val="none" w:sz="0" w:space="0" w:color="auto"/>
                <w:left w:val="none" w:sz="0" w:space="0" w:color="auto"/>
                <w:bottom w:val="none" w:sz="0" w:space="0" w:color="auto"/>
                <w:right w:val="none" w:sz="0" w:space="0" w:color="auto"/>
              </w:divBdr>
            </w:div>
          </w:divsChild>
        </w:div>
        <w:div w:id="391197788">
          <w:marLeft w:val="0"/>
          <w:marRight w:val="0"/>
          <w:marTop w:val="0"/>
          <w:marBottom w:val="0"/>
          <w:divBdr>
            <w:top w:val="none" w:sz="0" w:space="0" w:color="auto"/>
            <w:left w:val="none" w:sz="0" w:space="0" w:color="auto"/>
            <w:bottom w:val="none" w:sz="0" w:space="0" w:color="auto"/>
            <w:right w:val="none" w:sz="0" w:space="0" w:color="auto"/>
          </w:divBdr>
          <w:divsChild>
            <w:div w:id="2017877840">
              <w:marLeft w:val="0"/>
              <w:marRight w:val="0"/>
              <w:marTop w:val="0"/>
              <w:marBottom w:val="0"/>
              <w:divBdr>
                <w:top w:val="none" w:sz="0" w:space="0" w:color="auto"/>
                <w:left w:val="none" w:sz="0" w:space="0" w:color="auto"/>
                <w:bottom w:val="none" w:sz="0" w:space="0" w:color="auto"/>
                <w:right w:val="none" w:sz="0" w:space="0" w:color="auto"/>
              </w:divBdr>
            </w:div>
          </w:divsChild>
        </w:div>
        <w:div w:id="397477643">
          <w:marLeft w:val="0"/>
          <w:marRight w:val="0"/>
          <w:marTop w:val="0"/>
          <w:marBottom w:val="0"/>
          <w:divBdr>
            <w:top w:val="none" w:sz="0" w:space="0" w:color="auto"/>
            <w:left w:val="none" w:sz="0" w:space="0" w:color="auto"/>
            <w:bottom w:val="none" w:sz="0" w:space="0" w:color="auto"/>
            <w:right w:val="none" w:sz="0" w:space="0" w:color="auto"/>
          </w:divBdr>
          <w:divsChild>
            <w:div w:id="622422768">
              <w:marLeft w:val="0"/>
              <w:marRight w:val="0"/>
              <w:marTop w:val="0"/>
              <w:marBottom w:val="0"/>
              <w:divBdr>
                <w:top w:val="none" w:sz="0" w:space="0" w:color="auto"/>
                <w:left w:val="none" w:sz="0" w:space="0" w:color="auto"/>
                <w:bottom w:val="none" w:sz="0" w:space="0" w:color="auto"/>
                <w:right w:val="none" w:sz="0" w:space="0" w:color="auto"/>
              </w:divBdr>
            </w:div>
          </w:divsChild>
        </w:div>
        <w:div w:id="397559060">
          <w:marLeft w:val="0"/>
          <w:marRight w:val="0"/>
          <w:marTop w:val="0"/>
          <w:marBottom w:val="0"/>
          <w:divBdr>
            <w:top w:val="none" w:sz="0" w:space="0" w:color="auto"/>
            <w:left w:val="none" w:sz="0" w:space="0" w:color="auto"/>
            <w:bottom w:val="none" w:sz="0" w:space="0" w:color="auto"/>
            <w:right w:val="none" w:sz="0" w:space="0" w:color="auto"/>
          </w:divBdr>
          <w:divsChild>
            <w:div w:id="751314240">
              <w:marLeft w:val="0"/>
              <w:marRight w:val="0"/>
              <w:marTop w:val="0"/>
              <w:marBottom w:val="0"/>
              <w:divBdr>
                <w:top w:val="none" w:sz="0" w:space="0" w:color="auto"/>
                <w:left w:val="none" w:sz="0" w:space="0" w:color="auto"/>
                <w:bottom w:val="none" w:sz="0" w:space="0" w:color="auto"/>
                <w:right w:val="none" w:sz="0" w:space="0" w:color="auto"/>
              </w:divBdr>
            </w:div>
          </w:divsChild>
        </w:div>
        <w:div w:id="400257740">
          <w:marLeft w:val="0"/>
          <w:marRight w:val="0"/>
          <w:marTop w:val="0"/>
          <w:marBottom w:val="0"/>
          <w:divBdr>
            <w:top w:val="none" w:sz="0" w:space="0" w:color="auto"/>
            <w:left w:val="none" w:sz="0" w:space="0" w:color="auto"/>
            <w:bottom w:val="none" w:sz="0" w:space="0" w:color="auto"/>
            <w:right w:val="none" w:sz="0" w:space="0" w:color="auto"/>
          </w:divBdr>
          <w:divsChild>
            <w:div w:id="1116485516">
              <w:marLeft w:val="0"/>
              <w:marRight w:val="0"/>
              <w:marTop w:val="0"/>
              <w:marBottom w:val="0"/>
              <w:divBdr>
                <w:top w:val="none" w:sz="0" w:space="0" w:color="auto"/>
                <w:left w:val="none" w:sz="0" w:space="0" w:color="auto"/>
                <w:bottom w:val="none" w:sz="0" w:space="0" w:color="auto"/>
                <w:right w:val="none" w:sz="0" w:space="0" w:color="auto"/>
              </w:divBdr>
            </w:div>
          </w:divsChild>
        </w:div>
        <w:div w:id="404842520">
          <w:marLeft w:val="0"/>
          <w:marRight w:val="0"/>
          <w:marTop w:val="0"/>
          <w:marBottom w:val="0"/>
          <w:divBdr>
            <w:top w:val="none" w:sz="0" w:space="0" w:color="auto"/>
            <w:left w:val="none" w:sz="0" w:space="0" w:color="auto"/>
            <w:bottom w:val="none" w:sz="0" w:space="0" w:color="auto"/>
            <w:right w:val="none" w:sz="0" w:space="0" w:color="auto"/>
          </w:divBdr>
          <w:divsChild>
            <w:div w:id="1708796251">
              <w:marLeft w:val="0"/>
              <w:marRight w:val="0"/>
              <w:marTop w:val="0"/>
              <w:marBottom w:val="0"/>
              <w:divBdr>
                <w:top w:val="none" w:sz="0" w:space="0" w:color="auto"/>
                <w:left w:val="none" w:sz="0" w:space="0" w:color="auto"/>
                <w:bottom w:val="none" w:sz="0" w:space="0" w:color="auto"/>
                <w:right w:val="none" w:sz="0" w:space="0" w:color="auto"/>
              </w:divBdr>
            </w:div>
          </w:divsChild>
        </w:div>
        <w:div w:id="405031351">
          <w:marLeft w:val="0"/>
          <w:marRight w:val="0"/>
          <w:marTop w:val="0"/>
          <w:marBottom w:val="0"/>
          <w:divBdr>
            <w:top w:val="none" w:sz="0" w:space="0" w:color="auto"/>
            <w:left w:val="none" w:sz="0" w:space="0" w:color="auto"/>
            <w:bottom w:val="none" w:sz="0" w:space="0" w:color="auto"/>
            <w:right w:val="none" w:sz="0" w:space="0" w:color="auto"/>
          </w:divBdr>
          <w:divsChild>
            <w:div w:id="1395354388">
              <w:marLeft w:val="0"/>
              <w:marRight w:val="0"/>
              <w:marTop w:val="0"/>
              <w:marBottom w:val="0"/>
              <w:divBdr>
                <w:top w:val="none" w:sz="0" w:space="0" w:color="auto"/>
                <w:left w:val="none" w:sz="0" w:space="0" w:color="auto"/>
                <w:bottom w:val="none" w:sz="0" w:space="0" w:color="auto"/>
                <w:right w:val="none" w:sz="0" w:space="0" w:color="auto"/>
              </w:divBdr>
            </w:div>
          </w:divsChild>
        </w:div>
        <w:div w:id="406810450">
          <w:marLeft w:val="0"/>
          <w:marRight w:val="0"/>
          <w:marTop w:val="0"/>
          <w:marBottom w:val="0"/>
          <w:divBdr>
            <w:top w:val="none" w:sz="0" w:space="0" w:color="auto"/>
            <w:left w:val="none" w:sz="0" w:space="0" w:color="auto"/>
            <w:bottom w:val="none" w:sz="0" w:space="0" w:color="auto"/>
            <w:right w:val="none" w:sz="0" w:space="0" w:color="auto"/>
          </w:divBdr>
          <w:divsChild>
            <w:div w:id="1989554520">
              <w:marLeft w:val="0"/>
              <w:marRight w:val="0"/>
              <w:marTop w:val="0"/>
              <w:marBottom w:val="0"/>
              <w:divBdr>
                <w:top w:val="none" w:sz="0" w:space="0" w:color="auto"/>
                <w:left w:val="none" w:sz="0" w:space="0" w:color="auto"/>
                <w:bottom w:val="none" w:sz="0" w:space="0" w:color="auto"/>
                <w:right w:val="none" w:sz="0" w:space="0" w:color="auto"/>
              </w:divBdr>
            </w:div>
          </w:divsChild>
        </w:div>
        <w:div w:id="411586234">
          <w:marLeft w:val="0"/>
          <w:marRight w:val="0"/>
          <w:marTop w:val="0"/>
          <w:marBottom w:val="0"/>
          <w:divBdr>
            <w:top w:val="none" w:sz="0" w:space="0" w:color="auto"/>
            <w:left w:val="none" w:sz="0" w:space="0" w:color="auto"/>
            <w:bottom w:val="none" w:sz="0" w:space="0" w:color="auto"/>
            <w:right w:val="none" w:sz="0" w:space="0" w:color="auto"/>
          </w:divBdr>
          <w:divsChild>
            <w:div w:id="2114663955">
              <w:marLeft w:val="0"/>
              <w:marRight w:val="0"/>
              <w:marTop w:val="0"/>
              <w:marBottom w:val="0"/>
              <w:divBdr>
                <w:top w:val="none" w:sz="0" w:space="0" w:color="auto"/>
                <w:left w:val="none" w:sz="0" w:space="0" w:color="auto"/>
                <w:bottom w:val="none" w:sz="0" w:space="0" w:color="auto"/>
                <w:right w:val="none" w:sz="0" w:space="0" w:color="auto"/>
              </w:divBdr>
            </w:div>
          </w:divsChild>
        </w:div>
        <w:div w:id="412971491">
          <w:marLeft w:val="0"/>
          <w:marRight w:val="0"/>
          <w:marTop w:val="0"/>
          <w:marBottom w:val="0"/>
          <w:divBdr>
            <w:top w:val="none" w:sz="0" w:space="0" w:color="auto"/>
            <w:left w:val="none" w:sz="0" w:space="0" w:color="auto"/>
            <w:bottom w:val="none" w:sz="0" w:space="0" w:color="auto"/>
            <w:right w:val="none" w:sz="0" w:space="0" w:color="auto"/>
          </w:divBdr>
          <w:divsChild>
            <w:div w:id="1656298278">
              <w:marLeft w:val="0"/>
              <w:marRight w:val="0"/>
              <w:marTop w:val="0"/>
              <w:marBottom w:val="0"/>
              <w:divBdr>
                <w:top w:val="none" w:sz="0" w:space="0" w:color="auto"/>
                <w:left w:val="none" w:sz="0" w:space="0" w:color="auto"/>
                <w:bottom w:val="none" w:sz="0" w:space="0" w:color="auto"/>
                <w:right w:val="none" w:sz="0" w:space="0" w:color="auto"/>
              </w:divBdr>
            </w:div>
          </w:divsChild>
        </w:div>
        <w:div w:id="417404053">
          <w:marLeft w:val="0"/>
          <w:marRight w:val="0"/>
          <w:marTop w:val="0"/>
          <w:marBottom w:val="0"/>
          <w:divBdr>
            <w:top w:val="none" w:sz="0" w:space="0" w:color="auto"/>
            <w:left w:val="none" w:sz="0" w:space="0" w:color="auto"/>
            <w:bottom w:val="none" w:sz="0" w:space="0" w:color="auto"/>
            <w:right w:val="none" w:sz="0" w:space="0" w:color="auto"/>
          </w:divBdr>
          <w:divsChild>
            <w:div w:id="1494296599">
              <w:marLeft w:val="0"/>
              <w:marRight w:val="0"/>
              <w:marTop w:val="0"/>
              <w:marBottom w:val="0"/>
              <w:divBdr>
                <w:top w:val="none" w:sz="0" w:space="0" w:color="auto"/>
                <w:left w:val="none" w:sz="0" w:space="0" w:color="auto"/>
                <w:bottom w:val="none" w:sz="0" w:space="0" w:color="auto"/>
                <w:right w:val="none" w:sz="0" w:space="0" w:color="auto"/>
              </w:divBdr>
            </w:div>
          </w:divsChild>
        </w:div>
        <w:div w:id="417947464">
          <w:marLeft w:val="0"/>
          <w:marRight w:val="0"/>
          <w:marTop w:val="0"/>
          <w:marBottom w:val="0"/>
          <w:divBdr>
            <w:top w:val="none" w:sz="0" w:space="0" w:color="auto"/>
            <w:left w:val="none" w:sz="0" w:space="0" w:color="auto"/>
            <w:bottom w:val="none" w:sz="0" w:space="0" w:color="auto"/>
            <w:right w:val="none" w:sz="0" w:space="0" w:color="auto"/>
          </w:divBdr>
          <w:divsChild>
            <w:div w:id="886913692">
              <w:marLeft w:val="0"/>
              <w:marRight w:val="0"/>
              <w:marTop w:val="0"/>
              <w:marBottom w:val="0"/>
              <w:divBdr>
                <w:top w:val="none" w:sz="0" w:space="0" w:color="auto"/>
                <w:left w:val="none" w:sz="0" w:space="0" w:color="auto"/>
                <w:bottom w:val="none" w:sz="0" w:space="0" w:color="auto"/>
                <w:right w:val="none" w:sz="0" w:space="0" w:color="auto"/>
              </w:divBdr>
            </w:div>
          </w:divsChild>
        </w:div>
        <w:div w:id="418142438">
          <w:marLeft w:val="0"/>
          <w:marRight w:val="0"/>
          <w:marTop w:val="0"/>
          <w:marBottom w:val="0"/>
          <w:divBdr>
            <w:top w:val="none" w:sz="0" w:space="0" w:color="auto"/>
            <w:left w:val="none" w:sz="0" w:space="0" w:color="auto"/>
            <w:bottom w:val="none" w:sz="0" w:space="0" w:color="auto"/>
            <w:right w:val="none" w:sz="0" w:space="0" w:color="auto"/>
          </w:divBdr>
          <w:divsChild>
            <w:div w:id="570582390">
              <w:marLeft w:val="0"/>
              <w:marRight w:val="0"/>
              <w:marTop w:val="0"/>
              <w:marBottom w:val="0"/>
              <w:divBdr>
                <w:top w:val="none" w:sz="0" w:space="0" w:color="auto"/>
                <w:left w:val="none" w:sz="0" w:space="0" w:color="auto"/>
                <w:bottom w:val="none" w:sz="0" w:space="0" w:color="auto"/>
                <w:right w:val="none" w:sz="0" w:space="0" w:color="auto"/>
              </w:divBdr>
            </w:div>
          </w:divsChild>
        </w:div>
        <w:div w:id="418524646">
          <w:marLeft w:val="0"/>
          <w:marRight w:val="0"/>
          <w:marTop w:val="0"/>
          <w:marBottom w:val="0"/>
          <w:divBdr>
            <w:top w:val="none" w:sz="0" w:space="0" w:color="auto"/>
            <w:left w:val="none" w:sz="0" w:space="0" w:color="auto"/>
            <w:bottom w:val="none" w:sz="0" w:space="0" w:color="auto"/>
            <w:right w:val="none" w:sz="0" w:space="0" w:color="auto"/>
          </w:divBdr>
          <w:divsChild>
            <w:div w:id="940915740">
              <w:marLeft w:val="0"/>
              <w:marRight w:val="0"/>
              <w:marTop w:val="0"/>
              <w:marBottom w:val="0"/>
              <w:divBdr>
                <w:top w:val="none" w:sz="0" w:space="0" w:color="auto"/>
                <w:left w:val="none" w:sz="0" w:space="0" w:color="auto"/>
                <w:bottom w:val="none" w:sz="0" w:space="0" w:color="auto"/>
                <w:right w:val="none" w:sz="0" w:space="0" w:color="auto"/>
              </w:divBdr>
            </w:div>
          </w:divsChild>
        </w:div>
        <w:div w:id="420300638">
          <w:marLeft w:val="0"/>
          <w:marRight w:val="0"/>
          <w:marTop w:val="0"/>
          <w:marBottom w:val="0"/>
          <w:divBdr>
            <w:top w:val="none" w:sz="0" w:space="0" w:color="auto"/>
            <w:left w:val="none" w:sz="0" w:space="0" w:color="auto"/>
            <w:bottom w:val="none" w:sz="0" w:space="0" w:color="auto"/>
            <w:right w:val="none" w:sz="0" w:space="0" w:color="auto"/>
          </w:divBdr>
          <w:divsChild>
            <w:div w:id="751582326">
              <w:marLeft w:val="0"/>
              <w:marRight w:val="0"/>
              <w:marTop w:val="0"/>
              <w:marBottom w:val="0"/>
              <w:divBdr>
                <w:top w:val="none" w:sz="0" w:space="0" w:color="auto"/>
                <w:left w:val="none" w:sz="0" w:space="0" w:color="auto"/>
                <w:bottom w:val="none" w:sz="0" w:space="0" w:color="auto"/>
                <w:right w:val="none" w:sz="0" w:space="0" w:color="auto"/>
              </w:divBdr>
            </w:div>
          </w:divsChild>
        </w:div>
        <w:div w:id="420374961">
          <w:marLeft w:val="0"/>
          <w:marRight w:val="0"/>
          <w:marTop w:val="0"/>
          <w:marBottom w:val="0"/>
          <w:divBdr>
            <w:top w:val="none" w:sz="0" w:space="0" w:color="auto"/>
            <w:left w:val="none" w:sz="0" w:space="0" w:color="auto"/>
            <w:bottom w:val="none" w:sz="0" w:space="0" w:color="auto"/>
            <w:right w:val="none" w:sz="0" w:space="0" w:color="auto"/>
          </w:divBdr>
          <w:divsChild>
            <w:div w:id="1749382256">
              <w:marLeft w:val="0"/>
              <w:marRight w:val="0"/>
              <w:marTop w:val="0"/>
              <w:marBottom w:val="0"/>
              <w:divBdr>
                <w:top w:val="none" w:sz="0" w:space="0" w:color="auto"/>
                <w:left w:val="none" w:sz="0" w:space="0" w:color="auto"/>
                <w:bottom w:val="none" w:sz="0" w:space="0" w:color="auto"/>
                <w:right w:val="none" w:sz="0" w:space="0" w:color="auto"/>
              </w:divBdr>
            </w:div>
          </w:divsChild>
        </w:div>
        <w:div w:id="421878355">
          <w:marLeft w:val="0"/>
          <w:marRight w:val="0"/>
          <w:marTop w:val="0"/>
          <w:marBottom w:val="0"/>
          <w:divBdr>
            <w:top w:val="none" w:sz="0" w:space="0" w:color="auto"/>
            <w:left w:val="none" w:sz="0" w:space="0" w:color="auto"/>
            <w:bottom w:val="none" w:sz="0" w:space="0" w:color="auto"/>
            <w:right w:val="none" w:sz="0" w:space="0" w:color="auto"/>
          </w:divBdr>
          <w:divsChild>
            <w:div w:id="1212956620">
              <w:marLeft w:val="0"/>
              <w:marRight w:val="0"/>
              <w:marTop w:val="0"/>
              <w:marBottom w:val="0"/>
              <w:divBdr>
                <w:top w:val="none" w:sz="0" w:space="0" w:color="auto"/>
                <w:left w:val="none" w:sz="0" w:space="0" w:color="auto"/>
                <w:bottom w:val="none" w:sz="0" w:space="0" w:color="auto"/>
                <w:right w:val="none" w:sz="0" w:space="0" w:color="auto"/>
              </w:divBdr>
            </w:div>
          </w:divsChild>
        </w:div>
        <w:div w:id="429357765">
          <w:marLeft w:val="0"/>
          <w:marRight w:val="0"/>
          <w:marTop w:val="0"/>
          <w:marBottom w:val="0"/>
          <w:divBdr>
            <w:top w:val="none" w:sz="0" w:space="0" w:color="auto"/>
            <w:left w:val="none" w:sz="0" w:space="0" w:color="auto"/>
            <w:bottom w:val="none" w:sz="0" w:space="0" w:color="auto"/>
            <w:right w:val="none" w:sz="0" w:space="0" w:color="auto"/>
          </w:divBdr>
          <w:divsChild>
            <w:div w:id="1105272895">
              <w:marLeft w:val="0"/>
              <w:marRight w:val="0"/>
              <w:marTop w:val="0"/>
              <w:marBottom w:val="0"/>
              <w:divBdr>
                <w:top w:val="none" w:sz="0" w:space="0" w:color="auto"/>
                <w:left w:val="none" w:sz="0" w:space="0" w:color="auto"/>
                <w:bottom w:val="none" w:sz="0" w:space="0" w:color="auto"/>
                <w:right w:val="none" w:sz="0" w:space="0" w:color="auto"/>
              </w:divBdr>
            </w:div>
          </w:divsChild>
        </w:div>
        <w:div w:id="429398831">
          <w:marLeft w:val="0"/>
          <w:marRight w:val="0"/>
          <w:marTop w:val="0"/>
          <w:marBottom w:val="0"/>
          <w:divBdr>
            <w:top w:val="none" w:sz="0" w:space="0" w:color="auto"/>
            <w:left w:val="none" w:sz="0" w:space="0" w:color="auto"/>
            <w:bottom w:val="none" w:sz="0" w:space="0" w:color="auto"/>
            <w:right w:val="none" w:sz="0" w:space="0" w:color="auto"/>
          </w:divBdr>
          <w:divsChild>
            <w:div w:id="720061045">
              <w:marLeft w:val="0"/>
              <w:marRight w:val="0"/>
              <w:marTop w:val="0"/>
              <w:marBottom w:val="0"/>
              <w:divBdr>
                <w:top w:val="none" w:sz="0" w:space="0" w:color="auto"/>
                <w:left w:val="none" w:sz="0" w:space="0" w:color="auto"/>
                <w:bottom w:val="none" w:sz="0" w:space="0" w:color="auto"/>
                <w:right w:val="none" w:sz="0" w:space="0" w:color="auto"/>
              </w:divBdr>
            </w:div>
          </w:divsChild>
        </w:div>
        <w:div w:id="431318661">
          <w:marLeft w:val="0"/>
          <w:marRight w:val="0"/>
          <w:marTop w:val="0"/>
          <w:marBottom w:val="0"/>
          <w:divBdr>
            <w:top w:val="none" w:sz="0" w:space="0" w:color="auto"/>
            <w:left w:val="none" w:sz="0" w:space="0" w:color="auto"/>
            <w:bottom w:val="none" w:sz="0" w:space="0" w:color="auto"/>
            <w:right w:val="none" w:sz="0" w:space="0" w:color="auto"/>
          </w:divBdr>
          <w:divsChild>
            <w:div w:id="2024353215">
              <w:marLeft w:val="0"/>
              <w:marRight w:val="0"/>
              <w:marTop w:val="0"/>
              <w:marBottom w:val="0"/>
              <w:divBdr>
                <w:top w:val="none" w:sz="0" w:space="0" w:color="auto"/>
                <w:left w:val="none" w:sz="0" w:space="0" w:color="auto"/>
                <w:bottom w:val="none" w:sz="0" w:space="0" w:color="auto"/>
                <w:right w:val="none" w:sz="0" w:space="0" w:color="auto"/>
              </w:divBdr>
            </w:div>
          </w:divsChild>
        </w:div>
        <w:div w:id="432825953">
          <w:marLeft w:val="0"/>
          <w:marRight w:val="0"/>
          <w:marTop w:val="0"/>
          <w:marBottom w:val="0"/>
          <w:divBdr>
            <w:top w:val="none" w:sz="0" w:space="0" w:color="auto"/>
            <w:left w:val="none" w:sz="0" w:space="0" w:color="auto"/>
            <w:bottom w:val="none" w:sz="0" w:space="0" w:color="auto"/>
            <w:right w:val="none" w:sz="0" w:space="0" w:color="auto"/>
          </w:divBdr>
          <w:divsChild>
            <w:div w:id="1082146230">
              <w:marLeft w:val="0"/>
              <w:marRight w:val="0"/>
              <w:marTop w:val="0"/>
              <w:marBottom w:val="0"/>
              <w:divBdr>
                <w:top w:val="none" w:sz="0" w:space="0" w:color="auto"/>
                <w:left w:val="none" w:sz="0" w:space="0" w:color="auto"/>
                <w:bottom w:val="none" w:sz="0" w:space="0" w:color="auto"/>
                <w:right w:val="none" w:sz="0" w:space="0" w:color="auto"/>
              </w:divBdr>
            </w:div>
          </w:divsChild>
        </w:div>
        <w:div w:id="434247993">
          <w:marLeft w:val="0"/>
          <w:marRight w:val="0"/>
          <w:marTop w:val="0"/>
          <w:marBottom w:val="0"/>
          <w:divBdr>
            <w:top w:val="none" w:sz="0" w:space="0" w:color="auto"/>
            <w:left w:val="none" w:sz="0" w:space="0" w:color="auto"/>
            <w:bottom w:val="none" w:sz="0" w:space="0" w:color="auto"/>
            <w:right w:val="none" w:sz="0" w:space="0" w:color="auto"/>
          </w:divBdr>
          <w:divsChild>
            <w:div w:id="624045884">
              <w:marLeft w:val="0"/>
              <w:marRight w:val="0"/>
              <w:marTop w:val="0"/>
              <w:marBottom w:val="0"/>
              <w:divBdr>
                <w:top w:val="none" w:sz="0" w:space="0" w:color="auto"/>
                <w:left w:val="none" w:sz="0" w:space="0" w:color="auto"/>
                <w:bottom w:val="none" w:sz="0" w:space="0" w:color="auto"/>
                <w:right w:val="none" w:sz="0" w:space="0" w:color="auto"/>
              </w:divBdr>
            </w:div>
          </w:divsChild>
        </w:div>
        <w:div w:id="435057375">
          <w:marLeft w:val="0"/>
          <w:marRight w:val="0"/>
          <w:marTop w:val="0"/>
          <w:marBottom w:val="0"/>
          <w:divBdr>
            <w:top w:val="none" w:sz="0" w:space="0" w:color="auto"/>
            <w:left w:val="none" w:sz="0" w:space="0" w:color="auto"/>
            <w:bottom w:val="none" w:sz="0" w:space="0" w:color="auto"/>
            <w:right w:val="none" w:sz="0" w:space="0" w:color="auto"/>
          </w:divBdr>
          <w:divsChild>
            <w:div w:id="533351830">
              <w:marLeft w:val="0"/>
              <w:marRight w:val="0"/>
              <w:marTop w:val="0"/>
              <w:marBottom w:val="0"/>
              <w:divBdr>
                <w:top w:val="none" w:sz="0" w:space="0" w:color="auto"/>
                <w:left w:val="none" w:sz="0" w:space="0" w:color="auto"/>
                <w:bottom w:val="none" w:sz="0" w:space="0" w:color="auto"/>
                <w:right w:val="none" w:sz="0" w:space="0" w:color="auto"/>
              </w:divBdr>
            </w:div>
          </w:divsChild>
        </w:div>
        <w:div w:id="435758605">
          <w:marLeft w:val="0"/>
          <w:marRight w:val="0"/>
          <w:marTop w:val="0"/>
          <w:marBottom w:val="0"/>
          <w:divBdr>
            <w:top w:val="none" w:sz="0" w:space="0" w:color="auto"/>
            <w:left w:val="none" w:sz="0" w:space="0" w:color="auto"/>
            <w:bottom w:val="none" w:sz="0" w:space="0" w:color="auto"/>
            <w:right w:val="none" w:sz="0" w:space="0" w:color="auto"/>
          </w:divBdr>
          <w:divsChild>
            <w:div w:id="1205024315">
              <w:marLeft w:val="0"/>
              <w:marRight w:val="0"/>
              <w:marTop w:val="0"/>
              <w:marBottom w:val="0"/>
              <w:divBdr>
                <w:top w:val="none" w:sz="0" w:space="0" w:color="auto"/>
                <w:left w:val="none" w:sz="0" w:space="0" w:color="auto"/>
                <w:bottom w:val="none" w:sz="0" w:space="0" w:color="auto"/>
                <w:right w:val="none" w:sz="0" w:space="0" w:color="auto"/>
              </w:divBdr>
            </w:div>
          </w:divsChild>
        </w:div>
        <w:div w:id="439645714">
          <w:marLeft w:val="0"/>
          <w:marRight w:val="0"/>
          <w:marTop w:val="0"/>
          <w:marBottom w:val="0"/>
          <w:divBdr>
            <w:top w:val="none" w:sz="0" w:space="0" w:color="auto"/>
            <w:left w:val="none" w:sz="0" w:space="0" w:color="auto"/>
            <w:bottom w:val="none" w:sz="0" w:space="0" w:color="auto"/>
            <w:right w:val="none" w:sz="0" w:space="0" w:color="auto"/>
          </w:divBdr>
          <w:divsChild>
            <w:div w:id="1593661924">
              <w:marLeft w:val="0"/>
              <w:marRight w:val="0"/>
              <w:marTop w:val="0"/>
              <w:marBottom w:val="0"/>
              <w:divBdr>
                <w:top w:val="none" w:sz="0" w:space="0" w:color="auto"/>
                <w:left w:val="none" w:sz="0" w:space="0" w:color="auto"/>
                <w:bottom w:val="none" w:sz="0" w:space="0" w:color="auto"/>
                <w:right w:val="none" w:sz="0" w:space="0" w:color="auto"/>
              </w:divBdr>
            </w:div>
          </w:divsChild>
        </w:div>
        <w:div w:id="440229267">
          <w:marLeft w:val="0"/>
          <w:marRight w:val="0"/>
          <w:marTop w:val="0"/>
          <w:marBottom w:val="0"/>
          <w:divBdr>
            <w:top w:val="none" w:sz="0" w:space="0" w:color="auto"/>
            <w:left w:val="none" w:sz="0" w:space="0" w:color="auto"/>
            <w:bottom w:val="none" w:sz="0" w:space="0" w:color="auto"/>
            <w:right w:val="none" w:sz="0" w:space="0" w:color="auto"/>
          </w:divBdr>
          <w:divsChild>
            <w:div w:id="1427920135">
              <w:marLeft w:val="0"/>
              <w:marRight w:val="0"/>
              <w:marTop w:val="0"/>
              <w:marBottom w:val="0"/>
              <w:divBdr>
                <w:top w:val="none" w:sz="0" w:space="0" w:color="auto"/>
                <w:left w:val="none" w:sz="0" w:space="0" w:color="auto"/>
                <w:bottom w:val="none" w:sz="0" w:space="0" w:color="auto"/>
                <w:right w:val="none" w:sz="0" w:space="0" w:color="auto"/>
              </w:divBdr>
            </w:div>
          </w:divsChild>
        </w:div>
        <w:div w:id="442071057">
          <w:marLeft w:val="0"/>
          <w:marRight w:val="0"/>
          <w:marTop w:val="0"/>
          <w:marBottom w:val="0"/>
          <w:divBdr>
            <w:top w:val="none" w:sz="0" w:space="0" w:color="auto"/>
            <w:left w:val="none" w:sz="0" w:space="0" w:color="auto"/>
            <w:bottom w:val="none" w:sz="0" w:space="0" w:color="auto"/>
            <w:right w:val="none" w:sz="0" w:space="0" w:color="auto"/>
          </w:divBdr>
          <w:divsChild>
            <w:div w:id="1937665709">
              <w:marLeft w:val="0"/>
              <w:marRight w:val="0"/>
              <w:marTop w:val="0"/>
              <w:marBottom w:val="0"/>
              <w:divBdr>
                <w:top w:val="none" w:sz="0" w:space="0" w:color="auto"/>
                <w:left w:val="none" w:sz="0" w:space="0" w:color="auto"/>
                <w:bottom w:val="none" w:sz="0" w:space="0" w:color="auto"/>
                <w:right w:val="none" w:sz="0" w:space="0" w:color="auto"/>
              </w:divBdr>
            </w:div>
          </w:divsChild>
        </w:div>
        <w:div w:id="445203055">
          <w:marLeft w:val="0"/>
          <w:marRight w:val="0"/>
          <w:marTop w:val="0"/>
          <w:marBottom w:val="0"/>
          <w:divBdr>
            <w:top w:val="none" w:sz="0" w:space="0" w:color="auto"/>
            <w:left w:val="none" w:sz="0" w:space="0" w:color="auto"/>
            <w:bottom w:val="none" w:sz="0" w:space="0" w:color="auto"/>
            <w:right w:val="none" w:sz="0" w:space="0" w:color="auto"/>
          </w:divBdr>
          <w:divsChild>
            <w:div w:id="1365791177">
              <w:marLeft w:val="0"/>
              <w:marRight w:val="0"/>
              <w:marTop w:val="0"/>
              <w:marBottom w:val="0"/>
              <w:divBdr>
                <w:top w:val="none" w:sz="0" w:space="0" w:color="auto"/>
                <w:left w:val="none" w:sz="0" w:space="0" w:color="auto"/>
                <w:bottom w:val="none" w:sz="0" w:space="0" w:color="auto"/>
                <w:right w:val="none" w:sz="0" w:space="0" w:color="auto"/>
              </w:divBdr>
            </w:div>
          </w:divsChild>
        </w:div>
        <w:div w:id="450324023">
          <w:marLeft w:val="0"/>
          <w:marRight w:val="0"/>
          <w:marTop w:val="0"/>
          <w:marBottom w:val="0"/>
          <w:divBdr>
            <w:top w:val="none" w:sz="0" w:space="0" w:color="auto"/>
            <w:left w:val="none" w:sz="0" w:space="0" w:color="auto"/>
            <w:bottom w:val="none" w:sz="0" w:space="0" w:color="auto"/>
            <w:right w:val="none" w:sz="0" w:space="0" w:color="auto"/>
          </w:divBdr>
          <w:divsChild>
            <w:div w:id="74131900">
              <w:marLeft w:val="0"/>
              <w:marRight w:val="0"/>
              <w:marTop w:val="0"/>
              <w:marBottom w:val="0"/>
              <w:divBdr>
                <w:top w:val="none" w:sz="0" w:space="0" w:color="auto"/>
                <w:left w:val="none" w:sz="0" w:space="0" w:color="auto"/>
                <w:bottom w:val="none" w:sz="0" w:space="0" w:color="auto"/>
                <w:right w:val="none" w:sz="0" w:space="0" w:color="auto"/>
              </w:divBdr>
            </w:div>
          </w:divsChild>
        </w:div>
        <w:div w:id="451629833">
          <w:marLeft w:val="0"/>
          <w:marRight w:val="0"/>
          <w:marTop w:val="0"/>
          <w:marBottom w:val="0"/>
          <w:divBdr>
            <w:top w:val="none" w:sz="0" w:space="0" w:color="auto"/>
            <w:left w:val="none" w:sz="0" w:space="0" w:color="auto"/>
            <w:bottom w:val="none" w:sz="0" w:space="0" w:color="auto"/>
            <w:right w:val="none" w:sz="0" w:space="0" w:color="auto"/>
          </w:divBdr>
          <w:divsChild>
            <w:div w:id="87848358">
              <w:marLeft w:val="0"/>
              <w:marRight w:val="0"/>
              <w:marTop w:val="0"/>
              <w:marBottom w:val="0"/>
              <w:divBdr>
                <w:top w:val="none" w:sz="0" w:space="0" w:color="auto"/>
                <w:left w:val="none" w:sz="0" w:space="0" w:color="auto"/>
                <w:bottom w:val="none" w:sz="0" w:space="0" w:color="auto"/>
                <w:right w:val="none" w:sz="0" w:space="0" w:color="auto"/>
              </w:divBdr>
            </w:div>
          </w:divsChild>
        </w:div>
        <w:div w:id="458645078">
          <w:marLeft w:val="0"/>
          <w:marRight w:val="0"/>
          <w:marTop w:val="0"/>
          <w:marBottom w:val="0"/>
          <w:divBdr>
            <w:top w:val="none" w:sz="0" w:space="0" w:color="auto"/>
            <w:left w:val="none" w:sz="0" w:space="0" w:color="auto"/>
            <w:bottom w:val="none" w:sz="0" w:space="0" w:color="auto"/>
            <w:right w:val="none" w:sz="0" w:space="0" w:color="auto"/>
          </w:divBdr>
          <w:divsChild>
            <w:div w:id="321934856">
              <w:marLeft w:val="0"/>
              <w:marRight w:val="0"/>
              <w:marTop w:val="0"/>
              <w:marBottom w:val="0"/>
              <w:divBdr>
                <w:top w:val="none" w:sz="0" w:space="0" w:color="auto"/>
                <w:left w:val="none" w:sz="0" w:space="0" w:color="auto"/>
                <w:bottom w:val="none" w:sz="0" w:space="0" w:color="auto"/>
                <w:right w:val="none" w:sz="0" w:space="0" w:color="auto"/>
              </w:divBdr>
            </w:div>
          </w:divsChild>
        </w:div>
        <w:div w:id="461577855">
          <w:marLeft w:val="0"/>
          <w:marRight w:val="0"/>
          <w:marTop w:val="0"/>
          <w:marBottom w:val="0"/>
          <w:divBdr>
            <w:top w:val="none" w:sz="0" w:space="0" w:color="auto"/>
            <w:left w:val="none" w:sz="0" w:space="0" w:color="auto"/>
            <w:bottom w:val="none" w:sz="0" w:space="0" w:color="auto"/>
            <w:right w:val="none" w:sz="0" w:space="0" w:color="auto"/>
          </w:divBdr>
          <w:divsChild>
            <w:div w:id="655838781">
              <w:marLeft w:val="0"/>
              <w:marRight w:val="0"/>
              <w:marTop w:val="0"/>
              <w:marBottom w:val="0"/>
              <w:divBdr>
                <w:top w:val="none" w:sz="0" w:space="0" w:color="auto"/>
                <w:left w:val="none" w:sz="0" w:space="0" w:color="auto"/>
                <w:bottom w:val="none" w:sz="0" w:space="0" w:color="auto"/>
                <w:right w:val="none" w:sz="0" w:space="0" w:color="auto"/>
              </w:divBdr>
            </w:div>
          </w:divsChild>
        </w:div>
        <w:div w:id="461581119">
          <w:marLeft w:val="0"/>
          <w:marRight w:val="0"/>
          <w:marTop w:val="0"/>
          <w:marBottom w:val="0"/>
          <w:divBdr>
            <w:top w:val="none" w:sz="0" w:space="0" w:color="auto"/>
            <w:left w:val="none" w:sz="0" w:space="0" w:color="auto"/>
            <w:bottom w:val="none" w:sz="0" w:space="0" w:color="auto"/>
            <w:right w:val="none" w:sz="0" w:space="0" w:color="auto"/>
          </w:divBdr>
          <w:divsChild>
            <w:div w:id="961497284">
              <w:marLeft w:val="0"/>
              <w:marRight w:val="0"/>
              <w:marTop w:val="0"/>
              <w:marBottom w:val="0"/>
              <w:divBdr>
                <w:top w:val="none" w:sz="0" w:space="0" w:color="auto"/>
                <w:left w:val="none" w:sz="0" w:space="0" w:color="auto"/>
                <w:bottom w:val="none" w:sz="0" w:space="0" w:color="auto"/>
                <w:right w:val="none" w:sz="0" w:space="0" w:color="auto"/>
              </w:divBdr>
            </w:div>
          </w:divsChild>
        </w:div>
        <w:div w:id="464347704">
          <w:marLeft w:val="0"/>
          <w:marRight w:val="0"/>
          <w:marTop w:val="0"/>
          <w:marBottom w:val="0"/>
          <w:divBdr>
            <w:top w:val="none" w:sz="0" w:space="0" w:color="auto"/>
            <w:left w:val="none" w:sz="0" w:space="0" w:color="auto"/>
            <w:bottom w:val="none" w:sz="0" w:space="0" w:color="auto"/>
            <w:right w:val="none" w:sz="0" w:space="0" w:color="auto"/>
          </w:divBdr>
          <w:divsChild>
            <w:div w:id="176044487">
              <w:marLeft w:val="0"/>
              <w:marRight w:val="0"/>
              <w:marTop w:val="0"/>
              <w:marBottom w:val="0"/>
              <w:divBdr>
                <w:top w:val="none" w:sz="0" w:space="0" w:color="auto"/>
                <w:left w:val="none" w:sz="0" w:space="0" w:color="auto"/>
                <w:bottom w:val="none" w:sz="0" w:space="0" w:color="auto"/>
                <w:right w:val="none" w:sz="0" w:space="0" w:color="auto"/>
              </w:divBdr>
            </w:div>
          </w:divsChild>
        </w:div>
        <w:div w:id="469710681">
          <w:marLeft w:val="0"/>
          <w:marRight w:val="0"/>
          <w:marTop w:val="0"/>
          <w:marBottom w:val="0"/>
          <w:divBdr>
            <w:top w:val="none" w:sz="0" w:space="0" w:color="auto"/>
            <w:left w:val="none" w:sz="0" w:space="0" w:color="auto"/>
            <w:bottom w:val="none" w:sz="0" w:space="0" w:color="auto"/>
            <w:right w:val="none" w:sz="0" w:space="0" w:color="auto"/>
          </w:divBdr>
          <w:divsChild>
            <w:div w:id="2137864880">
              <w:marLeft w:val="0"/>
              <w:marRight w:val="0"/>
              <w:marTop w:val="0"/>
              <w:marBottom w:val="0"/>
              <w:divBdr>
                <w:top w:val="none" w:sz="0" w:space="0" w:color="auto"/>
                <w:left w:val="none" w:sz="0" w:space="0" w:color="auto"/>
                <w:bottom w:val="none" w:sz="0" w:space="0" w:color="auto"/>
                <w:right w:val="none" w:sz="0" w:space="0" w:color="auto"/>
              </w:divBdr>
            </w:div>
          </w:divsChild>
        </w:div>
        <w:div w:id="478961967">
          <w:marLeft w:val="0"/>
          <w:marRight w:val="0"/>
          <w:marTop w:val="0"/>
          <w:marBottom w:val="0"/>
          <w:divBdr>
            <w:top w:val="none" w:sz="0" w:space="0" w:color="auto"/>
            <w:left w:val="none" w:sz="0" w:space="0" w:color="auto"/>
            <w:bottom w:val="none" w:sz="0" w:space="0" w:color="auto"/>
            <w:right w:val="none" w:sz="0" w:space="0" w:color="auto"/>
          </w:divBdr>
          <w:divsChild>
            <w:div w:id="1687637238">
              <w:marLeft w:val="0"/>
              <w:marRight w:val="0"/>
              <w:marTop w:val="0"/>
              <w:marBottom w:val="0"/>
              <w:divBdr>
                <w:top w:val="none" w:sz="0" w:space="0" w:color="auto"/>
                <w:left w:val="none" w:sz="0" w:space="0" w:color="auto"/>
                <w:bottom w:val="none" w:sz="0" w:space="0" w:color="auto"/>
                <w:right w:val="none" w:sz="0" w:space="0" w:color="auto"/>
              </w:divBdr>
            </w:div>
          </w:divsChild>
        </w:div>
        <w:div w:id="479621029">
          <w:marLeft w:val="0"/>
          <w:marRight w:val="0"/>
          <w:marTop w:val="0"/>
          <w:marBottom w:val="0"/>
          <w:divBdr>
            <w:top w:val="none" w:sz="0" w:space="0" w:color="auto"/>
            <w:left w:val="none" w:sz="0" w:space="0" w:color="auto"/>
            <w:bottom w:val="none" w:sz="0" w:space="0" w:color="auto"/>
            <w:right w:val="none" w:sz="0" w:space="0" w:color="auto"/>
          </w:divBdr>
          <w:divsChild>
            <w:div w:id="2111389714">
              <w:marLeft w:val="0"/>
              <w:marRight w:val="0"/>
              <w:marTop w:val="0"/>
              <w:marBottom w:val="0"/>
              <w:divBdr>
                <w:top w:val="none" w:sz="0" w:space="0" w:color="auto"/>
                <w:left w:val="none" w:sz="0" w:space="0" w:color="auto"/>
                <w:bottom w:val="none" w:sz="0" w:space="0" w:color="auto"/>
                <w:right w:val="none" w:sz="0" w:space="0" w:color="auto"/>
              </w:divBdr>
            </w:div>
          </w:divsChild>
        </w:div>
        <w:div w:id="484201125">
          <w:marLeft w:val="0"/>
          <w:marRight w:val="0"/>
          <w:marTop w:val="0"/>
          <w:marBottom w:val="0"/>
          <w:divBdr>
            <w:top w:val="none" w:sz="0" w:space="0" w:color="auto"/>
            <w:left w:val="none" w:sz="0" w:space="0" w:color="auto"/>
            <w:bottom w:val="none" w:sz="0" w:space="0" w:color="auto"/>
            <w:right w:val="none" w:sz="0" w:space="0" w:color="auto"/>
          </w:divBdr>
          <w:divsChild>
            <w:div w:id="527180046">
              <w:marLeft w:val="0"/>
              <w:marRight w:val="0"/>
              <w:marTop w:val="0"/>
              <w:marBottom w:val="0"/>
              <w:divBdr>
                <w:top w:val="none" w:sz="0" w:space="0" w:color="auto"/>
                <w:left w:val="none" w:sz="0" w:space="0" w:color="auto"/>
                <w:bottom w:val="none" w:sz="0" w:space="0" w:color="auto"/>
                <w:right w:val="none" w:sz="0" w:space="0" w:color="auto"/>
              </w:divBdr>
            </w:div>
          </w:divsChild>
        </w:div>
        <w:div w:id="484587443">
          <w:marLeft w:val="0"/>
          <w:marRight w:val="0"/>
          <w:marTop w:val="0"/>
          <w:marBottom w:val="0"/>
          <w:divBdr>
            <w:top w:val="none" w:sz="0" w:space="0" w:color="auto"/>
            <w:left w:val="none" w:sz="0" w:space="0" w:color="auto"/>
            <w:bottom w:val="none" w:sz="0" w:space="0" w:color="auto"/>
            <w:right w:val="none" w:sz="0" w:space="0" w:color="auto"/>
          </w:divBdr>
          <w:divsChild>
            <w:div w:id="1837573287">
              <w:marLeft w:val="0"/>
              <w:marRight w:val="0"/>
              <w:marTop w:val="0"/>
              <w:marBottom w:val="0"/>
              <w:divBdr>
                <w:top w:val="none" w:sz="0" w:space="0" w:color="auto"/>
                <w:left w:val="none" w:sz="0" w:space="0" w:color="auto"/>
                <w:bottom w:val="none" w:sz="0" w:space="0" w:color="auto"/>
                <w:right w:val="none" w:sz="0" w:space="0" w:color="auto"/>
              </w:divBdr>
            </w:div>
          </w:divsChild>
        </w:div>
        <w:div w:id="485366597">
          <w:marLeft w:val="0"/>
          <w:marRight w:val="0"/>
          <w:marTop w:val="0"/>
          <w:marBottom w:val="0"/>
          <w:divBdr>
            <w:top w:val="none" w:sz="0" w:space="0" w:color="auto"/>
            <w:left w:val="none" w:sz="0" w:space="0" w:color="auto"/>
            <w:bottom w:val="none" w:sz="0" w:space="0" w:color="auto"/>
            <w:right w:val="none" w:sz="0" w:space="0" w:color="auto"/>
          </w:divBdr>
          <w:divsChild>
            <w:div w:id="1874270754">
              <w:marLeft w:val="0"/>
              <w:marRight w:val="0"/>
              <w:marTop w:val="0"/>
              <w:marBottom w:val="0"/>
              <w:divBdr>
                <w:top w:val="none" w:sz="0" w:space="0" w:color="auto"/>
                <w:left w:val="none" w:sz="0" w:space="0" w:color="auto"/>
                <w:bottom w:val="none" w:sz="0" w:space="0" w:color="auto"/>
                <w:right w:val="none" w:sz="0" w:space="0" w:color="auto"/>
              </w:divBdr>
            </w:div>
          </w:divsChild>
        </w:div>
        <w:div w:id="486483203">
          <w:marLeft w:val="0"/>
          <w:marRight w:val="0"/>
          <w:marTop w:val="0"/>
          <w:marBottom w:val="0"/>
          <w:divBdr>
            <w:top w:val="none" w:sz="0" w:space="0" w:color="auto"/>
            <w:left w:val="none" w:sz="0" w:space="0" w:color="auto"/>
            <w:bottom w:val="none" w:sz="0" w:space="0" w:color="auto"/>
            <w:right w:val="none" w:sz="0" w:space="0" w:color="auto"/>
          </w:divBdr>
          <w:divsChild>
            <w:div w:id="466046318">
              <w:marLeft w:val="0"/>
              <w:marRight w:val="0"/>
              <w:marTop w:val="0"/>
              <w:marBottom w:val="0"/>
              <w:divBdr>
                <w:top w:val="none" w:sz="0" w:space="0" w:color="auto"/>
                <w:left w:val="none" w:sz="0" w:space="0" w:color="auto"/>
                <w:bottom w:val="none" w:sz="0" w:space="0" w:color="auto"/>
                <w:right w:val="none" w:sz="0" w:space="0" w:color="auto"/>
              </w:divBdr>
            </w:div>
          </w:divsChild>
        </w:div>
        <w:div w:id="486898242">
          <w:marLeft w:val="0"/>
          <w:marRight w:val="0"/>
          <w:marTop w:val="0"/>
          <w:marBottom w:val="0"/>
          <w:divBdr>
            <w:top w:val="none" w:sz="0" w:space="0" w:color="auto"/>
            <w:left w:val="none" w:sz="0" w:space="0" w:color="auto"/>
            <w:bottom w:val="none" w:sz="0" w:space="0" w:color="auto"/>
            <w:right w:val="none" w:sz="0" w:space="0" w:color="auto"/>
          </w:divBdr>
          <w:divsChild>
            <w:div w:id="826170552">
              <w:marLeft w:val="0"/>
              <w:marRight w:val="0"/>
              <w:marTop w:val="0"/>
              <w:marBottom w:val="0"/>
              <w:divBdr>
                <w:top w:val="none" w:sz="0" w:space="0" w:color="auto"/>
                <w:left w:val="none" w:sz="0" w:space="0" w:color="auto"/>
                <w:bottom w:val="none" w:sz="0" w:space="0" w:color="auto"/>
                <w:right w:val="none" w:sz="0" w:space="0" w:color="auto"/>
              </w:divBdr>
            </w:div>
          </w:divsChild>
        </w:div>
        <w:div w:id="487329587">
          <w:marLeft w:val="0"/>
          <w:marRight w:val="0"/>
          <w:marTop w:val="0"/>
          <w:marBottom w:val="0"/>
          <w:divBdr>
            <w:top w:val="none" w:sz="0" w:space="0" w:color="auto"/>
            <w:left w:val="none" w:sz="0" w:space="0" w:color="auto"/>
            <w:bottom w:val="none" w:sz="0" w:space="0" w:color="auto"/>
            <w:right w:val="none" w:sz="0" w:space="0" w:color="auto"/>
          </w:divBdr>
          <w:divsChild>
            <w:div w:id="1488939710">
              <w:marLeft w:val="0"/>
              <w:marRight w:val="0"/>
              <w:marTop w:val="0"/>
              <w:marBottom w:val="0"/>
              <w:divBdr>
                <w:top w:val="none" w:sz="0" w:space="0" w:color="auto"/>
                <w:left w:val="none" w:sz="0" w:space="0" w:color="auto"/>
                <w:bottom w:val="none" w:sz="0" w:space="0" w:color="auto"/>
                <w:right w:val="none" w:sz="0" w:space="0" w:color="auto"/>
              </w:divBdr>
            </w:div>
          </w:divsChild>
        </w:div>
        <w:div w:id="487749456">
          <w:marLeft w:val="0"/>
          <w:marRight w:val="0"/>
          <w:marTop w:val="0"/>
          <w:marBottom w:val="0"/>
          <w:divBdr>
            <w:top w:val="none" w:sz="0" w:space="0" w:color="auto"/>
            <w:left w:val="none" w:sz="0" w:space="0" w:color="auto"/>
            <w:bottom w:val="none" w:sz="0" w:space="0" w:color="auto"/>
            <w:right w:val="none" w:sz="0" w:space="0" w:color="auto"/>
          </w:divBdr>
          <w:divsChild>
            <w:div w:id="1247298692">
              <w:marLeft w:val="0"/>
              <w:marRight w:val="0"/>
              <w:marTop w:val="0"/>
              <w:marBottom w:val="0"/>
              <w:divBdr>
                <w:top w:val="none" w:sz="0" w:space="0" w:color="auto"/>
                <w:left w:val="none" w:sz="0" w:space="0" w:color="auto"/>
                <w:bottom w:val="none" w:sz="0" w:space="0" w:color="auto"/>
                <w:right w:val="none" w:sz="0" w:space="0" w:color="auto"/>
              </w:divBdr>
            </w:div>
          </w:divsChild>
        </w:div>
        <w:div w:id="491722031">
          <w:marLeft w:val="0"/>
          <w:marRight w:val="0"/>
          <w:marTop w:val="0"/>
          <w:marBottom w:val="0"/>
          <w:divBdr>
            <w:top w:val="none" w:sz="0" w:space="0" w:color="auto"/>
            <w:left w:val="none" w:sz="0" w:space="0" w:color="auto"/>
            <w:bottom w:val="none" w:sz="0" w:space="0" w:color="auto"/>
            <w:right w:val="none" w:sz="0" w:space="0" w:color="auto"/>
          </w:divBdr>
          <w:divsChild>
            <w:div w:id="180751562">
              <w:marLeft w:val="0"/>
              <w:marRight w:val="0"/>
              <w:marTop w:val="0"/>
              <w:marBottom w:val="0"/>
              <w:divBdr>
                <w:top w:val="none" w:sz="0" w:space="0" w:color="auto"/>
                <w:left w:val="none" w:sz="0" w:space="0" w:color="auto"/>
                <w:bottom w:val="none" w:sz="0" w:space="0" w:color="auto"/>
                <w:right w:val="none" w:sz="0" w:space="0" w:color="auto"/>
              </w:divBdr>
            </w:div>
          </w:divsChild>
        </w:div>
        <w:div w:id="500703490">
          <w:marLeft w:val="0"/>
          <w:marRight w:val="0"/>
          <w:marTop w:val="0"/>
          <w:marBottom w:val="0"/>
          <w:divBdr>
            <w:top w:val="none" w:sz="0" w:space="0" w:color="auto"/>
            <w:left w:val="none" w:sz="0" w:space="0" w:color="auto"/>
            <w:bottom w:val="none" w:sz="0" w:space="0" w:color="auto"/>
            <w:right w:val="none" w:sz="0" w:space="0" w:color="auto"/>
          </w:divBdr>
          <w:divsChild>
            <w:div w:id="376660689">
              <w:marLeft w:val="0"/>
              <w:marRight w:val="0"/>
              <w:marTop w:val="0"/>
              <w:marBottom w:val="0"/>
              <w:divBdr>
                <w:top w:val="none" w:sz="0" w:space="0" w:color="auto"/>
                <w:left w:val="none" w:sz="0" w:space="0" w:color="auto"/>
                <w:bottom w:val="none" w:sz="0" w:space="0" w:color="auto"/>
                <w:right w:val="none" w:sz="0" w:space="0" w:color="auto"/>
              </w:divBdr>
            </w:div>
          </w:divsChild>
        </w:div>
        <w:div w:id="503663506">
          <w:marLeft w:val="0"/>
          <w:marRight w:val="0"/>
          <w:marTop w:val="0"/>
          <w:marBottom w:val="0"/>
          <w:divBdr>
            <w:top w:val="none" w:sz="0" w:space="0" w:color="auto"/>
            <w:left w:val="none" w:sz="0" w:space="0" w:color="auto"/>
            <w:bottom w:val="none" w:sz="0" w:space="0" w:color="auto"/>
            <w:right w:val="none" w:sz="0" w:space="0" w:color="auto"/>
          </w:divBdr>
          <w:divsChild>
            <w:div w:id="557857567">
              <w:marLeft w:val="0"/>
              <w:marRight w:val="0"/>
              <w:marTop w:val="0"/>
              <w:marBottom w:val="0"/>
              <w:divBdr>
                <w:top w:val="none" w:sz="0" w:space="0" w:color="auto"/>
                <w:left w:val="none" w:sz="0" w:space="0" w:color="auto"/>
                <w:bottom w:val="none" w:sz="0" w:space="0" w:color="auto"/>
                <w:right w:val="none" w:sz="0" w:space="0" w:color="auto"/>
              </w:divBdr>
            </w:div>
          </w:divsChild>
        </w:div>
        <w:div w:id="504981556">
          <w:marLeft w:val="0"/>
          <w:marRight w:val="0"/>
          <w:marTop w:val="0"/>
          <w:marBottom w:val="0"/>
          <w:divBdr>
            <w:top w:val="none" w:sz="0" w:space="0" w:color="auto"/>
            <w:left w:val="none" w:sz="0" w:space="0" w:color="auto"/>
            <w:bottom w:val="none" w:sz="0" w:space="0" w:color="auto"/>
            <w:right w:val="none" w:sz="0" w:space="0" w:color="auto"/>
          </w:divBdr>
          <w:divsChild>
            <w:div w:id="295989587">
              <w:marLeft w:val="0"/>
              <w:marRight w:val="0"/>
              <w:marTop w:val="0"/>
              <w:marBottom w:val="0"/>
              <w:divBdr>
                <w:top w:val="none" w:sz="0" w:space="0" w:color="auto"/>
                <w:left w:val="none" w:sz="0" w:space="0" w:color="auto"/>
                <w:bottom w:val="none" w:sz="0" w:space="0" w:color="auto"/>
                <w:right w:val="none" w:sz="0" w:space="0" w:color="auto"/>
              </w:divBdr>
            </w:div>
          </w:divsChild>
        </w:div>
        <w:div w:id="506598268">
          <w:marLeft w:val="0"/>
          <w:marRight w:val="0"/>
          <w:marTop w:val="0"/>
          <w:marBottom w:val="0"/>
          <w:divBdr>
            <w:top w:val="none" w:sz="0" w:space="0" w:color="auto"/>
            <w:left w:val="none" w:sz="0" w:space="0" w:color="auto"/>
            <w:bottom w:val="none" w:sz="0" w:space="0" w:color="auto"/>
            <w:right w:val="none" w:sz="0" w:space="0" w:color="auto"/>
          </w:divBdr>
          <w:divsChild>
            <w:div w:id="492448455">
              <w:marLeft w:val="0"/>
              <w:marRight w:val="0"/>
              <w:marTop w:val="0"/>
              <w:marBottom w:val="0"/>
              <w:divBdr>
                <w:top w:val="none" w:sz="0" w:space="0" w:color="auto"/>
                <w:left w:val="none" w:sz="0" w:space="0" w:color="auto"/>
                <w:bottom w:val="none" w:sz="0" w:space="0" w:color="auto"/>
                <w:right w:val="none" w:sz="0" w:space="0" w:color="auto"/>
              </w:divBdr>
            </w:div>
          </w:divsChild>
        </w:div>
        <w:div w:id="508833244">
          <w:marLeft w:val="0"/>
          <w:marRight w:val="0"/>
          <w:marTop w:val="0"/>
          <w:marBottom w:val="0"/>
          <w:divBdr>
            <w:top w:val="none" w:sz="0" w:space="0" w:color="auto"/>
            <w:left w:val="none" w:sz="0" w:space="0" w:color="auto"/>
            <w:bottom w:val="none" w:sz="0" w:space="0" w:color="auto"/>
            <w:right w:val="none" w:sz="0" w:space="0" w:color="auto"/>
          </w:divBdr>
          <w:divsChild>
            <w:div w:id="1347554622">
              <w:marLeft w:val="0"/>
              <w:marRight w:val="0"/>
              <w:marTop w:val="0"/>
              <w:marBottom w:val="0"/>
              <w:divBdr>
                <w:top w:val="none" w:sz="0" w:space="0" w:color="auto"/>
                <w:left w:val="none" w:sz="0" w:space="0" w:color="auto"/>
                <w:bottom w:val="none" w:sz="0" w:space="0" w:color="auto"/>
                <w:right w:val="none" w:sz="0" w:space="0" w:color="auto"/>
              </w:divBdr>
            </w:div>
          </w:divsChild>
        </w:div>
        <w:div w:id="509376529">
          <w:marLeft w:val="0"/>
          <w:marRight w:val="0"/>
          <w:marTop w:val="0"/>
          <w:marBottom w:val="0"/>
          <w:divBdr>
            <w:top w:val="none" w:sz="0" w:space="0" w:color="auto"/>
            <w:left w:val="none" w:sz="0" w:space="0" w:color="auto"/>
            <w:bottom w:val="none" w:sz="0" w:space="0" w:color="auto"/>
            <w:right w:val="none" w:sz="0" w:space="0" w:color="auto"/>
          </w:divBdr>
          <w:divsChild>
            <w:div w:id="793718911">
              <w:marLeft w:val="0"/>
              <w:marRight w:val="0"/>
              <w:marTop w:val="0"/>
              <w:marBottom w:val="0"/>
              <w:divBdr>
                <w:top w:val="none" w:sz="0" w:space="0" w:color="auto"/>
                <w:left w:val="none" w:sz="0" w:space="0" w:color="auto"/>
                <w:bottom w:val="none" w:sz="0" w:space="0" w:color="auto"/>
                <w:right w:val="none" w:sz="0" w:space="0" w:color="auto"/>
              </w:divBdr>
            </w:div>
          </w:divsChild>
        </w:div>
        <w:div w:id="520170232">
          <w:marLeft w:val="0"/>
          <w:marRight w:val="0"/>
          <w:marTop w:val="0"/>
          <w:marBottom w:val="0"/>
          <w:divBdr>
            <w:top w:val="none" w:sz="0" w:space="0" w:color="auto"/>
            <w:left w:val="none" w:sz="0" w:space="0" w:color="auto"/>
            <w:bottom w:val="none" w:sz="0" w:space="0" w:color="auto"/>
            <w:right w:val="none" w:sz="0" w:space="0" w:color="auto"/>
          </w:divBdr>
          <w:divsChild>
            <w:div w:id="28386611">
              <w:marLeft w:val="0"/>
              <w:marRight w:val="0"/>
              <w:marTop w:val="0"/>
              <w:marBottom w:val="0"/>
              <w:divBdr>
                <w:top w:val="none" w:sz="0" w:space="0" w:color="auto"/>
                <w:left w:val="none" w:sz="0" w:space="0" w:color="auto"/>
                <w:bottom w:val="none" w:sz="0" w:space="0" w:color="auto"/>
                <w:right w:val="none" w:sz="0" w:space="0" w:color="auto"/>
              </w:divBdr>
            </w:div>
          </w:divsChild>
        </w:div>
        <w:div w:id="521624745">
          <w:marLeft w:val="0"/>
          <w:marRight w:val="0"/>
          <w:marTop w:val="0"/>
          <w:marBottom w:val="0"/>
          <w:divBdr>
            <w:top w:val="none" w:sz="0" w:space="0" w:color="auto"/>
            <w:left w:val="none" w:sz="0" w:space="0" w:color="auto"/>
            <w:bottom w:val="none" w:sz="0" w:space="0" w:color="auto"/>
            <w:right w:val="none" w:sz="0" w:space="0" w:color="auto"/>
          </w:divBdr>
          <w:divsChild>
            <w:div w:id="1736246166">
              <w:marLeft w:val="0"/>
              <w:marRight w:val="0"/>
              <w:marTop w:val="0"/>
              <w:marBottom w:val="0"/>
              <w:divBdr>
                <w:top w:val="none" w:sz="0" w:space="0" w:color="auto"/>
                <w:left w:val="none" w:sz="0" w:space="0" w:color="auto"/>
                <w:bottom w:val="none" w:sz="0" w:space="0" w:color="auto"/>
                <w:right w:val="none" w:sz="0" w:space="0" w:color="auto"/>
              </w:divBdr>
            </w:div>
          </w:divsChild>
        </w:div>
        <w:div w:id="521749835">
          <w:marLeft w:val="0"/>
          <w:marRight w:val="0"/>
          <w:marTop w:val="0"/>
          <w:marBottom w:val="0"/>
          <w:divBdr>
            <w:top w:val="none" w:sz="0" w:space="0" w:color="auto"/>
            <w:left w:val="none" w:sz="0" w:space="0" w:color="auto"/>
            <w:bottom w:val="none" w:sz="0" w:space="0" w:color="auto"/>
            <w:right w:val="none" w:sz="0" w:space="0" w:color="auto"/>
          </w:divBdr>
          <w:divsChild>
            <w:div w:id="549463594">
              <w:marLeft w:val="0"/>
              <w:marRight w:val="0"/>
              <w:marTop w:val="0"/>
              <w:marBottom w:val="0"/>
              <w:divBdr>
                <w:top w:val="none" w:sz="0" w:space="0" w:color="auto"/>
                <w:left w:val="none" w:sz="0" w:space="0" w:color="auto"/>
                <w:bottom w:val="none" w:sz="0" w:space="0" w:color="auto"/>
                <w:right w:val="none" w:sz="0" w:space="0" w:color="auto"/>
              </w:divBdr>
            </w:div>
          </w:divsChild>
        </w:div>
        <w:div w:id="523057792">
          <w:marLeft w:val="0"/>
          <w:marRight w:val="0"/>
          <w:marTop w:val="0"/>
          <w:marBottom w:val="0"/>
          <w:divBdr>
            <w:top w:val="none" w:sz="0" w:space="0" w:color="auto"/>
            <w:left w:val="none" w:sz="0" w:space="0" w:color="auto"/>
            <w:bottom w:val="none" w:sz="0" w:space="0" w:color="auto"/>
            <w:right w:val="none" w:sz="0" w:space="0" w:color="auto"/>
          </w:divBdr>
          <w:divsChild>
            <w:div w:id="1598633441">
              <w:marLeft w:val="0"/>
              <w:marRight w:val="0"/>
              <w:marTop w:val="0"/>
              <w:marBottom w:val="0"/>
              <w:divBdr>
                <w:top w:val="none" w:sz="0" w:space="0" w:color="auto"/>
                <w:left w:val="none" w:sz="0" w:space="0" w:color="auto"/>
                <w:bottom w:val="none" w:sz="0" w:space="0" w:color="auto"/>
                <w:right w:val="none" w:sz="0" w:space="0" w:color="auto"/>
              </w:divBdr>
            </w:div>
          </w:divsChild>
        </w:div>
        <w:div w:id="523903939">
          <w:marLeft w:val="0"/>
          <w:marRight w:val="0"/>
          <w:marTop w:val="0"/>
          <w:marBottom w:val="0"/>
          <w:divBdr>
            <w:top w:val="none" w:sz="0" w:space="0" w:color="auto"/>
            <w:left w:val="none" w:sz="0" w:space="0" w:color="auto"/>
            <w:bottom w:val="none" w:sz="0" w:space="0" w:color="auto"/>
            <w:right w:val="none" w:sz="0" w:space="0" w:color="auto"/>
          </w:divBdr>
          <w:divsChild>
            <w:div w:id="1807821914">
              <w:marLeft w:val="0"/>
              <w:marRight w:val="0"/>
              <w:marTop w:val="0"/>
              <w:marBottom w:val="0"/>
              <w:divBdr>
                <w:top w:val="none" w:sz="0" w:space="0" w:color="auto"/>
                <w:left w:val="none" w:sz="0" w:space="0" w:color="auto"/>
                <w:bottom w:val="none" w:sz="0" w:space="0" w:color="auto"/>
                <w:right w:val="none" w:sz="0" w:space="0" w:color="auto"/>
              </w:divBdr>
            </w:div>
          </w:divsChild>
        </w:div>
        <w:div w:id="524178641">
          <w:marLeft w:val="0"/>
          <w:marRight w:val="0"/>
          <w:marTop w:val="0"/>
          <w:marBottom w:val="0"/>
          <w:divBdr>
            <w:top w:val="none" w:sz="0" w:space="0" w:color="auto"/>
            <w:left w:val="none" w:sz="0" w:space="0" w:color="auto"/>
            <w:bottom w:val="none" w:sz="0" w:space="0" w:color="auto"/>
            <w:right w:val="none" w:sz="0" w:space="0" w:color="auto"/>
          </w:divBdr>
          <w:divsChild>
            <w:div w:id="2083484370">
              <w:marLeft w:val="0"/>
              <w:marRight w:val="0"/>
              <w:marTop w:val="0"/>
              <w:marBottom w:val="0"/>
              <w:divBdr>
                <w:top w:val="none" w:sz="0" w:space="0" w:color="auto"/>
                <w:left w:val="none" w:sz="0" w:space="0" w:color="auto"/>
                <w:bottom w:val="none" w:sz="0" w:space="0" w:color="auto"/>
                <w:right w:val="none" w:sz="0" w:space="0" w:color="auto"/>
              </w:divBdr>
            </w:div>
          </w:divsChild>
        </w:div>
        <w:div w:id="524754529">
          <w:marLeft w:val="0"/>
          <w:marRight w:val="0"/>
          <w:marTop w:val="0"/>
          <w:marBottom w:val="0"/>
          <w:divBdr>
            <w:top w:val="none" w:sz="0" w:space="0" w:color="auto"/>
            <w:left w:val="none" w:sz="0" w:space="0" w:color="auto"/>
            <w:bottom w:val="none" w:sz="0" w:space="0" w:color="auto"/>
            <w:right w:val="none" w:sz="0" w:space="0" w:color="auto"/>
          </w:divBdr>
          <w:divsChild>
            <w:div w:id="555898797">
              <w:marLeft w:val="0"/>
              <w:marRight w:val="0"/>
              <w:marTop w:val="0"/>
              <w:marBottom w:val="0"/>
              <w:divBdr>
                <w:top w:val="none" w:sz="0" w:space="0" w:color="auto"/>
                <w:left w:val="none" w:sz="0" w:space="0" w:color="auto"/>
                <w:bottom w:val="none" w:sz="0" w:space="0" w:color="auto"/>
                <w:right w:val="none" w:sz="0" w:space="0" w:color="auto"/>
              </w:divBdr>
            </w:div>
          </w:divsChild>
        </w:div>
        <w:div w:id="532503466">
          <w:marLeft w:val="0"/>
          <w:marRight w:val="0"/>
          <w:marTop w:val="0"/>
          <w:marBottom w:val="0"/>
          <w:divBdr>
            <w:top w:val="none" w:sz="0" w:space="0" w:color="auto"/>
            <w:left w:val="none" w:sz="0" w:space="0" w:color="auto"/>
            <w:bottom w:val="none" w:sz="0" w:space="0" w:color="auto"/>
            <w:right w:val="none" w:sz="0" w:space="0" w:color="auto"/>
          </w:divBdr>
          <w:divsChild>
            <w:div w:id="1740135144">
              <w:marLeft w:val="0"/>
              <w:marRight w:val="0"/>
              <w:marTop w:val="0"/>
              <w:marBottom w:val="0"/>
              <w:divBdr>
                <w:top w:val="none" w:sz="0" w:space="0" w:color="auto"/>
                <w:left w:val="none" w:sz="0" w:space="0" w:color="auto"/>
                <w:bottom w:val="none" w:sz="0" w:space="0" w:color="auto"/>
                <w:right w:val="none" w:sz="0" w:space="0" w:color="auto"/>
              </w:divBdr>
            </w:div>
          </w:divsChild>
        </w:div>
        <w:div w:id="533036458">
          <w:marLeft w:val="0"/>
          <w:marRight w:val="0"/>
          <w:marTop w:val="0"/>
          <w:marBottom w:val="0"/>
          <w:divBdr>
            <w:top w:val="none" w:sz="0" w:space="0" w:color="auto"/>
            <w:left w:val="none" w:sz="0" w:space="0" w:color="auto"/>
            <w:bottom w:val="none" w:sz="0" w:space="0" w:color="auto"/>
            <w:right w:val="none" w:sz="0" w:space="0" w:color="auto"/>
          </w:divBdr>
          <w:divsChild>
            <w:div w:id="151065559">
              <w:marLeft w:val="0"/>
              <w:marRight w:val="0"/>
              <w:marTop w:val="0"/>
              <w:marBottom w:val="0"/>
              <w:divBdr>
                <w:top w:val="none" w:sz="0" w:space="0" w:color="auto"/>
                <w:left w:val="none" w:sz="0" w:space="0" w:color="auto"/>
                <w:bottom w:val="none" w:sz="0" w:space="0" w:color="auto"/>
                <w:right w:val="none" w:sz="0" w:space="0" w:color="auto"/>
              </w:divBdr>
            </w:div>
          </w:divsChild>
        </w:div>
        <w:div w:id="536504994">
          <w:marLeft w:val="0"/>
          <w:marRight w:val="0"/>
          <w:marTop w:val="0"/>
          <w:marBottom w:val="0"/>
          <w:divBdr>
            <w:top w:val="none" w:sz="0" w:space="0" w:color="auto"/>
            <w:left w:val="none" w:sz="0" w:space="0" w:color="auto"/>
            <w:bottom w:val="none" w:sz="0" w:space="0" w:color="auto"/>
            <w:right w:val="none" w:sz="0" w:space="0" w:color="auto"/>
          </w:divBdr>
          <w:divsChild>
            <w:div w:id="1511946609">
              <w:marLeft w:val="0"/>
              <w:marRight w:val="0"/>
              <w:marTop w:val="0"/>
              <w:marBottom w:val="0"/>
              <w:divBdr>
                <w:top w:val="none" w:sz="0" w:space="0" w:color="auto"/>
                <w:left w:val="none" w:sz="0" w:space="0" w:color="auto"/>
                <w:bottom w:val="none" w:sz="0" w:space="0" w:color="auto"/>
                <w:right w:val="none" w:sz="0" w:space="0" w:color="auto"/>
              </w:divBdr>
            </w:div>
          </w:divsChild>
        </w:div>
        <w:div w:id="537862885">
          <w:marLeft w:val="0"/>
          <w:marRight w:val="0"/>
          <w:marTop w:val="0"/>
          <w:marBottom w:val="0"/>
          <w:divBdr>
            <w:top w:val="none" w:sz="0" w:space="0" w:color="auto"/>
            <w:left w:val="none" w:sz="0" w:space="0" w:color="auto"/>
            <w:bottom w:val="none" w:sz="0" w:space="0" w:color="auto"/>
            <w:right w:val="none" w:sz="0" w:space="0" w:color="auto"/>
          </w:divBdr>
          <w:divsChild>
            <w:div w:id="728189921">
              <w:marLeft w:val="0"/>
              <w:marRight w:val="0"/>
              <w:marTop w:val="0"/>
              <w:marBottom w:val="0"/>
              <w:divBdr>
                <w:top w:val="none" w:sz="0" w:space="0" w:color="auto"/>
                <w:left w:val="none" w:sz="0" w:space="0" w:color="auto"/>
                <w:bottom w:val="none" w:sz="0" w:space="0" w:color="auto"/>
                <w:right w:val="none" w:sz="0" w:space="0" w:color="auto"/>
              </w:divBdr>
            </w:div>
          </w:divsChild>
        </w:div>
        <w:div w:id="546720373">
          <w:marLeft w:val="0"/>
          <w:marRight w:val="0"/>
          <w:marTop w:val="0"/>
          <w:marBottom w:val="0"/>
          <w:divBdr>
            <w:top w:val="none" w:sz="0" w:space="0" w:color="auto"/>
            <w:left w:val="none" w:sz="0" w:space="0" w:color="auto"/>
            <w:bottom w:val="none" w:sz="0" w:space="0" w:color="auto"/>
            <w:right w:val="none" w:sz="0" w:space="0" w:color="auto"/>
          </w:divBdr>
          <w:divsChild>
            <w:div w:id="1966623106">
              <w:marLeft w:val="0"/>
              <w:marRight w:val="0"/>
              <w:marTop w:val="0"/>
              <w:marBottom w:val="0"/>
              <w:divBdr>
                <w:top w:val="none" w:sz="0" w:space="0" w:color="auto"/>
                <w:left w:val="none" w:sz="0" w:space="0" w:color="auto"/>
                <w:bottom w:val="none" w:sz="0" w:space="0" w:color="auto"/>
                <w:right w:val="none" w:sz="0" w:space="0" w:color="auto"/>
              </w:divBdr>
            </w:div>
          </w:divsChild>
        </w:div>
        <w:div w:id="551425056">
          <w:marLeft w:val="0"/>
          <w:marRight w:val="0"/>
          <w:marTop w:val="0"/>
          <w:marBottom w:val="0"/>
          <w:divBdr>
            <w:top w:val="none" w:sz="0" w:space="0" w:color="auto"/>
            <w:left w:val="none" w:sz="0" w:space="0" w:color="auto"/>
            <w:bottom w:val="none" w:sz="0" w:space="0" w:color="auto"/>
            <w:right w:val="none" w:sz="0" w:space="0" w:color="auto"/>
          </w:divBdr>
          <w:divsChild>
            <w:div w:id="1871255978">
              <w:marLeft w:val="0"/>
              <w:marRight w:val="0"/>
              <w:marTop w:val="0"/>
              <w:marBottom w:val="0"/>
              <w:divBdr>
                <w:top w:val="none" w:sz="0" w:space="0" w:color="auto"/>
                <w:left w:val="none" w:sz="0" w:space="0" w:color="auto"/>
                <w:bottom w:val="none" w:sz="0" w:space="0" w:color="auto"/>
                <w:right w:val="none" w:sz="0" w:space="0" w:color="auto"/>
              </w:divBdr>
            </w:div>
          </w:divsChild>
        </w:div>
        <w:div w:id="554315593">
          <w:marLeft w:val="0"/>
          <w:marRight w:val="0"/>
          <w:marTop w:val="0"/>
          <w:marBottom w:val="0"/>
          <w:divBdr>
            <w:top w:val="none" w:sz="0" w:space="0" w:color="auto"/>
            <w:left w:val="none" w:sz="0" w:space="0" w:color="auto"/>
            <w:bottom w:val="none" w:sz="0" w:space="0" w:color="auto"/>
            <w:right w:val="none" w:sz="0" w:space="0" w:color="auto"/>
          </w:divBdr>
          <w:divsChild>
            <w:div w:id="522060154">
              <w:marLeft w:val="0"/>
              <w:marRight w:val="0"/>
              <w:marTop w:val="0"/>
              <w:marBottom w:val="0"/>
              <w:divBdr>
                <w:top w:val="none" w:sz="0" w:space="0" w:color="auto"/>
                <w:left w:val="none" w:sz="0" w:space="0" w:color="auto"/>
                <w:bottom w:val="none" w:sz="0" w:space="0" w:color="auto"/>
                <w:right w:val="none" w:sz="0" w:space="0" w:color="auto"/>
              </w:divBdr>
            </w:div>
          </w:divsChild>
        </w:div>
        <w:div w:id="555287557">
          <w:marLeft w:val="0"/>
          <w:marRight w:val="0"/>
          <w:marTop w:val="0"/>
          <w:marBottom w:val="0"/>
          <w:divBdr>
            <w:top w:val="none" w:sz="0" w:space="0" w:color="auto"/>
            <w:left w:val="none" w:sz="0" w:space="0" w:color="auto"/>
            <w:bottom w:val="none" w:sz="0" w:space="0" w:color="auto"/>
            <w:right w:val="none" w:sz="0" w:space="0" w:color="auto"/>
          </w:divBdr>
          <w:divsChild>
            <w:div w:id="682786539">
              <w:marLeft w:val="0"/>
              <w:marRight w:val="0"/>
              <w:marTop w:val="0"/>
              <w:marBottom w:val="0"/>
              <w:divBdr>
                <w:top w:val="none" w:sz="0" w:space="0" w:color="auto"/>
                <w:left w:val="none" w:sz="0" w:space="0" w:color="auto"/>
                <w:bottom w:val="none" w:sz="0" w:space="0" w:color="auto"/>
                <w:right w:val="none" w:sz="0" w:space="0" w:color="auto"/>
              </w:divBdr>
            </w:div>
          </w:divsChild>
        </w:div>
        <w:div w:id="555896497">
          <w:marLeft w:val="0"/>
          <w:marRight w:val="0"/>
          <w:marTop w:val="0"/>
          <w:marBottom w:val="0"/>
          <w:divBdr>
            <w:top w:val="none" w:sz="0" w:space="0" w:color="auto"/>
            <w:left w:val="none" w:sz="0" w:space="0" w:color="auto"/>
            <w:bottom w:val="none" w:sz="0" w:space="0" w:color="auto"/>
            <w:right w:val="none" w:sz="0" w:space="0" w:color="auto"/>
          </w:divBdr>
          <w:divsChild>
            <w:div w:id="1685857420">
              <w:marLeft w:val="0"/>
              <w:marRight w:val="0"/>
              <w:marTop w:val="0"/>
              <w:marBottom w:val="0"/>
              <w:divBdr>
                <w:top w:val="none" w:sz="0" w:space="0" w:color="auto"/>
                <w:left w:val="none" w:sz="0" w:space="0" w:color="auto"/>
                <w:bottom w:val="none" w:sz="0" w:space="0" w:color="auto"/>
                <w:right w:val="none" w:sz="0" w:space="0" w:color="auto"/>
              </w:divBdr>
            </w:div>
          </w:divsChild>
        </w:div>
        <w:div w:id="556432868">
          <w:marLeft w:val="0"/>
          <w:marRight w:val="0"/>
          <w:marTop w:val="0"/>
          <w:marBottom w:val="0"/>
          <w:divBdr>
            <w:top w:val="none" w:sz="0" w:space="0" w:color="auto"/>
            <w:left w:val="none" w:sz="0" w:space="0" w:color="auto"/>
            <w:bottom w:val="none" w:sz="0" w:space="0" w:color="auto"/>
            <w:right w:val="none" w:sz="0" w:space="0" w:color="auto"/>
          </w:divBdr>
          <w:divsChild>
            <w:div w:id="443426933">
              <w:marLeft w:val="0"/>
              <w:marRight w:val="0"/>
              <w:marTop w:val="0"/>
              <w:marBottom w:val="0"/>
              <w:divBdr>
                <w:top w:val="none" w:sz="0" w:space="0" w:color="auto"/>
                <w:left w:val="none" w:sz="0" w:space="0" w:color="auto"/>
                <w:bottom w:val="none" w:sz="0" w:space="0" w:color="auto"/>
                <w:right w:val="none" w:sz="0" w:space="0" w:color="auto"/>
              </w:divBdr>
            </w:div>
          </w:divsChild>
        </w:div>
        <w:div w:id="557011308">
          <w:marLeft w:val="0"/>
          <w:marRight w:val="0"/>
          <w:marTop w:val="0"/>
          <w:marBottom w:val="0"/>
          <w:divBdr>
            <w:top w:val="none" w:sz="0" w:space="0" w:color="auto"/>
            <w:left w:val="none" w:sz="0" w:space="0" w:color="auto"/>
            <w:bottom w:val="none" w:sz="0" w:space="0" w:color="auto"/>
            <w:right w:val="none" w:sz="0" w:space="0" w:color="auto"/>
          </w:divBdr>
          <w:divsChild>
            <w:div w:id="1913470084">
              <w:marLeft w:val="0"/>
              <w:marRight w:val="0"/>
              <w:marTop w:val="0"/>
              <w:marBottom w:val="0"/>
              <w:divBdr>
                <w:top w:val="none" w:sz="0" w:space="0" w:color="auto"/>
                <w:left w:val="none" w:sz="0" w:space="0" w:color="auto"/>
                <w:bottom w:val="none" w:sz="0" w:space="0" w:color="auto"/>
                <w:right w:val="none" w:sz="0" w:space="0" w:color="auto"/>
              </w:divBdr>
            </w:div>
          </w:divsChild>
        </w:div>
        <w:div w:id="559444882">
          <w:marLeft w:val="0"/>
          <w:marRight w:val="0"/>
          <w:marTop w:val="0"/>
          <w:marBottom w:val="0"/>
          <w:divBdr>
            <w:top w:val="none" w:sz="0" w:space="0" w:color="auto"/>
            <w:left w:val="none" w:sz="0" w:space="0" w:color="auto"/>
            <w:bottom w:val="none" w:sz="0" w:space="0" w:color="auto"/>
            <w:right w:val="none" w:sz="0" w:space="0" w:color="auto"/>
          </w:divBdr>
          <w:divsChild>
            <w:div w:id="1809854505">
              <w:marLeft w:val="0"/>
              <w:marRight w:val="0"/>
              <w:marTop w:val="0"/>
              <w:marBottom w:val="0"/>
              <w:divBdr>
                <w:top w:val="none" w:sz="0" w:space="0" w:color="auto"/>
                <w:left w:val="none" w:sz="0" w:space="0" w:color="auto"/>
                <w:bottom w:val="none" w:sz="0" w:space="0" w:color="auto"/>
                <w:right w:val="none" w:sz="0" w:space="0" w:color="auto"/>
              </w:divBdr>
            </w:div>
          </w:divsChild>
        </w:div>
        <w:div w:id="559563094">
          <w:marLeft w:val="0"/>
          <w:marRight w:val="0"/>
          <w:marTop w:val="0"/>
          <w:marBottom w:val="0"/>
          <w:divBdr>
            <w:top w:val="none" w:sz="0" w:space="0" w:color="auto"/>
            <w:left w:val="none" w:sz="0" w:space="0" w:color="auto"/>
            <w:bottom w:val="none" w:sz="0" w:space="0" w:color="auto"/>
            <w:right w:val="none" w:sz="0" w:space="0" w:color="auto"/>
          </w:divBdr>
          <w:divsChild>
            <w:div w:id="1991012030">
              <w:marLeft w:val="0"/>
              <w:marRight w:val="0"/>
              <w:marTop w:val="0"/>
              <w:marBottom w:val="0"/>
              <w:divBdr>
                <w:top w:val="none" w:sz="0" w:space="0" w:color="auto"/>
                <w:left w:val="none" w:sz="0" w:space="0" w:color="auto"/>
                <w:bottom w:val="none" w:sz="0" w:space="0" w:color="auto"/>
                <w:right w:val="none" w:sz="0" w:space="0" w:color="auto"/>
              </w:divBdr>
            </w:div>
          </w:divsChild>
        </w:div>
        <w:div w:id="560136979">
          <w:marLeft w:val="0"/>
          <w:marRight w:val="0"/>
          <w:marTop w:val="0"/>
          <w:marBottom w:val="0"/>
          <w:divBdr>
            <w:top w:val="none" w:sz="0" w:space="0" w:color="auto"/>
            <w:left w:val="none" w:sz="0" w:space="0" w:color="auto"/>
            <w:bottom w:val="none" w:sz="0" w:space="0" w:color="auto"/>
            <w:right w:val="none" w:sz="0" w:space="0" w:color="auto"/>
          </w:divBdr>
          <w:divsChild>
            <w:div w:id="356279187">
              <w:marLeft w:val="0"/>
              <w:marRight w:val="0"/>
              <w:marTop w:val="0"/>
              <w:marBottom w:val="0"/>
              <w:divBdr>
                <w:top w:val="none" w:sz="0" w:space="0" w:color="auto"/>
                <w:left w:val="none" w:sz="0" w:space="0" w:color="auto"/>
                <w:bottom w:val="none" w:sz="0" w:space="0" w:color="auto"/>
                <w:right w:val="none" w:sz="0" w:space="0" w:color="auto"/>
              </w:divBdr>
            </w:div>
          </w:divsChild>
        </w:div>
        <w:div w:id="560794562">
          <w:marLeft w:val="0"/>
          <w:marRight w:val="0"/>
          <w:marTop w:val="0"/>
          <w:marBottom w:val="0"/>
          <w:divBdr>
            <w:top w:val="none" w:sz="0" w:space="0" w:color="auto"/>
            <w:left w:val="none" w:sz="0" w:space="0" w:color="auto"/>
            <w:bottom w:val="none" w:sz="0" w:space="0" w:color="auto"/>
            <w:right w:val="none" w:sz="0" w:space="0" w:color="auto"/>
          </w:divBdr>
          <w:divsChild>
            <w:div w:id="371736214">
              <w:marLeft w:val="0"/>
              <w:marRight w:val="0"/>
              <w:marTop w:val="0"/>
              <w:marBottom w:val="0"/>
              <w:divBdr>
                <w:top w:val="none" w:sz="0" w:space="0" w:color="auto"/>
                <w:left w:val="none" w:sz="0" w:space="0" w:color="auto"/>
                <w:bottom w:val="none" w:sz="0" w:space="0" w:color="auto"/>
                <w:right w:val="none" w:sz="0" w:space="0" w:color="auto"/>
              </w:divBdr>
            </w:div>
          </w:divsChild>
        </w:div>
        <w:div w:id="564337145">
          <w:marLeft w:val="0"/>
          <w:marRight w:val="0"/>
          <w:marTop w:val="0"/>
          <w:marBottom w:val="0"/>
          <w:divBdr>
            <w:top w:val="none" w:sz="0" w:space="0" w:color="auto"/>
            <w:left w:val="none" w:sz="0" w:space="0" w:color="auto"/>
            <w:bottom w:val="none" w:sz="0" w:space="0" w:color="auto"/>
            <w:right w:val="none" w:sz="0" w:space="0" w:color="auto"/>
          </w:divBdr>
          <w:divsChild>
            <w:div w:id="1200776176">
              <w:marLeft w:val="0"/>
              <w:marRight w:val="0"/>
              <w:marTop w:val="0"/>
              <w:marBottom w:val="0"/>
              <w:divBdr>
                <w:top w:val="none" w:sz="0" w:space="0" w:color="auto"/>
                <w:left w:val="none" w:sz="0" w:space="0" w:color="auto"/>
                <w:bottom w:val="none" w:sz="0" w:space="0" w:color="auto"/>
                <w:right w:val="none" w:sz="0" w:space="0" w:color="auto"/>
              </w:divBdr>
            </w:div>
          </w:divsChild>
        </w:div>
        <w:div w:id="565921606">
          <w:marLeft w:val="0"/>
          <w:marRight w:val="0"/>
          <w:marTop w:val="0"/>
          <w:marBottom w:val="0"/>
          <w:divBdr>
            <w:top w:val="none" w:sz="0" w:space="0" w:color="auto"/>
            <w:left w:val="none" w:sz="0" w:space="0" w:color="auto"/>
            <w:bottom w:val="none" w:sz="0" w:space="0" w:color="auto"/>
            <w:right w:val="none" w:sz="0" w:space="0" w:color="auto"/>
          </w:divBdr>
          <w:divsChild>
            <w:div w:id="1493259878">
              <w:marLeft w:val="0"/>
              <w:marRight w:val="0"/>
              <w:marTop w:val="0"/>
              <w:marBottom w:val="0"/>
              <w:divBdr>
                <w:top w:val="none" w:sz="0" w:space="0" w:color="auto"/>
                <w:left w:val="none" w:sz="0" w:space="0" w:color="auto"/>
                <w:bottom w:val="none" w:sz="0" w:space="0" w:color="auto"/>
                <w:right w:val="none" w:sz="0" w:space="0" w:color="auto"/>
              </w:divBdr>
            </w:div>
          </w:divsChild>
        </w:div>
        <w:div w:id="569392557">
          <w:marLeft w:val="0"/>
          <w:marRight w:val="0"/>
          <w:marTop w:val="0"/>
          <w:marBottom w:val="0"/>
          <w:divBdr>
            <w:top w:val="none" w:sz="0" w:space="0" w:color="auto"/>
            <w:left w:val="none" w:sz="0" w:space="0" w:color="auto"/>
            <w:bottom w:val="none" w:sz="0" w:space="0" w:color="auto"/>
            <w:right w:val="none" w:sz="0" w:space="0" w:color="auto"/>
          </w:divBdr>
          <w:divsChild>
            <w:div w:id="1806459405">
              <w:marLeft w:val="0"/>
              <w:marRight w:val="0"/>
              <w:marTop w:val="0"/>
              <w:marBottom w:val="0"/>
              <w:divBdr>
                <w:top w:val="none" w:sz="0" w:space="0" w:color="auto"/>
                <w:left w:val="none" w:sz="0" w:space="0" w:color="auto"/>
                <w:bottom w:val="none" w:sz="0" w:space="0" w:color="auto"/>
                <w:right w:val="none" w:sz="0" w:space="0" w:color="auto"/>
              </w:divBdr>
            </w:div>
          </w:divsChild>
        </w:div>
        <w:div w:id="569393089">
          <w:marLeft w:val="0"/>
          <w:marRight w:val="0"/>
          <w:marTop w:val="0"/>
          <w:marBottom w:val="0"/>
          <w:divBdr>
            <w:top w:val="none" w:sz="0" w:space="0" w:color="auto"/>
            <w:left w:val="none" w:sz="0" w:space="0" w:color="auto"/>
            <w:bottom w:val="none" w:sz="0" w:space="0" w:color="auto"/>
            <w:right w:val="none" w:sz="0" w:space="0" w:color="auto"/>
          </w:divBdr>
          <w:divsChild>
            <w:div w:id="466313944">
              <w:marLeft w:val="0"/>
              <w:marRight w:val="0"/>
              <w:marTop w:val="0"/>
              <w:marBottom w:val="0"/>
              <w:divBdr>
                <w:top w:val="none" w:sz="0" w:space="0" w:color="auto"/>
                <w:left w:val="none" w:sz="0" w:space="0" w:color="auto"/>
                <w:bottom w:val="none" w:sz="0" w:space="0" w:color="auto"/>
                <w:right w:val="none" w:sz="0" w:space="0" w:color="auto"/>
              </w:divBdr>
            </w:div>
          </w:divsChild>
        </w:div>
        <w:div w:id="569466318">
          <w:marLeft w:val="0"/>
          <w:marRight w:val="0"/>
          <w:marTop w:val="0"/>
          <w:marBottom w:val="0"/>
          <w:divBdr>
            <w:top w:val="none" w:sz="0" w:space="0" w:color="auto"/>
            <w:left w:val="none" w:sz="0" w:space="0" w:color="auto"/>
            <w:bottom w:val="none" w:sz="0" w:space="0" w:color="auto"/>
            <w:right w:val="none" w:sz="0" w:space="0" w:color="auto"/>
          </w:divBdr>
          <w:divsChild>
            <w:div w:id="393548175">
              <w:marLeft w:val="0"/>
              <w:marRight w:val="0"/>
              <w:marTop w:val="0"/>
              <w:marBottom w:val="0"/>
              <w:divBdr>
                <w:top w:val="none" w:sz="0" w:space="0" w:color="auto"/>
                <w:left w:val="none" w:sz="0" w:space="0" w:color="auto"/>
                <w:bottom w:val="none" w:sz="0" w:space="0" w:color="auto"/>
                <w:right w:val="none" w:sz="0" w:space="0" w:color="auto"/>
              </w:divBdr>
            </w:div>
          </w:divsChild>
        </w:div>
        <w:div w:id="570046703">
          <w:marLeft w:val="0"/>
          <w:marRight w:val="0"/>
          <w:marTop w:val="0"/>
          <w:marBottom w:val="0"/>
          <w:divBdr>
            <w:top w:val="none" w:sz="0" w:space="0" w:color="auto"/>
            <w:left w:val="none" w:sz="0" w:space="0" w:color="auto"/>
            <w:bottom w:val="none" w:sz="0" w:space="0" w:color="auto"/>
            <w:right w:val="none" w:sz="0" w:space="0" w:color="auto"/>
          </w:divBdr>
          <w:divsChild>
            <w:div w:id="1108038836">
              <w:marLeft w:val="0"/>
              <w:marRight w:val="0"/>
              <w:marTop w:val="0"/>
              <w:marBottom w:val="0"/>
              <w:divBdr>
                <w:top w:val="none" w:sz="0" w:space="0" w:color="auto"/>
                <w:left w:val="none" w:sz="0" w:space="0" w:color="auto"/>
                <w:bottom w:val="none" w:sz="0" w:space="0" w:color="auto"/>
                <w:right w:val="none" w:sz="0" w:space="0" w:color="auto"/>
              </w:divBdr>
            </w:div>
          </w:divsChild>
        </w:div>
        <w:div w:id="572668617">
          <w:marLeft w:val="0"/>
          <w:marRight w:val="0"/>
          <w:marTop w:val="0"/>
          <w:marBottom w:val="0"/>
          <w:divBdr>
            <w:top w:val="none" w:sz="0" w:space="0" w:color="auto"/>
            <w:left w:val="none" w:sz="0" w:space="0" w:color="auto"/>
            <w:bottom w:val="none" w:sz="0" w:space="0" w:color="auto"/>
            <w:right w:val="none" w:sz="0" w:space="0" w:color="auto"/>
          </w:divBdr>
          <w:divsChild>
            <w:div w:id="827792450">
              <w:marLeft w:val="0"/>
              <w:marRight w:val="0"/>
              <w:marTop w:val="0"/>
              <w:marBottom w:val="0"/>
              <w:divBdr>
                <w:top w:val="none" w:sz="0" w:space="0" w:color="auto"/>
                <w:left w:val="none" w:sz="0" w:space="0" w:color="auto"/>
                <w:bottom w:val="none" w:sz="0" w:space="0" w:color="auto"/>
                <w:right w:val="none" w:sz="0" w:space="0" w:color="auto"/>
              </w:divBdr>
            </w:div>
          </w:divsChild>
        </w:div>
        <w:div w:id="575821729">
          <w:marLeft w:val="0"/>
          <w:marRight w:val="0"/>
          <w:marTop w:val="0"/>
          <w:marBottom w:val="0"/>
          <w:divBdr>
            <w:top w:val="none" w:sz="0" w:space="0" w:color="auto"/>
            <w:left w:val="none" w:sz="0" w:space="0" w:color="auto"/>
            <w:bottom w:val="none" w:sz="0" w:space="0" w:color="auto"/>
            <w:right w:val="none" w:sz="0" w:space="0" w:color="auto"/>
          </w:divBdr>
          <w:divsChild>
            <w:div w:id="37166310">
              <w:marLeft w:val="0"/>
              <w:marRight w:val="0"/>
              <w:marTop w:val="0"/>
              <w:marBottom w:val="0"/>
              <w:divBdr>
                <w:top w:val="none" w:sz="0" w:space="0" w:color="auto"/>
                <w:left w:val="none" w:sz="0" w:space="0" w:color="auto"/>
                <w:bottom w:val="none" w:sz="0" w:space="0" w:color="auto"/>
                <w:right w:val="none" w:sz="0" w:space="0" w:color="auto"/>
              </w:divBdr>
            </w:div>
          </w:divsChild>
        </w:div>
        <w:div w:id="576985841">
          <w:marLeft w:val="0"/>
          <w:marRight w:val="0"/>
          <w:marTop w:val="0"/>
          <w:marBottom w:val="0"/>
          <w:divBdr>
            <w:top w:val="none" w:sz="0" w:space="0" w:color="auto"/>
            <w:left w:val="none" w:sz="0" w:space="0" w:color="auto"/>
            <w:bottom w:val="none" w:sz="0" w:space="0" w:color="auto"/>
            <w:right w:val="none" w:sz="0" w:space="0" w:color="auto"/>
          </w:divBdr>
          <w:divsChild>
            <w:div w:id="1029454766">
              <w:marLeft w:val="0"/>
              <w:marRight w:val="0"/>
              <w:marTop w:val="0"/>
              <w:marBottom w:val="0"/>
              <w:divBdr>
                <w:top w:val="none" w:sz="0" w:space="0" w:color="auto"/>
                <w:left w:val="none" w:sz="0" w:space="0" w:color="auto"/>
                <w:bottom w:val="none" w:sz="0" w:space="0" w:color="auto"/>
                <w:right w:val="none" w:sz="0" w:space="0" w:color="auto"/>
              </w:divBdr>
            </w:div>
          </w:divsChild>
        </w:div>
        <w:div w:id="578830638">
          <w:marLeft w:val="0"/>
          <w:marRight w:val="0"/>
          <w:marTop w:val="0"/>
          <w:marBottom w:val="0"/>
          <w:divBdr>
            <w:top w:val="none" w:sz="0" w:space="0" w:color="auto"/>
            <w:left w:val="none" w:sz="0" w:space="0" w:color="auto"/>
            <w:bottom w:val="none" w:sz="0" w:space="0" w:color="auto"/>
            <w:right w:val="none" w:sz="0" w:space="0" w:color="auto"/>
          </w:divBdr>
          <w:divsChild>
            <w:div w:id="239945604">
              <w:marLeft w:val="0"/>
              <w:marRight w:val="0"/>
              <w:marTop w:val="0"/>
              <w:marBottom w:val="0"/>
              <w:divBdr>
                <w:top w:val="none" w:sz="0" w:space="0" w:color="auto"/>
                <w:left w:val="none" w:sz="0" w:space="0" w:color="auto"/>
                <w:bottom w:val="none" w:sz="0" w:space="0" w:color="auto"/>
                <w:right w:val="none" w:sz="0" w:space="0" w:color="auto"/>
              </w:divBdr>
            </w:div>
          </w:divsChild>
        </w:div>
        <w:div w:id="579215213">
          <w:marLeft w:val="0"/>
          <w:marRight w:val="0"/>
          <w:marTop w:val="0"/>
          <w:marBottom w:val="0"/>
          <w:divBdr>
            <w:top w:val="none" w:sz="0" w:space="0" w:color="auto"/>
            <w:left w:val="none" w:sz="0" w:space="0" w:color="auto"/>
            <w:bottom w:val="none" w:sz="0" w:space="0" w:color="auto"/>
            <w:right w:val="none" w:sz="0" w:space="0" w:color="auto"/>
          </w:divBdr>
          <w:divsChild>
            <w:div w:id="395905919">
              <w:marLeft w:val="0"/>
              <w:marRight w:val="0"/>
              <w:marTop w:val="0"/>
              <w:marBottom w:val="0"/>
              <w:divBdr>
                <w:top w:val="none" w:sz="0" w:space="0" w:color="auto"/>
                <w:left w:val="none" w:sz="0" w:space="0" w:color="auto"/>
                <w:bottom w:val="none" w:sz="0" w:space="0" w:color="auto"/>
                <w:right w:val="none" w:sz="0" w:space="0" w:color="auto"/>
              </w:divBdr>
            </w:div>
          </w:divsChild>
        </w:div>
        <w:div w:id="579601811">
          <w:marLeft w:val="0"/>
          <w:marRight w:val="0"/>
          <w:marTop w:val="0"/>
          <w:marBottom w:val="0"/>
          <w:divBdr>
            <w:top w:val="none" w:sz="0" w:space="0" w:color="auto"/>
            <w:left w:val="none" w:sz="0" w:space="0" w:color="auto"/>
            <w:bottom w:val="none" w:sz="0" w:space="0" w:color="auto"/>
            <w:right w:val="none" w:sz="0" w:space="0" w:color="auto"/>
          </w:divBdr>
          <w:divsChild>
            <w:div w:id="1461801290">
              <w:marLeft w:val="0"/>
              <w:marRight w:val="0"/>
              <w:marTop w:val="0"/>
              <w:marBottom w:val="0"/>
              <w:divBdr>
                <w:top w:val="none" w:sz="0" w:space="0" w:color="auto"/>
                <w:left w:val="none" w:sz="0" w:space="0" w:color="auto"/>
                <w:bottom w:val="none" w:sz="0" w:space="0" w:color="auto"/>
                <w:right w:val="none" w:sz="0" w:space="0" w:color="auto"/>
              </w:divBdr>
            </w:div>
          </w:divsChild>
        </w:div>
        <w:div w:id="580674923">
          <w:marLeft w:val="0"/>
          <w:marRight w:val="0"/>
          <w:marTop w:val="0"/>
          <w:marBottom w:val="0"/>
          <w:divBdr>
            <w:top w:val="none" w:sz="0" w:space="0" w:color="auto"/>
            <w:left w:val="none" w:sz="0" w:space="0" w:color="auto"/>
            <w:bottom w:val="none" w:sz="0" w:space="0" w:color="auto"/>
            <w:right w:val="none" w:sz="0" w:space="0" w:color="auto"/>
          </w:divBdr>
          <w:divsChild>
            <w:div w:id="196048838">
              <w:marLeft w:val="0"/>
              <w:marRight w:val="0"/>
              <w:marTop w:val="0"/>
              <w:marBottom w:val="0"/>
              <w:divBdr>
                <w:top w:val="none" w:sz="0" w:space="0" w:color="auto"/>
                <w:left w:val="none" w:sz="0" w:space="0" w:color="auto"/>
                <w:bottom w:val="none" w:sz="0" w:space="0" w:color="auto"/>
                <w:right w:val="none" w:sz="0" w:space="0" w:color="auto"/>
              </w:divBdr>
            </w:div>
          </w:divsChild>
        </w:div>
        <w:div w:id="582028275">
          <w:marLeft w:val="0"/>
          <w:marRight w:val="0"/>
          <w:marTop w:val="0"/>
          <w:marBottom w:val="0"/>
          <w:divBdr>
            <w:top w:val="none" w:sz="0" w:space="0" w:color="auto"/>
            <w:left w:val="none" w:sz="0" w:space="0" w:color="auto"/>
            <w:bottom w:val="none" w:sz="0" w:space="0" w:color="auto"/>
            <w:right w:val="none" w:sz="0" w:space="0" w:color="auto"/>
          </w:divBdr>
          <w:divsChild>
            <w:div w:id="530730781">
              <w:marLeft w:val="0"/>
              <w:marRight w:val="0"/>
              <w:marTop w:val="0"/>
              <w:marBottom w:val="0"/>
              <w:divBdr>
                <w:top w:val="none" w:sz="0" w:space="0" w:color="auto"/>
                <w:left w:val="none" w:sz="0" w:space="0" w:color="auto"/>
                <w:bottom w:val="none" w:sz="0" w:space="0" w:color="auto"/>
                <w:right w:val="none" w:sz="0" w:space="0" w:color="auto"/>
              </w:divBdr>
            </w:div>
          </w:divsChild>
        </w:div>
        <w:div w:id="583101673">
          <w:marLeft w:val="0"/>
          <w:marRight w:val="0"/>
          <w:marTop w:val="0"/>
          <w:marBottom w:val="0"/>
          <w:divBdr>
            <w:top w:val="none" w:sz="0" w:space="0" w:color="auto"/>
            <w:left w:val="none" w:sz="0" w:space="0" w:color="auto"/>
            <w:bottom w:val="none" w:sz="0" w:space="0" w:color="auto"/>
            <w:right w:val="none" w:sz="0" w:space="0" w:color="auto"/>
          </w:divBdr>
          <w:divsChild>
            <w:div w:id="1009021751">
              <w:marLeft w:val="0"/>
              <w:marRight w:val="0"/>
              <w:marTop w:val="0"/>
              <w:marBottom w:val="0"/>
              <w:divBdr>
                <w:top w:val="none" w:sz="0" w:space="0" w:color="auto"/>
                <w:left w:val="none" w:sz="0" w:space="0" w:color="auto"/>
                <w:bottom w:val="none" w:sz="0" w:space="0" w:color="auto"/>
                <w:right w:val="none" w:sz="0" w:space="0" w:color="auto"/>
              </w:divBdr>
            </w:div>
          </w:divsChild>
        </w:div>
        <w:div w:id="588274950">
          <w:marLeft w:val="0"/>
          <w:marRight w:val="0"/>
          <w:marTop w:val="0"/>
          <w:marBottom w:val="0"/>
          <w:divBdr>
            <w:top w:val="none" w:sz="0" w:space="0" w:color="auto"/>
            <w:left w:val="none" w:sz="0" w:space="0" w:color="auto"/>
            <w:bottom w:val="none" w:sz="0" w:space="0" w:color="auto"/>
            <w:right w:val="none" w:sz="0" w:space="0" w:color="auto"/>
          </w:divBdr>
          <w:divsChild>
            <w:div w:id="421536431">
              <w:marLeft w:val="0"/>
              <w:marRight w:val="0"/>
              <w:marTop w:val="0"/>
              <w:marBottom w:val="0"/>
              <w:divBdr>
                <w:top w:val="none" w:sz="0" w:space="0" w:color="auto"/>
                <w:left w:val="none" w:sz="0" w:space="0" w:color="auto"/>
                <w:bottom w:val="none" w:sz="0" w:space="0" w:color="auto"/>
                <w:right w:val="none" w:sz="0" w:space="0" w:color="auto"/>
              </w:divBdr>
            </w:div>
          </w:divsChild>
        </w:div>
        <w:div w:id="590434970">
          <w:marLeft w:val="0"/>
          <w:marRight w:val="0"/>
          <w:marTop w:val="0"/>
          <w:marBottom w:val="0"/>
          <w:divBdr>
            <w:top w:val="none" w:sz="0" w:space="0" w:color="auto"/>
            <w:left w:val="none" w:sz="0" w:space="0" w:color="auto"/>
            <w:bottom w:val="none" w:sz="0" w:space="0" w:color="auto"/>
            <w:right w:val="none" w:sz="0" w:space="0" w:color="auto"/>
          </w:divBdr>
          <w:divsChild>
            <w:div w:id="602038236">
              <w:marLeft w:val="0"/>
              <w:marRight w:val="0"/>
              <w:marTop w:val="0"/>
              <w:marBottom w:val="0"/>
              <w:divBdr>
                <w:top w:val="none" w:sz="0" w:space="0" w:color="auto"/>
                <w:left w:val="none" w:sz="0" w:space="0" w:color="auto"/>
                <w:bottom w:val="none" w:sz="0" w:space="0" w:color="auto"/>
                <w:right w:val="none" w:sz="0" w:space="0" w:color="auto"/>
              </w:divBdr>
            </w:div>
          </w:divsChild>
        </w:div>
        <w:div w:id="594245009">
          <w:marLeft w:val="0"/>
          <w:marRight w:val="0"/>
          <w:marTop w:val="0"/>
          <w:marBottom w:val="0"/>
          <w:divBdr>
            <w:top w:val="none" w:sz="0" w:space="0" w:color="auto"/>
            <w:left w:val="none" w:sz="0" w:space="0" w:color="auto"/>
            <w:bottom w:val="none" w:sz="0" w:space="0" w:color="auto"/>
            <w:right w:val="none" w:sz="0" w:space="0" w:color="auto"/>
          </w:divBdr>
          <w:divsChild>
            <w:div w:id="1673293142">
              <w:marLeft w:val="0"/>
              <w:marRight w:val="0"/>
              <w:marTop w:val="0"/>
              <w:marBottom w:val="0"/>
              <w:divBdr>
                <w:top w:val="none" w:sz="0" w:space="0" w:color="auto"/>
                <w:left w:val="none" w:sz="0" w:space="0" w:color="auto"/>
                <w:bottom w:val="none" w:sz="0" w:space="0" w:color="auto"/>
                <w:right w:val="none" w:sz="0" w:space="0" w:color="auto"/>
              </w:divBdr>
            </w:div>
          </w:divsChild>
        </w:div>
        <w:div w:id="598025665">
          <w:marLeft w:val="0"/>
          <w:marRight w:val="0"/>
          <w:marTop w:val="0"/>
          <w:marBottom w:val="0"/>
          <w:divBdr>
            <w:top w:val="none" w:sz="0" w:space="0" w:color="auto"/>
            <w:left w:val="none" w:sz="0" w:space="0" w:color="auto"/>
            <w:bottom w:val="none" w:sz="0" w:space="0" w:color="auto"/>
            <w:right w:val="none" w:sz="0" w:space="0" w:color="auto"/>
          </w:divBdr>
          <w:divsChild>
            <w:div w:id="308097455">
              <w:marLeft w:val="0"/>
              <w:marRight w:val="0"/>
              <w:marTop w:val="0"/>
              <w:marBottom w:val="0"/>
              <w:divBdr>
                <w:top w:val="none" w:sz="0" w:space="0" w:color="auto"/>
                <w:left w:val="none" w:sz="0" w:space="0" w:color="auto"/>
                <w:bottom w:val="none" w:sz="0" w:space="0" w:color="auto"/>
                <w:right w:val="none" w:sz="0" w:space="0" w:color="auto"/>
              </w:divBdr>
            </w:div>
          </w:divsChild>
        </w:div>
        <w:div w:id="598296754">
          <w:marLeft w:val="0"/>
          <w:marRight w:val="0"/>
          <w:marTop w:val="0"/>
          <w:marBottom w:val="0"/>
          <w:divBdr>
            <w:top w:val="none" w:sz="0" w:space="0" w:color="auto"/>
            <w:left w:val="none" w:sz="0" w:space="0" w:color="auto"/>
            <w:bottom w:val="none" w:sz="0" w:space="0" w:color="auto"/>
            <w:right w:val="none" w:sz="0" w:space="0" w:color="auto"/>
          </w:divBdr>
          <w:divsChild>
            <w:div w:id="1283226490">
              <w:marLeft w:val="0"/>
              <w:marRight w:val="0"/>
              <w:marTop w:val="0"/>
              <w:marBottom w:val="0"/>
              <w:divBdr>
                <w:top w:val="none" w:sz="0" w:space="0" w:color="auto"/>
                <w:left w:val="none" w:sz="0" w:space="0" w:color="auto"/>
                <w:bottom w:val="none" w:sz="0" w:space="0" w:color="auto"/>
                <w:right w:val="none" w:sz="0" w:space="0" w:color="auto"/>
              </w:divBdr>
            </w:div>
          </w:divsChild>
        </w:div>
        <w:div w:id="600334229">
          <w:marLeft w:val="0"/>
          <w:marRight w:val="0"/>
          <w:marTop w:val="0"/>
          <w:marBottom w:val="0"/>
          <w:divBdr>
            <w:top w:val="none" w:sz="0" w:space="0" w:color="auto"/>
            <w:left w:val="none" w:sz="0" w:space="0" w:color="auto"/>
            <w:bottom w:val="none" w:sz="0" w:space="0" w:color="auto"/>
            <w:right w:val="none" w:sz="0" w:space="0" w:color="auto"/>
          </w:divBdr>
          <w:divsChild>
            <w:div w:id="24136473">
              <w:marLeft w:val="0"/>
              <w:marRight w:val="0"/>
              <w:marTop w:val="0"/>
              <w:marBottom w:val="0"/>
              <w:divBdr>
                <w:top w:val="none" w:sz="0" w:space="0" w:color="auto"/>
                <w:left w:val="none" w:sz="0" w:space="0" w:color="auto"/>
                <w:bottom w:val="none" w:sz="0" w:space="0" w:color="auto"/>
                <w:right w:val="none" w:sz="0" w:space="0" w:color="auto"/>
              </w:divBdr>
            </w:div>
          </w:divsChild>
        </w:div>
        <w:div w:id="607934627">
          <w:marLeft w:val="0"/>
          <w:marRight w:val="0"/>
          <w:marTop w:val="0"/>
          <w:marBottom w:val="0"/>
          <w:divBdr>
            <w:top w:val="none" w:sz="0" w:space="0" w:color="auto"/>
            <w:left w:val="none" w:sz="0" w:space="0" w:color="auto"/>
            <w:bottom w:val="none" w:sz="0" w:space="0" w:color="auto"/>
            <w:right w:val="none" w:sz="0" w:space="0" w:color="auto"/>
          </w:divBdr>
          <w:divsChild>
            <w:div w:id="1539708230">
              <w:marLeft w:val="0"/>
              <w:marRight w:val="0"/>
              <w:marTop w:val="0"/>
              <w:marBottom w:val="0"/>
              <w:divBdr>
                <w:top w:val="none" w:sz="0" w:space="0" w:color="auto"/>
                <w:left w:val="none" w:sz="0" w:space="0" w:color="auto"/>
                <w:bottom w:val="none" w:sz="0" w:space="0" w:color="auto"/>
                <w:right w:val="none" w:sz="0" w:space="0" w:color="auto"/>
              </w:divBdr>
            </w:div>
          </w:divsChild>
        </w:div>
        <w:div w:id="608242585">
          <w:marLeft w:val="0"/>
          <w:marRight w:val="0"/>
          <w:marTop w:val="0"/>
          <w:marBottom w:val="0"/>
          <w:divBdr>
            <w:top w:val="none" w:sz="0" w:space="0" w:color="auto"/>
            <w:left w:val="none" w:sz="0" w:space="0" w:color="auto"/>
            <w:bottom w:val="none" w:sz="0" w:space="0" w:color="auto"/>
            <w:right w:val="none" w:sz="0" w:space="0" w:color="auto"/>
          </w:divBdr>
          <w:divsChild>
            <w:div w:id="633827914">
              <w:marLeft w:val="0"/>
              <w:marRight w:val="0"/>
              <w:marTop w:val="0"/>
              <w:marBottom w:val="0"/>
              <w:divBdr>
                <w:top w:val="none" w:sz="0" w:space="0" w:color="auto"/>
                <w:left w:val="none" w:sz="0" w:space="0" w:color="auto"/>
                <w:bottom w:val="none" w:sz="0" w:space="0" w:color="auto"/>
                <w:right w:val="none" w:sz="0" w:space="0" w:color="auto"/>
              </w:divBdr>
            </w:div>
          </w:divsChild>
        </w:div>
        <w:div w:id="609244396">
          <w:marLeft w:val="0"/>
          <w:marRight w:val="0"/>
          <w:marTop w:val="0"/>
          <w:marBottom w:val="0"/>
          <w:divBdr>
            <w:top w:val="none" w:sz="0" w:space="0" w:color="auto"/>
            <w:left w:val="none" w:sz="0" w:space="0" w:color="auto"/>
            <w:bottom w:val="none" w:sz="0" w:space="0" w:color="auto"/>
            <w:right w:val="none" w:sz="0" w:space="0" w:color="auto"/>
          </w:divBdr>
          <w:divsChild>
            <w:div w:id="787625231">
              <w:marLeft w:val="0"/>
              <w:marRight w:val="0"/>
              <w:marTop w:val="0"/>
              <w:marBottom w:val="0"/>
              <w:divBdr>
                <w:top w:val="none" w:sz="0" w:space="0" w:color="auto"/>
                <w:left w:val="none" w:sz="0" w:space="0" w:color="auto"/>
                <w:bottom w:val="none" w:sz="0" w:space="0" w:color="auto"/>
                <w:right w:val="none" w:sz="0" w:space="0" w:color="auto"/>
              </w:divBdr>
            </w:div>
          </w:divsChild>
        </w:div>
        <w:div w:id="616569634">
          <w:marLeft w:val="0"/>
          <w:marRight w:val="0"/>
          <w:marTop w:val="0"/>
          <w:marBottom w:val="0"/>
          <w:divBdr>
            <w:top w:val="none" w:sz="0" w:space="0" w:color="auto"/>
            <w:left w:val="none" w:sz="0" w:space="0" w:color="auto"/>
            <w:bottom w:val="none" w:sz="0" w:space="0" w:color="auto"/>
            <w:right w:val="none" w:sz="0" w:space="0" w:color="auto"/>
          </w:divBdr>
          <w:divsChild>
            <w:div w:id="2011788173">
              <w:marLeft w:val="0"/>
              <w:marRight w:val="0"/>
              <w:marTop w:val="0"/>
              <w:marBottom w:val="0"/>
              <w:divBdr>
                <w:top w:val="none" w:sz="0" w:space="0" w:color="auto"/>
                <w:left w:val="none" w:sz="0" w:space="0" w:color="auto"/>
                <w:bottom w:val="none" w:sz="0" w:space="0" w:color="auto"/>
                <w:right w:val="none" w:sz="0" w:space="0" w:color="auto"/>
              </w:divBdr>
            </w:div>
          </w:divsChild>
        </w:div>
        <w:div w:id="621762637">
          <w:marLeft w:val="0"/>
          <w:marRight w:val="0"/>
          <w:marTop w:val="0"/>
          <w:marBottom w:val="0"/>
          <w:divBdr>
            <w:top w:val="none" w:sz="0" w:space="0" w:color="auto"/>
            <w:left w:val="none" w:sz="0" w:space="0" w:color="auto"/>
            <w:bottom w:val="none" w:sz="0" w:space="0" w:color="auto"/>
            <w:right w:val="none" w:sz="0" w:space="0" w:color="auto"/>
          </w:divBdr>
          <w:divsChild>
            <w:div w:id="1197431201">
              <w:marLeft w:val="0"/>
              <w:marRight w:val="0"/>
              <w:marTop w:val="0"/>
              <w:marBottom w:val="0"/>
              <w:divBdr>
                <w:top w:val="none" w:sz="0" w:space="0" w:color="auto"/>
                <w:left w:val="none" w:sz="0" w:space="0" w:color="auto"/>
                <w:bottom w:val="none" w:sz="0" w:space="0" w:color="auto"/>
                <w:right w:val="none" w:sz="0" w:space="0" w:color="auto"/>
              </w:divBdr>
            </w:div>
          </w:divsChild>
        </w:div>
        <w:div w:id="623081823">
          <w:marLeft w:val="0"/>
          <w:marRight w:val="0"/>
          <w:marTop w:val="0"/>
          <w:marBottom w:val="0"/>
          <w:divBdr>
            <w:top w:val="none" w:sz="0" w:space="0" w:color="auto"/>
            <w:left w:val="none" w:sz="0" w:space="0" w:color="auto"/>
            <w:bottom w:val="none" w:sz="0" w:space="0" w:color="auto"/>
            <w:right w:val="none" w:sz="0" w:space="0" w:color="auto"/>
          </w:divBdr>
          <w:divsChild>
            <w:div w:id="2053267360">
              <w:marLeft w:val="0"/>
              <w:marRight w:val="0"/>
              <w:marTop w:val="0"/>
              <w:marBottom w:val="0"/>
              <w:divBdr>
                <w:top w:val="none" w:sz="0" w:space="0" w:color="auto"/>
                <w:left w:val="none" w:sz="0" w:space="0" w:color="auto"/>
                <w:bottom w:val="none" w:sz="0" w:space="0" w:color="auto"/>
                <w:right w:val="none" w:sz="0" w:space="0" w:color="auto"/>
              </w:divBdr>
            </w:div>
          </w:divsChild>
        </w:div>
        <w:div w:id="625082473">
          <w:marLeft w:val="0"/>
          <w:marRight w:val="0"/>
          <w:marTop w:val="0"/>
          <w:marBottom w:val="0"/>
          <w:divBdr>
            <w:top w:val="none" w:sz="0" w:space="0" w:color="auto"/>
            <w:left w:val="none" w:sz="0" w:space="0" w:color="auto"/>
            <w:bottom w:val="none" w:sz="0" w:space="0" w:color="auto"/>
            <w:right w:val="none" w:sz="0" w:space="0" w:color="auto"/>
          </w:divBdr>
          <w:divsChild>
            <w:div w:id="1221868462">
              <w:marLeft w:val="0"/>
              <w:marRight w:val="0"/>
              <w:marTop w:val="0"/>
              <w:marBottom w:val="0"/>
              <w:divBdr>
                <w:top w:val="none" w:sz="0" w:space="0" w:color="auto"/>
                <w:left w:val="none" w:sz="0" w:space="0" w:color="auto"/>
                <w:bottom w:val="none" w:sz="0" w:space="0" w:color="auto"/>
                <w:right w:val="none" w:sz="0" w:space="0" w:color="auto"/>
              </w:divBdr>
            </w:div>
          </w:divsChild>
        </w:div>
        <w:div w:id="625892751">
          <w:marLeft w:val="0"/>
          <w:marRight w:val="0"/>
          <w:marTop w:val="0"/>
          <w:marBottom w:val="0"/>
          <w:divBdr>
            <w:top w:val="none" w:sz="0" w:space="0" w:color="auto"/>
            <w:left w:val="none" w:sz="0" w:space="0" w:color="auto"/>
            <w:bottom w:val="none" w:sz="0" w:space="0" w:color="auto"/>
            <w:right w:val="none" w:sz="0" w:space="0" w:color="auto"/>
          </w:divBdr>
          <w:divsChild>
            <w:div w:id="1177616555">
              <w:marLeft w:val="0"/>
              <w:marRight w:val="0"/>
              <w:marTop w:val="0"/>
              <w:marBottom w:val="0"/>
              <w:divBdr>
                <w:top w:val="none" w:sz="0" w:space="0" w:color="auto"/>
                <w:left w:val="none" w:sz="0" w:space="0" w:color="auto"/>
                <w:bottom w:val="none" w:sz="0" w:space="0" w:color="auto"/>
                <w:right w:val="none" w:sz="0" w:space="0" w:color="auto"/>
              </w:divBdr>
            </w:div>
          </w:divsChild>
        </w:div>
        <w:div w:id="627124002">
          <w:marLeft w:val="0"/>
          <w:marRight w:val="0"/>
          <w:marTop w:val="0"/>
          <w:marBottom w:val="0"/>
          <w:divBdr>
            <w:top w:val="none" w:sz="0" w:space="0" w:color="auto"/>
            <w:left w:val="none" w:sz="0" w:space="0" w:color="auto"/>
            <w:bottom w:val="none" w:sz="0" w:space="0" w:color="auto"/>
            <w:right w:val="none" w:sz="0" w:space="0" w:color="auto"/>
          </w:divBdr>
          <w:divsChild>
            <w:div w:id="526795334">
              <w:marLeft w:val="0"/>
              <w:marRight w:val="0"/>
              <w:marTop w:val="0"/>
              <w:marBottom w:val="0"/>
              <w:divBdr>
                <w:top w:val="none" w:sz="0" w:space="0" w:color="auto"/>
                <w:left w:val="none" w:sz="0" w:space="0" w:color="auto"/>
                <w:bottom w:val="none" w:sz="0" w:space="0" w:color="auto"/>
                <w:right w:val="none" w:sz="0" w:space="0" w:color="auto"/>
              </w:divBdr>
            </w:div>
          </w:divsChild>
        </w:div>
        <w:div w:id="629289964">
          <w:marLeft w:val="0"/>
          <w:marRight w:val="0"/>
          <w:marTop w:val="0"/>
          <w:marBottom w:val="0"/>
          <w:divBdr>
            <w:top w:val="none" w:sz="0" w:space="0" w:color="auto"/>
            <w:left w:val="none" w:sz="0" w:space="0" w:color="auto"/>
            <w:bottom w:val="none" w:sz="0" w:space="0" w:color="auto"/>
            <w:right w:val="none" w:sz="0" w:space="0" w:color="auto"/>
          </w:divBdr>
          <w:divsChild>
            <w:div w:id="2027900247">
              <w:marLeft w:val="0"/>
              <w:marRight w:val="0"/>
              <w:marTop w:val="0"/>
              <w:marBottom w:val="0"/>
              <w:divBdr>
                <w:top w:val="none" w:sz="0" w:space="0" w:color="auto"/>
                <w:left w:val="none" w:sz="0" w:space="0" w:color="auto"/>
                <w:bottom w:val="none" w:sz="0" w:space="0" w:color="auto"/>
                <w:right w:val="none" w:sz="0" w:space="0" w:color="auto"/>
              </w:divBdr>
            </w:div>
          </w:divsChild>
        </w:div>
        <w:div w:id="630014321">
          <w:marLeft w:val="0"/>
          <w:marRight w:val="0"/>
          <w:marTop w:val="0"/>
          <w:marBottom w:val="0"/>
          <w:divBdr>
            <w:top w:val="none" w:sz="0" w:space="0" w:color="auto"/>
            <w:left w:val="none" w:sz="0" w:space="0" w:color="auto"/>
            <w:bottom w:val="none" w:sz="0" w:space="0" w:color="auto"/>
            <w:right w:val="none" w:sz="0" w:space="0" w:color="auto"/>
          </w:divBdr>
          <w:divsChild>
            <w:div w:id="1027759425">
              <w:marLeft w:val="0"/>
              <w:marRight w:val="0"/>
              <w:marTop w:val="0"/>
              <w:marBottom w:val="0"/>
              <w:divBdr>
                <w:top w:val="none" w:sz="0" w:space="0" w:color="auto"/>
                <w:left w:val="none" w:sz="0" w:space="0" w:color="auto"/>
                <w:bottom w:val="none" w:sz="0" w:space="0" w:color="auto"/>
                <w:right w:val="none" w:sz="0" w:space="0" w:color="auto"/>
              </w:divBdr>
            </w:div>
          </w:divsChild>
        </w:div>
        <w:div w:id="631986049">
          <w:marLeft w:val="0"/>
          <w:marRight w:val="0"/>
          <w:marTop w:val="0"/>
          <w:marBottom w:val="0"/>
          <w:divBdr>
            <w:top w:val="none" w:sz="0" w:space="0" w:color="auto"/>
            <w:left w:val="none" w:sz="0" w:space="0" w:color="auto"/>
            <w:bottom w:val="none" w:sz="0" w:space="0" w:color="auto"/>
            <w:right w:val="none" w:sz="0" w:space="0" w:color="auto"/>
          </w:divBdr>
          <w:divsChild>
            <w:div w:id="384111445">
              <w:marLeft w:val="0"/>
              <w:marRight w:val="0"/>
              <w:marTop w:val="0"/>
              <w:marBottom w:val="0"/>
              <w:divBdr>
                <w:top w:val="none" w:sz="0" w:space="0" w:color="auto"/>
                <w:left w:val="none" w:sz="0" w:space="0" w:color="auto"/>
                <w:bottom w:val="none" w:sz="0" w:space="0" w:color="auto"/>
                <w:right w:val="none" w:sz="0" w:space="0" w:color="auto"/>
              </w:divBdr>
            </w:div>
          </w:divsChild>
        </w:div>
        <w:div w:id="638657887">
          <w:marLeft w:val="0"/>
          <w:marRight w:val="0"/>
          <w:marTop w:val="0"/>
          <w:marBottom w:val="0"/>
          <w:divBdr>
            <w:top w:val="none" w:sz="0" w:space="0" w:color="auto"/>
            <w:left w:val="none" w:sz="0" w:space="0" w:color="auto"/>
            <w:bottom w:val="none" w:sz="0" w:space="0" w:color="auto"/>
            <w:right w:val="none" w:sz="0" w:space="0" w:color="auto"/>
          </w:divBdr>
          <w:divsChild>
            <w:div w:id="482083190">
              <w:marLeft w:val="0"/>
              <w:marRight w:val="0"/>
              <w:marTop w:val="0"/>
              <w:marBottom w:val="0"/>
              <w:divBdr>
                <w:top w:val="none" w:sz="0" w:space="0" w:color="auto"/>
                <w:left w:val="none" w:sz="0" w:space="0" w:color="auto"/>
                <w:bottom w:val="none" w:sz="0" w:space="0" w:color="auto"/>
                <w:right w:val="none" w:sz="0" w:space="0" w:color="auto"/>
              </w:divBdr>
            </w:div>
          </w:divsChild>
        </w:div>
        <w:div w:id="641926969">
          <w:marLeft w:val="0"/>
          <w:marRight w:val="0"/>
          <w:marTop w:val="0"/>
          <w:marBottom w:val="0"/>
          <w:divBdr>
            <w:top w:val="none" w:sz="0" w:space="0" w:color="auto"/>
            <w:left w:val="none" w:sz="0" w:space="0" w:color="auto"/>
            <w:bottom w:val="none" w:sz="0" w:space="0" w:color="auto"/>
            <w:right w:val="none" w:sz="0" w:space="0" w:color="auto"/>
          </w:divBdr>
          <w:divsChild>
            <w:div w:id="810680678">
              <w:marLeft w:val="0"/>
              <w:marRight w:val="0"/>
              <w:marTop w:val="0"/>
              <w:marBottom w:val="0"/>
              <w:divBdr>
                <w:top w:val="none" w:sz="0" w:space="0" w:color="auto"/>
                <w:left w:val="none" w:sz="0" w:space="0" w:color="auto"/>
                <w:bottom w:val="none" w:sz="0" w:space="0" w:color="auto"/>
                <w:right w:val="none" w:sz="0" w:space="0" w:color="auto"/>
              </w:divBdr>
            </w:div>
          </w:divsChild>
        </w:div>
        <w:div w:id="645474607">
          <w:marLeft w:val="0"/>
          <w:marRight w:val="0"/>
          <w:marTop w:val="0"/>
          <w:marBottom w:val="0"/>
          <w:divBdr>
            <w:top w:val="none" w:sz="0" w:space="0" w:color="auto"/>
            <w:left w:val="none" w:sz="0" w:space="0" w:color="auto"/>
            <w:bottom w:val="none" w:sz="0" w:space="0" w:color="auto"/>
            <w:right w:val="none" w:sz="0" w:space="0" w:color="auto"/>
          </w:divBdr>
          <w:divsChild>
            <w:div w:id="76171247">
              <w:marLeft w:val="0"/>
              <w:marRight w:val="0"/>
              <w:marTop w:val="0"/>
              <w:marBottom w:val="0"/>
              <w:divBdr>
                <w:top w:val="none" w:sz="0" w:space="0" w:color="auto"/>
                <w:left w:val="none" w:sz="0" w:space="0" w:color="auto"/>
                <w:bottom w:val="none" w:sz="0" w:space="0" w:color="auto"/>
                <w:right w:val="none" w:sz="0" w:space="0" w:color="auto"/>
              </w:divBdr>
            </w:div>
          </w:divsChild>
        </w:div>
        <w:div w:id="646328129">
          <w:marLeft w:val="0"/>
          <w:marRight w:val="0"/>
          <w:marTop w:val="0"/>
          <w:marBottom w:val="0"/>
          <w:divBdr>
            <w:top w:val="none" w:sz="0" w:space="0" w:color="auto"/>
            <w:left w:val="none" w:sz="0" w:space="0" w:color="auto"/>
            <w:bottom w:val="none" w:sz="0" w:space="0" w:color="auto"/>
            <w:right w:val="none" w:sz="0" w:space="0" w:color="auto"/>
          </w:divBdr>
          <w:divsChild>
            <w:div w:id="231476923">
              <w:marLeft w:val="0"/>
              <w:marRight w:val="0"/>
              <w:marTop w:val="0"/>
              <w:marBottom w:val="0"/>
              <w:divBdr>
                <w:top w:val="none" w:sz="0" w:space="0" w:color="auto"/>
                <w:left w:val="none" w:sz="0" w:space="0" w:color="auto"/>
                <w:bottom w:val="none" w:sz="0" w:space="0" w:color="auto"/>
                <w:right w:val="none" w:sz="0" w:space="0" w:color="auto"/>
              </w:divBdr>
            </w:div>
          </w:divsChild>
        </w:div>
        <w:div w:id="647367291">
          <w:marLeft w:val="0"/>
          <w:marRight w:val="0"/>
          <w:marTop w:val="0"/>
          <w:marBottom w:val="0"/>
          <w:divBdr>
            <w:top w:val="none" w:sz="0" w:space="0" w:color="auto"/>
            <w:left w:val="none" w:sz="0" w:space="0" w:color="auto"/>
            <w:bottom w:val="none" w:sz="0" w:space="0" w:color="auto"/>
            <w:right w:val="none" w:sz="0" w:space="0" w:color="auto"/>
          </w:divBdr>
          <w:divsChild>
            <w:div w:id="2028677394">
              <w:marLeft w:val="0"/>
              <w:marRight w:val="0"/>
              <w:marTop w:val="0"/>
              <w:marBottom w:val="0"/>
              <w:divBdr>
                <w:top w:val="none" w:sz="0" w:space="0" w:color="auto"/>
                <w:left w:val="none" w:sz="0" w:space="0" w:color="auto"/>
                <w:bottom w:val="none" w:sz="0" w:space="0" w:color="auto"/>
                <w:right w:val="none" w:sz="0" w:space="0" w:color="auto"/>
              </w:divBdr>
            </w:div>
          </w:divsChild>
        </w:div>
        <w:div w:id="649484244">
          <w:marLeft w:val="0"/>
          <w:marRight w:val="0"/>
          <w:marTop w:val="0"/>
          <w:marBottom w:val="0"/>
          <w:divBdr>
            <w:top w:val="none" w:sz="0" w:space="0" w:color="auto"/>
            <w:left w:val="none" w:sz="0" w:space="0" w:color="auto"/>
            <w:bottom w:val="none" w:sz="0" w:space="0" w:color="auto"/>
            <w:right w:val="none" w:sz="0" w:space="0" w:color="auto"/>
          </w:divBdr>
          <w:divsChild>
            <w:div w:id="251547197">
              <w:marLeft w:val="0"/>
              <w:marRight w:val="0"/>
              <w:marTop w:val="0"/>
              <w:marBottom w:val="0"/>
              <w:divBdr>
                <w:top w:val="none" w:sz="0" w:space="0" w:color="auto"/>
                <w:left w:val="none" w:sz="0" w:space="0" w:color="auto"/>
                <w:bottom w:val="none" w:sz="0" w:space="0" w:color="auto"/>
                <w:right w:val="none" w:sz="0" w:space="0" w:color="auto"/>
              </w:divBdr>
            </w:div>
          </w:divsChild>
        </w:div>
        <w:div w:id="650597352">
          <w:marLeft w:val="0"/>
          <w:marRight w:val="0"/>
          <w:marTop w:val="0"/>
          <w:marBottom w:val="0"/>
          <w:divBdr>
            <w:top w:val="none" w:sz="0" w:space="0" w:color="auto"/>
            <w:left w:val="none" w:sz="0" w:space="0" w:color="auto"/>
            <w:bottom w:val="none" w:sz="0" w:space="0" w:color="auto"/>
            <w:right w:val="none" w:sz="0" w:space="0" w:color="auto"/>
          </w:divBdr>
          <w:divsChild>
            <w:div w:id="1878618014">
              <w:marLeft w:val="0"/>
              <w:marRight w:val="0"/>
              <w:marTop w:val="0"/>
              <w:marBottom w:val="0"/>
              <w:divBdr>
                <w:top w:val="none" w:sz="0" w:space="0" w:color="auto"/>
                <w:left w:val="none" w:sz="0" w:space="0" w:color="auto"/>
                <w:bottom w:val="none" w:sz="0" w:space="0" w:color="auto"/>
                <w:right w:val="none" w:sz="0" w:space="0" w:color="auto"/>
              </w:divBdr>
            </w:div>
          </w:divsChild>
        </w:div>
        <w:div w:id="650985400">
          <w:marLeft w:val="0"/>
          <w:marRight w:val="0"/>
          <w:marTop w:val="0"/>
          <w:marBottom w:val="0"/>
          <w:divBdr>
            <w:top w:val="none" w:sz="0" w:space="0" w:color="auto"/>
            <w:left w:val="none" w:sz="0" w:space="0" w:color="auto"/>
            <w:bottom w:val="none" w:sz="0" w:space="0" w:color="auto"/>
            <w:right w:val="none" w:sz="0" w:space="0" w:color="auto"/>
          </w:divBdr>
          <w:divsChild>
            <w:div w:id="126819304">
              <w:marLeft w:val="0"/>
              <w:marRight w:val="0"/>
              <w:marTop w:val="0"/>
              <w:marBottom w:val="0"/>
              <w:divBdr>
                <w:top w:val="none" w:sz="0" w:space="0" w:color="auto"/>
                <w:left w:val="none" w:sz="0" w:space="0" w:color="auto"/>
                <w:bottom w:val="none" w:sz="0" w:space="0" w:color="auto"/>
                <w:right w:val="none" w:sz="0" w:space="0" w:color="auto"/>
              </w:divBdr>
            </w:div>
          </w:divsChild>
        </w:div>
        <w:div w:id="651565037">
          <w:marLeft w:val="0"/>
          <w:marRight w:val="0"/>
          <w:marTop w:val="0"/>
          <w:marBottom w:val="0"/>
          <w:divBdr>
            <w:top w:val="none" w:sz="0" w:space="0" w:color="auto"/>
            <w:left w:val="none" w:sz="0" w:space="0" w:color="auto"/>
            <w:bottom w:val="none" w:sz="0" w:space="0" w:color="auto"/>
            <w:right w:val="none" w:sz="0" w:space="0" w:color="auto"/>
          </w:divBdr>
          <w:divsChild>
            <w:div w:id="383914263">
              <w:marLeft w:val="0"/>
              <w:marRight w:val="0"/>
              <w:marTop w:val="0"/>
              <w:marBottom w:val="0"/>
              <w:divBdr>
                <w:top w:val="none" w:sz="0" w:space="0" w:color="auto"/>
                <w:left w:val="none" w:sz="0" w:space="0" w:color="auto"/>
                <w:bottom w:val="none" w:sz="0" w:space="0" w:color="auto"/>
                <w:right w:val="none" w:sz="0" w:space="0" w:color="auto"/>
              </w:divBdr>
            </w:div>
          </w:divsChild>
        </w:div>
        <w:div w:id="656032995">
          <w:marLeft w:val="0"/>
          <w:marRight w:val="0"/>
          <w:marTop w:val="0"/>
          <w:marBottom w:val="0"/>
          <w:divBdr>
            <w:top w:val="none" w:sz="0" w:space="0" w:color="auto"/>
            <w:left w:val="none" w:sz="0" w:space="0" w:color="auto"/>
            <w:bottom w:val="none" w:sz="0" w:space="0" w:color="auto"/>
            <w:right w:val="none" w:sz="0" w:space="0" w:color="auto"/>
          </w:divBdr>
          <w:divsChild>
            <w:div w:id="1004360057">
              <w:marLeft w:val="0"/>
              <w:marRight w:val="0"/>
              <w:marTop w:val="0"/>
              <w:marBottom w:val="0"/>
              <w:divBdr>
                <w:top w:val="none" w:sz="0" w:space="0" w:color="auto"/>
                <w:left w:val="none" w:sz="0" w:space="0" w:color="auto"/>
                <w:bottom w:val="none" w:sz="0" w:space="0" w:color="auto"/>
                <w:right w:val="none" w:sz="0" w:space="0" w:color="auto"/>
              </w:divBdr>
            </w:div>
          </w:divsChild>
        </w:div>
        <w:div w:id="659162594">
          <w:marLeft w:val="0"/>
          <w:marRight w:val="0"/>
          <w:marTop w:val="0"/>
          <w:marBottom w:val="0"/>
          <w:divBdr>
            <w:top w:val="none" w:sz="0" w:space="0" w:color="auto"/>
            <w:left w:val="none" w:sz="0" w:space="0" w:color="auto"/>
            <w:bottom w:val="none" w:sz="0" w:space="0" w:color="auto"/>
            <w:right w:val="none" w:sz="0" w:space="0" w:color="auto"/>
          </w:divBdr>
          <w:divsChild>
            <w:div w:id="1873879527">
              <w:marLeft w:val="0"/>
              <w:marRight w:val="0"/>
              <w:marTop w:val="0"/>
              <w:marBottom w:val="0"/>
              <w:divBdr>
                <w:top w:val="none" w:sz="0" w:space="0" w:color="auto"/>
                <w:left w:val="none" w:sz="0" w:space="0" w:color="auto"/>
                <w:bottom w:val="none" w:sz="0" w:space="0" w:color="auto"/>
                <w:right w:val="none" w:sz="0" w:space="0" w:color="auto"/>
              </w:divBdr>
            </w:div>
          </w:divsChild>
        </w:div>
        <w:div w:id="659890466">
          <w:marLeft w:val="0"/>
          <w:marRight w:val="0"/>
          <w:marTop w:val="0"/>
          <w:marBottom w:val="0"/>
          <w:divBdr>
            <w:top w:val="none" w:sz="0" w:space="0" w:color="auto"/>
            <w:left w:val="none" w:sz="0" w:space="0" w:color="auto"/>
            <w:bottom w:val="none" w:sz="0" w:space="0" w:color="auto"/>
            <w:right w:val="none" w:sz="0" w:space="0" w:color="auto"/>
          </w:divBdr>
          <w:divsChild>
            <w:div w:id="1064376853">
              <w:marLeft w:val="0"/>
              <w:marRight w:val="0"/>
              <w:marTop w:val="0"/>
              <w:marBottom w:val="0"/>
              <w:divBdr>
                <w:top w:val="none" w:sz="0" w:space="0" w:color="auto"/>
                <w:left w:val="none" w:sz="0" w:space="0" w:color="auto"/>
                <w:bottom w:val="none" w:sz="0" w:space="0" w:color="auto"/>
                <w:right w:val="none" w:sz="0" w:space="0" w:color="auto"/>
              </w:divBdr>
            </w:div>
          </w:divsChild>
        </w:div>
        <w:div w:id="659967518">
          <w:marLeft w:val="0"/>
          <w:marRight w:val="0"/>
          <w:marTop w:val="0"/>
          <w:marBottom w:val="0"/>
          <w:divBdr>
            <w:top w:val="none" w:sz="0" w:space="0" w:color="auto"/>
            <w:left w:val="none" w:sz="0" w:space="0" w:color="auto"/>
            <w:bottom w:val="none" w:sz="0" w:space="0" w:color="auto"/>
            <w:right w:val="none" w:sz="0" w:space="0" w:color="auto"/>
          </w:divBdr>
          <w:divsChild>
            <w:div w:id="1552498620">
              <w:marLeft w:val="0"/>
              <w:marRight w:val="0"/>
              <w:marTop w:val="0"/>
              <w:marBottom w:val="0"/>
              <w:divBdr>
                <w:top w:val="none" w:sz="0" w:space="0" w:color="auto"/>
                <w:left w:val="none" w:sz="0" w:space="0" w:color="auto"/>
                <w:bottom w:val="none" w:sz="0" w:space="0" w:color="auto"/>
                <w:right w:val="none" w:sz="0" w:space="0" w:color="auto"/>
              </w:divBdr>
            </w:div>
          </w:divsChild>
        </w:div>
        <w:div w:id="660472132">
          <w:marLeft w:val="0"/>
          <w:marRight w:val="0"/>
          <w:marTop w:val="0"/>
          <w:marBottom w:val="0"/>
          <w:divBdr>
            <w:top w:val="none" w:sz="0" w:space="0" w:color="auto"/>
            <w:left w:val="none" w:sz="0" w:space="0" w:color="auto"/>
            <w:bottom w:val="none" w:sz="0" w:space="0" w:color="auto"/>
            <w:right w:val="none" w:sz="0" w:space="0" w:color="auto"/>
          </w:divBdr>
          <w:divsChild>
            <w:div w:id="1947081200">
              <w:marLeft w:val="0"/>
              <w:marRight w:val="0"/>
              <w:marTop w:val="0"/>
              <w:marBottom w:val="0"/>
              <w:divBdr>
                <w:top w:val="none" w:sz="0" w:space="0" w:color="auto"/>
                <w:left w:val="none" w:sz="0" w:space="0" w:color="auto"/>
                <w:bottom w:val="none" w:sz="0" w:space="0" w:color="auto"/>
                <w:right w:val="none" w:sz="0" w:space="0" w:color="auto"/>
              </w:divBdr>
            </w:div>
          </w:divsChild>
        </w:div>
        <w:div w:id="661857707">
          <w:marLeft w:val="0"/>
          <w:marRight w:val="0"/>
          <w:marTop w:val="0"/>
          <w:marBottom w:val="0"/>
          <w:divBdr>
            <w:top w:val="none" w:sz="0" w:space="0" w:color="auto"/>
            <w:left w:val="none" w:sz="0" w:space="0" w:color="auto"/>
            <w:bottom w:val="none" w:sz="0" w:space="0" w:color="auto"/>
            <w:right w:val="none" w:sz="0" w:space="0" w:color="auto"/>
          </w:divBdr>
          <w:divsChild>
            <w:div w:id="846751395">
              <w:marLeft w:val="0"/>
              <w:marRight w:val="0"/>
              <w:marTop w:val="0"/>
              <w:marBottom w:val="0"/>
              <w:divBdr>
                <w:top w:val="none" w:sz="0" w:space="0" w:color="auto"/>
                <w:left w:val="none" w:sz="0" w:space="0" w:color="auto"/>
                <w:bottom w:val="none" w:sz="0" w:space="0" w:color="auto"/>
                <w:right w:val="none" w:sz="0" w:space="0" w:color="auto"/>
              </w:divBdr>
            </w:div>
          </w:divsChild>
        </w:div>
        <w:div w:id="665523483">
          <w:marLeft w:val="0"/>
          <w:marRight w:val="0"/>
          <w:marTop w:val="0"/>
          <w:marBottom w:val="0"/>
          <w:divBdr>
            <w:top w:val="none" w:sz="0" w:space="0" w:color="auto"/>
            <w:left w:val="none" w:sz="0" w:space="0" w:color="auto"/>
            <w:bottom w:val="none" w:sz="0" w:space="0" w:color="auto"/>
            <w:right w:val="none" w:sz="0" w:space="0" w:color="auto"/>
          </w:divBdr>
          <w:divsChild>
            <w:div w:id="471145034">
              <w:marLeft w:val="0"/>
              <w:marRight w:val="0"/>
              <w:marTop w:val="0"/>
              <w:marBottom w:val="0"/>
              <w:divBdr>
                <w:top w:val="none" w:sz="0" w:space="0" w:color="auto"/>
                <w:left w:val="none" w:sz="0" w:space="0" w:color="auto"/>
                <w:bottom w:val="none" w:sz="0" w:space="0" w:color="auto"/>
                <w:right w:val="none" w:sz="0" w:space="0" w:color="auto"/>
              </w:divBdr>
            </w:div>
          </w:divsChild>
        </w:div>
        <w:div w:id="665980123">
          <w:marLeft w:val="0"/>
          <w:marRight w:val="0"/>
          <w:marTop w:val="0"/>
          <w:marBottom w:val="0"/>
          <w:divBdr>
            <w:top w:val="none" w:sz="0" w:space="0" w:color="auto"/>
            <w:left w:val="none" w:sz="0" w:space="0" w:color="auto"/>
            <w:bottom w:val="none" w:sz="0" w:space="0" w:color="auto"/>
            <w:right w:val="none" w:sz="0" w:space="0" w:color="auto"/>
          </w:divBdr>
          <w:divsChild>
            <w:div w:id="1796438432">
              <w:marLeft w:val="0"/>
              <w:marRight w:val="0"/>
              <w:marTop w:val="0"/>
              <w:marBottom w:val="0"/>
              <w:divBdr>
                <w:top w:val="none" w:sz="0" w:space="0" w:color="auto"/>
                <w:left w:val="none" w:sz="0" w:space="0" w:color="auto"/>
                <w:bottom w:val="none" w:sz="0" w:space="0" w:color="auto"/>
                <w:right w:val="none" w:sz="0" w:space="0" w:color="auto"/>
              </w:divBdr>
            </w:div>
          </w:divsChild>
        </w:div>
        <w:div w:id="667833415">
          <w:marLeft w:val="0"/>
          <w:marRight w:val="0"/>
          <w:marTop w:val="0"/>
          <w:marBottom w:val="0"/>
          <w:divBdr>
            <w:top w:val="none" w:sz="0" w:space="0" w:color="auto"/>
            <w:left w:val="none" w:sz="0" w:space="0" w:color="auto"/>
            <w:bottom w:val="none" w:sz="0" w:space="0" w:color="auto"/>
            <w:right w:val="none" w:sz="0" w:space="0" w:color="auto"/>
          </w:divBdr>
          <w:divsChild>
            <w:div w:id="1015040330">
              <w:marLeft w:val="0"/>
              <w:marRight w:val="0"/>
              <w:marTop w:val="0"/>
              <w:marBottom w:val="0"/>
              <w:divBdr>
                <w:top w:val="none" w:sz="0" w:space="0" w:color="auto"/>
                <w:left w:val="none" w:sz="0" w:space="0" w:color="auto"/>
                <w:bottom w:val="none" w:sz="0" w:space="0" w:color="auto"/>
                <w:right w:val="none" w:sz="0" w:space="0" w:color="auto"/>
              </w:divBdr>
            </w:div>
          </w:divsChild>
        </w:div>
        <w:div w:id="667903596">
          <w:marLeft w:val="0"/>
          <w:marRight w:val="0"/>
          <w:marTop w:val="0"/>
          <w:marBottom w:val="0"/>
          <w:divBdr>
            <w:top w:val="none" w:sz="0" w:space="0" w:color="auto"/>
            <w:left w:val="none" w:sz="0" w:space="0" w:color="auto"/>
            <w:bottom w:val="none" w:sz="0" w:space="0" w:color="auto"/>
            <w:right w:val="none" w:sz="0" w:space="0" w:color="auto"/>
          </w:divBdr>
          <w:divsChild>
            <w:div w:id="809127495">
              <w:marLeft w:val="0"/>
              <w:marRight w:val="0"/>
              <w:marTop w:val="0"/>
              <w:marBottom w:val="0"/>
              <w:divBdr>
                <w:top w:val="none" w:sz="0" w:space="0" w:color="auto"/>
                <w:left w:val="none" w:sz="0" w:space="0" w:color="auto"/>
                <w:bottom w:val="none" w:sz="0" w:space="0" w:color="auto"/>
                <w:right w:val="none" w:sz="0" w:space="0" w:color="auto"/>
              </w:divBdr>
            </w:div>
          </w:divsChild>
        </w:div>
        <w:div w:id="668220372">
          <w:marLeft w:val="0"/>
          <w:marRight w:val="0"/>
          <w:marTop w:val="0"/>
          <w:marBottom w:val="0"/>
          <w:divBdr>
            <w:top w:val="none" w:sz="0" w:space="0" w:color="auto"/>
            <w:left w:val="none" w:sz="0" w:space="0" w:color="auto"/>
            <w:bottom w:val="none" w:sz="0" w:space="0" w:color="auto"/>
            <w:right w:val="none" w:sz="0" w:space="0" w:color="auto"/>
          </w:divBdr>
          <w:divsChild>
            <w:div w:id="706763026">
              <w:marLeft w:val="0"/>
              <w:marRight w:val="0"/>
              <w:marTop w:val="0"/>
              <w:marBottom w:val="0"/>
              <w:divBdr>
                <w:top w:val="none" w:sz="0" w:space="0" w:color="auto"/>
                <w:left w:val="none" w:sz="0" w:space="0" w:color="auto"/>
                <w:bottom w:val="none" w:sz="0" w:space="0" w:color="auto"/>
                <w:right w:val="none" w:sz="0" w:space="0" w:color="auto"/>
              </w:divBdr>
            </w:div>
          </w:divsChild>
        </w:div>
        <w:div w:id="668555619">
          <w:marLeft w:val="0"/>
          <w:marRight w:val="0"/>
          <w:marTop w:val="0"/>
          <w:marBottom w:val="0"/>
          <w:divBdr>
            <w:top w:val="none" w:sz="0" w:space="0" w:color="auto"/>
            <w:left w:val="none" w:sz="0" w:space="0" w:color="auto"/>
            <w:bottom w:val="none" w:sz="0" w:space="0" w:color="auto"/>
            <w:right w:val="none" w:sz="0" w:space="0" w:color="auto"/>
          </w:divBdr>
          <w:divsChild>
            <w:div w:id="1996833978">
              <w:marLeft w:val="0"/>
              <w:marRight w:val="0"/>
              <w:marTop w:val="0"/>
              <w:marBottom w:val="0"/>
              <w:divBdr>
                <w:top w:val="none" w:sz="0" w:space="0" w:color="auto"/>
                <w:left w:val="none" w:sz="0" w:space="0" w:color="auto"/>
                <w:bottom w:val="none" w:sz="0" w:space="0" w:color="auto"/>
                <w:right w:val="none" w:sz="0" w:space="0" w:color="auto"/>
              </w:divBdr>
            </w:div>
          </w:divsChild>
        </w:div>
        <w:div w:id="673149625">
          <w:marLeft w:val="0"/>
          <w:marRight w:val="0"/>
          <w:marTop w:val="0"/>
          <w:marBottom w:val="0"/>
          <w:divBdr>
            <w:top w:val="none" w:sz="0" w:space="0" w:color="auto"/>
            <w:left w:val="none" w:sz="0" w:space="0" w:color="auto"/>
            <w:bottom w:val="none" w:sz="0" w:space="0" w:color="auto"/>
            <w:right w:val="none" w:sz="0" w:space="0" w:color="auto"/>
          </w:divBdr>
          <w:divsChild>
            <w:div w:id="147676858">
              <w:marLeft w:val="0"/>
              <w:marRight w:val="0"/>
              <w:marTop w:val="0"/>
              <w:marBottom w:val="0"/>
              <w:divBdr>
                <w:top w:val="none" w:sz="0" w:space="0" w:color="auto"/>
                <w:left w:val="none" w:sz="0" w:space="0" w:color="auto"/>
                <w:bottom w:val="none" w:sz="0" w:space="0" w:color="auto"/>
                <w:right w:val="none" w:sz="0" w:space="0" w:color="auto"/>
              </w:divBdr>
            </w:div>
          </w:divsChild>
        </w:div>
        <w:div w:id="679550686">
          <w:marLeft w:val="0"/>
          <w:marRight w:val="0"/>
          <w:marTop w:val="0"/>
          <w:marBottom w:val="0"/>
          <w:divBdr>
            <w:top w:val="none" w:sz="0" w:space="0" w:color="auto"/>
            <w:left w:val="none" w:sz="0" w:space="0" w:color="auto"/>
            <w:bottom w:val="none" w:sz="0" w:space="0" w:color="auto"/>
            <w:right w:val="none" w:sz="0" w:space="0" w:color="auto"/>
          </w:divBdr>
          <w:divsChild>
            <w:div w:id="1801266723">
              <w:marLeft w:val="0"/>
              <w:marRight w:val="0"/>
              <w:marTop w:val="0"/>
              <w:marBottom w:val="0"/>
              <w:divBdr>
                <w:top w:val="none" w:sz="0" w:space="0" w:color="auto"/>
                <w:left w:val="none" w:sz="0" w:space="0" w:color="auto"/>
                <w:bottom w:val="none" w:sz="0" w:space="0" w:color="auto"/>
                <w:right w:val="none" w:sz="0" w:space="0" w:color="auto"/>
              </w:divBdr>
            </w:div>
          </w:divsChild>
        </w:div>
        <w:div w:id="681128688">
          <w:marLeft w:val="0"/>
          <w:marRight w:val="0"/>
          <w:marTop w:val="0"/>
          <w:marBottom w:val="0"/>
          <w:divBdr>
            <w:top w:val="none" w:sz="0" w:space="0" w:color="auto"/>
            <w:left w:val="none" w:sz="0" w:space="0" w:color="auto"/>
            <w:bottom w:val="none" w:sz="0" w:space="0" w:color="auto"/>
            <w:right w:val="none" w:sz="0" w:space="0" w:color="auto"/>
          </w:divBdr>
          <w:divsChild>
            <w:div w:id="671758357">
              <w:marLeft w:val="0"/>
              <w:marRight w:val="0"/>
              <w:marTop w:val="0"/>
              <w:marBottom w:val="0"/>
              <w:divBdr>
                <w:top w:val="none" w:sz="0" w:space="0" w:color="auto"/>
                <w:left w:val="none" w:sz="0" w:space="0" w:color="auto"/>
                <w:bottom w:val="none" w:sz="0" w:space="0" w:color="auto"/>
                <w:right w:val="none" w:sz="0" w:space="0" w:color="auto"/>
              </w:divBdr>
            </w:div>
          </w:divsChild>
        </w:div>
        <w:div w:id="681980659">
          <w:marLeft w:val="0"/>
          <w:marRight w:val="0"/>
          <w:marTop w:val="0"/>
          <w:marBottom w:val="0"/>
          <w:divBdr>
            <w:top w:val="none" w:sz="0" w:space="0" w:color="auto"/>
            <w:left w:val="none" w:sz="0" w:space="0" w:color="auto"/>
            <w:bottom w:val="none" w:sz="0" w:space="0" w:color="auto"/>
            <w:right w:val="none" w:sz="0" w:space="0" w:color="auto"/>
          </w:divBdr>
          <w:divsChild>
            <w:div w:id="1300962844">
              <w:marLeft w:val="0"/>
              <w:marRight w:val="0"/>
              <w:marTop w:val="0"/>
              <w:marBottom w:val="0"/>
              <w:divBdr>
                <w:top w:val="none" w:sz="0" w:space="0" w:color="auto"/>
                <w:left w:val="none" w:sz="0" w:space="0" w:color="auto"/>
                <w:bottom w:val="none" w:sz="0" w:space="0" w:color="auto"/>
                <w:right w:val="none" w:sz="0" w:space="0" w:color="auto"/>
              </w:divBdr>
            </w:div>
          </w:divsChild>
        </w:div>
        <w:div w:id="683869723">
          <w:marLeft w:val="0"/>
          <w:marRight w:val="0"/>
          <w:marTop w:val="0"/>
          <w:marBottom w:val="0"/>
          <w:divBdr>
            <w:top w:val="none" w:sz="0" w:space="0" w:color="auto"/>
            <w:left w:val="none" w:sz="0" w:space="0" w:color="auto"/>
            <w:bottom w:val="none" w:sz="0" w:space="0" w:color="auto"/>
            <w:right w:val="none" w:sz="0" w:space="0" w:color="auto"/>
          </w:divBdr>
          <w:divsChild>
            <w:div w:id="1946647278">
              <w:marLeft w:val="0"/>
              <w:marRight w:val="0"/>
              <w:marTop w:val="0"/>
              <w:marBottom w:val="0"/>
              <w:divBdr>
                <w:top w:val="none" w:sz="0" w:space="0" w:color="auto"/>
                <w:left w:val="none" w:sz="0" w:space="0" w:color="auto"/>
                <w:bottom w:val="none" w:sz="0" w:space="0" w:color="auto"/>
                <w:right w:val="none" w:sz="0" w:space="0" w:color="auto"/>
              </w:divBdr>
            </w:div>
          </w:divsChild>
        </w:div>
        <w:div w:id="690574594">
          <w:marLeft w:val="0"/>
          <w:marRight w:val="0"/>
          <w:marTop w:val="0"/>
          <w:marBottom w:val="0"/>
          <w:divBdr>
            <w:top w:val="none" w:sz="0" w:space="0" w:color="auto"/>
            <w:left w:val="none" w:sz="0" w:space="0" w:color="auto"/>
            <w:bottom w:val="none" w:sz="0" w:space="0" w:color="auto"/>
            <w:right w:val="none" w:sz="0" w:space="0" w:color="auto"/>
          </w:divBdr>
          <w:divsChild>
            <w:div w:id="1645771959">
              <w:marLeft w:val="0"/>
              <w:marRight w:val="0"/>
              <w:marTop w:val="0"/>
              <w:marBottom w:val="0"/>
              <w:divBdr>
                <w:top w:val="none" w:sz="0" w:space="0" w:color="auto"/>
                <w:left w:val="none" w:sz="0" w:space="0" w:color="auto"/>
                <w:bottom w:val="none" w:sz="0" w:space="0" w:color="auto"/>
                <w:right w:val="none" w:sz="0" w:space="0" w:color="auto"/>
              </w:divBdr>
            </w:div>
          </w:divsChild>
        </w:div>
        <w:div w:id="693774157">
          <w:marLeft w:val="0"/>
          <w:marRight w:val="0"/>
          <w:marTop w:val="0"/>
          <w:marBottom w:val="0"/>
          <w:divBdr>
            <w:top w:val="none" w:sz="0" w:space="0" w:color="auto"/>
            <w:left w:val="none" w:sz="0" w:space="0" w:color="auto"/>
            <w:bottom w:val="none" w:sz="0" w:space="0" w:color="auto"/>
            <w:right w:val="none" w:sz="0" w:space="0" w:color="auto"/>
          </w:divBdr>
          <w:divsChild>
            <w:div w:id="15930917">
              <w:marLeft w:val="0"/>
              <w:marRight w:val="0"/>
              <w:marTop w:val="0"/>
              <w:marBottom w:val="0"/>
              <w:divBdr>
                <w:top w:val="none" w:sz="0" w:space="0" w:color="auto"/>
                <w:left w:val="none" w:sz="0" w:space="0" w:color="auto"/>
                <w:bottom w:val="none" w:sz="0" w:space="0" w:color="auto"/>
                <w:right w:val="none" w:sz="0" w:space="0" w:color="auto"/>
              </w:divBdr>
            </w:div>
          </w:divsChild>
        </w:div>
        <w:div w:id="699016700">
          <w:marLeft w:val="0"/>
          <w:marRight w:val="0"/>
          <w:marTop w:val="0"/>
          <w:marBottom w:val="0"/>
          <w:divBdr>
            <w:top w:val="none" w:sz="0" w:space="0" w:color="auto"/>
            <w:left w:val="none" w:sz="0" w:space="0" w:color="auto"/>
            <w:bottom w:val="none" w:sz="0" w:space="0" w:color="auto"/>
            <w:right w:val="none" w:sz="0" w:space="0" w:color="auto"/>
          </w:divBdr>
          <w:divsChild>
            <w:div w:id="1607347728">
              <w:marLeft w:val="0"/>
              <w:marRight w:val="0"/>
              <w:marTop w:val="0"/>
              <w:marBottom w:val="0"/>
              <w:divBdr>
                <w:top w:val="none" w:sz="0" w:space="0" w:color="auto"/>
                <w:left w:val="none" w:sz="0" w:space="0" w:color="auto"/>
                <w:bottom w:val="none" w:sz="0" w:space="0" w:color="auto"/>
                <w:right w:val="none" w:sz="0" w:space="0" w:color="auto"/>
              </w:divBdr>
            </w:div>
          </w:divsChild>
        </w:div>
        <w:div w:id="700595464">
          <w:marLeft w:val="0"/>
          <w:marRight w:val="0"/>
          <w:marTop w:val="0"/>
          <w:marBottom w:val="0"/>
          <w:divBdr>
            <w:top w:val="none" w:sz="0" w:space="0" w:color="auto"/>
            <w:left w:val="none" w:sz="0" w:space="0" w:color="auto"/>
            <w:bottom w:val="none" w:sz="0" w:space="0" w:color="auto"/>
            <w:right w:val="none" w:sz="0" w:space="0" w:color="auto"/>
          </w:divBdr>
          <w:divsChild>
            <w:div w:id="1619678639">
              <w:marLeft w:val="0"/>
              <w:marRight w:val="0"/>
              <w:marTop w:val="0"/>
              <w:marBottom w:val="0"/>
              <w:divBdr>
                <w:top w:val="none" w:sz="0" w:space="0" w:color="auto"/>
                <w:left w:val="none" w:sz="0" w:space="0" w:color="auto"/>
                <w:bottom w:val="none" w:sz="0" w:space="0" w:color="auto"/>
                <w:right w:val="none" w:sz="0" w:space="0" w:color="auto"/>
              </w:divBdr>
            </w:div>
          </w:divsChild>
        </w:div>
        <w:div w:id="704251017">
          <w:marLeft w:val="0"/>
          <w:marRight w:val="0"/>
          <w:marTop w:val="0"/>
          <w:marBottom w:val="0"/>
          <w:divBdr>
            <w:top w:val="none" w:sz="0" w:space="0" w:color="auto"/>
            <w:left w:val="none" w:sz="0" w:space="0" w:color="auto"/>
            <w:bottom w:val="none" w:sz="0" w:space="0" w:color="auto"/>
            <w:right w:val="none" w:sz="0" w:space="0" w:color="auto"/>
          </w:divBdr>
          <w:divsChild>
            <w:div w:id="2062708114">
              <w:marLeft w:val="0"/>
              <w:marRight w:val="0"/>
              <w:marTop w:val="0"/>
              <w:marBottom w:val="0"/>
              <w:divBdr>
                <w:top w:val="none" w:sz="0" w:space="0" w:color="auto"/>
                <w:left w:val="none" w:sz="0" w:space="0" w:color="auto"/>
                <w:bottom w:val="none" w:sz="0" w:space="0" w:color="auto"/>
                <w:right w:val="none" w:sz="0" w:space="0" w:color="auto"/>
              </w:divBdr>
            </w:div>
          </w:divsChild>
        </w:div>
        <w:div w:id="708409580">
          <w:marLeft w:val="0"/>
          <w:marRight w:val="0"/>
          <w:marTop w:val="0"/>
          <w:marBottom w:val="0"/>
          <w:divBdr>
            <w:top w:val="none" w:sz="0" w:space="0" w:color="auto"/>
            <w:left w:val="none" w:sz="0" w:space="0" w:color="auto"/>
            <w:bottom w:val="none" w:sz="0" w:space="0" w:color="auto"/>
            <w:right w:val="none" w:sz="0" w:space="0" w:color="auto"/>
          </w:divBdr>
          <w:divsChild>
            <w:div w:id="2041858224">
              <w:marLeft w:val="0"/>
              <w:marRight w:val="0"/>
              <w:marTop w:val="0"/>
              <w:marBottom w:val="0"/>
              <w:divBdr>
                <w:top w:val="none" w:sz="0" w:space="0" w:color="auto"/>
                <w:left w:val="none" w:sz="0" w:space="0" w:color="auto"/>
                <w:bottom w:val="none" w:sz="0" w:space="0" w:color="auto"/>
                <w:right w:val="none" w:sz="0" w:space="0" w:color="auto"/>
              </w:divBdr>
            </w:div>
          </w:divsChild>
        </w:div>
        <w:div w:id="711921583">
          <w:marLeft w:val="0"/>
          <w:marRight w:val="0"/>
          <w:marTop w:val="0"/>
          <w:marBottom w:val="0"/>
          <w:divBdr>
            <w:top w:val="none" w:sz="0" w:space="0" w:color="auto"/>
            <w:left w:val="none" w:sz="0" w:space="0" w:color="auto"/>
            <w:bottom w:val="none" w:sz="0" w:space="0" w:color="auto"/>
            <w:right w:val="none" w:sz="0" w:space="0" w:color="auto"/>
          </w:divBdr>
          <w:divsChild>
            <w:div w:id="1730806205">
              <w:marLeft w:val="0"/>
              <w:marRight w:val="0"/>
              <w:marTop w:val="0"/>
              <w:marBottom w:val="0"/>
              <w:divBdr>
                <w:top w:val="none" w:sz="0" w:space="0" w:color="auto"/>
                <w:left w:val="none" w:sz="0" w:space="0" w:color="auto"/>
                <w:bottom w:val="none" w:sz="0" w:space="0" w:color="auto"/>
                <w:right w:val="none" w:sz="0" w:space="0" w:color="auto"/>
              </w:divBdr>
            </w:div>
          </w:divsChild>
        </w:div>
        <w:div w:id="716248624">
          <w:marLeft w:val="0"/>
          <w:marRight w:val="0"/>
          <w:marTop w:val="0"/>
          <w:marBottom w:val="0"/>
          <w:divBdr>
            <w:top w:val="none" w:sz="0" w:space="0" w:color="auto"/>
            <w:left w:val="none" w:sz="0" w:space="0" w:color="auto"/>
            <w:bottom w:val="none" w:sz="0" w:space="0" w:color="auto"/>
            <w:right w:val="none" w:sz="0" w:space="0" w:color="auto"/>
          </w:divBdr>
          <w:divsChild>
            <w:div w:id="1032608465">
              <w:marLeft w:val="0"/>
              <w:marRight w:val="0"/>
              <w:marTop w:val="0"/>
              <w:marBottom w:val="0"/>
              <w:divBdr>
                <w:top w:val="none" w:sz="0" w:space="0" w:color="auto"/>
                <w:left w:val="none" w:sz="0" w:space="0" w:color="auto"/>
                <w:bottom w:val="none" w:sz="0" w:space="0" w:color="auto"/>
                <w:right w:val="none" w:sz="0" w:space="0" w:color="auto"/>
              </w:divBdr>
            </w:div>
          </w:divsChild>
        </w:div>
        <w:div w:id="722027322">
          <w:marLeft w:val="0"/>
          <w:marRight w:val="0"/>
          <w:marTop w:val="0"/>
          <w:marBottom w:val="0"/>
          <w:divBdr>
            <w:top w:val="none" w:sz="0" w:space="0" w:color="auto"/>
            <w:left w:val="none" w:sz="0" w:space="0" w:color="auto"/>
            <w:bottom w:val="none" w:sz="0" w:space="0" w:color="auto"/>
            <w:right w:val="none" w:sz="0" w:space="0" w:color="auto"/>
          </w:divBdr>
          <w:divsChild>
            <w:div w:id="371273325">
              <w:marLeft w:val="0"/>
              <w:marRight w:val="0"/>
              <w:marTop w:val="0"/>
              <w:marBottom w:val="0"/>
              <w:divBdr>
                <w:top w:val="none" w:sz="0" w:space="0" w:color="auto"/>
                <w:left w:val="none" w:sz="0" w:space="0" w:color="auto"/>
                <w:bottom w:val="none" w:sz="0" w:space="0" w:color="auto"/>
                <w:right w:val="none" w:sz="0" w:space="0" w:color="auto"/>
              </w:divBdr>
            </w:div>
          </w:divsChild>
        </w:div>
        <w:div w:id="723022597">
          <w:marLeft w:val="0"/>
          <w:marRight w:val="0"/>
          <w:marTop w:val="0"/>
          <w:marBottom w:val="0"/>
          <w:divBdr>
            <w:top w:val="none" w:sz="0" w:space="0" w:color="auto"/>
            <w:left w:val="none" w:sz="0" w:space="0" w:color="auto"/>
            <w:bottom w:val="none" w:sz="0" w:space="0" w:color="auto"/>
            <w:right w:val="none" w:sz="0" w:space="0" w:color="auto"/>
          </w:divBdr>
          <w:divsChild>
            <w:div w:id="1299796912">
              <w:marLeft w:val="0"/>
              <w:marRight w:val="0"/>
              <w:marTop w:val="0"/>
              <w:marBottom w:val="0"/>
              <w:divBdr>
                <w:top w:val="none" w:sz="0" w:space="0" w:color="auto"/>
                <w:left w:val="none" w:sz="0" w:space="0" w:color="auto"/>
                <w:bottom w:val="none" w:sz="0" w:space="0" w:color="auto"/>
                <w:right w:val="none" w:sz="0" w:space="0" w:color="auto"/>
              </w:divBdr>
            </w:div>
          </w:divsChild>
        </w:div>
        <w:div w:id="724180490">
          <w:marLeft w:val="0"/>
          <w:marRight w:val="0"/>
          <w:marTop w:val="0"/>
          <w:marBottom w:val="0"/>
          <w:divBdr>
            <w:top w:val="none" w:sz="0" w:space="0" w:color="auto"/>
            <w:left w:val="none" w:sz="0" w:space="0" w:color="auto"/>
            <w:bottom w:val="none" w:sz="0" w:space="0" w:color="auto"/>
            <w:right w:val="none" w:sz="0" w:space="0" w:color="auto"/>
          </w:divBdr>
          <w:divsChild>
            <w:div w:id="1712684612">
              <w:marLeft w:val="0"/>
              <w:marRight w:val="0"/>
              <w:marTop w:val="0"/>
              <w:marBottom w:val="0"/>
              <w:divBdr>
                <w:top w:val="none" w:sz="0" w:space="0" w:color="auto"/>
                <w:left w:val="none" w:sz="0" w:space="0" w:color="auto"/>
                <w:bottom w:val="none" w:sz="0" w:space="0" w:color="auto"/>
                <w:right w:val="none" w:sz="0" w:space="0" w:color="auto"/>
              </w:divBdr>
            </w:div>
          </w:divsChild>
        </w:div>
        <w:div w:id="724529166">
          <w:marLeft w:val="0"/>
          <w:marRight w:val="0"/>
          <w:marTop w:val="0"/>
          <w:marBottom w:val="0"/>
          <w:divBdr>
            <w:top w:val="none" w:sz="0" w:space="0" w:color="auto"/>
            <w:left w:val="none" w:sz="0" w:space="0" w:color="auto"/>
            <w:bottom w:val="none" w:sz="0" w:space="0" w:color="auto"/>
            <w:right w:val="none" w:sz="0" w:space="0" w:color="auto"/>
          </w:divBdr>
          <w:divsChild>
            <w:div w:id="598952803">
              <w:marLeft w:val="0"/>
              <w:marRight w:val="0"/>
              <w:marTop w:val="0"/>
              <w:marBottom w:val="0"/>
              <w:divBdr>
                <w:top w:val="none" w:sz="0" w:space="0" w:color="auto"/>
                <w:left w:val="none" w:sz="0" w:space="0" w:color="auto"/>
                <w:bottom w:val="none" w:sz="0" w:space="0" w:color="auto"/>
                <w:right w:val="none" w:sz="0" w:space="0" w:color="auto"/>
              </w:divBdr>
            </w:div>
          </w:divsChild>
        </w:div>
        <w:div w:id="725572933">
          <w:marLeft w:val="0"/>
          <w:marRight w:val="0"/>
          <w:marTop w:val="0"/>
          <w:marBottom w:val="0"/>
          <w:divBdr>
            <w:top w:val="none" w:sz="0" w:space="0" w:color="auto"/>
            <w:left w:val="none" w:sz="0" w:space="0" w:color="auto"/>
            <w:bottom w:val="none" w:sz="0" w:space="0" w:color="auto"/>
            <w:right w:val="none" w:sz="0" w:space="0" w:color="auto"/>
          </w:divBdr>
          <w:divsChild>
            <w:div w:id="779489325">
              <w:marLeft w:val="0"/>
              <w:marRight w:val="0"/>
              <w:marTop w:val="0"/>
              <w:marBottom w:val="0"/>
              <w:divBdr>
                <w:top w:val="none" w:sz="0" w:space="0" w:color="auto"/>
                <w:left w:val="none" w:sz="0" w:space="0" w:color="auto"/>
                <w:bottom w:val="none" w:sz="0" w:space="0" w:color="auto"/>
                <w:right w:val="none" w:sz="0" w:space="0" w:color="auto"/>
              </w:divBdr>
            </w:div>
          </w:divsChild>
        </w:div>
        <w:div w:id="725681321">
          <w:marLeft w:val="0"/>
          <w:marRight w:val="0"/>
          <w:marTop w:val="0"/>
          <w:marBottom w:val="0"/>
          <w:divBdr>
            <w:top w:val="none" w:sz="0" w:space="0" w:color="auto"/>
            <w:left w:val="none" w:sz="0" w:space="0" w:color="auto"/>
            <w:bottom w:val="none" w:sz="0" w:space="0" w:color="auto"/>
            <w:right w:val="none" w:sz="0" w:space="0" w:color="auto"/>
          </w:divBdr>
          <w:divsChild>
            <w:div w:id="1436825775">
              <w:marLeft w:val="0"/>
              <w:marRight w:val="0"/>
              <w:marTop w:val="0"/>
              <w:marBottom w:val="0"/>
              <w:divBdr>
                <w:top w:val="none" w:sz="0" w:space="0" w:color="auto"/>
                <w:left w:val="none" w:sz="0" w:space="0" w:color="auto"/>
                <w:bottom w:val="none" w:sz="0" w:space="0" w:color="auto"/>
                <w:right w:val="none" w:sz="0" w:space="0" w:color="auto"/>
              </w:divBdr>
            </w:div>
          </w:divsChild>
        </w:div>
        <w:div w:id="726340629">
          <w:marLeft w:val="0"/>
          <w:marRight w:val="0"/>
          <w:marTop w:val="0"/>
          <w:marBottom w:val="0"/>
          <w:divBdr>
            <w:top w:val="none" w:sz="0" w:space="0" w:color="auto"/>
            <w:left w:val="none" w:sz="0" w:space="0" w:color="auto"/>
            <w:bottom w:val="none" w:sz="0" w:space="0" w:color="auto"/>
            <w:right w:val="none" w:sz="0" w:space="0" w:color="auto"/>
          </w:divBdr>
          <w:divsChild>
            <w:div w:id="372577759">
              <w:marLeft w:val="0"/>
              <w:marRight w:val="0"/>
              <w:marTop w:val="0"/>
              <w:marBottom w:val="0"/>
              <w:divBdr>
                <w:top w:val="none" w:sz="0" w:space="0" w:color="auto"/>
                <w:left w:val="none" w:sz="0" w:space="0" w:color="auto"/>
                <w:bottom w:val="none" w:sz="0" w:space="0" w:color="auto"/>
                <w:right w:val="none" w:sz="0" w:space="0" w:color="auto"/>
              </w:divBdr>
            </w:div>
          </w:divsChild>
        </w:div>
        <w:div w:id="726415072">
          <w:marLeft w:val="0"/>
          <w:marRight w:val="0"/>
          <w:marTop w:val="0"/>
          <w:marBottom w:val="0"/>
          <w:divBdr>
            <w:top w:val="none" w:sz="0" w:space="0" w:color="auto"/>
            <w:left w:val="none" w:sz="0" w:space="0" w:color="auto"/>
            <w:bottom w:val="none" w:sz="0" w:space="0" w:color="auto"/>
            <w:right w:val="none" w:sz="0" w:space="0" w:color="auto"/>
          </w:divBdr>
          <w:divsChild>
            <w:div w:id="1426920607">
              <w:marLeft w:val="0"/>
              <w:marRight w:val="0"/>
              <w:marTop w:val="0"/>
              <w:marBottom w:val="0"/>
              <w:divBdr>
                <w:top w:val="none" w:sz="0" w:space="0" w:color="auto"/>
                <w:left w:val="none" w:sz="0" w:space="0" w:color="auto"/>
                <w:bottom w:val="none" w:sz="0" w:space="0" w:color="auto"/>
                <w:right w:val="none" w:sz="0" w:space="0" w:color="auto"/>
              </w:divBdr>
            </w:div>
          </w:divsChild>
        </w:div>
        <w:div w:id="727261789">
          <w:marLeft w:val="0"/>
          <w:marRight w:val="0"/>
          <w:marTop w:val="0"/>
          <w:marBottom w:val="0"/>
          <w:divBdr>
            <w:top w:val="none" w:sz="0" w:space="0" w:color="auto"/>
            <w:left w:val="none" w:sz="0" w:space="0" w:color="auto"/>
            <w:bottom w:val="none" w:sz="0" w:space="0" w:color="auto"/>
            <w:right w:val="none" w:sz="0" w:space="0" w:color="auto"/>
          </w:divBdr>
          <w:divsChild>
            <w:div w:id="1068265441">
              <w:marLeft w:val="0"/>
              <w:marRight w:val="0"/>
              <w:marTop w:val="0"/>
              <w:marBottom w:val="0"/>
              <w:divBdr>
                <w:top w:val="none" w:sz="0" w:space="0" w:color="auto"/>
                <w:left w:val="none" w:sz="0" w:space="0" w:color="auto"/>
                <w:bottom w:val="none" w:sz="0" w:space="0" w:color="auto"/>
                <w:right w:val="none" w:sz="0" w:space="0" w:color="auto"/>
              </w:divBdr>
            </w:div>
          </w:divsChild>
        </w:div>
        <w:div w:id="727647744">
          <w:marLeft w:val="0"/>
          <w:marRight w:val="0"/>
          <w:marTop w:val="0"/>
          <w:marBottom w:val="0"/>
          <w:divBdr>
            <w:top w:val="none" w:sz="0" w:space="0" w:color="auto"/>
            <w:left w:val="none" w:sz="0" w:space="0" w:color="auto"/>
            <w:bottom w:val="none" w:sz="0" w:space="0" w:color="auto"/>
            <w:right w:val="none" w:sz="0" w:space="0" w:color="auto"/>
          </w:divBdr>
          <w:divsChild>
            <w:div w:id="771708955">
              <w:marLeft w:val="0"/>
              <w:marRight w:val="0"/>
              <w:marTop w:val="0"/>
              <w:marBottom w:val="0"/>
              <w:divBdr>
                <w:top w:val="none" w:sz="0" w:space="0" w:color="auto"/>
                <w:left w:val="none" w:sz="0" w:space="0" w:color="auto"/>
                <w:bottom w:val="none" w:sz="0" w:space="0" w:color="auto"/>
                <w:right w:val="none" w:sz="0" w:space="0" w:color="auto"/>
              </w:divBdr>
            </w:div>
          </w:divsChild>
        </w:div>
        <w:div w:id="727798425">
          <w:marLeft w:val="0"/>
          <w:marRight w:val="0"/>
          <w:marTop w:val="0"/>
          <w:marBottom w:val="0"/>
          <w:divBdr>
            <w:top w:val="none" w:sz="0" w:space="0" w:color="auto"/>
            <w:left w:val="none" w:sz="0" w:space="0" w:color="auto"/>
            <w:bottom w:val="none" w:sz="0" w:space="0" w:color="auto"/>
            <w:right w:val="none" w:sz="0" w:space="0" w:color="auto"/>
          </w:divBdr>
          <w:divsChild>
            <w:div w:id="2029912195">
              <w:marLeft w:val="0"/>
              <w:marRight w:val="0"/>
              <w:marTop w:val="0"/>
              <w:marBottom w:val="0"/>
              <w:divBdr>
                <w:top w:val="none" w:sz="0" w:space="0" w:color="auto"/>
                <w:left w:val="none" w:sz="0" w:space="0" w:color="auto"/>
                <w:bottom w:val="none" w:sz="0" w:space="0" w:color="auto"/>
                <w:right w:val="none" w:sz="0" w:space="0" w:color="auto"/>
              </w:divBdr>
            </w:div>
          </w:divsChild>
        </w:div>
        <w:div w:id="729158902">
          <w:marLeft w:val="0"/>
          <w:marRight w:val="0"/>
          <w:marTop w:val="0"/>
          <w:marBottom w:val="0"/>
          <w:divBdr>
            <w:top w:val="none" w:sz="0" w:space="0" w:color="auto"/>
            <w:left w:val="none" w:sz="0" w:space="0" w:color="auto"/>
            <w:bottom w:val="none" w:sz="0" w:space="0" w:color="auto"/>
            <w:right w:val="none" w:sz="0" w:space="0" w:color="auto"/>
          </w:divBdr>
          <w:divsChild>
            <w:div w:id="738552657">
              <w:marLeft w:val="0"/>
              <w:marRight w:val="0"/>
              <w:marTop w:val="0"/>
              <w:marBottom w:val="0"/>
              <w:divBdr>
                <w:top w:val="none" w:sz="0" w:space="0" w:color="auto"/>
                <w:left w:val="none" w:sz="0" w:space="0" w:color="auto"/>
                <w:bottom w:val="none" w:sz="0" w:space="0" w:color="auto"/>
                <w:right w:val="none" w:sz="0" w:space="0" w:color="auto"/>
              </w:divBdr>
            </w:div>
          </w:divsChild>
        </w:div>
        <w:div w:id="729428353">
          <w:marLeft w:val="0"/>
          <w:marRight w:val="0"/>
          <w:marTop w:val="0"/>
          <w:marBottom w:val="0"/>
          <w:divBdr>
            <w:top w:val="none" w:sz="0" w:space="0" w:color="auto"/>
            <w:left w:val="none" w:sz="0" w:space="0" w:color="auto"/>
            <w:bottom w:val="none" w:sz="0" w:space="0" w:color="auto"/>
            <w:right w:val="none" w:sz="0" w:space="0" w:color="auto"/>
          </w:divBdr>
          <w:divsChild>
            <w:div w:id="1876313467">
              <w:marLeft w:val="0"/>
              <w:marRight w:val="0"/>
              <w:marTop w:val="0"/>
              <w:marBottom w:val="0"/>
              <w:divBdr>
                <w:top w:val="none" w:sz="0" w:space="0" w:color="auto"/>
                <w:left w:val="none" w:sz="0" w:space="0" w:color="auto"/>
                <w:bottom w:val="none" w:sz="0" w:space="0" w:color="auto"/>
                <w:right w:val="none" w:sz="0" w:space="0" w:color="auto"/>
              </w:divBdr>
            </w:div>
          </w:divsChild>
        </w:div>
        <w:div w:id="734620905">
          <w:marLeft w:val="0"/>
          <w:marRight w:val="0"/>
          <w:marTop w:val="0"/>
          <w:marBottom w:val="0"/>
          <w:divBdr>
            <w:top w:val="none" w:sz="0" w:space="0" w:color="auto"/>
            <w:left w:val="none" w:sz="0" w:space="0" w:color="auto"/>
            <w:bottom w:val="none" w:sz="0" w:space="0" w:color="auto"/>
            <w:right w:val="none" w:sz="0" w:space="0" w:color="auto"/>
          </w:divBdr>
          <w:divsChild>
            <w:div w:id="2033140401">
              <w:marLeft w:val="0"/>
              <w:marRight w:val="0"/>
              <w:marTop w:val="0"/>
              <w:marBottom w:val="0"/>
              <w:divBdr>
                <w:top w:val="none" w:sz="0" w:space="0" w:color="auto"/>
                <w:left w:val="none" w:sz="0" w:space="0" w:color="auto"/>
                <w:bottom w:val="none" w:sz="0" w:space="0" w:color="auto"/>
                <w:right w:val="none" w:sz="0" w:space="0" w:color="auto"/>
              </w:divBdr>
            </w:div>
          </w:divsChild>
        </w:div>
        <w:div w:id="737825193">
          <w:marLeft w:val="0"/>
          <w:marRight w:val="0"/>
          <w:marTop w:val="0"/>
          <w:marBottom w:val="0"/>
          <w:divBdr>
            <w:top w:val="none" w:sz="0" w:space="0" w:color="auto"/>
            <w:left w:val="none" w:sz="0" w:space="0" w:color="auto"/>
            <w:bottom w:val="none" w:sz="0" w:space="0" w:color="auto"/>
            <w:right w:val="none" w:sz="0" w:space="0" w:color="auto"/>
          </w:divBdr>
          <w:divsChild>
            <w:div w:id="1189416041">
              <w:marLeft w:val="0"/>
              <w:marRight w:val="0"/>
              <w:marTop w:val="0"/>
              <w:marBottom w:val="0"/>
              <w:divBdr>
                <w:top w:val="none" w:sz="0" w:space="0" w:color="auto"/>
                <w:left w:val="none" w:sz="0" w:space="0" w:color="auto"/>
                <w:bottom w:val="none" w:sz="0" w:space="0" w:color="auto"/>
                <w:right w:val="none" w:sz="0" w:space="0" w:color="auto"/>
              </w:divBdr>
            </w:div>
          </w:divsChild>
        </w:div>
        <w:div w:id="742527234">
          <w:marLeft w:val="0"/>
          <w:marRight w:val="0"/>
          <w:marTop w:val="0"/>
          <w:marBottom w:val="0"/>
          <w:divBdr>
            <w:top w:val="none" w:sz="0" w:space="0" w:color="auto"/>
            <w:left w:val="none" w:sz="0" w:space="0" w:color="auto"/>
            <w:bottom w:val="none" w:sz="0" w:space="0" w:color="auto"/>
            <w:right w:val="none" w:sz="0" w:space="0" w:color="auto"/>
          </w:divBdr>
          <w:divsChild>
            <w:div w:id="1672445808">
              <w:marLeft w:val="0"/>
              <w:marRight w:val="0"/>
              <w:marTop w:val="0"/>
              <w:marBottom w:val="0"/>
              <w:divBdr>
                <w:top w:val="none" w:sz="0" w:space="0" w:color="auto"/>
                <w:left w:val="none" w:sz="0" w:space="0" w:color="auto"/>
                <w:bottom w:val="none" w:sz="0" w:space="0" w:color="auto"/>
                <w:right w:val="none" w:sz="0" w:space="0" w:color="auto"/>
              </w:divBdr>
            </w:div>
          </w:divsChild>
        </w:div>
        <w:div w:id="742721168">
          <w:marLeft w:val="0"/>
          <w:marRight w:val="0"/>
          <w:marTop w:val="0"/>
          <w:marBottom w:val="0"/>
          <w:divBdr>
            <w:top w:val="none" w:sz="0" w:space="0" w:color="auto"/>
            <w:left w:val="none" w:sz="0" w:space="0" w:color="auto"/>
            <w:bottom w:val="none" w:sz="0" w:space="0" w:color="auto"/>
            <w:right w:val="none" w:sz="0" w:space="0" w:color="auto"/>
          </w:divBdr>
          <w:divsChild>
            <w:div w:id="1729500189">
              <w:marLeft w:val="0"/>
              <w:marRight w:val="0"/>
              <w:marTop w:val="0"/>
              <w:marBottom w:val="0"/>
              <w:divBdr>
                <w:top w:val="none" w:sz="0" w:space="0" w:color="auto"/>
                <w:left w:val="none" w:sz="0" w:space="0" w:color="auto"/>
                <w:bottom w:val="none" w:sz="0" w:space="0" w:color="auto"/>
                <w:right w:val="none" w:sz="0" w:space="0" w:color="auto"/>
              </w:divBdr>
            </w:div>
          </w:divsChild>
        </w:div>
        <w:div w:id="743533145">
          <w:marLeft w:val="0"/>
          <w:marRight w:val="0"/>
          <w:marTop w:val="0"/>
          <w:marBottom w:val="0"/>
          <w:divBdr>
            <w:top w:val="none" w:sz="0" w:space="0" w:color="auto"/>
            <w:left w:val="none" w:sz="0" w:space="0" w:color="auto"/>
            <w:bottom w:val="none" w:sz="0" w:space="0" w:color="auto"/>
            <w:right w:val="none" w:sz="0" w:space="0" w:color="auto"/>
          </w:divBdr>
          <w:divsChild>
            <w:div w:id="124084772">
              <w:marLeft w:val="0"/>
              <w:marRight w:val="0"/>
              <w:marTop w:val="0"/>
              <w:marBottom w:val="0"/>
              <w:divBdr>
                <w:top w:val="none" w:sz="0" w:space="0" w:color="auto"/>
                <w:left w:val="none" w:sz="0" w:space="0" w:color="auto"/>
                <w:bottom w:val="none" w:sz="0" w:space="0" w:color="auto"/>
                <w:right w:val="none" w:sz="0" w:space="0" w:color="auto"/>
              </w:divBdr>
            </w:div>
          </w:divsChild>
        </w:div>
        <w:div w:id="744962067">
          <w:marLeft w:val="0"/>
          <w:marRight w:val="0"/>
          <w:marTop w:val="0"/>
          <w:marBottom w:val="0"/>
          <w:divBdr>
            <w:top w:val="none" w:sz="0" w:space="0" w:color="auto"/>
            <w:left w:val="none" w:sz="0" w:space="0" w:color="auto"/>
            <w:bottom w:val="none" w:sz="0" w:space="0" w:color="auto"/>
            <w:right w:val="none" w:sz="0" w:space="0" w:color="auto"/>
          </w:divBdr>
          <w:divsChild>
            <w:div w:id="890462022">
              <w:marLeft w:val="0"/>
              <w:marRight w:val="0"/>
              <w:marTop w:val="0"/>
              <w:marBottom w:val="0"/>
              <w:divBdr>
                <w:top w:val="none" w:sz="0" w:space="0" w:color="auto"/>
                <w:left w:val="none" w:sz="0" w:space="0" w:color="auto"/>
                <w:bottom w:val="none" w:sz="0" w:space="0" w:color="auto"/>
                <w:right w:val="none" w:sz="0" w:space="0" w:color="auto"/>
              </w:divBdr>
            </w:div>
          </w:divsChild>
        </w:div>
        <w:div w:id="746415530">
          <w:marLeft w:val="0"/>
          <w:marRight w:val="0"/>
          <w:marTop w:val="0"/>
          <w:marBottom w:val="0"/>
          <w:divBdr>
            <w:top w:val="none" w:sz="0" w:space="0" w:color="auto"/>
            <w:left w:val="none" w:sz="0" w:space="0" w:color="auto"/>
            <w:bottom w:val="none" w:sz="0" w:space="0" w:color="auto"/>
            <w:right w:val="none" w:sz="0" w:space="0" w:color="auto"/>
          </w:divBdr>
          <w:divsChild>
            <w:div w:id="38289303">
              <w:marLeft w:val="0"/>
              <w:marRight w:val="0"/>
              <w:marTop w:val="0"/>
              <w:marBottom w:val="0"/>
              <w:divBdr>
                <w:top w:val="none" w:sz="0" w:space="0" w:color="auto"/>
                <w:left w:val="none" w:sz="0" w:space="0" w:color="auto"/>
                <w:bottom w:val="none" w:sz="0" w:space="0" w:color="auto"/>
                <w:right w:val="none" w:sz="0" w:space="0" w:color="auto"/>
              </w:divBdr>
            </w:div>
          </w:divsChild>
        </w:div>
        <w:div w:id="748112635">
          <w:marLeft w:val="0"/>
          <w:marRight w:val="0"/>
          <w:marTop w:val="0"/>
          <w:marBottom w:val="0"/>
          <w:divBdr>
            <w:top w:val="none" w:sz="0" w:space="0" w:color="auto"/>
            <w:left w:val="none" w:sz="0" w:space="0" w:color="auto"/>
            <w:bottom w:val="none" w:sz="0" w:space="0" w:color="auto"/>
            <w:right w:val="none" w:sz="0" w:space="0" w:color="auto"/>
          </w:divBdr>
          <w:divsChild>
            <w:div w:id="172451051">
              <w:marLeft w:val="0"/>
              <w:marRight w:val="0"/>
              <w:marTop w:val="0"/>
              <w:marBottom w:val="0"/>
              <w:divBdr>
                <w:top w:val="none" w:sz="0" w:space="0" w:color="auto"/>
                <w:left w:val="none" w:sz="0" w:space="0" w:color="auto"/>
                <w:bottom w:val="none" w:sz="0" w:space="0" w:color="auto"/>
                <w:right w:val="none" w:sz="0" w:space="0" w:color="auto"/>
              </w:divBdr>
            </w:div>
          </w:divsChild>
        </w:div>
        <w:div w:id="748965395">
          <w:marLeft w:val="0"/>
          <w:marRight w:val="0"/>
          <w:marTop w:val="0"/>
          <w:marBottom w:val="0"/>
          <w:divBdr>
            <w:top w:val="none" w:sz="0" w:space="0" w:color="auto"/>
            <w:left w:val="none" w:sz="0" w:space="0" w:color="auto"/>
            <w:bottom w:val="none" w:sz="0" w:space="0" w:color="auto"/>
            <w:right w:val="none" w:sz="0" w:space="0" w:color="auto"/>
          </w:divBdr>
          <w:divsChild>
            <w:div w:id="406461390">
              <w:marLeft w:val="0"/>
              <w:marRight w:val="0"/>
              <w:marTop w:val="0"/>
              <w:marBottom w:val="0"/>
              <w:divBdr>
                <w:top w:val="none" w:sz="0" w:space="0" w:color="auto"/>
                <w:left w:val="none" w:sz="0" w:space="0" w:color="auto"/>
                <w:bottom w:val="none" w:sz="0" w:space="0" w:color="auto"/>
                <w:right w:val="none" w:sz="0" w:space="0" w:color="auto"/>
              </w:divBdr>
            </w:div>
          </w:divsChild>
        </w:div>
        <w:div w:id="748967152">
          <w:marLeft w:val="0"/>
          <w:marRight w:val="0"/>
          <w:marTop w:val="0"/>
          <w:marBottom w:val="0"/>
          <w:divBdr>
            <w:top w:val="none" w:sz="0" w:space="0" w:color="auto"/>
            <w:left w:val="none" w:sz="0" w:space="0" w:color="auto"/>
            <w:bottom w:val="none" w:sz="0" w:space="0" w:color="auto"/>
            <w:right w:val="none" w:sz="0" w:space="0" w:color="auto"/>
          </w:divBdr>
          <w:divsChild>
            <w:div w:id="1236158920">
              <w:marLeft w:val="0"/>
              <w:marRight w:val="0"/>
              <w:marTop w:val="0"/>
              <w:marBottom w:val="0"/>
              <w:divBdr>
                <w:top w:val="none" w:sz="0" w:space="0" w:color="auto"/>
                <w:left w:val="none" w:sz="0" w:space="0" w:color="auto"/>
                <w:bottom w:val="none" w:sz="0" w:space="0" w:color="auto"/>
                <w:right w:val="none" w:sz="0" w:space="0" w:color="auto"/>
              </w:divBdr>
            </w:div>
          </w:divsChild>
        </w:div>
        <w:div w:id="752556869">
          <w:marLeft w:val="0"/>
          <w:marRight w:val="0"/>
          <w:marTop w:val="0"/>
          <w:marBottom w:val="0"/>
          <w:divBdr>
            <w:top w:val="none" w:sz="0" w:space="0" w:color="auto"/>
            <w:left w:val="none" w:sz="0" w:space="0" w:color="auto"/>
            <w:bottom w:val="none" w:sz="0" w:space="0" w:color="auto"/>
            <w:right w:val="none" w:sz="0" w:space="0" w:color="auto"/>
          </w:divBdr>
          <w:divsChild>
            <w:div w:id="1628656467">
              <w:marLeft w:val="0"/>
              <w:marRight w:val="0"/>
              <w:marTop w:val="0"/>
              <w:marBottom w:val="0"/>
              <w:divBdr>
                <w:top w:val="none" w:sz="0" w:space="0" w:color="auto"/>
                <w:left w:val="none" w:sz="0" w:space="0" w:color="auto"/>
                <w:bottom w:val="none" w:sz="0" w:space="0" w:color="auto"/>
                <w:right w:val="none" w:sz="0" w:space="0" w:color="auto"/>
              </w:divBdr>
            </w:div>
          </w:divsChild>
        </w:div>
        <w:div w:id="752629965">
          <w:marLeft w:val="0"/>
          <w:marRight w:val="0"/>
          <w:marTop w:val="0"/>
          <w:marBottom w:val="0"/>
          <w:divBdr>
            <w:top w:val="none" w:sz="0" w:space="0" w:color="auto"/>
            <w:left w:val="none" w:sz="0" w:space="0" w:color="auto"/>
            <w:bottom w:val="none" w:sz="0" w:space="0" w:color="auto"/>
            <w:right w:val="none" w:sz="0" w:space="0" w:color="auto"/>
          </w:divBdr>
          <w:divsChild>
            <w:div w:id="458646399">
              <w:marLeft w:val="0"/>
              <w:marRight w:val="0"/>
              <w:marTop w:val="0"/>
              <w:marBottom w:val="0"/>
              <w:divBdr>
                <w:top w:val="none" w:sz="0" w:space="0" w:color="auto"/>
                <w:left w:val="none" w:sz="0" w:space="0" w:color="auto"/>
                <w:bottom w:val="none" w:sz="0" w:space="0" w:color="auto"/>
                <w:right w:val="none" w:sz="0" w:space="0" w:color="auto"/>
              </w:divBdr>
            </w:div>
          </w:divsChild>
        </w:div>
        <w:div w:id="753748831">
          <w:marLeft w:val="0"/>
          <w:marRight w:val="0"/>
          <w:marTop w:val="0"/>
          <w:marBottom w:val="0"/>
          <w:divBdr>
            <w:top w:val="none" w:sz="0" w:space="0" w:color="auto"/>
            <w:left w:val="none" w:sz="0" w:space="0" w:color="auto"/>
            <w:bottom w:val="none" w:sz="0" w:space="0" w:color="auto"/>
            <w:right w:val="none" w:sz="0" w:space="0" w:color="auto"/>
          </w:divBdr>
          <w:divsChild>
            <w:div w:id="1472559130">
              <w:marLeft w:val="0"/>
              <w:marRight w:val="0"/>
              <w:marTop w:val="0"/>
              <w:marBottom w:val="0"/>
              <w:divBdr>
                <w:top w:val="none" w:sz="0" w:space="0" w:color="auto"/>
                <w:left w:val="none" w:sz="0" w:space="0" w:color="auto"/>
                <w:bottom w:val="none" w:sz="0" w:space="0" w:color="auto"/>
                <w:right w:val="none" w:sz="0" w:space="0" w:color="auto"/>
              </w:divBdr>
            </w:div>
          </w:divsChild>
        </w:div>
        <w:div w:id="754475946">
          <w:marLeft w:val="0"/>
          <w:marRight w:val="0"/>
          <w:marTop w:val="0"/>
          <w:marBottom w:val="0"/>
          <w:divBdr>
            <w:top w:val="none" w:sz="0" w:space="0" w:color="auto"/>
            <w:left w:val="none" w:sz="0" w:space="0" w:color="auto"/>
            <w:bottom w:val="none" w:sz="0" w:space="0" w:color="auto"/>
            <w:right w:val="none" w:sz="0" w:space="0" w:color="auto"/>
          </w:divBdr>
          <w:divsChild>
            <w:div w:id="1580557527">
              <w:marLeft w:val="0"/>
              <w:marRight w:val="0"/>
              <w:marTop w:val="0"/>
              <w:marBottom w:val="0"/>
              <w:divBdr>
                <w:top w:val="none" w:sz="0" w:space="0" w:color="auto"/>
                <w:left w:val="none" w:sz="0" w:space="0" w:color="auto"/>
                <w:bottom w:val="none" w:sz="0" w:space="0" w:color="auto"/>
                <w:right w:val="none" w:sz="0" w:space="0" w:color="auto"/>
              </w:divBdr>
            </w:div>
          </w:divsChild>
        </w:div>
        <w:div w:id="758597952">
          <w:marLeft w:val="0"/>
          <w:marRight w:val="0"/>
          <w:marTop w:val="0"/>
          <w:marBottom w:val="0"/>
          <w:divBdr>
            <w:top w:val="none" w:sz="0" w:space="0" w:color="auto"/>
            <w:left w:val="none" w:sz="0" w:space="0" w:color="auto"/>
            <w:bottom w:val="none" w:sz="0" w:space="0" w:color="auto"/>
            <w:right w:val="none" w:sz="0" w:space="0" w:color="auto"/>
          </w:divBdr>
          <w:divsChild>
            <w:div w:id="969628176">
              <w:marLeft w:val="0"/>
              <w:marRight w:val="0"/>
              <w:marTop w:val="0"/>
              <w:marBottom w:val="0"/>
              <w:divBdr>
                <w:top w:val="none" w:sz="0" w:space="0" w:color="auto"/>
                <w:left w:val="none" w:sz="0" w:space="0" w:color="auto"/>
                <w:bottom w:val="none" w:sz="0" w:space="0" w:color="auto"/>
                <w:right w:val="none" w:sz="0" w:space="0" w:color="auto"/>
              </w:divBdr>
            </w:div>
          </w:divsChild>
        </w:div>
        <w:div w:id="759180957">
          <w:marLeft w:val="0"/>
          <w:marRight w:val="0"/>
          <w:marTop w:val="0"/>
          <w:marBottom w:val="0"/>
          <w:divBdr>
            <w:top w:val="none" w:sz="0" w:space="0" w:color="auto"/>
            <w:left w:val="none" w:sz="0" w:space="0" w:color="auto"/>
            <w:bottom w:val="none" w:sz="0" w:space="0" w:color="auto"/>
            <w:right w:val="none" w:sz="0" w:space="0" w:color="auto"/>
          </w:divBdr>
          <w:divsChild>
            <w:div w:id="191774068">
              <w:marLeft w:val="0"/>
              <w:marRight w:val="0"/>
              <w:marTop w:val="0"/>
              <w:marBottom w:val="0"/>
              <w:divBdr>
                <w:top w:val="none" w:sz="0" w:space="0" w:color="auto"/>
                <w:left w:val="none" w:sz="0" w:space="0" w:color="auto"/>
                <w:bottom w:val="none" w:sz="0" w:space="0" w:color="auto"/>
                <w:right w:val="none" w:sz="0" w:space="0" w:color="auto"/>
              </w:divBdr>
            </w:div>
          </w:divsChild>
        </w:div>
        <w:div w:id="759525135">
          <w:marLeft w:val="0"/>
          <w:marRight w:val="0"/>
          <w:marTop w:val="0"/>
          <w:marBottom w:val="0"/>
          <w:divBdr>
            <w:top w:val="none" w:sz="0" w:space="0" w:color="auto"/>
            <w:left w:val="none" w:sz="0" w:space="0" w:color="auto"/>
            <w:bottom w:val="none" w:sz="0" w:space="0" w:color="auto"/>
            <w:right w:val="none" w:sz="0" w:space="0" w:color="auto"/>
          </w:divBdr>
          <w:divsChild>
            <w:div w:id="849830616">
              <w:marLeft w:val="0"/>
              <w:marRight w:val="0"/>
              <w:marTop w:val="0"/>
              <w:marBottom w:val="0"/>
              <w:divBdr>
                <w:top w:val="none" w:sz="0" w:space="0" w:color="auto"/>
                <w:left w:val="none" w:sz="0" w:space="0" w:color="auto"/>
                <w:bottom w:val="none" w:sz="0" w:space="0" w:color="auto"/>
                <w:right w:val="none" w:sz="0" w:space="0" w:color="auto"/>
              </w:divBdr>
            </w:div>
          </w:divsChild>
        </w:div>
        <w:div w:id="763191134">
          <w:marLeft w:val="0"/>
          <w:marRight w:val="0"/>
          <w:marTop w:val="0"/>
          <w:marBottom w:val="0"/>
          <w:divBdr>
            <w:top w:val="none" w:sz="0" w:space="0" w:color="auto"/>
            <w:left w:val="none" w:sz="0" w:space="0" w:color="auto"/>
            <w:bottom w:val="none" w:sz="0" w:space="0" w:color="auto"/>
            <w:right w:val="none" w:sz="0" w:space="0" w:color="auto"/>
          </w:divBdr>
          <w:divsChild>
            <w:div w:id="1367946565">
              <w:marLeft w:val="0"/>
              <w:marRight w:val="0"/>
              <w:marTop w:val="0"/>
              <w:marBottom w:val="0"/>
              <w:divBdr>
                <w:top w:val="none" w:sz="0" w:space="0" w:color="auto"/>
                <w:left w:val="none" w:sz="0" w:space="0" w:color="auto"/>
                <w:bottom w:val="none" w:sz="0" w:space="0" w:color="auto"/>
                <w:right w:val="none" w:sz="0" w:space="0" w:color="auto"/>
              </w:divBdr>
            </w:div>
          </w:divsChild>
        </w:div>
        <w:div w:id="769276005">
          <w:marLeft w:val="0"/>
          <w:marRight w:val="0"/>
          <w:marTop w:val="0"/>
          <w:marBottom w:val="0"/>
          <w:divBdr>
            <w:top w:val="none" w:sz="0" w:space="0" w:color="auto"/>
            <w:left w:val="none" w:sz="0" w:space="0" w:color="auto"/>
            <w:bottom w:val="none" w:sz="0" w:space="0" w:color="auto"/>
            <w:right w:val="none" w:sz="0" w:space="0" w:color="auto"/>
          </w:divBdr>
          <w:divsChild>
            <w:div w:id="555044784">
              <w:marLeft w:val="0"/>
              <w:marRight w:val="0"/>
              <w:marTop w:val="0"/>
              <w:marBottom w:val="0"/>
              <w:divBdr>
                <w:top w:val="none" w:sz="0" w:space="0" w:color="auto"/>
                <w:left w:val="none" w:sz="0" w:space="0" w:color="auto"/>
                <w:bottom w:val="none" w:sz="0" w:space="0" w:color="auto"/>
                <w:right w:val="none" w:sz="0" w:space="0" w:color="auto"/>
              </w:divBdr>
            </w:div>
          </w:divsChild>
        </w:div>
        <w:div w:id="769281914">
          <w:marLeft w:val="0"/>
          <w:marRight w:val="0"/>
          <w:marTop w:val="0"/>
          <w:marBottom w:val="0"/>
          <w:divBdr>
            <w:top w:val="none" w:sz="0" w:space="0" w:color="auto"/>
            <w:left w:val="none" w:sz="0" w:space="0" w:color="auto"/>
            <w:bottom w:val="none" w:sz="0" w:space="0" w:color="auto"/>
            <w:right w:val="none" w:sz="0" w:space="0" w:color="auto"/>
          </w:divBdr>
          <w:divsChild>
            <w:div w:id="767039401">
              <w:marLeft w:val="0"/>
              <w:marRight w:val="0"/>
              <w:marTop w:val="0"/>
              <w:marBottom w:val="0"/>
              <w:divBdr>
                <w:top w:val="none" w:sz="0" w:space="0" w:color="auto"/>
                <w:left w:val="none" w:sz="0" w:space="0" w:color="auto"/>
                <w:bottom w:val="none" w:sz="0" w:space="0" w:color="auto"/>
                <w:right w:val="none" w:sz="0" w:space="0" w:color="auto"/>
              </w:divBdr>
            </w:div>
          </w:divsChild>
        </w:div>
        <w:div w:id="773356875">
          <w:marLeft w:val="0"/>
          <w:marRight w:val="0"/>
          <w:marTop w:val="0"/>
          <w:marBottom w:val="0"/>
          <w:divBdr>
            <w:top w:val="none" w:sz="0" w:space="0" w:color="auto"/>
            <w:left w:val="none" w:sz="0" w:space="0" w:color="auto"/>
            <w:bottom w:val="none" w:sz="0" w:space="0" w:color="auto"/>
            <w:right w:val="none" w:sz="0" w:space="0" w:color="auto"/>
          </w:divBdr>
          <w:divsChild>
            <w:div w:id="1484590572">
              <w:marLeft w:val="0"/>
              <w:marRight w:val="0"/>
              <w:marTop w:val="0"/>
              <w:marBottom w:val="0"/>
              <w:divBdr>
                <w:top w:val="none" w:sz="0" w:space="0" w:color="auto"/>
                <w:left w:val="none" w:sz="0" w:space="0" w:color="auto"/>
                <w:bottom w:val="none" w:sz="0" w:space="0" w:color="auto"/>
                <w:right w:val="none" w:sz="0" w:space="0" w:color="auto"/>
              </w:divBdr>
            </w:div>
          </w:divsChild>
        </w:div>
        <w:div w:id="775448705">
          <w:marLeft w:val="0"/>
          <w:marRight w:val="0"/>
          <w:marTop w:val="0"/>
          <w:marBottom w:val="0"/>
          <w:divBdr>
            <w:top w:val="none" w:sz="0" w:space="0" w:color="auto"/>
            <w:left w:val="none" w:sz="0" w:space="0" w:color="auto"/>
            <w:bottom w:val="none" w:sz="0" w:space="0" w:color="auto"/>
            <w:right w:val="none" w:sz="0" w:space="0" w:color="auto"/>
          </w:divBdr>
          <w:divsChild>
            <w:div w:id="682973632">
              <w:marLeft w:val="0"/>
              <w:marRight w:val="0"/>
              <w:marTop w:val="0"/>
              <w:marBottom w:val="0"/>
              <w:divBdr>
                <w:top w:val="none" w:sz="0" w:space="0" w:color="auto"/>
                <w:left w:val="none" w:sz="0" w:space="0" w:color="auto"/>
                <w:bottom w:val="none" w:sz="0" w:space="0" w:color="auto"/>
                <w:right w:val="none" w:sz="0" w:space="0" w:color="auto"/>
              </w:divBdr>
            </w:div>
          </w:divsChild>
        </w:div>
        <w:div w:id="776557645">
          <w:marLeft w:val="0"/>
          <w:marRight w:val="0"/>
          <w:marTop w:val="0"/>
          <w:marBottom w:val="0"/>
          <w:divBdr>
            <w:top w:val="none" w:sz="0" w:space="0" w:color="auto"/>
            <w:left w:val="none" w:sz="0" w:space="0" w:color="auto"/>
            <w:bottom w:val="none" w:sz="0" w:space="0" w:color="auto"/>
            <w:right w:val="none" w:sz="0" w:space="0" w:color="auto"/>
          </w:divBdr>
          <w:divsChild>
            <w:div w:id="769081563">
              <w:marLeft w:val="0"/>
              <w:marRight w:val="0"/>
              <w:marTop w:val="0"/>
              <w:marBottom w:val="0"/>
              <w:divBdr>
                <w:top w:val="none" w:sz="0" w:space="0" w:color="auto"/>
                <w:left w:val="none" w:sz="0" w:space="0" w:color="auto"/>
                <w:bottom w:val="none" w:sz="0" w:space="0" w:color="auto"/>
                <w:right w:val="none" w:sz="0" w:space="0" w:color="auto"/>
              </w:divBdr>
            </w:div>
          </w:divsChild>
        </w:div>
        <w:div w:id="777987111">
          <w:marLeft w:val="0"/>
          <w:marRight w:val="0"/>
          <w:marTop w:val="0"/>
          <w:marBottom w:val="0"/>
          <w:divBdr>
            <w:top w:val="none" w:sz="0" w:space="0" w:color="auto"/>
            <w:left w:val="none" w:sz="0" w:space="0" w:color="auto"/>
            <w:bottom w:val="none" w:sz="0" w:space="0" w:color="auto"/>
            <w:right w:val="none" w:sz="0" w:space="0" w:color="auto"/>
          </w:divBdr>
          <w:divsChild>
            <w:div w:id="1868131113">
              <w:marLeft w:val="0"/>
              <w:marRight w:val="0"/>
              <w:marTop w:val="0"/>
              <w:marBottom w:val="0"/>
              <w:divBdr>
                <w:top w:val="none" w:sz="0" w:space="0" w:color="auto"/>
                <w:left w:val="none" w:sz="0" w:space="0" w:color="auto"/>
                <w:bottom w:val="none" w:sz="0" w:space="0" w:color="auto"/>
                <w:right w:val="none" w:sz="0" w:space="0" w:color="auto"/>
              </w:divBdr>
            </w:div>
          </w:divsChild>
        </w:div>
        <w:div w:id="782652242">
          <w:marLeft w:val="0"/>
          <w:marRight w:val="0"/>
          <w:marTop w:val="0"/>
          <w:marBottom w:val="0"/>
          <w:divBdr>
            <w:top w:val="none" w:sz="0" w:space="0" w:color="auto"/>
            <w:left w:val="none" w:sz="0" w:space="0" w:color="auto"/>
            <w:bottom w:val="none" w:sz="0" w:space="0" w:color="auto"/>
            <w:right w:val="none" w:sz="0" w:space="0" w:color="auto"/>
          </w:divBdr>
          <w:divsChild>
            <w:div w:id="1155494534">
              <w:marLeft w:val="0"/>
              <w:marRight w:val="0"/>
              <w:marTop w:val="0"/>
              <w:marBottom w:val="0"/>
              <w:divBdr>
                <w:top w:val="none" w:sz="0" w:space="0" w:color="auto"/>
                <w:left w:val="none" w:sz="0" w:space="0" w:color="auto"/>
                <w:bottom w:val="none" w:sz="0" w:space="0" w:color="auto"/>
                <w:right w:val="none" w:sz="0" w:space="0" w:color="auto"/>
              </w:divBdr>
            </w:div>
          </w:divsChild>
        </w:div>
        <w:div w:id="783816591">
          <w:marLeft w:val="0"/>
          <w:marRight w:val="0"/>
          <w:marTop w:val="0"/>
          <w:marBottom w:val="0"/>
          <w:divBdr>
            <w:top w:val="none" w:sz="0" w:space="0" w:color="auto"/>
            <w:left w:val="none" w:sz="0" w:space="0" w:color="auto"/>
            <w:bottom w:val="none" w:sz="0" w:space="0" w:color="auto"/>
            <w:right w:val="none" w:sz="0" w:space="0" w:color="auto"/>
          </w:divBdr>
          <w:divsChild>
            <w:div w:id="402916440">
              <w:marLeft w:val="0"/>
              <w:marRight w:val="0"/>
              <w:marTop w:val="0"/>
              <w:marBottom w:val="0"/>
              <w:divBdr>
                <w:top w:val="none" w:sz="0" w:space="0" w:color="auto"/>
                <w:left w:val="none" w:sz="0" w:space="0" w:color="auto"/>
                <w:bottom w:val="none" w:sz="0" w:space="0" w:color="auto"/>
                <w:right w:val="none" w:sz="0" w:space="0" w:color="auto"/>
              </w:divBdr>
            </w:div>
          </w:divsChild>
        </w:div>
        <w:div w:id="784231793">
          <w:marLeft w:val="0"/>
          <w:marRight w:val="0"/>
          <w:marTop w:val="0"/>
          <w:marBottom w:val="0"/>
          <w:divBdr>
            <w:top w:val="none" w:sz="0" w:space="0" w:color="auto"/>
            <w:left w:val="none" w:sz="0" w:space="0" w:color="auto"/>
            <w:bottom w:val="none" w:sz="0" w:space="0" w:color="auto"/>
            <w:right w:val="none" w:sz="0" w:space="0" w:color="auto"/>
          </w:divBdr>
          <w:divsChild>
            <w:div w:id="1883130179">
              <w:marLeft w:val="0"/>
              <w:marRight w:val="0"/>
              <w:marTop w:val="0"/>
              <w:marBottom w:val="0"/>
              <w:divBdr>
                <w:top w:val="none" w:sz="0" w:space="0" w:color="auto"/>
                <w:left w:val="none" w:sz="0" w:space="0" w:color="auto"/>
                <w:bottom w:val="none" w:sz="0" w:space="0" w:color="auto"/>
                <w:right w:val="none" w:sz="0" w:space="0" w:color="auto"/>
              </w:divBdr>
            </w:div>
          </w:divsChild>
        </w:div>
        <w:div w:id="788744255">
          <w:marLeft w:val="0"/>
          <w:marRight w:val="0"/>
          <w:marTop w:val="0"/>
          <w:marBottom w:val="0"/>
          <w:divBdr>
            <w:top w:val="none" w:sz="0" w:space="0" w:color="auto"/>
            <w:left w:val="none" w:sz="0" w:space="0" w:color="auto"/>
            <w:bottom w:val="none" w:sz="0" w:space="0" w:color="auto"/>
            <w:right w:val="none" w:sz="0" w:space="0" w:color="auto"/>
          </w:divBdr>
          <w:divsChild>
            <w:div w:id="265307225">
              <w:marLeft w:val="0"/>
              <w:marRight w:val="0"/>
              <w:marTop w:val="0"/>
              <w:marBottom w:val="0"/>
              <w:divBdr>
                <w:top w:val="none" w:sz="0" w:space="0" w:color="auto"/>
                <w:left w:val="none" w:sz="0" w:space="0" w:color="auto"/>
                <w:bottom w:val="none" w:sz="0" w:space="0" w:color="auto"/>
                <w:right w:val="none" w:sz="0" w:space="0" w:color="auto"/>
              </w:divBdr>
            </w:div>
          </w:divsChild>
        </w:div>
        <w:div w:id="790440239">
          <w:marLeft w:val="0"/>
          <w:marRight w:val="0"/>
          <w:marTop w:val="0"/>
          <w:marBottom w:val="0"/>
          <w:divBdr>
            <w:top w:val="none" w:sz="0" w:space="0" w:color="auto"/>
            <w:left w:val="none" w:sz="0" w:space="0" w:color="auto"/>
            <w:bottom w:val="none" w:sz="0" w:space="0" w:color="auto"/>
            <w:right w:val="none" w:sz="0" w:space="0" w:color="auto"/>
          </w:divBdr>
          <w:divsChild>
            <w:div w:id="1274702026">
              <w:marLeft w:val="0"/>
              <w:marRight w:val="0"/>
              <w:marTop w:val="0"/>
              <w:marBottom w:val="0"/>
              <w:divBdr>
                <w:top w:val="none" w:sz="0" w:space="0" w:color="auto"/>
                <w:left w:val="none" w:sz="0" w:space="0" w:color="auto"/>
                <w:bottom w:val="none" w:sz="0" w:space="0" w:color="auto"/>
                <w:right w:val="none" w:sz="0" w:space="0" w:color="auto"/>
              </w:divBdr>
            </w:div>
          </w:divsChild>
        </w:div>
        <w:div w:id="790510435">
          <w:marLeft w:val="0"/>
          <w:marRight w:val="0"/>
          <w:marTop w:val="0"/>
          <w:marBottom w:val="0"/>
          <w:divBdr>
            <w:top w:val="none" w:sz="0" w:space="0" w:color="auto"/>
            <w:left w:val="none" w:sz="0" w:space="0" w:color="auto"/>
            <w:bottom w:val="none" w:sz="0" w:space="0" w:color="auto"/>
            <w:right w:val="none" w:sz="0" w:space="0" w:color="auto"/>
          </w:divBdr>
          <w:divsChild>
            <w:div w:id="1856190682">
              <w:marLeft w:val="0"/>
              <w:marRight w:val="0"/>
              <w:marTop w:val="0"/>
              <w:marBottom w:val="0"/>
              <w:divBdr>
                <w:top w:val="none" w:sz="0" w:space="0" w:color="auto"/>
                <w:left w:val="none" w:sz="0" w:space="0" w:color="auto"/>
                <w:bottom w:val="none" w:sz="0" w:space="0" w:color="auto"/>
                <w:right w:val="none" w:sz="0" w:space="0" w:color="auto"/>
              </w:divBdr>
            </w:div>
          </w:divsChild>
        </w:div>
        <w:div w:id="793988698">
          <w:marLeft w:val="0"/>
          <w:marRight w:val="0"/>
          <w:marTop w:val="0"/>
          <w:marBottom w:val="0"/>
          <w:divBdr>
            <w:top w:val="none" w:sz="0" w:space="0" w:color="auto"/>
            <w:left w:val="none" w:sz="0" w:space="0" w:color="auto"/>
            <w:bottom w:val="none" w:sz="0" w:space="0" w:color="auto"/>
            <w:right w:val="none" w:sz="0" w:space="0" w:color="auto"/>
          </w:divBdr>
          <w:divsChild>
            <w:div w:id="494539882">
              <w:marLeft w:val="0"/>
              <w:marRight w:val="0"/>
              <w:marTop w:val="0"/>
              <w:marBottom w:val="0"/>
              <w:divBdr>
                <w:top w:val="none" w:sz="0" w:space="0" w:color="auto"/>
                <w:left w:val="none" w:sz="0" w:space="0" w:color="auto"/>
                <w:bottom w:val="none" w:sz="0" w:space="0" w:color="auto"/>
                <w:right w:val="none" w:sz="0" w:space="0" w:color="auto"/>
              </w:divBdr>
            </w:div>
          </w:divsChild>
        </w:div>
        <w:div w:id="795681429">
          <w:marLeft w:val="0"/>
          <w:marRight w:val="0"/>
          <w:marTop w:val="0"/>
          <w:marBottom w:val="0"/>
          <w:divBdr>
            <w:top w:val="none" w:sz="0" w:space="0" w:color="auto"/>
            <w:left w:val="none" w:sz="0" w:space="0" w:color="auto"/>
            <w:bottom w:val="none" w:sz="0" w:space="0" w:color="auto"/>
            <w:right w:val="none" w:sz="0" w:space="0" w:color="auto"/>
          </w:divBdr>
          <w:divsChild>
            <w:div w:id="1809859683">
              <w:marLeft w:val="0"/>
              <w:marRight w:val="0"/>
              <w:marTop w:val="0"/>
              <w:marBottom w:val="0"/>
              <w:divBdr>
                <w:top w:val="none" w:sz="0" w:space="0" w:color="auto"/>
                <w:left w:val="none" w:sz="0" w:space="0" w:color="auto"/>
                <w:bottom w:val="none" w:sz="0" w:space="0" w:color="auto"/>
                <w:right w:val="none" w:sz="0" w:space="0" w:color="auto"/>
              </w:divBdr>
            </w:div>
          </w:divsChild>
        </w:div>
        <w:div w:id="799298981">
          <w:marLeft w:val="0"/>
          <w:marRight w:val="0"/>
          <w:marTop w:val="0"/>
          <w:marBottom w:val="0"/>
          <w:divBdr>
            <w:top w:val="none" w:sz="0" w:space="0" w:color="auto"/>
            <w:left w:val="none" w:sz="0" w:space="0" w:color="auto"/>
            <w:bottom w:val="none" w:sz="0" w:space="0" w:color="auto"/>
            <w:right w:val="none" w:sz="0" w:space="0" w:color="auto"/>
          </w:divBdr>
          <w:divsChild>
            <w:div w:id="2051148592">
              <w:marLeft w:val="0"/>
              <w:marRight w:val="0"/>
              <w:marTop w:val="0"/>
              <w:marBottom w:val="0"/>
              <w:divBdr>
                <w:top w:val="none" w:sz="0" w:space="0" w:color="auto"/>
                <w:left w:val="none" w:sz="0" w:space="0" w:color="auto"/>
                <w:bottom w:val="none" w:sz="0" w:space="0" w:color="auto"/>
                <w:right w:val="none" w:sz="0" w:space="0" w:color="auto"/>
              </w:divBdr>
            </w:div>
          </w:divsChild>
        </w:div>
        <w:div w:id="800655788">
          <w:marLeft w:val="0"/>
          <w:marRight w:val="0"/>
          <w:marTop w:val="0"/>
          <w:marBottom w:val="0"/>
          <w:divBdr>
            <w:top w:val="none" w:sz="0" w:space="0" w:color="auto"/>
            <w:left w:val="none" w:sz="0" w:space="0" w:color="auto"/>
            <w:bottom w:val="none" w:sz="0" w:space="0" w:color="auto"/>
            <w:right w:val="none" w:sz="0" w:space="0" w:color="auto"/>
          </w:divBdr>
          <w:divsChild>
            <w:div w:id="744844033">
              <w:marLeft w:val="0"/>
              <w:marRight w:val="0"/>
              <w:marTop w:val="0"/>
              <w:marBottom w:val="0"/>
              <w:divBdr>
                <w:top w:val="none" w:sz="0" w:space="0" w:color="auto"/>
                <w:left w:val="none" w:sz="0" w:space="0" w:color="auto"/>
                <w:bottom w:val="none" w:sz="0" w:space="0" w:color="auto"/>
                <w:right w:val="none" w:sz="0" w:space="0" w:color="auto"/>
              </w:divBdr>
            </w:div>
          </w:divsChild>
        </w:div>
        <w:div w:id="804932656">
          <w:marLeft w:val="0"/>
          <w:marRight w:val="0"/>
          <w:marTop w:val="0"/>
          <w:marBottom w:val="0"/>
          <w:divBdr>
            <w:top w:val="none" w:sz="0" w:space="0" w:color="auto"/>
            <w:left w:val="none" w:sz="0" w:space="0" w:color="auto"/>
            <w:bottom w:val="none" w:sz="0" w:space="0" w:color="auto"/>
            <w:right w:val="none" w:sz="0" w:space="0" w:color="auto"/>
          </w:divBdr>
          <w:divsChild>
            <w:div w:id="1425489619">
              <w:marLeft w:val="0"/>
              <w:marRight w:val="0"/>
              <w:marTop w:val="0"/>
              <w:marBottom w:val="0"/>
              <w:divBdr>
                <w:top w:val="none" w:sz="0" w:space="0" w:color="auto"/>
                <w:left w:val="none" w:sz="0" w:space="0" w:color="auto"/>
                <w:bottom w:val="none" w:sz="0" w:space="0" w:color="auto"/>
                <w:right w:val="none" w:sz="0" w:space="0" w:color="auto"/>
              </w:divBdr>
            </w:div>
          </w:divsChild>
        </w:div>
        <w:div w:id="805197402">
          <w:marLeft w:val="0"/>
          <w:marRight w:val="0"/>
          <w:marTop w:val="0"/>
          <w:marBottom w:val="0"/>
          <w:divBdr>
            <w:top w:val="none" w:sz="0" w:space="0" w:color="auto"/>
            <w:left w:val="none" w:sz="0" w:space="0" w:color="auto"/>
            <w:bottom w:val="none" w:sz="0" w:space="0" w:color="auto"/>
            <w:right w:val="none" w:sz="0" w:space="0" w:color="auto"/>
          </w:divBdr>
          <w:divsChild>
            <w:div w:id="2009747993">
              <w:marLeft w:val="0"/>
              <w:marRight w:val="0"/>
              <w:marTop w:val="0"/>
              <w:marBottom w:val="0"/>
              <w:divBdr>
                <w:top w:val="none" w:sz="0" w:space="0" w:color="auto"/>
                <w:left w:val="none" w:sz="0" w:space="0" w:color="auto"/>
                <w:bottom w:val="none" w:sz="0" w:space="0" w:color="auto"/>
                <w:right w:val="none" w:sz="0" w:space="0" w:color="auto"/>
              </w:divBdr>
            </w:div>
          </w:divsChild>
        </w:div>
        <w:div w:id="806237800">
          <w:marLeft w:val="0"/>
          <w:marRight w:val="0"/>
          <w:marTop w:val="0"/>
          <w:marBottom w:val="0"/>
          <w:divBdr>
            <w:top w:val="none" w:sz="0" w:space="0" w:color="auto"/>
            <w:left w:val="none" w:sz="0" w:space="0" w:color="auto"/>
            <w:bottom w:val="none" w:sz="0" w:space="0" w:color="auto"/>
            <w:right w:val="none" w:sz="0" w:space="0" w:color="auto"/>
          </w:divBdr>
          <w:divsChild>
            <w:div w:id="1857234971">
              <w:marLeft w:val="0"/>
              <w:marRight w:val="0"/>
              <w:marTop w:val="0"/>
              <w:marBottom w:val="0"/>
              <w:divBdr>
                <w:top w:val="none" w:sz="0" w:space="0" w:color="auto"/>
                <w:left w:val="none" w:sz="0" w:space="0" w:color="auto"/>
                <w:bottom w:val="none" w:sz="0" w:space="0" w:color="auto"/>
                <w:right w:val="none" w:sz="0" w:space="0" w:color="auto"/>
              </w:divBdr>
            </w:div>
          </w:divsChild>
        </w:div>
        <w:div w:id="812798798">
          <w:marLeft w:val="0"/>
          <w:marRight w:val="0"/>
          <w:marTop w:val="0"/>
          <w:marBottom w:val="0"/>
          <w:divBdr>
            <w:top w:val="none" w:sz="0" w:space="0" w:color="auto"/>
            <w:left w:val="none" w:sz="0" w:space="0" w:color="auto"/>
            <w:bottom w:val="none" w:sz="0" w:space="0" w:color="auto"/>
            <w:right w:val="none" w:sz="0" w:space="0" w:color="auto"/>
          </w:divBdr>
          <w:divsChild>
            <w:div w:id="1499343849">
              <w:marLeft w:val="0"/>
              <w:marRight w:val="0"/>
              <w:marTop w:val="0"/>
              <w:marBottom w:val="0"/>
              <w:divBdr>
                <w:top w:val="none" w:sz="0" w:space="0" w:color="auto"/>
                <w:left w:val="none" w:sz="0" w:space="0" w:color="auto"/>
                <w:bottom w:val="none" w:sz="0" w:space="0" w:color="auto"/>
                <w:right w:val="none" w:sz="0" w:space="0" w:color="auto"/>
              </w:divBdr>
            </w:div>
          </w:divsChild>
        </w:div>
        <w:div w:id="813790875">
          <w:marLeft w:val="0"/>
          <w:marRight w:val="0"/>
          <w:marTop w:val="0"/>
          <w:marBottom w:val="0"/>
          <w:divBdr>
            <w:top w:val="none" w:sz="0" w:space="0" w:color="auto"/>
            <w:left w:val="none" w:sz="0" w:space="0" w:color="auto"/>
            <w:bottom w:val="none" w:sz="0" w:space="0" w:color="auto"/>
            <w:right w:val="none" w:sz="0" w:space="0" w:color="auto"/>
          </w:divBdr>
          <w:divsChild>
            <w:div w:id="1901286570">
              <w:marLeft w:val="0"/>
              <w:marRight w:val="0"/>
              <w:marTop w:val="0"/>
              <w:marBottom w:val="0"/>
              <w:divBdr>
                <w:top w:val="none" w:sz="0" w:space="0" w:color="auto"/>
                <w:left w:val="none" w:sz="0" w:space="0" w:color="auto"/>
                <w:bottom w:val="none" w:sz="0" w:space="0" w:color="auto"/>
                <w:right w:val="none" w:sz="0" w:space="0" w:color="auto"/>
              </w:divBdr>
            </w:div>
          </w:divsChild>
        </w:div>
        <w:div w:id="815609881">
          <w:marLeft w:val="0"/>
          <w:marRight w:val="0"/>
          <w:marTop w:val="0"/>
          <w:marBottom w:val="0"/>
          <w:divBdr>
            <w:top w:val="none" w:sz="0" w:space="0" w:color="auto"/>
            <w:left w:val="none" w:sz="0" w:space="0" w:color="auto"/>
            <w:bottom w:val="none" w:sz="0" w:space="0" w:color="auto"/>
            <w:right w:val="none" w:sz="0" w:space="0" w:color="auto"/>
          </w:divBdr>
          <w:divsChild>
            <w:div w:id="1672021230">
              <w:marLeft w:val="0"/>
              <w:marRight w:val="0"/>
              <w:marTop w:val="0"/>
              <w:marBottom w:val="0"/>
              <w:divBdr>
                <w:top w:val="none" w:sz="0" w:space="0" w:color="auto"/>
                <w:left w:val="none" w:sz="0" w:space="0" w:color="auto"/>
                <w:bottom w:val="none" w:sz="0" w:space="0" w:color="auto"/>
                <w:right w:val="none" w:sz="0" w:space="0" w:color="auto"/>
              </w:divBdr>
            </w:div>
          </w:divsChild>
        </w:div>
        <w:div w:id="818814668">
          <w:marLeft w:val="0"/>
          <w:marRight w:val="0"/>
          <w:marTop w:val="0"/>
          <w:marBottom w:val="0"/>
          <w:divBdr>
            <w:top w:val="none" w:sz="0" w:space="0" w:color="auto"/>
            <w:left w:val="none" w:sz="0" w:space="0" w:color="auto"/>
            <w:bottom w:val="none" w:sz="0" w:space="0" w:color="auto"/>
            <w:right w:val="none" w:sz="0" w:space="0" w:color="auto"/>
          </w:divBdr>
          <w:divsChild>
            <w:div w:id="891770277">
              <w:marLeft w:val="0"/>
              <w:marRight w:val="0"/>
              <w:marTop w:val="0"/>
              <w:marBottom w:val="0"/>
              <w:divBdr>
                <w:top w:val="none" w:sz="0" w:space="0" w:color="auto"/>
                <w:left w:val="none" w:sz="0" w:space="0" w:color="auto"/>
                <w:bottom w:val="none" w:sz="0" w:space="0" w:color="auto"/>
                <w:right w:val="none" w:sz="0" w:space="0" w:color="auto"/>
              </w:divBdr>
            </w:div>
          </w:divsChild>
        </w:div>
        <w:div w:id="819154944">
          <w:marLeft w:val="0"/>
          <w:marRight w:val="0"/>
          <w:marTop w:val="0"/>
          <w:marBottom w:val="0"/>
          <w:divBdr>
            <w:top w:val="none" w:sz="0" w:space="0" w:color="auto"/>
            <w:left w:val="none" w:sz="0" w:space="0" w:color="auto"/>
            <w:bottom w:val="none" w:sz="0" w:space="0" w:color="auto"/>
            <w:right w:val="none" w:sz="0" w:space="0" w:color="auto"/>
          </w:divBdr>
          <w:divsChild>
            <w:div w:id="970089523">
              <w:marLeft w:val="0"/>
              <w:marRight w:val="0"/>
              <w:marTop w:val="0"/>
              <w:marBottom w:val="0"/>
              <w:divBdr>
                <w:top w:val="none" w:sz="0" w:space="0" w:color="auto"/>
                <w:left w:val="none" w:sz="0" w:space="0" w:color="auto"/>
                <w:bottom w:val="none" w:sz="0" w:space="0" w:color="auto"/>
                <w:right w:val="none" w:sz="0" w:space="0" w:color="auto"/>
              </w:divBdr>
            </w:div>
          </w:divsChild>
        </w:div>
        <w:div w:id="825124302">
          <w:marLeft w:val="0"/>
          <w:marRight w:val="0"/>
          <w:marTop w:val="0"/>
          <w:marBottom w:val="0"/>
          <w:divBdr>
            <w:top w:val="none" w:sz="0" w:space="0" w:color="auto"/>
            <w:left w:val="none" w:sz="0" w:space="0" w:color="auto"/>
            <w:bottom w:val="none" w:sz="0" w:space="0" w:color="auto"/>
            <w:right w:val="none" w:sz="0" w:space="0" w:color="auto"/>
          </w:divBdr>
          <w:divsChild>
            <w:div w:id="1706369791">
              <w:marLeft w:val="0"/>
              <w:marRight w:val="0"/>
              <w:marTop w:val="0"/>
              <w:marBottom w:val="0"/>
              <w:divBdr>
                <w:top w:val="none" w:sz="0" w:space="0" w:color="auto"/>
                <w:left w:val="none" w:sz="0" w:space="0" w:color="auto"/>
                <w:bottom w:val="none" w:sz="0" w:space="0" w:color="auto"/>
                <w:right w:val="none" w:sz="0" w:space="0" w:color="auto"/>
              </w:divBdr>
            </w:div>
          </w:divsChild>
        </w:div>
        <w:div w:id="825438387">
          <w:marLeft w:val="0"/>
          <w:marRight w:val="0"/>
          <w:marTop w:val="0"/>
          <w:marBottom w:val="0"/>
          <w:divBdr>
            <w:top w:val="none" w:sz="0" w:space="0" w:color="auto"/>
            <w:left w:val="none" w:sz="0" w:space="0" w:color="auto"/>
            <w:bottom w:val="none" w:sz="0" w:space="0" w:color="auto"/>
            <w:right w:val="none" w:sz="0" w:space="0" w:color="auto"/>
          </w:divBdr>
          <w:divsChild>
            <w:div w:id="2043313752">
              <w:marLeft w:val="0"/>
              <w:marRight w:val="0"/>
              <w:marTop w:val="0"/>
              <w:marBottom w:val="0"/>
              <w:divBdr>
                <w:top w:val="none" w:sz="0" w:space="0" w:color="auto"/>
                <w:left w:val="none" w:sz="0" w:space="0" w:color="auto"/>
                <w:bottom w:val="none" w:sz="0" w:space="0" w:color="auto"/>
                <w:right w:val="none" w:sz="0" w:space="0" w:color="auto"/>
              </w:divBdr>
            </w:div>
          </w:divsChild>
        </w:div>
        <w:div w:id="827013592">
          <w:marLeft w:val="0"/>
          <w:marRight w:val="0"/>
          <w:marTop w:val="0"/>
          <w:marBottom w:val="0"/>
          <w:divBdr>
            <w:top w:val="none" w:sz="0" w:space="0" w:color="auto"/>
            <w:left w:val="none" w:sz="0" w:space="0" w:color="auto"/>
            <w:bottom w:val="none" w:sz="0" w:space="0" w:color="auto"/>
            <w:right w:val="none" w:sz="0" w:space="0" w:color="auto"/>
          </w:divBdr>
          <w:divsChild>
            <w:div w:id="1079719381">
              <w:marLeft w:val="0"/>
              <w:marRight w:val="0"/>
              <w:marTop w:val="0"/>
              <w:marBottom w:val="0"/>
              <w:divBdr>
                <w:top w:val="none" w:sz="0" w:space="0" w:color="auto"/>
                <w:left w:val="none" w:sz="0" w:space="0" w:color="auto"/>
                <w:bottom w:val="none" w:sz="0" w:space="0" w:color="auto"/>
                <w:right w:val="none" w:sz="0" w:space="0" w:color="auto"/>
              </w:divBdr>
            </w:div>
          </w:divsChild>
        </w:div>
        <w:div w:id="830943772">
          <w:marLeft w:val="0"/>
          <w:marRight w:val="0"/>
          <w:marTop w:val="0"/>
          <w:marBottom w:val="0"/>
          <w:divBdr>
            <w:top w:val="none" w:sz="0" w:space="0" w:color="auto"/>
            <w:left w:val="none" w:sz="0" w:space="0" w:color="auto"/>
            <w:bottom w:val="none" w:sz="0" w:space="0" w:color="auto"/>
            <w:right w:val="none" w:sz="0" w:space="0" w:color="auto"/>
          </w:divBdr>
          <w:divsChild>
            <w:div w:id="114639865">
              <w:marLeft w:val="0"/>
              <w:marRight w:val="0"/>
              <w:marTop w:val="0"/>
              <w:marBottom w:val="0"/>
              <w:divBdr>
                <w:top w:val="none" w:sz="0" w:space="0" w:color="auto"/>
                <w:left w:val="none" w:sz="0" w:space="0" w:color="auto"/>
                <w:bottom w:val="none" w:sz="0" w:space="0" w:color="auto"/>
                <w:right w:val="none" w:sz="0" w:space="0" w:color="auto"/>
              </w:divBdr>
            </w:div>
          </w:divsChild>
        </w:div>
        <w:div w:id="833685171">
          <w:marLeft w:val="0"/>
          <w:marRight w:val="0"/>
          <w:marTop w:val="0"/>
          <w:marBottom w:val="0"/>
          <w:divBdr>
            <w:top w:val="none" w:sz="0" w:space="0" w:color="auto"/>
            <w:left w:val="none" w:sz="0" w:space="0" w:color="auto"/>
            <w:bottom w:val="none" w:sz="0" w:space="0" w:color="auto"/>
            <w:right w:val="none" w:sz="0" w:space="0" w:color="auto"/>
          </w:divBdr>
          <w:divsChild>
            <w:div w:id="401997939">
              <w:marLeft w:val="0"/>
              <w:marRight w:val="0"/>
              <w:marTop w:val="0"/>
              <w:marBottom w:val="0"/>
              <w:divBdr>
                <w:top w:val="none" w:sz="0" w:space="0" w:color="auto"/>
                <w:left w:val="none" w:sz="0" w:space="0" w:color="auto"/>
                <w:bottom w:val="none" w:sz="0" w:space="0" w:color="auto"/>
                <w:right w:val="none" w:sz="0" w:space="0" w:color="auto"/>
              </w:divBdr>
            </w:div>
          </w:divsChild>
        </w:div>
        <w:div w:id="834541049">
          <w:marLeft w:val="0"/>
          <w:marRight w:val="0"/>
          <w:marTop w:val="0"/>
          <w:marBottom w:val="0"/>
          <w:divBdr>
            <w:top w:val="none" w:sz="0" w:space="0" w:color="auto"/>
            <w:left w:val="none" w:sz="0" w:space="0" w:color="auto"/>
            <w:bottom w:val="none" w:sz="0" w:space="0" w:color="auto"/>
            <w:right w:val="none" w:sz="0" w:space="0" w:color="auto"/>
          </w:divBdr>
          <w:divsChild>
            <w:div w:id="720330253">
              <w:marLeft w:val="0"/>
              <w:marRight w:val="0"/>
              <w:marTop w:val="0"/>
              <w:marBottom w:val="0"/>
              <w:divBdr>
                <w:top w:val="none" w:sz="0" w:space="0" w:color="auto"/>
                <w:left w:val="none" w:sz="0" w:space="0" w:color="auto"/>
                <w:bottom w:val="none" w:sz="0" w:space="0" w:color="auto"/>
                <w:right w:val="none" w:sz="0" w:space="0" w:color="auto"/>
              </w:divBdr>
            </w:div>
          </w:divsChild>
        </w:div>
        <w:div w:id="840579627">
          <w:marLeft w:val="0"/>
          <w:marRight w:val="0"/>
          <w:marTop w:val="0"/>
          <w:marBottom w:val="0"/>
          <w:divBdr>
            <w:top w:val="none" w:sz="0" w:space="0" w:color="auto"/>
            <w:left w:val="none" w:sz="0" w:space="0" w:color="auto"/>
            <w:bottom w:val="none" w:sz="0" w:space="0" w:color="auto"/>
            <w:right w:val="none" w:sz="0" w:space="0" w:color="auto"/>
          </w:divBdr>
          <w:divsChild>
            <w:div w:id="2012873032">
              <w:marLeft w:val="0"/>
              <w:marRight w:val="0"/>
              <w:marTop w:val="0"/>
              <w:marBottom w:val="0"/>
              <w:divBdr>
                <w:top w:val="none" w:sz="0" w:space="0" w:color="auto"/>
                <w:left w:val="none" w:sz="0" w:space="0" w:color="auto"/>
                <w:bottom w:val="none" w:sz="0" w:space="0" w:color="auto"/>
                <w:right w:val="none" w:sz="0" w:space="0" w:color="auto"/>
              </w:divBdr>
            </w:div>
          </w:divsChild>
        </w:div>
        <w:div w:id="843589901">
          <w:marLeft w:val="0"/>
          <w:marRight w:val="0"/>
          <w:marTop w:val="0"/>
          <w:marBottom w:val="0"/>
          <w:divBdr>
            <w:top w:val="none" w:sz="0" w:space="0" w:color="auto"/>
            <w:left w:val="none" w:sz="0" w:space="0" w:color="auto"/>
            <w:bottom w:val="none" w:sz="0" w:space="0" w:color="auto"/>
            <w:right w:val="none" w:sz="0" w:space="0" w:color="auto"/>
          </w:divBdr>
          <w:divsChild>
            <w:div w:id="787044106">
              <w:marLeft w:val="0"/>
              <w:marRight w:val="0"/>
              <w:marTop w:val="0"/>
              <w:marBottom w:val="0"/>
              <w:divBdr>
                <w:top w:val="none" w:sz="0" w:space="0" w:color="auto"/>
                <w:left w:val="none" w:sz="0" w:space="0" w:color="auto"/>
                <w:bottom w:val="none" w:sz="0" w:space="0" w:color="auto"/>
                <w:right w:val="none" w:sz="0" w:space="0" w:color="auto"/>
              </w:divBdr>
            </w:div>
          </w:divsChild>
        </w:div>
        <w:div w:id="846137331">
          <w:marLeft w:val="0"/>
          <w:marRight w:val="0"/>
          <w:marTop w:val="0"/>
          <w:marBottom w:val="0"/>
          <w:divBdr>
            <w:top w:val="none" w:sz="0" w:space="0" w:color="auto"/>
            <w:left w:val="none" w:sz="0" w:space="0" w:color="auto"/>
            <w:bottom w:val="none" w:sz="0" w:space="0" w:color="auto"/>
            <w:right w:val="none" w:sz="0" w:space="0" w:color="auto"/>
          </w:divBdr>
          <w:divsChild>
            <w:div w:id="1921212467">
              <w:marLeft w:val="0"/>
              <w:marRight w:val="0"/>
              <w:marTop w:val="0"/>
              <w:marBottom w:val="0"/>
              <w:divBdr>
                <w:top w:val="none" w:sz="0" w:space="0" w:color="auto"/>
                <w:left w:val="none" w:sz="0" w:space="0" w:color="auto"/>
                <w:bottom w:val="none" w:sz="0" w:space="0" w:color="auto"/>
                <w:right w:val="none" w:sz="0" w:space="0" w:color="auto"/>
              </w:divBdr>
            </w:div>
          </w:divsChild>
        </w:div>
        <w:div w:id="849686891">
          <w:marLeft w:val="0"/>
          <w:marRight w:val="0"/>
          <w:marTop w:val="0"/>
          <w:marBottom w:val="0"/>
          <w:divBdr>
            <w:top w:val="none" w:sz="0" w:space="0" w:color="auto"/>
            <w:left w:val="none" w:sz="0" w:space="0" w:color="auto"/>
            <w:bottom w:val="none" w:sz="0" w:space="0" w:color="auto"/>
            <w:right w:val="none" w:sz="0" w:space="0" w:color="auto"/>
          </w:divBdr>
          <w:divsChild>
            <w:div w:id="381290985">
              <w:marLeft w:val="0"/>
              <w:marRight w:val="0"/>
              <w:marTop w:val="0"/>
              <w:marBottom w:val="0"/>
              <w:divBdr>
                <w:top w:val="none" w:sz="0" w:space="0" w:color="auto"/>
                <w:left w:val="none" w:sz="0" w:space="0" w:color="auto"/>
                <w:bottom w:val="none" w:sz="0" w:space="0" w:color="auto"/>
                <w:right w:val="none" w:sz="0" w:space="0" w:color="auto"/>
              </w:divBdr>
            </w:div>
          </w:divsChild>
        </w:div>
        <w:div w:id="853492490">
          <w:marLeft w:val="0"/>
          <w:marRight w:val="0"/>
          <w:marTop w:val="0"/>
          <w:marBottom w:val="0"/>
          <w:divBdr>
            <w:top w:val="none" w:sz="0" w:space="0" w:color="auto"/>
            <w:left w:val="none" w:sz="0" w:space="0" w:color="auto"/>
            <w:bottom w:val="none" w:sz="0" w:space="0" w:color="auto"/>
            <w:right w:val="none" w:sz="0" w:space="0" w:color="auto"/>
          </w:divBdr>
          <w:divsChild>
            <w:div w:id="962463152">
              <w:marLeft w:val="0"/>
              <w:marRight w:val="0"/>
              <w:marTop w:val="0"/>
              <w:marBottom w:val="0"/>
              <w:divBdr>
                <w:top w:val="none" w:sz="0" w:space="0" w:color="auto"/>
                <w:left w:val="none" w:sz="0" w:space="0" w:color="auto"/>
                <w:bottom w:val="none" w:sz="0" w:space="0" w:color="auto"/>
                <w:right w:val="none" w:sz="0" w:space="0" w:color="auto"/>
              </w:divBdr>
            </w:div>
          </w:divsChild>
        </w:div>
        <w:div w:id="855268525">
          <w:marLeft w:val="0"/>
          <w:marRight w:val="0"/>
          <w:marTop w:val="0"/>
          <w:marBottom w:val="0"/>
          <w:divBdr>
            <w:top w:val="none" w:sz="0" w:space="0" w:color="auto"/>
            <w:left w:val="none" w:sz="0" w:space="0" w:color="auto"/>
            <w:bottom w:val="none" w:sz="0" w:space="0" w:color="auto"/>
            <w:right w:val="none" w:sz="0" w:space="0" w:color="auto"/>
          </w:divBdr>
          <w:divsChild>
            <w:div w:id="931933742">
              <w:marLeft w:val="0"/>
              <w:marRight w:val="0"/>
              <w:marTop w:val="0"/>
              <w:marBottom w:val="0"/>
              <w:divBdr>
                <w:top w:val="none" w:sz="0" w:space="0" w:color="auto"/>
                <w:left w:val="none" w:sz="0" w:space="0" w:color="auto"/>
                <w:bottom w:val="none" w:sz="0" w:space="0" w:color="auto"/>
                <w:right w:val="none" w:sz="0" w:space="0" w:color="auto"/>
              </w:divBdr>
            </w:div>
          </w:divsChild>
        </w:div>
        <w:div w:id="855268677">
          <w:marLeft w:val="0"/>
          <w:marRight w:val="0"/>
          <w:marTop w:val="0"/>
          <w:marBottom w:val="0"/>
          <w:divBdr>
            <w:top w:val="none" w:sz="0" w:space="0" w:color="auto"/>
            <w:left w:val="none" w:sz="0" w:space="0" w:color="auto"/>
            <w:bottom w:val="none" w:sz="0" w:space="0" w:color="auto"/>
            <w:right w:val="none" w:sz="0" w:space="0" w:color="auto"/>
          </w:divBdr>
          <w:divsChild>
            <w:div w:id="861744089">
              <w:marLeft w:val="0"/>
              <w:marRight w:val="0"/>
              <w:marTop w:val="0"/>
              <w:marBottom w:val="0"/>
              <w:divBdr>
                <w:top w:val="none" w:sz="0" w:space="0" w:color="auto"/>
                <w:left w:val="none" w:sz="0" w:space="0" w:color="auto"/>
                <w:bottom w:val="none" w:sz="0" w:space="0" w:color="auto"/>
                <w:right w:val="none" w:sz="0" w:space="0" w:color="auto"/>
              </w:divBdr>
            </w:div>
          </w:divsChild>
        </w:div>
        <w:div w:id="855771637">
          <w:marLeft w:val="0"/>
          <w:marRight w:val="0"/>
          <w:marTop w:val="0"/>
          <w:marBottom w:val="0"/>
          <w:divBdr>
            <w:top w:val="none" w:sz="0" w:space="0" w:color="auto"/>
            <w:left w:val="none" w:sz="0" w:space="0" w:color="auto"/>
            <w:bottom w:val="none" w:sz="0" w:space="0" w:color="auto"/>
            <w:right w:val="none" w:sz="0" w:space="0" w:color="auto"/>
          </w:divBdr>
          <w:divsChild>
            <w:div w:id="1381175765">
              <w:marLeft w:val="0"/>
              <w:marRight w:val="0"/>
              <w:marTop w:val="0"/>
              <w:marBottom w:val="0"/>
              <w:divBdr>
                <w:top w:val="none" w:sz="0" w:space="0" w:color="auto"/>
                <w:left w:val="none" w:sz="0" w:space="0" w:color="auto"/>
                <w:bottom w:val="none" w:sz="0" w:space="0" w:color="auto"/>
                <w:right w:val="none" w:sz="0" w:space="0" w:color="auto"/>
              </w:divBdr>
            </w:div>
          </w:divsChild>
        </w:div>
        <w:div w:id="862865585">
          <w:marLeft w:val="0"/>
          <w:marRight w:val="0"/>
          <w:marTop w:val="0"/>
          <w:marBottom w:val="0"/>
          <w:divBdr>
            <w:top w:val="none" w:sz="0" w:space="0" w:color="auto"/>
            <w:left w:val="none" w:sz="0" w:space="0" w:color="auto"/>
            <w:bottom w:val="none" w:sz="0" w:space="0" w:color="auto"/>
            <w:right w:val="none" w:sz="0" w:space="0" w:color="auto"/>
          </w:divBdr>
          <w:divsChild>
            <w:div w:id="710301263">
              <w:marLeft w:val="0"/>
              <w:marRight w:val="0"/>
              <w:marTop w:val="0"/>
              <w:marBottom w:val="0"/>
              <w:divBdr>
                <w:top w:val="none" w:sz="0" w:space="0" w:color="auto"/>
                <w:left w:val="none" w:sz="0" w:space="0" w:color="auto"/>
                <w:bottom w:val="none" w:sz="0" w:space="0" w:color="auto"/>
                <w:right w:val="none" w:sz="0" w:space="0" w:color="auto"/>
              </w:divBdr>
            </w:div>
          </w:divsChild>
        </w:div>
        <w:div w:id="863135623">
          <w:marLeft w:val="0"/>
          <w:marRight w:val="0"/>
          <w:marTop w:val="0"/>
          <w:marBottom w:val="0"/>
          <w:divBdr>
            <w:top w:val="none" w:sz="0" w:space="0" w:color="auto"/>
            <w:left w:val="none" w:sz="0" w:space="0" w:color="auto"/>
            <w:bottom w:val="none" w:sz="0" w:space="0" w:color="auto"/>
            <w:right w:val="none" w:sz="0" w:space="0" w:color="auto"/>
          </w:divBdr>
          <w:divsChild>
            <w:div w:id="1625305620">
              <w:marLeft w:val="0"/>
              <w:marRight w:val="0"/>
              <w:marTop w:val="0"/>
              <w:marBottom w:val="0"/>
              <w:divBdr>
                <w:top w:val="none" w:sz="0" w:space="0" w:color="auto"/>
                <w:left w:val="none" w:sz="0" w:space="0" w:color="auto"/>
                <w:bottom w:val="none" w:sz="0" w:space="0" w:color="auto"/>
                <w:right w:val="none" w:sz="0" w:space="0" w:color="auto"/>
              </w:divBdr>
            </w:div>
          </w:divsChild>
        </w:div>
        <w:div w:id="863403849">
          <w:marLeft w:val="0"/>
          <w:marRight w:val="0"/>
          <w:marTop w:val="0"/>
          <w:marBottom w:val="0"/>
          <w:divBdr>
            <w:top w:val="none" w:sz="0" w:space="0" w:color="auto"/>
            <w:left w:val="none" w:sz="0" w:space="0" w:color="auto"/>
            <w:bottom w:val="none" w:sz="0" w:space="0" w:color="auto"/>
            <w:right w:val="none" w:sz="0" w:space="0" w:color="auto"/>
          </w:divBdr>
          <w:divsChild>
            <w:div w:id="1748068631">
              <w:marLeft w:val="0"/>
              <w:marRight w:val="0"/>
              <w:marTop w:val="0"/>
              <w:marBottom w:val="0"/>
              <w:divBdr>
                <w:top w:val="none" w:sz="0" w:space="0" w:color="auto"/>
                <w:left w:val="none" w:sz="0" w:space="0" w:color="auto"/>
                <w:bottom w:val="none" w:sz="0" w:space="0" w:color="auto"/>
                <w:right w:val="none" w:sz="0" w:space="0" w:color="auto"/>
              </w:divBdr>
            </w:div>
          </w:divsChild>
        </w:div>
        <w:div w:id="867376311">
          <w:marLeft w:val="0"/>
          <w:marRight w:val="0"/>
          <w:marTop w:val="0"/>
          <w:marBottom w:val="0"/>
          <w:divBdr>
            <w:top w:val="none" w:sz="0" w:space="0" w:color="auto"/>
            <w:left w:val="none" w:sz="0" w:space="0" w:color="auto"/>
            <w:bottom w:val="none" w:sz="0" w:space="0" w:color="auto"/>
            <w:right w:val="none" w:sz="0" w:space="0" w:color="auto"/>
          </w:divBdr>
          <w:divsChild>
            <w:div w:id="1860579363">
              <w:marLeft w:val="0"/>
              <w:marRight w:val="0"/>
              <w:marTop w:val="0"/>
              <w:marBottom w:val="0"/>
              <w:divBdr>
                <w:top w:val="none" w:sz="0" w:space="0" w:color="auto"/>
                <w:left w:val="none" w:sz="0" w:space="0" w:color="auto"/>
                <w:bottom w:val="none" w:sz="0" w:space="0" w:color="auto"/>
                <w:right w:val="none" w:sz="0" w:space="0" w:color="auto"/>
              </w:divBdr>
            </w:div>
          </w:divsChild>
        </w:div>
        <w:div w:id="868110037">
          <w:marLeft w:val="0"/>
          <w:marRight w:val="0"/>
          <w:marTop w:val="0"/>
          <w:marBottom w:val="0"/>
          <w:divBdr>
            <w:top w:val="none" w:sz="0" w:space="0" w:color="auto"/>
            <w:left w:val="none" w:sz="0" w:space="0" w:color="auto"/>
            <w:bottom w:val="none" w:sz="0" w:space="0" w:color="auto"/>
            <w:right w:val="none" w:sz="0" w:space="0" w:color="auto"/>
          </w:divBdr>
          <w:divsChild>
            <w:div w:id="212011073">
              <w:marLeft w:val="0"/>
              <w:marRight w:val="0"/>
              <w:marTop w:val="0"/>
              <w:marBottom w:val="0"/>
              <w:divBdr>
                <w:top w:val="none" w:sz="0" w:space="0" w:color="auto"/>
                <w:left w:val="none" w:sz="0" w:space="0" w:color="auto"/>
                <w:bottom w:val="none" w:sz="0" w:space="0" w:color="auto"/>
                <w:right w:val="none" w:sz="0" w:space="0" w:color="auto"/>
              </w:divBdr>
            </w:div>
          </w:divsChild>
        </w:div>
        <w:div w:id="868640259">
          <w:marLeft w:val="0"/>
          <w:marRight w:val="0"/>
          <w:marTop w:val="0"/>
          <w:marBottom w:val="0"/>
          <w:divBdr>
            <w:top w:val="none" w:sz="0" w:space="0" w:color="auto"/>
            <w:left w:val="none" w:sz="0" w:space="0" w:color="auto"/>
            <w:bottom w:val="none" w:sz="0" w:space="0" w:color="auto"/>
            <w:right w:val="none" w:sz="0" w:space="0" w:color="auto"/>
          </w:divBdr>
          <w:divsChild>
            <w:div w:id="1671518055">
              <w:marLeft w:val="0"/>
              <w:marRight w:val="0"/>
              <w:marTop w:val="0"/>
              <w:marBottom w:val="0"/>
              <w:divBdr>
                <w:top w:val="none" w:sz="0" w:space="0" w:color="auto"/>
                <w:left w:val="none" w:sz="0" w:space="0" w:color="auto"/>
                <w:bottom w:val="none" w:sz="0" w:space="0" w:color="auto"/>
                <w:right w:val="none" w:sz="0" w:space="0" w:color="auto"/>
              </w:divBdr>
            </w:div>
          </w:divsChild>
        </w:div>
        <w:div w:id="870726180">
          <w:marLeft w:val="0"/>
          <w:marRight w:val="0"/>
          <w:marTop w:val="0"/>
          <w:marBottom w:val="0"/>
          <w:divBdr>
            <w:top w:val="none" w:sz="0" w:space="0" w:color="auto"/>
            <w:left w:val="none" w:sz="0" w:space="0" w:color="auto"/>
            <w:bottom w:val="none" w:sz="0" w:space="0" w:color="auto"/>
            <w:right w:val="none" w:sz="0" w:space="0" w:color="auto"/>
          </w:divBdr>
          <w:divsChild>
            <w:div w:id="2115401010">
              <w:marLeft w:val="0"/>
              <w:marRight w:val="0"/>
              <w:marTop w:val="0"/>
              <w:marBottom w:val="0"/>
              <w:divBdr>
                <w:top w:val="none" w:sz="0" w:space="0" w:color="auto"/>
                <w:left w:val="none" w:sz="0" w:space="0" w:color="auto"/>
                <w:bottom w:val="none" w:sz="0" w:space="0" w:color="auto"/>
                <w:right w:val="none" w:sz="0" w:space="0" w:color="auto"/>
              </w:divBdr>
            </w:div>
          </w:divsChild>
        </w:div>
        <w:div w:id="872960266">
          <w:marLeft w:val="0"/>
          <w:marRight w:val="0"/>
          <w:marTop w:val="0"/>
          <w:marBottom w:val="0"/>
          <w:divBdr>
            <w:top w:val="none" w:sz="0" w:space="0" w:color="auto"/>
            <w:left w:val="none" w:sz="0" w:space="0" w:color="auto"/>
            <w:bottom w:val="none" w:sz="0" w:space="0" w:color="auto"/>
            <w:right w:val="none" w:sz="0" w:space="0" w:color="auto"/>
          </w:divBdr>
          <w:divsChild>
            <w:div w:id="1600334909">
              <w:marLeft w:val="0"/>
              <w:marRight w:val="0"/>
              <w:marTop w:val="0"/>
              <w:marBottom w:val="0"/>
              <w:divBdr>
                <w:top w:val="none" w:sz="0" w:space="0" w:color="auto"/>
                <w:left w:val="none" w:sz="0" w:space="0" w:color="auto"/>
                <w:bottom w:val="none" w:sz="0" w:space="0" w:color="auto"/>
                <w:right w:val="none" w:sz="0" w:space="0" w:color="auto"/>
              </w:divBdr>
            </w:div>
          </w:divsChild>
        </w:div>
        <w:div w:id="874003419">
          <w:marLeft w:val="0"/>
          <w:marRight w:val="0"/>
          <w:marTop w:val="0"/>
          <w:marBottom w:val="0"/>
          <w:divBdr>
            <w:top w:val="none" w:sz="0" w:space="0" w:color="auto"/>
            <w:left w:val="none" w:sz="0" w:space="0" w:color="auto"/>
            <w:bottom w:val="none" w:sz="0" w:space="0" w:color="auto"/>
            <w:right w:val="none" w:sz="0" w:space="0" w:color="auto"/>
          </w:divBdr>
          <w:divsChild>
            <w:div w:id="1214733970">
              <w:marLeft w:val="0"/>
              <w:marRight w:val="0"/>
              <w:marTop w:val="0"/>
              <w:marBottom w:val="0"/>
              <w:divBdr>
                <w:top w:val="none" w:sz="0" w:space="0" w:color="auto"/>
                <w:left w:val="none" w:sz="0" w:space="0" w:color="auto"/>
                <w:bottom w:val="none" w:sz="0" w:space="0" w:color="auto"/>
                <w:right w:val="none" w:sz="0" w:space="0" w:color="auto"/>
              </w:divBdr>
            </w:div>
          </w:divsChild>
        </w:div>
        <w:div w:id="876310972">
          <w:marLeft w:val="0"/>
          <w:marRight w:val="0"/>
          <w:marTop w:val="0"/>
          <w:marBottom w:val="0"/>
          <w:divBdr>
            <w:top w:val="none" w:sz="0" w:space="0" w:color="auto"/>
            <w:left w:val="none" w:sz="0" w:space="0" w:color="auto"/>
            <w:bottom w:val="none" w:sz="0" w:space="0" w:color="auto"/>
            <w:right w:val="none" w:sz="0" w:space="0" w:color="auto"/>
          </w:divBdr>
          <w:divsChild>
            <w:div w:id="1093206868">
              <w:marLeft w:val="0"/>
              <w:marRight w:val="0"/>
              <w:marTop w:val="0"/>
              <w:marBottom w:val="0"/>
              <w:divBdr>
                <w:top w:val="none" w:sz="0" w:space="0" w:color="auto"/>
                <w:left w:val="none" w:sz="0" w:space="0" w:color="auto"/>
                <w:bottom w:val="none" w:sz="0" w:space="0" w:color="auto"/>
                <w:right w:val="none" w:sz="0" w:space="0" w:color="auto"/>
              </w:divBdr>
            </w:div>
          </w:divsChild>
        </w:div>
        <w:div w:id="878663606">
          <w:marLeft w:val="0"/>
          <w:marRight w:val="0"/>
          <w:marTop w:val="0"/>
          <w:marBottom w:val="0"/>
          <w:divBdr>
            <w:top w:val="none" w:sz="0" w:space="0" w:color="auto"/>
            <w:left w:val="none" w:sz="0" w:space="0" w:color="auto"/>
            <w:bottom w:val="none" w:sz="0" w:space="0" w:color="auto"/>
            <w:right w:val="none" w:sz="0" w:space="0" w:color="auto"/>
          </w:divBdr>
          <w:divsChild>
            <w:div w:id="1184438151">
              <w:marLeft w:val="0"/>
              <w:marRight w:val="0"/>
              <w:marTop w:val="0"/>
              <w:marBottom w:val="0"/>
              <w:divBdr>
                <w:top w:val="none" w:sz="0" w:space="0" w:color="auto"/>
                <w:left w:val="none" w:sz="0" w:space="0" w:color="auto"/>
                <w:bottom w:val="none" w:sz="0" w:space="0" w:color="auto"/>
                <w:right w:val="none" w:sz="0" w:space="0" w:color="auto"/>
              </w:divBdr>
            </w:div>
          </w:divsChild>
        </w:div>
        <w:div w:id="880246686">
          <w:marLeft w:val="0"/>
          <w:marRight w:val="0"/>
          <w:marTop w:val="0"/>
          <w:marBottom w:val="0"/>
          <w:divBdr>
            <w:top w:val="none" w:sz="0" w:space="0" w:color="auto"/>
            <w:left w:val="none" w:sz="0" w:space="0" w:color="auto"/>
            <w:bottom w:val="none" w:sz="0" w:space="0" w:color="auto"/>
            <w:right w:val="none" w:sz="0" w:space="0" w:color="auto"/>
          </w:divBdr>
          <w:divsChild>
            <w:div w:id="538664921">
              <w:marLeft w:val="0"/>
              <w:marRight w:val="0"/>
              <w:marTop w:val="0"/>
              <w:marBottom w:val="0"/>
              <w:divBdr>
                <w:top w:val="none" w:sz="0" w:space="0" w:color="auto"/>
                <w:left w:val="none" w:sz="0" w:space="0" w:color="auto"/>
                <w:bottom w:val="none" w:sz="0" w:space="0" w:color="auto"/>
                <w:right w:val="none" w:sz="0" w:space="0" w:color="auto"/>
              </w:divBdr>
            </w:div>
          </w:divsChild>
        </w:div>
        <w:div w:id="880286114">
          <w:marLeft w:val="0"/>
          <w:marRight w:val="0"/>
          <w:marTop w:val="0"/>
          <w:marBottom w:val="0"/>
          <w:divBdr>
            <w:top w:val="none" w:sz="0" w:space="0" w:color="auto"/>
            <w:left w:val="none" w:sz="0" w:space="0" w:color="auto"/>
            <w:bottom w:val="none" w:sz="0" w:space="0" w:color="auto"/>
            <w:right w:val="none" w:sz="0" w:space="0" w:color="auto"/>
          </w:divBdr>
          <w:divsChild>
            <w:div w:id="237525013">
              <w:marLeft w:val="0"/>
              <w:marRight w:val="0"/>
              <w:marTop w:val="0"/>
              <w:marBottom w:val="0"/>
              <w:divBdr>
                <w:top w:val="none" w:sz="0" w:space="0" w:color="auto"/>
                <w:left w:val="none" w:sz="0" w:space="0" w:color="auto"/>
                <w:bottom w:val="none" w:sz="0" w:space="0" w:color="auto"/>
                <w:right w:val="none" w:sz="0" w:space="0" w:color="auto"/>
              </w:divBdr>
            </w:div>
          </w:divsChild>
        </w:div>
        <w:div w:id="881091337">
          <w:marLeft w:val="0"/>
          <w:marRight w:val="0"/>
          <w:marTop w:val="0"/>
          <w:marBottom w:val="0"/>
          <w:divBdr>
            <w:top w:val="none" w:sz="0" w:space="0" w:color="auto"/>
            <w:left w:val="none" w:sz="0" w:space="0" w:color="auto"/>
            <w:bottom w:val="none" w:sz="0" w:space="0" w:color="auto"/>
            <w:right w:val="none" w:sz="0" w:space="0" w:color="auto"/>
          </w:divBdr>
          <w:divsChild>
            <w:div w:id="1206334612">
              <w:marLeft w:val="0"/>
              <w:marRight w:val="0"/>
              <w:marTop w:val="0"/>
              <w:marBottom w:val="0"/>
              <w:divBdr>
                <w:top w:val="none" w:sz="0" w:space="0" w:color="auto"/>
                <w:left w:val="none" w:sz="0" w:space="0" w:color="auto"/>
                <w:bottom w:val="none" w:sz="0" w:space="0" w:color="auto"/>
                <w:right w:val="none" w:sz="0" w:space="0" w:color="auto"/>
              </w:divBdr>
            </w:div>
          </w:divsChild>
        </w:div>
        <w:div w:id="881790587">
          <w:marLeft w:val="0"/>
          <w:marRight w:val="0"/>
          <w:marTop w:val="0"/>
          <w:marBottom w:val="0"/>
          <w:divBdr>
            <w:top w:val="none" w:sz="0" w:space="0" w:color="auto"/>
            <w:left w:val="none" w:sz="0" w:space="0" w:color="auto"/>
            <w:bottom w:val="none" w:sz="0" w:space="0" w:color="auto"/>
            <w:right w:val="none" w:sz="0" w:space="0" w:color="auto"/>
          </w:divBdr>
          <w:divsChild>
            <w:div w:id="698821496">
              <w:marLeft w:val="0"/>
              <w:marRight w:val="0"/>
              <w:marTop w:val="0"/>
              <w:marBottom w:val="0"/>
              <w:divBdr>
                <w:top w:val="none" w:sz="0" w:space="0" w:color="auto"/>
                <w:left w:val="none" w:sz="0" w:space="0" w:color="auto"/>
                <w:bottom w:val="none" w:sz="0" w:space="0" w:color="auto"/>
                <w:right w:val="none" w:sz="0" w:space="0" w:color="auto"/>
              </w:divBdr>
            </w:div>
          </w:divsChild>
        </w:div>
        <w:div w:id="884223189">
          <w:marLeft w:val="0"/>
          <w:marRight w:val="0"/>
          <w:marTop w:val="0"/>
          <w:marBottom w:val="0"/>
          <w:divBdr>
            <w:top w:val="none" w:sz="0" w:space="0" w:color="auto"/>
            <w:left w:val="none" w:sz="0" w:space="0" w:color="auto"/>
            <w:bottom w:val="none" w:sz="0" w:space="0" w:color="auto"/>
            <w:right w:val="none" w:sz="0" w:space="0" w:color="auto"/>
          </w:divBdr>
          <w:divsChild>
            <w:div w:id="1383477653">
              <w:marLeft w:val="0"/>
              <w:marRight w:val="0"/>
              <w:marTop w:val="0"/>
              <w:marBottom w:val="0"/>
              <w:divBdr>
                <w:top w:val="none" w:sz="0" w:space="0" w:color="auto"/>
                <w:left w:val="none" w:sz="0" w:space="0" w:color="auto"/>
                <w:bottom w:val="none" w:sz="0" w:space="0" w:color="auto"/>
                <w:right w:val="none" w:sz="0" w:space="0" w:color="auto"/>
              </w:divBdr>
            </w:div>
          </w:divsChild>
        </w:div>
        <w:div w:id="888764627">
          <w:marLeft w:val="0"/>
          <w:marRight w:val="0"/>
          <w:marTop w:val="0"/>
          <w:marBottom w:val="0"/>
          <w:divBdr>
            <w:top w:val="none" w:sz="0" w:space="0" w:color="auto"/>
            <w:left w:val="none" w:sz="0" w:space="0" w:color="auto"/>
            <w:bottom w:val="none" w:sz="0" w:space="0" w:color="auto"/>
            <w:right w:val="none" w:sz="0" w:space="0" w:color="auto"/>
          </w:divBdr>
          <w:divsChild>
            <w:div w:id="655837891">
              <w:marLeft w:val="0"/>
              <w:marRight w:val="0"/>
              <w:marTop w:val="0"/>
              <w:marBottom w:val="0"/>
              <w:divBdr>
                <w:top w:val="none" w:sz="0" w:space="0" w:color="auto"/>
                <w:left w:val="none" w:sz="0" w:space="0" w:color="auto"/>
                <w:bottom w:val="none" w:sz="0" w:space="0" w:color="auto"/>
                <w:right w:val="none" w:sz="0" w:space="0" w:color="auto"/>
              </w:divBdr>
            </w:div>
          </w:divsChild>
        </w:div>
        <w:div w:id="891115801">
          <w:marLeft w:val="0"/>
          <w:marRight w:val="0"/>
          <w:marTop w:val="0"/>
          <w:marBottom w:val="0"/>
          <w:divBdr>
            <w:top w:val="none" w:sz="0" w:space="0" w:color="auto"/>
            <w:left w:val="none" w:sz="0" w:space="0" w:color="auto"/>
            <w:bottom w:val="none" w:sz="0" w:space="0" w:color="auto"/>
            <w:right w:val="none" w:sz="0" w:space="0" w:color="auto"/>
          </w:divBdr>
          <w:divsChild>
            <w:div w:id="1940136383">
              <w:marLeft w:val="0"/>
              <w:marRight w:val="0"/>
              <w:marTop w:val="0"/>
              <w:marBottom w:val="0"/>
              <w:divBdr>
                <w:top w:val="none" w:sz="0" w:space="0" w:color="auto"/>
                <w:left w:val="none" w:sz="0" w:space="0" w:color="auto"/>
                <w:bottom w:val="none" w:sz="0" w:space="0" w:color="auto"/>
                <w:right w:val="none" w:sz="0" w:space="0" w:color="auto"/>
              </w:divBdr>
            </w:div>
          </w:divsChild>
        </w:div>
        <w:div w:id="891884264">
          <w:marLeft w:val="0"/>
          <w:marRight w:val="0"/>
          <w:marTop w:val="0"/>
          <w:marBottom w:val="0"/>
          <w:divBdr>
            <w:top w:val="none" w:sz="0" w:space="0" w:color="auto"/>
            <w:left w:val="none" w:sz="0" w:space="0" w:color="auto"/>
            <w:bottom w:val="none" w:sz="0" w:space="0" w:color="auto"/>
            <w:right w:val="none" w:sz="0" w:space="0" w:color="auto"/>
          </w:divBdr>
          <w:divsChild>
            <w:div w:id="169638261">
              <w:marLeft w:val="0"/>
              <w:marRight w:val="0"/>
              <w:marTop w:val="0"/>
              <w:marBottom w:val="0"/>
              <w:divBdr>
                <w:top w:val="none" w:sz="0" w:space="0" w:color="auto"/>
                <w:left w:val="none" w:sz="0" w:space="0" w:color="auto"/>
                <w:bottom w:val="none" w:sz="0" w:space="0" w:color="auto"/>
                <w:right w:val="none" w:sz="0" w:space="0" w:color="auto"/>
              </w:divBdr>
            </w:div>
          </w:divsChild>
        </w:div>
        <w:div w:id="892883344">
          <w:marLeft w:val="0"/>
          <w:marRight w:val="0"/>
          <w:marTop w:val="0"/>
          <w:marBottom w:val="0"/>
          <w:divBdr>
            <w:top w:val="none" w:sz="0" w:space="0" w:color="auto"/>
            <w:left w:val="none" w:sz="0" w:space="0" w:color="auto"/>
            <w:bottom w:val="none" w:sz="0" w:space="0" w:color="auto"/>
            <w:right w:val="none" w:sz="0" w:space="0" w:color="auto"/>
          </w:divBdr>
          <w:divsChild>
            <w:div w:id="48309635">
              <w:marLeft w:val="0"/>
              <w:marRight w:val="0"/>
              <w:marTop w:val="0"/>
              <w:marBottom w:val="0"/>
              <w:divBdr>
                <w:top w:val="none" w:sz="0" w:space="0" w:color="auto"/>
                <w:left w:val="none" w:sz="0" w:space="0" w:color="auto"/>
                <w:bottom w:val="none" w:sz="0" w:space="0" w:color="auto"/>
                <w:right w:val="none" w:sz="0" w:space="0" w:color="auto"/>
              </w:divBdr>
            </w:div>
          </w:divsChild>
        </w:div>
        <w:div w:id="893929269">
          <w:marLeft w:val="0"/>
          <w:marRight w:val="0"/>
          <w:marTop w:val="0"/>
          <w:marBottom w:val="0"/>
          <w:divBdr>
            <w:top w:val="none" w:sz="0" w:space="0" w:color="auto"/>
            <w:left w:val="none" w:sz="0" w:space="0" w:color="auto"/>
            <w:bottom w:val="none" w:sz="0" w:space="0" w:color="auto"/>
            <w:right w:val="none" w:sz="0" w:space="0" w:color="auto"/>
          </w:divBdr>
          <w:divsChild>
            <w:div w:id="2124420172">
              <w:marLeft w:val="0"/>
              <w:marRight w:val="0"/>
              <w:marTop w:val="0"/>
              <w:marBottom w:val="0"/>
              <w:divBdr>
                <w:top w:val="none" w:sz="0" w:space="0" w:color="auto"/>
                <w:left w:val="none" w:sz="0" w:space="0" w:color="auto"/>
                <w:bottom w:val="none" w:sz="0" w:space="0" w:color="auto"/>
                <w:right w:val="none" w:sz="0" w:space="0" w:color="auto"/>
              </w:divBdr>
            </w:div>
          </w:divsChild>
        </w:div>
        <w:div w:id="900291282">
          <w:marLeft w:val="0"/>
          <w:marRight w:val="0"/>
          <w:marTop w:val="0"/>
          <w:marBottom w:val="0"/>
          <w:divBdr>
            <w:top w:val="none" w:sz="0" w:space="0" w:color="auto"/>
            <w:left w:val="none" w:sz="0" w:space="0" w:color="auto"/>
            <w:bottom w:val="none" w:sz="0" w:space="0" w:color="auto"/>
            <w:right w:val="none" w:sz="0" w:space="0" w:color="auto"/>
          </w:divBdr>
          <w:divsChild>
            <w:div w:id="29692413">
              <w:marLeft w:val="0"/>
              <w:marRight w:val="0"/>
              <w:marTop w:val="0"/>
              <w:marBottom w:val="0"/>
              <w:divBdr>
                <w:top w:val="none" w:sz="0" w:space="0" w:color="auto"/>
                <w:left w:val="none" w:sz="0" w:space="0" w:color="auto"/>
                <w:bottom w:val="none" w:sz="0" w:space="0" w:color="auto"/>
                <w:right w:val="none" w:sz="0" w:space="0" w:color="auto"/>
              </w:divBdr>
            </w:div>
          </w:divsChild>
        </w:div>
        <w:div w:id="900405073">
          <w:marLeft w:val="0"/>
          <w:marRight w:val="0"/>
          <w:marTop w:val="0"/>
          <w:marBottom w:val="0"/>
          <w:divBdr>
            <w:top w:val="none" w:sz="0" w:space="0" w:color="auto"/>
            <w:left w:val="none" w:sz="0" w:space="0" w:color="auto"/>
            <w:bottom w:val="none" w:sz="0" w:space="0" w:color="auto"/>
            <w:right w:val="none" w:sz="0" w:space="0" w:color="auto"/>
          </w:divBdr>
          <w:divsChild>
            <w:div w:id="1700203632">
              <w:marLeft w:val="0"/>
              <w:marRight w:val="0"/>
              <w:marTop w:val="0"/>
              <w:marBottom w:val="0"/>
              <w:divBdr>
                <w:top w:val="none" w:sz="0" w:space="0" w:color="auto"/>
                <w:left w:val="none" w:sz="0" w:space="0" w:color="auto"/>
                <w:bottom w:val="none" w:sz="0" w:space="0" w:color="auto"/>
                <w:right w:val="none" w:sz="0" w:space="0" w:color="auto"/>
              </w:divBdr>
            </w:div>
          </w:divsChild>
        </w:div>
        <w:div w:id="900604279">
          <w:marLeft w:val="0"/>
          <w:marRight w:val="0"/>
          <w:marTop w:val="0"/>
          <w:marBottom w:val="0"/>
          <w:divBdr>
            <w:top w:val="none" w:sz="0" w:space="0" w:color="auto"/>
            <w:left w:val="none" w:sz="0" w:space="0" w:color="auto"/>
            <w:bottom w:val="none" w:sz="0" w:space="0" w:color="auto"/>
            <w:right w:val="none" w:sz="0" w:space="0" w:color="auto"/>
          </w:divBdr>
          <w:divsChild>
            <w:div w:id="790436554">
              <w:marLeft w:val="0"/>
              <w:marRight w:val="0"/>
              <w:marTop w:val="0"/>
              <w:marBottom w:val="0"/>
              <w:divBdr>
                <w:top w:val="none" w:sz="0" w:space="0" w:color="auto"/>
                <w:left w:val="none" w:sz="0" w:space="0" w:color="auto"/>
                <w:bottom w:val="none" w:sz="0" w:space="0" w:color="auto"/>
                <w:right w:val="none" w:sz="0" w:space="0" w:color="auto"/>
              </w:divBdr>
            </w:div>
          </w:divsChild>
        </w:div>
        <w:div w:id="902905446">
          <w:marLeft w:val="0"/>
          <w:marRight w:val="0"/>
          <w:marTop w:val="0"/>
          <w:marBottom w:val="0"/>
          <w:divBdr>
            <w:top w:val="none" w:sz="0" w:space="0" w:color="auto"/>
            <w:left w:val="none" w:sz="0" w:space="0" w:color="auto"/>
            <w:bottom w:val="none" w:sz="0" w:space="0" w:color="auto"/>
            <w:right w:val="none" w:sz="0" w:space="0" w:color="auto"/>
          </w:divBdr>
          <w:divsChild>
            <w:div w:id="1862935095">
              <w:marLeft w:val="0"/>
              <w:marRight w:val="0"/>
              <w:marTop w:val="0"/>
              <w:marBottom w:val="0"/>
              <w:divBdr>
                <w:top w:val="none" w:sz="0" w:space="0" w:color="auto"/>
                <w:left w:val="none" w:sz="0" w:space="0" w:color="auto"/>
                <w:bottom w:val="none" w:sz="0" w:space="0" w:color="auto"/>
                <w:right w:val="none" w:sz="0" w:space="0" w:color="auto"/>
              </w:divBdr>
            </w:div>
          </w:divsChild>
        </w:div>
        <w:div w:id="906722079">
          <w:marLeft w:val="0"/>
          <w:marRight w:val="0"/>
          <w:marTop w:val="0"/>
          <w:marBottom w:val="0"/>
          <w:divBdr>
            <w:top w:val="none" w:sz="0" w:space="0" w:color="auto"/>
            <w:left w:val="none" w:sz="0" w:space="0" w:color="auto"/>
            <w:bottom w:val="none" w:sz="0" w:space="0" w:color="auto"/>
            <w:right w:val="none" w:sz="0" w:space="0" w:color="auto"/>
          </w:divBdr>
          <w:divsChild>
            <w:div w:id="548341535">
              <w:marLeft w:val="0"/>
              <w:marRight w:val="0"/>
              <w:marTop w:val="0"/>
              <w:marBottom w:val="0"/>
              <w:divBdr>
                <w:top w:val="none" w:sz="0" w:space="0" w:color="auto"/>
                <w:left w:val="none" w:sz="0" w:space="0" w:color="auto"/>
                <w:bottom w:val="none" w:sz="0" w:space="0" w:color="auto"/>
                <w:right w:val="none" w:sz="0" w:space="0" w:color="auto"/>
              </w:divBdr>
            </w:div>
          </w:divsChild>
        </w:div>
        <w:div w:id="910499958">
          <w:marLeft w:val="0"/>
          <w:marRight w:val="0"/>
          <w:marTop w:val="0"/>
          <w:marBottom w:val="0"/>
          <w:divBdr>
            <w:top w:val="none" w:sz="0" w:space="0" w:color="auto"/>
            <w:left w:val="none" w:sz="0" w:space="0" w:color="auto"/>
            <w:bottom w:val="none" w:sz="0" w:space="0" w:color="auto"/>
            <w:right w:val="none" w:sz="0" w:space="0" w:color="auto"/>
          </w:divBdr>
          <w:divsChild>
            <w:div w:id="81030516">
              <w:marLeft w:val="0"/>
              <w:marRight w:val="0"/>
              <w:marTop w:val="0"/>
              <w:marBottom w:val="0"/>
              <w:divBdr>
                <w:top w:val="none" w:sz="0" w:space="0" w:color="auto"/>
                <w:left w:val="none" w:sz="0" w:space="0" w:color="auto"/>
                <w:bottom w:val="none" w:sz="0" w:space="0" w:color="auto"/>
                <w:right w:val="none" w:sz="0" w:space="0" w:color="auto"/>
              </w:divBdr>
            </w:div>
          </w:divsChild>
        </w:div>
        <w:div w:id="918976627">
          <w:marLeft w:val="0"/>
          <w:marRight w:val="0"/>
          <w:marTop w:val="0"/>
          <w:marBottom w:val="0"/>
          <w:divBdr>
            <w:top w:val="none" w:sz="0" w:space="0" w:color="auto"/>
            <w:left w:val="none" w:sz="0" w:space="0" w:color="auto"/>
            <w:bottom w:val="none" w:sz="0" w:space="0" w:color="auto"/>
            <w:right w:val="none" w:sz="0" w:space="0" w:color="auto"/>
          </w:divBdr>
          <w:divsChild>
            <w:div w:id="1592467319">
              <w:marLeft w:val="0"/>
              <w:marRight w:val="0"/>
              <w:marTop w:val="0"/>
              <w:marBottom w:val="0"/>
              <w:divBdr>
                <w:top w:val="none" w:sz="0" w:space="0" w:color="auto"/>
                <w:left w:val="none" w:sz="0" w:space="0" w:color="auto"/>
                <w:bottom w:val="none" w:sz="0" w:space="0" w:color="auto"/>
                <w:right w:val="none" w:sz="0" w:space="0" w:color="auto"/>
              </w:divBdr>
            </w:div>
          </w:divsChild>
        </w:div>
        <w:div w:id="920405584">
          <w:marLeft w:val="0"/>
          <w:marRight w:val="0"/>
          <w:marTop w:val="0"/>
          <w:marBottom w:val="0"/>
          <w:divBdr>
            <w:top w:val="none" w:sz="0" w:space="0" w:color="auto"/>
            <w:left w:val="none" w:sz="0" w:space="0" w:color="auto"/>
            <w:bottom w:val="none" w:sz="0" w:space="0" w:color="auto"/>
            <w:right w:val="none" w:sz="0" w:space="0" w:color="auto"/>
          </w:divBdr>
          <w:divsChild>
            <w:div w:id="1791704820">
              <w:marLeft w:val="0"/>
              <w:marRight w:val="0"/>
              <w:marTop w:val="0"/>
              <w:marBottom w:val="0"/>
              <w:divBdr>
                <w:top w:val="none" w:sz="0" w:space="0" w:color="auto"/>
                <w:left w:val="none" w:sz="0" w:space="0" w:color="auto"/>
                <w:bottom w:val="none" w:sz="0" w:space="0" w:color="auto"/>
                <w:right w:val="none" w:sz="0" w:space="0" w:color="auto"/>
              </w:divBdr>
            </w:div>
          </w:divsChild>
        </w:div>
        <w:div w:id="922182609">
          <w:marLeft w:val="0"/>
          <w:marRight w:val="0"/>
          <w:marTop w:val="0"/>
          <w:marBottom w:val="0"/>
          <w:divBdr>
            <w:top w:val="none" w:sz="0" w:space="0" w:color="auto"/>
            <w:left w:val="none" w:sz="0" w:space="0" w:color="auto"/>
            <w:bottom w:val="none" w:sz="0" w:space="0" w:color="auto"/>
            <w:right w:val="none" w:sz="0" w:space="0" w:color="auto"/>
          </w:divBdr>
          <w:divsChild>
            <w:div w:id="362021399">
              <w:marLeft w:val="0"/>
              <w:marRight w:val="0"/>
              <w:marTop w:val="0"/>
              <w:marBottom w:val="0"/>
              <w:divBdr>
                <w:top w:val="none" w:sz="0" w:space="0" w:color="auto"/>
                <w:left w:val="none" w:sz="0" w:space="0" w:color="auto"/>
                <w:bottom w:val="none" w:sz="0" w:space="0" w:color="auto"/>
                <w:right w:val="none" w:sz="0" w:space="0" w:color="auto"/>
              </w:divBdr>
            </w:div>
          </w:divsChild>
        </w:div>
        <w:div w:id="926037577">
          <w:marLeft w:val="0"/>
          <w:marRight w:val="0"/>
          <w:marTop w:val="0"/>
          <w:marBottom w:val="0"/>
          <w:divBdr>
            <w:top w:val="none" w:sz="0" w:space="0" w:color="auto"/>
            <w:left w:val="none" w:sz="0" w:space="0" w:color="auto"/>
            <w:bottom w:val="none" w:sz="0" w:space="0" w:color="auto"/>
            <w:right w:val="none" w:sz="0" w:space="0" w:color="auto"/>
          </w:divBdr>
          <w:divsChild>
            <w:div w:id="1238981450">
              <w:marLeft w:val="0"/>
              <w:marRight w:val="0"/>
              <w:marTop w:val="0"/>
              <w:marBottom w:val="0"/>
              <w:divBdr>
                <w:top w:val="none" w:sz="0" w:space="0" w:color="auto"/>
                <w:left w:val="none" w:sz="0" w:space="0" w:color="auto"/>
                <w:bottom w:val="none" w:sz="0" w:space="0" w:color="auto"/>
                <w:right w:val="none" w:sz="0" w:space="0" w:color="auto"/>
              </w:divBdr>
            </w:div>
          </w:divsChild>
        </w:div>
        <w:div w:id="927274509">
          <w:marLeft w:val="0"/>
          <w:marRight w:val="0"/>
          <w:marTop w:val="0"/>
          <w:marBottom w:val="0"/>
          <w:divBdr>
            <w:top w:val="none" w:sz="0" w:space="0" w:color="auto"/>
            <w:left w:val="none" w:sz="0" w:space="0" w:color="auto"/>
            <w:bottom w:val="none" w:sz="0" w:space="0" w:color="auto"/>
            <w:right w:val="none" w:sz="0" w:space="0" w:color="auto"/>
          </w:divBdr>
          <w:divsChild>
            <w:div w:id="1455640263">
              <w:marLeft w:val="0"/>
              <w:marRight w:val="0"/>
              <w:marTop w:val="0"/>
              <w:marBottom w:val="0"/>
              <w:divBdr>
                <w:top w:val="none" w:sz="0" w:space="0" w:color="auto"/>
                <w:left w:val="none" w:sz="0" w:space="0" w:color="auto"/>
                <w:bottom w:val="none" w:sz="0" w:space="0" w:color="auto"/>
                <w:right w:val="none" w:sz="0" w:space="0" w:color="auto"/>
              </w:divBdr>
            </w:div>
          </w:divsChild>
        </w:div>
        <w:div w:id="927881326">
          <w:marLeft w:val="0"/>
          <w:marRight w:val="0"/>
          <w:marTop w:val="0"/>
          <w:marBottom w:val="0"/>
          <w:divBdr>
            <w:top w:val="none" w:sz="0" w:space="0" w:color="auto"/>
            <w:left w:val="none" w:sz="0" w:space="0" w:color="auto"/>
            <w:bottom w:val="none" w:sz="0" w:space="0" w:color="auto"/>
            <w:right w:val="none" w:sz="0" w:space="0" w:color="auto"/>
          </w:divBdr>
          <w:divsChild>
            <w:div w:id="1419791910">
              <w:marLeft w:val="0"/>
              <w:marRight w:val="0"/>
              <w:marTop w:val="0"/>
              <w:marBottom w:val="0"/>
              <w:divBdr>
                <w:top w:val="none" w:sz="0" w:space="0" w:color="auto"/>
                <w:left w:val="none" w:sz="0" w:space="0" w:color="auto"/>
                <w:bottom w:val="none" w:sz="0" w:space="0" w:color="auto"/>
                <w:right w:val="none" w:sz="0" w:space="0" w:color="auto"/>
              </w:divBdr>
            </w:div>
          </w:divsChild>
        </w:div>
        <w:div w:id="931474276">
          <w:marLeft w:val="0"/>
          <w:marRight w:val="0"/>
          <w:marTop w:val="0"/>
          <w:marBottom w:val="0"/>
          <w:divBdr>
            <w:top w:val="none" w:sz="0" w:space="0" w:color="auto"/>
            <w:left w:val="none" w:sz="0" w:space="0" w:color="auto"/>
            <w:bottom w:val="none" w:sz="0" w:space="0" w:color="auto"/>
            <w:right w:val="none" w:sz="0" w:space="0" w:color="auto"/>
          </w:divBdr>
          <w:divsChild>
            <w:div w:id="1970167576">
              <w:marLeft w:val="0"/>
              <w:marRight w:val="0"/>
              <w:marTop w:val="0"/>
              <w:marBottom w:val="0"/>
              <w:divBdr>
                <w:top w:val="none" w:sz="0" w:space="0" w:color="auto"/>
                <w:left w:val="none" w:sz="0" w:space="0" w:color="auto"/>
                <w:bottom w:val="none" w:sz="0" w:space="0" w:color="auto"/>
                <w:right w:val="none" w:sz="0" w:space="0" w:color="auto"/>
              </w:divBdr>
            </w:div>
          </w:divsChild>
        </w:div>
        <w:div w:id="934098657">
          <w:marLeft w:val="0"/>
          <w:marRight w:val="0"/>
          <w:marTop w:val="0"/>
          <w:marBottom w:val="0"/>
          <w:divBdr>
            <w:top w:val="none" w:sz="0" w:space="0" w:color="auto"/>
            <w:left w:val="none" w:sz="0" w:space="0" w:color="auto"/>
            <w:bottom w:val="none" w:sz="0" w:space="0" w:color="auto"/>
            <w:right w:val="none" w:sz="0" w:space="0" w:color="auto"/>
          </w:divBdr>
          <w:divsChild>
            <w:div w:id="30151489">
              <w:marLeft w:val="0"/>
              <w:marRight w:val="0"/>
              <w:marTop w:val="0"/>
              <w:marBottom w:val="0"/>
              <w:divBdr>
                <w:top w:val="none" w:sz="0" w:space="0" w:color="auto"/>
                <w:left w:val="none" w:sz="0" w:space="0" w:color="auto"/>
                <w:bottom w:val="none" w:sz="0" w:space="0" w:color="auto"/>
                <w:right w:val="none" w:sz="0" w:space="0" w:color="auto"/>
              </w:divBdr>
            </w:div>
          </w:divsChild>
        </w:div>
        <w:div w:id="940453943">
          <w:marLeft w:val="0"/>
          <w:marRight w:val="0"/>
          <w:marTop w:val="0"/>
          <w:marBottom w:val="0"/>
          <w:divBdr>
            <w:top w:val="none" w:sz="0" w:space="0" w:color="auto"/>
            <w:left w:val="none" w:sz="0" w:space="0" w:color="auto"/>
            <w:bottom w:val="none" w:sz="0" w:space="0" w:color="auto"/>
            <w:right w:val="none" w:sz="0" w:space="0" w:color="auto"/>
          </w:divBdr>
          <w:divsChild>
            <w:div w:id="696005353">
              <w:marLeft w:val="0"/>
              <w:marRight w:val="0"/>
              <w:marTop w:val="0"/>
              <w:marBottom w:val="0"/>
              <w:divBdr>
                <w:top w:val="none" w:sz="0" w:space="0" w:color="auto"/>
                <w:left w:val="none" w:sz="0" w:space="0" w:color="auto"/>
                <w:bottom w:val="none" w:sz="0" w:space="0" w:color="auto"/>
                <w:right w:val="none" w:sz="0" w:space="0" w:color="auto"/>
              </w:divBdr>
            </w:div>
          </w:divsChild>
        </w:div>
        <w:div w:id="947931840">
          <w:marLeft w:val="0"/>
          <w:marRight w:val="0"/>
          <w:marTop w:val="0"/>
          <w:marBottom w:val="0"/>
          <w:divBdr>
            <w:top w:val="none" w:sz="0" w:space="0" w:color="auto"/>
            <w:left w:val="none" w:sz="0" w:space="0" w:color="auto"/>
            <w:bottom w:val="none" w:sz="0" w:space="0" w:color="auto"/>
            <w:right w:val="none" w:sz="0" w:space="0" w:color="auto"/>
          </w:divBdr>
          <w:divsChild>
            <w:div w:id="759642878">
              <w:marLeft w:val="0"/>
              <w:marRight w:val="0"/>
              <w:marTop w:val="0"/>
              <w:marBottom w:val="0"/>
              <w:divBdr>
                <w:top w:val="none" w:sz="0" w:space="0" w:color="auto"/>
                <w:left w:val="none" w:sz="0" w:space="0" w:color="auto"/>
                <w:bottom w:val="none" w:sz="0" w:space="0" w:color="auto"/>
                <w:right w:val="none" w:sz="0" w:space="0" w:color="auto"/>
              </w:divBdr>
            </w:div>
          </w:divsChild>
        </w:div>
        <w:div w:id="950672632">
          <w:marLeft w:val="0"/>
          <w:marRight w:val="0"/>
          <w:marTop w:val="0"/>
          <w:marBottom w:val="0"/>
          <w:divBdr>
            <w:top w:val="none" w:sz="0" w:space="0" w:color="auto"/>
            <w:left w:val="none" w:sz="0" w:space="0" w:color="auto"/>
            <w:bottom w:val="none" w:sz="0" w:space="0" w:color="auto"/>
            <w:right w:val="none" w:sz="0" w:space="0" w:color="auto"/>
          </w:divBdr>
          <w:divsChild>
            <w:div w:id="2053192072">
              <w:marLeft w:val="0"/>
              <w:marRight w:val="0"/>
              <w:marTop w:val="0"/>
              <w:marBottom w:val="0"/>
              <w:divBdr>
                <w:top w:val="none" w:sz="0" w:space="0" w:color="auto"/>
                <w:left w:val="none" w:sz="0" w:space="0" w:color="auto"/>
                <w:bottom w:val="none" w:sz="0" w:space="0" w:color="auto"/>
                <w:right w:val="none" w:sz="0" w:space="0" w:color="auto"/>
              </w:divBdr>
            </w:div>
          </w:divsChild>
        </w:div>
        <w:div w:id="951475103">
          <w:marLeft w:val="0"/>
          <w:marRight w:val="0"/>
          <w:marTop w:val="0"/>
          <w:marBottom w:val="0"/>
          <w:divBdr>
            <w:top w:val="none" w:sz="0" w:space="0" w:color="auto"/>
            <w:left w:val="none" w:sz="0" w:space="0" w:color="auto"/>
            <w:bottom w:val="none" w:sz="0" w:space="0" w:color="auto"/>
            <w:right w:val="none" w:sz="0" w:space="0" w:color="auto"/>
          </w:divBdr>
          <w:divsChild>
            <w:div w:id="1677802842">
              <w:marLeft w:val="0"/>
              <w:marRight w:val="0"/>
              <w:marTop w:val="0"/>
              <w:marBottom w:val="0"/>
              <w:divBdr>
                <w:top w:val="none" w:sz="0" w:space="0" w:color="auto"/>
                <w:left w:val="none" w:sz="0" w:space="0" w:color="auto"/>
                <w:bottom w:val="none" w:sz="0" w:space="0" w:color="auto"/>
                <w:right w:val="none" w:sz="0" w:space="0" w:color="auto"/>
              </w:divBdr>
            </w:div>
          </w:divsChild>
        </w:div>
        <w:div w:id="953557363">
          <w:marLeft w:val="0"/>
          <w:marRight w:val="0"/>
          <w:marTop w:val="0"/>
          <w:marBottom w:val="0"/>
          <w:divBdr>
            <w:top w:val="none" w:sz="0" w:space="0" w:color="auto"/>
            <w:left w:val="none" w:sz="0" w:space="0" w:color="auto"/>
            <w:bottom w:val="none" w:sz="0" w:space="0" w:color="auto"/>
            <w:right w:val="none" w:sz="0" w:space="0" w:color="auto"/>
          </w:divBdr>
          <w:divsChild>
            <w:div w:id="942416316">
              <w:marLeft w:val="0"/>
              <w:marRight w:val="0"/>
              <w:marTop w:val="0"/>
              <w:marBottom w:val="0"/>
              <w:divBdr>
                <w:top w:val="none" w:sz="0" w:space="0" w:color="auto"/>
                <w:left w:val="none" w:sz="0" w:space="0" w:color="auto"/>
                <w:bottom w:val="none" w:sz="0" w:space="0" w:color="auto"/>
                <w:right w:val="none" w:sz="0" w:space="0" w:color="auto"/>
              </w:divBdr>
            </w:div>
          </w:divsChild>
        </w:div>
        <w:div w:id="954219239">
          <w:marLeft w:val="0"/>
          <w:marRight w:val="0"/>
          <w:marTop w:val="0"/>
          <w:marBottom w:val="0"/>
          <w:divBdr>
            <w:top w:val="none" w:sz="0" w:space="0" w:color="auto"/>
            <w:left w:val="none" w:sz="0" w:space="0" w:color="auto"/>
            <w:bottom w:val="none" w:sz="0" w:space="0" w:color="auto"/>
            <w:right w:val="none" w:sz="0" w:space="0" w:color="auto"/>
          </w:divBdr>
          <w:divsChild>
            <w:div w:id="1236821848">
              <w:marLeft w:val="0"/>
              <w:marRight w:val="0"/>
              <w:marTop w:val="0"/>
              <w:marBottom w:val="0"/>
              <w:divBdr>
                <w:top w:val="none" w:sz="0" w:space="0" w:color="auto"/>
                <w:left w:val="none" w:sz="0" w:space="0" w:color="auto"/>
                <w:bottom w:val="none" w:sz="0" w:space="0" w:color="auto"/>
                <w:right w:val="none" w:sz="0" w:space="0" w:color="auto"/>
              </w:divBdr>
            </w:div>
          </w:divsChild>
        </w:div>
        <w:div w:id="956452732">
          <w:marLeft w:val="0"/>
          <w:marRight w:val="0"/>
          <w:marTop w:val="0"/>
          <w:marBottom w:val="0"/>
          <w:divBdr>
            <w:top w:val="none" w:sz="0" w:space="0" w:color="auto"/>
            <w:left w:val="none" w:sz="0" w:space="0" w:color="auto"/>
            <w:bottom w:val="none" w:sz="0" w:space="0" w:color="auto"/>
            <w:right w:val="none" w:sz="0" w:space="0" w:color="auto"/>
          </w:divBdr>
          <w:divsChild>
            <w:div w:id="162010211">
              <w:marLeft w:val="0"/>
              <w:marRight w:val="0"/>
              <w:marTop w:val="0"/>
              <w:marBottom w:val="0"/>
              <w:divBdr>
                <w:top w:val="none" w:sz="0" w:space="0" w:color="auto"/>
                <w:left w:val="none" w:sz="0" w:space="0" w:color="auto"/>
                <w:bottom w:val="none" w:sz="0" w:space="0" w:color="auto"/>
                <w:right w:val="none" w:sz="0" w:space="0" w:color="auto"/>
              </w:divBdr>
            </w:div>
          </w:divsChild>
        </w:div>
        <w:div w:id="963075519">
          <w:marLeft w:val="0"/>
          <w:marRight w:val="0"/>
          <w:marTop w:val="0"/>
          <w:marBottom w:val="0"/>
          <w:divBdr>
            <w:top w:val="none" w:sz="0" w:space="0" w:color="auto"/>
            <w:left w:val="none" w:sz="0" w:space="0" w:color="auto"/>
            <w:bottom w:val="none" w:sz="0" w:space="0" w:color="auto"/>
            <w:right w:val="none" w:sz="0" w:space="0" w:color="auto"/>
          </w:divBdr>
          <w:divsChild>
            <w:div w:id="1550023927">
              <w:marLeft w:val="0"/>
              <w:marRight w:val="0"/>
              <w:marTop w:val="0"/>
              <w:marBottom w:val="0"/>
              <w:divBdr>
                <w:top w:val="none" w:sz="0" w:space="0" w:color="auto"/>
                <w:left w:val="none" w:sz="0" w:space="0" w:color="auto"/>
                <w:bottom w:val="none" w:sz="0" w:space="0" w:color="auto"/>
                <w:right w:val="none" w:sz="0" w:space="0" w:color="auto"/>
              </w:divBdr>
            </w:div>
          </w:divsChild>
        </w:div>
        <w:div w:id="967054446">
          <w:marLeft w:val="0"/>
          <w:marRight w:val="0"/>
          <w:marTop w:val="0"/>
          <w:marBottom w:val="0"/>
          <w:divBdr>
            <w:top w:val="none" w:sz="0" w:space="0" w:color="auto"/>
            <w:left w:val="none" w:sz="0" w:space="0" w:color="auto"/>
            <w:bottom w:val="none" w:sz="0" w:space="0" w:color="auto"/>
            <w:right w:val="none" w:sz="0" w:space="0" w:color="auto"/>
          </w:divBdr>
          <w:divsChild>
            <w:div w:id="565843574">
              <w:marLeft w:val="0"/>
              <w:marRight w:val="0"/>
              <w:marTop w:val="0"/>
              <w:marBottom w:val="0"/>
              <w:divBdr>
                <w:top w:val="none" w:sz="0" w:space="0" w:color="auto"/>
                <w:left w:val="none" w:sz="0" w:space="0" w:color="auto"/>
                <w:bottom w:val="none" w:sz="0" w:space="0" w:color="auto"/>
                <w:right w:val="none" w:sz="0" w:space="0" w:color="auto"/>
              </w:divBdr>
            </w:div>
          </w:divsChild>
        </w:div>
        <w:div w:id="967931430">
          <w:marLeft w:val="0"/>
          <w:marRight w:val="0"/>
          <w:marTop w:val="0"/>
          <w:marBottom w:val="0"/>
          <w:divBdr>
            <w:top w:val="none" w:sz="0" w:space="0" w:color="auto"/>
            <w:left w:val="none" w:sz="0" w:space="0" w:color="auto"/>
            <w:bottom w:val="none" w:sz="0" w:space="0" w:color="auto"/>
            <w:right w:val="none" w:sz="0" w:space="0" w:color="auto"/>
          </w:divBdr>
          <w:divsChild>
            <w:div w:id="695231520">
              <w:marLeft w:val="0"/>
              <w:marRight w:val="0"/>
              <w:marTop w:val="0"/>
              <w:marBottom w:val="0"/>
              <w:divBdr>
                <w:top w:val="none" w:sz="0" w:space="0" w:color="auto"/>
                <w:left w:val="none" w:sz="0" w:space="0" w:color="auto"/>
                <w:bottom w:val="none" w:sz="0" w:space="0" w:color="auto"/>
                <w:right w:val="none" w:sz="0" w:space="0" w:color="auto"/>
              </w:divBdr>
            </w:div>
          </w:divsChild>
        </w:div>
        <w:div w:id="970357255">
          <w:marLeft w:val="0"/>
          <w:marRight w:val="0"/>
          <w:marTop w:val="0"/>
          <w:marBottom w:val="0"/>
          <w:divBdr>
            <w:top w:val="none" w:sz="0" w:space="0" w:color="auto"/>
            <w:left w:val="none" w:sz="0" w:space="0" w:color="auto"/>
            <w:bottom w:val="none" w:sz="0" w:space="0" w:color="auto"/>
            <w:right w:val="none" w:sz="0" w:space="0" w:color="auto"/>
          </w:divBdr>
          <w:divsChild>
            <w:div w:id="294796040">
              <w:marLeft w:val="0"/>
              <w:marRight w:val="0"/>
              <w:marTop w:val="0"/>
              <w:marBottom w:val="0"/>
              <w:divBdr>
                <w:top w:val="none" w:sz="0" w:space="0" w:color="auto"/>
                <w:left w:val="none" w:sz="0" w:space="0" w:color="auto"/>
                <w:bottom w:val="none" w:sz="0" w:space="0" w:color="auto"/>
                <w:right w:val="none" w:sz="0" w:space="0" w:color="auto"/>
              </w:divBdr>
            </w:div>
          </w:divsChild>
        </w:div>
        <w:div w:id="970943279">
          <w:marLeft w:val="0"/>
          <w:marRight w:val="0"/>
          <w:marTop w:val="0"/>
          <w:marBottom w:val="0"/>
          <w:divBdr>
            <w:top w:val="none" w:sz="0" w:space="0" w:color="auto"/>
            <w:left w:val="none" w:sz="0" w:space="0" w:color="auto"/>
            <w:bottom w:val="none" w:sz="0" w:space="0" w:color="auto"/>
            <w:right w:val="none" w:sz="0" w:space="0" w:color="auto"/>
          </w:divBdr>
          <w:divsChild>
            <w:div w:id="794757232">
              <w:marLeft w:val="0"/>
              <w:marRight w:val="0"/>
              <w:marTop w:val="0"/>
              <w:marBottom w:val="0"/>
              <w:divBdr>
                <w:top w:val="none" w:sz="0" w:space="0" w:color="auto"/>
                <w:left w:val="none" w:sz="0" w:space="0" w:color="auto"/>
                <w:bottom w:val="none" w:sz="0" w:space="0" w:color="auto"/>
                <w:right w:val="none" w:sz="0" w:space="0" w:color="auto"/>
              </w:divBdr>
            </w:div>
          </w:divsChild>
        </w:div>
        <w:div w:id="973483234">
          <w:marLeft w:val="0"/>
          <w:marRight w:val="0"/>
          <w:marTop w:val="0"/>
          <w:marBottom w:val="0"/>
          <w:divBdr>
            <w:top w:val="none" w:sz="0" w:space="0" w:color="auto"/>
            <w:left w:val="none" w:sz="0" w:space="0" w:color="auto"/>
            <w:bottom w:val="none" w:sz="0" w:space="0" w:color="auto"/>
            <w:right w:val="none" w:sz="0" w:space="0" w:color="auto"/>
          </w:divBdr>
          <w:divsChild>
            <w:div w:id="1953440485">
              <w:marLeft w:val="0"/>
              <w:marRight w:val="0"/>
              <w:marTop w:val="0"/>
              <w:marBottom w:val="0"/>
              <w:divBdr>
                <w:top w:val="none" w:sz="0" w:space="0" w:color="auto"/>
                <w:left w:val="none" w:sz="0" w:space="0" w:color="auto"/>
                <w:bottom w:val="none" w:sz="0" w:space="0" w:color="auto"/>
                <w:right w:val="none" w:sz="0" w:space="0" w:color="auto"/>
              </w:divBdr>
            </w:div>
          </w:divsChild>
        </w:div>
        <w:div w:id="973488778">
          <w:marLeft w:val="0"/>
          <w:marRight w:val="0"/>
          <w:marTop w:val="0"/>
          <w:marBottom w:val="0"/>
          <w:divBdr>
            <w:top w:val="none" w:sz="0" w:space="0" w:color="auto"/>
            <w:left w:val="none" w:sz="0" w:space="0" w:color="auto"/>
            <w:bottom w:val="none" w:sz="0" w:space="0" w:color="auto"/>
            <w:right w:val="none" w:sz="0" w:space="0" w:color="auto"/>
          </w:divBdr>
          <w:divsChild>
            <w:div w:id="1517840656">
              <w:marLeft w:val="0"/>
              <w:marRight w:val="0"/>
              <w:marTop w:val="0"/>
              <w:marBottom w:val="0"/>
              <w:divBdr>
                <w:top w:val="none" w:sz="0" w:space="0" w:color="auto"/>
                <w:left w:val="none" w:sz="0" w:space="0" w:color="auto"/>
                <w:bottom w:val="none" w:sz="0" w:space="0" w:color="auto"/>
                <w:right w:val="none" w:sz="0" w:space="0" w:color="auto"/>
              </w:divBdr>
            </w:div>
          </w:divsChild>
        </w:div>
        <w:div w:id="977687186">
          <w:marLeft w:val="0"/>
          <w:marRight w:val="0"/>
          <w:marTop w:val="0"/>
          <w:marBottom w:val="0"/>
          <w:divBdr>
            <w:top w:val="none" w:sz="0" w:space="0" w:color="auto"/>
            <w:left w:val="none" w:sz="0" w:space="0" w:color="auto"/>
            <w:bottom w:val="none" w:sz="0" w:space="0" w:color="auto"/>
            <w:right w:val="none" w:sz="0" w:space="0" w:color="auto"/>
          </w:divBdr>
          <w:divsChild>
            <w:div w:id="321474484">
              <w:marLeft w:val="0"/>
              <w:marRight w:val="0"/>
              <w:marTop w:val="0"/>
              <w:marBottom w:val="0"/>
              <w:divBdr>
                <w:top w:val="none" w:sz="0" w:space="0" w:color="auto"/>
                <w:left w:val="none" w:sz="0" w:space="0" w:color="auto"/>
                <w:bottom w:val="none" w:sz="0" w:space="0" w:color="auto"/>
                <w:right w:val="none" w:sz="0" w:space="0" w:color="auto"/>
              </w:divBdr>
            </w:div>
          </w:divsChild>
        </w:div>
        <w:div w:id="979309098">
          <w:marLeft w:val="0"/>
          <w:marRight w:val="0"/>
          <w:marTop w:val="0"/>
          <w:marBottom w:val="0"/>
          <w:divBdr>
            <w:top w:val="none" w:sz="0" w:space="0" w:color="auto"/>
            <w:left w:val="none" w:sz="0" w:space="0" w:color="auto"/>
            <w:bottom w:val="none" w:sz="0" w:space="0" w:color="auto"/>
            <w:right w:val="none" w:sz="0" w:space="0" w:color="auto"/>
          </w:divBdr>
          <w:divsChild>
            <w:div w:id="647365704">
              <w:marLeft w:val="0"/>
              <w:marRight w:val="0"/>
              <w:marTop w:val="0"/>
              <w:marBottom w:val="0"/>
              <w:divBdr>
                <w:top w:val="none" w:sz="0" w:space="0" w:color="auto"/>
                <w:left w:val="none" w:sz="0" w:space="0" w:color="auto"/>
                <w:bottom w:val="none" w:sz="0" w:space="0" w:color="auto"/>
                <w:right w:val="none" w:sz="0" w:space="0" w:color="auto"/>
              </w:divBdr>
            </w:div>
          </w:divsChild>
        </w:div>
        <w:div w:id="986780925">
          <w:marLeft w:val="0"/>
          <w:marRight w:val="0"/>
          <w:marTop w:val="0"/>
          <w:marBottom w:val="0"/>
          <w:divBdr>
            <w:top w:val="none" w:sz="0" w:space="0" w:color="auto"/>
            <w:left w:val="none" w:sz="0" w:space="0" w:color="auto"/>
            <w:bottom w:val="none" w:sz="0" w:space="0" w:color="auto"/>
            <w:right w:val="none" w:sz="0" w:space="0" w:color="auto"/>
          </w:divBdr>
          <w:divsChild>
            <w:div w:id="1995259263">
              <w:marLeft w:val="0"/>
              <w:marRight w:val="0"/>
              <w:marTop w:val="0"/>
              <w:marBottom w:val="0"/>
              <w:divBdr>
                <w:top w:val="none" w:sz="0" w:space="0" w:color="auto"/>
                <w:left w:val="none" w:sz="0" w:space="0" w:color="auto"/>
                <w:bottom w:val="none" w:sz="0" w:space="0" w:color="auto"/>
                <w:right w:val="none" w:sz="0" w:space="0" w:color="auto"/>
              </w:divBdr>
            </w:div>
          </w:divsChild>
        </w:div>
        <w:div w:id="988247419">
          <w:marLeft w:val="0"/>
          <w:marRight w:val="0"/>
          <w:marTop w:val="0"/>
          <w:marBottom w:val="0"/>
          <w:divBdr>
            <w:top w:val="none" w:sz="0" w:space="0" w:color="auto"/>
            <w:left w:val="none" w:sz="0" w:space="0" w:color="auto"/>
            <w:bottom w:val="none" w:sz="0" w:space="0" w:color="auto"/>
            <w:right w:val="none" w:sz="0" w:space="0" w:color="auto"/>
          </w:divBdr>
          <w:divsChild>
            <w:div w:id="583757646">
              <w:marLeft w:val="0"/>
              <w:marRight w:val="0"/>
              <w:marTop w:val="0"/>
              <w:marBottom w:val="0"/>
              <w:divBdr>
                <w:top w:val="none" w:sz="0" w:space="0" w:color="auto"/>
                <w:left w:val="none" w:sz="0" w:space="0" w:color="auto"/>
                <w:bottom w:val="none" w:sz="0" w:space="0" w:color="auto"/>
                <w:right w:val="none" w:sz="0" w:space="0" w:color="auto"/>
              </w:divBdr>
            </w:div>
          </w:divsChild>
        </w:div>
        <w:div w:id="993290002">
          <w:marLeft w:val="0"/>
          <w:marRight w:val="0"/>
          <w:marTop w:val="0"/>
          <w:marBottom w:val="0"/>
          <w:divBdr>
            <w:top w:val="none" w:sz="0" w:space="0" w:color="auto"/>
            <w:left w:val="none" w:sz="0" w:space="0" w:color="auto"/>
            <w:bottom w:val="none" w:sz="0" w:space="0" w:color="auto"/>
            <w:right w:val="none" w:sz="0" w:space="0" w:color="auto"/>
          </w:divBdr>
          <w:divsChild>
            <w:div w:id="422992704">
              <w:marLeft w:val="0"/>
              <w:marRight w:val="0"/>
              <w:marTop w:val="0"/>
              <w:marBottom w:val="0"/>
              <w:divBdr>
                <w:top w:val="none" w:sz="0" w:space="0" w:color="auto"/>
                <w:left w:val="none" w:sz="0" w:space="0" w:color="auto"/>
                <w:bottom w:val="none" w:sz="0" w:space="0" w:color="auto"/>
                <w:right w:val="none" w:sz="0" w:space="0" w:color="auto"/>
              </w:divBdr>
            </w:div>
          </w:divsChild>
        </w:div>
        <w:div w:id="994526134">
          <w:marLeft w:val="0"/>
          <w:marRight w:val="0"/>
          <w:marTop w:val="0"/>
          <w:marBottom w:val="0"/>
          <w:divBdr>
            <w:top w:val="none" w:sz="0" w:space="0" w:color="auto"/>
            <w:left w:val="none" w:sz="0" w:space="0" w:color="auto"/>
            <w:bottom w:val="none" w:sz="0" w:space="0" w:color="auto"/>
            <w:right w:val="none" w:sz="0" w:space="0" w:color="auto"/>
          </w:divBdr>
          <w:divsChild>
            <w:div w:id="2008827023">
              <w:marLeft w:val="0"/>
              <w:marRight w:val="0"/>
              <w:marTop w:val="0"/>
              <w:marBottom w:val="0"/>
              <w:divBdr>
                <w:top w:val="none" w:sz="0" w:space="0" w:color="auto"/>
                <w:left w:val="none" w:sz="0" w:space="0" w:color="auto"/>
                <w:bottom w:val="none" w:sz="0" w:space="0" w:color="auto"/>
                <w:right w:val="none" w:sz="0" w:space="0" w:color="auto"/>
              </w:divBdr>
            </w:div>
          </w:divsChild>
        </w:div>
        <w:div w:id="995375622">
          <w:marLeft w:val="0"/>
          <w:marRight w:val="0"/>
          <w:marTop w:val="0"/>
          <w:marBottom w:val="0"/>
          <w:divBdr>
            <w:top w:val="none" w:sz="0" w:space="0" w:color="auto"/>
            <w:left w:val="none" w:sz="0" w:space="0" w:color="auto"/>
            <w:bottom w:val="none" w:sz="0" w:space="0" w:color="auto"/>
            <w:right w:val="none" w:sz="0" w:space="0" w:color="auto"/>
          </w:divBdr>
          <w:divsChild>
            <w:div w:id="387920310">
              <w:marLeft w:val="0"/>
              <w:marRight w:val="0"/>
              <w:marTop w:val="0"/>
              <w:marBottom w:val="0"/>
              <w:divBdr>
                <w:top w:val="none" w:sz="0" w:space="0" w:color="auto"/>
                <w:left w:val="none" w:sz="0" w:space="0" w:color="auto"/>
                <w:bottom w:val="none" w:sz="0" w:space="0" w:color="auto"/>
                <w:right w:val="none" w:sz="0" w:space="0" w:color="auto"/>
              </w:divBdr>
            </w:div>
          </w:divsChild>
        </w:div>
        <w:div w:id="996032218">
          <w:marLeft w:val="0"/>
          <w:marRight w:val="0"/>
          <w:marTop w:val="0"/>
          <w:marBottom w:val="0"/>
          <w:divBdr>
            <w:top w:val="none" w:sz="0" w:space="0" w:color="auto"/>
            <w:left w:val="none" w:sz="0" w:space="0" w:color="auto"/>
            <w:bottom w:val="none" w:sz="0" w:space="0" w:color="auto"/>
            <w:right w:val="none" w:sz="0" w:space="0" w:color="auto"/>
          </w:divBdr>
          <w:divsChild>
            <w:div w:id="431440845">
              <w:marLeft w:val="0"/>
              <w:marRight w:val="0"/>
              <w:marTop w:val="0"/>
              <w:marBottom w:val="0"/>
              <w:divBdr>
                <w:top w:val="none" w:sz="0" w:space="0" w:color="auto"/>
                <w:left w:val="none" w:sz="0" w:space="0" w:color="auto"/>
                <w:bottom w:val="none" w:sz="0" w:space="0" w:color="auto"/>
                <w:right w:val="none" w:sz="0" w:space="0" w:color="auto"/>
              </w:divBdr>
            </w:div>
          </w:divsChild>
        </w:div>
        <w:div w:id="997615574">
          <w:marLeft w:val="0"/>
          <w:marRight w:val="0"/>
          <w:marTop w:val="0"/>
          <w:marBottom w:val="0"/>
          <w:divBdr>
            <w:top w:val="none" w:sz="0" w:space="0" w:color="auto"/>
            <w:left w:val="none" w:sz="0" w:space="0" w:color="auto"/>
            <w:bottom w:val="none" w:sz="0" w:space="0" w:color="auto"/>
            <w:right w:val="none" w:sz="0" w:space="0" w:color="auto"/>
          </w:divBdr>
          <w:divsChild>
            <w:div w:id="1664818163">
              <w:marLeft w:val="0"/>
              <w:marRight w:val="0"/>
              <w:marTop w:val="0"/>
              <w:marBottom w:val="0"/>
              <w:divBdr>
                <w:top w:val="none" w:sz="0" w:space="0" w:color="auto"/>
                <w:left w:val="none" w:sz="0" w:space="0" w:color="auto"/>
                <w:bottom w:val="none" w:sz="0" w:space="0" w:color="auto"/>
                <w:right w:val="none" w:sz="0" w:space="0" w:color="auto"/>
              </w:divBdr>
            </w:div>
          </w:divsChild>
        </w:div>
        <w:div w:id="1004288136">
          <w:marLeft w:val="0"/>
          <w:marRight w:val="0"/>
          <w:marTop w:val="0"/>
          <w:marBottom w:val="0"/>
          <w:divBdr>
            <w:top w:val="none" w:sz="0" w:space="0" w:color="auto"/>
            <w:left w:val="none" w:sz="0" w:space="0" w:color="auto"/>
            <w:bottom w:val="none" w:sz="0" w:space="0" w:color="auto"/>
            <w:right w:val="none" w:sz="0" w:space="0" w:color="auto"/>
          </w:divBdr>
          <w:divsChild>
            <w:div w:id="476267660">
              <w:marLeft w:val="0"/>
              <w:marRight w:val="0"/>
              <w:marTop w:val="0"/>
              <w:marBottom w:val="0"/>
              <w:divBdr>
                <w:top w:val="none" w:sz="0" w:space="0" w:color="auto"/>
                <w:left w:val="none" w:sz="0" w:space="0" w:color="auto"/>
                <w:bottom w:val="none" w:sz="0" w:space="0" w:color="auto"/>
                <w:right w:val="none" w:sz="0" w:space="0" w:color="auto"/>
              </w:divBdr>
            </w:div>
          </w:divsChild>
        </w:div>
        <w:div w:id="1004673866">
          <w:marLeft w:val="0"/>
          <w:marRight w:val="0"/>
          <w:marTop w:val="0"/>
          <w:marBottom w:val="0"/>
          <w:divBdr>
            <w:top w:val="none" w:sz="0" w:space="0" w:color="auto"/>
            <w:left w:val="none" w:sz="0" w:space="0" w:color="auto"/>
            <w:bottom w:val="none" w:sz="0" w:space="0" w:color="auto"/>
            <w:right w:val="none" w:sz="0" w:space="0" w:color="auto"/>
          </w:divBdr>
          <w:divsChild>
            <w:div w:id="40836606">
              <w:marLeft w:val="0"/>
              <w:marRight w:val="0"/>
              <w:marTop w:val="0"/>
              <w:marBottom w:val="0"/>
              <w:divBdr>
                <w:top w:val="none" w:sz="0" w:space="0" w:color="auto"/>
                <w:left w:val="none" w:sz="0" w:space="0" w:color="auto"/>
                <w:bottom w:val="none" w:sz="0" w:space="0" w:color="auto"/>
                <w:right w:val="none" w:sz="0" w:space="0" w:color="auto"/>
              </w:divBdr>
            </w:div>
          </w:divsChild>
        </w:div>
        <w:div w:id="1004821142">
          <w:marLeft w:val="0"/>
          <w:marRight w:val="0"/>
          <w:marTop w:val="0"/>
          <w:marBottom w:val="0"/>
          <w:divBdr>
            <w:top w:val="none" w:sz="0" w:space="0" w:color="auto"/>
            <w:left w:val="none" w:sz="0" w:space="0" w:color="auto"/>
            <w:bottom w:val="none" w:sz="0" w:space="0" w:color="auto"/>
            <w:right w:val="none" w:sz="0" w:space="0" w:color="auto"/>
          </w:divBdr>
          <w:divsChild>
            <w:div w:id="1905530599">
              <w:marLeft w:val="0"/>
              <w:marRight w:val="0"/>
              <w:marTop w:val="0"/>
              <w:marBottom w:val="0"/>
              <w:divBdr>
                <w:top w:val="none" w:sz="0" w:space="0" w:color="auto"/>
                <w:left w:val="none" w:sz="0" w:space="0" w:color="auto"/>
                <w:bottom w:val="none" w:sz="0" w:space="0" w:color="auto"/>
                <w:right w:val="none" w:sz="0" w:space="0" w:color="auto"/>
              </w:divBdr>
            </w:div>
          </w:divsChild>
        </w:div>
        <w:div w:id="1005285921">
          <w:marLeft w:val="0"/>
          <w:marRight w:val="0"/>
          <w:marTop w:val="0"/>
          <w:marBottom w:val="0"/>
          <w:divBdr>
            <w:top w:val="none" w:sz="0" w:space="0" w:color="auto"/>
            <w:left w:val="none" w:sz="0" w:space="0" w:color="auto"/>
            <w:bottom w:val="none" w:sz="0" w:space="0" w:color="auto"/>
            <w:right w:val="none" w:sz="0" w:space="0" w:color="auto"/>
          </w:divBdr>
          <w:divsChild>
            <w:div w:id="1367751279">
              <w:marLeft w:val="0"/>
              <w:marRight w:val="0"/>
              <w:marTop w:val="0"/>
              <w:marBottom w:val="0"/>
              <w:divBdr>
                <w:top w:val="none" w:sz="0" w:space="0" w:color="auto"/>
                <w:left w:val="none" w:sz="0" w:space="0" w:color="auto"/>
                <w:bottom w:val="none" w:sz="0" w:space="0" w:color="auto"/>
                <w:right w:val="none" w:sz="0" w:space="0" w:color="auto"/>
              </w:divBdr>
            </w:div>
          </w:divsChild>
        </w:div>
        <w:div w:id="1005547746">
          <w:marLeft w:val="0"/>
          <w:marRight w:val="0"/>
          <w:marTop w:val="0"/>
          <w:marBottom w:val="0"/>
          <w:divBdr>
            <w:top w:val="none" w:sz="0" w:space="0" w:color="auto"/>
            <w:left w:val="none" w:sz="0" w:space="0" w:color="auto"/>
            <w:bottom w:val="none" w:sz="0" w:space="0" w:color="auto"/>
            <w:right w:val="none" w:sz="0" w:space="0" w:color="auto"/>
          </w:divBdr>
          <w:divsChild>
            <w:div w:id="1228686185">
              <w:marLeft w:val="0"/>
              <w:marRight w:val="0"/>
              <w:marTop w:val="0"/>
              <w:marBottom w:val="0"/>
              <w:divBdr>
                <w:top w:val="none" w:sz="0" w:space="0" w:color="auto"/>
                <w:left w:val="none" w:sz="0" w:space="0" w:color="auto"/>
                <w:bottom w:val="none" w:sz="0" w:space="0" w:color="auto"/>
                <w:right w:val="none" w:sz="0" w:space="0" w:color="auto"/>
              </w:divBdr>
            </w:div>
          </w:divsChild>
        </w:div>
        <w:div w:id="1006246271">
          <w:marLeft w:val="0"/>
          <w:marRight w:val="0"/>
          <w:marTop w:val="0"/>
          <w:marBottom w:val="0"/>
          <w:divBdr>
            <w:top w:val="none" w:sz="0" w:space="0" w:color="auto"/>
            <w:left w:val="none" w:sz="0" w:space="0" w:color="auto"/>
            <w:bottom w:val="none" w:sz="0" w:space="0" w:color="auto"/>
            <w:right w:val="none" w:sz="0" w:space="0" w:color="auto"/>
          </w:divBdr>
          <w:divsChild>
            <w:div w:id="677274259">
              <w:marLeft w:val="0"/>
              <w:marRight w:val="0"/>
              <w:marTop w:val="0"/>
              <w:marBottom w:val="0"/>
              <w:divBdr>
                <w:top w:val="none" w:sz="0" w:space="0" w:color="auto"/>
                <w:left w:val="none" w:sz="0" w:space="0" w:color="auto"/>
                <w:bottom w:val="none" w:sz="0" w:space="0" w:color="auto"/>
                <w:right w:val="none" w:sz="0" w:space="0" w:color="auto"/>
              </w:divBdr>
            </w:div>
          </w:divsChild>
        </w:div>
        <w:div w:id="1007176563">
          <w:marLeft w:val="0"/>
          <w:marRight w:val="0"/>
          <w:marTop w:val="0"/>
          <w:marBottom w:val="0"/>
          <w:divBdr>
            <w:top w:val="none" w:sz="0" w:space="0" w:color="auto"/>
            <w:left w:val="none" w:sz="0" w:space="0" w:color="auto"/>
            <w:bottom w:val="none" w:sz="0" w:space="0" w:color="auto"/>
            <w:right w:val="none" w:sz="0" w:space="0" w:color="auto"/>
          </w:divBdr>
          <w:divsChild>
            <w:div w:id="985012427">
              <w:marLeft w:val="0"/>
              <w:marRight w:val="0"/>
              <w:marTop w:val="0"/>
              <w:marBottom w:val="0"/>
              <w:divBdr>
                <w:top w:val="none" w:sz="0" w:space="0" w:color="auto"/>
                <w:left w:val="none" w:sz="0" w:space="0" w:color="auto"/>
                <w:bottom w:val="none" w:sz="0" w:space="0" w:color="auto"/>
                <w:right w:val="none" w:sz="0" w:space="0" w:color="auto"/>
              </w:divBdr>
            </w:div>
          </w:divsChild>
        </w:div>
        <w:div w:id="1013187973">
          <w:marLeft w:val="0"/>
          <w:marRight w:val="0"/>
          <w:marTop w:val="0"/>
          <w:marBottom w:val="0"/>
          <w:divBdr>
            <w:top w:val="none" w:sz="0" w:space="0" w:color="auto"/>
            <w:left w:val="none" w:sz="0" w:space="0" w:color="auto"/>
            <w:bottom w:val="none" w:sz="0" w:space="0" w:color="auto"/>
            <w:right w:val="none" w:sz="0" w:space="0" w:color="auto"/>
          </w:divBdr>
          <w:divsChild>
            <w:div w:id="335695509">
              <w:marLeft w:val="0"/>
              <w:marRight w:val="0"/>
              <w:marTop w:val="0"/>
              <w:marBottom w:val="0"/>
              <w:divBdr>
                <w:top w:val="none" w:sz="0" w:space="0" w:color="auto"/>
                <w:left w:val="none" w:sz="0" w:space="0" w:color="auto"/>
                <w:bottom w:val="none" w:sz="0" w:space="0" w:color="auto"/>
                <w:right w:val="none" w:sz="0" w:space="0" w:color="auto"/>
              </w:divBdr>
            </w:div>
          </w:divsChild>
        </w:div>
        <w:div w:id="1013723196">
          <w:marLeft w:val="0"/>
          <w:marRight w:val="0"/>
          <w:marTop w:val="0"/>
          <w:marBottom w:val="0"/>
          <w:divBdr>
            <w:top w:val="none" w:sz="0" w:space="0" w:color="auto"/>
            <w:left w:val="none" w:sz="0" w:space="0" w:color="auto"/>
            <w:bottom w:val="none" w:sz="0" w:space="0" w:color="auto"/>
            <w:right w:val="none" w:sz="0" w:space="0" w:color="auto"/>
          </w:divBdr>
          <w:divsChild>
            <w:div w:id="963390148">
              <w:marLeft w:val="0"/>
              <w:marRight w:val="0"/>
              <w:marTop w:val="0"/>
              <w:marBottom w:val="0"/>
              <w:divBdr>
                <w:top w:val="none" w:sz="0" w:space="0" w:color="auto"/>
                <w:left w:val="none" w:sz="0" w:space="0" w:color="auto"/>
                <w:bottom w:val="none" w:sz="0" w:space="0" w:color="auto"/>
                <w:right w:val="none" w:sz="0" w:space="0" w:color="auto"/>
              </w:divBdr>
            </w:div>
          </w:divsChild>
        </w:div>
        <w:div w:id="1015037219">
          <w:marLeft w:val="0"/>
          <w:marRight w:val="0"/>
          <w:marTop w:val="0"/>
          <w:marBottom w:val="0"/>
          <w:divBdr>
            <w:top w:val="none" w:sz="0" w:space="0" w:color="auto"/>
            <w:left w:val="none" w:sz="0" w:space="0" w:color="auto"/>
            <w:bottom w:val="none" w:sz="0" w:space="0" w:color="auto"/>
            <w:right w:val="none" w:sz="0" w:space="0" w:color="auto"/>
          </w:divBdr>
          <w:divsChild>
            <w:div w:id="1674143646">
              <w:marLeft w:val="0"/>
              <w:marRight w:val="0"/>
              <w:marTop w:val="0"/>
              <w:marBottom w:val="0"/>
              <w:divBdr>
                <w:top w:val="none" w:sz="0" w:space="0" w:color="auto"/>
                <w:left w:val="none" w:sz="0" w:space="0" w:color="auto"/>
                <w:bottom w:val="none" w:sz="0" w:space="0" w:color="auto"/>
                <w:right w:val="none" w:sz="0" w:space="0" w:color="auto"/>
              </w:divBdr>
            </w:div>
          </w:divsChild>
        </w:div>
        <w:div w:id="1015884245">
          <w:marLeft w:val="0"/>
          <w:marRight w:val="0"/>
          <w:marTop w:val="0"/>
          <w:marBottom w:val="0"/>
          <w:divBdr>
            <w:top w:val="none" w:sz="0" w:space="0" w:color="auto"/>
            <w:left w:val="none" w:sz="0" w:space="0" w:color="auto"/>
            <w:bottom w:val="none" w:sz="0" w:space="0" w:color="auto"/>
            <w:right w:val="none" w:sz="0" w:space="0" w:color="auto"/>
          </w:divBdr>
          <w:divsChild>
            <w:div w:id="1329402239">
              <w:marLeft w:val="0"/>
              <w:marRight w:val="0"/>
              <w:marTop w:val="0"/>
              <w:marBottom w:val="0"/>
              <w:divBdr>
                <w:top w:val="none" w:sz="0" w:space="0" w:color="auto"/>
                <w:left w:val="none" w:sz="0" w:space="0" w:color="auto"/>
                <w:bottom w:val="none" w:sz="0" w:space="0" w:color="auto"/>
                <w:right w:val="none" w:sz="0" w:space="0" w:color="auto"/>
              </w:divBdr>
            </w:div>
          </w:divsChild>
        </w:div>
        <w:div w:id="1018048405">
          <w:marLeft w:val="0"/>
          <w:marRight w:val="0"/>
          <w:marTop w:val="0"/>
          <w:marBottom w:val="0"/>
          <w:divBdr>
            <w:top w:val="none" w:sz="0" w:space="0" w:color="auto"/>
            <w:left w:val="none" w:sz="0" w:space="0" w:color="auto"/>
            <w:bottom w:val="none" w:sz="0" w:space="0" w:color="auto"/>
            <w:right w:val="none" w:sz="0" w:space="0" w:color="auto"/>
          </w:divBdr>
          <w:divsChild>
            <w:div w:id="165874777">
              <w:marLeft w:val="0"/>
              <w:marRight w:val="0"/>
              <w:marTop w:val="0"/>
              <w:marBottom w:val="0"/>
              <w:divBdr>
                <w:top w:val="none" w:sz="0" w:space="0" w:color="auto"/>
                <w:left w:val="none" w:sz="0" w:space="0" w:color="auto"/>
                <w:bottom w:val="none" w:sz="0" w:space="0" w:color="auto"/>
                <w:right w:val="none" w:sz="0" w:space="0" w:color="auto"/>
              </w:divBdr>
            </w:div>
          </w:divsChild>
        </w:div>
        <w:div w:id="1018657678">
          <w:marLeft w:val="0"/>
          <w:marRight w:val="0"/>
          <w:marTop w:val="0"/>
          <w:marBottom w:val="0"/>
          <w:divBdr>
            <w:top w:val="none" w:sz="0" w:space="0" w:color="auto"/>
            <w:left w:val="none" w:sz="0" w:space="0" w:color="auto"/>
            <w:bottom w:val="none" w:sz="0" w:space="0" w:color="auto"/>
            <w:right w:val="none" w:sz="0" w:space="0" w:color="auto"/>
          </w:divBdr>
          <w:divsChild>
            <w:div w:id="1215240022">
              <w:marLeft w:val="0"/>
              <w:marRight w:val="0"/>
              <w:marTop w:val="0"/>
              <w:marBottom w:val="0"/>
              <w:divBdr>
                <w:top w:val="none" w:sz="0" w:space="0" w:color="auto"/>
                <w:left w:val="none" w:sz="0" w:space="0" w:color="auto"/>
                <w:bottom w:val="none" w:sz="0" w:space="0" w:color="auto"/>
                <w:right w:val="none" w:sz="0" w:space="0" w:color="auto"/>
              </w:divBdr>
            </w:div>
          </w:divsChild>
        </w:div>
        <w:div w:id="1021470181">
          <w:marLeft w:val="0"/>
          <w:marRight w:val="0"/>
          <w:marTop w:val="0"/>
          <w:marBottom w:val="0"/>
          <w:divBdr>
            <w:top w:val="none" w:sz="0" w:space="0" w:color="auto"/>
            <w:left w:val="none" w:sz="0" w:space="0" w:color="auto"/>
            <w:bottom w:val="none" w:sz="0" w:space="0" w:color="auto"/>
            <w:right w:val="none" w:sz="0" w:space="0" w:color="auto"/>
          </w:divBdr>
          <w:divsChild>
            <w:div w:id="62682268">
              <w:marLeft w:val="0"/>
              <w:marRight w:val="0"/>
              <w:marTop w:val="0"/>
              <w:marBottom w:val="0"/>
              <w:divBdr>
                <w:top w:val="none" w:sz="0" w:space="0" w:color="auto"/>
                <w:left w:val="none" w:sz="0" w:space="0" w:color="auto"/>
                <w:bottom w:val="none" w:sz="0" w:space="0" w:color="auto"/>
                <w:right w:val="none" w:sz="0" w:space="0" w:color="auto"/>
              </w:divBdr>
            </w:div>
          </w:divsChild>
        </w:div>
        <w:div w:id="1023559248">
          <w:marLeft w:val="0"/>
          <w:marRight w:val="0"/>
          <w:marTop w:val="0"/>
          <w:marBottom w:val="0"/>
          <w:divBdr>
            <w:top w:val="none" w:sz="0" w:space="0" w:color="auto"/>
            <w:left w:val="none" w:sz="0" w:space="0" w:color="auto"/>
            <w:bottom w:val="none" w:sz="0" w:space="0" w:color="auto"/>
            <w:right w:val="none" w:sz="0" w:space="0" w:color="auto"/>
          </w:divBdr>
          <w:divsChild>
            <w:div w:id="1956909405">
              <w:marLeft w:val="0"/>
              <w:marRight w:val="0"/>
              <w:marTop w:val="0"/>
              <w:marBottom w:val="0"/>
              <w:divBdr>
                <w:top w:val="none" w:sz="0" w:space="0" w:color="auto"/>
                <w:left w:val="none" w:sz="0" w:space="0" w:color="auto"/>
                <w:bottom w:val="none" w:sz="0" w:space="0" w:color="auto"/>
                <w:right w:val="none" w:sz="0" w:space="0" w:color="auto"/>
              </w:divBdr>
            </w:div>
          </w:divsChild>
        </w:div>
        <w:div w:id="1023751016">
          <w:marLeft w:val="0"/>
          <w:marRight w:val="0"/>
          <w:marTop w:val="0"/>
          <w:marBottom w:val="0"/>
          <w:divBdr>
            <w:top w:val="none" w:sz="0" w:space="0" w:color="auto"/>
            <w:left w:val="none" w:sz="0" w:space="0" w:color="auto"/>
            <w:bottom w:val="none" w:sz="0" w:space="0" w:color="auto"/>
            <w:right w:val="none" w:sz="0" w:space="0" w:color="auto"/>
          </w:divBdr>
          <w:divsChild>
            <w:div w:id="12726227">
              <w:marLeft w:val="0"/>
              <w:marRight w:val="0"/>
              <w:marTop w:val="0"/>
              <w:marBottom w:val="0"/>
              <w:divBdr>
                <w:top w:val="none" w:sz="0" w:space="0" w:color="auto"/>
                <w:left w:val="none" w:sz="0" w:space="0" w:color="auto"/>
                <w:bottom w:val="none" w:sz="0" w:space="0" w:color="auto"/>
                <w:right w:val="none" w:sz="0" w:space="0" w:color="auto"/>
              </w:divBdr>
            </w:div>
          </w:divsChild>
        </w:div>
        <w:div w:id="1028022832">
          <w:marLeft w:val="0"/>
          <w:marRight w:val="0"/>
          <w:marTop w:val="0"/>
          <w:marBottom w:val="0"/>
          <w:divBdr>
            <w:top w:val="none" w:sz="0" w:space="0" w:color="auto"/>
            <w:left w:val="none" w:sz="0" w:space="0" w:color="auto"/>
            <w:bottom w:val="none" w:sz="0" w:space="0" w:color="auto"/>
            <w:right w:val="none" w:sz="0" w:space="0" w:color="auto"/>
          </w:divBdr>
          <w:divsChild>
            <w:div w:id="1779981740">
              <w:marLeft w:val="0"/>
              <w:marRight w:val="0"/>
              <w:marTop w:val="0"/>
              <w:marBottom w:val="0"/>
              <w:divBdr>
                <w:top w:val="none" w:sz="0" w:space="0" w:color="auto"/>
                <w:left w:val="none" w:sz="0" w:space="0" w:color="auto"/>
                <w:bottom w:val="none" w:sz="0" w:space="0" w:color="auto"/>
                <w:right w:val="none" w:sz="0" w:space="0" w:color="auto"/>
              </w:divBdr>
            </w:div>
          </w:divsChild>
        </w:div>
        <w:div w:id="1031952274">
          <w:marLeft w:val="0"/>
          <w:marRight w:val="0"/>
          <w:marTop w:val="0"/>
          <w:marBottom w:val="0"/>
          <w:divBdr>
            <w:top w:val="none" w:sz="0" w:space="0" w:color="auto"/>
            <w:left w:val="none" w:sz="0" w:space="0" w:color="auto"/>
            <w:bottom w:val="none" w:sz="0" w:space="0" w:color="auto"/>
            <w:right w:val="none" w:sz="0" w:space="0" w:color="auto"/>
          </w:divBdr>
          <w:divsChild>
            <w:div w:id="870072790">
              <w:marLeft w:val="0"/>
              <w:marRight w:val="0"/>
              <w:marTop w:val="0"/>
              <w:marBottom w:val="0"/>
              <w:divBdr>
                <w:top w:val="none" w:sz="0" w:space="0" w:color="auto"/>
                <w:left w:val="none" w:sz="0" w:space="0" w:color="auto"/>
                <w:bottom w:val="none" w:sz="0" w:space="0" w:color="auto"/>
                <w:right w:val="none" w:sz="0" w:space="0" w:color="auto"/>
              </w:divBdr>
            </w:div>
          </w:divsChild>
        </w:div>
        <w:div w:id="1036195784">
          <w:marLeft w:val="0"/>
          <w:marRight w:val="0"/>
          <w:marTop w:val="0"/>
          <w:marBottom w:val="0"/>
          <w:divBdr>
            <w:top w:val="none" w:sz="0" w:space="0" w:color="auto"/>
            <w:left w:val="none" w:sz="0" w:space="0" w:color="auto"/>
            <w:bottom w:val="none" w:sz="0" w:space="0" w:color="auto"/>
            <w:right w:val="none" w:sz="0" w:space="0" w:color="auto"/>
          </w:divBdr>
          <w:divsChild>
            <w:div w:id="249777306">
              <w:marLeft w:val="0"/>
              <w:marRight w:val="0"/>
              <w:marTop w:val="0"/>
              <w:marBottom w:val="0"/>
              <w:divBdr>
                <w:top w:val="none" w:sz="0" w:space="0" w:color="auto"/>
                <w:left w:val="none" w:sz="0" w:space="0" w:color="auto"/>
                <w:bottom w:val="none" w:sz="0" w:space="0" w:color="auto"/>
                <w:right w:val="none" w:sz="0" w:space="0" w:color="auto"/>
              </w:divBdr>
            </w:div>
          </w:divsChild>
        </w:div>
        <w:div w:id="1038092917">
          <w:marLeft w:val="0"/>
          <w:marRight w:val="0"/>
          <w:marTop w:val="0"/>
          <w:marBottom w:val="0"/>
          <w:divBdr>
            <w:top w:val="none" w:sz="0" w:space="0" w:color="auto"/>
            <w:left w:val="none" w:sz="0" w:space="0" w:color="auto"/>
            <w:bottom w:val="none" w:sz="0" w:space="0" w:color="auto"/>
            <w:right w:val="none" w:sz="0" w:space="0" w:color="auto"/>
          </w:divBdr>
          <w:divsChild>
            <w:div w:id="1333408573">
              <w:marLeft w:val="0"/>
              <w:marRight w:val="0"/>
              <w:marTop w:val="0"/>
              <w:marBottom w:val="0"/>
              <w:divBdr>
                <w:top w:val="none" w:sz="0" w:space="0" w:color="auto"/>
                <w:left w:val="none" w:sz="0" w:space="0" w:color="auto"/>
                <w:bottom w:val="none" w:sz="0" w:space="0" w:color="auto"/>
                <w:right w:val="none" w:sz="0" w:space="0" w:color="auto"/>
              </w:divBdr>
            </w:div>
          </w:divsChild>
        </w:div>
        <w:div w:id="1040858929">
          <w:marLeft w:val="0"/>
          <w:marRight w:val="0"/>
          <w:marTop w:val="0"/>
          <w:marBottom w:val="0"/>
          <w:divBdr>
            <w:top w:val="none" w:sz="0" w:space="0" w:color="auto"/>
            <w:left w:val="none" w:sz="0" w:space="0" w:color="auto"/>
            <w:bottom w:val="none" w:sz="0" w:space="0" w:color="auto"/>
            <w:right w:val="none" w:sz="0" w:space="0" w:color="auto"/>
          </w:divBdr>
          <w:divsChild>
            <w:div w:id="83962898">
              <w:marLeft w:val="0"/>
              <w:marRight w:val="0"/>
              <w:marTop w:val="0"/>
              <w:marBottom w:val="0"/>
              <w:divBdr>
                <w:top w:val="none" w:sz="0" w:space="0" w:color="auto"/>
                <w:left w:val="none" w:sz="0" w:space="0" w:color="auto"/>
                <w:bottom w:val="none" w:sz="0" w:space="0" w:color="auto"/>
                <w:right w:val="none" w:sz="0" w:space="0" w:color="auto"/>
              </w:divBdr>
            </w:div>
          </w:divsChild>
        </w:div>
        <w:div w:id="1046027983">
          <w:marLeft w:val="0"/>
          <w:marRight w:val="0"/>
          <w:marTop w:val="0"/>
          <w:marBottom w:val="0"/>
          <w:divBdr>
            <w:top w:val="none" w:sz="0" w:space="0" w:color="auto"/>
            <w:left w:val="none" w:sz="0" w:space="0" w:color="auto"/>
            <w:bottom w:val="none" w:sz="0" w:space="0" w:color="auto"/>
            <w:right w:val="none" w:sz="0" w:space="0" w:color="auto"/>
          </w:divBdr>
          <w:divsChild>
            <w:div w:id="357782098">
              <w:marLeft w:val="0"/>
              <w:marRight w:val="0"/>
              <w:marTop w:val="0"/>
              <w:marBottom w:val="0"/>
              <w:divBdr>
                <w:top w:val="none" w:sz="0" w:space="0" w:color="auto"/>
                <w:left w:val="none" w:sz="0" w:space="0" w:color="auto"/>
                <w:bottom w:val="none" w:sz="0" w:space="0" w:color="auto"/>
                <w:right w:val="none" w:sz="0" w:space="0" w:color="auto"/>
              </w:divBdr>
            </w:div>
          </w:divsChild>
        </w:div>
        <w:div w:id="1047922508">
          <w:marLeft w:val="0"/>
          <w:marRight w:val="0"/>
          <w:marTop w:val="0"/>
          <w:marBottom w:val="0"/>
          <w:divBdr>
            <w:top w:val="none" w:sz="0" w:space="0" w:color="auto"/>
            <w:left w:val="none" w:sz="0" w:space="0" w:color="auto"/>
            <w:bottom w:val="none" w:sz="0" w:space="0" w:color="auto"/>
            <w:right w:val="none" w:sz="0" w:space="0" w:color="auto"/>
          </w:divBdr>
          <w:divsChild>
            <w:div w:id="539627559">
              <w:marLeft w:val="0"/>
              <w:marRight w:val="0"/>
              <w:marTop w:val="0"/>
              <w:marBottom w:val="0"/>
              <w:divBdr>
                <w:top w:val="none" w:sz="0" w:space="0" w:color="auto"/>
                <w:left w:val="none" w:sz="0" w:space="0" w:color="auto"/>
                <w:bottom w:val="none" w:sz="0" w:space="0" w:color="auto"/>
                <w:right w:val="none" w:sz="0" w:space="0" w:color="auto"/>
              </w:divBdr>
            </w:div>
          </w:divsChild>
        </w:div>
        <w:div w:id="1048381021">
          <w:marLeft w:val="0"/>
          <w:marRight w:val="0"/>
          <w:marTop w:val="0"/>
          <w:marBottom w:val="0"/>
          <w:divBdr>
            <w:top w:val="none" w:sz="0" w:space="0" w:color="auto"/>
            <w:left w:val="none" w:sz="0" w:space="0" w:color="auto"/>
            <w:bottom w:val="none" w:sz="0" w:space="0" w:color="auto"/>
            <w:right w:val="none" w:sz="0" w:space="0" w:color="auto"/>
          </w:divBdr>
          <w:divsChild>
            <w:div w:id="591401513">
              <w:marLeft w:val="0"/>
              <w:marRight w:val="0"/>
              <w:marTop w:val="0"/>
              <w:marBottom w:val="0"/>
              <w:divBdr>
                <w:top w:val="none" w:sz="0" w:space="0" w:color="auto"/>
                <w:left w:val="none" w:sz="0" w:space="0" w:color="auto"/>
                <w:bottom w:val="none" w:sz="0" w:space="0" w:color="auto"/>
                <w:right w:val="none" w:sz="0" w:space="0" w:color="auto"/>
              </w:divBdr>
            </w:div>
          </w:divsChild>
        </w:div>
        <w:div w:id="1051879601">
          <w:marLeft w:val="0"/>
          <w:marRight w:val="0"/>
          <w:marTop w:val="0"/>
          <w:marBottom w:val="0"/>
          <w:divBdr>
            <w:top w:val="none" w:sz="0" w:space="0" w:color="auto"/>
            <w:left w:val="none" w:sz="0" w:space="0" w:color="auto"/>
            <w:bottom w:val="none" w:sz="0" w:space="0" w:color="auto"/>
            <w:right w:val="none" w:sz="0" w:space="0" w:color="auto"/>
          </w:divBdr>
          <w:divsChild>
            <w:div w:id="77023909">
              <w:marLeft w:val="0"/>
              <w:marRight w:val="0"/>
              <w:marTop w:val="0"/>
              <w:marBottom w:val="0"/>
              <w:divBdr>
                <w:top w:val="none" w:sz="0" w:space="0" w:color="auto"/>
                <w:left w:val="none" w:sz="0" w:space="0" w:color="auto"/>
                <w:bottom w:val="none" w:sz="0" w:space="0" w:color="auto"/>
                <w:right w:val="none" w:sz="0" w:space="0" w:color="auto"/>
              </w:divBdr>
            </w:div>
          </w:divsChild>
        </w:div>
        <w:div w:id="1055398800">
          <w:marLeft w:val="0"/>
          <w:marRight w:val="0"/>
          <w:marTop w:val="0"/>
          <w:marBottom w:val="0"/>
          <w:divBdr>
            <w:top w:val="none" w:sz="0" w:space="0" w:color="auto"/>
            <w:left w:val="none" w:sz="0" w:space="0" w:color="auto"/>
            <w:bottom w:val="none" w:sz="0" w:space="0" w:color="auto"/>
            <w:right w:val="none" w:sz="0" w:space="0" w:color="auto"/>
          </w:divBdr>
          <w:divsChild>
            <w:div w:id="1852572170">
              <w:marLeft w:val="0"/>
              <w:marRight w:val="0"/>
              <w:marTop w:val="0"/>
              <w:marBottom w:val="0"/>
              <w:divBdr>
                <w:top w:val="none" w:sz="0" w:space="0" w:color="auto"/>
                <w:left w:val="none" w:sz="0" w:space="0" w:color="auto"/>
                <w:bottom w:val="none" w:sz="0" w:space="0" w:color="auto"/>
                <w:right w:val="none" w:sz="0" w:space="0" w:color="auto"/>
              </w:divBdr>
            </w:div>
          </w:divsChild>
        </w:div>
        <w:div w:id="1065296274">
          <w:marLeft w:val="0"/>
          <w:marRight w:val="0"/>
          <w:marTop w:val="0"/>
          <w:marBottom w:val="0"/>
          <w:divBdr>
            <w:top w:val="none" w:sz="0" w:space="0" w:color="auto"/>
            <w:left w:val="none" w:sz="0" w:space="0" w:color="auto"/>
            <w:bottom w:val="none" w:sz="0" w:space="0" w:color="auto"/>
            <w:right w:val="none" w:sz="0" w:space="0" w:color="auto"/>
          </w:divBdr>
          <w:divsChild>
            <w:div w:id="869686203">
              <w:marLeft w:val="0"/>
              <w:marRight w:val="0"/>
              <w:marTop w:val="0"/>
              <w:marBottom w:val="0"/>
              <w:divBdr>
                <w:top w:val="none" w:sz="0" w:space="0" w:color="auto"/>
                <w:left w:val="none" w:sz="0" w:space="0" w:color="auto"/>
                <w:bottom w:val="none" w:sz="0" w:space="0" w:color="auto"/>
                <w:right w:val="none" w:sz="0" w:space="0" w:color="auto"/>
              </w:divBdr>
            </w:div>
          </w:divsChild>
        </w:div>
        <w:div w:id="1065682937">
          <w:marLeft w:val="0"/>
          <w:marRight w:val="0"/>
          <w:marTop w:val="0"/>
          <w:marBottom w:val="0"/>
          <w:divBdr>
            <w:top w:val="none" w:sz="0" w:space="0" w:color="auto"/>
            <w:left w:val="none" w:sz="0" w:space="0" w:color="auto"/>
            <w:bottom w:val="none" w:sz="0" w:space="0" w:color="auto"/>
            <w:right w:val="none" w:sz="0" w:space="0" w:color="auto"/>
          </w:divBdr>
          <w:divsChild>
            <w:div w:id="1279490395">
              <w:marLeft w:val="0"/>
              <w:marRight w:val="0"/>
              <w:marTop w:val="0"/>
              <w:marBottom w:val="0"/>
              <w:divBdr>
                <w:top w:val="none" w:sz="0" w:space="0" w:color="auto"/>
                <w:left w:val="none" w:sz="0" w:space="0" w:color="auto"/>
                <w:bottom w:val="none" w:sz="0" w:space="0" w:color="auto"/>
                <w:right w:val="none" w:sz="0" w:space="0" w:color="auto"/>
              </w:divBdr>
            </w:div>
          </w:divsChild>
        </w:div>
        <w:div w:id="1066731783">
          <w:marLeft w:val="0"/>
          <w:marRight w:val="0"/>
          <w:marTop w:val="0"/>
          <w:marBottom w:val="0"/>
          <w:divBdr>
            <w:top w:val="none" w:sz="0" w:space="0" w:color="auto"/>
            <w:left w:val="none" w:sz="0" w:space="0" w:color="auto"/>
            <w:bottom w:val="none" w:sz="0" w:space="0" w:color="auto"/>
            <w:right w:val="none" w:sz="0" w:space="0" w:color="auto"/>
          </w:divBdr>
          <w:divsChild>
            <w:div w:id="1088505839">
              <w:marLeft w:val="0"/>
              <w:marRight w:val="0"/>
              <w:marTop w:val="0"/>
              <w:marBottom w:val="0"/>
              <w:divBdr>
                <w:top w:val="none" w:sz="0" w:space="0" w:color="auto"/>
                <w:left w:val="none" w:sz="0" w:space="0" w:color="auto"/>
                <w:bottom w:val="none" w:sz="0" w:space="0" w:color="auto"/>
                <w:right w:val="none" w:sz="0" w:space="0" w:color="auto"/>
              </w:divBdr>
            </w:div>
          </w:divsChild>
        </w:div>
        <w:div w:id="1066954592">
          <w:marLeft w:val="0"/>
          <w:marRight w:val="0"/>
          <w:marTop w:val="0"/>
          <w:marBottom w:val="0"/>
          <w:divBdr>
            <w:top w:val="none" w:sz="0" w:space="0" w:color="auto"/>
            <w:left w:val="none" w:sz="0" w:space="0" w:color="auto"/>
            <w:bottom w:val="none" w:sz="0" w:space="0" w:color="auto"/>
            <w:right w:val="none" w:sz="0" w:space="0" w:color="auto"/>
          </w:divBdr>
          <w:divsChild>
            <w:div w:id="2047221080">
              <w:marLeft w:val="0"/>
              <w:marRight w:val="0"/>
              <w:marTop w:val="0"/>
              <w:marBottom w:val="0"/>
              <w:divBdr>
                <w:top w:val="none" w:sz="0" w:space="0" w:color="auto"/>
                <w:left w:val="none" w:sz="0" w:space="0" w:color="auto"/>
                <w:bottom w:val="none" w:sz="0" w:space="0" w:color="auto"/>
                <w:right w:val="none" w:sz="0" w:space="0" w:color="auto"/>
              </w:divBdr>
            </w:div>
          </w:divsChild>
        </w:div>
        <w:div w:id="1067652946">
          <w:marLeft w:val="0"/>
          <w:marRight w:val="0"/>
          <w:marTop w:val="0"/>
          <w:marBottom w:val="0"/>
          <w:divBdr>
            <w:top w:val="none" w:sz="0" w:space="0" w:color="auto"/>
            <w:left w:val="none" w:sz="0" w:space="0" w:color="auto"/>
            <w:bottom w:val="none" w:sz="0" w:space="0" w:color="auto"/>
            <w:right w:val="none" w:sz="0" w:space="0" w:color="auto"/>
          </w:divBdr>
          <w:divsChild>
            <w:div w:id="1305813903">
              <w:marLeft w:val="0"/>
              <w:marRight w:val="0"/>
              <w:marTop w:val="0"/>
              <w:marBottom w:val="0"/>
              <w:divBdr>
                <w:top w:val="none" w:sz="0" w:space="0" w:color="auto"/>
                <w:left w:val="none" w:sz="0" w:space="0" w:color="auto"/>
                <w:bottom w:val="none" w:sz="0" w:space="0" w:color="auto"/>
                <w:right w:val="none" w:sz="0" w:space="0" w:color="auto"/>
              </w:divBdr>
            </w:div>
          </w:divsChild>
        </w:div>
        <w:div w:id="1069424208">
          <w:marLeft w:val="0"/>
          <w:marRight w:val="0"/>
          <w:marTop w:val="0"/>
          <w:marBottom w:val="0"/>
          <w:divBdr>
            <w:top w:val="none" w:sz="0" w:space="0" w:color="auto"/>
            <w:left w:val="none" w:sz="0" w:space="0" w:color="auto"/>
            <w:bottom w:val="none" w:sz="0" w:space="0" w:color="auto"/>
            <w:right w:val="none" w:sz="0" w:space="0" w:color="auto"/>
          </w:divBdr>
          <w:divsChild>
            <w:div w:id="766848358">
              <w:marLeft w:val="0"/>
              <w:marRight w:val="0"/>
              <w:marTop w:val="0"/>
              <w:marBottom w:val="0"/>
              <w:divBdr>
                <w:top w:val="none" w:sz="0" w:space="0" w:color="auto"/>
                <w:left w:val="none" w:sz="0" w:space="0" w:color="auto"/>
                <w:bottom w:val="none" w:sz="0" w:space="0" w:color="auto"/>
                <w:right w:val="none" w:sz="0" w:space="0" w:color="auto"/>
              </w:divBdr>
            </w:div>
          </w:divsChild>
        </w:div>
        <w:div w:id="1072585812">
          <w:marLeft w:val="0"/>
          <w:marRight w:val="0"/>
          <w:marTop w:val="0"/>
          <w:marBottom w:val="0"/>
          <w:divBdr>
            <w:top w:val="none" w:sz="0" w:space="0" w:color="auto"/>
            <w:left w:val="none" w:sz="0" w:space="0" w:color="auto"/>
            <w:bottom w:val="none" w:sz="0" w:space="0" w:color="auto"/>
            <w:right w:val="none" w:sz="0" w:space="0" w:color="auto"/>
          </w:divBdr>
          <w:divsChild>
            <w:div w:id="333188198">
              <w:marLeft w:val="0"/>
              <w:marRight w:val="0"/>
              <w:marTop w:val="0"/>
              <w:marBottom w:val="0"/>
              <w:divBdr>
                <w:top w:val="none" w:sz="0" w:space="0" w:color="auto"/>
                <w:left w:val="none" w:sz="0" w:space="0" w:color="auto"/>
                <w:bottom w:val="none" w:sz="0" w:space="0" w:color="auto"/>
                <w:right w:val="none" w:sz="0" w:space="0" w:color="auto"/>
              </w:divBdr>
            </w:div>
          </w:divsChild>
        </w:div>
        <w:div w:id="1075592436">
          <w:marLeft w:val="0"/>
          <w:marRight w:val="0"/>
          <w:marTop w:val="0"/>
          <w:marBottom w:val="0"/>
          <w:divBdr>
            <w:top w:val="none" w:sz="0" w:space="0" w:color="auto"/>
            <w:left w:val="none" w:sz="0" w:space="0" w:color="auto"/>
            <w:bottom w:val="none" w:sz="0" w:space="0" w:color="auto"/>
            <w:right w:val="none" w:sz="0" w:space="0" w:color="auto"/>
          </w:divBdr>
          <w:divsChild>
            <w:div w:id="1424105155">
              <w:marLeft w:val="0"/>
              <w:marRight w:val="0"/>
              <w:marTop w:val="0"/>
              <w:marBottom w:val="0"/>
              <w:divBdr>
                <w:top w:val="none" w:sz="0" w:space="0" w:color="auto"/>
                <w:left w:val="none" w:sz="0" w:space="0" w:color="auto"/>
                <w:bottom w:val="none" w:sz="0" w:space="0" w:color="auto"/>
                <w:right w:val="none" w:sz="0" w:space="0" w:color="auto"/>
              </w:divBdr>
            </w:div>
          </w:divsChild>
        </w:div>
        <w:div w:id="1077092937">
          <w:marLeft w:val="0"/>
          <w:marRight w:val="0"/>
          <w:marTop w:val="0"/>
          <w:marBottom w:val="0"/>
          <w:divBdr>
            <w:top w:val="none" w:sz="0" w:space="0" w:color="auto"/>
            <w:left w:val="none" w:sz="0" w:space="0" w:color="auto"/>
            <w:bottom w:val="none" w:sz="0" w:space="0" w:color="auto"/>
            <w:right w:val="none" w:sz="0" w:space="0" w:color="auto"/>
          </w:divBdr>
          <w:divsChild>
            <w:div w:id="23790821">
              <w:marLeft w:val="0"/>
              <w:marRight w:val="0"/>
              <w:marTop w:val="0"/>
              <w:marBottom w:val="0"/>
              <w:divBdr>
                <w:top w:val="none" w:sz="0" w:space="0" w:color="auto"/>
                <w:left w:val="none" w:sz="0" w:space="0" w:color="auto"/>
                <w:bottom w:val="none" w:sz="0" w:space="0" w:color="auto"/>
                <w:right w:val="none" w:sz="0" w:space="0" w:color="auto"/>
              </w:divBdr>
            </w:div>
          </w:divsChild>
        </w:div>
        <w:div w:id="1082024540">
          <w:marLeft w:val="0"/>
          <w:marRight w:val="0"/>
          <w:marTop w:val="0"/>
          <w:marBottom w:val="0"/>
          <w:divBdr>
            <w:top w:val="none" w:sz="0" w:space="0" w:color="auto"/>
            <w:left w:val="none" w:sz="0" w:space="0" w:color="auto"/>
            <w:bottom w:val="none" w:sz="0" w:space="0" w:color="auto"/>
            <w:right w:val="none" w:sz="0" w:space="0" w:color="auto"/>
          </w:divBdr>
          <w:divsChild>
            <w:div w:id="2028827464">
              <w:marLeft w:val="0"/>
              <w:marRight w:val="0"/>
              <w:marTop w:val="0"/>
              <w:marBottom w:val="0"/>
              <w:divBdr>
                <w:top w:val="none" w:sz="0" w:space="0" w:color="auto"/>
                <w:left w:val="none" w:sz="0" w:space="0" w:color="auto"/>
                <w:bottom w:val="none" w:sz="0" w:space="0" w:color="auto"/>
                <w:right w:val="none" w:sz="0" w:space="0" w:color="auto"/>
              </w:divBdr>
            </w:div>
          </w:divsChild>
        </w:div>
        <w:div w:id="1082680680">
          <w:marLeft w:val="0"/>
          <w:marRight w:val="0"/>
          <w:marTop w:val="0"/>
          <w:marBottom w:val="0"/>
          <w:divBdr>
            <w:top w:val="none" w:sz="0" w:space="0" w:color="auto"/>
            <w:left w:val="none" w:sz="0" w:space="0" w:color="auto"/>
            <w:bottom w:val="none" w:sz="0" w:space="0" w:color="auto"/>
            <w:right w:val="none" w:sz="0" w:space="0" w:color="auto"/>
          </w:divBdr>
          <w:divsChild>
            <w:div w:id="172648744">
              <w:marLeft w:val="0"/>
              <w:marRight w:val="0"/>
              <w:marTop w:val="0"/>
              <w:marBottom w:val="0"/>
              <w:divBdr>
                <w:top w:val="none" w:sz="0" w:space="0" w:color="auto"/>
                <w:left w:val="none" w:sz="0" w:space="0" w:color="auto"/>
                <w:bottom w:val="none" w:sz="0" w:space="0" w:color="auto"/>
                <w:right w:val="none" w:sz="0" w:space="0" w:color="auto"/>
              </w:divBdr>
            </w:div>
          </w:divsChild>
        </w:div>
        <w:div w:id="1083378874">
          <w:marLeft w:val="0"/>
          <w:marRight w:val="0"/>
          <w:marTop w:val="0"/>
          <w:marBottom w:val="0"/>
          <w:divBdr>
            <w:top w:val="none" w:sz="0" w:space="0" w:color="auto"/>
            <w:left w:val="none" w:sz="0" w:space="0" w:color="auto"/>
            <w:bottom w:val="none" w:sz="0" w:space="0" w:color="auto"/>
            <w:right w:val="none" w:sz="0" w:space="0" w:color="auto"/>
          </w:divBdr>
          <w:divsChild>
            <w:div w:id="1759017270">
              <w:marLeft w:val="0"/>
              <w:marRight w:val="0"/>
              <w:marTop w:val="0"/>
              <w:marBottom w:val="0"/>
              <w:divBdr>
                <w:top w:val="none" w:sz="0" w:space="0" w:color="auto"/>
                <w:left w:val="none" w:sz="0" w:space="0" w:color="auto"/>
                <w:bottom w:val="none" w:sz="0" w:space="0" w:color="auto"/>
                <w:right w:val="none" w:sz="0" w:space="0" w:color="auto"/>
              </w:divBdr>
            </w:div>
          </w:divsChild>
        </w:div>
        <w:div w:id="1084646127">
          <w:marLeft w:val="0"/>
          <w:marRight w:val="0"/>
          <w:marTop w:val="0"/>
          <w:marBottom w:val="0"/>
          <w:divBdr>
            <w:top w:val="none" w:sz="0" w:space="0" w:color="auto"/>
            <w:left w:val="none" w:sz="0" w:space="0" w:color="auto"/>
            <w:bottom w:val="none" w:sz="0" w:space="0" w:color="auto"/>
            <w:right w:val="none" w:sz="0" w:space="0" w:color="auto"/>
          </w:divBdr>
          <w:divsChild>
            <w:div w:id="591856251">
              <w:marLeft w:val="0"/>
              <w:marRight w:val="0"/>
              <w:marTop w:val="0"/>
              <w:marBottom w:val="0"/>
              <w:divBdr>
                <w:top w:val="none" w:sz="0" w:space="0" w:color="auto"/>
                <w:left w:val="none" w:sz="0" w:space="0" w:color="auto"/>
                <w:bottom w:val="none" w:sz="0" w:space="0" w:color="auto"/>
                <w:right w:val="none" w:sz="0" w:space="0" w:color="auto"/>
              </w:divBdr>
            </w:div>
          </w:divsChild>
        </w:div>
        <w:div w:id="1085876802">
          <w:marLeft w:val="0"/>
          <w:marRight w:val="0"/>
          <w:marTop w:val="0"/>
          <w:marBottom w:val="0"/>
          <w:divBdr>
            <w:top w:val="none" w:sz="0" w:space="0" w:color="auto"/>
            <w:left w:val="none" w:sz="0" w:space="0" w:color="auto"/>
            <w:bottom w:val="none" w:sz="0" w:space="0" w:color="auto"/>
            <w:right w:val="none" w:sz="0" w:space="0" w:color="auto"/>
          </w:divBdr>
          <w:divsChild>
            <w:div w:id="824081548">
              <w:marLeft w:val="0"/>
              <w:marRight w:val="0"/>
              <w:marTop w:val="0"/>
              <w:marBottom w:val="0"/>
              <w:divBdr>
                <w:top w:val="none" w:sz="0" w:space="0" w:color="auto"/>
                <w:left w:val="none" w:sz="0" w:space="0" w:color="auto"/>
                <w:bottom w:val="none" w:sz="0" w:space="0" w:color="auto"/>
                <w:right w:val="none" w:sz="0" w:space="0" w:color="auto"/>
              </w:divBdr>
            </w:div>
          </w:divsChild>
        </w:div>
        <w:div w:id="1085959652">
          <w:marLeft w:val="0"/>
          <w:marRight w:val="0"/>
          <w:marTop w:val="0"/>
          <w:marBottom w:val="0"/>
          <w:divBdr>
            <w:top w:val="none" w:sz="0" w:space="0" w:color="auto"/>
            <w:left w:val="none" w:sz="0" w:space="0" w:color="auto"/>
            <w:bottom w:val="none" w:sz="0" w:space="0" w:color="auto"/>
            <w:right w:val="none" w:sz="0" w:space="0" w:color="auto"/>
          </w:divBdr>
          <w:divsChild>
            <w:div w:id="2045402260">
              <w:marLeft w:val="0"/>
              <w:marRight w:val="0"/>
              <w:marTop w:val="0"/>
              <w:marBottom w:val="0"/>
              <w:divBdr>
                <w:top w:val="none" w:sz="0" w:space="0" w:color="auto"/>
                <w:left w:val="none" w:sz="0" w:space="0" w:color="auto"/>
                <w:bottom w:val="none" w:sz="0" w:space="0" w:color="auto"/>
                <w:right w:val="none" w:sz="0" w:space="0" w:color="auto"/>
              </w:divBdr>
            </w:div>
          </w:divsChild>
        </w:div>
        <w:div w:id="1086539723">
          <w:marLeft w:val="0"/>
          <w:marRight w:val="0"/>
          <w:marTop w:val="0"/>
          <w:marBottom w:val="0"/>
          <w:divBdr>
            <w:top w:val="none" w:sz="0" w:space="0" w:color="auto"/>
            <w:left w:val="none" w:sz="0" w:space="0" w:color="auto"/>
            <w:bottom w:val="none" w:sz="0" w:space="0" w:color="auto"/>
            <w:right w:val="none" w:sz="0" w:space="0" w:color="auto"/>
          </w:divBdr>
          <w:divsChild>
            <w:div w:id="197202810">
              <w:marLeft w:val="0"/>
              <w:marRight w:val="0"/>
              <w:marTop w:val="0"/>
              <w:marBottom w:val="0"/>
              <w:divBdr>
                <w:top w:val="none" w:sz="0" w:space="0" w:color="auto"/>
                <w:left w:val="none" w:sz="0" w:space="0" w:color="auto"/>
                <w:bottom w:val="none" w:sz="0" w:space="0" w:color="auto"/>
                <w:right w:val="none" w:sz="0" w:space="0" w:color="auto"/>
              </w:divBdr>
            </w:div>
          </w:divsChild>
        </w:div>
        <w:div w:id="1093865871">
          <w:marLeft w:val="0"/>
          <w:marRight w:val="0"/>
          <w:marTop w:val="0"/>
          <w:marBottom w:val="0"/>
          <w:divBdr>
            <w:top w:val="none" w:sz="0" w:space="0" w:color="auto"/>
            <w:left w:val="none" w:sz="0" w:space="0" w:color="auto"/>
            <w:bottom w:val="none" w:sz="0" w:space="0" w:color="auto"/>
            <w:right w:val="none" w:sz="0" w:space="0" w:color="auto"/>
          </w:divBdr>
          <w:divsChild>
            <w:div w:id="836842198">
              <w:marLeft w:val="0"/>
              <w:marRight w:val="0"/>
              <w:marTop w:val="0"/>
              <w:marBottom w:val="0"/>
              <w:divBdr>
                <w:top w:val="none" w:sz="0" w:space="0" w:color="auto"/>
                <w:left w:val="none" w:sz="0" w:space="0" w:color="auto"/>
                <w:bottom w:val="none" w:sz="0" w:space="0" w:color="auto"/>
                <w:right w:val="none" w:sz="0" w:space="0" w:color="auto"/>
              </w:divBdr>
            </w:div>
          </w:divsChild>
        </w:div>
        <w:div w:id="1094210316">
          <w:marLeft w:val="0"/>
          <w:marRight w:val="0"/>
          <w:marTop w:val="0"/>
          <w:marBottom w:val="0"/>
          <w:divBdr>
            <w:top w:val="none" w:sz="0" w:space="0" w:color="auto"/>
            <w:left w:val="none" w:sz="0" w:space="0" w:color="auto"/>
            <w:bottom w:val="none" w:sz="0" w:space="0" w:color="auto"/>
            <w:right w:val="none" w:sz="0" w:space="0" w:color="auto"/>
          </w:divBdr>
          <w:divsChild>
            <w:div w:id="780690270">
              <w:marLeft w:val="0"/>
              <w:marRight w:val="0"/>
              <w:marTop w:val="0"/>
              <w:marBottom w:val="0"/>
              <w:divBdr>
                <w:top w:val="none" w:sz="0" w:space="0" w:color="auto"/>
                <w:left w:val="none" w:sz="0" w:space="0" w:color="auto"/>
                <w:bottom w:val="none" w:sz="0" w:space="0" w:color="auto"/>
                <w:right w:val="none" w:sz="0" w:space="0" w:color="auto"/>
              </w:divBdr>
            </w:div>
          </w:divsChild>
        </w:div>
        <w:div w:id="1101146171">
          <w:marLeft w:val="0"/>
          <w:marRight w:val="0"/>
          <w:marTop w:val="0"/>
          <w:marBottom w:val="0"/>
          <w:divBdr>
            <w:top w:val="none" w:sz="0" w:space="0" w:color="auto"/>
            <w:left w:val="none" w:sz="0" w:space="0" w:color="auto"/>
            <w:bottom w:val="none" w:sz="0" w:space="0" w:color="auto"/>
            <w:right w:val="none" w:sz="0" w:space="0" w:color="auto"/>
          </w:divBdr>
          <w:divsChild>
            <w:div w:id="819925999">
              <w:marLeft w:val="0"/>
              <w:marRight w:val="0"/>
              <w:marTop w:val="0"/>
              <w:marBottom w:val="0"/>
              <w:divBdr>
                <w:top w:val="none" w:sz="0" w:space="0" w:color="auto"/>
                <w:left w:val="none" w:sz="0" w:space="0" w:color="auto"/>
                <w:bottom w:val="none" w:sz="0" w:space="0" w:color="auto"/>
                <w:right w:val="none" w:sz="0" w:space="0" w:color="auto"/>
              </w:divBdr>
            </w:div>
          </w:divsChild>
        </w:div>
        <w:div w:id="1104881413">
          <w:marLeft w:val="0"/>
          <w:marRight w:val="0"/>
          <w:marTop w:val="0"/>
          <w:marBottom w:val="0"/>
          <w:divBdr>
            <w:top w:val="none" w:sz="0" w:space="0" w:color="auto"/>
            <w:left w:val="none" w:sz="0" w:space="0" w:color="auto"/>
            <w:bottom w:val="none" w:sz="0" w:space="0" w:color="auto"/>
            <w:right w:val="none" w:sz="0" w:space="0" w:color="auto"/>
          </w:divBdr>
          <w:divsChild>
            <w:div w:id="1636519676">
              <w:marLeft w:val="0"/>
              <w:marRight w:val="0"/>
              <w:marTop w:val="0"/>
              <w:marBottom w:val="0"/>
              <w:divBdr>
                <w:top w:val="none" w:sz="0" w:space="0" w:color="auto"/>
                <w:left w:val="none" w:sz="0" w:space="0" w:color="auto"/>
                <w:bottom w:val="none" w:sz="0" w:space="0" w:color="auto"/>
                <w:right w:val="none" w:sz="0" w:space="0" w:color="auto"/>
              </w:divBdr>
            </w:div>
          </w:divsChild>
        </w:div>
        <w:div w:id="1107624900">
          <w:marLeft w:val="0"/>
          <w:marRight w:val="0"/>
          <w:marTop w:val="0"/>
          <w:marBottom w:val="0"/>
          <w:divBdr>
            <w:top w:val="none" w:sz="0" w:space="0" w:color="auto"/>
            <w:left w:val="none" w:sz="0" w:space="0" w:color="auto"/>
            <w:bottom w:val="none" w:sz="0" w:space="0" w:color="auto"/>
            <w:right w:val="none" w:sz="0" w:space="0" w:color="auto"/>
          </w:divBdr>
          <w:divsChild>
            <w:div w:id="1529904872">
              <w:marLeft w:val="0"/>
              <w:marRight w:val="0"/>
              <w:marTop w:val="0"/>
              <w:marBottom w:val="0"/>
              <w:divBdr>
                <w:top w:val="none" w:sz="0" w:space="0" w:color="auto"/>
                <w:left w:val="none" w:sz="0" w:space="0" w:color="auto"/>
                <w:bottom w:val="none" w:sz="0" w:space="0" w:color="auto"/>
                <w:right w:val="none" w:sz="0" w:space="0" w:color="auto"/>
              </w:divBdr>
            </w:div>
          </w:divsChild>
        </w:div>
        <w:div w:id="1110783807">
          <w:marLeft w:val="0"/>
          <w:marRight w:val="0"/>
          <w:marTop w:val="0"/>
          <w:marBottom w:val="0"/>
          <w:divBdr>
            <w:top w:val="none" w:sz="0" w:space="0" w:color="auto"/>
            <w:left w:val="none" w:sz="0" w:space="0" w:color="auto"/>
            <w:bottom w:val="none" w:sz="0" w:space="0" w:color="auto"/>
            <w:right w:val="none" w:sz="0" w:space="0" w:color="auto"/>
          </w:divBdr>
          <w:divsChild>
            <w:div w:id="1555392020">
              <w:marLeft w:val="0"/>
              <w:marRight w:val="0"/>
              <w:marTop w:val="0"/>
              <w:marBottom w:val="0"/>
              <w:divBdr>
                <w:top w:val="none" w:sz="0" w:space="0" w:color="auto"/>
                <w:left w:val="none" w:sz="0" w:space="0" w:color="auto"/>
                <w:bottom w:val="none" w:sz="0" w:space="0" w:color="auto"/>
                <w:right w:val="none" w:sz="0" w:space="0" w:color="auto"/>
              </w:divBdr>
            </w:div>
          </w:divsChild>
        </w:div>
        <w:div w:id="1113789497">
          <w:marLeft w:val="0"/>
          <w:marRight w:val="0"/>
          <w:marTop w:val="0"/>
          <w:marBottom w:val="0"/>
          <w:divBdr>
            <w:top w:val="none" w:sz="0" w:space="0" w:color="auto"/>
            <w:left w:val="none" w:sz="0" w:space="0" w:color="auto"/>
            <w:bottom w:val="none" w:sz="0" w:space="0" w:color="auto"/>
            <w:right w:val="none" w:sz="0" w:space="0" w:color="auto"/>
          </w:divBdr>
          <w:divsChild>
            <w:div w:id="330065065">
              <w:marLeft w:val="0"/>
              <w:marRight w:val="0"/>
              <w:marTop w:val="0"/>
              <w:marBottom w:val="0"/>
              <w:divBdr>
                <w:top w:val="none" w:sz="0" w:space="0" w:color="auto"/>
                <w:left w:val="none" w:sz="0" w:space="0" w:color="auto"/>
                <w:bottom w:val="none" w:sz="0" w:space="0" w:color="auto"/>
                <w:right w:val="none" w:sz="0" w:space="0" w:color="auto"/>
              </w:divBdr>
            </w:div>
          </w:divsChild>
        </w:div>
        <w:div w:id="1116633542">
          <w:marLeft w:val="0"/>
          <w:marRight w:val="0"/>
          <w:marTop w:val="0"/>
          <w:marBottom w:val="0"/>
          <w:divBdr>
            <w:top w:val="none" w:sz="0" w:space="0" w:color="auto"/>
            <w:left w:val="none" w:sz="0" w:space="0" w:color="auto"/>
            <w:bottom w:val="none" w:sz="0" w:space="0" w:color="auto"/>
            <w:right w:val="none" w:sz="0" w:space="0" w:color="auto"/>
          </w:divBdr>
          <w:divsChild>
            <w:div w:id="1960255775">
              <w:marLeft w:val="0"/>
              <w:marRight w:val="0"/>
              <w:marTop w:val="0"/>
              <w:marBottom w:val="0"/>
              <w:divBdr>
                <w:top w:val="none" w:sz="0" w:space="0" w:color="auto"/>
                <w:left w:val="none" w:sz="0" w:space="0" w:color="auto"/>
                <w:bottom w:val="none" w:sz="0" w:space="0" w:color="auto"/>
                <w:right w:val="none" w:sz="0" w:space="0" w:color="auto"/>
              </w:divBdr>
            </w:div>
          </w:divsChild>
        </w:div>
        <w:div w:id="1117068854">
          <w:marLeft w:val="0"/>
          <w:marRight w:val="0"/>
          <w:marTop w:val="0"/>
          <w:marBottom w:val="0"/>
          <w:divBdr>
            <w:top w:val="none" w:sz="0" w:space="0" w:color="auto"/>
            <w:left w:val="none" w:sz="0" w:space="0" w:color="auto"/>
            <w:bottom w:val="none" w:sz="0" w:space="0" w:color="auto"/>
            <w:right w:val="none" w:sz="0" w:space="0" w:color="auto"/>
          </w:divBdr>
          <w:divsChild>
            <w:div w:id="101262780">
              <w:marLeft w:val="0"/>
              <w:marRight w:val="0"/>
              <w:marTop w:val="0"/>
              <w:marBottom w:val="0"/>
              <w:divBdr>
                <w:top w:val="none" w:sz="0" w:space="0" w:color="auto"/>
                <w:left w:val="none" w:sz="0" w:space="0" w:color="auto"/>
                <w:bottom w:val="none" w:sz="0" w:space="0" w:color="auto"/>
                <w:right w:val="none" w:sz="0" w:space="0" w:color="auto"/>
              </w:divBdr>
            </w:div>
          </w:divsChild>
        </w:div>
        <w:div w:id="1118568498">
          <w:marLeft w:val="0"/>
          <w:marRight w:val="0"/>
          <w:marTop w:val="0"/>
          <w:marBottom w:val="0"/>
          <w:divBdr>
            <w:top w:val="none" w:sz="0" w:space="0" w:color="auto"/>
            <w:left w:val="none" w:sz="0" w:space="0" w:color="auto"/>
            <w:bottom w:val="none" w:sz="0" w:space="0" w:color="auto"/>
            <w:right w:val="none" w:sz="0" w:space="0" w:color="auto"/>
          </w:divBdr>
          <w:divsChild>
            <w:div w:id="144712341">
              <w:marLeft w:val="0"/>
              <w:marRight w:val="0"/>
              <w:marTop w:val="0"/>
              <w:marBottom w:val="0"/>
              <w:divBdr>
                <w:top w:val="none" w:sz="0" w:space="0" w:color="auto"/>
                <w:left w:val="none" w:sz="0" w:space="0" w:color="auto"/>
                <w:bottom w:val="none" w:sz="0" w:space="0" w:color="auto"/>
                <w:right w:val="none" w:sz="0" w:space="0" w:color="auto"/>
              </w:divBdr>
            </w:div>
          </w:divsChild>
        </w:div>
        <w:div w:id="1121730909">
          <w:marLeft w:val="0"/>
          <w:marRight w:val="0"/>
          <w:marTop w:val="0"/>
          <w:marBottom w:val="0"/>
          <w:divBdr>
            <w:top w:val="none" w:sz="0" w:space="0" w:color="auto"/>
            <w:left w:val="none" w:sz="0" w:space="0" w:color="auto"/>
            <w:bottom w:val="none" w:sz="0" w:space="0" w:color="auto"/>
            <w:right w:val="none" w:sz="0" w:space="0" w:color="auto"/>
          </w:divBdr>
          <w:divsChild>
            <w:div w:id="1387416393">
              <w:marLeft w:val="0"/>
              <w:marRight w:val="0"/>
              <w:marTop w:val="0"/>
              <w:marBottom w:val="0"/>
              <w:divBdr>
                <w:top w:val="none" w:sz="0" w:space="0" w:color="auto"/>
                <w:left w:val="none" w:sz="0" w:space="0" w:color="auto"/>
                <w:bottom w:val="none" w:sz="0" w:space="0" w:color="auto"/>
                <w:right w:val="none" w:sz="0" w:space="0" w:color="auto"/>
              </w:divBdr>
            </w:div>
          </w:divsChild>
        </w:div>
        <w:div w:id="1125806044">
          <w:marLeft w:val="0"/>
          <w:marRight w:val="0"/>
          <w:marTop w:val="0"/>
          <w:marBottom w:val="0"/>
          <w:divBdr>
            <w:top w:val="none" w:sz="0" w:space="0" w:color="auto"/>
            <w:left w:val="none" w:sz="0" w:space="0" w:color="auto"/>
            <w:bottom w:val="none" w:sz="0" w:space="0" w:color="auto"/>
            <w:right w:val="none" w:sz="0" w:space="0" w:color="auto"/>
          </w:divBdr>
          <w:divsChild>
            <w:div w:id="651906022">
              <w:marLeft w:val="0"/>
              <w:marRight w:val="0"/>
              <w:marTop w:val="0"/>
              <w:marBottom w:val="0"/>
              <w:divBdr>
                <w:top w:val="none" w:sz="0" w:space="0" w:color="auto"/>
                <w:left w:val="none" w:sz="0" w:space="0" w:color="auto"/>
                <w:bottom w:val="none" w:sz="0" w:space="0" w:color="auto"/>
                <w:right w:val="none" w:sz="0" w:space="0" w:color="auto"/>
              </w:divBdr>
            </w:div>
          </w:divsChild>
        </w:div>
        <w:div w:id="1127239465">
          <w:marLeft w:val="0"/>
          <w:marRight w:val="0"/>
          <w:marTop w:val="0"/>
          <w:marBottom w:val="0"/>
          <w:divBdr>
            <w:top w:val="none" w:sz="0" w:space="0" w:color="auto"/>
            <w:left w:val="none" w:sz="0" w:space="0" w:color="auto"/>
            <w:bottom w:val="none" w:sz="0" w:space="0" w:color="auto"/>
            <w:right w:val="none" w:sz="0" w:space="0" w:color="auto"/>
          </w:divBdr>
          <w:divsChild>
            <w:div w:id="1755736997">
              <w:marLeft w:val="0"/>
              <w:marRight w:val="0"/>
              <w:marTop w:val="0"/>
              <w:marBottom w:val="0"/>
              <w:divBdr>
                <w:top w:val="none" w:sz="0" w:space="0" w:color="auto"/>
                <w:left w:val="none" w:sz="0" w:space="0" w:color="auto"/>
                <w:bottom w:val="none" w:sz="0" w:space="0" w:color="auto"/>
                <w:right w:val="none" w:sz="0" w:space="0" w:color="auto"/>
              </w:divBdr>
            </w:div>
          </w:divsChild>
        </w:div>
        <w:div w:id="1129861386">
          <w:marLeft w:val="0"/>
          <w:marRight w:val="0"/>
          <w:marTop w:val="0"/>
          <w:marBottom w:val="0"/>
          <w:divBdr>
            <w:top w:val="none" w:sz="0" w:space="0" w:color="auto"/>
            <w:left w:val="none" w:sz="0" w:space="0" w:color="auto"/>
            <w:bottom w:val="none" w:sz="0" w:space="0" w:color="auto"/>
            <w:right w:val="none" w:sz="0" w:space="0" w:color="auto"/>
          </w:divBdr>
          <w:divsChild>
            <w:div w:id="1556697215">
              <w:marLeft w:val="0"/>
              <w:marRight w:val="0"/>
              <w:marTop w:val="0"/>
              <w:marBottom w:val="0"/>
              <w:divBdr>
                <w:top w:val="none" w:sz="0" w:space="0" w:color="auto"/>
                <w:left w:val="none" w:sz="0" w:space="0" w:color="auto"/>
                <w:bottom w:val="none" w:sz="0" w:space="0" w:color="auto"/>
                <w:right w:val="none" w:sz="0" w:space="0" w:color="auto"/>
              </w:divBdr>
            </w:div>
          </w:divsChild>
        </w:div>
        <w:div w:id="1132675055">
          <w:marLeft w:val="0"/>
          <w:marRight w:val="0"/>
          <w:marTop w:val="0"/>
          <w:marBottom w:val="0"/>
          <w:divBdr>
            <w:top w:val="none" w:sz="0" w:space="0" w:color="auto"/>
            <w:left w:val="none" w:sz="0" w:space="0" w:color="auto"/>
            <w:bottom w:val="none" w:sz="0" w:space="0" w:color="auto"/>
            <w:right w:val="none" w:sz="0" w:space="0" w:color="auto"/>
          </w:divBdr>
          <w:divsChild>
            <w:div w:id="2104951333">
              <w:marLeft w:val="0"/>
              <w:marRight w:val="0"/>
              <w:marTop w:val="0"/>
              <w:marBottom w:val="0"/>
              <w:divBdr>
                <w:top w:val="none" w:sz="0" w:space="0" w:color="auto"/>
                <w:left w:val="none" w:sz="0" w:space="0" w:color="auto"/>
                <w:bottom w:val="none" w:sz="0" w:space="0" w:color="auto"/>
                <w:right w:val="none" w:sz="0" w:space="0" w:color="auto"/>
              </w:divBdr>
            </w:div>
          </w:divsChild>
        </w:div>
        <w:div w:id="1133713921">
          <w:marLeft w:val="0"/>
          <w:marRight w:val="0"/>
          <w:marTop w:val="0"/>
          <w:marBottom w:val="0"/>
          <w:divBdr>
            <w:top w:val="none" w:sz="0" w:space="0" w:color="auto"/>
            <w:left w:val="none" w:sz="0" w:space="0" w:color="auto"/>
            <w:bottom w:val="none" w:sz="0" w:space="0" w:color="auto"/>
            <w:right w:val="none" w:sz="0" w:space="0" w:color="auto"/>
          </w:divBdr>
          <w:divsChild>
            <w:div w:id="2038770806">
              <w:marLeft w:val="0"/>
              <w:marRight w:val="0"/>
              <w:marTop w:val="0"/>
              <w:marBottom w:val="0"/>
              <w:divBdr>
                <w:top w:val="none" w:sz="0" w:space="0" w:color="auto"/>
                <w:left w:val="none" w:sz="0" w:space="0" w:color="auto"/>
                <w:bottom w:val="none" w:sz="0" w:space="0" w:color="auto"/>
                <w:right w:val="none" w:sz="0" w:space="0" w:color="auto"/>
              </w:divBdr>
            </w:div>
          </w:divsChild>
        </w:div>
        <w:div w:id="1135681096">
          <w:marLeft w:val="0"/>
          <w:marRight w:val="0"/>
          <w:marTop w:val="0"/>
          <w:marBottom w:val="0"/>
          <w:divBdr>
            <w:top w:val="none" w:sz="0" w:space="0" w:color="auto"/>
            <w:left w:val="none" w:sz="0" w:space="0" w:color="auto"/>
            <w:bottom w:val="none" w:sz="0" w:space="0" w:color="auto"/>
            <w:right w:val="none" w:sz="0" w:space="0" w:color="auto"/>
          </w:divBdr>
          <w:divsChild>
            <w:div w:id="1669598744">
              <w:marLeft w:val="0"/>
              <w:marRight w:val="0"/>
              <w:marTop w:val="0"/>
              <w:marBottom w:val="0"/>
              <w:divBdr>
                <w:top w:val="none" w:sz="0" w:space="0" w:color="auto"/>
                <w:left w:val="none" w:sz="0" w:space="0" w:color="auto"/>
                <w:bottom w:val="none" w:sz="0" w:space="0" w:color="auto"/>
                <w:right w:val="none" w:sz="0" w:space="0" w:color="auto"/>
              </w:divBdr>
            </w:div>
          </w:divsChild>
        </w:div>
        <w:div w:id="1136876026">
          <w:marLeft w:val="0"/>
          <w:marRight w:val="0"/>
          <w:marTop w:val="0"/>
          <w:marBottom w:val="0"/>
          <w:divBdr>
            <w:top w:val="none" w:sz="0" w:space="0" w:color="auto"/>
            <w:left w:val="none" w:sz="0" w:space="0" w:color="auto"/>
            <w:bottom w:val="none" w:sz="0" w:space="0" w:color="auto"/>
            <w:right w:val="none" w:sz="0" w:space="0" w:color="auto"/>
          </w:divBdr>
          <w:divsChild>
            <w:div w:id="692611875">
              <w:marLeft w:val="0"/>
              <w:marRight w:val="0"/>
              <w:marTop w:val="0"/>
              <w:marBottom w:val="0"/>
              <w:divBdr>
                <w:top w:val="none" w:sz="0" w:space="0" w:color="auto"/>
                <w:left w:val="none" w:sz="0" w:space="0" w:color="auto"/>
                <w:bottom w:val="none" w:sz="0" w:space="0" w:color="auto"/>
                <w:right w:val="none" w:sz="0" w:space="0" w:color="auto"/>
              </w:divBdr>
            </w:div>
          </w:divsChild>
        </w:div>
        <w:div w:id="1138302917">
          <w:marLeft w:val="0"/>
          <w:marRight w:val="0"/>
          <w:marTop w:val="0"/>
          <w:marBottom w:val="0"/>
          <w:divBdr>
            <w:top w:val="none" w:sz="0" w:space="0" w:color="auto"/>
            <w:left w:val="none" w:sz="0" w:space="0" w:color="auto"/>
            <w:bottom w:val="none" w:sz="0" w:space="0" w:color="auto"/>
            <w:right w:val="none" w:sz="0" w:space="0" w:color="auto"/>
          </w:divBdr>
          <w:divsChild>
            <w:div w:id="1068042906">
              <w:marLeft w:val="0"/>
              <w:marRight w:val="0"/>
              <w:marTop w:val="0"/>
              <w:marBottom w:val="0"/>
              <w:divBdr>
                <w:top w:val="none" w:sz="0" w:space="0" w:color="auto"/>
                <w:left w:val="none" w:sz="0" w:space="0" w:color="auto"/>
                <w:bottom w:val="none" w:sz="0" w:space="0" w:color="auto"/>
                <w:right w:val="none" w:sz="0" w:space="0" w:color="auto"/>
              </w:divBdr>
            </w:div>
          </w:divsChild>
        </w:div>
        <w:div w:id="1139110511">
          <w:marLeft w:val="0"/>
          <w:marRight w:val="0"/>
          <w:marTop w:val="0"/>
          <w:marBottom w:val="0"/>
          <w:divBdr>
            <w:top w:val="none" w:sz="0" w:space="0" w:color="auto"/>
            <w:left w:val="none" w:sz="0" w:space="0" w:color="auto"/>
            <w:bottom w:val="none" w:sz="0" w:space="0" w:color="auto"/>
            <w:right w:val="none" w:sz="0" w:space="0" w:color="auto"/>
          </w:divBdr>
          <w:divsChild>
            <w:div w:id="555043767">
              <w:marLeft w:val="0"/>
              <w:marRight w:val="0"/>
              <w:marTop w:val="0"/>
              <w:marBottom w:val="0"/>
              <w:divBdr>
                <w:top w:val="none" w:sz="0" w:space="0" w:color="auto"/>
                <w:left w:val="none" w:sz="0" w:space="0" w:color="auto"/>
                <w:bottom w:val="none" w:sz="0" w:space="0" w:color="auto"/>
                <w:right w:val="none" w:sz="0" w:space="0" w:color="auto"/>
              </w:divBdr>
            </w:div>
          </w:divsChild>
        </w:div>
        <w:div w:id="1141311188">
          <w:marLeft w:val="0"/>
          <w:marRight w:val="0"/>
          <w:marTop w:val="0"/>
          <w:marBottom w:val="0"/>
          <w:divBdr>
            <w:top w:val="none" w:sz="0" w:space="0" w:color="auto"/>
            <w:left w:val="none" w:sz="0" w:space="0" w:color="auto"/>
            <w:bottom w:val="none" w:sz="0" w:space="0" w:color="auto"/>
            <w:right w:val="none" w:sz="0" w:space="0" w:color="auto"/>
          </w:divBdr>
          <w:divsChild>
            <w:div w:id="2073697951">
              <w:marLeft w:val="0"/>
              <w:marRight w:val="0"/>
              <w:marTop w:val="0"/>
              <w:marBottom w:val="0"/>
              <w:divBdr>
                <w:top w:val="none" w:sz="0" w:space="0" w:color="auto"/>
                <w:left w:val="none" w:sz="0" w:space="0" w:color="auto"/>
                <w:bottom w:val="none" w:sz="0" w:space="0" w:color="auto"/>
                <w:right w:val="none" w:sz="0" w:space="0" w:color="auto"/>
              </w:divBdr>
            </w:div>
          </w:divsChild>
        </w:div>
        <w:div w:id="1143352848">
          <w:marLeft w:val="0"/>
          <w:marRight w:val="0"/>
          <w:marTop w:val="0"/>
          <w:marBottom w:val="0"/>
          <w:divBdr>
            <w:top w:val="none" w:sz="0" w:space="0" w:color="auto"/>
            <w:left w:val="none" w:sz="0" w:space="0" w:color="auto"/>
            <w:bottom w:val="none" w:sz="0" w:space="0" w:color="auto"/>
            <w:right w:val="none" w:sz="0" w:space="0" w:color="auto"/>
          </w:divBdr>
          <w:divsChild>
            <w:div w:id="1655792462">
              <w:marLeft w:val="0"/>
              <w:marRight w:val="0"/>
              <w:marTop w:val="0"/>
              <w:marBottom w:val="0"/>
              <w:divBdr>
                <w:top w:val="none" w:sz="0" w:space="0" w:color="auto"/>
                <w:left w:val="none" w:sz="0" w:space="0" w:color="auto"/>
                <w:bottom w:val="none" w:sz="0" w:space="0" w:color="auto"/>
                <w:right w:val="none" w:sz="0" w:space="0" w:color="auto"/>
              </w:divBdr>
            </w:div>
          </w:divsChild>
        </w:div>
        <w:div w:id="1146169473">
          <w:marLeft w:val="0"/>
          <w:marRight w:val="0"/>
          <w:marTop w:val="0"/>
          <w:marBottom w:val="0"/>
          <w:divBdr>
            <w:top w:val="none" w:sz="0" w:space="0" w:color="auto"/>
            <w:left w:val="none" w:sz="0" w:space="0" w:color="auto"/>
            <w:bottom w:val="none" w:sz="0" w:space="0" w:color="auto"/>
            <w:right w:val="none" w:sz="0" w:space="0" w:color="auto"/>
          </w:divBdr>
          <w:divsChild>
            <w:div w:id="595360565">
              <w:marLeft w:val="0"/>
              <w:marRight w:val="0"/>
              <w:marTop w:val="0"/>
              <w:marBottom w:val="0"/>
              <w:divBdr>
                <w:top w:val="none" w:sz="0" w:space="0" w:color="auto"/>
                <w:left w:val="none" w:sz="0" w:space="0" w:color="auto"/>
                <w:bottom w:val="none" w:sz="0" w:space="0" w:color="auto"/>
                <w:right w:val="none" w:sz="0" w:space="0" w:color="auto"/>
              </w:divBdr>
            </w:div>
          </w:divsChild>
        </w:div>
        <w:div w:id="1149252921">
          <w:marLeft w:val="0"/>
          <w:marRight w:val="0"/>
          <w:marTop w:val="0"/>
          <w:marBottom w:val="0"/>
          <w:divBdr>
            <w:top w:val="none" w:sz="0" w:space="0" w:color="auto"/>
            <w:left w:val="none" w:sz="0" w:space="0" w:color="auto"/>
            <w:bottom w:val="none" w:sz="0" w:space="0" w:color="auto"/>
            <w:right w:val="none" w:sz="0" w:space="0" w:color="auto"/>
          </w:divBdr>
          <w:divsChild>
            <w:div w:id="692465299">
              <w:marLeft w:val="0"/>
              <w:marRight w:val="0"/>
              <w:marTop w:val="0"/>
              <w:marBottom w:val="0"/>
              <w:divBdr>
                <w:top w:val="none" w:sz="0" w:space="0" w:color="auto"/>
                <w:left w:val="none" w:sz="0" w:space="0" w:color="auto"/>
                <w:bottom w:val="none" w:sz="0" w:space="0" w:color="auto"/>
                <w:right w:val="none" w:sz="0" w:space="0" w:color="auto"/>
              </w:divBdr>
            </w:div>
          </w:divsChild>
        </w:div>
        <w:div w:id="1149715420">
          <w:marLeft w:val="0"/>
          <w:marRight w:val="0"/>
          <w:marTop w:val="0"/>
          <w:marBottom w:val="0"/>
          <w:divBdr>
            <w:top w:val="none" w:sz="0" w:space="0" w:color="auto"/>
            <w:left w:val="none" w:sz="0" w:space="0" w:color="auto"/>
            <w:bottom w:val="none" w:sz="0" w:space="0" w:color="auto"/>
            <w:right w:val="none" w:sz="0" w:space="0" w:color="auto"/>
          </w:divBdr>
          <w:divsChild>
            <w:div w:id="602539344">
              <w:marLeft w:val="0"/>
              <w:marRight w:val="0"/>
              <w:marTop w:val="0"/>
              <w:marBottom w:val="0"/>
              <w:divBdr>
                <w:top w:val="none" w:sz="0" w:space="0" w:color="auto"/>
                <w:left w:val="none" w:sz="0" w:space="0" w:color="auto"/>
                <w:bottom w:val="none" w:sz="0" w:space="0" w:color="auto"/>
                <w:right w:val="none" w:sz="0" w:space="0" w:color="auto"/>
              </w:divBdr>
            </w:div>
          </w:divsChild>
        </w:div>
        <w:div w:id="1150712013">
          <w:marLeft w:val="0"/>
          <w:marRight w:val="0"/>
          <w:marTop w:val="0"/>
          <w:marBottom w:val="0"/>
          <w:divBdr>
            <w:top w:val="none" w:sz="0" w:space="0" w:color="auto"/>
            <w:left w:val="none" w:sz="0" w:space="0" w:color="auto"/>
            <w:bottom w:val="none" w:sz="0" w:space="0" w:color="auto"/>
            <w:right w:val="none" w:sz="0" w:space="0" w:color="auto"/>
          </w:divBdr>
          <w:divsChild>
            <w:div w:id="845705689">
              <w:marLeft w:val="0"/>
              <w:marRight w:val="0"/>
              <w:marTop w:val="0"/>
              <w:marBottom w:val="0"/>
              <w:divBdr>
                <w:top w:val="none" w:sz="0" w:space="0" w:color="auto"/>
                <w:left w:val="none" w:sz="0" w:space="0" w:color="auto"/>
                <w:bottom w:val="none" w:sz="0" w:space="0" w:color="auto"/>
                <w:right w:val="none" w:sz="0" w:space="0" w:color="auto"/>
              </w:divBdr>
            </w:div>
          </w:divsChild>
        </w:div>
        <w:div w:id="1150823819">
          <w:marLeft w:val="0"/>
          <w:marRight w:val="0"/>
          <w:marTop w:val="0"/>
          <w:marBottom w:val="0"/>
          <w:divBdr>
            <w:top w:val="none" w:sz="0" w:space="0" w:color="auto"/>
            <w:left w:val="none" w:sz="0" w:space="0" w:color="auto"/>
            <w:bottom w:val="none" w:sz="0" w:space="0" w:color="auto"/>
            <w:right w:val="none" w:sz="0" w:space="0" w:color="auto"/>
          </w:divBdr>
          <w:divsChild>
            <w:div w:id="1181310474">
              <w:marLeft w:val="0"/>
              <w:marRight w:val="0"/>
              <w:marTop w:val="0"/>
              <w:marBottom w:val="0"/>
              <w:divBdr>
                <w:top w:val="none" w:sz="0" w:space="0" w:color="auto"/>
                <w:left w:val="none" w:sz="0" w:space="0" w:color="auto"/>
                <w:bottom w:val="none" w:sz="0" w:space="0" w:color="auto"/>
                <w:right w:val="none" w:sz="0" w:space="0" w:color="auto"/>
              </w:divBdr>
            </w:div>
          </w:divsChild>
        </w:div>
        <w:div w:id="1151403249">
          <w:marLeft w:val="0"/>
          <w:marRight w:val="0"/>
          <w:marTop w:val="0"/>
          <w:marBottom w:val="0"/>
          <w:divBdr>
            <w:top w:val="none" w:sz="0" w:space="0" w:color="auto"/>
            <w:left w:val="none" w:sz="0" w:space="0" w:color="auto"/>
            <w:bottom w:val="none" w:sz="0" w:space="0" w:color="auto"/>
            <w:right w:val="none" w:sz="0" w:space="0" w:color="auto"/>
          </w:divBdr>
          <w:divsChild>
            <w:div w:id="1792746140">
              <w:marLeft w:val="0"/>
              <w:marRight w:val="0"/>
              <w:marTop w:val="0"/>
              <w:marBottom w:val="0"/>
              <w:divBdr>
                <w:top w:val="none" w:sz="0" w:space="0" w:color="auto"/>
                <w:left w:val="none" w:sz="0" w:space="0" w:color="auto"/>
                <w:bottom w:val="none" w:sz="0" w:space="0" w:color="auto"/>
                <w:right w:val="none" w:sz="0" w:space="0" w:color="auto"/>
              </w:divBdr>
            </w:div>
          </w:divsChild>
        </w:div>
        <w:div w:id="1157039915">
          <w:marLeft w:val="0"/>
          <w:marRight w:val="0"/>
          <w:marTop w:val="0"/>
          <w:marBottom w:val="0"/>
          <w:divBdr>
            <w:top w:val="none" w:sz="0" w:space="0" w:color="auto"/>
            <w:left w:val="none" w:sz="0" w:space="0" w:color="auto"/>
            <w:bottom w:val="none" w:sz="0" w:space="0" w:color="auto"/>
            <w:right w:val="none" w:sz="0" w:space="0" w:color="auto"/>
          </w:divBdr>
          <w:divsChild>
            <w:div w:id="1715694331">
              <w:marLeft w:val="0"/>
              <w:marRight w:val="0"/>
              <w:marTop w:val="0"/>
              <w:marBottom w:val="0"/>
              <w:divBdr>
                <w:top w:val="none" w:sz="0" w:space="0" w:color="auto"/>
                <w:left w:val="none" w:sz="0" w:space="0" w:color="auto"/>
                <w:bottom w:val="none" w:sz="0" w:space="0" w:color="auto"/>
                <w:right w:val="none" w:sz="0" w:space="0" w:color="auto"/>
              </w:divBdr>
            </w:div>
          </w:divsChild>
        </w:div>
        <w:div w:id="1158156670">
          <w:marLeft w:val="0"/>
          <w:marRight w:val="0"/>
          <w:marTop w:val="0"/>
          <w:marBottom w:val="0"/>
          <w:divBdr>
            <w:top w:val="none" w:sz="0" w:space="0" w:color="auto"/>
            <w:left w:val="none" w:sz="0" w:space="0" w:color="auto"/>
            <w:bottom w:val="none" w:sz="0" w:space="0" w:color="auto"/>
            <w:right w:val="none" w:sz="0" w:space="0" w:color="auto"/>
          </w:divBdr>
          <w:divsChild>
            <w:div w:id="1058941760">
              <w:marLeft w:val="0"/>
              <w:marRight w:val="0"/>
              <w:marTop w:val="0"/>
              <w:marBottom w:val="0"/>
              <w:divBdr>
                <w:top w:val="none" w:sz="0" w:space="0" w:color="auto"/>
                <w:left w:val="none" w:sz="0" w:space="0" w:color="auto"/>
                <w:bottom w:val="none" w:sz="0" w:space="0" w:color="auto"/>
                <w:right w:val="none" w:sz="0" w:space="0" w:color="auto"/>
              </w:divBdr>
            </w:div>
          </w:divsChild>
        </w:div>
        <w:div w:id="1158692403">
          <w:marLeft w:val="0"/>
          <w:marRight w:val="0"/>
          <w:marTop w:val="0"/>
          <w:marBottom w:val="0"/>
          <w:divBdr>
            <w:top w:val="none" w:sz="0" w:space="0" w:color="auto"/>
            <w:left w:val="none" w:sz="0" w:space="0" w:color="auto"/>
            <w:bottom w:val="none" w:sz="0" w:space="0" w:color="auto"/>
            <w:right w:val="none" w:sz="0" w:space="0" w:color="auto"/>
          </w:divBdr>
          <w:divsChild>
            <w:div w:id="565146077">
              <w:marLeft w:val="0"/>
              <w:marRight w:val="0"/>
              <w:marTop w:val="0"/>
              <w:marBottom w:val="0"/>
              <w:divBdr>
                <w:top w:val="none" w:sz="0" w:space="0" w:color="auto"/>
                <w:left w:val="none" w:sz="0" w:space="0" w:color="auto"/>
                <w:bottom w:val="none" w:sz="0" w:space="0" w:color="auto"/>
                <w:right w:val="none" w:sz="0" w:space="0" w:color="auto"/>
              </w:divBdr>
            </w:div>
          </w:divsChild>
        </w:div>
        <w:div w:id="1159076811">
          <w:marLeft w:val="0"/>
          <w:marRight w:val="0"/>
          <w:marTop w:val="0"/>
          <w:marBottom w:val="0"/>
          <w:divBdr>
            <w:top w:val="none" w:sz="0" w:space="0" w:color="auto"/>
            <w:left w:val="none" w:sz="0" w:space="0" w:color="auto"/>
            <w:bottom w:val="none" w:sz="0" w:space="0" w:color="auto"/>
            <w:right w:val="none" w:sz="0" w:space="0" w:color="auto"/>
          </w:divBdr>
          <w:divsChild>
            <w:div w:id="2018343259">
              <w:marLeft w:val="0"/>
              <w:marRight w:val="0"/>
              <w:marTop w:val="0"/>
              <w:marBottom w:val="0"/>
              <w:divBdr>
                <w:top w:val="none" w:sz="0" w:space="0" w:color="auto"/>
                <w:left w:val="none" w:sz="0" w:space="0" w:color="auto"/>
                <w:bottom w:val="none" w:sz="0" w:space="0" w:color="auto"/>
                <w:right w:val="none" w:sz="0" w:space="0" w:color="auto"/>
              </w:divBdr>
            </w:div>
          </w:divsChild>
        </w:div>
        <w:div w:id="1164706801">
          <w:marLeft w:val="0"/>
          <w:marRight w:val="0"/>
          <w:marTop w:val="0"/>
          <w:marBottom w:val="0"/>
          <w:divBdr>
            <w:top w:val="none" w:sz="0" w:space="0" w:color="auto"/>
            <w:left w:val="none" w:sz="0" w:space="0" w:color="auto"/>
            <w:bottom w:val="none" w:sz="0" w:space="0" w:color="auto"/>
            <w:right w:val="none" w:sz="0" w:space="0" w:color="auto"/>
          </w:divBdr>
          <w:divsChild>
            <w:div w:id="952437626">
              <w:marLeft w:val="0"/>
              <w:marRight w:val="0"/>
              <w:marTop w:val="0"/>
              <w:marBottom w:val="0"/>
              <w:divBdr>
                <w:top w:val="none" w:sz="0" w:space="0" w:color="auto"/>
                <w:left w:val="none" w:sz="0" w:space="0" w:color="auto"/>
                <w:bottom w:val="none" w:sz="0" w:space="0" w:color="auto"/>
                <w:right w:val="none" w:sz="0" w:space="0" w:color="auto"/>
              </w:divBdr>
            </w:div>
          </w:divsChild>
        </w:div>
        <w:div w:id="1169908584">
          <w:marLeft w:val="0"/>
          <w:marRight w:val="0"/>
          <w:marTop w:val="0"/>
          <w:marBottom w:val="0"/>
          <w:divBdr>
            <w:top w:val="none" w:sz="0" w:space="0" w:color="auto"/>
            <w:left w:val="none" w:sz="0" w:space="0" w:color="auto"/>
            <w:bottom w:val="none" w:sz="0" w:space="0" w:color="auto"/>
            <w:right w:val="none" w:sz="0" w:space="0" w:color="auto"/>
          </w:divBdr>
          <w:divsChild>
            <w:div w:id="1265575643">
              <w:marLeft w:val="0"/>
              <w:marRight w:val="0"/>
              <w:marTop w:val="0"/>
              <w:marBottom w:val="0"/>
              <w:divBdr>
                <w:top w:val="none" w:sz="0" w:space="0" w:color="auto"/>
                <w:left w:val="none" w:sz="0" w:space="0" w:color="auto"/>
                <w:bottom w:val="none" w:sz="0" w:space="0" w:color="auto"/>
                <w:right w:val="none" w:sz="0" w:space="0" w:color="auto"/>
              </w:divBdr>
            </w:div>
          </w:divsChild>
        </w:div>
        <w:div w:id="1170605068">
          <w:marLeft w:val="0"/>
          <w:marRight w:val="0"/>
          <w:marTop w:val="0"/>
          <w:marBottom w:val="0"/>
          <w:divBdr>
            <w:top w:val="none" w:sz="0" w:space="0" w:color="auto"/>
            <w:left w:val="none" w:sz="0" w:space="0" w:color="auto"/>
            <w:bottom w:val="none" w:sz="0" w:space="0" w:color="auto"/>
            <w:right w:val="none" w:sz="0" w:space="0" w:color="auto"/>
          </w:divBdr>
          <w:divsChild>
            <w:div w:id="1015769684">
              <w:marLeft w:val="0"/>
              <w:marRight w:val="0"/>
              <w:marTop w:val="0"/>
              <w:marBottom w:val="0"/>
              <w:divBdr>
                <w:top w:val="none" w:sz="0" w:space="0" w:color="auto"/>
                <w:left w:val="none" w:sz="0" w:space="0" w:color="auto"/>
                <w:bottom w:val="none" w:sz="0" w:space="0" w:color="auto"/>
                <w:right w:val="none" w:sz="0" w:space="0" w:color="auto"/>
              </w:divBdr>
            </w:div>
          </w:divsChild>
        </w:div>
        <w:div w:id="1172523115">
          <w:marLeft w:val="0"/>
          <w:marRight w:val="0"/>
          <w:marTop w:val="0"/>
          <w:marBottom w:val="0"/>
          <w:divBdr>
            <w:top w:val="none" w:sz="0" w:space="0" w:color="auto"/>
            <w:left w:val="none" w:sz="0" w:space="0" w:color="auto"/>
            <w:bottom w:val="none" w:sz="0" w:space="0" w:color="auto"/>
            <w:right w:val="none" w:sz="0" w:space="0" w:color="auto"/>
          </w:divBdr>
          <w:divsChild>
            <w:div w:id="271474419">
              <w:marLeft w:val="0"/>
              <w:marRight w:val="0"/>
              <w:marTop w:val="0"/>
              <w:marBottom w:val="0"/>
              <w:divBdr>
                <w:top w:val="none" w:sz="0" w:space="0" w:color="auto"/>
                <w:left w:val="none" w:sz="0" w:space="0" w:color="auto"/>
                <w:bottom w:val="none" w:sz="0" w:space="0" w:color="auto"/>
                <w:right w:val="none" w:sz="0" w:space="0" w:color="auto"/>
              </w:divBdr>
            </w:div>
          </w:divsChild>
        </w:div>
        <w:div w:id="1174153928">
          <w:marLeft w:val="0"/>
          <w:marRight w:val="0"/>
          <w:marTop w:val="0"/>
          <w:marBottom w:val="0"/>
          <w:divBdr>
            <w:top w:val="none" w:sz="0" w:space="0" w:color="auto"/>
            <w:left w:val="none" w:sz="0" w:space="0" w:color="auto"/>
            <w:bottom w:val="none" w:sz="0" w:space="0" w:color="auto"/>
            <w:right w:val="none" w:sz="0" w:space="0" w:color="auto"/>
          </w:divBdr>
          <w:divsChild>
            <w:div w:id="2023119770">
              <w:marLeft w:val="0"/>
              <w:marRight w:val="0"/>
              <w:marTop w:val="0"/>
              <w:marBottom w:val="0"/>
              <w:divBdr>
                <w:top w:val="none" w:sz="0" w:space="0" w:color="auto"/>
                <w:left w:val="none" w:sz="0" w:space="0" w:color="auto"/>
                <w:bottom w:val="none" w:sz="0" w:space="0" w:color="auto"/>
                <w:right w:val="none" w:sz="0" w:space="0" w:color="auto"/>
              </w:divBdr>
            </w:div>
          </w:divsChild>
        </w:div>
        <w:div w:id="1177230295">
          <w:marLeft w:val="0"/>
          <w:marRight w:val="0"/>
          <w:marTop w:val="0"/>
          <w:marBottom w:val="0"/>
          <w:divBdr>
            <w:top w:val="none" w:sz="0" w:space="0" w:color="auto"/>
            <w:left w:val="none" w:sz="0" w:space="0" w:color="auto"/>
            <w:bottom w:val="none" w:sz="0" w:space="0" w:color="auto"/>
            <w:right w:val="none" w:sz="0" w:space="0" w:color="auto"/>
          </w:divBdr>
          <w:divsChild>
            <w:div w:id="2092115635">
              <w:marLeft w:val="0"/>
              <w:marRight w:val="0"/>
              <w:marTop w:val="0"/>
              <w:marBottom w:val="0"/>
              <w:divBdr>
                <w:top w:val="none" w:sz="0" w:space="0" w:color="auto"/>
                <w:left w:val="none" w:sz="0" w:space="0" w:color="auto"/>
                <w:bottom w:val="none" w:sz="0" w:space="0" w:color="auto"/>
                <w:right w:val="none" w:sz="0" w:space="0" w:color="auto"/>
              </w:divBdr>
            </w:div>
          </w:divsChild>
        </w:div>
        <w:div w:id="1179193777">
          <w:marLeft w:val="0"/>
          <w:marRight w:val="0"/>
          <w:marTop w:val="0"/>
          <w:marBottom w:val="0"/>
          <w:divBdr>
            <w:top w:val="none" w:sz="0" w:space="0" w:color="auto"/>
            <w:left w:val="none" w:sz="0" w:space="0" w:color="auto"/>
            <w:bottom w:val="none" w:sz="0" w:space="0" w:color="auto"/>
            <w:right w:val="none" w:sz="0" w:space="0" w:color="auto"/>
          </w:divBdr>
          <w:divsChild>
            <w:div w:id="1383090213">
              <w:marLeft w:val="0"/>
              <w:marRight w:val="0"/>
              <w:marTop w:val="0"/>
              <w:marBottom w:val="0"/>
              <w:divBdr>
                <w:top w:val="none" w:sz="0" w:space="0" w:color="auto"/>
                <w:left w:val="none" w:sz="0" w:space="0" w:color="auto"/>
                <w:bottom w:val="none" w:sz="0" w:space="0" w:color="auto"/>
                <w:right w:val="none" w:sz="0" w:space="0" w:color="auto"/>
              </w:divBdr>
            </w:div>
          </w:divsChild>
        </w:div>
        <w:div w:id="1179930398">
          <w:marLeft w:val="0"/>
          <w:marRight w:val="0"/>
          <w:marTop w:val="0"/>
          <w:marBottom w:val="0"/>
          <w:divBdr>
            <w:top w:val="none" w:sz="0" w:space="0" w:color="auto"/>
            <w:left w:val="none" w:sz="0" w:space="0" w:color="auto"/>
            <w:bottom w:val="none" w:sz="0" w:space="0" w:color="auto"/>
            <w:right w:val="none" w:sz="0" w:space="0" w:color="auto"/>
          </w:divBdr>
          <w:divsChild>
            <w:div w:id="679817932">
              <w:marLeft w:val="0"/>
              <w:marRight w:val="0"/>
              <w:marTop w:val="0"/>
              <w:marBottom w:val="0"/>
              <w:divBdr>
                <w:top w:val="none" w:sz="0" w:space="0" w:color="auto"/>
                <w:left w:val="none" w:sz="0" w:space="0" w:color="auto"/>
                <w:bottom w:val="none" w:sz="0" w:space="0" w:color="auto"/>
                <w:right w:val="none" w:sz="0" w:space="0" w:color="auto"/>
              </w:divBdr>
            </w:div>
          </w:divsChild>
        </w:div>
        <w:div w:id="1183126895">
          <w:marLeft w:val="0"/>
          <w:marRight w:val="0"/>
          <w:marTop w:val="0"/>
          <w:marBottom w:val="0"/>
          <w:divBdr>
            <w:top w:val="none" w:sz="0" w:space="0" w:color="auto"/>
            <w:left w:val="none" w:sz="0" w:space="0" w:color="auto"/>
            <w:bottom w:val="none" w:sz="0" w:space="0" w:color="auto"/>
            <w:right w:val="none" w:sz="0" w:space="0" w:color="auto"/>
          </w:divBdr>
          <w:divsChild>
            <w:div w:id="1525093452">
              <w:marLeft w:val="0"/>
              <w:marRight w:val="0"/>
              <w:marTop w:val="0"/>
              <w:marBottom w:val="0"/>
              <w:divBdr>
                <w:top w:val="none" w:sz="0" w:space="0" w:color="auto"/>
                <w:left w:val="none" w:sz="0" w:space="0" w:color="auto"/>
                <w:bottom w:val="none" w:sz="0" w:space="0" w:color="auto"/>
                <w:right w:val="none" w:sz="0" w:space="0" w:color="auto"/>
              </w:divBdr>
            </w:div>
          </w:divsChild>
        </w:div>
        <w:div w:id="1184630513">
          <w:marLeft w:val="0"/>
          <w:marRight w:val="0"/>
          <w:marTop w:val="0"/>
          <w:marBottom w:val="0"/>
          <w:divBdr>
            <w:top w:val="none" w:sz="0" w:space="0" w:color="auto"/>
            <w:left w:val="none" w:sz="0" w:space="0" w:color="auto"/>
            <w:bottom w:val="none" w:sz="0" w:space="0" w:color="auto"/>
            <w:right w:val="none" w:sz="0" w:space="0" w:color="auto"/>
          </w:divBdr>
          <w:divsChild>
            <w:div w:id="1926569714">
              <w:marLeft w:val="0"/>
              <w:marRight w:val="0"/>
              <w:marTop w:val="0"/>
              <w:marBottom w:val="0"/>
              <w:divBdr>
                <w:top w:val="none" w:sz="0" w:space="0" w:color="auto"/>
                <w:left w:val="none" w:sz="0" w:space="0" w:color="auto"/>
                <w:bottom w:val="none" w:sz="0" w:space="0" w:color="auto"/>
                <w:right w:val="none" w:sz="0" w:space="0" w:color="auto"/>
              </w:divBdr>
            </w:div>
          </w:divsChild>
        </w:div>
        <w:div w:id="1189489391">
          <w:marLeft w:val="0"/>
          <w:marRight w:val="0"/>
          <w:marTop w:val="0"/>
          <w:marBottom w:val="0"/>
          <w:divBdr>
            <w:top w:val="none" w:sz="0" w:space="0" w:color="auto"/>
            <w:left w:val="none" w:sz="0" w:space="0" w:color="auto"/>
            <w:bottom w:val="none" w:sz="0" w:space="0" w:color="auto"/>
            <w:right w:val="none" w:sz="0" w:space="0" w:color="auto"/>
          </w:divBdr>
          <w:divsChild>
            <w:div w:id="2099595581">
              <w:marLeft w:val="0"/>
              <w:marRight w:val="0"/>
              <w:marTop w:val="0"/>
              <w:marBottom w:val="0"/>
              <w:divBdr>
                <w:top w:val="none" w:sz="0" w:space="0" w:color="auto"/>
                <w:left w:val="none" w:sz="0" w:space="0" w:color="auto"/>
                <w:bottom w:val="none" w:sz="0" w:space="0" w:color="auto"/>
                <w:right w:val="none" w:sz="0" w:space="0" w:color="auto"/>
              </w:divBdr>
            </w:div>
          </w:divsChild>
        </w:div>
        <w:div w:id="1191995477">
          <w:marLeft w:val="0"/>
          <w:marRight w:val="0"/>
          <w:marTop w:val="0"/>
          <w:marBottom w:val="0"/>
          <w:divBdr>
            <w:top w:val="none" w:sz="0" w:space="0" w:color="auto"/>
            <w:left w:val="none" w:sz="0" w:space="0" w:color="auto"/>
            <w:bottom w:val="none" w:sz="0" w:space="0" w:color="auto"/>
            <w:right w:val="none" w:sz="0" w:space="0" w:color="auto"/>
          </w:divBdr>
          <w:divsChild>
            <w:div w:id="512377379">
              <w:marLeft w:val="0"/>
              <w:marRight w:val="0"/>
              <w:marTop w:val="0"/>
              <w:marBottom w:val="0"/>
              <w:divBdr>
                <w:top w:val="none" w:sz="0" w:space="0" w:color="auto"/>
                <w:left w:val="none" w:sz="0" w:space="0" w:color="auto"/>
                <w:bottom w:val="none" w:sz="0" w:space="0" w:color="auto"/>
                <w:right w:val="none" w:sz="0" w:space="0" w:color="auto"/>
              </w:divBdr>
            </w:div>
          </w:divsChild>
        </w:div>
        <w:div w:id="1195654047">
          <w:marLeft w:val="0"/>
          <w:marRight w:val="0"/>
          <w:marTop w:val="0"/>
          <w:marBottom w:val="0"/>
          <w:divBdr>
            <w:top w:val="none" w:sz="0" w:space="0" w:color="auto"/>
            <w:left w:val="none" w:sz="0" w:space="0" w:color="auto"/>
            <w:bottom w:val="none" w:sz="0" w:space="0" w:color="auto"/>
            <w:right w:val="none" w:sz="0" w:space="0" w:color="auto"/>
          </w:divBdr>
          <w:divsChild>
            <w:div w:id="1977375702">
              <w:marLeft w:val="0"/>
              <w:marRight w:val="0"/>
              <w:marTop w:val="0"/>
              <w:marBottom w:val="0"/>
              <w:divBdr>
                <w:top w:val="none" w:sz="0" w:space="0" w:color="auto"/>
                <w:left w:val="none" w:sz="0" w:space="0" w:color="auto"/>
                <w:bottom w:val="none" w:sz="0" w:space="0" w:color="auto"/>
                <w:right w:val="none" w:sz="0" w:space="0" w:color="auto"/>
              </w:divBdr>
            </w:div>
          </w:divsChild>
        </w:div>
        <w:div w:id="1195658143">
          <w:marLeft w:val="0"/>
          <w:marRight w:val="0"/>
          <w:marTop w:val="0"/>
          <w:marBottom w:val="0"/>
          <w:divBdr>
            <w:top w:val="none" w:sz="0" w:space="0" w:color="auto"/>
            <w:left w:val="none" w:sz="0" w:space="0" w:color="auto"/>
            <w:bottom w:val="none" w:sz="0" w:space="0" w:color="auto"/>
            <w:right w:val="none" w:sz="0" w:space="0" w:color="auto"/>
          </w:divBdr>
          <w:divsChild>
            <w:div w:id="1775324187">
              <w:marLeft w:val="0"/>
              <w:marRight w:val="0"/>
              <w:marTop w:val="0"/>
              <w:marBottom w:val="0"/>
              <w:divBdr>
                <w:top w:val="none" w:sz="0" w:space="0" w:color="auto"/>
                <w:left w:val="none" w:sz="0" w:space="0" w:color="auto"/>
                <w:bottom w:val="none" w:sz="0" w:space="0" w:color="auto"/>
                <w:right w:val="none" w:sz="0" w:space="0" w:color="auto"/>
              </w:divBdr>
            </w:div>
          </w:divsChild>
        </w:div>
        <w:div w:id="1196384418">
          <w:marLeft w:val="0"/>
          <w:marRight w:val="0"/>
          <w:marTop w:val="0"/>
          <w:marBottom w:val="0"/>
          <w:divBdr>
            <w:top w:val="none" w:sz="0" w:space="0" w:color="auto"/>
            <w:left w:val="none" w:sz="0" w:space="0" w:color="auto"/>
            <w:bottom w:val="none" w:sz="0" w:space="0" w:color="auto"/>
            <w:right w:val="none" w:sz="0" w:space="0" w:color="auto"/>
          </w:divBdr>
          <w:divsChild>
            <w:div w:id="1502163636">
              <w:marLeft w:val="0"/>
              <w:marRight w:val="0"/>
              <w:marTop w:val="0"/>
              <w:marBottom w:val="0"/>
              <w:divBdr>
                <w:top w:val="none" w:sz="0" w:space="0" w:color="auto"/>
                <w:left w:val="none" w:sz="0" w:space="0" w:color="auto"/>
                <w:bottom w:val="none" w:sz="0" w:space="0" w:color="auto"/>
                <w:right w:val="none" w:sz="0" w:space="0" w:color="auto"/>
              </w:divBdr>
            </w:div>
          </w:divsChild>
        </w:div>
        <w:div w:id="1197423352">
          <w:marLeft w:val="0"/>
          <w:marRight w:val="0"/>
          <w:marTop w:val="0"/>
          <w:marBottom w:val="0"/>
          <w:divBdr>
            <w:top w:val="none" w:sz="0" w:space="0" w:color="auto"/>
            <w:left w:val="none" w:sz="0" w:space="0" w:color="auto"/>
            <w:bottom w:val="none" w:sz="0" w:space="0" w:color="auto"/>
            <w:right w:val="none" w:sz="0" w:space="0" w:color="auto"/>
          </w:divBdr>
          <w:divsChild>
            <w:div w:id="1693798387">
              <w:marLeft w:val="0"/>
              <w:marRight w:val="0"/>
              <w:marTop w:val="0"/>
              <w:marBottom w:val="0"/>
              <w:divBdr>
                <w:top w:val="none" w:sz="0" w:space="0" w:color="auto"/>
                <w:left w:val="none" w:sz="0" w:space="0" w:color="auto"/>
                <w:bottom w:val="none" w:sz="0" w:space="0" w:color="auto"/>
                <w:right w:val="none" w:sz="0" w:space="0" w:color="auto"/>
              </w:divBdr>
            </w:div>
          </w:divsChild>
        </w:div>
        <w:div w:id="1197616818">
          <w:marLeft w:val="0"/>
          <w:marRight w:val="0"/>
          <w:marTop w:val="0"/>
          <w:marBottom w:val="0"/>
          <w:divBdr>
            <w:top w:val="none" w:sz="0" w:space="0" w:color="auto"/>
            <w:left w:val="none" w:sz="0" w:space="0" w:color="auto"/>
            <w:bottom w:val="none" w:sz="0" w:space="0" w:color="auto"/>
            <w:right w:val="none" w:sz="0" w:space="0" w:color="auto"/>
          </w:divBdr>
          <w:divsChild>
            <w:div w:id="500630066">
              <w:marLeft w:val="0"/>
              <w:marRight w:val="0"/>
              <w:marTop w:val="0"/>
              <w:marBottom w:val="0"/>
              <w:divBdr>
                <w:top w:val="none" w:sz="0" w:space="0" w:color="auto"/>
                <w:left w:val="none" w:sz="0" w:space="0" w:color="auto"/>
                <w:bottom w:val="none" w:sz="0" w:space="0" w:color="auto"/>
                <w:right w:val="none" w:sz="0" w:space="0" w:color="auto"/>
              </w:divBdr>
            </w:div>
          </w:divsChild>
        </w:div>
        <w:div w:id="1198085330">
          <w:marLeft w:val="0"/>
          <w:marRight w:val="0"/>
          <w:marTop w:val="0"/>
          <w:marBottom w:val="0"/>
          <w:divBdr>
            <w:top w:val="none" w:sz="0" w:space="0" w:color="auto"/>
            <w:left w:val="none" w:sz="0" w:space="0" w:color="auto"/>
            <w:bottom w:val="none" w:sz="0" w:space="0" w:color="auto"/>
            <w:right w:val="none" w:sz="0" w:space="0" w:color="auto"/>
          </w:divBdr>
          <w:divsChild>
            <w:div w:id="2019844058">
              <w:marLeft w:val="0"/>
              <w:marRight w:val="0"/>
              <w:marTop w:val="0"/>
              <w:marBottom w:val="0"/>
              <w:divBdr>
                <w:top w:val="none" w:sz="0" w:space="0" w:color="auto"/>
                <w:left w:val="none" w:sz="0" w:space="0" w:color="auto"/>
                <w:bottom w:val="none" w:sz="0" w:space="0" w:color="auto"/>
                <w:right w:val="none" w:sz="0" w:space="0" w:color="auto"/>
              </w:divBdr>
            </w:div>
          </w:divsChild>
        </w:div>
        <w:div w:id="1198275908">
          <w:marLeft w:val="0"/>
          <w:marRight w:val="0"/>
          <w:marTop w:val="0"/>
          <w:marBottom w:val="0"/>
          <w:divBdr>
            <w:top w:val="none" w:sz="0" w:space="0" w:color="auto"/>
            <w:left w:val="none" w:sz="0" w:space="0" w:color="auto"/>
            <w:bottom w:val="none" w:sz="0" w:space="0" w:color="auto"/>
            <w:right w:val="none" w:sz="0" w:space="0" w:color="auto"/>
          </w:divBdr>
          <w:divsChild>
            <w:div w:id="978613325">
              <w:marLeft w:val="0"/>
              <w:marRight w:val="0"/>
              <w:marTop w:val="0"/>
              <w:marBottom w:val="0"/>
              <w:divBdr>
                <w:top w:val="none" w:sz="0" w:space="0" w:color="auto"/>
                <w:left w:val="none" w:sz="0" w:space="0" w:color="auto"/>
                <w:bottom w:val="none" w:sz="0" w:space="0" w:color="auto"/>
                <w:right w:val="none" w:sz="0" w:space="0" w:color="auto"/>
              </w:divBdr>
            </w:div>
          </w:divsChild>
        </w:div>
        <w:div w:id="1199586462">
          <w:marLeft w:val="0"/>
          <w:marRight w:val="0"/>
          <w:marTop w:val="0"/>
          <w:marBottom w:val="0"/>
          <w:divBdr>
            <w:top w:val="none" w:sz="0" w:space="0" w:color="auto"/>
            <w:left w:val="none" w:sz="0" w:space="0" w:color="auto"/>
            <w:bottom w:val="none" w:sz="0" w:space="0" w:color="auto"/>
            <w:right w:val="none" w:sz="0" w:space="0" w:color="auto"/>
          </w:divBdr>
          <w:divsChild>
            <w:div w:id="985013095">
              <w:marLeft w:val="0"/>
              <w:marRight w:val="0"/>
              <w:marTop w:val="0"/>
              <w:marBottom w:val="0"/>
              <w:divBdr>
                <w:top w:val="none" w:sz="0" w:space="0" w:color="auto"/>
                <w:left w:val="none" w:sz="0" w:space="0" w:color="auto"/>
                <w:bottom w:val="none" w:sz="0" w:space="0" w:color="auto"/>
                <w:right w:val="none" w:sz="0" w:space="0" w:color="auto"/>
              </w:divBdr>
            </w:div>
          </w:divsChild>
        </w:div>
        <w:div w:id="1202746526">
          <w:marLeft w:val="0"/>
          <w:marRight w:val="0"/>
          <w:marTop w:val="0"/>
          <w:marBottom w:val="0"/>
          <w:divBdr>
            <w:top w:val="none" w:sz="0" w:space="0" w:color="auto"/>
            <w:left w:val="none" w:sz="0" w:space="0" w:color="auto"/>
            <w:bottom w:val="none" w:sz="0" w:space="0" w:color="auto"/>
            <w:right w:val="none" w:sz="0" w:space="0" w:color="auto"/>
          </w:divBdr>
          <w:divsChild>
            <w:div w:id="1503735433">
              <w:marLeft w:val="0"/>
              <w:marRight w:val="0"/>
              <w:marTop w:val="0"/>
              <w:marBottom w:val="0"/>
              <w:divBdr>
                <w:top w:val="none" w:sz="0" w:space="0" w:color="auto"/>
                <w:left w:val="none" w:sz="0" w:space="0" w:color="auto"/>
                <w:bottom w:val="none" w:sz="0" w:space="0" w:color="auto"/>
                <w:right w:val="none" w:sz="0" w:space="0" w:color="auto"/>
              </w:divBdr>
            </w:div>
          </w:divsChild>
        </w:div>
        <w:div w:id="1202941460">
          <w:marLeft w:val="0"/>
          <w:marRight w:val="0"/>
          <w:marTop w:val="0"/>
          <w:marBottom w:val="0"/>
          <w:divBdr>
            <w:top w:val="none" w:sz="0" w:space="0" w:color="auto"/>
            <w:left w:val="none" w:sz="0" w:space="0" w:color="auto"/>
            <w:bottom w:val="none" w:sz="0" w:space="0" w:color="auto"/>
            <w:right w:val="none" w:sz="0" w:space="0" w:color="auto"/>
          </w:divBdr>
          <w:divsChild>
            <w:div w:id="1255743295">
              <w:marLeft w:val="0"/>
              <w:marRight w:val="0"/>
              <w:marTop w:val="0"/>
              <w:marBottom w:val="0"/>
              <w:divBdr>
                <w:top w:val="none" w:sz="0" w:space="0" w:color="auto"/>
                <w:left w:val="none" w:sz="0" w:space="0" w:color="auto"/>
                <w:bottom w:val="none" w:sz="0" w:space="0" w:color="auto"/>
                <w:right w:val="none" w:sz="0" w:space="0" w:color="auto"/>
              </w:divBdr>
            </w:div>
          </w:divsChild>
        </w:div>
        <w:div w:id="1203665918">
          <w:marLeft w:val="0"/>
          <w:marRight w:val="0"/>
          <w:marTop w:val="0"/>
          <w:marBottom w:val="0"/>
          <w:divBdr>
            <w:top w:val="none" w:sz="0" w:space="0" w:color="auto"/>
            <w:left w:val="none" w:sz="0" w:space="0" w:color="auto"/>
            <w:bottom w:val="none" w:sz="0" w:space="0" w:color="auto"/>
            <w:right w:val="none" w:sz="0" w:space="0" w:color="auto"/>
          </w:divBdr>
          <w:divsChild>
            <w:div w:id="769084433">
              <w:marLeft w:val="0"/>
              <w:marRight w:val="0"/>
              <w:marTop w:val="0"/>
              <w:marBottom w:val="0"/>
              <w:divBdr>
                <w:top w:val="none" w:sz="0" w:space="0" w:color="auto"/>
                <w:left w:val="none" w:sz="0" w:space="0" w:color="auto"/>
                <w:bottom w:val="none" w:sz="0" w:space="0" w:color="auto"/>
                <w:right w:val="none" w:sz="0" w:space="0" w:color="auto"/>
              </w:divBdr>
            </w:div>
          </w:divsChild>
        </w:div>
        <w:div w:id="1204706763">
          <w:marLeft w:val="0"/>
          <w:marRight w:val="0"/>
          <w:marTop w:val="0"/>
          <w:marBottom w:val="0"/>
          <w:divBdr>
            <w:top w:val="none" w:sz="0" w:space="0" w:color="auto"/>
            <w:left w:val="none" w:sz="0" w:space="0" w:color="auto"/>
            <w:bottom w:val="none" w:sz="0" w:space="0" w:color="auto"/>
            <w:right w:val="none" w:sz="0" w:space="0" w:color="auto"/>
          </w:divBdr>
          <w:divsChild>
            <w:div w:id="1626689750">
              <w:marLeft w:val="0"/>
              <w:marRight w:val="0"/>
              <w:marTop w:val="0"/>
              <w:marBottom w:val="0"/>
              <w:divBdr>
                <w:top w:val="none" w:sz="0" w:space="0" w:color="auto"/>
                <w:left w:val="none" w:sz="0" w:space="0" w:color="auto"/>
                <w:bottom w:val="none" w:sz="0" w:space="0" w:color="auto"/>
                <w:right w:val="none" w:sz="0" w:space="0" w:color="auto"/>
              </w:divBdr>
            </w:div>
          </w:divsChild>
        </w:div>
        <w:div w:id="1207915819">
          <w:marLeft w:val="0"/>
          <w:marRight w:val="0"/>
          <w:marTop w:val="0"/>
          <w:marBottom w:val="0"/>
          <w:divBdr>
            <w:top w:val="none" w:sz="0" w:space="0" w:color="auto"/>
            <w:left w:val="none" w:sz="0" w:space="0" w:color="auto"/>
            <w:bottom w:val="none" w:sz="0" w:space="0" w:color="auto"/>
            <w:right w:val="none" w:sz="0" w:space="0" w:color="auto"/>
          </w:divBdr>
          <w:divsChild>
            <w:div w:id="1076242116">
              <w:marLeft w:val="0"/>
              <w:marRight w:val="0"/>
              <w:marTop w:val="0"/>
              <w:marBottom w:val="0"/>
              <w:divBdr>
                <w:top w:val="none" w:sz="0" w:space="0" w:color="auto"/>
                <w:left w:val="none" w:sz="0" w:space="0" w:color="auto"/>
                <w:bottom w:val="none" w:sz="0" w:space="0" w:color="auto"/>
                <w:right w:val="none" w:sz="0" w:space="0" w:color="auto"/>
              </w:divBdr>
            </w:div>
          </w:divsChild>
        </w:div>
        <w:div w:id="1208419119">
          <w:marLeft w:val="0"/>
          <w:marRight w:val="0"/>
          <w:marTop w:val="0"/>
          <w:marBottom w:val="0"/>
          <w:divBdr>
            <w:top w:val="none" w:sz="0" w:space="0" w:color="auto"/>
            <w:left w:val="none" w:sz="0" w:space="0" w:color="auto"/>
            <w:bottom w:val="none" w:sz="0" w:space="0" w:color="auto"/>
            <w:right w:val="none" w:sz="0" w:space="0" w:color="auto"/>
          </w:divBdr>
          <w:divsChild>
            <w:div w:id="1675500201">
              <w:marLeft w:val="0"/>
              <w:marRight w:val="0"/>
              <w:marTop w:val="0"/>
              <w:marBottom w:val="0"/>
              <w:divBdr>
                <w:top w:val="none" w:sz="0" w:space="0" w:color="auto"/>
                <w:left w:val="none" w:sz="0" w:space="0" w:color="auto"/>
                <w:bottom w:val="none" w:sz="0" w:space="0" w:color="auto"/>
                <w:right w:val="none" w:sz="0" w:space="0" w:color="auto"/>
              </w:divBdr>
            </w:div>
          </w:divsChild>
        </w:div>
        <w:div w:id="1211384783">
          <w:marLeft w:val="0"/>
          <w:marRight w:val="0"/>
          <w:marTop w:val="0"/>
          <w:marBottom w:val="0"/>
          <w:divBdr>
            <w:top w:val="none" w:sz="0" w:space="0" w:color="auto"/>
            <w:left w:val="none" w:sz="0" w:space="0" w:color="auto"/>
            <w:bottom w:val="none" w:sz="0" w:space="0" w:color="auto"/>
            <w:right w:val="none" w:sz="0" w:space="0" w:color="auto"/>
          </w:divBdr>
          <w:divsChild>
            <w:div w:id="723796178">
              <w:marLeft w:val="0"/>
              <w:marRight w:val="0"/>
              <w:marTop w:val="0"/>
              <w:marBottom w:val="0"/>
              <w:divBdr>
                <w:top w:val="none" w:sz="0" w:space="0" w:color="auto"/>
                <w:left w:val="none" w:sz="0" w:space="0" w:color="auto"/>
                <w:bottom w:val="none" w:sz="0" w:space="0" w:color="auto"/>
                <w:right w:val="none" w:sz="0" w:space="0" w:color="auto"/>
              </w:divBdr>
            </w:div>
          </w:divsChild>
        </w:div>
        <w:div w:id="1212838925">
          <w:marLeft w:val="0"/>
          <w:marRight w:val="0"/>
          <w:marTop w:val="0"/>
          <w:marBottom w:val="0"/>
          <w:divBdr>
            <w:top w:val="none" w:sz="0" w:space="0" w:color="auto"/>
            <w:left w:val="none" w:sz="0" w:space="0" w:color="auto"/>
            <w:bottom w:val="none" w:sz="0" w:space="0" w:color="auto"/>
            <w:right w:val="none" w:sz="0" w:space="0" w:color="auto"/>
          </w:divBdr>
          <w:divsChild>
            <w:div w:id="153841654">
              <w:marLeft w:val="0"/>
              <w:marRight w:val="0"/>
              <w:marTop w:val="0"/>
              <w:marBottom w:val="0"/>
              <w:divBdr>
                <w:top w:val="none" w:sz="0" w:space="0" w:color="auto"/>
                <w:left w:val="none" w:sz="0" w:space="0" w:color="auto"/>
                <w:bottom w:val="none" w:sz="0" w:space="0" w:color="auto"/>
                <w:right w:val="none" w:sz="0" w:space="0" w:color="auto"/>
              </w:divBdr>
            </w:div>
          </w:divsChild>
        </w:div>
        <w:div w:id="1216888024">
          <w:marLeft w:val="0"/>
          <w:marRight w:val="0"/>
          <w:marTop w:val="0"/>
          <w:marBottom w:val="0"/>
          <w:divBdr>
            <w:top w:val="none" w:sz="0" w:space="0" w:color="auto"/>
            <w:left w:val="none" w:sz="0" w:space="0" w:color="auto"/>
            <w:bottom w:val="none" w:sz="0" w:space="0" w:color="auto"/>
            <w:right w:val="none" w:sz="0" w:space="0" w:color="auto"/>
          </w:divBdr>
          <w:divsChild>
            <w:div w:id="495071744">
              <w:marLeft w:val="0"/>
              <w:marRight w:val="0"/>
              <w:marTop w:val="0"/>
              <w:marBottom w:val="0"/>
              <w:divBdr>
                <w:top w:val="none" w:sz="0" w:space="0" w:color="auto"/>
                <w:left w:val="none" w:sz="0" w:space="0" w:color="auto"/>
                <w:bottom w:val="none" w:sz="0" w:space="0" w:color="auto"/>
                <w:right w:val="none" w:sz="0" w:space="0" w:color="auto"/>
              </w:divBdr>
            </w:div>
          </w:divsChild>
        </w:div>
        <w:div w:id="1218324293">
          <w:marLeft w:val="0"/>
          <w:marRight w:val="0"/>
          <w:marTop w:val="0"/>
          <w:marBottom w:val="0"/>
          <w:divBdr>
            <w:top w:val="none" w:sz="0" w:space="0" w:color="auto"/>
            <w:left w:val="none" w:sz="0" w:space="0" w:color="auto"/>
            <w:bottom w:val="none" w:sz="0" w:space="0" w:color="auto"/>
            <w:right w:val="none" w:sz="0" w:space="0" w:color="auto"/>
          </w:divBdr>
          <w:divsChild>
            <w:div w:id="1777214535">
              <w:marLeft w:val="0"/>
              <w:marRight w:val="0"/>
              <w:marTop w:val="0"/>
              <w:marBottom w:val="0"/>
              <w:divBdr>
                <w:top w:val="none" w:sz="0" w:space="0" w:color="auto"/>
                <w:left w:val="none" w:sz="0" w:space="0" w:color="auto"/>
                <w:bottom w:val="none" w:sz="0" w:space="0" w:color="auto"/>
                <w:right w:val="none" w:sz="0" w:space="0" w:color="auto"/>
              </w:divBdr>
            </w:div>
          </w:divsChild>
        </w:div>
        <w:div w:id="1218859106">
          <w:marLeft w:val="0"/>
          <w:marRight w:val="0"/>
          <w:marTop w:val="0"/>
          <w:marBottom w:val="0"/>
          <w:divBdr>
            <w:top w:val="none" w:sz="0" w:space="0" w:color="auto"/>
            <w:left w:val="none" w:sz="0" w:space="0" w:color="auto"/>
            <w:bottom w:val="none" w:sz="0" w:space="0" w:color="auto"/>
            <w:right w:val="none" w:sz="0" w:space="0" w:color="auto"/>
          </w:divBdr>
          <w:divsChild>
            <w:div w:id="1340154244">
              <w:marLeft w:val="0"/>
              <w:marRight w:val="0"/>
              <w:marTop w:val="0"/>
              <w:marBottom w:val="0"/>
              <w:divBdr>
                <w:top w:val="none" w:sz="0" w:space="0" w:color="auto"/>
                <w:left w:val="none" w:sz="0" w:space="0" w:color="auto"/>
                <w:bottom w:val="none" w:sz="0" w:space="0" w:color="auto"/>
                <w:right w:val="none" w:sz="0" w:space="0" w:color="auto"/>
              </w:divBdr>
            </w:div>
          </w:divsChild>
        </w:div>
        <w:div w:id="1218978304">
          <w:marLeft w:val="0"/>
          <w:marRight w:val="0"/>
          <w:marTop w:val="0"/>
          <w:marBottom w:val="0"/>
          <w:divBdr>
            <w:top w:val="none" w:sz="0" w:space="0" w:color="auto"/>
            <w:left w:val="none" w:sz="0" w:space="0" w:color="auto"/>
            <w:bottom w:val="none" w:sz="0" w:space="0" w:color="auto"/>
            <w:right w:val="none" w:sz="0" w:space="0" w:color="auto"/>
          </w:divBdr>
          <w:divsChild>
            <w:div w:id="289360266">
              <w:marLeft w:val="0"/>
              <w:marRight w:val="0"/>
              <w:marTop w:val="0"/>
              <w:marBottom w:val="0"/>
              <w:divBdr>
                <w:top w:val="none" w:sz="0" w:space="0" w:color="auto"/>
                <w:left w:val="none" w:sz="0" w:space="0" w:color="auto"/>
                <w:bottom w:val="none" w:sz="0" w:space="0" w:color="auto"/>
                <w:right w:val="none" w:sz="0" w:space="0" w:color="auto"/>
              </w:divBdr>
            </w:div>
          </w:divsChild>
        </w:div>
        <w:div w:id="1220046062">
          <w:marLeft w:val="0"/>
          <w:marRight w:val="0"/>
          <w:marTop w:val="0"/>
          <w:marBottom w:val="0"/>
          <w:divBdr>
            <w:top w:val="none" w:sz="0" w:space="0" w:color="auto"/>
            <w:left w:val="none" w:sz="0" w:space="0" w:color="auto"/>
            <w:bottom w:val="none" w:sz="0" w:space="0" w:color="auto"/>
            <w:right w:val="none" w:sz="0" w:space="0" w:color="auto"/>
          </w:divBdr>
          <w:divsChild>
            <w:div w:id="631058120">
              <w:marLeft w:val="0"/>
              <w:marRight w:val="0"/>
              <w:marTop w:val="0"/>
              <w:marBottom w:val="0"/>
              <w:divBdr>
                <w:top w:val="none" w:sz="0" w:space="0" w:color="auto"/>
                <w:left w:val="none" w:sz="0" w:space="0" w:color="auto"/>
                <w:bottom w:val="none" w:sz="0" w:space="0" w:color="auto"/>
                <w:right w:val="none" w:sz="0" w:space="0" w:color="auto"/>
              </w:divBdr>
            </w:div>
          </w:divsChild>
        </w:div>
        <w:div w:id="1220438517">
          <w:marLeft w:val="0"/>
          <w:marRight w:val="0"/>
          <w:marTop w:val="0"/>
          <w:marBottom w:val="0"/>
          <w:divBdr>
            <w:top w:val="none" w:sz="0" w:space="0" w:color="auto"/>
            <w:left w:val="none" w:sz="0" w:space="0" w:color="auto"/>
            <w:bottom w:val="none" w:sz="0" w:space="0" w:color="auto"/>
            <w:right w:val="none" w:sz="0" w:space="0" w:color="auto"/>
          </w:divBdr>
          <w:divsChild>
            <w:div w:id="1892615580">
              <w:marLeft w:val="0"/>
              <w:marRight w:val="0"/>
              <w:marTop w:val="0"/>
              <w:marBottom w:val="0"/>
              <w:divBdr>
                <w:top w:val="none" w:sz="0" w:space="0" w:color="auto"/>
                <w:left w:val="none" w:sz="0" w:space="0" w:color="auto"/>
                <w:bottom w:val="none" w:sz="0" w:space="0" w:color="auto"/>
                <w:right w:val="none" w:sz="0" w:space="0" w:color="auto"/>
              </w:divBdr>
            </w:div>
          </w:divsChild>
        </w:div>
        <w:div w:id="1221944077">
          <w:marLeft w:val="0"/>
          <w:marRight w:val="0"/>
          <w:marTop w:val="0"/>
          <w:marBottom w:val="0"/>
          <w:divBdr>
            <w:top w:val="none" w:sz="0" w:space="0" w:color="auto"/>
            <w:left w:val="none" w:sz="0" w:space="0" w:color="auto"/>
            <w:bottom w:val="none" w:sz="0" w:space="0" w:color="auto"/>
            <w:right w:val="none" w:sz="0" w:space="0" w:color="auto"/>
          </w:divBdr>
          <w:divsChild>
            <w:div w:id="1462923824">
              <w:marLeft w:val="0"/>
              <w:marRight w:val="0"/>
              <w:marTop w:val="0"/>
              <w:marBottom w:val="0"/>
              <w:divBdr>
                <w:top w:val="none" w:sz="0" w:space="0" w:color="auto"/>
                <w:left w:val="none" w:sz="0" w:space="0" w:color="auto"/>
                <w:bottom w:val="none" w:sz="0" w:space="0" w:color="auto"/>
                <w:right w:val="none" w:sz="0" w:space="0" w:color="auto"/>
              </w:divBdr>
            </w:div>
          </w:divsChild>
        </w:div>
        <w:div w:id="1223710842">
          <w:marLeft w:val="0"/>
          <w:marRight w:val="0"/>
          <w:marTop w:val="0"/>
          <w:marBottom w:val="0"/>
          <w:divBdr>
            <w:top w:val="none" w:sz="0" w:space="0" w:color="auto"/>
            <w:left w:val="none" w:sz="0" w:space="0" w:color="auto"/>
            <w:bottom w:val="none" w:sz="0" w:space="0" w:color="auto"/>
            <w:right w:val="none" w:sz="0" w:space="0" w:color="auto"/>
          </w:divBdr>
          <w:divsChild>
            <w:div w:id="425612336">
              <w:marLeft w:val="0"/>
              <w:marRight w:val="0"/>
              <w:marTop w:val="0"/>
              <w:marBottom w:val="0"/>
              <w:divBdr>
                <w:top w:val="none" w:sz="0" w:space="0" w:color="auto"/>
                <w:left w:val="none" w:sz="0" w:space="0" w:color="auto"/>
                <w:bottom w:val="none" w:sz="0" w:space="0" w:color="auto"/>
                <w:right w:val="none" w:sz="0" w:space="0" w:color="auto"/>
              </w:divBdr>
            </w:div>
          </w:divsChild>
        </w:div>
        <w:div w:id="1224103977">
          <w:marLeft w:val="0"/>
          <w:marRight w:val="0"/>
          <w:marTop w:val="0"/>
          <w:marBottom w:val="0"/>
          <w:divBdr>
            <w:top w:val="none" w:sz="0" w:space="0" w:color="auto"/>
            <w:left w:val="none" w:sz="0" w:space="0" w:color="auto"/>
            <w:bottom w:val="none" w:sz="0" w:space="0" w:color="auto"/>
            <w:right w:val="none" w:sz="0" w:space="0" w:color="auto"/>
          </w:divBdr>
          <w:divsChild>
            <w:div w:id="2054501311">
              <w:marLeft w:val="0"/>
              <w:marRight w:val="0"/>
              <w:marTop w:val="0"/>
              <w:marBottom w:val="0"/>
              <w:divBdr>
                <w:top w:val="none" w:sz="0" w:space="0" w:color="auto"/>
                <w:left w:val="none" w:sz="0" w:space="0" w:color="auto"/>
                <w:bottom w:val="none" w:sz="0" w:space="0" w:color="auto"/>
                <w:right w:val="none" w:sz="0" w:space="0" w:color="auto"/>
              </w:divBdr>
            </w:div>
          </w:divsChild>
        </w:div>
        <w:div w:id="1225875200">
          <w:marLeft w:val="0"/>
          <w:marRight w:val="0"/>
          <w:marTop w:val="0"/>
          <w:marBottom w:val="0"/>
          <w:divBdr>
            <w:top w:val="none" w:sz="0" w:space="0" w:color="auto"/>
            <w:left w:val="none" w:sz="0" w:space="0" w:color="auto"/>
            <w:bottom w:val="none" w:sz="0" w:space="0" w:color="auto"/>
            <w:right w:val="none" w:sz="0" w:space="0" w:color="auto"/>
          </w:divBdr>
          <w:divsChild>
            <w:div w:id="1136800179">
              <w:marLeft w:val="0"/>
              <w:marRight w:val="0"/>
              <w:marTop w:val="0"/>
              <w:marBottom w:val="0"/>
              <w:divBdr>
                <w:top w:val="none" w:sz="0" w:space="0" w:color="auto"/>
                <w:left w:val="none" w:sz="0" w:space="0" w:color="auto"/>
                <w:bottom w:val="none" w:sz="0" w:space="0" w:color="auto"/>
                <w:right w:val="none" w:sz="0" w:space="0" w:color="auto"/>
              </w:divBdr>
            </w:div>
          </w:divsChild>
        </w:div>
        <w:div w:id="1227570324">
          <w:marLeft w:val="0"/>
          <w:marRight w:val="0"/>
          <w:marTop w:val="0"/>
          <w:marBottom w:val="0"/>
          <w:divBdr>
            <w:top w:val="none" w:sz="0" w:space="0" w:color="auto"/>
            <w:left w:val="none" w:sz="0" w:space="0" w:color="auto"/>
            <w:bottom w:val="none" w:sz="0" w:space="0" w:color="auto"/>
            <w:right w:val="none" w:sz="0" w:space="0" w:color="auto"/>
          </w:divBdr>
          <w:divsChild>
            <w:div w:id="1585453390">
              <w:marLeft w:val="0"/>
              <w:marRight w:val="0"/>
              <w:marTop w:val="0"/>
              <w:marBottom w:val="0"/>
              <w:divBdr>
                <w:top w:val="none" w:sz="0" w:space="0" w:color="auto"/>
                <w:left w:val="none" w:sz="0" w:space="0" w:color="auto"/>
                <w:bottom w:val="none" w:sz="0" w:space="0" w:color="auto"/>
                <w:right w:val="none" w:sz="0" w:space="0" w:color="auto"/>
              </w:divBdr>
            </w:div>
          </w:divsChild>
        </w:div>
        <w:div w:id="1228102308">
          <w:marLeft w:val="0"/>
          <w:marRight w:val="0"/>
          <w:marTop w:val="0"/>
          <w:marBottom w:val="0"/>
          <w:divBdr>
            <w:top w:val="none" w:sz="0" w:space="0" w:color="auto"/>
            <w:left w:val="none" w:sz="0" w:space="0" w:color="auto"/>
            <w:bottom w:val="none" w:sz="0" w:space="0" w:color="auto"/>
            <w:right w:val="none" w:sz="0" w:space="0" w:color="auto"/>
          </w:divBdr>
          <w:divsChild>
            <w:div w:id="1962492301">
              <w:marLeft w:val="0"/>
              <w:marRight w:val="0"/>
              <w:marTop w:val="0"/>
              <w:marBottom w:val="0"/>
              <w:divBdr>
                <w:top w:val="none" w:sz="0" w:space="0" w:color="auto"/>
                <w:left w:val="none" w:sz="0" w:space="0" w:color="auto"/>
                <w:bottom w:val="none" w:sz="0" w:space="0" w:color="auto"/>
                <w:right w:val="none" w:sz="0" w:space="0" w:color="auto"/>
              </w:divBdr>
            </w:div>
          </w:divsChild>
        </w:div>
        <w:div w:id="1228229654">
          <w:marLeft w:val="0"/>
          <w:marRight w:val="0"/>
          <w:marTop w:val="0"/>
          <w:marBottom w:val="0"/>
          <w:divBdr>
            <w:top w:val="none" w:sz="0" w:space="0" w:color="auto"/>
            <w:left w:val="none" w:sz="0" w:space="0" w:color="auto"/>
            <w:bottom w:val="none" w:sz="0" w:space="0" w:color="auto"/>
            <w:right w:val="none" w:sz="0" w:space="0" w:color="auto"/>
          </w:divBdr>
          <w:divsChild>
            <w:div w:id="1390618518">
              <w:marLeft w:val="0"/>
              <w:marRight w:val="0"/>
              <w:marTop w:val="0"/>
              <w:marBottom w:val="0"/>
              <w:divBdr>
                <w:top w:val="none" w:sz="0" w:space="0" w:color="auto"/>
                <w:left w:val="none" w:sz="0" w:space="0" w:color="auto"/>
                <w:bottom w:val="none" w:sz="0" w:space="0" w:color="auto"/>
                <w:right w:val="none" w:sz="0" w:space="0" w:color="auto"/>
              </w:divBdr>
            </w:div>
          </w:divsChild>
        </w:div>
        <w:div w:id="1231816874">
          <w:marLeft w:val="0"/>
          <w:marRight w:val="0"/>
          <w:marTop w:val="0"/>
          <w:marBottom w:val="0"/>
          <w:divBdr>
            <w:top w:val="none" w:sz="0" w:space="0" w:color="auto"/>
            <w:left w:val="none" w:sz="0" w:space="0" w:color="auto"/>
            <w:bottom w:val="none" w:sz="0" w:space="0" w:color="auto"/>
            <w:right w:val="none" w:sz="0" w:space="0" w:color="auto"/>
          </w:divBdr>
          <w:divsChild>
            <w:div w:id="1134055541">
              <w:marLeft w:val="0"/>
              <w:marRight w:val="0"/>
              <w:marTop w:val="0"/>
              <w:marBottom w:val="0"/>
              <w:divBdr>
                <w:top w:val="none" w:sz="0" w:space="0" w:color="auto"/>
                <w:left w:val="none" w:sz="0" w:space="0" w:color="auto"/>
                <w:bottom w:val="none" w:sz="0" w:space="0" w:color="auto"/>
                <w:right w:val="none" w:sz="0" w:space="0" w:color="auto"/>
              </w:divBdr>
            </w:div>
          </w:divsChild>
        </w:div>
        <w:div w:id="1231817354">
          <w:marLeft w:val="0"/>
          <w:marRight w:val="0"/>
          <w:marTop w:val="0"/>
          <w:marBottom w:val="0"/>
          <w:divBdr>
            <w:top w:val="none" w:sz="0" w:space="0" w:color="auto"/>
            <w:left w:val="none" w:sz="0" w:space="0" w:color="auto"/>
            <w:bottom w:val="none" w:sz="0" w:space="0" w:color="auto"/>
            <w:right w:val="none" w:sz="0" w:space="0" w:color="auto"/>
          </w:divBdr>
          <w:divsChild>
            <w:div w:id="1165244221">
              <w:marLeft w:val="0"/>
              <w:marRight w:val="0"/>
              <w:marTop w:val="0"/>
              <w:marBottom w:val="0"/>
              <w:divBdr>
                <w:top w:val="none" w:sz="0" w:space="0" w:color="auto"/>
                <w:left w:val="none" w:sz="0" w:space="0" w:color="auto"/>
                <w:bottom w:val="none" w:sz="0" w:space="0" w:color="auto"/>
                <w:right w:val="none" w:sz="0" w:space="0" w:color="auto"/>
              </w:divBdr>
            </w:div>
          </w:divsChild>
        </w:div>
        <w:div w:id="1233661489">
          <w:marLeft w:val="0"/>
          <w:marRight w:val="0"/>
          <w:marTop w:val="0"/>
          <w:marBottom w:val="0"/>
          <w:divBdr>
            <w:top w:val="none" w:sz="0" w:space="0" w:color="auto"/>
            <w:left w:val="none" w:sz="0" w:space="0" w:color="auto"/>
            <w:bottom w:val="none" w:sz="0" w:space="0" w:color="auto"/>
            <w:right w:val="none" w:sz="0" w:space="0" w:color="auto"/>
          </w:divBdr>
          <w:divsChild>
            <w:div w:id="1692607045">
              <w:marLeft w:val="0"/>
              <w:marRight w:val="0"/>
              <w:marTop w:val="0"/>
              <w:marBottom w:val="0"/>
              <w:divBdr>
                <w:top w:val="none" w:sz="0" w:space="0" w:color="auto"/>
                <w:left w:val="none" w:sz="0" w:space="0" w:color="auto"/>
                <w:bottom w:val="none" w:sz="0" w:space="0" w:color="auto"/>
                <w:right w:val="none" w:sz="0" w:space="0" w:color="auto"/>
              </w:divBdr>
            </w:div>
          </w:divsChild>
        </w:div>
        <w:div w:id="1237282037">
          <w:marLeft w:val="0"/>
          <w:marRight w:val="0"/>
          <w:marTop w:val="0"/>
          <w:marBottom w:val="0"/>
          <w:divBdr>
            <w:top w:val="none" w:sz="0" w:space="0" w:color="auto"/>
            <w:left w:val="none" w:sz="0" w:space="0" w:color="auto"/>
            <w:bottom w:val="none" w:sz="0" w:space="0" w:color="auto"/>
            <w:right w:val="none" w:sz="0" w:space="0" w:color="auto"/>
          </w:divBdr>
          <w:divsChild>
            <w:div w:id="1638294644">
              <w:marLeft w:val="0"/>
              <w:marRight w:val="0"/>
              <w:marTop w:val="0"/>
              <w:marBottom w:val="0"/>
              <w:divBdr>
                <w:top w:val="none" w:sz="0" w:space="0" w:color="auto"/>
                <w:left w:val="none" w:sz="0" w:space="0" w:color="auto"/>
                <w:bottom w:val="none" w:sz="0" w:space="0" w:color="auto"/>
                <w:right w:val="none" w:sz="0" w:space="0" w:color="auto"/>
              </w:divBdr>
            </w:div>
          </w:divsChild>
        </w:div>
        <w:div w:id="1239097098">
          <w:marLeft w:val="0"/>
          <w:marRight w:val="0"/>
          <w:marTop w:val="0"/>
          <w:marBottom w:val="0"/>
          <w:divBdr>
            <w:top w:val="none" w:sz="0" w:space="0" w:color="auto"/>
            <w:left w:val="none" w:sz="0" w:space="0" w:color="auto"/>
            <w:bottom w:val="none" w:sz="0" w:space="0" w:color="auto"/>
            <w:right w:val="none" w:sz="0" w:space="0" w:color="auto"/>
          </w:divBdr>
          <w:divsChild>
            <w:div w:id="297103490">
              <w:marLeft w:val="0"/>
              <w:marRight w:val="0"/>
              <w:marTop w:val="0"/>
              <w:marBottom w:val="0"/>
              <w:divBdr>
                <w:top w:val="none" w:sz="0" w:space="0" w:color="auto"/>
                <w:left w:val="none" w:sz="0" w:space="0" w:color="auto"/>
                <w:bottom w:val="none" w:sz="0" w:space="0" w:color="auto"/>
                <w:right w:val="none" w:sz="0" w:space="0" w:color="auto"/>
              </w:divBdr>
            </w:div>
          </w:divsChild>
        </w:div>
        <w:div w:id="1252809401">
          <w:marLeft w:val="0"/>
          <w:marRight w:val="0"/>
          <w:marTop w:val="0"/>
          <w:marBottom w:val="0"/>
          <w:divBdr>
            <w:top w:val="none" w:sz="0" w:space="0" w:color="auto"/>
            <w:left w:val="none" w:sz="0" w:space="0" w:color="auto"/>
            <w:bottom w:val="none" w:sz="0" w:space="0" w:color="auto"/>
            <w:right w:val="none" w:sz="0" w:space="0" w:color="auto"/>
          </w:divBdr>
          <w:divsChild>
            <w:div w:id="1888487476">
              <w:marLeft w:val="0"/>
              <w:marRight w:val="0"/>
              <w:marTop w:val="0"/>
              <w:marBottom w:val="0"/>
              <w:divBdr>
                <w:top w:val="none" w:sz="0" w:space="0" w:color="auto"/>
                <w:left w:val="none" w:sz="0" w:space="0" w:color="auto"/>
                <w:bottom w:val="none" w:sz="0" w:space="0" w:color="auto"/>
                <w:right w:val="none" w:sz="0" w:space="0" w:color="auto"/>
              </w:divBdr>
            </w:div>
          </w:divsChild>
        </w:div>
        <w:div w:id="1254318995">
          <w:marLeft w:val="0"/>
          <w:marRight w:val="0"/>
          <w:marTop w:val="0"/>
          <w:marBottom w:val="0"/>
          <w:divBdr>
            <w:top w:val="none" w:sz="0" w:space="0" w:color="auto"/>
            <w:left w:val="none" w:sz="0" w:space="0" w:color="auto"/>
            <w:bottom w:val="none" w:sz="0" w:space="0" w:color="auto"/>
            <w:right w:val="none" w:sz="0" w:space="0" w:color="auto"/>
          </w:divBdr>
          <w:divsChild>
            <w:div w:id="830146399">
              <w:marLeft w:val="0"/>
              <w:marRight w:val="0"/>
              <w:marTop w:val="0"/>
              <w:marBottom w:val="0"/>
              <w:divBdr>
                <w:top w:val="none" w:sz="0" w:space="0" w:color="auto"/>
                <w:left w:val="none" w:sz="0" w:space="0" w:color="auto"/>
                <w:bottom w:val="none" w:sz="0" w:space="0" w:color="auto"/>
                <w:right w:val="none" w:sz="0" w:space="0" w:color="auto"/>
              </w:divBdr>
            </w:div>
          </w:divsChild>
        </w:div>
        <w:div w:id="1258633051">
          <w:marLeft w:val="0"/>
          <w:marRight w:val="0"/>
          <w:marTop w:val="0"/>
          <w:marBottom w:val="0"/>
          <w:divBdr>
            <w:top w:val="none" w:sz="0" w:space="0" w:color="auto"/>
            <w:left w:val="none" w:sz="0" w:space="0" w:color="auto"/>
            <w:bottom w:val="none" w:sz="0" w:space="0" w:color="auto"/>
            <w:right w:val="none" w:sz="0" w:space="0" w:color="auto"/>
          </w:divBdr>
          <w:divsChild>
            <w:div w:id="776759015">
              <w:marLeft w:val="0"/>
              <w:marRight w:val="0"/>
              <w:marTop w:val="0"/>
              <w:marBottom w:val="0"/>
              <w:divBdr>
                <w:top w:val="none" w:sz="0" w:space="0" w:color="auto"/>
                <w:left w:val="none" w:sz="0" w:space="0" w:color="auto"/>
                <w:bottom w:val="none" w:sz="0" w:space="0" w:color="auto"/>
                <w:right w:val="none" w:sz="0" w:space="0" w:color="auto"/>
              </w:divBdr>
            </w:div>
          </w:divsChild>
        </w:div>
        <w:div w:id="1260287614">
          <w:marLeft w:val="0"/>
          <w:marRight w:val="0"/>
          <w:marTop w:val="0"/>
          <w:marBottom w:val="0"/>
          <w:divBdr>
            <w:top w:val="none" w:sz="0" w:space="0" w:color="auto"/>
            <w:left w:val="none" w:sz="0" w:space="0" w:color="auto"/>
            <w:bottom w:val="none" w:sz="0" w:space="0" w:color="auto"/>
            <w:right w:val="none" w:sz="0" w:space="0" w:color="auto"/>
          </w:divBdr>
          <w:divsChild>
            <w:div w:id="1132552014">
              <w:marLeft w:val="0"/>
              <w:marRight w:val="0"/>
              <w:marTop w:val="0"/>
              <w:marBottom w:val="0"/>
              <w:divBdr>
                <w:top w:val="none" w:sz="0" w:space="0" w:color="auto"/>
                <w:left w:val="none" w:sz="0" w:space="0" w:color="auto"/>
                <w:bottom w:val="none" w:sz="0" w:space="0" w:color="auto"/>
                <w:right w:val="none" w:sz="0" w:space="0" w:color="auto"/>
              </w:divBdr>
            </w:div>
          </w:divsChild>
        </w:div>
        <w:div w:id="1262101185">
          <w:marLeft w:val="0"/>
          <w:marRight w:val="0"/>
          <w:marTop w:val="0"/>
          <w:marBottom w:val="0"/>
          <w:divBdr>
            <w:top w:val="none" w:sz="0" w:space="0" w:color="auto"/>
            <w:left w:val="none" w:sz="0" w:space="0" w:color="auto"/>
            <w:bottom w:val="none" w:sz="0" w:space="0" w:color="auto"/>
            <w:right w:val="none" w:sz="0" w:space="0" w:color="auto"/>
          </w:divBdr>
          <w:divsChild>
            <w:div w:id="448596144">
              <w:marLeft w:val="0"/>
              <w:marRight w:val="0"/>
              <w:marTop w:val="0"/>
              <w:marBottom w:val="0"/>
              <w:divBdr>
                <w:top w:val="none" w:sz="0" w:space="0" w:color="auto"/>
                <w:left w:val="none" w:sz="0" w:space="0" w:color="auto"/>
                <w:bottom w:val="none" w:sz="0" w:space="0" w:color="auto"/>
                <w:right w:val="none" w:sz="0" w:space="0" w:color="auto"/>
              </w:divBdr>
            </w:div>
          </w:divsChild>
        </w:div>
        <w:div w:id="1262294931">
          <w:marLeft w:val="0"/>
          <w:marRight w:val="0"/>
          <w:marTop w:val="0"/>
          <w:marBottom w:val="0"/>
          <w:divBdr>
            <w:top w:val="none" w:sz="0" w:space="0" w:color="auto"/>
            <w:left w:val="none" w:sz="0" w:space="0" w:color="auto"/>
            <w:bottom w:val="none" w:sz="0" w:space="0" w:color="auto"/>
            <w:right w:val="none" w:sz="0" w:space="0" w:color="auto"/>
          </w:divBdr>
          <w:divsChild>
            <w:div w:id="1764717885">
              <w:marLeft w:val="0"/>
              <w:marRight w:val="0"/>
              <w:marTop w:val="0"/>
              <w:marBottom w:val="0"/>
              <w:divBdr>
                <w:top w:val="none" w:sz="0" w:space="0" w:color="auto"/>
                <w:left w:val="none" w:sz="0" w:space="0" w:color="auto"/>
                <w:bottom w:val="none" w:sz="0" w:space="0" w:color="auto"/>
                <w:right w:val="none" w:sz="0" w:space="0" w:color="auto"/>
              </w:divBdr>
            </w:div>
          </w:divsChild>
        </w:div>
        <w:div w:id="1263294431">
          <w:marLeft w:val="0"/>
          <w:marRight w:val="0"/>
          <w:marTop w:val="0"/>
          <w:marBottom w:val="0"/>
          <w:divBdr>
            <w:top w:val="none" w:sz="0" w:space="0" w:color="auto"/>
            <w:left w:val="none" w:sz="0" w:space="0" w:color="auto"/>
            <w:bottom w:val="none" w:sz="0" w:space="0" w:color="auto"/>
            <w:right w:val="none" w:sz="0" w:space="0" w:color="auto"/>
          </w:divBdr>
          <w:divsChild>
            <w:div w:id="977027685">
              <w:marLeft w:val="0"/>
              <w:marRight w:val="0"/>
              <w:marTop w:val="0"/>
              <w:marBottom w:val="0"/>
              <w:divBdr>
                <w:top w:val="none" w:sz="0" w:space="0" w:color="auto"/>
                <w:left w:val="none" w:sz="0" w:space="0" w:color="auto"/>
                <w:bottom w:val="none" w:sz="0" w:space="0" w:color="auto"/>
                <w:right w:val="none" w:sz="0" w:space="0" w:color="auto"/>
              </w:divBdr>
            </w:div>
          </w:divsChild>
        </w:div>
        <w:div w:id="1271550646">
          <w:marLeft w:val="0"/>
          <w:marRight w:val="0"/>
          <w:marTop w:val="0"/>
          <w:marBottom w:val="0"/>
          <w:divBdr>
            <w:top w:val="none" w:sz="0" w:space="0" w:color="auto"/>
            <w:left w:val="none" w:sz="0" w:space="0" w:color="auto"/>
            <w:bottom w:val="none" w:sz="0" w:space="0" w:color="auto"/>
            <w:right w:val="none" w:sz="0" w:space="0" w:color="auto"/>
          </w:divBdr>
          <w:divsChild>
            <w:div w:id="6829452">
              <w:marLeft w:val="0"/>
              <w:marRight w:val="0"/>
              <w:marTop w:val="0"/>
              <w:marBottom w:val="0"/>
              <w:divBdr>
                <w:top w:val="none" w:sz="0" w:space="0" w:color="auto"/>
                <w:left w:val="none" w:sz="0" w:space="0" w:color="auto"/>
                <w:bottom w:val="none" w:sz="0" w:space="0" w:color="auto"/>
                <w:right w:val="none" w:sz="0" w:space="0" w:color="auto"/>
              </w:divBdr>
            </w:div>
          </w:divsChild>
        </w:div>
        <w:div w:id="1274248618">
          <w:marLeft w:val="0"/>
          <w:marRight w:val="0"/>
          <w:marTop w:val="0"/>
          <w:marBottom w:val="0"/>
          <w:divBdr>
            <w:top w:val="none" w:sz="0" w:space="0" w:color="auto"/>
            <w:left w:val="none" w:sz="0" w:space="0" w:color="auto"/>
            <w:bottom w:val="none" w:sz="0" w:space="0" w:color="auto"/>
            <w:right w:val="none" w:sz="0" w:space="0" w:color="auto"/>
          </w:divBdr>
          <w:divsChild>
            <w:div w:id="1370378751">
              <w:marLeft w:val="0"/>
              <w:marRight w:val="0"/>
              <w:marTop w:val="0"/>
              <w:marBottom w:val="0"/>
              <w:divBdr>
                <w:top w:val="none" w:sz="0" w:space="0" w:color="auto"/>
                <w:left w:val="none" w:sz="0" w:space="0" w:color="auto"/>
                <w:bottom w:val="none" w:sz="0" w:space="0" w:color="auto"/>
                <w:right w:val="none" w:sz="0" w:space="0" w:color="auto"/>
              </w:divBdr>
            </w:div>
          </w:divsChild>
        </w:div>
        <w:div w:id="1274821705">
          <w:marLeft w:val="0"/>
          <w:marRight w:val="0"/>
          <w:marTop w:val="0"/>
          <w:marBottom w:val="0"/>
          <w:divBdr>
            <w:top w:val="none" w:sz="0" w:space="0" w:color="auto"/>
            <w:left w:val="none" w:sz="0" w:space="0" w:color="auto"/>
            <w:bottom w:val="none" w:sz="0" w:space="0" w:color="auto"/>
            <w:right w:val="none" w:sz="0" w:space="0" w:color="auto"/>
          </w:divBdr>
          <w:divsChild>
            <w:div w:id="1282689992">
              <w:marLeft w:val="0"/>
              <w:marRight w:val="0"/>
              <w:marTop w:val="0"/>
              <w:marBottom w:val="0"/>
              <w:divBdr>
                <w:top w:val="none" w:sz="0" w:space="0" w:color="auto"/>
                <w:left w:val="none" w:sz="0" w:space="0" w:color="auto"/>
                <w:bottom w:val="none" w:sz="0" w:space="0" w:color="auto"/>
                <w:right w:val="none" w:sz="0" w:space="0" w:color="auto"/>
              </w:divBdr>
            </w:div>
          </w:divsChild>
        </w:div>
        <w:div w:id="1275134328">
          <w:marLeft w:val="0"/>
          <w:marRight w:val="0"/>
          <w:marTop w:val="0"/>
          <w:marBottom w:val="0"/>
          <w:divBdr>
            <w:top w:val="none" w:sz="0" w:space="0" w:color="auto"/>
            <w:left w:val="none" w:sz="0" w:space="0" w:color="auto"/>
            <w:bottom w:val="none" w:sz="0" w:space="0" w:color="auto"/>
            <w:right w:val="none" w:sz="0" w:space="0" w:color="auto"/>
          </w:divBdr>
          <w:divsChild>
            <w:div w:id="1526167432">
              <w:marLeft w:val="0"/>
              <w:marRight w:val="0"/>
              <w:marTop w:val="0"/>
              <w:marBottom w:val="0"/>
              <w:divBdr>
                <w:top w:val="none" w:sz="0" w:space="0" w:color="auto"/>
                <w:left w:val="none" w:sz="0" w:space="0" w:color="auto"/>
                <w:bottom w:val="none" w:sz="0" w:space="0" w:color="auto"/>
                <w:right w:val="none" w:sz="0" w:space="0" w:color="auto"/>
              </w:divBdr>
            </w:div>
          </w:divsChild>
        </w:div>
        <w:div w:id="1278027361">
          <w:marLeft w:val="0"/>
          <w:marRight w:val="0"/>
          <w:marTop w:val="0"/>
          <w:marBottom w:val="0"/>
          <w:divBdr>
            <w:top w:val="none" w:sz="0" w:space="0" w:color="auto"/>
            <w:left w:val="none" w:sz="0" w:space="0" w:color="auto"/>
            <w:bottom w:val="none" w:sz="0" w:space="0" w:color="auto"/>
            <w:right w:val="none" w:sz="0" w:space="0" w:color="auto"/>
          </w:divBdr>
          <w:divsChild>
            <w:div w:id="530072079">
              <w:marLeft w:val="0"/>
              <w:marRight w:val="0"/>
              <w:marTop w:val="0"/>
              <w:marBottom w:val="0"/>
              <w:divBdr>
                <w:top w:val="none" w:sz="0" w:space="0" w:color="auto"/>
                <w:left w:val="none" w:sz="0" w:space="0" w:color="auto"/>
                <w:bottom w:val="none" w:sz="0" w:space="0" w:color="auto"/>
                <w:right w:val="none" w:sz="0" w:space="0" w:color="auto"/>
              </w:divBdr>
            </w:div>
          </w:divsChild>
        </w:div>
        <w:div w:id="1279023339">
          <w:marLeft w:val="0"/>
          <w:marRight w:val="0"/>
          <w:marTop w:val="0"/>
          <w:marBottom w:val="0"/>
          <w:divBdr>
            <w:top w:val="none" w:sz="0" w:space="0" w:color="auto"/>
            <w:left w:val="none" w:sz="0" w:space="0" w:color="auto"/>
            <w:bottom w:val="none" w:sz="0" w:space="0" w:color="auto"/>
            <w:right w:val="none" w:sz="0" w:space="0" w:color="auto"/>
          </w:divBdr>
          <w:divsChild>
            <w:div w:id="648635461">
              <w:marLeft w:val="0"/>
              <w:marRight w:val="0"/>
              <w:marTop w:val="0"/>
              <w:marBottom w:val="0"/>
              <w:divBdr>
                <w:top w:val="none" w:sz="0" w:space="0" w:color="auto"/>
                <w:left w:val="none" w:sz="0" w:space="0" w:color="auto"/>
                <w:bottom w:val="none" w:sz="0" w:space="0" w:color="auto"/>
                <w:right w:val="none" w:sz="0" w:space="0" w:color="auto"/>
              </w:divBdr>
            </w:div>
          </w:divsChild>
        </w:div>
        <w:div w:id="1280911195">
          <w:marLeft w:val="0"/>
          <w:marRight w:val="0"/>
          <w:marTop w:val="0"/>
          <w:marBottom w:val="0"/>
          <w:divBdr>
            <w:top w:val="none" w:sz="0" w:space="0" w:color="auto"/>
            <w:left w:val="none" w:sz="0" w:space="0" w:color="auto"/>
            <w:bottom w:val="none" w:sz="0" w:space="0" w:color="auto"/>
            <w:right w:val="none" w:sz="0" w:space="0" w:color="auto"/>
          </w:divBdr>
          <w:divsChild>
            <w:div w:id="2031224571">
              <w:marLeft w:val="0"/>
              <w:marRight w:val="0"/>
              <w:marTop w:val="0"/>
              <w:marBottom w:val="0"/>
              <w:divBdr>
                <w:top w:val="none" w:sz="0" w:space="0" w:color="auto"/>
                <w:left w:val="none" w:sz="0" w:space="0" w:color="auto"/>
                <w:bottom w:val="none" w:sz="0" w:space="0" w:color="auto"/>
                <w:right w:val="none" w:sz="0" w:space="0" w:color="auto"/>
              </w:divBdr>
            </w:div>
          </w:divsChild>
        </w:div>
        <w:div w:id="1282758983">
          <w:marLeft w:val="0"/>
          <w:marRight w:val="0"/>
          <w:marTop w:val="0"/>
          <w:marBottom w:val="0"/>
          <w:divBdr>
            <w:top w:val="none" w:sz="0" w:space="0" w:color="auto"/>
            <w:left w:val="none" w:sz="0" w:space="0" w:color="auto"/>
            <w:bottom w:val="none" w:sz="0" w:space="0" w:color="auto"/>
            <w:right w:val="none" w:sz="0" w:space="0" w:color="auto"/>
          </w:divBdr>
          <w:divsChild>
            <w:div w:id="133956653">
              <w:marLeft w:val="0"/>
              <w:marRight w:val="0"/>
              <w:marTop w:val="0"/>
              <w:marBottom w:val="0"/>
              <w:divBdr>
                <w:top w:val="none" w:sz="0" w:space="0" w:color="auto"/>
                <w:left w:val="none" w:sz="0" w:space="0" w:color="auto"/>
                <w:bottom w:val="none" w:sz="0" w:space="0" w:color="auto"/>
                <w:right w:val="none" w:sz="0" w:space="0" w:color="auto"/>
              </w:divBdr>
            </w:div>
          </w:divsChild>
        </w:div>
        <w:div w:id="1283801983">
          <w:marLeft w:val="0"/>
          <w:marRight w:val="0"/>
          <w:marTop w:val="0"/>
          <w:marBottom w:val="0"/>
          <w:divBdr>
            <w:top w:val="none" w:sz="0" w:space="0" w:color="auto"/>
            <w:left w:val="none" w:sz="0" w:space="0" w:color="auto"/>
            <w:bottom w:val="none" w:sz="0" w:space="0" w:color="auto"/>
            <w:right w:val="none" w:sz="0" w:space="0" w:color="auto"/>
          </w:divBdr>
          <w:divsChild>
            <w:div w:id="232618358">
              <w:marLeft w:val="0"/>
              <w:marRight w:val="0"/>
              <w:marTop w:val="0"/>
              <w:marBottom w:val="0"/>
              <w:divBdr>
                <w:top w:val="none" w:sz="0" w:space="0" w:color="auto"/>
                <w:left w:val="none" w:sz="0" w:space="0" w:color="auto"/>
                <w:bottom w:val="none" w:sz="0" w:space="0" w:color="auto"/>
                <w:right w:val="none" w:sz="0" w:space="0" w:color="auto"/>
              </w:divBdr>
            </w:div>
          </w:divsChild>
        </w:div>
        <w:div w:id="1288655802">
          <w:marLeft w:val="0"/>
          <w:marRight w:val="0"/>
          <w:marTop w:val="0"/>
          <w:marBottom w:val="0"/>
          <w:divBdr>
            <w:top w:val="none" w:sz="0" w:space="0" w:color="auto"/>
            <w:left w:val="none" w:sz="0" w:space="0" w:color="auto"/>
            <w:bottom w:val="none" w:sz="0" w:space="0" w:color="auto"/>
            <w:right w:val="none" w:sz="0" w:space="0" w:color="auto"/>
          </w:divBdr>
          <w:divsChild>
            <w:div w:id="1452169357">
              <w:marLeft w:val="0"/>
              <w:marRight w:val="0"/>
              <w:marTop w:val="0"/>
              <w:marBottom w:val="0"/>
              <w:divBdr>
                <w:top w:val="none" w:sz="0" w:space="0" w:color="auto"/>
                <w:left w:val="none" w:sz="0" w:space="0" w:color="auto"/>
                <w:bottom w:val="none" w:sz="0" w:space="0" w:color="auto"/>
                <w:right w:val="none" w:sz="0" w:space="0" w:color="auto"/>
              </w:divBdr>
            </w:div>
          </w:divsChild>
        </w:div>
        <w:div w:id="1289314250">
          <w:marLeft w:val="0"/>
          <w:marRight w:val="0"/>
          <w:marTop w:val="0"/>
          <w:marBottom w:val="0"/>
          <w:divBdr>
            <w:top w:val="none" w:sz="0" w:space="0" w:color="auto"/>
            <w:left w:val="none" w:sz="0" w:space="0" w:color="auto"/>
            <w:bottom w:val="none" w:sz="0" w:space="0" w:color="auto"/>
            <w:right w:val="none" w:sz="0" w:space="0" w:color="auto"/>
          </w:divBdr>
          <w:divsChild>
            <w:div w:id="873156462">
              <w:marLeft w:val="0"/>
              <w:marRight w:val="0"/>
              <w:marTop w:val="0"/>
              <w:marBottom w:val="0"/>
              <w:divBdr>
                <w:top w:val="none" w:sz="0" w:space="0" w:color="auto"/>
                <w:left w:val="none" w:sz="0" w:space="0" w:color="auto"/>
                <w:bottom w:val="none" w:sz="0" w:space="0" w:color="auto"/>
                <w:right w:val="none" w:sz="0" w:space="0" w:color="auto"/>
              </w:divBdr>
            </w:div>
          </w:divsChild>
        </w:div>
        <w:div w:id="1292324602">
          <w:marLeft w:val="0"/>
          <w:marRight w:val="0"/>
          <w:marTop w:val="0"/>
          <w:marBottom w:val="0"/>
          <w:divBdr>
            <w:top w:val="none" w:sz="0" w:space="0" w:color="auto"/>
            <w:left w:val="none" w:sz="0" w:space="0" w:color="auto"/>
            <w:bottom w:val="none" w:sz="0" w:space="0" w:color="auto"/>
            <w:right w:val="none" w:sz="0" w:space="0" w:color="auto"/>
          </w:divBdr>
          <w:divsChild>
            <w:div w:id="1939944627">
              <w:marLeft w:val="0"/>
              <w:marRight w:val="0"/>
              <w:marTop w:val="0"/>
              <w:marBottom w:val="0"/>
              <w:divBdr>
                <w:top w:val="none" w:sz="0" w:space="0" w:color="auto"/>
                <w:left w:val="none" w:sz="0" w:space="0" w:color="auto"/>
                <w:bottom w:val="none" w:sz="0" w:space="0" w:color="auto"/>
                <w:right w:val="none" w:sz="0" w:space="0" w:color="auto"/>
              </w:divBdr>
            </w:div>
          </w:divsChild>
        </w:div>
        <w:div w:id="1292639136">
          <w:marLeft w:val="0"/>
          <w:marRight w:val="0"/>
          <w:marTop w:val="0"/>
          <w:marBottom w:val="0"/>
          <w:divBdr>
            <w:top w:val="none" w:sz="0" w:space="0" w:color="auto"/>
            <w:left w:val="none" w:sz="0" w:space="0" w:color="auto"/>
            <w:bottom w:val="none" w:sz="0" w:space="0" w:color="auto"/>
            <w:right w:val="none" w:sz="0" w:space="0" w:color="auto"/>
          </w:divBdr>
          <w:divsChild>
            <w:div w:id="625964105">
              <w:marLeft w:val="0"/>
              <w:marRight w:val="0"/>
              <w:marTop w:val="0"/>
              <w:marBottom w:val="0"/>
              <w:divBdr>
                <w:top w:val="none" w:sz="0" w:space="0" w:color="auto"/>
                <w:left w:val="none" w:sz="0" w:space="0" w:color="auto"/>
                <w:bottom w:val="none" w:sz="0" w:space="0" w:color="auto"/>
                <w:right w:val="none" w:sz="0" w:space="0" w:color="auto"/>
              </w:divBdr>
            </w:div>
          </w:divsChild>
        </w:div>
        <w:div w:id="1299460633">
          <w:marLeft w:val="0"/>
          <w:marRight w:val="0"/>
          <w:marTop w:val="0"/>
          <w:marBottom w:val="0"/>
          <w:divBdr>
            <w:top w:val="none" w:sz="0" w:space="0" w:color="auto"/>
            <w:left w:val="none" w:sz="0" w:space="0" w:color="auto"/>
            <w:bottom w:val="none" w:sz="0" w:space="0" w:color="auto"/>
            <w:right w:val="none" w:sz="0" w:space="0" w:color="auto"/>
          </w:divBdr>
          <w:divsChild>
            <w:div w:id="218514479">
              <w:marLeft w:val="0"/>
              <w:marRight w:val="0"/>
              <w:marTop w:val="0"/>
              <w:marBottom w:val="0"/>
              <w:divBdr>
                <w:top w:val="none" w:sz="0" w:space="0" w:color="auto"/>
                <w:left w:val="none" w:sz="0" w:space="0" w:color="auto"/>
                <w:bottom w:val="none" w:sz="0" w:space="0" w:color="auto"/>
                <w:right w:val="none" w:sz="0" w:space="0" w:color="auto"/>
              </w:divBdr>
            </w:div>
          </w:divsChild>
        </w:div>
        <w:div w:id="1301573512">
          <w:marLeft w:val="0"/>
          <w:marRight w:val="0"/>
          <w:marTop w:val="0"/>
          <w:marBottom w:val="0"/>
          <w:divBdr>
            <w:top w:val="none" w:sz="0" w:space="0" w:color="auto"/>
            <w:left w:val="none" w:sz="0" w:space="0" w:color="auto"/>
            <w:bottom w:val="none" w:sz="0" w:space="0" w:color="auto"/>
            <w:right w:val="none" w:sz="0" w:space="0" w:color="auto"/>
          </w:divBdr>
          <w:divsChild>
            <w:div w:id="1974022857">
              <w:marLeft w:val="0"/>
              <w:marRight w:val="0"/>
              <w:marTop w:val="0"/>
              <w:marBottom w:val="0"/>
              <w:divBdr>
                <w:top w:val="none" w:sz="0" w:space="0" w:color="auto"/>
                <w:left w:val="none" w:sz="0" w:space="0" w:color="auto"/>
                <w:bottom w:val="none" w:sz="0" w:space="0" w:color="auto"/>
                <w:right w:val="none" w:sz="0" w:space="0" w:color="auto"/>
              </w:divBdr>
            </w:div>
          </w:divsChild>
        </w:div>
        <w:div w:id="1302273054">
          <w:marLeft w:val="0"/>
          <w:marRight w:val="0"/>
          <w:marTop w:val="0"/>
          <w:marBottom w:val="0"/>
          <w:divBdr>
            <w:top w:val="none" w:sz="0" w:space="0" w:color="auto"/>
            <w:left w:val="none" w:sz="0" w:space="0" w:color="auto"/>
            <w:bottom w:val="none" w:sz="0" w:space="0" w:color="auto"/>
            <w:right w:val="none" w:sz="0" w:space="0" w:color="auto"/>
          </w:divBdr>
          <w:divsChild>
            <w:div w:id="1622032213">
              <w:marLeft w:val="0"/>
              <w:marRight w:val="0"/>
              <w:marTop w:val="0"/>
              <w:marBottom w:val="0"/>
              <w:divBdr>
                <w:top w:val="none" w:sz="0" w:space="0" w:color="auto"/>
                <w:left w:val="none" w:sz="0" w:space="0" w:color="auto"/>
                <w:bottom w:val="none" w:sz="0" w:space="0" w:color="auto"/>
                <w:right w:val="none" w:sz="0" w:space="0" w:color="auto"/>
              </w:divBdr>
            </w:div>
          </w:divsChild>
        </w:div>
        <w:div w:id="1303342083">
          <w:marLeft w:val="0"/>
          <w:marRight w:val="0"/>
          <w:marTop w:val="0"/>
          <w:marBottom w:val="0"/>
          <w:divBdr>
            <w:top w:val="none" w:sz="0" w:space="0" w:color="auto"/>
            <w:left w:val="none" w:sz="0" w:space="0" w:color="auto"/>
            <w:bottom w:val="none" w:sz="0" w:space="0" w:color="auto"/>
            <w:right w:val="none" w:sz="0" w:space="0" w:color="auto"/>
          </w:divBdr>
          <w:divsChild>
            <w:div w:id="943607475">
              <w:marLeft w:val="0"/>
              <w:marRight w:val="0"/>
              <w:marTop w:val="0"/>
              <w:marBottom w:val="0"/>
              <w:divBdr>
                <w:top w:val="none" w:sz="0" w:space="0" w:color="auto"/>
                <w:left w:val="none" w:sz="0" w:space="0" w:color="auto"/>
                <w:bottom w:val="none" w:sz="0" w:space="0" w:color="auto"/>
                <w:right w:val="none" w:sz="0" w:space="0" w:color="auto"/>
              </w:divBdr>
            </w:div>
          </w:divsChild>
        </w:div>
        <w:div w:id="1303584307">
          <w:marLeft w:val="0"/>
          <w:marRight w:val="0"/>
          <w:marTop w:val="0"/>
          <w:marBottom w:val="0"/>
          <w:divBdr>
            <w:top w:val="none" w:sz="0" w:space="0" w:color="auto"/>
            <w:left w:val="none" w:sz="0" w:space="0" w:color="auto"/>
            <w:bottom w:val="none" w:sz="0" w:space="0" w:color="auto"/>
            <w:right w:val="none" w:sz="0" w:space="0" w:color="auto"/>
          </w:divBdr>
          <w:divsChild>
            <w:div w:id="1249268861">
              <w:marLeft w:val="0"/>
              <w:marRight w:val="0"/>
              <w:marTop w:val="0"/>
              <w:marBottom w:val="0"/>
              <w:divBdr>
                <w:top w:val="none" w:sz="0" w:space="0" w:color="auto"/>
                <w:left w:val="none" w:sz="0" w:space="0" w:color="auto"/>
                <w:bottom w:val="none" w:sz="0" w:space="0" w:color="auto"/>
                <w:right w:val="none" w:sz="0" w:space="0" w:color="auto"/>
              </w:divBdr>
            </w:div>
          </w:divsChild>
        </w:div>
        <w:div w:id="1304433779">
          <w:marLeft w:val="0"/>
          <w:marRight w:val="0"/>
          <w:marTop w:val="0"/>
          <w:marBottom w:val="0"/>
          <w:divBdr>
            <w:top w:val="none" w:sz="0" w:space="0" w:color="auto"/>
            <w:left w:val="none" w:sz="0" w:space="0" w:color="auto"/>
            <w:bottom w:val="none" w:sz="0" w:space="0" w:color="auto"/>
            <w:right w:val="none" w:sz="0" w:space="0" w:color="auto"/>
          </w:divBdr>
          <w:divsChild>
            <w:div w:id="1458791133">
              <w:marLeft w:val="0"/>
              <w:marRight w:val="0"/>
              <w:marTop w:val="0"/>
              <w:marBottom w:val="0"/>
              <w:divBdr>
                <w:top w:val="none" w:sz="0" w:space="0" w:color="auto"/>
                <w:left w:val="none" w:sz="0" w:space="0" w:color="auto"/>
                <w:bottom w:val="none" w:sz="0" w:space="0" w:color="auto"/>
                <w:right w:val="none" w:sz="0" w:space="0" w:color="auto"/>
              </w:divBdr>
            </w:div>
          </w:divsChild>
        </w:div>
        <w:div w:id="1306278319">
          <w:marLeft w:val="0"/>
          <w:marRight w:val="0"/>
          <w:marTop w:val="0"/>
          <w:marBottom w:val="0"/>
          <w:divBdr>
            <w:top w:val="none" w:sz="0" w:space="0" w:color="auto"/>
            <w:left w:val="none" w:sz="0" w:space="0" w:color="auto"/>
            <w:bottom w:val="none" w:sz="0" w:space="0" w:color="auto"/>
            <w:right w:val="none" w:sz="0" w:space="0" w:color="auto"/>
          </w:divBdr>
          <w:divsChild>
            <w:div w:id="1325671395">
              <w:marLeft w:val="0"/>
              <w:marRight w:val="0"/>
              <w:marTop w:val="0"/>
              <w:marBottom w:val="0"/>
              <w:divBdr>
                <w:top w:val="none" w:sz="0" w:space="0" w:color="auto"/>
                <w:left w:val="none" w:sz="0" w:space="0" w:color="auto"/>
                <w:bottom w:val="none" w:sz="0" w:space="0" w:color="auto"/>
                <w:right w:val="none" w:sz="0" w:space="0" w:color="auto"/>
              </w:divBdr>
            </w:div>
          </w:divsChild>
        </w:div>
        <w:div w:id="1307710097">
          <w:marLeft w:val="0"/>
          <w:marRight w:val="0"/>
          <w:marTop w:val="0"/>
          <w:marBottom w:val="0"/>
          <w:divBdr>
            <w:top w:val="none" w:sz="0" w:space="0" w:color="auto"/>
            <w:left w:val="none" w:sz="0" w:space="0" w:color="auto"/>
            <w:bottom w:val="none" w:sz="0" w:space="0" w:color="auto"/>
            <w:right w:val="none" w:sz="0" w:space="0" w:color="auto"/>
          </w:divBdr>
          <w:divsChild>
            <w:div w:id="428894124">
              <w:marLeft w:val="0"/>
              <w:marRight w:val="0"/>
              <w:marTop w:val="0"/>
              <w:marBottom w:val="0"/>
              <w:divBdr>
                <w:top w:val="none" w:sz="0" w:space="0" w:color="auto"/>
                <w:left w:val="none" w:sz="0" w:space="0" w:color="auto"/>
                <w:bottom w:val="none" w:sz="0" w:space="0" w:color="auto"/>
                <w:right w:val="none" w:sz="0" w:space="0" w:color="auto"/>
              </w:divBdr>
            </w:div>
          </w:divsChild>
        </w:div>
        <w:div w:id="1307970096">
          <w:marLeft w:val="0"/>
          <w:marRight w:val="0"/>
          <w:marTop w:val="0"/>
          <w:marBottom w:val="0"/>
          <w:divBdr>
            <w:top w:val="none" w:sz="0" w:space="0" w:color="auto"/>
            <w:left w:val="none" w:sz="0" w:space="0" w:color="auto"/>
            <w:bottom w:val="none" w:sz="0" w:space="0" w:color="auto"/>
            <w:right w:val="none" w:sz="0" w:space="0" w:color="auto"/>
          </w:divBdr>
          <w:divsChild>
            <w:div w:id="1706371857">
              <w:marLeft w:val="0"/>
              <w:marRight w:val="0"/>
              <w:marTop w:val="0"/>
              <w:marBottom w:val="0"/>
              <w:divBdr>
                <w:top w:val="none" w:sz="0" w:space="0" w:color="auto"/>
                <w:left w:val="none" w:sz="0" w:space="0" w:color="auto"/>
                <w:bottom w:val="none" w:sz="0" w:space="0" w:color="auto"/>
                <w:right w:val="none" w:sz="0" w:space="0" w:color="auto"/>
              </w:divBdr>
            </w:div>
          </w:divsChild>
        </w:div>
        <w:div w:id="1309092543">
          <w:marLeft w:val="0"/>
          <w:marRight w:val="0"/>
          <w:marTop w:val="0"/>
          <w:marBottom w:val="0"/>
          <w:divBdr>
            <w:top w:val="none" w:sz="0" w:space="0" w:color="auto"/>
            <w:left w:val="none" w:sz="0" w:space="0" w:color="auto"/>
            <w:bottom w:val="none" w:sz="0" w:space="0" w:color="auto"/>
            <w:right w:val="none" w:sz="0" w:space="0" w:color="auto"/>
          </w:divBdr>
          <w:divsChild>
            <w:div w:id="748648642">
              <w:marLeft w:val="0"/>
              <w:marRight w:val="0"/>
              <w:marTop w:val="0"/>
              <w:marBottom w:val="0"/>
              <w:divBdr>
                <w:top w:val="none" w:sz="0" w:space="0" w:color="auto"/>
                <w:left w:val="none" w:sz="0" w:space="0" w:color="auto"/>
                <w:bottom w:val="none" w:sz="0" w:space="0" w:color="auto"/>
                <w:right w:val="none" w:sz="0" w:space="0" w:color="auto"/>
              </w:divBdr>
            </w:div>
          </w:divsChild>
        </w:div>
        <w:div w:id="1310817096">
          <w:marLeft w:val="0"/>
          <w:marRight w:val="0"/>
          <w:marTop w:val="0"/>
          <w:marBottom w:val="0"/>
          <w:divBdr>
            <w:top w:val="none" w:sz="0" w:space="0" w:color="auto"/>
            <w:left w:val="none" w:sz="0" w:space="0" w:color="auto"/>
            <w:bottom w:val="none" w:sz="0" w:space="0" w:color="auto"/>
            <w:right w:val="none" w:sz="0" w:space="0" w:color="auto"/>
          </w:divBdr>
          <w:divsChild>
            <w:div w:id="1143497387">
              <w:marLeft w:val="0"/>
              <w:marRight w:val="0"/>
              <w:marTop w:val="0"/>
              <w:marBottom w:val="0"/>
              <w:divBdr>
                <w:top w:val="none" w:sz="0" w:space="0" w:color="auto"/>
                <w:left w:val="none" w:sz="0" w:space="0" w:color="auto"/>
                <w:bottom w:val="none" w:sz="0" w:space="0" w:color="auto"/>
                <w:right w:val="none" w:sz="0" w:space="0" w:color="auto"/>
              </w:divBdr>
            </w:div>
          </w:divsChild>
        </w:div>
        <w:div w:id="1311446269">
          <w:marLeft w:val="0"/>
          <w:marRight w:val="0"/>
          <w:marTop w:val="0"/>
          <w:marBottom w:val="0"/>
          <w:divBdr>
            <w:top w:val="none" w:sz="0" w:space="0" w:color="auto"/>
            <w:left w:val="none" w:sz="0" w:space="0" w:color="auto"/>
            <w:bottom w:val="none" w:sz="0" w:space="0" w:color="auto"/>
            <w:right w:val="none" w:sz="0" w:space="0" w:color="auto"/>
          </w:divBdr>
          <w:divsChild>
            <w:div w:id="944724663">
              <w:marLeft w:val="0"/>
              <w:marRight w:val="0"/>
              <w:marTop w:val="0"/>
              <w:marBottom w:val="0"/>
              <w:divBdr>
                <w:top w:val="none" w:sz="0" w:space="0" w:color="auto"/>
                <w:left w:val="none" w:sz="0" w:space="0" w:color="auto"/>
                <w:bottom w:val="none" w:sz="0" w:space="0" w:color="auto"/>
                <w:right w:val="none" w:sz="0" w:space="0" w:color="auto"/>
              </w:divBdr>
            </w:div>
          </w:divsChild>
        </w:div>
        <w:div w:id="1313558710">
          <w:marLeft w:val="0"/>
          <w:marRight w:val="0"/>
          <w:marTop w:val="0"/>
          <w:marBottom w:val="0"/>
          <w:divBdr>
            <w:top w:val="none" w:sz="0" w:space="0" w:color="auto"/>
            <w:left w:val="none" w:sz="0" w:space="0" w:color="auto"/>
            <w:bottom w:val="none" w:sz="0" w:space="0" w:color="auto"/>
            <w:right w:val="none" w:sz="0" w:space="0" w:color="auto"/>
          </w:divBdr>
          <w:divsChild>
            <w:div w:id="1119839031">
              <w:marLeft w:val="0"/>
              <w:marRight w:val="0"/>
              <w:marTop w:val="0"/>
              <w:marBottom w:val="0"/>
              <w:divBdr>
                <w:top w:val="none" w:sz="0" w:space="0" w:color="auto"/>
                <w:left w:val="none" w:sz="0" w:space="0" w:color="auto"/>
                <w:bottom w:val="none" w:sz="0" w:space="0" w:color="auto"/>
                <w:right w:val="none" w:sz="0" w:space="0" w:color="auto"/>
              </w:divBdr>
            </w:div>
          </w:divsChild>
        </w:div>
        <w:div w:id="1315647810">
          <w:marLeft w:val="0"/>
          <w:marRight w:val="0"/>
          <w:marTop w:val="0"/>
          <w:marBottom w:val="0"/>
          <w:divBdr>
            <w:top w:val="none" w:sz="0" w:space="0" w:color="auto"/>
            <w:left w:val="none" w:sz="0" w:space="0" w:color="auto"/>
            <w:bottom w:val="none" w:sz="0" w:space="0" w:color="auto"/>
            <w:right w:val="none" w:sz="0" w:space="0" w:color="auto"/>
          </w:divBdr>
          <w:divsChild>
            <w:div w:id="250742079">
              <w:marLeft w:val="0"/>
              <w:marRight w:val="0"/>
              <w:marTop w:val="0"/>
              <w:marBottom w:val="0"/>
              <w:divBdr>
                <w:top w:val="none" w:sz="0" w:space="0" w:color="auto"/>
                <w:left w:val="none" w:sz="0" w:space="0" w:color="auto"/>
                <w:bottom w:val="none" w:sz="0" w:space="0" w:color="auto"/>
                <w:right w:val="none" w:sz="0" w:space="0" w:color="auto"/>
              </w:divBdr>
            </w:div>
          </w:divsChild>
        </w:div>
        <w:div w:id="1316370807">
          <w:marLeft w:val="0"/>
          <w:marRight w:val="0"/>
          <w:marTop w:val="0"/>
          <w:marBottom w:val="0"/>
          <w:divBdr>
            <w:top w:val="none" w:sz="0" w:space="0" w:color="auto"/>
            <w:left w:val="none" w:sz="0" w:space="0" w:color="auto"/>
            <w:bottom w:val="none" w:sz="0" w:space="0" w:color="auto"/>
            <w:right w:val="none" w:sz="0" w:space="0" w:color="auto"/>
          </w:divBdr>
          <w:divsChild>
            <w:div w:id="1598321527">
              <w:marLeft w:val="0"/>
              <w:marRight w:val="0"/>
              <w:marTop w:val="0"/>
              <w:marBottom w:val="0"/>
              <w:divBdr>
                <w:top w:val="none" w:sz="0" w:space="0" w:color="auto"/>
                <w:left w:val="none" w:sz="0" w:space="0" w:color="auto"/>
                <w:bottom w:val="none" w:sz="0" w:space="0" w:color="auto"/>
                <w:right w:val="none" w:sz="0" w:space="0" w:color="auto"/>
              </w:divBdr>
            </w:div>
          </w:divsChild>
        </w:div>
        <w:div w:id="1318848852">
          <w:marLeft w:val="0"/>
          <w:marRight w:val="0"/>
          <w:marTop w:val="0"/>
          <w:marBottom w:val="0"/>
          <w:divBdr>
            <w:top w:val="none" w:sz="0" w:space="0" w:color="auto"/>
            <w:left w:val="none" w:sz="0" w:space="0" w:color="auto"/>
            <w:bottom w:val="none" w:sz="0" w:space="0" w:color="auto"/>
            <w:right w:val="none" w:sz="0" w:space="0" w:color="auto"/>
          </w:divBdr>
          <w:divsChild>
            <w:div w:id="680280427">
              <w:marLeft w:val="0"/>
              <w:marRight w:val="0"/>
              <w:marTop w:val="0"/>
              <w:marBottom w:val="0"/>
              <w:divBdr>
                <w:top w:val="none" w:sz="0" w:space="0" w:color="auto"/>
                <w:left w:val="none" w:sz="0" w:space="0" w:color="auto"/>
                <w:bottom w:val="none" w:sz="0" w:space="0" w:color="auto"/>
                <w:right w:val="none" w:sz="0" w:space="0" w:color="auto"/>
              </w:divBdr>
            </w:div>
          </w:divsChild>
        </w:div>
        <w:div w:id="1320306344">
          <w:marLeft w:val="0"/>
          <w:marRight w:val="0"/>
          <w:marTop w:val="0"/>
          <w:marBottom w:val="0"/>
          <w:divBdr>
            <w:top w:val="none" w:sz="0" w:space="0" w:color="auto"/>
            <w:left w:val="none" w:sz="0" w:space="0" w:color="auto"/>
            <w:bottom w:val="none" w:sz="0" w:space="0" w:color="auto"/>
            <w:right w:val="none" w:sz="0" w:space="0" w:color="auto"/>
          </w:divBdr>
          <w:divsChild>
            <w:div w:id="1950307192">
              <w:marLeft w:val="0"/>
              <w:marRight w:val="0"/>
              <w:marTop w:val="0"/>
              <w:marBottom w:val="0"/>
              <w:divBdr>
                <w:top w:val="none" w:sz="0" w:space="0" w:color="auto"/>
                <w:left w:val="none" w:sz="0" w:space="0" w:color="auto"/>
                <w:bottom w:val="none" w:sz="0" w:space="0" w:color="auto"/>
                <w:right w:val="none" w:sz="0" w:space="0" w:color="auto"/>
              </w:divBdr>
            </w:div>
          </w:divsChild>
        </w:div>
        <w:div w:id="1322346521">
          <w:marLeft w:val="0"/>
          <w:marRight w:val="0"/>
          <w:marTop w:val="0"/>
          <w:marBottom w:val="0"/>
          <w:divBdr>
            <w:top w:val="none" w:sz="0" w:space="0" w:color="auto"/>
            <w:left w:val="none" w:sz="0" w:space="0" w:color="auto"/>
            <w:bottom w:val="none" w:sz="0" w:space="0" w:color="auto"/>
            <w:right w:val="none" w:sz="0" w:space="0" w:color="auto"/>
          </w:divBdr>
          <w:divsChild>
            <w:div w:id="215052678">
              <w:marLeft w:val="0"/>
              <w:marRight w:val="0"/>
              <w:marTop w:val="0"/>
              <w:marBottom w:val="0"/>
              <w:divBdr>
                <w:top w:val="none" w:sz="0" w:space="0" w:color="auto"/>
                <w:left w:val="none" w:sz="0" w:space="0" w:color="auto"/>
                <w:bottom w:val="none" w:sz="0" w:space="0" w:color="auto"/>
                <w:right w:val="none" w:sz="0" w:space="0" w:color="auto"/>
              </w:divBdr>
            </w:div>
          </w:divsChild>
        </w:div>
        <w:div w:id="1330057781">
          <w:marLeft w:val="0"/>
          <w:marRight w:val="0"/>
          <w:marTop w:val="0"/>
          <w:marBottom w:val="0"/>
          <w:divBdr>
            <w:top w:val="none" w:sz="0" w:space="0" w:color="auto"/>
            <w:left w:val="none" w:sz="0" w:space="0" w:color="auto"/>
            <w:bottom w:val="none" w:sz="0" w:space="0" w:color="auto"/>
            <w:right w:val="none" w:sz="0" w:space="0" w:color="auto"/>
          </w:divBdr>
          <w:divsChild>
            <w:div w:id="653263030">
              <w:marLeft w:val="0"/>
              <w:marRight w:val="0"/>
              <w:marTop w:val="0"/>
              <w:marBottom w:val="0"/>
              <w:divBdr>
                <w:top w:val="none" w:sz="0" w:space="0" w:color="auto"/>
                <w:left w:val="none" w:sz="0" w:space="0" w:color="auto"/>
                <w:bottom w:val="none" w:sz="0" w:space="0" w:color="auto"/>
                <w:right w:val="none" w:sz="0" w:space="0" w:color="auto"/>
              </w:divBdr>
            </w:div>
          </w:divsChild>
        </w:div>
        <w:div w:id="1330719150">
          <w:marLeft w:val="0"/>
          <w:marRight w:val="0"/>
          <w:marTop w:val="0"/>
          <w:marBottom w:val="0"/>
          <w:divBdr>
            <w:top w:val="none" w:sz="0" w:space="0" w:color="auto"/>
            <w:left w:val="none" w:sz="0" w:space="0" w:color="auto"/>
            <w:bottom w:val="none" w:sz="0" w:space="0" w:color="auto"/>
            <w:right w:val="none" w:sz="0" w:space="0" w:color="auto"/>
          </w:divBdr>
          <w:divsChild>
            <w:div w:id="1189836390">
              <w:marLeft w:val="0"/>
              <w:marRight w:val="0"/>
              <w:marTop w:val="0"/>
              <w:marBottom w:val="0"/>
              <w:divBdr>
                <w:top w:val="none" w:sz="0" w:space="0" w:color="auto"/>
                <w:left w:val="none" w:sz="0" w:space="0" w:color="auto"/>
                <w:bottom w:val="none" w:sz="0" w:space="0" w:color="auto"/>
                <w:right w:val="none" w:sz="0" w:space="0" w:color="auto"/>
              </w:divBdr>
            </w:div>
          </w:divsChild>
        </w:div>
        <w:div w:id="1331447762">
          <w:marLeft w:val="0"/>
          <w:marRight w:val="0"/>
          <w:marTop w:val="0"/>
          <w:marBottom w:val="0"/>
          <w:divBdr>
            <w:top w:val="none" w:sz="0" w:space="0" w:color="auto"/>
            <w:left w:val="none" w:sz="0" w:space="0" w:color="auto"/>
            <w:bottom w:val="none" w:sz="0" w:space="0" w:color="auto"/>
            <w:right w:val="none" w:sz="0" w:space="0" w:color="auto"/>
          </w:divBdr>
          <w:divsChild>
            <w:div w:id="1371809079">
              <w:marLeft w:val="0"/>
              <w:marRight w:val="0"/>
              <w:marTop w:val="0"/>
              <w:marBottom w:val="0"/>
              <w:divBdr>
                <w:top w:val="none" w:sz="0" w:space="0" w:color="auto"/>
                <w:left w:val="none" w:sz="0" w:space="0" w:color="auto"/>
                <w:bottom w:val="none" w:sz="0" w:space="0" w:color="auto"/>
                <w:right w:val="none" w:sz="0" w:space="0" w:color="auto"/>
              </w:divBdr>
            </w:div>
          </w:divsChild>
        </w:div>
        <w:div w:id="1332024386">
          <w:marLeft w:val="0"/>
          <w:marRight w:val="0"/>
          <w:marTop w:val="0"/>
          <w:marBottom w:val="0"/>
          <w:divBdr>
            <w:top w:val="none" w:sz="0" w:space="0" w:color="auto"/>
            <w:left w:val="none" w:sz="0" w:space="0" w:color="auto"/>
            <w:bottom w:val="none" w:sz="0" w:space="0" w:color="auto"/>
            <w:right w:val="none" w:sz="0" w:space="0" w:color="auto"/>
          </w:divBdr>
          <w:divsChild>
            <w:div w:id="1643776596">
              <w:marLeft w:val="0"/>
              <w:marRight w:val="0"/>
              <w:marTop w:val="0"/>
              <w:marBottom w:val="0"/>
              <w:divBdr>
                <w:top w:val="none" w:sz="0" w:space="0" w:color="auto"/>
                <w:left w:val="none" w:sz="0" w:space="0" w:color="auto"/>
                <w:bottom w:val="none" w:sz="0" w:space="0" w:color="auto"/>
                <w:right w:val="none" w:sz="0" w:space="0" w:color="auto"/>
              </w:divBdr>
            </w:div>
          </w:divsChild>
        </w:div>
        <w:div w:id="1334718771">
          <w:marLeft w:val="0"/>
          <w:marRight w:val="0"/>
          <w:marTop w:val="0"/>
          <w:marBottom w:val="0"/>
          <w:divBdr>
            <w:top w:val="none" w:sz="0" w:space="0" w:color="auto"/>
            <w:left w:val="none" w:sz="0" w:space="0" w:color="auto"/>
            <w:bottom w:val="none" w:sz="0" w:space="0" w:color="auto"/>
            <w:right w:val="none" w:sz="0" w:space="0" w:color="auto"/>
          </w:divBdr>
          <w:divsChild>
            <w:div w:id="391343474">
              <w:marLeft w:val="0"/>
              <w:marRight w:val="0"/>
              <w:marTop w:val="0"/>
              <w:marBottom w:val="0"/>
              <w:divBdr>
                <w:top w:val="none" w:sz="0" w:space="0" w:color="auto"/>
                <w:left w:val="none" w:sz="0" w:space="0" w:color="auto"/>
                <w:bottom w:val="none" w:sz="0" w:space="0" w:color="auto"/>
                <w:right w:val="none" w:sz="0" w:space="0" w:color="auto"/>
              </w:divBdr>
            </w:div>
          </w:divsChild>
        </w:div>
        <w:div w:id="1335375435">
          <w:marLeft w:val="0"/>
          <w:marRight w:val="0"/>
          <w:marTop w:val="0"/>
          <w:marBottom w:val="0"/>
          <w:divBdr>
            <w:top w:val="none" w:sz="0" w:space="0" w:color="auto"/>
            <w:left w:val="none" w:sz="0" w:space="0" w:color="auto"/>
            <w:bottom w:val="none" w:sz="0" w:space="0" w:color="auto"/>
            <w:right w:val="none" w:sz="0" w:space="0" w:color="auto"/>
          </w:divBdr>
          <w:divsChild>
            <w:div w:id="681930555">
              <w:marLeft w:val="0"/>
              <w:marRight w:val="0"/>
              <w:marTop w:val="0"/>
              <w:marBottom w:val="0"/>
              <w:divBdr>
                <w:top w:val="none" w:sz="0" w:space="0" w:color="auto"/>
                <w:left w:val="none" w:sz="0" w:space="0" w:color="auto"/>
                <w:bottom w:val="none" w:sz="0" w:space="0" w:color="auto"/>
                <w:right w:val="none" w:sz="0" w:space="0" w:color="auto"/>
              </w:divBdr>
            </w:div>
          </w:divsChild>
        </w:div>
        <w:div w:id="1335575112">
          <w:marLeft w:val="0"/>
          <w:marRight w:val="0"/>
          <w:marTop w:val="0"/>
          <w:marBottom w:val="0"/>
          <w:divBdr>
            <w:top w:val="none" w:sz="0" w:space="0" w:color="auto"/>
            <w:left w:val="none" w:sz="0" w:space="0" w:color="auto"/>
            <w:bottom w:val="none" w:sz="0" w:space="0" w:color="auto"/>
            <w:right w:val="none" w:sz="0" w:space="0" w:color="auto"/>
          </w:divBdr>
          <w:divsChild>
            <w:div w:id="930119544">
              <w:marLeft w:val="0"/>
              <w:marRight w:val="0"/>
              <w:marTop w:val="0"/>
              <w:marBottom w:val="0"/>
              <w:divBdr>
                <w:top w:val="none" w:sz="0" w:space="0" w:color="auto"/>
                <w:left w:val="none" w:sz="0" w:space="0" w:color="auto"/>
                <w:bottom w:val="none" w:sz="0" w:space="0" w:color="auto"/>
                <w:right w:val="none" w:sz="0" w:space="0" w:color="auto"/>
              </w:divBdr>
            </w:div>
          </w:divsChild>
        </w:div>
        <w:div w:id="1336542082">
          <w:marLeft w:val="0"/>
          <w:marRight w:val="0"/>
          <w:marTop w:val="0"/>
          <w:marBottom w:val="0"/>
          <w:divBdr>
            <w:top w:val="none" w:sz="0" w:space="0" w:color="auto"/>
            <w:left w:val="none" w:sz="0" w:space="0" w:color="auto"/>
            <w:bottom w:val="none" w:sz="0" w:space="0" w:color="auto"/>
            <w:right w:val="none" w:sz="0" w:space="0" w:color="auto"/>
          </w:divBdr>
          <w:divsChild>
            <w:div w:id="1116676651">
              <w:marLeft w:val="0"/>
              <w:marRight w:val="0"/>
              <w:marTop w:val="0"/>
              <w:marBottom w:val="0"/>
              <w:divBdr>
                <w:top w:val="none" w:sz="0" w:space="0" w:color="auto"/>
                <w:left w:val="none" w:sz="0" w:space="0" w:color="auto"/>
                <w:bottom w:val="none" w:sz="0" w:space="0" w:color="auto"/>
                <w:right w:val="none" w:sz="0" w:space="0" w:color="auto"/>
              </w:divBdr>
            </w:div>
          </w:divsChild>
        </w:div>
        <w:div w:id="1337266355">
          <w:marLeft w:val="0"/>
          <w:marRight w:val="0"/>
          <w:marTop w:val="0"/>
          <w:marBottom w:val="0"/>
          <w:divBdr>
            <w:top w:val="none" w:sz="0" w:space="0" w:color="auto"/>
            <w:left w:val="none" w:sz="0" w:space="0" w:color="auto"/>
            <w:bottom w:val="none" w:sz="0" w:space="0" w:color="auto"/>
            <w:right w:val="none" w:sz="0" w:space="0" w:color="auto"/>
          </w:divBdr>
          <w:divsChild>
            <w:div w:id="878785845">
              <w:marLeft w:val="0"/>
              <w:marRight w:val="0"/>
              <w:marTop w:val="0"/>
              <w:marBottom w:val="0"/>
              <w:divBdr>
                <w:top w:val="none" w:sz="0" w:space="0" w:color="auto"/>
                <w:left w:val="none" w:sz="0" w:space="0" w:color="auto"/>
                <w:bottom w:val="none" w:sz="0" w:space="0" w:color="auto"/>
                <w:right w:val="none" w:sz="0" w:space="0" w:color="auto"/>
              </w:divBdr>
            </w:div>
          </w:divsChild>
        </w:div>
        <w:div w:id="1338508053">
          <w:marLeft w:val="0"/>
          <w:marRight w:val="0"/>
          <w:marTop w:val="0"/>
          <w:marBottom w:val="0"/>
          <w:divBdr>
            <w:top w:val="none" w:sz="0" w:space="0" w:color="auto"/>
            <w:left w:val="none" w:sz="0" w:space="0" w:color="auto"/>
            <w:bottom w:val="none" w:sz="0" w:space="0" w:color="auto"/>
            <w:right w:val="none" w:sz="0" w:space="0" w:color="auto"/>
          </w:divBdr>
          <w:divsChild>
            <w:div w:id="1209761139">
              <w:marLeft w:val="0"/>
              <w:marRight w:val="0"/>
              <w:marTop w:val="0"/>
              <w:marBottom w:val="0"/>
              <w:divBdr>
                <w:top w:val="none" w:sz="0" w:space="0" w:color="auto"/>
                <w:left w:val="none" w:sz="0" w:space="0" w:color="auto"/>
                <w:bottom w:val="none" w:sz="0" w:space="0" w:color="auto"/>
                <w:right w:val="none" w:sz="0" w:space="0" w:color="auto"/>
              </w:divBdr>
            </w:div>
          </w:divsChild>
        </w:div>
        <w:div w:id="1338770312">
          <w:marLeft w:val="0"/>
          <w:marRight w:val="0"/>
          <w:marTop w:val="0"/>
          <w:marBottom w:val="0"/>
          <w:divBdr>
            <w:top w:val="none" w:sz="0" w:space="0" w:color="auto"/>
            <w:left w:val="none" w:sz="0" w:space="0" w:color="auto"/>
            <w:bottom w:val="none" w:sz="0" w:space="0" w:color="auto"/>
            <w:right w:val="none" w:sz="0" w:space="0" w:color="auto"/>
          </w:divBdr>
          <w:divsChild>
            <w:div w:id="152180059">
              <w:marLeft w:val="0"/>
              <w:marRight w:val="0"/>
              <w:marTop w:val="0"/>
              <w:marBottom w:val="0"/>
              <w:divBdr>
                <w:top w:val="none" w:sz="0" w:space="0" w:color="auto"/>
                <w:left w:val="none" w:sz="0" w:space="0" w:color="auto"/>
                <w:bottom w:val="none" w:sz="0" w:space="0" w:color="auto"/>
                <w:right w:val="none" w:sz="0" w:space="0" w:color="auto"/>
              </w:divBdr>
            </w:div>
          </w:divsChild>
        </w:div>
        <w:div w:id="1345745713">
          <w:marLeft w:val="0"/>
          <w:marRight w:val="0"/>
          <w:marTop w:val="0"/>
          <w:marBottom w:val="0"/>
          <w:divBdr>
            <w:top w:val="none" w:sz="0" w:space="0" w:color="auto"/>
            <w:left w:val="none" w:sz="0" w:space="0" w:color="auto"/>
            <w:bottom w:val="none" w:sz="0" w:space="0" w:color="auto"/>
            <w:right w:val="none" w:sz="0" w:space="0" w:color="auto"/>
          </w:divBdr>
          <w:divsChild>
            <w:div w:id="425422481">
              <w:marLeft w:val="0"/>
              <w:marRight w:val="0"/>
              <w:marTop w:val="0"/>
              <w:marBottom w:val="0"/>
              <w:divBdr>
                <w:top w:val="none" w:sz="0" w:space="0" w:color="auto"/>
                <w:left w:val="none" w:sz="0" w:space="0" w:color="auto"/>
                <w:bottom w:val="none" w:sz="0" w:space="0" w:color="auto"/>
                <w:right w:val="none" w:sz="0" w:space="0" w:color="auto"/>
              </w:divBdr>
            </w:div>
          </w:divsChild>
        </w:div>
        <w:div w:id="1345939466">
          <w:marLeft w:val="0"/>
          <w:marRight w:val="0"/>
          <w:marTop w:val="0"/>
          <w:marBottom w:val="0"/>
          <w:divBdr>
            <w:top w:val="none" w:sz="0" w:space="0" w:color="auto"/>
            <w:left w:val="none" w:sz="0" w:space="0" w:color="auto"/>
            <w:bottom w:val="none" w:sz="0" w:space="0" w:color="auto"/>
            <w:right w:val="none" w:sz="0" w:space="0" w:color="auto"/>
          </w:divBdr>
          <w:divsChild>
            <w:div w:id="1806964439">
              <w:marLeft w:val="0"/>
              <w:marRight w:val="0"/>
              <w:marTop w:val="0"/>
              <w:marBottom w:val="0"/>
              <w:divBdr>
                <w:top w:val="none" w:sz="0" w:space="0" w:color="auto"/>
                <w:left w:val="none" w:sz="0" w:space="0" w:color="auto"/>
                <w:bottom w:val="none" w:sz="0" w:space="0" w:color="auto"/>
                <w:right w:val="none" w:sz="0" w:space="0" w:color="auto"/>
              </w:divBdr>
            </w:div>
          </w:divsChild>
        </w:div>
        <w:div w:id="1346059062">
          <w:marLeft w:val="0"/>
          <w:marRight w:val="0"/>
          <w:marTop w:val="0"/>
          <w:marBottom w:val="0"/>
          <w:divBdr>
            <w:top w:val="none" w:sz="0" w:space="0" w:color="auto"/>
            <w:left w:val="none" w:sz="0" w:space="0" w:color="auto"/>
            <w:bottom w:val="none" w:sz="0" w:space="0" w:color="auto"/>
            <w:right w:val="none" w:sz="0" w:space="0" w:color="auto"/>
          </w:divBdr>
          <w:divsChild>
            <w:div w:id="1043286617">
              <w:marLeft w:val="0"/>
              <w:marRight w:val="0"/>
              <w:marTop w:val="0"/>
              <w:marBottom w:val="0"/>
              <w:divBdr>
                <w:top w:val="none" w:sz="0" w:space="0" w:color="auto"/>
                <w:left w:val="none" w:sz="0" w:space="0" w:color="auto"/>
                <w:bottom w:val="none" w:sz="0" w:space="0" w:color="auto"/>
                <w:right w:val="none" w:sz="0" w:space="0" w:color="auto"/>
              </w:divBdr>
            </w:div>
          </w:divsChild>
        </w:div>
        <w:div w:id="1346785325">
          <w:marLeft w:val="0"/>
          <w:marRight w:val="0"/>
          <w:marTop w:val="0"/>
          <w:marBottom w:val="0"/>
          <w:divBdr>
            <w:top w:val="none" w:sz="0" w:space="0" w:color="auto"/>
            <w:left w:val="none" w:sz="0" w:space="0" w:color="auto"/>
            <w:bottom w:val="none" w:sz="0" w:space="0" w:color="auto"/>
            <w:right w:val="none" w:sz="0" w:space="0" w:color="auto"/>
          </w:divBdr>
          <w:divsChild>
            <w:div w:id="1019819831">
              <w:marLeft w:val="0"/>
              <w:marRight w:val="0"/>
              <w:marTop w:val="0"/>
              <w:marBottom w:val="0"/>
              <w:divBdr>
                <w:top w:val="none" w:sz="0" w:space="0" w:color="auto"/>
                <w:left w:val="none" w:sz="0" w:space="0" w:color="auto"/>
                <w:bottom w:val="none" w:sz="0" w:space="0" w:color="auto"/>
                <w:right w:val="none" w:sz="0" w:space="0" w:color="auto"/>
              </w:divBdr>
            </w:div>
          </w:divsChild>
        </w:div>
        <w:div w:id="1350137431">
          <w:marLeft w:val="0"/>
          <w:marRight w:val="0"/>
          <w:marTop w:val="0"/>
          <w:marBottom w:val="0"/>
          <w:divBdr>
            <w:top w:val="none" w:sz="0" w:space="0" w:color="auto"/>
            <w:left w:val="none" w:sz="0" w:space="0" w:color="auto"/>
            <w:bottom w:val="none" w:sz="0" w:space="0" w:color="auto"/>
            <w:right w:val="none" w:sz="0" w:space="0" w:color="auto"/>
          </w:divBdr>
          <w:divsChild>
            <w:div w:id="1981300162">
              <w:marLeft w:val="0"/>
              <w:marRight w:val="0"/>
              <w:marTop w:val="0"/>
              <w:marBottom w:val="0"/>
              <w:divBdr>
                <w:top w:val="none" w:sz="0" w:space="0" w:color="auto"/>
                <w:left w:val="none" w:sz="0" w:space="0" w:color="auto"/>
                <w:bottom w:val="none" w:sz="0" w:space="0" w:color="auto"/>
                <w:right w:val="none" w:sz="0" w:space="0" w:color="auto"/>
              </w:divBdr>
            </w:div>
          </w:divsChild>
        </w:div>
        <w:div w:id="1357387819">
          <w:marLeft w:val="0"/>
          <w:marRight w:val="0"/>
          <w:marTop w:val="0"/>
          <w:marBottom w:val="0"/>
          <w:divBdr>
            <w:top w:val="none" w:sz="0" w:space="0" w:color="auto"/>
            <w:left w:val="none" w:sz="0" w:space="0" w:color="auto"/>
            <w:bottom w:val="none" w:sz="0" w:space="0" w:color="auto"/>
            <w:right w:val="none" w:sz="0" w:space="0" w:color="auto"/>
          </w:divBdr>
          <w:divsChild>
            <w:div w:id="1627348157">
              <w:marLeft w:val="0"/>
              <w:marRight w:val="0"/>
              <w:marTop w:val="0"/>
              <w:marBottom w:val="0"/>
              <w:divBdr>
                <w:top w:val="none" w:sz="0" w:space="0" w:color="auto"/>
                <w:left w:val="none" w:sz="0" w:space="0" w:color="auto"/>
                <w:bottom w:val="none" w:sz="0" w:space="0" w:color="auto"/>
                <w:right w:val="none" w:sz="0" w:space="0" w:color="auto"/>
              </w:divBdr>
            </w:div>
          </w:divsChild>
        </w:div>
        <w:div w:id="1361321041">
          <w:marLeft w:val="0"/>
          <w:marRight w:val="0"/>
          <w:marTop w:val="0"/>
          <w:marBottom w:val="0"/>
          <w:divBdr>
            <w:top w:val="none" w:sz="0" w:space="0" w:color="auto"/>
            <w:left w:val="none" w:sz="0" w:space="0" w:color="auto"/>
            <w:bottom w:val="none" w:sz="0" w:space="0" w:color="auto"/>
            <w:right w:val="none" w:sz="0" w:space="0" w:color="auto"/>
          </w:divBdr>
          <w:divsChild>
            <w:div w:id="425347159">
              <w:marLeft w:val="0"/>
              <w:marRight w:val="0"/>
              <w:marTop w:val="0"/>
              <w:marBottom w:val="0"/>
              <w:divBdr>
                <w:top w:val="none" w:sz="0" w:space="0" w:color="auto"/>
                <w:left w:val="none" w:sz="0" w:space="0" w:color="auto"/>
                <w:bottom w:val="none" w:sz="0" w:space="0" w:color="auto"/>
                <w:right w:val="none" w:sz="0" w:space="0" w:color="auto"/>
              </w:divBdr>
            </w:div>
          </w:divsChild>
        </w:div>
        <w:div w:id="1363743660">
          <w:marLeft w:val="0"/>
          <w:marRight w:val="0"/>
          <w:marTop w:val="0"/>
          <w:marBottom w:val="0"/>
          <w:divBdr>
            <w:top w:val="none" w:sz="0" w:space="0" w:color="auto"/>
            <w:left w:val="none" w:sz="0" w:space="0" w:color="auto"/>
            <w:bottom w:val="none" w:sz="0" w:space="0" w:color="auto"/>
            <w:right w:val="none" w:sz="0" w:space="0" w:color="auto"/>
          </w:divBdr>
          <w:divsChild>
            <w:div w:id="1847743553">
              <w:marLeft w:val="0"/>
              <w:marRight w:val="0"/>
              <w:marTop w:val="0"/>
              <w:marBottom w:val="0"/>
              <w:divBdr>
                <w:top w:val="none" w:sz="0" w:space="0" w:color="auto"/>
                <w:left w:val="none" w:sz="0" w:space="0" w:color="auto"/>
                <w:bottom w:val="none" w:sz="0" w:space="0" w:color="auto"/>
                <w:right w:val="none" w:sz="0" w:space="0" w:color="auto"/>
              </w:divBdr>
            </w:div>
          </w:divsChild>
        </w:div>
        <w:div w:id="1363824920">
          <w:marLeft w:val="0"/>
          <w:marRight w:val="0"/>
          <w:marTop w:val="0"/>
          <w:marBottom w:val="0"/>
          <w:divBdr>
            <w:top w:val="none" w:sz="0" w:space="0" w:color="auto"/>
            <w:left w:val="none" w:sz="0" w:space="0" w:color="auto"/>
            <w:bottom w:val="none" w:sz="0" w:space="0" w:color="auto"/>
            <w:right w:val="none" w:sz="0" w:space="0" w:color="auto"/>
          </w:divBdr>
          <w:divsChild>
            <w:div w:id="1370493058">
              <w:marLeft w:val="0"/>
              <w:marRight w:val="0"/>
              <w:marTop w:val="0"/>
              <w:marBottom w:val="0"/>
              <w:divBdr>
                <w:top w:val="none" w:sz="0" w:space="0" w:color="auto"/>
                <w:left w:val="none" w:sz="0" w:space="0" w:color="auto"/>
                <w:bottom w:val="none" w:sz="0" w:space="0" w:color="auto"/>
                <w:right w:val="none" w:sz="0" w:space="0" w:color="auto"/>
              </w:divBdr>
            </w:div>
          </w:divsChild>
        </w:div>
        <w:div w:id="1364476130">
          <w:marLeft w:val="0"/>
          <w:marRight w:val="0"/>
          <w:marTop w:val="0"/>
          <w:marBottom w:val="0"/>
          <w:divBdr>
            <w:top w:val="none" w:sz="0" w:space="0" w:color="auto"/>
            <w:left w:val="none" w:sz="0" w:space="0" w:color="auto"/>
            <w:bottom w:val="none" w:sz="0" w:space="0" w:color="auto"/>
            <w:right w:val="none" w:sz="0" w:space="0" w:color="auto"/>
          </w:divBdr>
          <w:divsChild>
            <w:div w:id="1824737424">
              <w:marLeft w:val="0"/>
              <w:marRight w:val="0"/>
              <w:marTop w:val="0"/>
              <w:marBottom w:val="0"/>
              <w:divBdr>
                <w:top w:val="none" w:sz="0" w:space="0" w:color="auto"/>
                <w:left w:val="none" w:sz="0" w:space="0" w:color="auto"/>
                <w:bottom w:val="none" w:sz="0" w:space="0" w:color="auto"/>
                <w:right w:val="none" w:sz="0" w:space="0" w:color="auto"/>
              </w:divBdr>
            </w:div>
          </w:divsChild>
        </w:div>
        <w:div w:id="1368794920">
          <w:marLeft w:val="0"/>
          <w:marRight w:val="0"/>
          <w:marTop w:val="0"/>
          <w:marBottom w:val="0"/>
          <w:divBdr>
            <w:top w:val="none" w:sz="0" w:space="0" w:color="auto"/>
            <w:left w:val="none" w:sz="0" w:space="0" w:color="auto"/>
            <w:bottom w:val="none" w:sz="0" w:space="0" w:color="auto"/>
            <w:right w:val="none" w:sz="0" w:space="0" w:color="auto"/>
          </w:divBdr>
          <w:divsChild>
            <w:div w:id="1754743444">
              <w:marLeft w:val="0"/>
              <w:marRight w:val="0"/>
              <w:marTop w:val="0"/>
              <w:marBottom w:val="0"/>
              <w:divBdr>
                <w:top w:val="none" w:sz="0" w:space="0" w:color="auto"/>
                <w:left w:val="none" w:sz="0" w:space="0" w:color="auto"/>
                <w:bottom w:val="none" w:sz="0" w:space="0" w:color="auto"/>
                <w:right w:val="none" w:sz="0" w:space="0" w:color="auto"/>
              </w:divBdr>
            </w:div>
          </w:divsChild>
        </w:div>
        <w:div w:id="1369648554">
          <w:marLeft w:val="0"/>
          <w:marRight w:val="0"/>
          <w:marTop w:val="0"/>
          <w:marBottom w:val="0"/>
          <w:divBdr>
            <w:top w:val="none" w:sz="0" w:space="0" w:color="auto"/>
            <w:left w:val="none" w:sz="0" w:space="0" w:color="auto"/>
            <w:bottom w:val="none" w:sz="0" w:space="0" w:color="auto"/>
            <w:right w:val="none" w:sz="0" w:space="0" w:color="auto"/>
          </w:divBdr>
          <w:divsChild>
            <w:div w:id="2122798855">
              <w:marLeft w:val="0"/>
              <w:marRight w:val="0"/>
              <w:marTop w:val="0"/>
              <w:marBottom w:val="0"/>
              <w:divBdr>
                <w:top w:val="none" w:sz="0" w:space="0" w:color="auto"/>
                <w:left w:val="none" w:sz="0" w:space="0" w:color="auto"/>
                <w:bottom w:val="none" w:sz="0" w:space="0" w:color="auto"/>
                <w:right w:val="none" w:sz="0" w:space="0" w:color="auto"/>
              </w:divBdr>
            </w:div>
          </w:divsChild>
        </w:div>
        <w:div w:id="1369839854">
          <w:marLeft w:val="0"/>
          <w:marRight w:val="0"/>
          <w:marTop w:val="0"/>
          <w:marBottom w:val="0"/>
          <w:divBdr>
            <w:top w:val="none" w:sz="0" w:space="0" w:color="auto"/>
            <w:left w:val="none" w:sz="0" w:space="0" w:color="auto"/>
            <w:bottom w:val="none" w:sz="0" w:space="0" w:color="auto"/>
            <w:right w:val="none" w:sz="0" w:space="0" w:color="auto"/>
          </w:divBdr>
          <w:divsChild>
            <w:div w:id="2125298919">
              <w:marLeft w:val="0"/>
              <w:marRight w:val="0"/>
              <w:marTop w:val="0"/>
              <w:marBottom w:val="0"/>
              <w:divBdr>
                <w:top w:val="none" w:sz="0" w:space="0" w:color="auto"/>
                <w:left w:val="none" w:sz="0" w:space="0" w:color="auto"/>
                <w:bottom w:val="none" w:sz="0" w:space="0" w:color="auto"/>
                <w:right w:val="none" w:sz="0" w:space="0" w:color="auto"/>
              </w:divBdr>
            </w:div>
          </w:divsChild>
        </w:div>
        <w:div w:id="1373462839">
          <w:marLeft w:val="0"/>
          <w:marRight w:val="0"/>
          <w:marTop w:val="0"/>
          <w:marBottom w:val="0"/>
          <w:divBdr>
            <w:top w:val="none" w:sz="0" w:space="0" w:color="auto"/>
            <w:left w:val="none" w:sz="0" w:space="0" w:color="auto"/>
            <w:bottom w:val="none" w:sz="0" w:space="0" w:color="auto"/>
            <w:right w:val="none" w:sz="0" w:space="0" w:color="auto"/>
          </w:divBdr>
          <w:divsChild>
            <w:div w:id="494688221">
              <w:marLeft w:val="0"/>
              <w:marRight w:val="0"/>
              <w:marTop w:val="0"/>
              <w:marBottom w:val="0"/>
              <w:divBdr>
                <w:top w:val="none" w:sz="0" w:space="0" w:color="auto"/>
                <w:left w:val="none" w:sz="0" w:space="0" w:color="auto"/>
                <w:bottom w:val="none" w:sz="0" w:space="0" w:color="auto"/>
                <w:right w:val="none" w:sz="0" w:space="0" w:color="auto"/>
              </w:divBdr>
            </w:div>
          </w:divsChild>
        </w:div>
        <w:div w:id="1374160230">
          <w:marLeft w:val="0"/>
          <w:marRight w:val="0"/>
          <w:marTop w:val="0"/>
          <w:marBottom w:val="0"/>
          <w:divBdr>
            <w:top w:val="none" w:sz="0" w:space="0" w:color="auto"/>
            <w:left w:val="none" w:sz="0" w:space="0" w:color="auto"/>
            <w:bottom w:val="none" w:sz="0" w:space="0" w:color="auto"/>
            <w:right w:val="none" w:sz="0" w:space="0" w:color="auto"/>
          </w:divBdr>
          <w:divsChild>
            <w:div w:id="2138719362">
              <w:marLeft w:val="0"/>
              <w:marRight w:val="0"/>
              <w:marTop w:val="0"/>
              <w:marBottom w:val="0"/>
              <w:divBdr>
                <w:top w:val="none" w:sz="0" w:space="0" w:color="auto"/>
                <w:left w:val="none" w:sz="0" w:space="0" w:color="auto"/>
                <w:bottom w:val="none" w:sz="0" w:space="0" w:color="auto"/>
                <w:right w:val="none" w:sz="0" w:space="0" w:color="auto"/>
              </w:divBdr>
            </w:div>
          </w:divsChild>
        </w:div>
        <w:div w:id="1374387373">
          <w:marLeft w:val="0"/>
          <w:marRight w:val="0"/>
          <w:marTop w:val="0"/>
          <w:marBottom w:val="0"/>
          <w:divBdr>
            <w:top w:val="none" w:sz="0" w:space="0" w:color="auto"/>
            <w:left w:val="none" w:sz="0" w:space="0" w:color="auto"/>
            <w:bottom w:val="none" w:sz="0" w:space="0" w:color="auto"/>
            <w:right w:val="none" w:sz="0" w:space="0" w:color="auto"/>
          </w:divBdr>
          <w:divsChild>
            <w:div w:id="1067458831">
              <w:marLeft w:val="0"/>
              <w:marRight w:val="0"/>
              <w:marTop w:val="0"/>
              <w:marBottom w:val="0"/>
              <w:divBdr>
                <w:top w:val="none" w:sz="0" w:space="0" w:color="auto"/>
                <w:left w:val="none" w:sz="0" w:space="0" w:color="auto"/>
                <w:bottom w:val="none" w:sz="0" w:space="0" w:color="auto"/>
                <w:right w:val="none" w:sz="0" w:space="0" w:color="auto"/>
              </w:divBdr>
            </w:div>
          </w:divsChild>
        </w:div>
        <w:div w:id="1376733771">
          <w:marLeft w:val="0"/>
          <w:marRight w:val="0"/>
          <w:marTop w:val="0"/>
          <w:marBottom w:val="0"/>
          <w:divBdr>
            <w:top w:val="none" w:sz="0" w:space="0" w:color="auto"/>
            <w:left w:val="none" w:sz="0" w:space="0" w:color="auto"/>
            <w:bottom w:val="none" w:sz="0" w:space="0" w:color="auto"/>
            <w:right w:val="none" w:sz="0" w:space="0" w:color="auto"/>
          </w:divBdr>
          <w:divsChild>
            <w:div w:id="2031490362">
              <w:marLeft w:val="0"/>
              <w:marRight w:val="0"/>
              <w:marTop w:val="0"/>
              <w:marBottom w:val="0"/>
              <w:divBdr>
                <w:top w:val="none" w:sz="0" w:space="0" w:color="auto"/>
                <w:left w:val="none" w:sz="0" w:space="0" w:color="auto"/>
                <w:bottom w:val="none" w:sz="0" w:space="0" w:color="auto"/>
                <w:right w:val="none" w:sz="0" w:space="0" w:color="auto"/>
              </w:divBdr>
            </w:div>
          </w:divsChild>
        </w:div>
        <w:div w:id="1376737596">
          <w:marLeft w:val="0"/>
          <w:marRight w:val="0"/>
          <w:marTop w:val="0"/>
          <w:marBottom w:val="0"/>
          <w:divBdr>
            <w:top w:val="none" w:sz="0" w:space="0" w:color="auto"/>
            <w:left w:val="none" w:sz="0" w:space="0" w:color="auto"/>
            <w:bottom w:val="none" w:sz="0" w:space="0" w:color="auto"/>
            <w:right w:val="none" w:sz="0" w:space="0" w:color="auto"/>
          </w:divBdr>
          <w:divsChild>
            <w:div w:id="938567065">
              <w:marLeft w:val="0"/>
              <w:marRight w:val="0"/>
              <w:marTop w:val="0"/>
              <w:marBottom w:val="0"/>
              <w:divBdr>
                <w:top w:val="none" w:sz="0" w:space="0" w:color="auto"/>
                <w:left w:val="none" w:sz="0" w:space="0" w:color="auto"/>
                <w:bottom w:val="none" w:sz="0" w:space="0" w:color="auto"/>
                <w:right w:val="none" w:sz="0" w:space="0" w:color="auto"/>
              </w:divBdr>
            </w:div>
          </w:divsChild>
        </w:div>
        <w:div w:id="1377662653">
          <w:marLeft w:val="0"/>
          <w:marRight w:val="0"/>
          <w:marTop w:val="0"/>
          <w:marBottom w:val="0"/>
          <w:divBdr>
            <w:top w:val="none" w:sz="0" w:space="0" w:color="auto"/>
            <w:left w:val="none" w:sz="0" w:space="0" w:color="auto"/>
            <w:bottom w:val="none" w:sz="0" w:space="0" w:color="auto"/>
            <w:right w:val="none" w:sz="0" w:space="0" w:color="auto"/>
          </w:divBdr>
          <w:divsChild>
            <w:div w:id="193428631">
              <w:marLeft w:val="0"/>
              <w:marRight w:val="0"/>
              <w:marTop w:val="0"/>
              <w:marBottom w:val="0"/>
              <w:divBdr>
                <w:top w:val="none" w:sz="0" w:space="0" w:color="auto"/>
                <w:left w:val="none" w:sz="0" w:space="0" w:color="auto"/>
                <w:bottom w:val="none" w:sz="0" w:space="0" w:color="auto"/>
                <w:right w:val="none" w:sz="0" w:space="0" w:color="auto"/>
              </w:divBdr>
            </w:div>
          </w:divsChild>
        </w:div>
        <w:div w:id="1378243352">
          <w:marLeft w:val="0"/>
          <w:marRight w:val="0"/>
          <w:marTop w:val="0"/>
          <w:marBottom w:val="0"/>
          <w:divBdr>
            <w:top w:val="none" w:sz="0" w:space="0" w:color="auto"/>
            <w:left w:val="none" w:sz="0" w:space="0" w:color="auto"/>
            <w:bottom w:val="none" w:sz="0" w:space="0" w:color="auto"/>
            <w:right w:val="none" w:sz="0" w:space="0" w:color="auto"/>
          </w:divBdr>
          <w:divsChild>
            <w:div w:id="1656648190">
              <w:marLeft w:val="0"/>
              <w:marRight w:val="0"/>
              <w:marTop w:val="0"/>
              <w:marBottom w:val="0"/>
              <w:divBdr>
                <w:top w:val="none" w:sz="0" w:space="0" w:color="auto"/>
                <w:left w:val="none" w:sz="0" w:space="0" w:color="auto"/>
                <w:bottom w:val="none" w:sz="0" w:space="0" w:color="auto"/>
                <w:right w:val="none" w:sz="0" w:space="0" w:color="auto"/>
              </w:divBdr>
            </w:div>
          </w:divsChild>
        </w:div>
        <w:div w:id="1381006996">
          <w:marLeft w:val="0"/>
          <w:marRight w:val="0"/>
          <w:marTop w:val="0"/>
          <w:marBottom w:val="0"/>
          <w:divBdr>
            <w:top w:val="none" w:sz="0" w:space="0" w:color="auto"/>
            <w:left w:val="none" w:sz="0" w:space="0" w:color="auto"/>
            <w:bottom w:val="none" w:sz="0" w:space="0" w:color="auto"/>
            <w:right w:val="none" w:sz="0" w:space="0" w:color="auto"/>
          </w:divBdr>
          <w:divsChild>
            <w:div w:id="262034550">
              <w:marLeft w:val="0"/>
              <w:marRight w:val="0"/>
              <w:marTop w:val="0"/>
              <w:marBottom w:val="0"/>
              <w:divBdr>
                <w:top w:val="none" w:sz="0" w:space="0" w:color="auto"/>
                <w:left w:val="none" w:sz="0" w:space="0" w:color="auto"/>
                <w:bottom w:val="none" w:sz="0" w:space="0" w:color="auto"/>
                <w:right w:val="none" w:sz="0" w:space="0" w:color="auto"/>
              </w:divBdr>
            </w:div>
          </w:divsChild>
        </w:div>
        <w:div w:id="1383360979">
          <w:marLeft w:val="0"/>
          <w:marRight w:val="0"/>
          <w:marTop w:val="0"/>
          <w:marBottom w:val="0"/>
          <w:divBdr>
            <w:top w:val="none" w:sz="0" w:space="0" w:color="auto"/>
            <w:left w:val="none" w:sz="0" w:space="0" w:color="auto"/>
            <w:bottom w:val="none" w:sz="0" w:space="0" w:color="auto"/>
            <w:right w:val="none" w:sz="0" w:space="0" w:color="auto"/>
          </w:divBdr>
          <w:divsChild>
            <w:div w:id="626590916">
              <w:marLeft w:val="0"/>
              <w:marRight w:val="0"/>
              <w:marTop w:val="0"/>
              <w:marBottom w:val="0"/>
              <w:divBdr>
                <w:top w:val="none" w:sz="0" w:space="0" w:color="auto"/>
                <w:left w:val="none" w:sz="0" w:space="0" w:color="auto"/>
                <w:bottom w:val="none" w:sz="0" w:space="0" w:color="auto"/>
                <w:right w:val="none" w:sz="0" w:space="0" w:color="auto"/>
              </w:divBdr>
            </w:div>
          </w:divsChild>
        </w:div>
        <w:div w:id="1387408990">
          <w:marLeft w:val="0"/>
          <w:marRight w:val="0"/>
          <w:marTop w:val="0"/>
          <w:marBottom w:val="0"/>
          <w:divBdr>
            <w:top w:val="none" w:sz="0" w:space="0" w:color="auto"/>
            <w:left w:val="none" w:sz="0" w:space="0" w:color="auto"/>
            <w:bottom w:val="none" w:sz="0" w:space="0" w:color="auto"/>
            <w:right w:val="none" w:sz="0" w:space="0" w:color="auto"/>
          </w:divBdr>
          <w:divsChild>
            <w:div w:id="352344446">
              <w:marLeft w:val="0"/>
              <w:marRight w:val="0"/>
              <w:marTop w:val="0"/>
              <w:marBottom w:val="0"/>
              <w:divBdr>
                <w:top w:val="none" w:sz="0" w:space="0" w:color="auto"/>
                <w:left w:val="none" w:sz="0" w:space="0" w:color="auto"/>
                <w:bottom w:val="none" w:sz="0" w:space="0" w:color="auto"/>
                <w:right w:val="none" w:sz="0" w:space="0" w:color="auto"/>
              </w:divBdr>
            </w:div>
          </w:divsChild>
        </w:div>
        <w:div w:id="1388727047">
          <w:marLeft w:val="0"/>
          <w:marRight w:val="0"/>
          <w:marTop w:val="0"/>
          <w:marBottom w:val="0"/>
          <w:divBdr>
            <w:top w:val="none" w:sz="0" w:space="0" w:color="auto"/>
            <w:left w:val="none" w:sz="0" w:space="0" w:color="auto"/>
            <w:bottom w:val="none" w:sz="0" w:space="0" w:color="auto"/>
            <w:right w:val="none" w:sz="0" w:space="0" w:color="auto"/>
          </w:divBdr>
          <w:divsChild>
            <w:div w:id="1324235552">
              <w:marLeft w:val="0"/>
              <w:marRight w:val="0"/>
              <w:marTop w:val="0"/>
              <w:marBottom w:val="0"/>
              <w:divBdr>
                <w:top w:val="none" w:sz="0" w:space="0" w:color="auto"/>
                <w:left w:val="none" w:sz="0" w:space="0" w:color="auto"/>
                <w:bottom w:val="none" w:sz="0" w:space="0" w:color="auto"/>
                <w:right w:val="none" w:sz="0" w:space="0" w:color="auto"/>
              </w:divBdr>
            </w:div>
          </w:divsChild>
        </w:div>
        <w:div w:id="1392654556">
          <w:marLeft w:val="0"/>
          <w:marRight w:val="0"/>
          <w:marTop w:val="0"/>
          <w:marBottom w:val="0"/>
          <w:divBdr>
            <w:top w:val="none" w:sz="0" w:space="0" w:color="auto"/>
            <w:left w:val="none" w:sz="0" w:space="0" w:color="auto"/>
            <w:bottom w:val="none" w:sz="0" w:space="0" w:color="auto"/>
            <w:right w:val="none" w:sz="0" w:space="0" w:color="auto"/>
          </w:divBdr>
          <w:divsChild>
            <w:div w:id="1183127005">
              <w:marLeft w:val="0"/>
              <w:marRight w:val="0"/>
              <w:marTop w:val="0"/>
              <w:marBottom w:val="0"/>
              <w:divBdr>
                <w:top w:val="none" w:sz="0" w:space="0" w:color="auto"/>
                <w:left w:val="none" w:sz="0" w:space="0" w:color="auto"/>
                <w:bottom w:val="none" w:sz="0" w:space="0" w:color="auto"/>
                <w:right w:val="none" w:sz="0" w:space="0" w:color="auto"/>
              </w:divBdr>
            </w:div>
          </w:divsChild>
        </w:div>
        <w:div w:id="1393305834">
          <w:marLeft w:val="0"/>
          <w:marRight w:val="0"/>
          <w:marTop w:val="0"/>
          <w:marBottom w:val="0"/>
          <w:divBdr>
            <w:top w:val="none" w:sz="0" w:space="0" w:color="auto"/>
            <w:left w:val="none" w:sz="0" w:space="0" w:color="auto"/>
            <w:bottom w:val="none" w:sz="0" w:space="0" w:color="auto"/>
            <w:right w:val="none" w:sz="0" w:space="0" w:color="auto"/>
          </w:divBdr>
          <w:divsChild>
            <w:div w:id="2026394508">
              <w:marLeft w:val="0"/>
              <w:marRight w:val="0"/>
              <w:marTop w:val="0"/>
              <w:marBottom w:val="0"/>
              <w:divBdr>
                <w:top w:val="none" w:sz="0" w:space="0" w:color="auto"/>
                <w:left w:val="none" w:sz="0" w:space="0" w:color="auto"/>
                <w:bottom w:val="none" w:sz="0" w:space="0" w:color="auto"/>
                <w:right w:val="none" w:sz="0" w:space="0" w:color="auto"/>
              </w:divBdr>
            </w:div>
          </w:divsChild>
        </w:div>
        <w:div w:id="1396316649">
          <w:marLeft w:val="0"/>
          <w:marRight w:val="0"/>
          <w:marTop w:val="0"/>
          <w:marBottom w:val="0"/>
          <w:divBdr>
            <w:top w:val="none" w:sz="0" w:space="0" w:color="auto"/>
            <w:left w:val="none" w:sz="0" w:space="0" w:color="auto"/>
            <w:bottom w:val="none" w:sz="0" w:space="0" w:color="auto"/>
            <w:right w:val="none" w:sz="0" w:space="0" w:color="auto"/>
          </w:divBdr>
          <w:divsChild>
            <w:div w:id="1005283331">
              <w:marLeft w:val="0"/>
              <w:marRight w:val="0"/>
              <w:marTop w:val="0"/>
              <w:marBottom w:val="0"/>
              <w:divBdr>
                <w:top w:val="none" w:sz="0" w:space="0" w:color="auto"/>
                <w:left w:val="none" w:sz="0" w:space="0" w:color="auto"/>
                <w:bottom w:val="none" w:sz="0" w:space="0" w:color="auto"/>
                <w:right w:val="none" w:sz="0" w:space="0" w:color="auto"/>
              </w:divBdr>
            </w:div>
          </w:divsChild>
        </w:div>
        <w:div w:id="1399745910">
          <w:marLeft w:val="0"/>
          <w:marRight w:val="0"/>
          <w:marTop w:val="0"/>
          <w:marBottom w:val="0"/>
          <w:divBdr>
            <w:top w:val="none" w:sz="0" w:space="0" w:color="auto"/>
            <w:left w:val="none" w:sz="0" w:space="0" w:color="auto"/>
            <w:bottom w:val="none" w:sz="0" w:space="0" w:color="auto"/>
            <w:right w:val="none" w:sz="0" w:space="0" w:color="auto"/>
          </w:divBdr>
          <w:divsChild>
            <w:div w:id="1928273133">
              <w:marLeft w:val="0"/>
              <w:marRight w:val="0"/>
              <w:marTop w:val="0"/>
              <w:marBottom w:val="0"/>
              <w:divBdr>
                <w:top w:val="none" w:sz="0" w:space="0" w:color="auto"/>
                <w:left w:val="none" w:sz="0" w:space="0" w:color="auto"/>
                <w:bottom w:val="none" w:sz="0" w:space="0" w:color="auto"/>
                <w:right w:val="none" w:sz="0" w:space="0" w:color="auto"/>
              </w:divBdr>
            </w:div>
          </w:divsChild>
        </w:div>
        <w:div w:id="1400596877">
          <w:marLeft w:val="0"/>
          <w:marRight w:val="0"/>
          <w:marTop w:val="0"/>
          <w:marBottom w:val="0"/>
          <w:divBdr>
            <w:top w:val="none" w:sz="0" w:space="0" w:color="auto"/>
            <w:left w:val="none" w:sz="0" w:space="0" w:color="auto"/>
            <w:bottom w:val="none" w:sz="0" w:space="0" w:color="auto"/>
            <w:right w:val="none" w:sz="0" w:space="0" w:color="auto"/>
          </w:divBdr>
          <w:divsChild>
            <w:div w:id="1149709134">
              <w:marLeft w:val="0"/>
              <w:marRight w:val="0"/>
              <w:marTop w:val="0"/>
              <w:marBottom w:val="0"/>
              <w:divBdr>
                <w:top w:val="none" w:sz="0" w:space="0" w:color="auto"/>
                <w:left w:val="none" w:sz="0" w:space="0" w:color="auto"/>
                <w:bottom w:val="none" w:sz="0" w:space="0" w:color="auto"/>
                <w:right w:val="none" w:sz="0" w:space="0" w:color="auto"/>
              </w:divBdr>
            </w:div>
          </w:divsChild>
        </w:div>
        <w:div w:id="1400902098">
          <w:marLeft w:val="0"/>
          <w:marRight w:val="0"/>
          <w:marTop w:val="0"/>
          <w:marBottom w:val="0"/>
          <w:divBdr>
            <w:top w:val="none" w:sz="0" w:space="0" w:color="auto"/>
            <w:left w:val="none" w:sz="0" w:space="0" w:color="auto"/>
            <w:bottom w:val="none" w:sz="0" w:space="0" w:color="auto"/>
            <w:right w:val="none" w:sz="0" w:space="0" w:color="auto"/>
          </w:divBdr>
          <w:divsChild>
            <w:div w:id="1553276148">
              <w:marLeft w:val="0"/>
              <w:marRight w:val="0"/>
              <w:marTop w:val="0"/>
              <w:marBottom w:val="0"/>
              <w:divBdr>
                <w:top w:val="none" w:sz="0" w:space="0" w:color="auto"/>
                <w:left w:val="none" w:sz="0" w:space="0" w:color="auto"/>
                <w:bottom w:val="none" w:sz="0" w:space="0" w:color="auto"/>
                <w:right w:val="none" w:sz="0" w:space="0" w:color="auto"/>
              </w:divBdr>
            </w:div>
          </w:divsChild>
        </w:div>
        <w:div w:id="1409157552">
          <w:marLeft w:val="0"/>
          <w:marRight w:val="0"/>
          <w:marTop w:val="0"/>
          <w:marBottom w:val="0"/>
          <w:divBdr>
            <w:top w:val="none" w:sz="0" w:space="0" w:color="auto"/>
            <w:left w:val="none" w:sz="0" w:space="0" w:color="auto"/>
            <w:bottom w:val="none" w:sz="0" w:space="0" w:color="auto"/>
            <w:right w:val="none" w:sz="0" w:space="0" w:color="auto"/>
          </w:divBdr>
          <w:divsChild>
            <w:div w:id="1895042705">
              <w:marLeft w:val="0"/>
              <w:marRight w:val="0"/>
              <w:marTop w:val="0"/>
              <w:marBottom w:val="0"/>
              <w:divBdr>
                <w:top w:val="none" w:sz="0" w:space="0" w:color="auto"/>
                <w:left w:val="none" w:sz="0" w:space="0" w:color="auto"/>
                <w:bottom w:val="none" w:sz="0" w:space="0" w:color="auto"/>
                <w:right w:val="none" w:sz="0" w:space="0" w:color="auto"/>
              </w:divBdr>
            </w:div>
          </w:divsChild>
        </w:div>
        <w:div w:id="1414937557">
          <w:marLeft w:val="0"/>
          <w:marRight w:val="0"/>
          <w:marTop w:val="0"/>
          <w:marBottom w:val="0"/>
          <w:divBdr>
            <w:top w:val="none" w:sz="0" w:space="0" w:color="auto"/>
            <w:left w:val="none" w:sz="0" w:space="0" w:color="auto"/>
            <w:bottom w:val="none" w:sz="0" w:space="0" w:color="auto"/>
            <w:right w:val="none" w:sz="0" w:space="0" w:color="auto"/>
          </w:divBdr>
          <w:divsChild>
            <w:div w:id="243926062">
              <w:marLeft w:val="0"/>
              <w:marRight w:val="0"/>
              <w:marTop w:val="0"/>
              <w:marBottom w:val="0"/>
              <w:divBdr>
                <w:top w:val="none" w:sz="0" w:space="0" w:color="auto"/>
                <w:left w:val="none" w:sz="0" w:space="0" w:color="auto"/>
                <w:bottom w:val="none" w:sz="0" w:space="0" w:color="auto"/>
                <w:right w:val="none" w:sz="0" w:space="0" w:color="auto"/>
              </w:divBdr>
            </w:div>
          </w:divsChild>
        </w:div>
        <w:div w:id="1416588633">
          <w:marLeft w:val="0"/>
          <w:marRight w:val="0"/>
          <w:marTop w:val="0"/>
          <w:marBottom w:val="0"/>
          <w:divBdr>
            <w:top w:val="none" w:sz="0" w:space="0" w:color="auto"/>
            <w:left w:val="none" w:sz="0" w:space="0" w:color="auto"/>
            <w:bottom w:val="none" w:sz="0" w:space="0" w:color="auto"/>
            <w:right w:val="none" w:sz="0" w:space="0" w:color="auto"/>
          </w:divBdr>
          <w:divsChild>
            <w:div w:id="446780858">
              <w:marLeft w:val="0"/>
              <w:marRight w:val="0"/>
              <w:marTop w:val="0"/>
              <w:marBottom w:val="0"/>
              <w:divBdr>
                <w:top w:val="none" w:sz="0" w:space="0" w:color="auto"/>
                <w:left w:val="none" w:sz="0" w:space="0" w:color="auto"/>
                <w:bottom w:val="none" w:sz="0" w:space="0" w:color="auto"/>
                <w:right w:val="none" w:sz="0" w:space="0" w:color="auto"/>
              </w:divBdr>
            </w:div>
          </w:divsChild>
        </w:div>
        <w:div w:id="1422531119">
          <w:marLeft w:val="0"/>
          <w:marRight w:val="0"/>
          <w:marTop w:val="0"/>
          <w:marBottom w:val="0"/>
          <w:divBdr>
            <w:top w:val="none" w:sz="0" w:space="0" w:color="auto"/>
            <w:left w:val="none" w:sz="0" w:space="0" w:color="auto"/>
            <w:bottom w:val="none" w:sz="0" w:space="0" w:color="auto"/>
            <w:right w:val="none" w:sz="0" w:space="0" w:color="auto"/>
          </w:divBdr>
          <w:divsChild>
            <w:div w:id="1918200678">
              <w:marLeft w:val="0"/>
              <w:marRight w:val="0"/>
              <w:marTop w:val="0"/>
              <w:marBottom w:val="0"/>
              <w:divBdr>
                <w:top w:val="none" w:sz="0" w:space="0" w:color="auto"/>
                <w:left w:val="none" w:sz="0" w:space="0" w:color="auto"/>
                <w:bottom w:val="none" w:sz="0" w:space="0" w:color="auto"/>
                <w:right w:val="none" w:sz="0" w:space="0" w:color="auto"/>
              </w:divBdr>
            </w:div>
          </w:divsChild>
        </w:div>
        <w:div w:id="1426463315">
          <w:marLeft w:val="0"/>
          <w:marRight w:val="0"/>
          <w:marTop w:val="0"/>
          <w:marBottom w:val="0"/>
          <w:divBdr>
            <w:top w:val="none" w:sz="0" w:space="0" w:color="auto"/>
            <w:left w:val="none" w:sz="0" w:space="0" w:color="auto"/>
            <w:bottom w:val="none" w:sz="0" w:space="0" w:color="auto"/>
            <w:right w:val="none" w:sz="0" w:space="0" w:color="auto"/>
          </w:divBdr>
          <w:divsChild>
            <w:div w:id="2001542415">
              <w:marLeft w:val="0"/>
              <w:marRight w:val="0"/>
              <w:marTop w:val="0"/>
              <w:marBottom w:val="0"/>
              <w:divBdr>
                <w:top w:val="none" w:sz="0" w:space="0" w:color="auto"/>
                <w:left w:val="none" w:sz="0" w:space="0" w:color="auto"/>
                <w:bottom w:val="none" w:sz="0" w:space="0" w:color="auto"/>
                <w:right w:val="none" w:sz="0" w:space="0" w:color="auto"/>
              </w:divBdr>
            </w:div>
          </w:divsChild>
        </w:div>
        <w:div w:id="1428624323">
          <w:marLeft w:val="0"/>
          <w:marRight w:val="0"/>
          <w:marTop w:val="0"/>
          <w:marBottom w:val="0"/>
          <w:divBdr>
            <w:top w:val="none" w:sz="0" w:space="0" w:color="auto"/>
            <w:left w:val="none" w:sz="0" w:space="0" w:color="auto"/>
            <w:bottom w:val="none" w:sz="0" w:space="0" w:color="auto"/>
            <w:right w:val="none" w:sz="0" w:space="0" w:color="auto"/>
          </w:divBdr>
          <w:divsChild>
            <w:div w:id="110244860">
              <w:marLeft w:val="0"/>
              <w:marRight w:val="0"/>
              <w:marTop w:val="0"/>
              <w:marBottom w:val="0"/>
              <w:divBdr>
                <w:top w:val="none" w:sz="0" w:space="0" w:color="auto"/>
                <w:left w:val="none" w:sz="0" w:space="0" w:color="auto"/>
                <w:bottom w:val="none" w:sz="0" w:space="0" w:color="auto"/>
                <w:right w:val="none" w:sz="0" w:space="0" w:color="auto"/>
              </w:divBdr>
            </w:div>
          </w:divsChild>
        </w:div>
        <w:div w:id="1429689519">
          <w:marLeft w:val="0"/>
          <w:marRight w:val="0"/>
          <w:marTop w:val="0"/>
          <w:marBottom w:val="0"/>
          <w:divBdr>
            <w:top w:val="none" w:sz="0" w:space="0" w:color="auto"/>
            <w:left w:val="none" w:sz="0" w:space="0" w:color="auto"/>
            <w:bottom w:val="none" w:sz="0" w:space="0" w:color="auto"/>
            <w:right w:val="none" w:sz="0" w:space="0" w:color="auto"/>
          </w:divBdr>
          <w:divsChild>
            <w:div w:id="678308889">
              <w:marLeft w:val="0"/>
              <w:marRight w:val="0"/>
              <w:marTop w:val="0"/>
              <w:marBottom w:val="0"/>
              <w:divBdr>
                <w:top w:val="none" w:sz="0" w:space="0" w:color="auto"/>
                <w:left w:val="none" w:sz="0" w:space="0" w:color="auto"/>
                <w:bottom w:val="none" w:sz="0" w:space="0" w:color="auto"/>
                <w:right w:val="none" w:sz="0" w:space="0" w:color="auto"/>
              </w:divBdr>
            </w:div>
          </w:divsChild>
        </w:div>
        <w:div w:id="1431389080">
          <w:marLeft w:val="0"/>
          <w:marRight w:val="0"/>
          <w:marTop w:val="0"/>
          <w:marBottom w:val="0"/>
          <w:divBdr>
            <w:top w:val="none" w:sz="0" w:space="0" w:color="auto"/>
            <w:left w:val="none" w:sz="0" w:space="0" w:color="auto"/>
            <w:bottom w:val="none" w:sz="0" w:space="0" w:color="auto"/>
            <w:right w:val="none" w:sz="0" w:space="0" w:color="auto"/>
          </w:divBdr>
          <w:divsChild>
            <w:div w:id="993145238">
              <w:marLeft w:val="0"/>
              <w:marRight w:val="0"/>
              <w:marTop w:val="0"/>
              <w:marBottom w:val="0"/>
              <w:divBdr>
                <w:top w:val="none" w:sz="0" w:space="0" w:color="auto"/>
                <w:left w:val="none" w:sz="0" w:space="0" w:color="auto"/>
                <w:bottom w:val="none" w:sz="0" w:space="0" w:color="auto"/>
                <w:right w:val="none" w:sz="0" w:space="0" w:color="auto"/>
              </w:divBdr>
            </w:div>
          </w:divsChild>
        </w:div>
        <w:div w:id="1431855690">
          <w:marLeft w:val="0"/>
          <w:marRight w:val="0"/>
          <w:marTop w:val="0"/>
          <w:marBottom w:val="0"/>
          <w:divBdr>
            <w:top w:val="none" w:sz="0" w:space="0" w:color="auto"/>
            <w:left w:val="none" w:sz="0" w:space="0" w:color="auto"/>
            <w:bottom w:val="none" w:sz="0" w:space="0" w:color="auto"/>
            <w:right w:val="none" w:sz="0" w:space="0" w:color="auto"/>
          </w:divBdr>
          <w:divsChild>
            <w:div w:id="2073771071">
              <w:marLeft w:val="0"/>
              <w:marRight w:val="0"/>
              <w:marTop w:val="0"/>
              <w:marBottom w:val="0"/>
              <w:divBdr>
                <w:top w:val="none" w:sz="0" w:space="0" w:color="auto"/>
                <w:left w:val="none" w:sz="0" w:space="0" w:color="auto"/>
                <w:bottom w:val="none" w:sz="0" w:space="0" w:color="auto"/>
                <w:right w:val="none" w:sz="0" w:space="0" w:color="auto"/>
              </w:divBdr>
            </w:div>
          </w:divsChild>
        </w:div>
        <w:div w:id="1434126040">
          <w:marLeft w:val="0"/>
          <w:marRight w:val="0"/>
          <w:marTop w:val="0"/>
          <w:marBottom w:val="0"/>
          <w:divBdr>
            <w:top w:val="none" w:sz="0" w:space="0" w:color="auto"/>
            <w:left w:val="none" w:sz="0" w:space="0" w:color="auto"/>
            <w:bottom w:val="none" w:sz="0" w:space="0" w:color="auto"/>
            <w:right w:val="none" w:sz="0" w:space="0" w:color="auto"/>
          </w:divBdr>
          <w:divsChild>
            <w:div w:id="955797028">
              <w:marLeft w:val="0"/>
              <w:marRight w:val="0"/>
              <w:marTop w:val="0"/>
              <w:marBottom w:val="0"/>
              <w:divBdr>
                <w:top w:val="none" w:sz="0" w:space="0" w:color="auto"/>
                <w:left w:val="none" w:sz="0" w:space="0" w:color="auto"/>
                <w:bottom w:val="none" w:sz="0" w:space="0" w:color="auto"/>
                <w:right w:val="none" w:sz="0" w:space="0" w:color="auto"/>
              </w:divBdr>
            </w:div>
          </w:divsChild>
        </w:div>
        <w:div w:id="1434205455">
          <w:marLeft w:val="0"/>
          <w:marRight w:val="0"/>
          <w:marTop w:val="0"/>
          <w:marBottom w:val="0"/>
          <w:divBdr>
            <w:top w:val="none" w:sz="0" w:space="0" w:color="auto"/>
            <w:left w:val="none" w:sz="0" w:space="0" w:color="auto"/>
            <w:bottom w:val="none" w:sz="0" w:space="0" w:color="auto"/>
            <w:right w:val="none" w:sz="0" w:space="0" w:color="auto"/>
          </w:divBdr>
          <w:divsChild>
            <w:div w:id="2120905261">
              <w:marLeft w:val="0"/>
              <w:marRight w:val="0"/>
              <w:marTop w:val="0"/>
              <w:marBottom w:val="0"/>
              <w:divBdr>
                <w:top w:val="none" w:sz="0" w:space="0" w:color="auto"/>
                <w:left w:val="none" w:sz="0" w:space="0" w:color="auto"/>
                <w:bottom w:val="none" w:sz="0" w:space="0" w:color="auto"/>
                <w:right w:val="none" w:sz="0" w:space="0" w:color="auto"/>
              </w:divBdr>
            </w:div>
          </w:divsChild>
        </w:div>
        <w:div w:id="1437407909">
          <w:marLeft w:val="0"/>
          <w:marRight w:val="0"/>
          <w:marTop w:val="0"/>
          <w:marBottom w:val="0"/>
          <w:divBdr>
            <w:top w:val="none" w:sz="0" w:space="0" w:color="auto"/>
            <w:left w:val="none" w:sz="0" w:space="0" w:color="auto"/>
            <w:bottom w:val="none" w:sz="0" w:space="0" w:color="auto"/>
            <w:right w:val="none" w:sz="0" w:space="0" w:color="auto"/>
          </w:divBdr>
          <w:divsChild>
            <w:div w:id="1978684354">
              <w:marLeft w:val="0"/>
              <w:marRight w:val="0"/>
              <w:marTop w:val="0"/>
              <w:marBottom w:val="0"/>
              <w:divBdr>
                <w:top w:val="none" w:sz="0" w:space="0" w:color="auto"/>
                <w:left w:val="none" w:sz="0" w:space="0" w:color="auto"/>
                <w:bottom w:val="none" w:sz="0" w:space="0" w:color="auto"/>
                <w:right w:val="none" w:sz="0" w:space="0" w:color="auto"/>
              </w:divBdr>
            </w:div>
          </w:divsChild>
        </w:div>
        <w:div w:id="1437948237">
          <w:marLeft w:val="0"/>
          <w:marRight w:val="0"/>
          <w:marTop w:val="0"/>
          <w:marBottom w:val="0"/>
          <w:divBdr>
            <w:top w:val="none" w:sz="0" w:space="0" w:color="auto"/>
            <w:left w:val="none" w:sz="0" w:space="0" w:color="auto"/>
            <w:bottom w:val="none" w:sz="0" w:space="0" w:color="auto"/>
            <w:right w:val="none" w:sz="0" w:space="0" w:color="auto"/>
          </w:divBdr>
          <w:divsChild>
            <w:div w:id="805776326">
              <w:marLeft w:val="0"/>
              <w:marRight w:val="0"/>
              <w:marTop w:val="0"/>
              <w:marBottom w:val="0"/>
              <w:divBdr>
                <w:top w:val="none" w:sz="0" w:space="0" w:color="auto"/>
                <w:left w:val="none" w:sz="0" w:space="0" w:color="auto"/>
                <w:bottom w:val="none" w:sz="0" w:space="0" w:color="auto"/>
                <w:right w:val="none" w:sz="0" w:space="0" w:color="auto"/>
              </w:divBdr>
            </w:div>
          </w:divsChild>
        </w:div>
        <w:div w:id="1438675626">
          <w:marLeft w:val="0"/>
          <w:marRight w:val="0"/>
          <w:marTop w:val="0"/>
          <w:marBottom w:val="0"/>
          <w:divBdr>
            <w:top w:val="none" w:sz="0" w:space="0" w:color="auto"/>
            <w:left w:val="none" w:sz="0" w:space="0" w:color="auto"/>
            <w:bottom w:val="none" w:sz="0" w:space="0" w:color="auto"/>
            <w:right w:val="none" w:sz="0" w:space="0" w:color="auto"/>
          </w:divBdr>
          <w:divsChild>
            <w:div w:id="758060803">
              <w:marLeft w:val="0"/>
              <w:marRight w:val="0"/>
              <w:marTop w:val="0"/>
              <w:marBottom w:val="0"/>
              <w:divBdr>
                <w:top w:val="none" w:sz="0" w:space="0" w:color="auto"/>
                <w:left w:val="none" w:sz="0" w:space="0" w:color="auto"/>
                <w:bottom w:val="none" w:sz="0" w:space="0" w:color="auto"/>
                <w:right w:val="none" w:sz="0" w:space="0" w:color="auto"/>
              </w:divBdr>
            </w:div>
          </w:divsChild>
        </w:div>
        <w:div w:id="1441727097">
          <w:marLeft w:val="0"/>
          <w:marRight w:val="0"/>
          <w:marTop w:val="0"/>
          <w:marBottom w:val="0"/>
          <w:divBdr>
            <w:top w:val="none" w:sz="0" w:space="0" w:color="auto"/>
            <w:left w:val="none" w:sz="0" w:space="0" w:color="auto"/>
            <w:bottom w:val="none" w:sz="0" w:space="0" w:color="auto"/>
            <w:right w:val="none" w:sz="0" w:space="0" w:color="auto"/>
          </w:divBdr>
          <w:divsChild>
            <w:div w:id="1124540434">
              <w:marLeft w:val="0"/>
              <w:marRight w:val="0"/>
              <w:marTop w:val="0"/>
              <w:marBottom w:val="0"/>
              <w:divBdr>
                <w:top w:val="none" w:sz="0" w:space="0" w:color="auto"/>
                <w:left w:val="none" w:sz="0" w:space="0" w:color="auto"/>
                <w:bottom w:val="none" w:sz="0" w:space="0" w:color="auto"/>
                <w:right w:val="none" w:sz="0" w:space="0" w:color="auto"/>
              </w:divBdr>
            </w:div>
          </w:divsChild>
        </w:div>
        <w:div w:id="1442727954">
          <w:marLeft w:val="0"/>
          <w:marRight w:val="0"/>
          <w:marTop w:val="0"/>
          <w:marBottom w:val="0"/>
          <w:divBdr>
            <w:top w:val="none" w:sz="0" w:space="0" w:color="auto"/>
            <w:left w:val="none" w:sz="0" w:space="0" w:color="auto"/>
            <w:bottom w:val="none" w:sz="0" w:space="0" w:color="auto"/>
            <w:right w:val="none" w:sz="0" w:space="0" w:color="auto"/>
          </w:divBdr>
          <w:divsChild>
            <w:div w:id="638153375">
              <w:marLeft w:val="0"/>
              <w:marRight w:val="0"/>
              <w:marTop w:val="0"/>
              <w:marBottom w:val="0"/>
              <w:divBdr>
                <w:top w:val="none" w:sz="0" w:space="0" w:color="auto"/>
                <w:left w:val="none" w:sz="0" w:space="0" w:color="auto"/>
                <w:bottom w:val="none" w:sz="0" w:space="0" w:color="auto"/>
                <w:right w:val="none" w:sz="0" w:space="0" w:color="auto"/>
              </w:divBdr>
            </w:div>
          </w:divsChild>
        </w:div>
        <w:div w:id="1443456181">
          <w:marLeft w:val="0"/>
          <w:marRight w:val="0"/>
          <w:marTop w:val="0"/>
          <w:marBottom w:val="0"/>
          <w:divBdr>
            <w:top w:val="none" w:sz="0" w:space="0" w:color="auto"/>
            <w:left w:val="none" w:sz="0" w:space="0" w:color="auto"/>
            <w:bottom w:val="none" w:sz="0" w:space="0" w:color="auto"/>
            <w:right w:val="none" w:sz="0" w:space="0" w:color="auto"/>
          </w:divBdr>
          <w:divsChild>
            <w:div w:id="1533306129">
              <w:marLeft w:val="0"/>
              <w:marRight w:val="0"/>
              <w:marTop w:val="0"/>
              <w:marBottom w:val="0"/>
              <w:divBdr>
                <w:top w:val="none" w:sz="0" w:space="0" w:color="auto"/>
                <w:left w:val="none" w:sz="0" w:space="0" w:color="auto"/>
                <w:bottom w:val="none" w:sz="0" w:space="0" w:color="auto"/>
                <w:right w:val="none" w:sz="0" w:space="0" w:color="auto"/>
              </w:divBdr>
            </w:div>
          </w:divsChild>
        </w:div>
        <w:div w:id="1443501462">
          <w:marLeft w:val="0"/>
          <w:marRight w:val="0"/>
          <w:marTop w:val="0"/>
          <w:marBottom w:val="0"/>
          <w:divBdr>
            <w:top w:val="none" w:sz="0" w:space="0" w:color="auto"/>
            <w:left w:val="none" w:sz="0" w:space="0" w:color="auto"/>
            <w:bottom w:val="none" w:sz="0" w:space="0" w:color="auto"/>
            <w:right w:val="none" w:sz="0" w:space="0" w:color="auto"/>
          </w:divBdr>
          <w:divsChild>
            <w:div w:id="994533955">
              <w:marLeft w:val="0"/>
              <w:marRight w:val="0"/>
              <w:marTop w:val="0"/>
              <w:marBottom w:val="0"/>
              <w:divBdr>
                <w:top w:val="none" w:sz="0" w:space="0" w:color="auto"/>
                <w:left w:val="none" w:sz="0" w:space="0" w:color="auto"/>
                <w:bottom w:val="none" w:sz="0" w:space="0" w:color="auto"/>
                <w:right w:val="none" w:sz="0" w:space="0" w:color="auto"/>
              </w:divBdr>
            </w:div>
          </w:divsChild>
        </w:div>
        <w:div w:id="1444572500">
          <w:marLeft w:val="0"/>
          <w:marRight w:val="0"/>
          <w:marTop w:val="0"/>
          <w:marBottom w:val="0"/>
          <w:divBdr>
            <w:top w:val="none" w:sz="0" w:space="0" w:color="auto"/>
            <w:left w:val="none" w:sz="0" w:space="0" w:color="auto"/>
            <w:bottom w:val="none" w:sz="0" w:space="0" w:color="auto"/>
            <w:right w:val="none" w:sz="0" w:space="0" w:color="auto"/>
          </w:divBdr>
          <w:divsChild>
            <w:div w:id="52167105">
              <w:marLeft w:val="0"/>
              <w:marRight w:val="0"/>
              <w:marTop w:val="0"/>
              <w:marBottom w:val="0"/>
              <w:divBdr>
                <w:top w:val="none" w:sz="0" w:space="0" w:color="auto"/>
                <w:left w:val="none" w:sz="0" w:space="0" w:color="auto"/>
                <w:bottom w:val="none" w:sz="0" w:space="0" w:color="auto"/>
                <w:right w:val="none" w:sz="0" w:space="0" w:color="auto"/>
              </w:divBdr>
            </w:div>
          </w:divsChild>
        </w:div>
        <w:div w:id="1445687644">
          <w:marLeft w:val="0"/>
          <w:marRight w:val="0"/>
          <w:marTop w:val="0"/>
          <w:marBottom w:val="0"/>
          <w:divBdr>
            <w:top w:val="none" w:sz="0" w:space="0" w:color="auto"/>
            <w:left w:val="none" w:sz="0" w:space="0" w:color="auto"/>
            <w:bottom w:val="none" w:sz="0" w:space="0" w:color="auto"/>
            <w:right w:val="none" w:sz="0" w:space="0" w:color="auto"/>
          </w:divBdr>
          <w:divsChild>
            <w:div w:id="240875267">
              <w:marLeft w:val="0"/>
              <w:marRight w:val="0"/>
              <w:marTop w:val="0"/>
              <w:marBottom w:val="0"/>
              <w:divBdr>
                <w:top w:val="none" w:sz="0" w:space="0" w:color="auto"/>
                <w:left w:val="none" w:sz="0" w:space="0" w:color="auto"/>
                <w:bottom w:val="none" w:sz="0" w:space="0" w:color="auto"/>
                <w:right w:val="none" w:sz="0" w:space="0" w:color="auto"/>
              </w:divBdr>
            </w:div>
          </w:divsChild>
        </w:div>
        <w:div w:id="1447968519">
          <w:marLeft w:val="0"/>
          <w:marRight w:val="0"/>
          <w:marTop w:val="0"/>
          <w:marBottom w:val="0"/>
          <w:divBdr>
            <w:top w:val="none" w:sz="0" w:space="0" w:color="auto"/>
            <w:left w:val="none" w:sz="0" w:space="0" w:color="auto"/>
            <w:bottom w:val="none" w:sz="0" w:space="0" w:color="auto"/>
            <w:right w:val="none" w:sz="0" w:space="0" w:color="auto"/>
          </w:divBdr>
          <w:divsChild>
            <w:div w:id="1453789551">
              <w:marLeft w:val="0"/>
              <w:marRight w:val="0"/>
              <w:marTop w:val="0"/>
              <w:marBottom w:val="0"/>
              <w:divBdr>
                <w:top w:val="none" w:sz="0" w:space="0" w:color="auto"/>
                <w:left w:val="none" w:sz="0" w:space="0" w:color="auto"/>
                <w:bottom w:val="none" w:sz="0" w:space="0" w:color="auto"/>
                <w:right w:val="none" w:sz="0" w:space="0" w:color="auto"/>
              </w:divBdr>
            </w:div>
          </w:divsChild>
        </w:div>
        <w:div w:id="1452359991">
          <w:marLeft w:val="0"/>
          <w:marRight w:val="0"/>
          <w:marTop w:val="0"/>
          <w:marBottom w:val="0"/>
          <w:divBdr>
            <w:top w:val="none" w:sz="0" w:space="0" w:color="auto"/>
            <w:left w:val="none" w:sz="0" w:space="0" w:color="auto"/>
            <w:bottom w:val="none" w:sz="0" w:space="0" w:color="auto"/>
            <w:right w:val="none" w:sz="0" w:space="0" w:color="auto"/>
          </w:divBdr>
          <w:divsChild>
            <w:div w:id="892232022">
              <w:marLeft w:val="0"/>
              <w:marRight w:val="0"/>
              <w:marTop w:val="0"/>
              <w:marBottom w:val="0"/>
              <w:divBdr>
                <w:top w:val="none" w:sz="0" w:space="0" w:color="auto"/>
                <w:left w:val="none" w:sz="0" w:space="0" w:color="auto"/>
                <w:bottom w:val="none" w:sz="0" w:space="0" w:color="auto"/>
                <w:right w:val="none" w:sz="0" w:space="0" w:color="auto"/>
              </w:divBdr>
            </w:div>
          </w:divsChild>
        </w:div>
        <w:div w:id="1452478339">
          <w:marLeft w:val="0"/>
          <w:marRight w:val="0"/>
          <w:marTop w:val="0"/>
          <w:marBottom w:val="0"/>
          <w:divBdr>
            <w:top w:val="none" w:sz="0" w:space="0" w:color="auto"/>
            <w:left w:val="none" w:sz="0" w:space="0" w:color="auto"/>
            <w:bottom w:val="none" w:sz="0" w:space="0" w:color="auto"/>
            <w:right w:val="none" w:sz="0" w:space="0" w:color="auto"/>
          </w:divBdr>
          <w:divsChild>
            <w:div w:id="1911232195">
              <w:marLeft w:val="0"/>
              <w:marRight w:val="0"/>
              <w:marTop w:val="0"/>
              <w:marBottom w:val="0"/>
              <w:divBdr>
                <w:top w:val="none" w:sz="0" w:space="0" w:color="auto"/>
                <w:left w:val="none" w:sz="0" w:space="0" w:color="auto"/>
                <w:bottom w:val="none" w:sz="0" w:space="0" w:color="auto"/>
                <w:right w:val="none" w:sz="0" w:space="0" w:color="auto"/>
              </w:divBdr>
            </w:div>
          </w:divsChild>
        </w:div>
        <w:div w:id="1453327509">
          <w:marLeft w:val="0"/>
          <w:marRight w:val="0"/>
          <w:marTop w:val="0"/>
          <w:marBottom w:val="0"/>
          <w:divBdr>
            <w:top w:val="none" w:sz="0" w:space="0" w:color="auto"/>
            <w:left w:val="none" w:sz="0" w:space="0" w:color="auto"/>
            <w:bottom w:val="none" w:sz="0" w:space="0" w:color="auto"/>
            <w:right w:val="none" w:sz="0" w:space="0" w:color="auto"/>
          </w:divBdr>
          <w:divsChild>
            <w:div w:id="1285766821">
              <w:marLeft w:val="0"/>
              <w:marRight w:val="0"/>
              <w:marTop w:val="0"/>
              <w:marBottom w:val="0"/>
              <w:divBdr>
                <w:top w:val="none" w:sz="0" w:space="0" w:color="auto"/>
                <w:left w:val="none" w:sz="0" w:space="0" w:color="auto"/>
                <w:bottom w:val="none" w:sz="0" w:space="0" w:color="auto"/>
                <w:right w:val="none" w:sz="0" w:space="0" w:color="auto"/>
              </w:divBdr>
            </w:div>
          </w:divsChild>
        </w:div>
        <w:div w:id="1453404477">
          <w:marLeft w:val="0"/>
          <w:marRight w:val="0"/>
          <w:marTop w:val="0"/>
          <w:marBottom w:val="0"/>
          <w:divBdr>
            <w:top w:val="none" w:sz="0" w:space="0" w:color="auto"/>
            <w:left w:val="none" w:sz="0" w:space="0" w:color="auto"/>
            <w:bottom w:val="none" w:sz="0" w:space="0" w:color="auto"/>
            <w:right w:val="none" w:sz="0" w:space="0" w:color="auto"/>
          </w:divBdr>
          <w:divsChild>
            <w:div w:id="31927321">
              <w:marLeft w:val="0"/>
              <w:marRight w:val="0"/>
              <w:marTop w:val="0"/>
              <w:marBottom w:val="0"/>
              <w:divBdr>
                <w:top w:val="none" w:sz="0" w:space="0" w:color="auto"/>
                <w:left w:val="none" w:sz="0" w:space="0" w:color="auto"/>
                <w:bottom w:val="none" w:sz="0" w:space="0" w:color="auto"/>
                <w:right w:val="none" w:sz="0" w:space="0" w:color="auto"/>
              </w:divBdr>
            </w:div>
          </w:divsChild>
        </w:div>
        <w:div w:id="1453788464">
          <w:marLeft w:val="0"/>
          <w:marRight w:val="0"/>
          <w:marTop w:val="0"/>
          <w:marBottom w:val="0"/>
          <w:divBdr>
            <w:top w:val="none" w:sz="0" w:space="0" w:color="auto"/>
            <w:left w:val="none" w:sz="0" w:space="0" w:color="auto"/>
            <w:bottom w:val="none" w:sz="0" w:space="0" w:color="auto"/>
            <w:right w:val="none" w:sz="0" w:space="0" w:color="auto"/>
          </w:divBdr>
          <w:divsChild>
            <w:div w:id="934021743">
              <w:marLeft w:val="0"/>
              <w:marRight w:val="0"/>
              <w:marTop w:val="0"/>
              <w:marBottom w:val="0"/>
              <w:divBdr>
                <w:top w:val="none" w:sz="0" w:space="0" w:color="auto"/>
                <w:left w:val="none" w:sz="0" w:space="0" w:color="auto"/>
                <w:bottom w:val="none" w:sz="0" w:space="0" w:color="auto"/>
                <w:right w:val="none" w:sz="0" w:space="0" w:color="auto"/>
              </w:divBdr>
            </w:div>
          </w:divsChild>
        </w:div>
        <w:div w:id="1453983438">
          <w:marLeft w:val="0"/>
          <w:marRight w:val="0"/>
          <w:marTop w:val="0"/>
          <w:marBottom w:val="0"/>
          <w:divBdr>
            <w:top w:val="none" w:sz="0" w:space="0" w:color="auto"/>
            <w:left w:val="none" w:sz="0" w:space="0" w:color="auto"/>
            <w:bottom w:val="none" w:sz="0" w:space="0" w:color="auto"/>
            <w:right w:val="none" w:sz="0" w:space="0" w:color="auto"/>
          </w:divBdr>
          <w:divsChild>
            <w:div w:id="2081445349">
              <w:marLeft w:val="0"/>
              <w:marRight w:val="0"/>
              <w:marTop w:val="0"/>
              <w:marBottom w:val="0"/>
              <w:divBdr>
                <w:top w:val="none" w:sz="0" w:space="0" w:color="auto"/>
                <w:left w:val="none" w:sz="0" w:space="0" w:color="auto"/>
                <w:bottom w:val="none" w:sz="0" w:space="0" w:color="auto"/>
                <w:right w:val="none" w:sz="0" w:space="0" w:color="auto"/>
              </w:divBdr>
            </w:div>
          </w:divsChild>
        </w:div>
        <w:div w:id="1454784860">
          <w:marLeft w:val="0"/>
          <w:marRight w:val="0"/>
          <w:marTop w:val="0"/>
          <w:marBottom w:val="0"/>
          <w:divBdr>
            <w:top w:val="none" w:sz="0" w:space="0" w:color="auto"/>
            <w:left w:val="none" w:sz="0" w:space="0" w:color="auto"/>
            <w:bottom w:val="none" w:sz="0" w:space="0" w:color="auto"/>
            <w:right w:val="none" w:sz="0" w:space="0" w:color="auto"/>
          </w:divBdr>
          <w:divsChild>
            <w:div w:id="955871132">
              <w:marLeft w:val="0"/>
              <w:marRight w:val="0"/>
              <w:marTop w:val="0"/>
              <w:marBottom w:val="0"/>
              <w:divBdr>
                <w:top w:val="none" w:sz="0" w:space="0" w:color="auto"/>
                <w:left w:val="none" w:sz="0" w:space="0" w:color="auto"/>
                <w:bottom w:val="none" w:sz="0" w:space="0" w:color="auto"/>
                <w:right w:val="none" w:sz="0" w:space="0" w:color="auto"/>
              </w:divBdr>
            </w:div>
          </w:divsChild>
        </w:div>
        <w:div w:id="1456025178">
          <w:marLeft w:val="0"/>
          <w:marRight w:val="0"/>
          <w:marTop w:val="0"/>
          <w:marBottom w:val="0"/>
          <w:divBdr>
            <w:top w:val="none" w:sz="0" w:space="0" w:color="auto"/>
            <w:left w:val="none" w:sz="0" w:space="0" w:color="auto"/>
            <w:bottom w:val="none" w:sz="0" w:space="0" w:color="auto"/>
            <w:right w:val="none" w:sz="0" w:space="0" w:color="auto"/>
          </w:divBdr>
          <w:divsChild>
            <w:div w:id="774136898">
              <w:marLeft w:val="0"/>
              <w:marRight w:val="0"/>
              <w:marTop w:val="0"/>
              <w:marBottom w:val="0"/>
              <w:divBdr>
                <w:top w:val="none" w:sz="0" w:space="0" w:color="auto"/>
                <w:left w:val="none" w:sz="0" w:space="0" w:color="auto"/>
                <w:bottom w:val="none" w:sz="0" w:space="0" w:color="auto"/>
                <w:right w:val="none" w:sz="0" w:space="0" w:color="auto"/>
              </w:divBdr>
            </w:div>
          </w:divsChild>
        </w:div>
        <w:div w:id="1456560537">
          <w:marLeft w:val="0"/>
          <w:marRight w:val="0"/>
          <w:marTop w:val="0"/>
          <w:marBottom w:val="0"/>
          <w:divBdr>
            <w:top w:val="none" w:sz="0" w:space="0" w:color="auto"/>
            <w:left w:val="none" w:sz="0" w:space="0" w:color="auto"/>
            <w:bottom w:val="none" w:sz="0" w:space="0" w:color="auto"/>
            <w:right w:val="none" w:sz="0" w:space="0" w:color="auto"/>
          </w:divBdr>
          <w:divsChild>
            <w:div w:id="192964751">
              <w:marLeft w:val="0"/>
              <w:marRight w:val="0"/>
              <w:marTop w:val="0"/>
              <w:marBottom w:val="0"/>
              <w:divBdr>
                <w:top w:val="none" w:sz="0" w:space="0" w:color="auto"/>
                <w:left w:val="none" w:sz="0" w:space="0" w:color="auto"/>
                <w:bottom w:val="none" w:sz="0" w:space="0" w:color="auto"/>
                <w:right w:val="none" w:sz="0" w:space="0" w:color="auto"/>
              </w:divBdr>
            </w:div>
          </w:divsChild>
        </w:div>
        <w:div w:id="1456677479">
          <w:marLeft w:val="0"/>
          <w:marRight w:val="0"/>
          <w:marTop w:val="0"/>
          <w:marBottom w:val="0"/>
          <w:divBdr>
            <w:top w:val="none" w:sz="0" w:space="0" w:color="auto"/>
            <w:left w:val="none" w:sz="0" w:space="0" w:color="auto"/>
            <w:bottom w:val="none" w:sz="0" w:space="0" w:color="auto"/>
            <w:right w:val="none" w:sz="0" w:space="0" w:color="auto"/>
          </w:divBdr>
          <w:divsChild>
            <w:div w:id="309598302">
              <w:marLeft w:val="0"/>
              <w:marRight w:val="0"/>
              <w:marTop w:val="0"/>
              <w:marBottom w:val="0"/>
              <w:divBdr>
                <w:top w:val="none" w:sz="0" w:space="0" w:color="auto"/>
                <w:left w:val="none" w:sz="0" w:space="0" w:color="auto"/>
                <w:bottom w:val="none" w:sz="0" w:space="0" w:color="auto"/>
                <w:right w:val="none" w:sz="0" w:space="0" w:color="auto"/>
              </w:divBdr>
            </w:div>
          </w:divsChild>
        </w:div>
        <w:div w:id="1458838724">
          <w:marLeft w:val="0"/>
          <w:marRight w:val="0"/>
          <w:marTop w:val="0"/>
          <w:marBottom w:val="0"/>
          <w:divBdr>
            <w:top w:val="none" w:sz="0" w:space="0" w:color="auto"/>
            <w:left w:val="none" w:sz="0" w:space="0" w:color="auto"/>
            <w:bottom w:val="none" w:sz="0" w:space="0" w:color="auto"/>
            <w:right w:val="none" w:sz="0" w:space="0" w:color="auto"/>
          </w:divBdr>
          <w:divsChild>
            <w:div w:id="936867247">
              <w:marLeft w:val="0"/>
              <w:marRight w:val="0"/>
              <w:marTop w:val="0"/>
              <w:marBottom w:val="0"/>
              <w:divBdr>
                <w:top w:val="none" w:sz="0" w:space="0" w:color="auto"/>
                <w:left w:val="none" w:sz="0" w:space="0" w:color="auto"/>
                <w:bottom w:val="none" w:sz="0" w:space="0" w:color="auto"/>
                <w:right w:val="none" w:sz="0" w:space="0" w:color="auto"/>
              </w:divBdr>
            </w:div>
          </w:divsChild>
        </w:div>
        <w:div w:id="1459297858">
          <w:marLeft w:val="0"/>
          <w:marRight w:val="0"/>
          <w:marTop w:val="0"/>
          <w:marBottom w:val="0"/>
          <w:divBdr>
            <w:top w:val="none" w:sz="0" w:space="0" w:color="auto"/>
            <w:left w:val="none" w:sz="0" w:space="0" w:color="auto"/>
            <w:bottom w:val="none" w:sz="0" w:space="0" w:color="auto"/>
            <w:right w:val="none" w:sz="0" w:space="0" w:color="auto"/>
          </w:divBdr>
          <w:divsChild>
            <w:div w:id="1713311417">
              <w:marLeft w:val="0"/>
              <w:marRight w:val="0"/>
              <w:marTop w:val="0"/>
              <w:marBottom w:val="0"/>
              <w:divBdr>
                <w:top w:val="none" w:sz="0" w:space="0" w:color="auto"/>
                <w:left w:val="none" w:sz="0" w:space="0" w:color="auto"/>
                <w:bottom w:val="none" w:sz="0" w:space="0" w:color="auto"/>
                <w:right w:val="none" w:sz="0" w:space="0" w:color="auto"/>
              </w:divBdr>
            </w:div>
          </w:divsChild>
        </w:div>
        <w:div w:id="1460879014">
          <w:marLeft w:val="0"/>
          <w:marRight w:val="0"/>
          <w:marTop w:val="0"/>
          <w:marBottom w:val="0"/>
          <w:divBdr>
            <w:top w:val="none" w:sz="0" w:space="0" w:color="auto"/>
            <w:left w:val="none" w:sz="0" w:space="0" w:color="auto"/>
            <w:bottom w:val="none" w:sz="0" w:space="0" w:color="auto"/>
            <w:right w:val="none" w:sz="0" w:space="0" w:color="auto"/>
          </w:divBdr>
          <w:divsChild>
            <w:div w:id="1047602451">
              <w:marLeft w:val="0"/>
              <w:marRight w:val="0"/>
              <w:marTop w:val="0"/>
              <w:marBottom w:val="0"/>
              <w:divBdr>
                <w:top w:val="none" w:sz="0" w:space="0" w:color="auto"/>
                <w:left w:val="none" w:sz="0" w:space="0" w:color="auto"/>
                <w:bottom w:val="none" w:sz="0" w:space="0" w:color="auto"/>
                <w:right w:val="none" w:sz="0" w:space="0" w:color="auto"/>
              </w:divBdr>
            </w:div>
          </w:divsChild>
        </w:div>
        <w:div w:id="1461996601">
          <w:marLeft w:val="0"/>
          <w:marRight w:val="0"/>
          <w:marTop w:val="0"/>
          <w:marBottom w:val="0"/>
          <w:divBdr>
            <w:top w:val="none" w:sz="0" w:space="0" w:color="auto"/>
            <w:left w:val="none" w:sz="0" w:space="0" w:color="auto"/>
            <w:bottom w:val="none" w:sz="0" w:space="0" w:color="auto"/>
            <w:right w:val="none" w:sz="0" w:space="0" w:color="auto"/>
          </w:divBdr>
          <w:divsChild>
            <w:div w:id="1975133579">
              <w:marLeft w:val="0"/>
              <w:marRight w:val="0"/>
              <w:marTop w:val="0"/>
              <w:marBottom w:val="0"/>
              <w:divBdr>
                <w:top w:val="none" w:sz="0" w:space="0" w:color="auto"/>
                <w:left w:val="none" w:sz="0" w:space="0" w:color="auto"/>
                <w:bottom w:val="none" w:sz="0" w:space="0" w:color="auto"/>
                <w:right w:val="none" w:sz="0" w:space="0" w:color="auto"/>
              </w:divBdr>
            </w:div>
          </w:divsChild>
        </w:div>
        <w:div w:id="1462452895">
          <w:marLeft w:val="0"/>
          <w:marRight w:val="0"/>
          <w:marTop w:val="0"/>
          <w:marBottom w:val="0"/>
          <w:divBdr>
            <w:top w:val="none" w:sz="0" w:space="0" w:color="auto"/>
            <w:left w:val="none" w:sz="0" w:space="0" w:color="auto"/>
            <w:bottom w:val="none" w:sz="0" w:space="0" w:color="auto"/>
            <w:right w:val="none" w:sz="0" w:space="0" w:color="auto"/>
          </w:divBdr>
          <w:divsChild>
            <w:div w:id="825558552">
              <w:marLeft w:val="0"/>
              <w:marRight w:val="0"/>
              <w:marTop w:val="0"/>
              <w:marBottom w:val="0"/>
              <w:divBdr>
                <w:top w:val="none" w:sz="0" w:space="0" w:color="auto"/>
                <w:left w:val="none" w:sz="0" w:space="0" w:color="auto"/>
                <w:bottom w:val="none" w:sz="0" w:space="0" w:color="auto"/>
                <w:right w:val="none" w:sz="0" w:space="0" w:color="auto"/>
              </w:divBdr>
            </w:div>
          </w:divsChild>
        </w:div>
        <w:div w:id="1463117704">
          <w:marLeft w:val="0"/>
          <w:marRight w:val="0"/>
          <w:marTop w:val="0"/>
          <w:marBottom w:val="0"/>
          <w:divBdr>
            <w:top w:val="none" w:sz="0" w:space="0" w:color="auto"/>
            <w:left w:val="none" w:sz="0" w:space="0" w:color="auto"/>
            <w:bottom w:val="none" w:sz="0" w:space="0" w:color="auto"/>
            <w:right w:val="none" w:sz="0" w:space="0" w:color="auto"/>
          </w:divBdr>
          <w:divsChild>
            <w:div w:id="55469452">
              <w:marLeft w:val="0"/>
              <w:marRight w:val="0"/>
              <w:marTop w:val="0"/>
              <w:marBottom w:val="0"/>
              <w:divBdr>
                <w:top w:val="none" w:sz="0" w:space="0" w:color="auto"/>
                <w:left w:val="none" w:sz="0" w:space="0" w:color="auto"/>
                <w:bottom w:val="none" w:sz="0" w:space="0" w:color="auto"/>
                <w:right w:val="none" w:sz="0" w:space="0" w:color="auto"/>
              </w:divBdr>
            </w:div>
          </w:divsChild>
        </w:div>
        <w:div w:id="1464038715">
          <w:marLeft w:val="0"/>
          <w:marRight w:val="0"/>
          <w:marTop w:val="0"/>
          <w:marBottom w:val="0"/>
          <w:divBdr>
            <w:top w:val="none" w:sz="0" w:space="0" w:color="auto"/>
            <w:left w:val="none" w:sz="0" w:space="0" w:color="auto"/>
            <w:bottom w:val="none" w:sz="0" w:space="0" w:color="auto"/>
            <w:right w:val="none" w:sz="0" w:space="0" w:color="auto"/>
          </w:divBdr>
          <w:divsChild>
            <w:div w:id="1817067730">
              <w:marLeft w:val="0"/>
              <w:marRight w:val="0"/>
              <w:marTop w:val="0"/>
              <w:marBottom w:val="0"/>
              <w:divBdr>
                <w:top w:val="none" w:sz="0" w:space="0" w:color="auto"/>
                <w:left w:val="none" w:sz="0" w:space="0" w:color="auto"/>
                <w:bottom w:val="none" w:sz="0" w:space="0" w:color="auto"/>
                <w:right w:val="none" w:sz="0" w:space="0" w:color="auto"/>
              </w:divBdr>
            </w:div>
          </w:divsChild>
        </w:div>
        <w:div w:id="1470241932">
          <w:marLeft w:val="0"/>
          <w:marRight w:val="0"/>
          <w:marTop w:val="0"/>
          <w:marBottom w:val="0"/>
          <w:divBdr>
            <w:top w:val="none" w:sz="0" w:space="0" w:color="auto"/>
            <w:left w:val="none" w:sz="0" w:space="0" w:color="auto"/>
            <w:bottom w:val="none" w:sz="0" w:space="0" w:color="auto"/>
            <w:right w:val="none" w:sz="0" w:space="0" w:color="auto"/>
          </w:divBdr>
          <w:divsChild>
            <w:div w:id="2014531091">
              <w:marLeft w:val="0"/>
              <w:marRight w:val="0"/>
              <w:marTop w:val="0"/>
              <w:marBottom w:val="0"/>
              <w:divBdr>
                <w:top w:val="none" w:sz="0" w:space="0" w:color="auto"/>
                <w:left w:val="none" w:sz="0" w:space="0" w:color="auto"/>
                <w:bottom w:val="none" w:sz="0" w:space="0" w:color="auto"/>
                <w:right w:val="none" w:sz="0" w:space="0" w:color="auto"/>
              </w:divBdr>
            </w:div>
          </w:divsChild>
        </w:div>
        <w:div w:id="1470512122">
          <w:marLeft w:val="0"/>
          <w:marRight w:val="0"/>
          <w:marTop w:val="0"/>
          <w:marBottom w:val="0"/>
          <w:divBdr>
            <w:top w:val="none" w:sz="0" w:space="0" w:color="auto"/>
            <w:left w:val="none" w:sz="0" w:space="0" w:color="auto"/>
            <w:bottom w:val="none" w:sz="0" w:space="0" w:color="auto"/>
            <w:right w:val="none" w:sz="0" w:space="0" w:color="auto"/>
          </w:divBdr>
          <w:divsChild>
            <w:div w:id="1313678097">
              <w:marLeft w:val="0"/>
              <w:marRight w:val="0"/>
              <w:marTop w:val="0"/>
              <w:marBottom w:val="0"/>
              <w:divBdr>
                <w:top w:val="none" w:sz="0" w:space="0" w:color="auto"/>
                <w:left w:val="none" w:sz="0" w:space="0" w:color="auto"/>
                <w:bottom w:val="none" w:sz="0" w:space="0" w:color="auto"/>
                <w:right w:val="none" w:sz="0" w:space="0" w:color="auto"/>
              </w:divBdr>
            </w:div>
          </w:divsChild>
        </w:div>
        <w:div w:id="1471634464">
          <w:marLeft w:val="0"/>
          <w:marRight w:val="0"/>
          <w:marTop w:val="0"/>
          <w:marBottom w:val="0"/>
          <w:divBdr>
            <w:top w:val="none" w:sz="0" w:space="0" w:color="auto"/>
            <w:left w:val="none" w:sz="0" w:space="0" w:color="auto"/>
            <w:bottom w:val="none" w:sz="0" w:space="0" w:color="auto"/>
            <w:right w:val="none" w:sz="0" w:space="0" w:color="auto"/>
          </w:divBdr>
          <w:divsChild>
            <w:div w:id="1586305615">
              <w:marLeft w:val="0"/>
              <w:marRight w:val="0"/>
              <w:marTop w:val="0"/>
              <w:marBottom w:val="0"/>
              <w:divBdr>
                <w:top w:val="none" w:sz="0" w:space="0" w:color="auto"/>
                <w:left w:val="none" w:sz="0" w:space="0" w:color="auto"/>
                <w:bottom w:val="none" w:sz="0" w:space="0" w:color="auto"/>
                <w:right w:val="none" w:sz="0" w:space="0" w:color="auto"/>
              </w:divBdr>
            </w:div>
          </w:divsChild>
        </w:div>
        <w:div w:id="1474836842">
          <w:marLeft w:val="0"/>
          <w:marRight w:val="0"/>
          <w:marTop w:val="0"/>
          <w:marBottom w:val="0"/>
          <w:divBdr>
            <w:top w:val="none" w:sz="0" w:space="0" w:color="auto"/>
            <w:left w:val="none" w:sz="0" w:space="0" w:color="auto"/>
            <w:bottom w:val="none" w:sz="0" w:space="0" w:color="auto"/>
            <w:right w:val="none" w:sz="0" w:space="0" w:color="auto"/>
          </w:divBdr>
          <w:divsChild>
            <w:div w:id="681978955">
              <w:marLeft w:val="0"/>
              <w:marRight w:val="0"/>
              <w:marTop w:val="0"/>
              <w:marBottom w:val="0"/>
              <w:divBdr>
                <w:top w:val="none" w:sz="0" w:space="0" w:color="auto"/>
                <w:left w:val="none" w:sz="0" w:space="0" w:color="auto"/>
                <w:bottom w:val="none" w:sz="0" w:space="0" w:color="auto"/>
                <w:right w:val="none" w:sz="0" w:space="0" w:color="auto"/>
              </w:divBdr>
            </w:div>
          </w:divsChild>
        </w:div>
        <w:div w:id="1475372944">
          <w:marLeft w:val="0"/>
          <w:marRight w:val="0"/>
          <w:marTop w:val="0"/>
          <w:marBottom w:val="0"/>
          <w:divBdr>
            <w:top w:val="none" w:sz="0" w:space="0" w:color="auto"/>
            <w:left w:val="none" w:sz="0" w:space="0" w:color="auto"/>
            <w:bottom w:val="none" w:sz="0" w:space="0" w:color="auto"/>
            <w:right w:val="none" w:sz="0" w:space="0" w:color="auto"/>
          </w:divBdr>
          <w:divsChild>
            <w:div w:id="1072196791">
              <w:marLeft w:val="0"/>
              <w:marRight w:val="0"/>
              <w:marTop w:val="0"/>
              <w:marBottom w:val="0"/>
              <w:divBdr>
                <w:top w:val="none" w:sz="0" w:space="0" w:color="auto"/>
                <w:left w:val="none" w:sz="0" w:space="0" w:color="auto"/>
                <w:bottom w:val="none" w:sz="0" w:space="0" w:color="auto"/>
                <w:right w:val="none" w:sz="0" w:space="0" w:color="auto"/>
              </w:divBdr>
            </w:div>
          </w:divsChild>
        </w:div>
        <w:div w:id="1476292041">
          <w:marLeft w:val="0"/>
          <w:marRight w:val="0"/>
          <w:marTop w:val="0"/>
          <w:marBottom w:val="0"/>
          <w:divBdr>
            <w:top w:val="none" w:sz="0" w:space="0" w:color="auto"/>
            <w:left w:val="none" w:sz="0" w:space="0" w:color="auto"/>
            <w:bottom w:val="none" w:sz="0" w:space="0" w:color="auto"/>
            <w:right w:val="none" w:sz="0" w:space="0" w:color="auto"/>
          </w:divBdr>
          <w:divsChild>
            <w:div w:id="1041323356">
              <w:marLeft w:val="0"/>
              <w:marRight w:val="0"/>
              <w:marTop w:val="0"/>
              <w:marBottom w:val="0"/>
              <w:divBdr>
                <w:top w:val="none" w:sz="0" w:space="0" w:color="auto"/>
                <w:left w:val="none" w:sz="0" w:space="0" w:color="auto"/>
                <w:bottom w:val="none" w:sz="0" w:space="0" w:color="auto"/>
                <w:right w:val="none" w:sz="0" w:space="0" w:color="auto"/>
              </w:divBdr>
            </w:div>
          </w:divsChild>
        </w:div>
        <w:div w:id="1476409094">
          <w:marLeft w:val="0"/>
          <w:marRight w:val="0"/>
          <w:marTop w:val="0"/>
          <w:marBottom w:val="0"/>
          <w:divBdr>
            <w:top w:val="none" w:sz="0" w:space="0" w:color="auto"/>
            <w:left w:val="none" w:sz="0" w:space="0" w:color="auto"/>
            <w:bottom w:val="none" w:sz="0" w:space="0" w:color="auto"/>
            <w:right w:val="none" w:sz="0" w:space="0" w:color="auto"/>
          </w:divBdr>
          <w:divsChild>
            <w:div w:id="985932284">
              <w:marLeft w:val="0"/>
              <w:marRight w:val="0"/>
              <w:marTop w:val="0"/>
              <w:marBottom w:val="0"/>
              <w:divBdr>
                <w:top w:val="none" w:sz="0" w:space="0" w:color="auto"/>
                <w:left w:val="none" w:sz="0" w:space="0" w:color="auto"/>
                <w:bottom w:val="none" w:sz="0" w:space="0" w:color="auto"/>
                <w:right w:val="none" w:sz="0" w:space="0" w:color="auto"/>
              </w:divBdr>
            </w:div>
          </w:divsChild>
        </w:div>
        <w:div w:id="1479763411">
          <w:marLeft w:val="0"/>
          <w:marRight w:val="0"/>
          <w:marTop w:val="0"/>
          <w:marBottom w:val="0"/>
          <w:divBdr>
            <w:top w:val="none" w:sz="0" w:space="0" w:color="auto"/>
            <w:left w:val="none" w:sz="0" w:space="0" w:color="auto"/>
            <w:bottom w:val="none" w:sz="0" w:space="0" w:color="auto"/>
            <w:right w:val="none" w:sz="0" w:space="0" w:color="auto"/>
          </w:divBdr>
          <w:divsChild>
            <w:div w:id="1790052622">
              <w:marLeft w:val="0"/>
              <w:marRight w:val="0"/>
              <w:marTop w:val="0"/>
              <w:marBottom w:val="0"/>
              <w:divBdr>
                <w:top w:val="none" w:sz="0" w:space="0" w:color="auto"/>
                <w:left w:val="none" w:sz="0" w:space="0" w:color="auto"/>
                <w:bottom w:val="none" w:sz="0" w:space="0" w:color="auto"/>
                <w:right w:val="none" w:sz="0" w:space="0" w:color="auto"/>
              </w:divBdr>
            </w:div>
          </w:divsChild>
        </w:div>
        <w:div w:id="1483042276">
          <w:marLeft w:val="0"/>
          <w:marRight w:val="0"/>
          <w:marTop w:val="0"/>
          <w:marBottom w:val="0"/>
          <w:divBdr>
            <w:top w:val="none" w:sz="0" w:space="0" w:color="auto"/>
            <w:left w:val="none" w:sz="0" w:space="0" w:color="auto"/>
            <w:bottom w:val="none" w:sz="0" w:space="0" w:color="auto"/>
            <w:right w:val="none" w:sz="0" w:space="0" w:color="auto"/>
          </w:divBdr>
          <w:divsChild>
            <w:div w:id="1099982077">
              <w:marLeft w:val="0"/>
              <w:marRight w:val="0"/>
              <w:marTop w:val="0"/>
              <w:marBottom w:val="0"/>
              <w:divBdr>
                <w:top w:val="none" w:sz="0" w:space="0" w:color="auto"/>
                <w:left w:val="none" w:sz="0" w:space="0" w:color="auto"/>
                <w:bottom w:val="none" w:sz="0" w:space="0" w:color="auto"/>
                <w:right w:val="none" w:sz="0" w:space="0" w:color="auto"/>
              </w:divBdr>
            </w:div>
          </w:divsChild>
        </w:div>
        <w:div w:id="1488207641">
          <w:marLeft w:val="0"/>
          <w:marRight w:val="0"/>
          <w:marTop w:val="0"/>
          <w:marBottom w:val="0"/>
          <w:divBdr>
            <w:top w:val="none" w:sz="0" w:space="0" w:color="auto"/>
            <w:left w:val="none" w:sz="0" w:space="0" w:color="auto"/>
            <w:bottom w:val="none" w:sz="0" w:space="0" w:color="auto"/>
            <w:right w:val="none" w:sz="0" w:space="0" w:color="auto"/>
          </w:divBdr>
          <w:divsChild>
            <w:div w:id="1093160984">
              <w:marLeft w:val="0"/>
              <w:marRight w:val="0"/>
              <w:marTop w:val="0"/>
              <w:marBottom w:val="0"/>
              <w:divBdr>
                <w:top w:val="none" w:sz="0" w:space="0" w:color="auto"/>
                <w:left w:val="none" w:sz="0" w:space="0" w:color="auto"/>
                <w:bottom w:val="none" w:sz="0" w:space="0" w:color="auto"/>
                <w:right w:val="none" w:sz="0" w:space="0" w:color="auto"/>
              </w:divBdr>
            </w:div>
          </w:divsChild>
        </w:div>
        <w:div w:id="1491141747">
          <w:marLeft w:val="0"/>
          <w:marRight w:val="0"/>
          <w:marTop w:val="0"/>
          <w:marBottom w:val="0"/>
          <w:divBdr>
            <w:top w:val="none" w:sz="0" w:space="0" w:color="auto"/>
            <w:left w:val="none" w:sz="0" w:space="0" w:color="auto"/>
            <w:bottom w:val="none" w:sz="0" w:space="0" w:color="auto"/>
            <w:right w:val="none" w:sz="0" w:space="0" w:color="auto"/>
          </w:divBdr>
          <w:divsChild>
            <w:div w:id="1969430426">
              <w:marLeft w:val="0"/>
              <w:marRight w:val="0"/>
              <w:marTop w:val="0"/>
              <w:marBottom w:val="0"/>
              <w:divBdr>
                <w:top w:val="none" w:sz="0" w:space="0" w:color="auto"/>
                <w:left w:val="none" w:sz="0" w:space="0" w:color="auto"/>
                <w:bottom w:val="none" w:sz="0" w:space="0" w:color="auto"/>
                <w:right w:val="none" w:sz="0" w:space="0" w:color="auto"/>
              </w:divBdr>
            </w:div>
          </w:divsChild>
        </w:div>
        <w:div w:id="1494831317">
          <w:marLeft w:val="0"/>
          <w:marRight w:val="0"/>
          <w:marTop w:val="0"/>
          <w:marBottom w:val="0"/>
          <w:divBdr>
            <w:top w:val="none" w:sz="0" w:space="0" w:color="auto"/>
            <w:left w:val="none" w:sz="0" w:space="0" w:color="auto"/>
            <w:bottom w:val="none" w:sz="0" w:space="0" w:color="auto"/>
            <w:right w:val="none" w:sz="0" w:space="0" w:color="auto"/>
          </w:divBdr>
          <w:divsChild>
            <w:div w:id="613558457">
              <w:marLeft w:val="0"/>
              <w:marRight w:val="0"/>
              <w:marTop w:val="0"/>
              <w:marBottom w:val="0"/>
              <w:divBdr>
                <w:top w:val="none" w:sz="0" w:space="0" w:color="auto"/>
                <w:left w:val="none" w:sz="0" w:space="0" w:color="auto"/>
                <w:bottom w:val="none" w:sz="0" w:space="0" w:color="auto"/>
                <w:right w:val="none" w:sz="0" w:space="0" w:color="auto"/>
              </w:divBdr>
            </w:div>
          </w:divsChild>
        </w:div>
        <w:div w:id="1494836225">
          <w:marLeft w:val="0"/>
          <w:marRight w:val="0"/>
          <w:marTop w:val="0"/>
          <w:marBottom w:val="0"/>
          <w:divBdr>
            <w:top w:val="none" w:sz="0" w:space="0" w:color="auto"/>
            <w:left w:val="none" w:sz="0" w:space="0" w:color="auto"/>
            <w:bottom w:val="none" w:sz="0" w:space="0" w:color="auto"/>
            <w:right w:val="none" w:sz="0" w:space="0" w:color="auto"/>
          </w:divBdr>
          <w:divsChild>
            <w:div w:id="1869367243">
              <w:marLeft w:val="0"/>
              <w:marRight w:val="0"/>
              <w:marTop w:val="0"/>
              <w:marBottom w:val="0"/>
              <w:divBdr>
                <w:top w:val="none" w:sz="0" w:space="0" w:color="auto"/>
                <w:left w:val="none" w:sz="0" w:space="0" w:color="auto"/>
                <w:bottom w:val="none" w:sz="0" w:space="0" w:color="auto"/>
                <w:right w:val="none" w:sz="0" w:space="0" w:color="auto"/>
              </w:divBdr>
            </w:div>
          </w:divsChild>
        </w:div>
        <w:div w:id="1498376570">
          <w:marLeft w:val="0"/>
          <w:marRight w:val="0"/>
          <w:marTop w:val="0"/>
          <w:marBottom w:val="0"/>
          <w:divBdr>
            <w:top w:val="none" w:sz="0" w:space="0" w:color="auto"/>
            <w:left w:val="none" w:sz="0" w:space="0" w:color="auto"/>
            <w:bottom w:val="none" w:sz="0" w:space="0" w:color="auto"/>
            <w:right w:val="none" w:sz="0" w:space="0" w:color="auto"/>
          </w:divBdr>
          <w:divsChild>
            <w:div w:id="345523227">
              <w:marLeft w:val="0"/>
              <w:marRight w:val="0"/>
              <w:marTop w:val="0"/>
              <w:marBottom w:val="0"/>
              <w:divBdr>
                <w:top w:val="none" w:sz="0" w:space="0" w:color="auto"/>
                <w:left w:val="none" w:sz="0" w:space="0" w:color="auto"/>
                <w:bottom w:val="none" w:sz="0" w:space="0" w:color="auto"/>
                <w:right w:val="none" w:sz="0" w:space="0" w:color="auto"/>
              </w:divBdr>
            </w:div>
          </w:divsChild>
        </w:div>
        <w:div w:id="1501118397">
          <w:marLeft w:val="0"/>
          <w:marRight w:val="0"/>
          <w:marTop w:val="0"/>
          <w:marBottom w:val="0"/>
          <w:divBdr>
            <w:top w:val="none" w:sz="0" w:space="0" w:color="auto"/>
            <w:left w:val="none" w:sz="0" w:space="0" w:color="auto"/>
            <w:bottom w:val="none" w:sz="0" w:space="0" w:color="auto"/>
            <w:right w:val="none" w:sz="0" w:space="0" w:color="auto"/>
          </w:divBdr>
          <w:divsChild>
            <w:div w:id="117069175">
              <w:marLeft w:val="0"/>
              <w:marRight w:val="0"/>
              <w:marTop w:val="0"/>
              <w:marBottom w:val="0"/>
              <w:divBdr>
                <w:top w:val="none" w:sz="0" w:space="0" w:color="auto"/>
                <w:left w:val="none" w:sz="0" w:space="0" w:color="auto"/>
                <w:bottom w:val="none" w:sz="0" w:space="0" w:color="auto"/>
                <w:right w:val="none" w:sz="0" w:space="0" w:color="auto"/>
              </w:divBdr>
            </w:div>
          </w:divsChild>
        </w:div>
        <w:div w:id="1502044125">
          <w:marLeft w:val="0"/>
          <w:marRight w:val="0"/>
          <w:marTop w:val="0"/>
          <w:marBottom w:val="0"/>
          <w:divBdr>
            <w:top w:val="none" w:sz="0" w:space="0" w:color="auto"/>
            <w:left w:val="none" w:sz="0" w:space="0" w:color="auto"/>
            <w:bottom w:val="none" w:sz="0" w:space="0" w:color="auto"/>
            <w:right w:val="none" w:sz="0" w:space="0" w:color="auto"/>
          </w:divBdr>
          <w:divsChild>
            <w:div w:id="138740271">
              <w:marLeft w:val="0"/>
              <w:marRight w:val="0"/>
              <w:marTop w:val="0"/>
              <w:marBottom w:val="0"/>
              <w:divBdr>
                <w:top w:val="none" w:sz="0" w:space="0" w:color="auto"/>
                <w:left w:val="none" w:sz="0" w:space="0" w:color="auto"/>
                <w:bottom w:val="none" w:sz="0" w:space="0" w:color="auto"/>
                <w:right w:val="none" w:sz="0" w:space="0" w:color="auto"/>
              </w:divBdr>
            </w:div>
          </w:divsChild>
        </w:div>
        <w:div w:id="1502308109">
          <w:marLeft w:val="0"/>
          <w:marRight w:val="0"/>
          <w:marTop w:val="0"/>
          <w:marBottom w:val="0"/>
          <w:divBdr>
            <w:top w:val="none" w:sz="0" w:space="0" w:color="auto"/>
            <w:left w:val="none" w:sz="0" w:space="0" w:color="auto"/>
            <w:bottom w:val="none" w:sz="0" w:space="0" w:color="auto"/>
            <w:right w:val="none" w:sz="0" w:space="0" w:color="auto"/>
          </w:divBdr>
          <w:divsChild>
            <w:div w:id="3868832">
              <w:marLeft w:val="0"/>
              <w:marRight w:val="0"/>
              <w:marTop w:val="0"/>
              <w:marBottom w:val="0"/>
              <w:divBdr>
                <w:top w:val="none" w:sz="0" w:space="0" w:color="auto"/>
                <w:left w:val="none" w:sz="0" w:space="0" w:color="auto"/>
                <w:bottom w:val="none" w:sz="0" w:space="0" w:color="auto"/>
                <w:right w:val="none" w:sz="0" w:space="0" w:color="auto"/>
              </w:divBdr>
            </w:div>
          </w:divsChild>
        </w:div>
        <w:div w:id="1505390039">
          <w:marLeft w:val="0"/>
          <w:marRight w:val="0"/>
          <w:marTop w:val="0"/>
          <w:marBottom w:val="0"/>
          <w:divBdr>
            <w:top w:val="none" w:sz="0" w:space="0" w:color="auto"/>
            <w:left w:val="none" w:sz="0" w:space="0" w:color="auto"/>
            <w:bottom w:val="none" w:sz="0" w:space="0" w:color="auto"/>
            <w:right w:val="none" w:sz="0" w:space="0" w:color="auto"/>
          </w:divBdr>
          <w:divsChild>
            <w:div w:id="241988618">
              <w:marLeft w:val="0"/>
              <w:marRight w:val="0"/>
              <w:marTop w:val="0"/>
              <w:marBottom w:val="0"/>
              <w:divBdr>
                <w:top w:val="none" w:sz="0" w:space="0" w:color="auto"/>
                <w:left w:val="none" w:sz="0" w:space="0" w:color="auto"/>
                <w:bottom w:val="none" w:sz="0" w:space="0" w:color="auto"/>
                <w:right w:val="none" w:sz="0" w:space="0" w:color="auto"/>
              </w:divBdr>
            </w:div>
          </w:divsChild>
        </w:div>
        <w:div w:id="1506242054">
          <w:marLeft w:val="0"/>
          <w:marRight w:val="0"/>
          <w:marTop w:val="0"/>
          <w:marBottom w:val="0"/>
          <w:divBdr>
            <w:top w:val="none" w:sz="0" w:space="0" w:color="auto"/>
            <w:left w:val="none" w:sz="0" w:space="0" w:color="auto"/>
            <w:bottom w:val="none" w:sz="0" w:space="0" w:color="auto"/>
            <w:right w:val="none" w:sz="0" w:space="0" w:color="auto"/>
          </w:divBdr>
          <w:divsChild>
            <w:div w:id="61756711">
              <w:marLeft w:val="0"/>
              <w:marRight w:val="0"/>
              <w:marTop w:val="0"/>
              <w:marBottom w:val="0"/>
              <w:divBdr>
                <w:top w:val="none" w:sz="0" w:space="0" w:color="auto"/>
                <w:left w:val="none" w:sz="0" w:space="0" w:color="auto"/>
                <w:bottom w:val="none" w:sz="0" w:space="0" w:color="auto"/>
                <w:right w:val="none" w:sz="0" w:space="0" w:color="auto"/>
              </w:divBdr>
            </w:div>
          </w:divsChild>
        </w:div>
        <w:div w:id="1508321918">
          <w:marLeft w:val="0"/>
          <w:marRight w:val="0"/>
          <w:marTop w:val="0"/>
          <w:marBottom w:val="0"/>
          <w:divBdr>
            <w:top w:val="none" w:sz="0" w:space="0" w:color="auto"/>
            <w:left w:val="none" w:sz="0" w:space="0" w:color="auto"/>
            <w:bottom w:val="none" w:sz="0" w:space="0" w:color="auto"/>
            <w:right w:val="none" w:sz="0" w:space="0" w:color="auto"/>
          </w:divBdr>
          <w:divsChild>
            <w:div w:id="1744328319">
              <w:marLeft w:val="0"/>
              <w:marRight w:val="0"/>
              <w:marTop w:val="0"/>
              <w:marBottom w:val="0"/>
              <w:divBdr>
                <w:top w:val="none" w:sz="0" w:space="0" w:color="auto"/>
                <w:left w:val="none" w:sz="0" w:space="0" w:color="auto"/>
                <w:bottom w:val="none" w:sz="0" w:space="0" w:color="auto"/>
                <w:right w:val="none" w:sz="0" w:space="0" w:color="auto"/>
              </w:divBdr>
            </w:div>
          </w:divsChild>
        </w:div>
        <w:div w:id="1509908147">
          <w:marLeft w:val="0"/>
          <w:marRight w:val="0"/>
          <w:marTop w:val="0"/>
          <w:marBottom w:val="0"/>
          <w:divBdr>
            <w:top w:val="none" w:sz="0" w:space="0" w:color="auto"/>
            <w:left w:val="none" w:sz="0" w:space="0" w:color="auto"/>
            <w:bottom w:val="none" w:sz="0" w:space="0" w:color="auto"/>
            <w:right w:val="none" w:sz="0" w:space="0" w:color="auto"/>
          </w:divBdr>
          <w:divsChild>
            <w:div w:id="903295812">
              <w:marLeft w:val="0"/>
              <w:marRight w:val="0"/>
              <w:marTop w:val="0"/>
              <w:marBottom w:val="0"/>
              <w:divBdr>
                <w:top w:val="none" w:sz="0" w:space="0" w:color="auto"/>
                <w:left w:val="none" w:sz="0" w:space="0" w:color="auto"/>
                <w:bottom w:val="none" w:sz="0" w:space="0" w:color="auto"/>
                <w:right w:val="none" w:sz="0" w:space="0" w:color="auto"/>
              </w:divBdr>
            </w:div>
          </w:divsChild>
        </w:div>
        <w:div w:id="1512064475">
          <w:marLeft w:val="0"/>
          <w:marRight w:val="0"/>
          <w:marTop w:val="0"/>
          <w:marBottom w:val="0"/>
          <w:divBdr>
            <w:top w:val="none" w:sz="0" w:space="0" w:color="auto"/>
            <w:left w:val="none" w:sz="0" w:space="0" w:color="auto"/>
            <w:bottom w:val="none" w:sz="0" w:space="0" w:color="auto"/>
            <w:right w:val="none" w:sz="0" w:space="0" w:color="auto"/>
          </w:divBdr>
          <w:divsChild>
            <w:div w:id="399179902">
              <w:marLeft w:val="0"/>
              <w:marRight w:val="0"/>
              <w:marTop w:val="0"/>
              <w:marBottom w:val="0"/>
              <w:divBdr>
                <w:top w:val="none" w:sz="0" w:space="0" w:color="auto"/>
                <w:left w:val="none" w:sz="0" w:space="0" w:color="auto"/>
                <w:bottom w:val="none" w:sz="0" w:space="0" w:color="auto"/>
                <w:right w:val="none" w:sz="0" w:space="0" w:color="auto"/>
              </w:divBdr>
            </w:div>
          </w:divsChild>
        </w:div>
        <w:div w:id="1513059464">
          <w:marLeft w:val="0"/>
          <w:marRight w:val="0"/>
          <w:marTop w:val="0"/>
          <w:marBottom w:val="0"/>
          <w:divBdr>
            <w:top w:val="none" w:sz="0" w:space="0" w:color="auto"/>
            <w:left w:val="none" w:sz="0" w:space="0" w:color="auto"/>
            <w:bottom w:val="none" w:sz="0" w:space="0" w:color="auto"/>
            <w:right w:val="none" w:sz="0" w:space="0" w:color="auto"/>
          </w:divBdr>
          <w:divsChild>
            <w:div w:id="616958562">
              <w:marLeft w:val="0"/>
              <w:marRight w:val="0"/>
              <w:marTop w:val="0"/>
              <w:marBottom w:val="0"/>
              <w:divBdr>
                <w:top w:val="none" w:sz="0" w:space="0" w:color="auto"/>
                <w:left w:val="none" w:sz="0" w:space="0" w:color="auto"/>
                <w:bottom w:val="none" w:sz="0" w:space="0" w:color="auto"/>
                <w:right w:val="none" w:sz="0" w:space="0" w:color="auto"/>
              </w:divBdr>
            </w:div>
          </w:divsChild>
        </w:div>
        <w:div w:id="1513959762">
          <w:marLeft w:val="0"/>
          <w:marRight w:val="0"/>
          <w:marTop w:val="0"/>
          <w:marBottom w:val="0"/>
          <w:divBdr>
            <w:top w:val="none" w:sz="0" w:space="0" w:color="auto"/>
            <w:left w:val="none" w:sz="0" w:space="0" w:color="auto"/>
            <w:bottom w:val="none" w:sz="0" w:space="0" w:color="auto"/>
            <w:right w:val="none" w:sz="0" w:space="0" w:color="auto"/>
          </w:divBdr>
          <w:divsChild>
            <w:div w:id="2102949485">
              <w:marLeft w:val="0"/>
              <w:marRight w:val="0"/>
              <w:marTop w:val="0"/>
              <w:marBottom w:val="0"/>
              <w:divBdr>
                <w:top w:val="none" w:sz="0" w:space="0" w:color="auto"/>
                <w:left w:val="none" w:sz="0" w:space="0" w:color="auto"/>
                <w:bottom w:val="none" w:sz="0" w:space="0" w:color="auto"/>
                <w:right w:val="none" w:sz="0" w:space="0" w:color="auto"/>
              </w:divBdr>
            </w:div>
          </w:divsChild>
        </w:div>
        <w:div w:id="1514690611">
          <w:marLeft w:val="0"/>
          <w:marRight w:val="0"/>
          <w:marTop w:val="0"/>
          <w:marBottom w:val="0"/>
          <w:divBdr>
            <w:top w:val="none" w:sz="0" w:space="0" w:color="auto"/>
            <w:left w:val="none" w:sz="0" w:space="0" w:color="auto"/>
            <w:bottom w:val="none" w:sz="0" w:space="0" w:color="auto"/>
            <w:right w:val="none" w:sz="0" w:space="0" w:color="auto"/>
          </w:divBdr>
          <w:divsChild>
            <w:div w:id="1815103031">
              <w:marLeft w:val="0"/>
              <w:marRight w:val="0"/>
              <w:marTop w:val="0"/>
              <w:marBottom w:val="0"/>
              <w:divBdr>
                <w:top w:val="none" w:sz="0" w:space="0" w:color="auto"/>
                <w:left w:val="none" w:sz="0" w:space="0" w:color="auto"/>
                <w:bottom w:val="none" w:sz="0" w:space="0" w:color="auto"/>
                <w:right w:val="none" w:sz="0" w:space="0" w:color="auto"/>
              </w:divBdr>
            </w:div>
          </w:divsChild>
        </w:div>
        <w:div w:id="1516309563">
          <w:marLeft w:val="0"/>
          <w:marRight w:val="0"/>
          <w:marTop w:val="0"/>
          <w:marBottom w:val="0"/>
          <w:divBdr>
            <w:top w:val="none" w:sz="0" w:space="0" w:color="auto"/>
            <w:left w:val="none" w:sz="0" w:space="0" w:color="auto"/>
            <w:bottom w:val="none" w:sz="0" w:space="0" w:color="auto"/>
            <w:right w:val="none" w:sz="0" w:space="0" w:color="auto"/>
          </w:divBdr>
          <w:divsChild>
            <w:div w:id="976956705">
              <w:marLeft w:val="0"/>
              <w:marRight w:val="0"/>
              <w:marTop w:val="0"/>
              <w:marBottom w:val="0"/>
              <w:divBdr>
                <w:top w:val="none" w:sz="0" w:space="0" w:color="auto"/>
                <w:left w:val="none" w:sz="0" w:space="0" w:color="auto"/>
                <w:bottom w:val="none" w:sz="0" w:space="0" w:color="auto"/>
                <w:right w:val="none" w:sz="0" w:space="0" w:color="auto"/>
              </w:divBdr>
            </w:div>
          </w:divsChild>
        </w:div>
        <w:div w:id="1516647769">
          <w:marLeft w:val="0"/>
          <w:marRight w:val="0"/>
          <w:marTop w:val="0"/>
          <w:marBottom w:val="0"/>
          <w:divBdr>
            <w:top w:val="none" w:sz="0" w:space="0" w:color="auto"/>
            <w:left w:val="none" w:sz="0" w:space="0" w:color="auto"/>
            <w:bottom w:val="none" w:sz="0" w:space="0" w:color="auto"/>
            <w:right w:val="none" w:sz="0" w:space="0" w:color="auto"/>
          </w:divBdr>
          <w:divsChild>
            <w:div w:id="1844976704">
              <w:marLeft w:val="0"/>
              <w:marRight w:val="0"/>
              <w:marTop w:val="0"/>
              <w:marBottom w:val="0"/>
              <w:divBdr>
                <w:top w:val="none" w:sz="0" w:space="0" w:color="auto"/>
                <w:left w:val="none" w:sz="0" w:space="0" w:color="auto"/>
                <w:bottom w:val="none" w:sz="0" w:space="0" w:color="auto"/>
                <w:right w:val="none" w:sz="0" w:space="0" w:color="auto"/>
              </w:divBdr>
            </w:div>
          </w:divsChild>
        </w:div>
        <w:div w:id="1517574157">
          <w:marLeft w:val="0"/>
          <w:marRight w:val="0"/>
          <w:marTop w:val="0"/>
          <w:marBottom w:val="0"/>
          <w:divBdr>
            <w:top w:val="none" w:sz="0" w:space="0" w:color="auto"/>
            <w:left w:val="none" w:sz="0" w:space="0" w:color="auto"/>
            <w:bottom w:val="none" w:sz="0" w:space="0" w:color="auto"/>
            <w:right w:val="none" w:sz="0" w:space="0" w:color="auto"/>
          </w:divBdr>
          <w:divsChild>
            <w:div w:id="2099670913">
              <w:marLeft w:val="0"/>
              <w:marRight w:val="0"/>
              <w:marTop w:val="0"/>
              <w:marBottom w:val="0"/>
              <w:divBdr>
                <w:top w:val="none" w:sz="0" w:space="0" w:color="auto"/>
                <w:left w:val="none" w:sz="0" w:space="0" w:color="auto"/>
                <w:bottom w:val="none" w:sz="0" w:space="0" w:color="auto"/>
                <w:right w:val="none" w:sz="0" w:space="0" w:color="auto"/>
              </w:divBdr>
            </w:div>
          </w:divsChild>
        </w:div>
        <w:div w:id="1518883283">
          <w:marLeft w:val="0"/>
          <w:marRight w:val="0"/>
          <w:marTop w:val="0"/>
          <w:marBottom w:val="0"/>
          <w:divBdr>
            <w:top w:val="none" w:sz="0" w:space="0" w:color="auto"/>
            <w:left w:val="none" w:sz="0" w:space="0" w:color="auto"/>
            <w:bottom w:val="none" w:sz="0" w:space="0" w:color="auto"/>
            <w:right w:val="none" w:sz="0" w:space="0" w:color="auto"/>
          </w:divBdr>
          <w:divsChild>
            <w:div w:id="1674987524">
              <w:marLeft w:val="0"/>
              <w:marRight w:val="0"/>
              <w:marTop w:val="0"/>
              <w:marBottom w:val="0"/>
              <w:divBdr>
                <w:top w:val="none" w:sz="0" w:space="0" w:color="auto"/>
                <w:left w:val="none" w:sz="0" w:space="0" w:color="auto"/>
                <w:bottom w:val="none" w:sz="0" w:space="0" w:color="auto"/>
                <w:right w:val="none" w:sz="0" w:space="0" w:color="auto"/>
              </w:divBdr>
            </w:div>
          </w:divsChild>
        </w:div>
        <w:div w:id="1518930367">
          <w:marLeft w:val="0"/>
          <w:marRight w:val="0"/>
          <w:marTop w:val="0"/>
          <w:marBottom w:val="0"/>
          <w:divBdr>
            <w:top w:val="none" w:sz="0" w:space="0" w:color="auto"/>
            <w:left w:val="none" w:sz="0" w:space="0" w:color="auto"/>
            <w:bottom w:val="none" w:sz="0" w:space="0" w:color="auto"/>
            <w:right w:val="none" w:sz="0" w:space="0" w:color="auto"/>
          </w:divBdr>
          <w:divsChild>
            <w:div w:id="2047639380">
              <w:marLeft w:val="0"/>
              <w:marRight w:val="0"/>
              <w:marTop w:val="0"/>
              <w:marBottom w:val="0"/>
              <w:divBdr>
                <w:top w:val="none" w:sz="0" w:space="0" w:color="auto"/>
                <w:left w:val="none" w:sz="0" w:space="0" w:color="auto"/>
                <w:bottom w:val="none" w:sz="0" w:space="0" w:color="auto"/>
                <w:right w:val="none" w:sz="0" w:space="0" w:color="auto"/>
              </w:divBdr>
            </w:div>
          </w:divsChild>
        </w:div>
        <w:div w:id="1523085309">
          <w:marLeft w:val="0"/>
          <w:marRight w:val="0"/>
          <w:marTop w:val="0"/>
          <w:marBottom w:val="0"/>
          <w:divBdr>
            <w:top w:val="none" w:sz="0" w:space="0" w:color="auto"/>
            <w:left w:val="none" w:sz="0" w:space="0" w:color="auto"/>
            <w:bottom w:val="none" w:sz="0" w:space="0" w:color="auto"/>
            <w:right w:val="none" w:sz="0" w:space="0" w:color="auto"/>
          </w:divBdr>
          <w:divsChild>
            <w:div w:id="1242562636">
              <w:marLeft w:val="0"/>
              <w:marRight w:val="0"/>
              <w:marTop w:val="0"/>
              <w:marBottom w:val="0"/>
              <w:divBdr>
                <w:top w:val="none" w:sz="0" w:space="0" w:color="auto"/>
                <w:left w:val="none" w:sz="0" w:space="0" w:color="auto"/>
                <w:bottom w:val="none" w:sz="0" w:space="0" w:color="auto"/>
                <w:right w:val="none" w:sz="0" w:space="0" w:color="auto"/>
              </w:divBdr>
            </w:div>
          </w:divsChild>
        </w:div>
        <w:div w:id="1524712521">
          <w:marLeft w:val="0"/>
          <w:marRight w:val="0"/>
          <w:marTop w:val="0"/>
          <w:marBottom w:val="0"/>
          <w:divBdr>
            <w:top w:val="none" w:sz="0" w:space="0" w:color="auto"/>
            <w:left w:val="none" w:sz="0" w:space="0" w:color="auto"/>
            <w:bottom w:val="none" w:sz="0" w:space="0" w:color="auto"/>
            <w:right w:val="none" w:sz="0" w:space="0" w:color="auto"/>
          </w:divBdr>
          <w:divsChild>
            <w:div w:id="2062633411">
              <w:marLeft w:val="0"/>
              <w:marRight w:val="0"/>
              <w:marTop w:val="0"/>
              <w:marBottom w:val="0"/>
              <w:divBdr>
                <w:top w:val="none" w:sz="0" w:space="0" w:color="auto"/>
                <w:left w:val="none" w:sz="0" w:space="0" w:color="auto"/>
                <w:bottom w:val="none" w:sz="0" w:space="0" w:color="auto"/>
                <w:right w:val="none" w:sz="0" w:space="0" w:color="auto"/>
              </w:divBdr>
            </w:div>
          </w:divsChild>
        </w:div>
        <w:div w:id="1525559387">
          <w:marLeft w:val="0"/>
          <w:marRight w:val="0"/>
          <w:marTop w:val="0"/>
          <w:marBottom w:val="0"/>
          <w:divBdr>
            <w:top w:val="none" w:sz="0" w:space="0" w:color="auto"/>
            <w:left w:val="none" w:sz="0" w:space="0" w:color="auto"/>
            <w:bottom w:val="none" w:sz="0" w:space="0" w:color="auto"/>
            <w:right w:val="none" w:sz="0" w:space="0" w:color="auto"/>
          </w:divBdr>
          <w:divsChild>
            <w:div w:id="1872962018">
              <w:marLeft w:val="0"/>
              <w:marRight w:val="0"/>
              <w:marTop w:val="0"/>
              <w:marBottom w:val="0"/>
              <w:divBdr>
                <w:top w:val="none" w:sz="0" w:space="0" w:color="auto"/>
                <w:left w:val="none" w:sz="0" w:space="0" w:color="auto"/>
                <w:bottom w:val="none" w:sz="0" w:space="0" w:color="auto"/>
                <w:right w:val="none" w:sz="0" w:space="0" w:color="auto"/>
              </w:divBdr>
            </w:div>
          </w:divsChild>
        </w:div>
        <w:div w:id="1525829459">
          <w:marLeft w:val="0"/>
          <w:marRight w:val="0"/>
          <w:marTop w:val="0"/>
          <w:marBottom w:val="0"/>
          <w:divBdr>
            <w:top w:val="none" w:sz="0" w:space="0" w:color="auto"/>
            <w:left w:val="none" w:sz="0" w:space="0" w:color="auto"/>
            <w:bottom w:val="none" w:sz="0" w:space="0" w:color="auto"/>
            <w:right w:val="none" w:sz="0" w:space="0" w:color="auto"/>
          </w:divBdr>
          <w:divsChild>
            <w:div w:id="707798568">
              <w:marLeft w:val="0"/>
              <w:marRight w:val="0"/>
              <w:marTop w:val="0"/>
              <w:marBottom w:val="0"/>
              <w:divBdr>
                <w:top w:val="none" w:sz="0" w:space="0" w:color="auto"/>
                <w:left w:val="none" w:sz="0" w:space="0" w:color="auto"/>
                <w:bottom w:val="none" w:sz="0" w:space="0" w:color="auto"/>
                <w:right w:val="none" w:sz="0" w:space="0" w:color="auto"/>
              </w:divBdr>
            </w:div>
          </w:divsChild>
        </w:div>
        <w:div w:id="1526213708">
          <w:marLeft w:val="0"/>
          <w:marRight w:val="0"/>
          <w:marTop w:val="0"/>
          <w:marBottom w:val="0"/>
          <w:divBdr>
            <w:top w:val="none" w:sz="0" w:space="0" w:color="auto"/>
            <w:left w:val="none" w:sz="0" w:space="0" w:color="auto"/>
            <w:bottom w:val="none" w:sz="0" w:space="0" w:color="auto"/>
            <w:right w:val="none" w:sz="0" w:space="0" w:color="auto"/>
          </w:divBdr>
          <w:divsChild>
            <w:div w:id="908419645">
              <w:marLeft w:val="0"/>
              <w:marRight w:val="0"/>
              <w:marTop w:val="0"/>
              <w:marBottom w:val="0"/>
              <w:divBdr>
                <w:top w:val="none" w:sz="0" w:space="0" w:color="auto"/>
                <w:left w:val="none" w:sz="0" w:space="0" w:color="auto"/>
                <w:bottom w:val="none" w:sz="0" w:space="0" w:color="auto"/>
                <w:right w:val="none" w:sz="0" w:space="0" w:color="auto"/>
              </w:divBdr>
            </w:div>
          </w:divsChild>
        </w:div>
        <w:div w:id="1526669851">
          <w:marLeft w:val="0"/>
          <w:marRight w:val="0"/>
          <w:marTop w:val="0"/>
          <w:marBottom w:val="0"/>
          <w:divBdr>
            <w:top w:val="none" w:sz="0" w:space="0" w:color="auto"/>
            <w:left w:val="none" w:sz="0" w:space="0" w:color="auto"/>
            <w:bottom w:val="none" w:sz="0" w:space="0" w:color="auto"/>
            <w:right w:val="none" w:sz="0" w:space="0" w:color="auto"/>
          </w:divBdr>
          <w:divsChild>
            <w:div w:id="1447583496">
              <w:marLeft w:val="0"/>
              <w:marRight w:val="0"/>
              <w:marTop w:val="0"/>
              <w:marBottom w:val="0"/>
              <w:divBdr>
                <w:top w:val="none" w:sz="0" w:space="0" w:color="auto"/>
                <w:left w:val="none" w:sz="0" w:space="0" w:color="auto"/>
                <w:bottom w:val="none" w:sz="0" w:space="0" w:color="auto"/>
                <w:right w:val="none" w:sz="0" w:space="0" w:color="auto"/>
              </w:divBdr>
            </w:div>
          </w:divsChild>
        </w:div>
        <w:div w:id="1527403533">
          <w:marLeft w:val="0"/>
          <w:marRight w:val="0"/>
          <w:marTop w:val="0"/>
          <w:marBottom w:val="0"/>
          <w:divBdr>
            <w:top w:val="none" w:sz="0" w:space="0" w:color="auto"/>
            <w:left w:val="none" w:sz="0" w:space="0" w:color="auto"/>
            <w:bottom w:val="none" w:sz="0" w:space="0" w:color="auto"/>
            <w:right w:val="none" w:sz="0" w:space="0" w:color="auto"/>
          </w:divBdr>
          <w:divsChild>
            <w:div w:id="348068875">
              <w:marLeft w:val="0"/>
              <w:marRight w:val="0"/>
              <w:marTop w:val="0"/>
              <w:marBottom w:val="0"/>
              <w:divBdr>
                <w:top w:val="none" w:sz="0" w:space="0" w:color="auto"/>
                <w:left w:val="none" w:sz="0" w:space="0" w:color="auto"/>
                <w:bottom w:val="none" w:sz="0" w:space="0" w:color="auto"/>
                <w:right w:val="none" w:sz="0" w:space="0" w:color="auto"/>
              </w:divBdr>
            </w:div>
          </w:divsChild>
        </w:div>
        <w:div w:id="1527449001">
          <w:marLeft w:val="0"/>
          <w:marRight w:val="0"/>
          <w:marTop w:val="0"/>
          <w:marBottom w:val="0"/>
          <w:divBdr>
            <w:top w:val="none" w:sz="0" w:space="0" w:color="auto"/>
            <w:left w:val="none" w:sz="0" w:space="0" w:color="auto"/>
            <w:bottom w:val="none" w:sz="0" w:space="0" w:color="auto"/>
            <w:right w:val="none" w:sz="0" w:space="0" w:color="auto"/>
          </w:divBdr>
          <w:divsChild>
            <w:div w:id="2064677275">
              <w:marLeft w:val="0"/>
              <w:marRight w:val="0"/>
              <w:marTop w:val="0"/>
              <w:marBottom w:val="0"/>
              <w:divBdr>
                <w:top w:val="none" w:sz="0" w:space="0" w:color="auto"/>
                <w:left w:val="none" w:sz="0" w:space="0" w:color="auto"/>
                <w:bottom w:val="none" w:sz="0" w:space="0" w:color="auto"/>
                <w:right w:val="none" w:sz="0" w:space="0" w:color="auto"/>
              </w:divBdr>
            </w:div>
          </w:divsChild>
        </w:div>
        <w:div w:id="1527477584">
          <w:marLeft w:val="0"/>
          <w:marRight w:val="0"/>
          <w:marTop w:val="0"/>
          <w:marBottom w:val="0"/>
          <w:divBdr>
            <w:top w:val="none" w:sz="0" w:space="0" w:color="auto"/>
            <w:left w:val="none" w:sz="0" w:space="0" w:color="auto"/>
            <w:bottom w:val="none" w:sz="0" w:space="0" w:color="auto"/>
            <w:right w:val="none" w:sz="0" w:space="0" w:color="auto"/>
          </w:divBdr>
          <w:divsChild>
            <w:div w:id="1946501600">
              <w:marLeft w:val="0"/>
              <w:marRight w:val="0"/>
              <w:marTop w:val="0"/>
              <w:marBottom w:val="0"/>
              <w:divBdr>
                <w:top w:val="none" w:sz="0" w:space="0" w:color="auto"/>
                <w:left w:val="none" w:sz="0" w:space="0" w:color="auto"/>
                <w:bottom w:val="none" w:sz="0" w:space="0" w:color="auto"/>
                <w:right w:val="none" w:sz="0" w:space="0" w:color="auto"/>
              </w:divBdr>
            </w:div>
          </w:divsChild>
        </w:div>
        <w:div w:id="1527602345">
          <w:marLeft w:val="0"/>
          <w:marRight w:val="0"/>
          <w:marTop w:val="0"/>
          <w:marBottom w:val="0"/>
          <w:divBdr>
            <w:top w:val="none" w:sz="0" w:space="0" w:color="auto"/>
            <w:left w:val="none" w:sz="0" w:space="0" w:color="auto"/>
            <w:bottom w:val="none" w:sz="0" w:space="0" w:color="auto"/>
            <w:right w:val="none" w:sz="0" w:space="0" w:color="auto"/>
          </w:divBdr>
          <w:divsChild>
            <w:div w:id="1517693240">
              <w:marLeft w:val="0"/>
              <w:marRight w:val="0"/>
              <w:marTop w:val="0"/>
              <w:marBottom w:val="0"/>
              <w:divBdr>
                <w:top w:val="none" w:sz="0" w:space="0" w:color="auto"/>
                <w:left w:val="none" w:sz="0" w:space="0" w:color="auto"/>
                <w:bottom w:val="none" w:sz="0" w:space="0" w:color="auto"/>
                <w:right w:val="none" w:sz="0" w:space="0" w:color="auto"/>
              </w:divBdr>
            </w:div>
          </w:divsChild>
        </w:div>
        <w:div w:id="1528562938">
          <w:marLeft w:val="0"/>
          <w:marRight w:val="0"/>
          <w:marTop w:val="0"/>
          <w:marBottom w:val="0"/>
          <w:divBdr>
            <w:top w:val="none" w:sz="0" w:space="0" w:color="auto"/>
            <w:left w:val="none" w:sz="0" w:space="0" w:color="auto"/>
            <w:bottom w:val="none" w:sz="0" w:space="0" w:color="auto"/>
            <w:right w:val="none" w:sz="0" w:space="0" w:color="auto"/>
          </w:divBdr>
          <w:divsChild>
            <w:div w:id="1317417890">
              <w:marLeft w:val="0"/>
              <w:marRight w:val="0"/>
              <w:marTop w:val="0"/>
              <w:marBottom w:val="0"/>
              <w:divBdr>
                <w:top w:val="none" w:sz="0" w:space="0" w:color="auto"/>
                <w:left w:val="none" w:sz="0" w:space="0" w:color="auto"/>
                <w:bottom w:val="none" w:sz="0" w:space="0" w:color="auto"/>
                <w:right w:val="none" w:sz="0" w:space="0" w:color="auto"/>
              </w:divBdr>
            </w:div>
          </w:divsChild>
        </w:div>
        <w:div w:id="1529221608">
          <w:marLeft w:val="0"/>
          <w:marRight w:val="0"/>
          <w:marTop w:val="0"/>
          <w:marBottom w:val="0"/>
          <w:divBdr>
            <w:top w:val="none" w:sz="0" w:space="0" w:color="auto"/>
            <w:left w:val="none" w:sz="0" w:space="0" w:color="auto"/>
            <w:bottom w:val="none" w:sz="0" w:space="0" w:color="auto"/>
            <w:right w:val="none" w:sz="0" w:space="0" w:color="auto"/>
          </w:divBdr>
          <w:divsChild>
            <w:div w:id="422263678">
              <w:marLeft w:val="0"/>
              <w:marRight w:val="0"/>
              <w:marTop w:val="0"/>
              <w:marBottom w:val="0"/>
              <w:divBdr>
                <w:top w:val="none" w:sz="0" w:space="0" w:color="auto"/>
                <w:left w:val="none" w:sz="0" w:space="0" w:color="auto"/>
                <w:bottom w:val="none" w:sz="0" w:space="0" w:color="auto"/>
                <w:right w:val="none" w:sz="0" w:space="0" w:color="auto"/>
              </w:divBdr>
            </w:div>
          </w:divsChild>
        </w:div>
        <w:div w:id="1529369841">
          <w:marLeft w:val="0"/>
          <w:marRight w:val="0"/>
          <w:marTop w:val="0"/>
          <w:marBottom w:val="0"/>
          <w:divBdr>
            <w:top w:val="none" w:sz="0" w:space="0" w:color="auto"/>
            <w:left w:val="none" w:sz="0" w:space="0" w:color="auto"/>
            <w:bottom w:val="none" w:sz="0" w:space="0" w:color="auto"/>
            <w:right w:val="none" w:sz="0" w:space="0" w:color="auto"/>
          </w:divBdr>
          <w:divsChild>
            <w:div w:id="559095572">
              <w:marLeft w:val="0"/>
              <w:marRight w:val="0"/>
              <w:marTop w:val="0"/>
              <w:marBottom w:val="0"/>
              <w:divBdr>
                <w:top w:val="none" w:sz="0" w:space="0" w:color="auto"/>
                <w:left w:val="none" w:sz="0" w:space="0" w:color="auto"/>
                <w:bottom w:val="none" w:sz="0" w:space="0" w:color="auto"/>
                <w:right w:val="none" w:sz="0" w:space="0" w:color="auto"/>
              </w:divBdr>
            </w:div>
          </w:divsChild>
        </w:div>
        <w:div w:id="1529638839">
          <w:marLeft w:val="0"/>
          <w:marRight w:val="0"/>
          <w:marTop w:val="0"/>
          <w:marBottom w:val="0"/>
          <w:divBdr>
            <w:top w:val="none" w:sz="0" w:space="0" w:color="auto"/>
            <w:left w:val="none" w:sz="0" w:space="0" w:color="auto"/>
            <w:bottom w:val="none" w:sz="0" w:space="0" w:color="auto"/>
            <w:right w:val="none" w:sz="0" w:space="0" w:color="auto"/>
          </w:divBdr>
          <w:divsChild>
            <w:div w:id="1770395815">
              <w:marLeft w:val="0"/>
              <w:marRight w:val="0"/>
              <w:marTop w:val="0"/>
              <w:marBottom w:val="0"/>
              <w:divBdr>
                <w:top w:val="none" w:sz="0" w:space="0" w:color="auto"/>
                <w:left w:val="none" w:sz="0" w:space="0" w:color="auto"/>
                <w:bottom w:val="none" w:sz="0" w:space="0" w:color="auto"/>
                <w:right w:val="none" w:sz="0" w:space="0" w:color="auto"/>
              </w:divBdr>
            </w:div>
          </w:divsChild>
        </w:div>
        <w:div w:id="1530993263">
          <w:marLeft w:val="0"/>
          <w:marRight w:val="0"/>
          <w:marTop w:val="0"/>
          <w:marBottom w:val="0"/>
          <w:divBdr>
            <w:top w:val="none" w:sz="0" w:space="0" w:color="auto"/>
            <w:left w:val="none" w:sz="0" w:space="0" w:color="auto"/>
            <w:bottom w:val="none" w:sz="0" w:space="0" w:color="auto"/>
            <w:right w:val="none" w:sz="0" w:space="0" w:color="auto"/>
          </w:divBdr>
          <w:divsChild>
            <w:div w:id="130443577">
              <w:marLeft w:val="0"/>
              <w:marRight w:val="0"/>
              <w:marTop w:val="0"/>
              <w:marBottom w:val="0"/>
              <w:divBdr>
                <w:top w:val="none" w:sz="0" w:space="0" w:color="auto"/>
                <w:left w:val="none" w:sz="0" w:space="0" w:color="auto"/>
                <w:bottom w:val="none" w:sz="0" w:space="0" w:color="auto"/>
                <w:right w:val="none" w:sz="0" w:space="0" w:color="auto"/>
              </w:divBdr>
            </w:div>
          </w:divsChild>
        </w:div>
        <w:div w:id="1532887078">
          <w:marLeft w:val="0"/>
          <w:marRight w:val="0"/>
          <w:marTop w:val="0"/>
          <w:marBottom w:val="0"/>
          <w:divBdr>
            <w:top w:val="none" w:sz="0" w:space="0" w:color="auto"/>
            <w:left w:val="none" w:sz="0" w:space="0" w:color="auto"/>
            <w:bottom w:val="none" w:sz="0" w:space="0" w:color="auto"/>
            <w:right w:val="none" w:sz="0" w:space="0" w:color="auto"/>
          </w:divBdr>
          <w:divsChild>
            <w:div w:id="2030063240">
              <w:marLeft w:val="0"/>
              <w:marRight w:val="0"/>
              <w:marTop w:val="0"/>
              <w:marBottom w:val="0"/>
              <w:divBdr>
                <w:top w:val="none" w:sz="0" w:space="0" w:color="auto"/>
                <w:left w:val="none" w:sz="0" w:space="0" w:color="auto"/>
                <w:bottom w:val="none" w:sz="0" w:space="0" w:color="auto"/>
                <w:right w:val="none" w:sz="0" w:space="0" w:color="auto"/>
              </w:divBdr>
            </w:div>
          </w:divsChild>
        </w:div>
        <w:div w:id="1533569180">
          <w:marLeft w:val="0"/>
          <w:marRight w:val="0"/>
          <w:marTop w:val="0"/>
          <w:marBottom w:val="0"/>
          <w:divBdr>
            <w:top w:val="none" w:sz="0" w:space="0" w:color="auto"/>
            <w:left w:val="none" w:sz="0" w:space="0" w:color="auto"/>
            <w:bottom w:val="none" w:sz="0" w:space="0" w:color="auto"/>
            <w:right w:val="none" w:sz="0" w:space="0" w:color="auto"/>
          </w:divBdr>
          <w:divsChild>
            <w:div w:id="107967215">
              <w:marLeft w:val="0"/>
              <w:marRight w:val="0"/>
              <w:marTop w:val="0"/>
              <w:marBottom w:val="0"/>
              <w:divBdr>
                <w:top w:val="none" w:sz="0" w:space="0" w:color="auto"/>
                <w:left w:val="none" w:sz="0" w:space="0" w:color="auto"/>
                <w:bottom w:val="none" w:sz="0" w:space="0" w:color="auto"/>
                <w:right w:val="none" w:sz="0" w:space="0" w:color="auto"/>
              </w:divBdr>
            </w:div>
          </w:divsChild>
        </w:div>
        <w:div w:id="1537431074">
          <w:marLeft w:val="0"/>
          <w:marRight w:val="0"/>
          <w:marTop w:val="0"/>
          <w:marBottom w:val="0"/>
          <w:divBdr>
            <w:top w:val="none" w:sz="0" w:space="0" w:color="auto"/>
            <w:left w:val="none" w:sz="0" w:space="0" w:color="auto"/>
            <w:bottom w:val="none" w:sz="0" w:space="0" w:color="auto"/>
            <w:right w:val="none" w:sz="0" w:space="0" w:color="auto"/>
          </w:divBdr>
          <w:divsChild>
            <w:div w:id="872307510">
              <w:marLeft w:val="0"/>
              <w:marRight w:val="0"/>
              <w:marTop w:val="0"/>
              <w:marBottom w:val="0"/>
              <w:divBdr>
                <w:top w:val="none" w:sz="0" w:space="0" w:color="auto"/>
                <w:left w:val="none" w:sz="0" w:space="0" w:color="auto"/>
                <w:bottom w:val="none" w:sz="0" w:space="0" w:color="auto"/>
                <w:right w:val="none" w:sz="0" w:space="0" w:color="auto"/>
              </w:divBdr>
            </w:div>
          </w:divsChild>
        </w:div>
        <w:div w:id="1539925618">
          <w:marLeft w:val="0"/>
          <w:marRight w:val="0"/>
          <w:marTop w:val="0"/>
          <w:marBottom w:val="0"/>
          <w:divBdr>
            <w:top w:val="none" w:sz="0" w:space="0" w:color="auto"/>
            <w:left w:val="none" w:sz="0" w:space="0" w:color="auto"/>
            <w:bottom w:val="none" w:sz="0" w:space="0" w:color="auto"/>
            <w:right w:val="none" w:sz="0" w:space="0" w:color="auto"/>
          </w:divBdr>
          <w:divsChild>
            <w:div w:id="824737536">
              <w:marLeft w:val="0"/>
              <w:marRight w:val="0"/>
              <w:marTop w:val="0"/>
              <w:marBottom w:val="0"/>
              <w:divBdr>
                <w:top w:val="none" w:sz="0" w:space="0" w:color="auto"/>
                <w:left w:val="none" w:sz="0" w:space="0" w:color="auto"/>
                <w:bottom w:val="none" w:sz="0" w:space="0" w:color="auto"/>
                <w:right w:val="none" w:sz="0" w:space="0" w:color="auto"/>
              </w:divBdr>
            </w:div>
          </w:divsChild>
        </w:div>
        <w:div w:id="1543395999">
          <w:marLeft w:val="0"/>
          <w:marRight w:val="0"/>
          <w:marTop w:val="0"/>
          <w:marBottom w:val="0"/>
          <w:divBdr>
            <w:top w:val="none" w:sz="0" w:space="0" w:color="auto"/>
            <w:left w:val="none" w:sz="0" w:space="0" w:color="auto"/>
            <w:bottom w:val="none" w:sz="0" w:space="0" w:color="auto"/>
            <w:right w:val="none" w:sz="0" w:space="0" w:color="auto"/>
          </w:divBdr>
          <w:divsChild>
            <w:div w:id="745348924">
              <w:marLeft w:val="0"/>
              <w:marRight w:val="0"/>
              <w:marTop w:val="0"/>
              <w:marBottom w:val="0"/>
              <w:divBdr>
                <w:top w:val="none" w:sz="0" w:space="0" w:color="auto"/>
                <w:left w:val="none" w:sz="0" w:space="0" w:color="auto"/>
                <w:bottom w:val="none" w:sz="0" w:space="0" w:color="auto"/>
                <w:right w:val="none" w:sz="0" w:space="0" w:color="auto"/>
              </w:divBdr>
            </w:div>
          </w:divsChild>
        </w:div>
        <w:div w:id="1544096055">
          <w:marLeft w:val="0"/>
          <w:marRight w:val="0"/>
          <w:marTop w:val="0"/>
          <w:marBottom w:val="0"/>
          <w:divBdr>
            <w:top w:val="none" w:sz="0" w:space="0" w:color="auto"/>
            <w:left w:val="none" w:sz="0" w:space="0" w:color="auto"/>
            <w:bottom w:val="none" w:sz="0" w:space="0" w:color="auto"/>
            <w:right w:val="none" w:sz="0" w:space="0" w:color="auto"/>
          </w:divBdr>
          <w:divsChild>
            <w:div w:id="1874925478">
              <w:marLeft w:val="0"/>
              <w:marRight w:val="0"/>
              <w:marTop w:val="0"/>
              <w:marBottom w:val="0"/>
              <w:divBdr>
                <w:top w:val="none" w:sz="0" w:space="0" w:color="auto"/>
                <w:left w:val="none" w:sz="0" w:space="0" w:color="auto"/>
                <w:bottom w:val="none" w:sz="0" w:space="0" w:color="auto"/>
                <w:right w:val="none" w:sz="0" w:space="0" w:color="auto"/>
              </w:divBdr>
            </w:div>
          </w:divsChild>
        </w:div>
        <w:div w:id="1544713405">
          <w:marLeft w:val="0"/>
          <w:marRight w:val="0"/>
          <w:marTop w:val="0"/>
          <w:marBottom w:val="0"/>
          <w:divBdr>
            <w:top w:val="none" w:sz="0" w:space="0" w:color="auto"/>
            <w:left w:val="none" w:sz="0" w:space="0" w:color="auto"/>
            <w:bottom w:val="none" w:sz="0" w:space="0" w:color="auto"/>
            <w:right w:val="none" w:sz="0" w:space="0" w:color="auto"/>
          </w:divBdr>
          <w:divsChild>
            <w:div w:id="2118135970">
              <w:marLeft w:val="0"/>
              <w:marRight w:val="0"/>
              <w:marTop w:val="0"/>
              <w:marBottom w:val="0"/>
              <w:divBdr>
                <w:top w:val="none" w:sz="0" w:space="0" w:color="auto"/>
                <w:left w:val="none" w:sz="0" w:space="0" w:color="auto"/>
                <w:bottom w:val="none" w:sz="0" w:space="0" w:color="auto"/>
                <w:right w:val="none" w:sz="0" w:space="0" w:color="auto"/>
              </w:divBdr>
            </w:div>
          </w:divsChild>
        </w:div>
        <w:div w:id="1545681124">
          <w:marLeft w:val="0"/>
          <w:marRight w:val="0"/>
          <w:marTop w:val="0"/>
          <w:marBottom w:val="0"/>
          <w:divBdr>
            <w:top w:val="none" w:sz="0" w:space="0" w:color="auto"/>
            <w:left w:val="none" w:sz="0" w:space="0" w:color="auto"/>
            <w:bottom w:val="none" w:sz="0" w:space="0" w:color="auto"/>
            <w:right w:val="none" w:sz="0" w:space="0" w:color="auto"/>
          </w:divBdr>
          <w:divsChild>
            <w:div w:id="1476026050">
              <w:marLeft w:val="0"/>
              <w:marRight w:val="0"/>
              <w:marTop w:val="0"/>
              <w:marBottom w:val="0"/>
              <w:divBdr>
                <w:top w:val="none" w:sz="0" w:space="0" w:color="auto"/>
                <w:left w:val="none" w:sz="0" w:space="0" w:color="auto"/>
                <w:bottom w:val="none" w:sz="0" w:space="0" w:color="auto"/>
                <w:right w:val="none" w:sz="0" w:space="0" w:color="auto"/>
              </w:divBdr>
            </w:div>
          </w:divsChild>
        </w:div>
        <w:div w:id="1551922005">
          <w:marLeft w:val="0"/>
          <w:marRight w:val="0"/>
          <w:marTop w:val="0"/>
          <w:marBottom w:val="0"/>
          <w:divBdr>
            <w:top w:val="none" w:sz="0" w:space="0" w:color="auto"/>
            <w:left w:val="none" w:sz="0" w:space="0" w:color="auto"/>
            <w:bottom w:val="none" w:sz="0" w:space="0" w:color="auto"/>
            <w:right w:val="none" w:sz="0" w:space="0" w:color="auto"/>
          </w:divBdr>
          <w:divsChild>
            <w:div w:id="186603061">
              <w:marLeft w:val="0"/>
              <w:marRight w:val="0"/>
              <w:marTop w:val="0"/>
              <w:marBottom w:val="0"/>
              <w:divBdr>
                <w:top w:val="none" w:sz="0" w:space="0" w:color="auto"/>
                <w:left w:val="none" w:sz="0" w:space="0" w:color="auto"/>
                <w:bottom w:val="none" w:sz="0" w:space="0" w:color="auto"/>
                <w:right w:val="none" w:sz="0" w:space="0" w:color="auto"/>
              </w:divBdr>
            </w:div>
          </w:divsChild>
        </w:div>
        <w:div w:id="1555967539">
          <w:marLeft w:val="0"/>
          <w:marRight w:val="0"/>
          <w:marTop w:val="0"/>
          <w:marBottom w:val="0"/>
          <w:divBdr>
            <w:top w:val="none" w:sz="0" w:space="0" w:color="auto"/>
            <w:left w:val="none" w:sz="0" w:space="0" w:color="auto"/>
            <w:bottom w:val="none" w:sz="0" w:space="0" w:color="auto"/>
            <w:right w:val="none" w:sz="0" w:space="0" w:color="auto"/>
          </w:divBdr>
          <w:divsChild>
            <w:div w:id="1305500767">
              <w:marLeft w:val="0"/>
              <w:marRight w:val="0"/>
              <w:marTop w:val="0"/>
              <w:marBottom w:val="0"/>
              <w:divBdr>
                <w:top w:val="none" w:sz="0" w:space="0" w:color="auto"/>
                <w:left w:val="none" w:sz="0" w:space="0" w:color="auto"/>
                <w:bottom w:val="none" w:sz="0" w:space="0" w:color="auto"/>
                <w:right w:val="none" w:sz="0" w:space="0" w:color="auto"/>
              </w:divBdr>
            </w:div>
          </w:divsChild>
        </w:div>
        <w:div w:id="1556893100">
          <w:marLeft w:val="0"/>
          <w:marRight w:val="0"/>
          <w:marTop w:val="0"/>
          <w:marBottom w:val="0"/>
          <w:divBdr>
            <w:top w:val="none" w:sz="0" w:space="0" w:color="auto"/>
            <w:left w:val="none" w:sz="0" w:space="0" w:color="auto"/>
            <w:bottom w:val="none" w:sz="0" w:space="0" w:color="auto"/>
            <w:right w:val="none" w:sz="0" w:space="0" w:color="auto"/>
          </w:divBdr>
          <w:divsChild>
            <w:div w:id="501774156">
              <w:marLeft w:val="0"/>
              <w:marRight w:val="0"/>
              <w:marTop w:val="0"/>
              <w:marBottom w:val="0"/>
              <w:divBdr>
                <w:top w:val="none" w:sz="0" w:space="0" w:color="auto"/>
                <w:left w:val="none" w:sz="0" w:space="0" w:color="auto"/>
                <w:bottom w:val="none" w:sz="0" w:space="0" w:color="auto"/>
                <w:right w:val="none" w:sz="0" w:space="0" w:color="auto"/>
              </w:divBdr>
            </w:div>
          </w:divsChild>
        </w:div>
        <w:div w:id="1557352370">
          <w:marLeft w:val="0"/>
          <w:marRight w:val="0"/>
          <w:marTop w:val="0"/>
          <w:marBottom w:val="0"/>
          <w:divBdr>
            <w:top w:val="none" w:sz="0" w:space="0" w:color="auto"/>
            <w:left w:val="none" w:sz="0" w:space="0" w:color="auto"/>
            <w:bottom w:val="none" w:sz="0" w:space="0" w:color="auto"/>
            <w:right w:val="none" w:sz="0" w:space="0" w:color="auto"/>
          </w:divBdr>
          <w:divsChild>
            <w:div w:id="1005089379">
              <w:marLeft w:val="0"/>
              <w:marRight w:val="0"/>
              <w:marTop w:val="0"/>
              <w:marBottom w:val="0"/>
              <w:divBdr>
                <w:top w:val="none" w:sz="0" w:space="0" w:color="auto"/>
                <w:left w:val="none" w:sz="0" w:space="0" w:color="auto"/>
                <w:bottom w:val="none" w:sz="0" w:space="0" w:color="auto"/>
                <w:right w:val="none" w:sz="0" w:space="0" w:color="auto"/>
              </w:divBdr>
            </w:div>
          </w:divsChild>
        </w:div>
        <w:div w:id="1563441004">
          <w:marLeft w:val="0"/>
          <w:marRight w:val="0"/>
          <w:marTop w:val="0"/>
          <w:marBottom w:val="0"/>
          <w:divBdr>
            <w:top w:val="none" w:sz="0" w:space="0" w:color="auto"/>
            <w:left w:val="none" w:sz="0" w:space="0" w:color="auto"/>
            <w:bottom w:val="none" w:sz="0" w:space="0" w:color="auto"/>
            <w:right w:val="none" w:sz="0" w:space="0" w:color="auto"/>
          </w:divBdr>
          <w:divsChild>
            <w:div w:id="1283003092">
              <w:marLeft w:val="0"/>
              <w:marRight w:val="0"/>
              <w:marTop w:val="0"/>
              <w:marBottom w:val="0"/>
              <w:divBdr>
                <w:top w:val="none" w:sz="0" w:space="0" w:color="auto"/>
                <w:left w:val="none" w:sz="0" w:space="0" w:color="auto"/>
                <w:bottom w:val="none" w:sz="0" w:space="0" w:color="auto"/>
                <w:right w:val="none" w:sz="0" w:space="0" w:color="auto"/>
              </w:divBdr>
            </w:div>
          </w:divsChild>
        </w:div>
        <w:div w:id="1566451384">
          <w:marLeft w:val="0"/>
          <w:marRight w:val="0"/>
          <w:marTop w:val="0"/>
          <w:marBottom w:val="0"/>
          <w:divBdr>
            <w:top w:val="none" w:sz="0" w:space="0" w:color="auto"/>
            <w:left w:val="none" w:sz="0" w:space="0" w:color="auto"/>
            <w:bottom w:val="none" w:sz="0" w:space="0" w:color="auto"/>
            <w:right w:val="none" w:sz="0" w:space="0" w:color="auto"/>
          </w:divBdr>
          <w:divsChild>
            <w:div w:id="1202745504">
              <w:marLeft w:val="0"/>
              <w:marRight w:val="0"/>
              <w:marTop w:val="0"/>
              <w:marBottom w:val="0"/>
              <w:divBdr>
                <w:top w:val="none" w:sz="0" w:space="0" w:color="auto"/>
                <w:left w:val="none" w:sz="0" w:space="0" w:color="auto"/>
                <w:bottom w:val="none" w:sz="0" w:space="0" w:color="auto"/>
                <w:right w:val="none" w:sz="0" w:space="0" w:color="auto"/>
              </w:divBdr>
            </w:div>
          </w:divsChild>
        </w:div>
        <w:div w:id="1568413686">
          <w:marLeft w:val="0"/>
          <w:marRight w:val="0"/>
          <w:marTop w:val="0"/>
          <w:marBottom w:val="0"/>
          <w:divBdr>
            <w:top w:val="none" w:sz="0" w:space="0" w:color="auto"/>
            <w:left w:val="none" w:sz="0" w:space="0" w:color="auto"/>
            <w:bottom w:val="none" w:sz="0" w:space="0" w:color="auto"/>
            <w:right w:val="none" w:sz="0" w:space="0" w:color="auto"/>
          </w:divBdr>
          <w:divsChild>
            <w:div w:id="1590263302">
              <w:marLeft w:val="0"/>
              <w:marRight w:val="0"/>
              <w:marTop w:val="0"/>
              <w:marBottom w:val="0"/>
              <w:divBdr>
                <w:top w:val="none" w:sz="0" w:space="0" w:color="auto"/>
                <w:left w:val="none" w:sz="0" w:space="0" w:color="auto"/>
                <w:bottom w:val="none" w:sz="0" w:space="0" w:color="auto"/>
                <w:right w:val="none" w:sz="0" w:space="0" w:color="auto"/>
              </w:divBdr>
            </w:div>
          </w:divsChild>
        </w:div>
        <w:div w:id="1569656112">
          <w:marLeft w:val="0"/>
          <w:marRight w:val="0"/>
          <w:marTop w:val="0"/>
          <w:marBottom w:val="0"/>
          <w:divBdr>
            <w:top w:val="none" w:sz="0" w:space="0" w:color="auto"/>
            <w:left w:val="none" w:sz="0" w:space="0" w:color="auto"/>
            <w:bottom w:val="none" w:sz="0" w:space="0" w:color="auto"/>
            <w:right w:val="none" w:sz="0" w:space="0" w:color="auto"/>
          </w:divBdr>
          <w:divsChild>
            <w:div w:id="1846481897">
              <w:marLeft w:val="0"/>
              <w:marRight w:val="0"/>
              <w:marTop w:val="0"/>
              <w:marBottom w:val="0"/>
              <w:divBdr>
                <w:top w:val="none" w:sz="0" w:space="0" w:color="auto"/>
                <w:left w:val="none" w:sz="0" w:space="0" w:color="auto"/>
                <w:bottom w:val="none" w:sz="0" w:space="0" w:color="auto"/>
                <w:right w:val="none" w:sz="0" w:space="0" w:color="auto"/>
              </w:divBdr>
            </w:div>
          </w:divsChild>
        </w:div>
        <w:div w:id="1569801070">
          <w:marLeft w:val="0"/>
          <w:marRight w:val="0"/>
          <w:marTop w:val="0"/>
          <w:marBottom w:val="0"/>
          <w:divBdr>
            <w:top w:val="none" w:sz="0" w:space="0" w:color="auto"/>
            <w:left w:val="none" w:sz="0" w:space="0" w:color="auto"/>
            <w:bottom w:val="none" w:sz="0" w:space="0" w:color="auto"/>
            <w:right w:val="none" w:sz="0" w:space="0" w:color="auto"/>
          </w:divBdr>
          <w:divsChild>
            <w:div w:id="190925768">
              <w:marLeft w:val="0"/>
              <w:marRight w:val="0"/>
              <w:marTop w:val="0"/>
              <w:marBottom w:val="0"/>
              <w:divBdr>
                <w:top w:val="none" w:sz="0" w:space="0" w:color="auto"/>
                <w:left w:val="none" w:sz="0" w:space="0" w:color="auto"/>
                <w:bottom w:val="none" w:sz="0" w:space="0" w:color="auto"/>
                <w:right w:val="none" w:sz="0" w:space="0" w:color="auto"/>
              </w:divBdr>
            </w:div>
          </w:divsChild>
        </w:div>
        <w:div w:id="1572230354">
          <w:marLeft w:val="0"/>
          <w:marRight w:val="0"/>
          <w:marTop w:val="0"/>
          <w:marBottom w:val="0"/>
          <w:divBdr>
            <w:top w:val="none" w:sz="0" w:space="0" w:color="auto"/>
            <w:left w:val="none" w:sz="0" w:space="0" w:color="auto"/>
            <w:bottom w:val="none" w:sz="0" w:space="0" w:color="auto"/>
            <w:right w:val="none" w:sz="0" w:space="0" w:color="auto"/>
          </w:divBdr>
          <w:divsChild>
            <w:div w:id="1937714652">
              <w:marLeft w:val="0"/>
              <w:marRight w:val="0"/>
              <w:marTop w:val="0"/>
              <w:marBottom w:val="0"/>
              <w:divBdr>
                <w:top w:val="none" w:sz="0" w:space="0" w:color="auto"/>
                <w:left w:val="none" w:sz="0" w:space="0" w:color="auto"/>
                <w:bottom w:val="none" w:sz="0" w:space="0" w:color="auto"/>
                <w:right w:val="none" w:sz="0" w:space="0" w:color="auto"/>
              </w:divBdr>
            </w:div>
          </w:divsChild>
        </w:div>
        <w:div w:id="1572346765">
          <w:marLeft w:val="0"/>
          <w:marRight w:val="0"/>
          <w:marTop w:val="0"/>
          <w:marBottom w:val="0"/>
          <w:divBdr>
            <w:top w:val="none" w:sz="0" w:space="0" w:color="auto"/>
            <w:left w:val="none" w:sz="0" w:space="0" w:color="auto"/>
            <w:bottom w:val="none" w:sz="0" w:space="0" w:color="auto"/>
            <w:right w:val="none" w:sz="0" w:space="0" w:color="auto"/>
          </w:divBdr>
          <w:divsChild>
            <w:div w:id="1880123382">
              <w:marLeft w:val="0"/>
              <w:marRight w:val="0"/>
              <w:marTop w:val="0"/>
              <w:marBottom w:val="0"/>
              <w:divBdr>
                <w:top w:val="none" w:sz="0" w:space="0" w:color="auto"/>
                <w:left w:val="none" w:sz="0" w:space="0" w:color="auto"/>
                <w:bottom w:val="none" w:sz="0" w:space="0" w:color="auto"/>
                <w:right w:val="none" w:sz="0" w:space="0" w:color="auto"/>
              </w:divBdr>
            </w:div>
          </w:divsChild>
        </w:div>
        <w:div w:id="1572735591">
          <w:marLeft w:val="0"/>
          <w:marRight w:val="0"/>
          <w:marTop w:val="0"/>
          <w:marBottom w:val="0"/>
          <w:divBdr>
            <w:top w:val="none" w:sz="0" w:space="0" w:color="auto"/>
            <w:left w:val="none" w:sz="0" w:space="0" w:color="auto"/>
            <w:bottom w:val="none" w:sz="0" w:space="0" w:color="auto"/>
            <w:right w:val="none" w:sz="0" w:space="0" w:color="auto"/>
          </w:divBdr>
          <w:divsChild>
            <w:div w:id="755596696">
              <w:marLeft w:val="0"/>
              <w:marRight w:val="0"/>
              <w:marTop w:val="0"/>
              <w:marBottom w:val="0"/>
              <w:divBdr>
                <w:top w:val="none" w:sz="0" w:space="0" w:color="auto"/>
                <w:left w:val="none" w:sz="0" w:space="0" w:color="auto"/>
                <w:bottom w:val="none" w:sz="0" w:space="0" w:color="auto"/>
                <w:right w:val="none" w:sz="0" w:space="0" w:color="auto"/>
              </w:divBdr>
            </w:div>
          </w:divsChild>
        </w:div>
        <w:div w:id="1579172554">
          <w:marLeft w:val="0"/>
          <w:marRight w:val="0"/>
          <w:marTop w:val="0"/>
          <w:marBottom w:val="0"/>
          <w:divBdr>
            <w:top w:val="none" w:sz="0" w:space="0" w:color="auto"/>
            <w:left w:val="none" w:sz="0" w:space="0" w:color="auto"/>
            <w:bottom w:val="none" w:sz="0" w:space="0" w:color="auto"/>
            <w:right w:val="none" w:sz="0" w:space="0" w:color="auto"/>
          </w:divBdr>
          <w:divsChild>
            <w:div w:id="2091417107">
              <w:marLeft w:val="0"/>
              <w:marRight w:val="0"/>
              <w:marTop w:val="0"/>
              <w:marBottom w:val="0"/>
              <w:divBdr>
                <w:top w:val="none" w:sz="0" w:space="0" w:color="auto"/>
                <w:left w:val="none" w:sz="0" w:space="0" w:color="auto"/>
                <w:bottom w:val="none" w:sz="0" w:space="0" w:color="auto"/>
                <w:right w:val="none" w:sz="0" w:space="0" w:color="auto"/>
              </w:divBdr>
            </w:div>
          </w:divsChild>
        </w:div>
        <w:div w:id="1580139381">
          <w:marLeft w:val="0"/>
          <w:marRight w:val="0"/>
          <w:marTop w:val="0"/>
          <w:marBottom w:val="0"/>
          <w:divBdr>
            <w:top w:val="none" w:sz="0" w:space="0" w:color="auto"/>
            <w:left w:val="none" w:sz="0" w:space="0" w:color="auto"/>
            <w:bottom w:val="none" w:sz="0" w:space="0" w:color="auto"/>
            <w:right w:val="none" w:sz="0" w:space="0" w:color="auto"/>
          </w:divBdr>
          <w:divsChild>
            <w:div w:id="224339322">
              <w:marLeft w:val="0"/>
              <w:marRight w:val="0"/>
              <w:marTop w:val="0"/>
              <w:marBottom w:val="0"/>
              <w:divBdr>
                <w:top w:val="none" w:sz="0" w:space="0" w:color="auto"/>
                <w:left w:val="none" w:sz="0" w:space="0" w:color="auto"/>
                <w:bottom w:val="none" w:sz="0" w:space="0" w:color="auto"/>
                <w:right w:val="none" w:sz="0" w:space="0" w:color="auto"/>
              </w:divBdr>
            </w:div>
          </w:divsChild>
        </w:div>
        <w:div w:id="1581450390">
          <w:marLeft w:val="0"/>
          <w:marRight w:val="0"/>
          <w:marTop w:val="0"/>
          <w:marBottom w:val="0"/>
          <w:divBdr>
            <w:top w:val="none" w:sz="0" w:space="0" w:color="auto"/>
            <w:left w:val="none" w:sz="0" w:space="0" w:color="auto"/>
            <w:bottom w:val="none" w:sz="0" w:space="0" w:color="auto"/>
            <w:right w:val="none" w:sz="0" w:space="0" w:color="auto"/>
          </w:divBdr>
          <w:divsChild>
            <w:div w:id="1175724394">
              <w:marLeft w:val="0"/>
              <w:marRight w:val="0"/>
              <w:marTop w:val="0"/>
              <w:marBottom w:val="0"/>
              <w:divBdr>
                <w:top w:val="none" w:sz="0" w:space="0" w:color="auto"/>
                <w:left w:val="none" w:sz="0" w:space="0" w:color="auto"/>
                <w:bottom w:val="none" w:sz="0" w:space="0" w:color="auto"/>
                <w:right w:val="none" w:sz="0" w:space="0" w:color="auto"/>
              </w:divBdr>
            </w:div>
          </w:divsChild>
        </w:div>
        <w:div w:id="1586569401">
          <w:marLeft w:val="0"/>
          <w:marRight w:val="0"/>
          <w:marTop w:val="0"/>
          <w:marBottom w:val="0"/>
          <w:divBdr>
            <w:top w:val="none" w:sz="0" w:space="0" w:color="auto"/>
            <w:left w:val="none" w:sz="0" w:space="0" w:color="auto"/>
            <w:bottom w:val="none" w:sz="0" w:space="0" w:color="auto"/>
            <w:right w:val="none" w:sz="0" w:space="0" w:color="auto"/>
          </w:divBdr>
          <w:divsChild>
            <w:div w:id="713194374">
              <w:marLeft w:val="0"/>
              <w:marRight w:val="0"/>
              <w:marTop w:val="0"/>
              <w:marBottom w:val="0"/>
              <w:divBdr>
                <w:top w:val="none" w:sz="0" w:space="0" w:color="auto"/>
                <w:left w:val="none" w:sz="0" w:space="0" w:color="auto"/>
                <w:bottom w:val="none" w:sz="0" w:space="0" w:color="auto"/>
                <w:right w:val="none" w:sz="0" w:space="0" w:color="auto"/>
              </w:divBdr>
            </w:div>
          </w:divsChild>
        </w:div>
        <w:div w:id="1587886593">
          <w:marLeft w:val="0"/>
          <w:marRight w:val="0"/>
          <w:marTop w:val="0"/>
          <w:marBottom w:val="0"/>
          <w:divBdr>
            <w:top w:val="none" w:sz="0" w:space="0" w:color="auto"/>
            <w:left w:val="none" w:sz="0" w:space="0" w:color="auto"/>
            <w:bottom w:val="none" w:sz="0" w:space="0" w:color="auto"/>
            <w:right w:val="none" w:sz="0" w:space="0" w:color="auto"/>
          </w:divBdr>
          <w:divsChild>
            <w:div w:id="1175341494">
              <w:marLeft w:val="0"/>
              <w:marRight w:val="0"/>
              <w:marTop w:val="0"/>
              <w:marBottom w:val="0"/>
              <w:divBdr>
                <w:top w:val="none" w:sz="0" w:space="0" w:color="auto"/>
                <w:left w:val="none" w:sz="0" w:space="0" w:color="auto"/>
                <w:bottom w:val="none" w:sz="0" w:space="0" w:color="auto"/>
                <w:right w:val="none" w:sz="0" w:space="0" w:color="auto"/>
              </w:divBdr>
            </w:div>
          </w:divsChild>
        </w:div>
        <w:div w:id="1589385093">
          <w:marLeft w:val="0"/>
          <w:marRight w:val="0"/>
          <w:marTop w:val="0"/>
          <w:marBottom w:val="0"/>
          <w:divBdr>
            <w:top w:val="none" w:sz="0" w:space="0" w:color="auto"/>
            <w:left w:val="none" w:sz="0" w:space="0" w:color="auto"/>
            <w:bottom w:val="none" w:sz="0" w:space="0" w:color="auto"/>
            <w:right w:val="none" w:sz="0" w:space="0" w:color="auto"/>
          </w:divBdr>
          <w:divsChild>
            <w:div w:id="366419482">
              <w:marLeft w:val="0"/>
              <w:marRight w:val="0"/>
              <w:marTop w:val="0"/>
              <w:marBottom w:val="0"/>
              <w:divBdr>
                <w:top w:val="none" w:sz="0" w:space="0" w:color="auto"/>
                <w:left w:val="none" w:sz="0" w:space="0" w:color="auto"/>
                <w:bottom w:val="none" w:sz="0" w:space="0" w:color="auto"/>
                <w:right w:val="none" w:sz="0" w:space="0" w:color="auto"/>
              </w:divBdr>
            </w:div>
          </w:divsChild>
        </w:div>
        <w:div w:id="1589659653">
          <w:marLeft w:val="0"/>
          <w:marRight w:val="0"/>
          <w:marTop w:val="0"/>
          <w:marBottom w:val="0"/>
          <w:divBdr>
            <w:top w:val="none" w:sz="0" w:space="0" w:color="auto"/>
            <w:left w:val="none" w:sz="0" w:space="0" w:color="auto"/>
            <w:bottom w:val="none" w:sz="0" w:space="0" w:color="auto"/>
            <w:right w:val="none" w:sz="0" w:space="0" w:color="auto"/>
          </w:divBdr>
          <w:divsChild>
            <w:div w:id="303775948">
              <w:marLeft w:val="0"/>
              <w:marRight w:val="0"/>
              <w:marTop w:val="0"/>
              <w:marBottom w:val="0"/>
              <w:divBdr>
                <w:top w:val="none" w:sz="0" w:space="0" w:color="auto"/>
                <w:left w:val="none" w:sz="0" w:space="0" w:color="auto"/>
                <w:bottom w:val="none" w:sz="0" w:space="0" w:color="auto"/>
                <w:right w:val="none" w:sz="0" w:space="0" w:color="auto"/>
              </w:divBdr>
            </w:div>
          </w:divsChild>
        </w:div>
        <w:div w:id="1592658653">
          <w:marLeft w:val="0"/>
          <w:marRight w:val="0"/>
          <w:marTop w:val="0"/>
          <w:marBottom w:val="0"/>
          <w:divBdr>
            <w:top w:val="none" w:sz="0" w:space="0" w:color="auto"/>
            <w:left w:val="none" w:sz="0" w:space="0" w:color="auto"/>
            <w:bottom w:val="none" w:sz="0" w:space="0" w:color="auto"/>
            <w:right w:val="none" w:sz="0" w:space="0" w:color="auto"/>
          </w:divBdr>
          <w:divsChild>
            <w:div w:id="1163735443">
              <w:marLeft w:val="0"/>
              <w:marRight w:val="0"/>
              <w:marTop w:val="0"/>
              <w:marBottom w:val="0"/>
              <w:divBdr>
                <w:top w:val="none" w:sz="0" w:space="0" w:color="auto"/>
                <w:left w:val="none" w:sz="0" w:space="0" w:color="auto"/>
                <w:bottom w:val="none" w:sz="0" w:space="0" w:color="auto"/>
                <w:right w:val="none" w:sz="0" w:space="0" w:color="auto"/>
              </w:divBdr>
            </w:div>
          </w:divsChild>
        </w:div>
        <w:div w:id="1593274622">
          <w:marLeft w:val="0"/>
          <w:marRight w:val="0"/>
          <w:marTop w:val="0"/>
          <w:marBottom w:val="0"/>
          <w:divBdr>
            <w:top w:val="none" w:sz="0" w:space="0" w:color="auto"/>
            <w:left w:val="none" w:sz="0" w:space="0" w:color="auto"/>
            <w:bottom w:val="none" w:sz="0" w:space="0" w:color="auto"/>
            <w:right w:val="none" w:sz="0" w:space="0" w:color="auto"/>
          </w:divBdr>
          <w:divsChild>
            <w:div w:id="1313800458">
              <w:marLeft w:val="0"/>
              <w:marRight w:val="0"/>
              <w:marTop w:val="0"/>
              <w:marBottom w:val="0"/>
              <w:divBdr>
                <w:top w:val="none" w:sz="0" w:space="0" w:color="auto"/>
                <w:left w:val="none" w:sz="0" w:space="0" w:color="auto"/>
                <w:bottom w:val="none" w:sz="0" w:space="0" w:color="auto"/>
                <w:right w:val="none" w:sz="0" w:space="0" w:color="auto"/>
              </w:divBdr>
            </w:div>
          </w:divsChild>
        </w:div>
        <w:div w:id="1593588496">
          <w:marLeft w:val="0"/>
          <w:marRight w:val="0"/>
          <w:marTop w:val="0"/>
          <w:marBottom w:val="0"/>
          <w:divBdr>
            <w:top w:val="none" w:sz="0" w:space="0" w:color="auto"/>
            <w:left w:val="none" w:sz="0" w:space="0" w:color="auto"/>
            <w:bottom w:val="none" w:sz="0" w:space="0" w:color="auto"/>
            <w:right w:val="none" w:sz="0" w:space="0" w:color="auto"/>
          </w:divBdr>
          <w:divsChild>
            <w:div w:id="1956208305">
              <w:marLeft w:val="0"/>
              <w:marRight w:val="0"/>
              <w:marTop w:val="0"/>
              <w:marBottom w:val="0"/>
              <w:divBdr>
                <w:top w:val="none" w:sz="0" w:space="0" w:color="auto"/>
                <w:left w:val="none" w:sz="0" w:space="0" w:color="auto"/>
                <w:bottom w:val="none" w:sz="0" w:space="0" w:color="auto"/>
                <w:right w:val="none" w:sz="0" w:space="0" w:color="auto"/>
              </w:divBdr>
            </w:div>
          </w:divsChild>
        </w:div>
        <w:div w:id="1593930400">
          <w:marLeft w:val="0"/>
          <w:marRight w:val="0"/>
          <w:marTop w:val="0"/>
          <w:marBottom w:val="0"/>
          <w:divBdr>
            <w:top w:val="none" w:sz="0" w:space="0" w:color="auto"/>
            <w:left w:val="none" w:sz="0" w:space="0" w:color="auto"/>
            <w:bottom w:val="none" w:sz="0" w:space="0" w:color="auto"/>
            <w:right w:val="none" w:sz="0" w:space="0" w:color="auto"/>
          </w:divBdr>
          <w:divsChild>
            <w:div w:id="585647198">
              <w:marLeft w:val="0"/>
              <w:marRight w:val="0"/>
              <w:marTop w:val="0"/>
              <w:marBottom w:val="0"/>
              <w:divBdr>
                <w:top w:val="none" w:sz="0" w:space="0" w:color="auto"/>
                <w:left w:val="none" w:sz="0" w:space="0" w:color="auto"/>
                <w:bottom w:val="none" w:sz="0" w:space="0" w:color="auto"/>
                <w:right w:val="none" w:sz="0" w:space="0" w:color="auto"/>
              </w:divBdr>
            </w:div>
          </w:divsChild>
        </w:div>
        <w:div w:id="1594779002">
          <w:marLeft w:val="0"/>
          <w:marRight w:val="0"/>
          <w:marTop w:val="0"/>
          <w:marBottom w:val="0"/>
          <w:divBdr>
            <w:top w:val="none" w:sz="0" w:space="0" w:color="auto"/>
            <w:left w:val="none" w:sz="0" w:space="0" w:color="auto"/>
            <w:bottom w:val="none" w:sz="0" w:space="0" w:color="auto"/>
            <w:right w:val="none" w:sz="0" w:space="0" w:color="auto"/>
          </w:divBdr>
          <w:divsChild>
            <w:div w:id="1048335799">
              <w:marLeft w:val="0"/>
              <w:marRight w:val="0"/>
              <w:marTop w:val="0"/>
              <w:marBottom w:val="0"/>
              <w:divBdr>
                <w:top w:val="none" w:sz="0" w:space="0" w:color="auto"/>
                <w:left w:val="none" w:sz="0" w:space="0" w:color="auto"/>
                <w:bottom w:val="none" w:sz="0" w:space="0" w:color="auto"/>
                <w:right w:val="none" w:sz="0" w:space="0" w:color="auto"/>
              </w:divBdr>
            </w:div>
          </w:divsChild>
        </w:div>
        <w:div w:id="1602176462">
          <w:marLeft w:val="0"/>
          <w:marRight w:val="0"/>
          <w:marTop w:val="0"/>
          <w:marBottom w:val="0"/>
          <w:divBdr>
            <w:top w:val="none" w:sz="0" w:space="0" w:color="auto"/>
            <w:left w:val="none" w:sz="0" w:space="0" w:color="auto"/>
            <w:bottom w:val="none" w:sz="0" w:space="0" w:color="auto"/>
            <w:right w:val="none" w:sz="0" w:space="0" w:color="auto"/>
          </w:divBdr>
          <w:divsChild>
            <w:div w:id="1612008376">
              <w:marLeft w:val="0"/>
              <w:marRight w:val="0"/>
              <w:marTop w:val="0"/>
              <w:marBottom w:val="0"/>
              <w:divBdr>
                <w:top w:val="none" w:sz="0" w:space="0" w:color="auto"/>
                <w:left w:val="none" w:sz="0" w:space="0" w:color="auto"/>
                <w:bottom w:val="none" w:sz="0" w:space="0" w:color="auto"/>
                <w:right w:val="none" w:sz="0" w:space="0" w:color="auto"/>
              </w:divBdr>
            </w:div>
          </w:divsChild>
        </w:div>
        <w:div w:id="1602763791">
          <w:marLeft w:val="0"/>
          <w:marRight w:val="0"/>
          <w:marTop w:val="0"/>
          <w:marBottom w:val="0"/>
          <w:divBdr>
            <w:top w:val="none" w:sz="0" w:space="0" w:color="auto"/>
            <w:left w:val="none" w:sz="0" w:space="0" w:color="auto"/>
            <w:bottom w:val="none" w:sz="0" w:space="0" w:color="auto"/>
            <w:right w:val="none" w:sz="0" w:space="0" w:color="auto"/>
          </w:divBdr>
          <w:divsChild>
            <w:div w:id="216013388">
              <w:marLeft w:val="0"/>
              <w:marRight w:val="0"/>
              <w:marTop w:val="0"/>
              <w:marBottom w:val="0"/>
              <w:divBdr>
                <w:top w:val="none" w:sz="0" w:space="0" w:color="auto"/>
                <w:left w:val="none" w:sz="0" w:space="0" w:color="auto"/>
                <w:bottom w:val="none" w:sz="0" w:space="0" w:color="auto"/>
                <w:right w:val="none" w:sz="0" w:space="0" w:color="auto"/>
              </w:divBdr>
            </w:div>
          </w:divsChild>
        </w:div>
        <w:div w:id="1607272155">
          <w:marLeft w:val="0"/>
          <w:marRight w:val="0"/>
          <w:marTop w:val="0"/>
          <w:marBottom w:val="0"/>
          <w:divBdr>
            <w:top w:val="none" w:sz="0" w:space="0" w:color="auto"/>
            <w:left w:val="none" w:sz="0" w:space="0" w:color="auto"/>
            <w:bottom w:val="none" w:sz="0" w:space="0" w:color="auto"/>
            <w:right w:val="none" w:sz="0" w:space="0" w:color="auto"/>
          </w:divBdr>
          <w:divsChild>
            <w:div w:id="214782494">
              <w:marLeft w:val="0"/>
              <w:marRight w:val="0"/>
              <w:marTop w:val="0"/>
              <w:marBottom w:val="0"/>
              <w:divBdr>
                <w:top w:val="none" w:sz="0" w:space="0" w:color="auto"/>
                <w:left w:val="none" w:sz="0" w:space="0" w:color="auto"/>
                <w:bottom w:val="none" w:sz="0" w:space="0" w:color="auto"/>
                <w:right w:val="none" w:sz="0" w:space="0" w:color="auto"/>
              </w:divBdr>
            </w:div>
          </w:divsChild>
        </w:div>
        <w:div w:id="1607419872">
          <w:marLeft w:val="0"/>
          <w:marRight w:val="0"/>
          <w:marTop w:val="0"/>
          <w:marBottom w:val="0"/>
          <w:divBdr>
            <w:top w:val="none" w:sz="0" w:space="0" w:color="auto"/>
            <w:left w:val="none" w:sz="0" w:space="0" w:color="auto"/>
            <w:bottom w:val="none" w:sz="0" w:space="0" w:color="auto"/>
            <w:right w:val="none" w:sz="0" w:space="0" w:color="auto"/>
          </w:divBdr>
          <w:divsChild>
            <w:div w:id="477572185">
              <w:marLeft w:val="0"/>
              <w:marRight w:val="0"/>
              <w:marTop w:val="0"/>
              <w:marBottom w:val="0"/>
              <w:divBdr>
                <w:top w:val="none" w:sz="0" w:space="0" w:color="auto"/>
                <w:left w:val="none" w:sz="0" w:space="0" w:color="auto"/>
                <w:bottom w:val="none" w:sz="0" w:space="0" w:color="auto"/>
                <w:right w:val="none" w:sz="0" w:space="0" w:color="auto"/>
              </w:divBdr>
            </w:div>
          </w:divsChild>
        </w:div>
        <w:div w:id="1607696088">
          <w:marLeft w:val="0"/>
          <w:marRight w:val="0"/>
          <w:marTop w:val="0"/>
          <w:marBottom w:val="0"/>
          <w:divBdr>
            <w:top w:val="none" w:sz="0" w:space="0" w:color="auto"/>
            <w:left w:val="none" w:sz="0" w:space="0" w:color="auto"/>
            <w:bottom w:val="none" w:sz="0" w:space="0" w:color="auto"/>
            <w:right w:val="none" w:sz="0" w:space="0" w:color="auto"/>
          </w:divBdr>
          <w:divsChild>
            <w:div w:id="2041392957">
              <w:marLeft w:val="0"/>
              <w:marRight w:val="0"/>
              <w:marTop w:val="0"/>
              <w:marBottom w:val="0"/>
              <w:divBdr>
                <w:top w:val="none" w:sz="0" w:space="0" w:color="auto"/>
                <w:left w:val="none" w:sz="0" w:space="0" w:color="auto"/>
                <w:bottom w:val="none" w:sz="0" w:space="0" w:color="auto"/>
                <w:right w:val="none" w:sz="0" w:space="0" w:color="auto"/>
              </w:divBdr>
            </w:div>
          </w:divsChild>
        </w:div>
        <w:div w:id="1608002810">
          <w:marLeft w:val="0"/>
          <w:marRight w:val="0"/>
          <w:marTop w:val="0"/>
          <w:marBottom w:val="0"/>
          <w:divBdr>
            <w:top w:val="none" w:sz="0" w:space="0" w:color="auto"/>
            <w:left w:val="none" w:sz="0" w:space="0" w:color="auto"/>
            <w:bottom w:val="none" w:sz="0" w:space="0" w:color="auto"/>
            <w:right w:val="none" w:sz="0" w:space="0" w:color="auto"/>
          </w:divBdr>
          <w:divsChild>
            <w:div w:id="248078605">
              <w:marLeft w:val="0"/>
              <w:marRight w:val="0"/>
              <w:marTop w:val="0"/>
              <w:marBottom w:val="0"/>
              <w:divBdr>
                <w:top w:val="none" w:sz="0" w:space="0" w:color="auto"/>
                <w:left w:val="none" w:sz="0" w:space="0" w:color="auto"/>
                <w:bottom w:val="none" w:sz="0" w:space="0" w:color="auto"/>
                <w:right w:val="none" w:sz="0" w:space="0" w:color="auto"/>
              </w:divBdr>
            </w:div>
          </w:divsChild>
        </w:div>
        <w:div w:id="1613392534">
          <w:marLeft w:val="0"/>
          <w:marRight w:val="0"/>
          <w:marTop w:val="0"/>
          <w:marBottom w:val="0"/>
          <w:divBdr>
            <w:top w:val="none" w:sz="0" w:space="0" w:color="auto"/>
            <w:left w:val="none" w:sz="0" w:space="0" w:color="auto"/>
            <w:bottom w:val="none" w:sz="0" w:space="0" w:color="auto"/>
            <w:right w:val="none" w:sz="0" w:space="0" w:color="auto"/>
          </w:divBdr>
          <w:divsChild>
            <w:div w:id="1204441273">
              <w:marLeft w:val="0"/>
              <w:marRight w:val="0"/>
              <w:marTop w:val="0"/>
              <w:marBottom w:val="0"/>
              <w:divBdr>
                <w:top w:val="none" w:sz="0" w:space="0" w:color="auto"/>
                <w:left w:val="none" w:sz="0" w:space="0" w:color="auto"/>
                <w:bottom w:val="none" w:sz="0" w:space="0" w:color="auto"/>
                <w:right w:val="none" w:sz="0" w:space="0" w:color="auto"/>
              </w:divBdr>
            </w:div>
          </w:divsChild>
        </w:div>
        <w:div w:id="1613826484">
          <w:marLeft w:val="0"/>
          <w:marRight w:val="0"/>
          <w:marTop w:val="0"/>
          <w:marBottom w:val="0"/>
          <w:divBdr>
            <w:top w:val="none" w:sz="0" w:space="0" w:color="auto"/>
            <w:left w:val="none" w:sz="0" w:space="0" w:color="auto"/>
            <w:bottom w:val="none" w:sz="0" w:space="0" w:color="auto"/>
            <w:right w:val="none" w:sz="0" w:space="0" w:color="auto"/>
          </w:divBdr>
          <w:divsChild>
            <w:div w:id="1445610179">
              <w:marLeft w:val="0"/>
              <w:marRight w:val="0"/>
              <w:marTop w:val="0"/>
              <w:marBottom w:val="0"/>
              <w:divBdr>
                <w:top w:val="none" w:sz="0" w:space="0" w:color="auto"/>
                <w:left w:val="none" w:sz="0" w:space="0" w:color="auto"/>
                <w:bottom w:val="none" w:sz="0" w:space="0" w:color="auto"/>
                <w:right w:val="none" w:sz="0" w:space="0" w:color="auto"/>
              </w:divBdr>
            </w:div>
          </w:divsChild>
        </w:div>
        <w:div w:id="1615671424">
          <w:marLeft w:val="0"/>
          <w:marRight w:val="0"/>
          <w:marTop w:val="0"/>
          <w:marBottom w:val="0"/>
          <w:divBdr>
            <w:top w:val="none" w:sz="0" w:space="0" w:color="auto"/>
            <w:left w:val="none" w:sz="0" w:space="0" w:color="auto"/>
            <w:bottom w:val="none" w:sz="0" w:space="0" w:color="auto"/>
            <w:right w:val="none" w:sz="0" w:space="0" w:color="auto"/>
          </w:divBdr>
          <w:divsChild>
            <w:div w:id="1365788406">
              <w:marLeft w:val="0"/>
              <w:marRight w:val="0"/>
              <w:marTop w:val="0"/>
              <w:marBottom w:val="0"/>
              <w:divBdr>
                <w:top w:val="none" w:sz="0" w:space="0" w:color="auto"/>
                <w:left w:val="none" w:sz="0" w:space="0" w:color="auto"/>
                <w:bottom w:val="none" w:sz="0" w:space="0" w:color="auto"/>
                <w:right w:val="none" w:sz="0" w:space="0" w:color="auto"/>
              </w:divBdr>
            </w:div>
          </w:divsChild>
        </w:div>
        <w:div w:id="1620263492">
          <w:marLeft w:val="0"/>
          <w:marRight w:val="0"/>
          <w:marTop w:val="0"/>
          <w:marBottom w:val="0"/>
          <w:divBdr>
            <w:top w:val="none" w:sz="0" w:space="0" w:color="auto"/>
            <w:left w:val="none" w:sz="0" w:space="0" w:color="auto"/>
            <w:bottom w:val="none" w:sz="0" w:space="0" w:color="auto"/>
            <w:right w:val="none" w:sz="0" w:space="0" w:color="auto"/>
          </w:divBdr>
          <w:divsChild>
            <w:div w:id="1292517436">
              <w:marLeft w:val="0"/>
              <w:marRight w:val="0"/>
              <w:marTop w:val="0"/>
              <w:marBottom w:val="0"/>
              <w:divBdr>
                <w:top w:val="none" w:sz="0" w:space="0" w:color="auto"/>
                <w:left w:val="none" w:sz="0" w:space="0" w:color="auto"/>
                <w:bottom w:val="none" w:sz="0" w:space="0" w:color="auto"/>
                <w:right w:val="none" w:sz="0" w:space="0" w:color="auto"/>
              </w:divBdr>
            </w:div>
          </w:divsChild>
        </w:div>
        <w:div w:id="1620332021">
          <w:marLeft w:val="0"/>
          <w:marRight w:val="0"/>
          <w:marTop w:val="0"/>
          <w:marBottom w:val="0"/>
          <w:divBdr>
            <w:top w:val="none" w:sz="0" w:space="0" w:color="auto"/>
            <w:left w:val="none" w:sz="0" w:space="0" w:color="auto"/>
            <w:bottom w:val="none" w:sz="0" w:space="0" w:color="auto"/>
            <w:right w:val="none" w:sz="0" w:space="0" w:color="auto"/>
          </w:divBdr>
          <w:divsChild>
            <w:div w:id="643582276">
              <w:marLeft w:val="0"/>
              <w:marRight w:val="0"/>
              <w:marTop w:val="0"/>
              <w:marBottom w:val="0"/>
              <w:divBdr>
                <w:top w:val="none" w:sz="0" w:space="0" w:color="auto"/>
                <w:left w:val="none" w:sz="0" w:space="0" w:color="auto"/>
                <w:bottom w:val="none" w:sz="0" w:space="0" w:color="auto"/>
                <w:right w:val="none" w:sz="0" w:space="0" w:color="auto"/>
              </w:divBdr>
            </w:div>
          </w:divsChild>
        </w:div>
        <w:div w:id="1620526243">
          <w:marLeft w:val="0"/>
          <w:marRight w:val="0"/>
          <w:marTop w:val="0"/>
          <w:marBottom w:val="0"/>
          <w:divBdr>
            <w:top w:val="none" w:sz="0" w:space="0" w:color="auto"/>
            <w:left w:val="none" w:sz="0" w:space="0" w:color="auto"/>
            <w:bottom w:val="none" w:sz="0" w:space="0" w:color="auto"/>
            <w:right w:val="none" w:sz="0" w:space="0" w:color="auto"/>
          </w:divBdr>
          <w:divsChild>
            <w:div w:id="623004680">
              <w:marLeft w:val="0"/>
              <w:marRight w:val="0"/>
              <w:marTop w:val="0"/>
              <w:marBottom w:val="0"/>
              <w:divBdr>
                <w:top w:val="none" w:sz="0" w:space="0" w:color="auto"/>
                <w:left w:val="none" w:sz="0" w:space="0" w:color="auto"/>
                <w:bottom w:val="none" w:sz="0" w:space="0" w:color="auto"/>
                <w:right w:val="none" w:sz="0" w:space="0" w:color="auto"/>
              </w:divBdr>
            </w:div>
          </w:divsChild>
        </w:div>
        <w:div w:id="1622030592">
          <w:marLeft w:val="0"/>
          <w:marRight w:val="0"/>
          <w:marTop w:val="0"/>
          <w:marBottom w:val="0"/>
          <w:divBdr>
            <w:top w:val="none" w:sz="0" w:space="0" w:color="auto"/>
            <w:left w:val="none" w:sz="0" w:space="0" w:color="auto"/>
            <w:bottom w:val="none" w:sz="0" w:space="0" w:color="auto"/>
            <w:right w:val="none" w:sz="0" w:space="0" w:color="auto"/>
          </w:divBdr>
          <w:divsChild>
            <w:div w:id="804663469">
              <w:marLeft w:val="0"/>
              <w:marRight w:val="0"/>
              <w:marTop w:val="0"/>
              <w:marBottom w:val="0"/>
              <w:divBdr>
                <w:top w:val="none" w:sz="0" w:space="0" w:color="auto"/>
                <w:left w:val="none" w:sz="0" w:space="0" w:color="auto"/>
                <w:bottom w:val="none" w:sz="0" w:space="0" w:color="auto"/>
                <w:right w:val="none" w:sz="0" w:space="0" w:color="auto"/>
              </w:divBdr>
            </w:div>
          </w:divsChild>
        </w:div>
        <w:div w:id="1628586632">
          <w:marLeft w:val="0"/>
          <w:marRight w:val="0"/>
          <w:marTop w:val="0"/>
          <w:marBottom w:val="0"/>
          <w:divBdr>
            <w:top w:val="none" w:sz="0" w:space="0" w:color="auto"/>
            <w:left w:val="none" w:sz="0" w:space="0" w:color="auto"/>
            <w:bottom w:val="none" w:sz="0" w:space="0" w:color="auto"/>
            <w:right w:val="none" w:sz="0" w:space="0" w:color="auto"/>
          </w:divBdr>
          <w:divsChild>
            <w:div w:id="1076825662">
              <w:marLeft w:val="0"/>
              <w:marRight w:val="0"/>
              <w:marTop w:val="0"/>
              <w:marBottom w:val="0"/>
              <w:divBdr>
                <w:top w:val="none" w:sz="0" w:space="0" w:color="auto"/>
                <w:left w:val="none" w:sz="0" w:space="0" w:color="auto"/>
                <w:bottom w:val="none" w:sz="0" w:space="0" w:color="auto"/>
                <w:right w:val="none" w:sz="0" w:space="0" w:color="auto"/>
              </w:divBdr>
            </w:div>
          </w:divsChild>
        </w:div>
        <w:div w:id="1630741677">
          <w:marLeft w:val="0"/>
          <w:marRight w:val="0"/>
          <w:marTop w:val="0"/>
          <w:marBottom w:val="0"/>
          <w:divBdr>
            <w:top w:val="none" w:sz="0" w:space="0" w:color="auto"/>
            <w:left w:val="none" w:sz="0" w:space="0" w:color="auto"/>
            <w:bottom w:val="none" w:sz="0" w:space="0" w:color="auto"/>
            <w:right w:val="none" w:sz="0" w:space="0" w:color="auto"/>
          </w:divBdr>
          <w:divsChild>
            <w:div w:id="2080133712">
              <w:marLeft w:val="0"/>
              <w:marRight w:val="0"/>
              <w:marTop w:val="0"/>
              <w:marBottom w:val="0"/>
              <w:divBdr>
                <w:top w:val="none" w:sz="0" w:space="0" w:color="auto"/>
                <w:left w:val="none" w:sz="0" w:space="0" w:color="auto"/>
                <w:bottom w:val="none" w:sz="0" w:space="0" w:color="auto"/>
                <w:right w:val="none" w:sz="0" w:space="0" w:color="auto"/>
              </w:divBdr>
            </w:div>
          </w:divsChild>
        </w:div>
        <w:div w:id="1632637360">
          <w:marLeft w:val="0"/>
          <w:marRight w:val="0"/>
          <w:marTop w:val="0"/>
          <w:marBottom w:val="0"/>
          <w:divBdr>
            <w:top w:val="none" w:sz="0" w:space="0" w:color="auto"/>
            <w:left w:val="none" w:sz="0" w:space="0" w:color="auto"/>
            <w:bottom w:val="none" w:sz="0" w:space="0" w:color="auto"/>
            <w:right w:val="none" w:sz="0" w:space="0" w:color="auto"/>
          </w:divBdr>
          <w:divsChild>
            <w:div w:id="451485364">
              <w:marLeft w:val="0"/>
              <w:marRight w:val="0"/>
              <w:marTop w:val="0"/>
              <w:marBottom w:val="0"/>
              <w:divBdr>
                <w:top w:val="none" w:sz="0" w:space="0" w:color="auto"/>
                <w:left w:val="none" w:sz="0" w:space="0" w:color="auto"/>
                <w:bottom w:val="none" w:sz="0" w:space="0" w:color="auto"/>
                <w:right w:val="none" w:sz="0" w:space="0" w:color="auto"/>
              </w:divBdr>
            </w:div>
          </w:divsChild>
        </w:div>
        <w:div w:id="1635326960">
          <w:marLeft w:val="0"/>
          <w:marRight w:val="0"/>
          <w:marTop w:val="0"/>
          <w:marBottom w:val="0"/>
          <w:divBdr>
            <w:top w:val="none" w:sz="0" w:space="0" w:color="auto"/>
            <w:left w:val="none" w:sz="0" w:space="0" w:color="auto"/>
            <w:bottom w:val="none" w:sz="0" w:space="0" w:color="auto"/>
            <w:right w:val="none" w:sz="0" w:space="0" w:color="auto"/>
          </w:divBdr>
          <w:divsChild>
            <w:div w:id="449323747">
              <w:marLeft w:val="0"/>
              <w:marRight w:val="0"/>
              <w:marTop w:val="0"/>
              <w:marBottom w:val="0"/>
              <w:divBdr>
                <w:top w:val="none" w:sz="0" w:space="0" w:color="auto"/>
                <w:left w:val="none" w:sz="0" w:space="0" w:color="auto"/>
                <w:bottom w:val="none" w:sz="0" w:space="0" w:color="auto"/>
                <w:right w:val="none" w:sz="0" w:space="0" w:color="auto"/>
              </w:divBdr>
            </w:div>
          </w:divsChild>
        </w:div>
        <w:div w:id="1639139718">
          <w:marLeft w:val="0"/>
          <w:marRight w:val="0"/>
          <w:marTop w:val="0"/>
          <w:marBottom w:val="0"/>
          <w:divBdr>
            <w:top w:val="none" w:sz="0" w:space="0" w:color="auto"/>
            <w:left w:val="none" w:sz="0" w:space="0" w:color="auto"/>
            <w:bottom w:val="none" w:sz="0" w:space="0" w:color="auto"/>
            <w:right w:val="none" w:sz="0" w:space="0" w:color="auto"/>
          </w:divBdr>
          <w:divsChild>
            <w:div w:id="955329852">
              <w:marLeft w:val="0"/>
              <w:marRight w:val="0"/>
              <w:marTop w:val="0"/>
              <w:marBottom w:val="0"/>
              <w:divBdr>
                <w:top w:val="none" w:sz="0" w:space="0" w:color="auto"/>
                <w:left w:val="none" w:sz="0" w:space="0" w:color="auto"/>
                <w:bottom w:val="none" w:sz="0" w:space="0" w:color="auto"/>
                <w:right w:val="none" w:sz="0" w:space="0" w:color="auto"/>
              </w:divBdr>
            </w:div>
          </w:divsChild>
        </w:div>
        <w:div w:id="1641157513">
          <w:marLeft w:val="0"/>
          <w:marRight w:val="0"/>
          <w:marTop w:val="0"/>
          <w:marBottom w:val="0"/>
          <w:divBdr>
            <w:top w:val="none" w:sz="0" w:space="0" w:color="auto"/>
            <w:left w:val="none" w:sz="0" w:space="0" w:color="auto"/>
            <w:bottom w:val="none" w:sz="0" w:space="0" w:color="auto"/>
            <w:right w:val="none" w:sz="0" w:space="0" w:color="auto"/>
          </w:divBdr>
          <w:divsChild>
            <w:div w:id="1069229698">
              <w:marLeft w:val="0"/>
              <w:marRight w:val="0"/>
              <w:marTop w:val="0"/>
              <w:marBottom w:val="0"/>
              <w:divBdr>
                <w:top w:val="none" w:sz="0" w:space="0" w:color="auto"/>
                <w:left w:val="none" w:sz="0" w:space="0" w:color="auto"/>
                <w:bottom w:val="none" w:sz="0" w:space="0" w:color="auto"/>
                <w:right w:val="none" w:sz="0" w:space="0" w:color="auto"/>
              </w:divBdr>
            </w:div>
          </w:divsChild>
        </w:div>
        <w:div w:id="1642533744">
          <w:marLeft w:val="0"/>
          <w:marRight w:val="0"/>
          <w:marTop w:val="0"/>
          <w:marBottom w:val="0"/>
          <w:divBdr>
            <w:top w:val="none" w:sz="0" w:space="0" w:color="auto"/>
            <w:left w:val="none" w:sz="0" w:space="0" w:color="auto"/>
            <w:bottom w:val="none" w:sz="0" w:space="0" w:color="auto"/>
            <w:right w:val="none" w:sz="0" w:space="0" w:color="auto"/>
          </w:divBdr>
          <w:divsChild>
            <w:div w:id="615874031">
              <w:marLeft w:val="0"/>
              <w:marRight w:val="0"/>
              <w:marTop w:val="0"/>
              <w:marBottom w:val="0"/>
              <w:divBdr>
                <w:top w:val="none" w:sz="0" w:space="0" w:color="auto"/>
                <w:left w:val="none" w:sz="0" w:space="0" w:color="auto"/>
                <w:bottom w:val="none" w:sz="0" w:space="0" w:color="auto"/>
                <w:right w:val="none" w:sz="0" w:space="0" w:color="auto"/>
              </w:divBdr>
            </w:div>
          </w:divsChild>
        </w:div>
        <w:div w:id="1644383400">
          <w:marLeft w:val="0"/>
          <w:marRight w:val="0"/>
          <w:marTop w:val="0"/>
          <w:marBottom w:val="0"/>
          <w:divBdr>
            <w:top w:val="none" w:sz="0" w:space="0" w:color="auto"/>
            <w:left w:val="none" w:sz="0" w:space="0" w:color="auto"/>
            <w:bottom w:val="none" w:sz="0" w:space="0" w:color="auto"/>
            <w:right w:val="none" w:sz="0" w:space="0" w:color="auto"/>
          </w:divBdr>
          <w:divsChild>
            <w:div w:id="1598948361">
              <w:marLeft w:val="0"/>
              <w:marRight w:val="0"/>
              <w:marTop w:val="0"/>
              <w:marBottom w:val="0"/>
              <w:divBdr>
                <w:top w:val="none" w:sz="0" w:space="0" w:color="auto"/>
                <w:left w:val="none" w:sz="0" w:space="0" w:color="auto"/>
                <w:bottom w:val="none" w:sz="0" w:space="0" w:color="auto"/>
                <w:right w:val="none" w:sz="0" w:space="0" w:color="auto"/>
              </w:divBdr>
            </w:div>
          </w:divsChild>
        </w:div>
        <w:div w:id="1646663510">
          <w:marLeft w:val="0"/>
          <w:marRight w:val="0"/>
          <w:marTop w:val="0"/>
          <w:marBottom w:val="0"/>
          <w:divBdr>
            <w:top w:val="none" w:sz="0" w:space="0" w:color="auto"/>
            <w:left w:val="none" w:sz="0" w:space="0" w:color="auto"/>
            <w:bottom w:val="none" w:sz="0" w:space="0" w:color="auto"/>
            <w:right w:val="none" w:sz="0" w:space="0" w:color="auto"/>
          </w:divBdr>
          <w:divsChild>
            <w:div w:id="158037596">
              <w:marLeft w:val="0"/>
              <w:marRight w:val="0"/>
              <w:marTop w:val="0"/>
              <w:marBottom w:val="0"/>
              <w:divBdr>
                <w:top w:val="none" w:sz="0" w:space="0" w:color="auto"/>
                <w:left w:val="none" w:sz="0" w:space="0" w:color="auto"/>
                <w:bottom w:val="none" w:sz="0" w:space="0" w:color="auto"/>
                <w:right w:val="none" w:sz="0" w:space="0" w:color="auto"/>
              </w:divBdr>
            </w:div>
          </w:divsChild>
        </w:div>
        <w:div w:id="1647467449">
          <w:marLeft w:val="0"/>
          <w:marRight w:val="0"/>
          <w:marTop w:val="0"/>
          <w:marBottom w:val="0"/>
          <w:divBdr>
            <w:top w:val="none" w:sz="0" w:space="0" w:color="auto"/>
            <w:left w:val="none" w:sz="0" w:space="0" w:color="auto"/>
            <w:bottom w:val="none" w:sz="0" w:space="0" w:color="auto"/>
            <w:right w:val="none" w:sz="0" w:space="0" w:color="auto"/>
          </w:divBdr>
          <w:divsChild>
            <w:div w:id="1906183818">
              <w:marLeft w:val="0"/>
              <w:marRight w:val="0"/>
              <w:marTop w:val="0"/>
              <w:marBottom w:val="0"/>
              <w:divBdr>
                <w:top w:val="none" w:sz="0" w:space="0" w:color="auto"/>
                <w:left w:val="none" w:sz="0" w:space="0" w:color="auto"/>
                <w:bottom w:val="none" w:sz="0" w:space="0" w:color="auto"/>
                <w:right w:val="none" w:sz="0" w:space="0" w:color="auto"/>
              </w:divBdr>
            </w:div>
          </w:divsChild>
        </w:div>
        <w:div w:id="1651056626">
          <w:marLeft w:val="0"/>
          <w:marRight w:val="0"/>
          <w:marTop w:val="0"/>
          <w:marBottom w:val="0"/>
          <w:divBdr>
            <w:top w:val="none" w:sz="0" w:space="0" w:color="auto"/>
            <w:left w:val="none" w:sz="0" w:space="0" w:color="auto"/>
            <w:bottom w:val="none" w:sz="0" w:space="0" w:color="auto"/>
            <w:right w:val="none" w:sz="0" w:space="0" w:color="auto"/>
          </w:divBdr>
          <w:divsChild>
            <w:div w:id="113061567">
              <w:marLeft w:val="0"/>
              <w:marRight w:val="0"/>
              <w:marTop w:val="0"/>
              <w:marBottom w:val="0"/>
              <w:divBdr>
                <w:top w:val="none" w:sz="0" w:space="0" w:color="auto"/>
                <w:left w:val="none" w:sz="0" w:space="0" w:color="auto"/>
                <w:bottom w:val="none" w:sz="0" w:space="0" w:color="auto"/>
                <w:right w:val="none" w:sz="0" w:space="0" w:color="auto"/>
              </w:divBdr>
            </w:div>
          </w:divsChild>
        </w:div>
        <w:div w:id="1651136742">
          <w:marLeft w:val="0"/>
          <w:marRight w:val="0"/>
          <w:marTop w:val="0"/>
          <w:marBottom w:val="0"/>
          <w:divBdr>
            <w:top w:val="none" w:sz="0" w:space="0" w:color="auto"/>
            <w:left w:val="none" w:sz="0" w:space="0" w:color="auto"/>
            <w:bottom w:val="none" w:sz="0" w:space="0" w:color="auto"/>
            <w:right w:val="none" w:sz="0" w:space="0" w:color="auto"/>
          </w:divBdr>
          <w:divsChild>
            <w:div w:id="964624473">
              <w:marLeft w:val="0"/>
              <w:marRight w:val="0"/>
              <w:marTop w:val="0"/>
              <w:marBottom w:val="0"/>
              <w:divBdr>
                <w:top w:val="none" w:sz="0" w:space="0" w:color="auto"/>
                <w:left w:val="none" w:sz="0" w:space="0" w:color="auto"/>
                <w:bottom w:val="none" w:sz="0" w:space="0" w:color="auto"/>
                <w:right w:val="none" w:sz="0" w:space="0" w:color="auto"/>
              </w:divBdr>
            </w:div>
          </w:divsChild>
        </w:div>
        <w:div w:id="1656107773">
          <w:marLeft w:val="0"/>
          <w:marRight w:val="0"/>
          <w:marTop w:val="0"/>
          <w:marBottom w:val="0"/>
          <w:divBdr>
            <w:top w:val="none" w:sz="0" w:space="0" w:color="auto"/>
            <w:left w:val="none" w:sz="0" w:space="0" w:color="auto"/>
            <w:bottom w:val="none" w:sz="0" w:space="0" w:color="auto"/>
            <w:right w:val="none" w:sz="0" w:space="0" w:color="auto"/>
          </w:divBdr>
          <w:divsChild>
            <w:div w:id="173693540">
              <w:marLeft w:val="0"/>
              <w:marRight w:val="0"/>
              <w:marTop w:val="0"/>
              <w:marBottom w:val="0"/>
              <w:divBdr>
                <w:top w:val="none" w:sz="0" w:space="0" w:color="auto"/>
                <w:left w:val="none" w:sz="0" w:space="0" w:color="auto"/>
                <w:bottom w:val="none" w:sz="0" w:space="0" w:color="auto"/>
                <w:right w:val="none" w:sz="0" w:space="0" w:color="auto"/>
              </w:divBdr>
            </w:div>
          </w:divsChild>
        </w:div>
        <w:div w:id="1660379494">
          <w:marLeft w:val="0"/>
          <w:marRight w:val="0"/>
          <w:marTop w:val="0"/>
          <w:marBottom w:val="0"/>
          <w:divBdr>
            <w:top w:val="none" w:sz="0" w:space="0" w:color="auto"/>
            <w:left w:val="none" w:sz="0" w:space="0" w:color="auto"/>
            <w:bottom w:val="none" w:sz="0" w:space="0" w:color="auto"/>
            <w:right w:val="none" w:sz="0" w:space="0" w:color="auto"/>
          </w:divBdr>
          <w:divsChild>
            <w:div w:id="1484812352">
              <w:marLeft w:val="0"/>
              <w:marRight w:val="0"/>
              <w:marTop w:val="0"/>
              <w:marBottom w:val="0"/>
              <w:divBdr>
                <w:top w:val="none" w:sz="0" w:space="0" w:color="auto"/>
                <w:left w:val="none" w:sz="0" w:space="0" w:color="auto"/>
                <w:bottom w:val="none" w:sz="0" w:space="0" w:color="auto"/>
                <w:right w:val="none" w:sz="0" w:space="0" w:color="auto"/>
              </w:divBdr>
            </w:div>
          </w:divsChild>
        </w:div>
        <w:div w:id="1660649162">
          <w:marLeft w:val="0"/>
          <w:marRight w:val="0"/>
          <w:marTop w:val="0"/>
          <w:marBottom w:val="0"/>
          <w:divBdr>
            <w:top w:val="none" w:sz="0" w:space="0" w:color="auto"/>
            <w:left w:val="none" w:sz="0" w:space="0" w:color="auto"/>
            <w:bottom w:val="none" w:sz="0" w:space="0" w:color="auto"/>
            <w:right w:val="none" w:sz="0" w:space="0" w:color="auto"/>
          </w:divBdr>
          <w:divsChild>
            <w:div w:id="2061636018">
              <w:marLeft w:val="0"/>
              <w:marRight w:val="0"/>
              <w:marTop w:val="0"/>
              <w:marBottom w:val="0"/>
              <w:divBdr>
                <w:top w:val="none" w:sz="0" w:space="0" w:color="auto"/>
                <w:left w:val="none" w:sz="0" w:space="0" w:color="auto"/>
                <w:bottom w:val="none" w:sz="0" w:space="0" w:color="auto"/>
                <w:right w:val="none" w:sz="0" w:space="0" w:color="auto"/>
              </w:divBdr>
            </w:div>
          </w:divsChild>
        </w:div>
        <w:div w:id="1662583986">
          <w:marLeft w:val="0"/>
          <w:marRight w:val="0"/>
          <w:marTop w:val="0"/>
          <w:marBottom w:val="0"/>
          <w:divBdr>
            <w:top w:val="none" w:sz="0" w:space="0" w:color="auto"/>
            <w:left w:val="none" w:sz="0" w:space="0" w:color="auto"/>
            <w:bottom w:val="none" w:sz="0" w:space="0" w:color="auto"/>
            <w:right w:val="none" w:sz="0" w:space="0" w:color="auto"/>
          </w:divBdr>
          <w:divsChild>
            <w:div w:id="1235972607">
              <w:marLeft w:val="0"/>
              <w:marRight w:val="0"/>
              <w:marTop w:val="0"/>
              <w:marBottom w:val="0"/>
              <w:divBdr>
                <w:top w:val="none" w:sz="0" w:space="0" w:color="auto"/>
                <w:left w:val="none" w:sz="0" w:space="0" w:color="auto"/>
                <w:bottom w:val="none" w:sz="0" w:space="0" w:color="auto"/>
                <w:right w:val="none" w:sz="0" w:space="0" w:color="auto"/>
              </w:divBdr>
            </w:div>
          </w:divsChild>
        </w:div>
        <w:div w:id="1664504147">
          <w:marLeft w:val="0"/>
          <w:marRight w:val="0"/>
          <w:marTop w:val="0"/>
          <w:marBottom w:val="0"/>
          <w:divBdr>
            <w:top w:val="none" w:sz="0" w:space="0" w:color="auto"/>
            <w:left w:val="none" w:sz="0" w:space="0" w:color="auto"/>
            <w:bottom w:val="none" w:sz="0" w:space="0" w:color="auto"/>
            <w:right w:val="none" w:sz="0" w:space="0" w:color="auto"/>
          </w:divBdr>
          <w:divsChild>
            <w:div w:id="77599805">
              <w:marLeft w:val="0"/>
              <w:marRight w:val="0"/>
              <w:marTop w:val="0"/>
              <w:marBottom w:val="0"/>
              <w:divBdr>
                <w:top w:val="none" w:sz="0" w:space="0" w:color="auto"/>
                <w:left w:val="none" w:sz="0" w:space="0" w:color="auto"/>
                <w:bottom w:val="none" w:sz="0" w:space="0" w:color="auto"/>
                <w:right w:val="none" w:sz="0" w:space="0" w:color="auto"/>
              </w:divBdr>
            </w:div>
          </w:divsChild>
        </w:div>
        <w:div w:id="1664896084">
          <w:marLeft w:val="0"/>
          <w:marRight w:val="0"/>
          <w:marTop w:val="0"/>
          <w:marBottom w:val="0"/>
          <w:divBdr>
            <w:top w:val="none" w:sz="0" w:space="0" w:color="auto"/>
            <w:left w:val="none" w:sz="0" w:space="0" w:color="auto"/>
            <w:bottom w:val="none" w:sz="0" w:space="0" w:color="auto"/>
            <w:right w:val="none" w:sz="0" w:space="0" w:color="auto"/>
          </w:divBdr>
          <w:divsChild>
            <w:div w:id="1400439564">
              <w:marLeft w:val="0"/>
              <w:marRight w:val="0"/>
              <w:marTop w:val="0"/>
              <w:marBottom w:val="0"/>
              <w:divBdr>
                <w:top w:val="none" w:sz="0" w:space="0" w:color="auto"/>
                <w:left w:val="none" w:sz="0" w:space="0" w:color="auto"/>
                <w:bottom w:val="none" w:sz="0" w:space="0" w:color="auto"/>
                <w:right w:val="none" w:sz="0" w:space="0" w:color="auto"/>
              </w:divBdr>
            </w:div>
          </w:divsChild>
        </w:div>
        <w:div w:id="1670326979">
          <w:marLeft w:val="0"/>
          <w:marRight w:val="0"/>
          <w:marTop w:val="0"/>
          <w:marBottom w:val="0"/>
          <w:divBdr>
            <w:top w:val="none" w:sz="0" w:space="0" w:color="auto"/>
            <w:left w:val="none" w:sz="0" w:space="0" w:color="auto"/>
            <w:bottom w:val="none" w:sz="0" w:space="0" w:color="auto"/>
            <w:right w:val="none" w:sz="0" w:space="0" w:color="auto"/>
          </w:divBdr>
          <w:divsChild>
            <w:div w:id="221404906">
              <w:marLeft w:val="0"/>
              <w:marRight w:val="0"/>
              <w:marTop w:val="0"/>
              <w:marBottom w:val="0"/>
              <w:divBdr>
                <w:top w:val="none" w:sz="0" w:space="0" w:color="auto"/>
                <w:left w:val="none" w:sz="0" w:space="0" w:color="auto"/>
                <w:bottom w:val="none" w:sz="0" w:space="0" w:color="auto"/>
                <w:right w:val="none" w:sz="0" w:space="0" w:color="auto"/>
              </w:divBdr>
            </w:div>
          </w:divsChild>
        </w:div>
        <w:div w:id="1670331647">
          <w:marLeft w:val="0"/>
          <w:marRight w:val="0"/>
          <w:marTop w:val="0"/>
          <w:marBottom w:val="0"/>
          <w:divBdr>
            <w:top w:val="none" w:sz="0" w:space="0" w:color="auto"/>
            <w:left w:val="none" w:sz="0" w:space="0" w:color="auto"/>
            <w:bottom w:val="none" w:sz="0" w:space="0" w:color="auto"/>
            <w:right w:val="none" w:sz="0" w:space="0" w:color="auto"/>
          </w:divBdr>
          <w:divsChild>
            <w:div w:id="1728067080">
              <w:marLeft w:val="0"/>
              <w:marRight w:val="0"/>
              <w:marTop w:val="0"/>
              <w:marBottom w:val="0"/>
              <w:divBdr>
                <w:top w:val="none" w:sz="0" w:space="0" w:color="auto"/>
                <w:left w:val="none" w:sz="0" w:space="0" w:color="auto"/>
                <w:bottom w:val="none" w:sz="0" w:space="0" w:color="auto"/>
                <w:right w:val="none" w:sz="0" w:space="0" w:color="auto"/>
              </w:divBdr>
            </w:div>
          </w:divsChild>
        </w:div>
        <w:div w:id="1673608891">
          <w:marLeft w:val="0"/>
          <w:marRight w:val="0"/>
          <w:marTop w:val="0"/>
          <w:marBottom w:val="0"/>
          <w:divBdr>
            <w:top w:val="none" w:sz="0" w:space="0" w:color="auto"/>
            <w:left w:val="none" w:sz="0" w:space="0" w:color="auto"/>
            <w:bottom w:val="none" w:sz="0" w:space="0" w:color="auto"/>
            <w:right w:val="none" w:sz="0" w:space="0" w:color="auto"/>
          </w:divBdr>
          <w:divsChild>
            <w:div w:id="605432581">
              <w:marLeft w:val="0"/>
              <w:marRight w:val="0"/>
              <w:marTop w:val="0"/>
              <w:marBottom w:val="0"/>
              <w:divBdr>
                <w:top w:val="none" w:sz="0" w:space="0" w:color="auto"/>
                <w:left w:val="none" w:sz="0" w:space="0" w:color="auto"/>
                <w:bottom w:val="none" w:sz="0" w:space="0" w:color="auto"/>
                <w:right w:val="none" w:sz="0" w:space="0" w:color="auto"/>
              </w:divBdr>
            </w:div>
          </w:divsChild>
        </w:div>
        <w:div w:id="1676568447">
          <w:marLeft w:val="0"/>
          <w:marRight w:val="0"/>
          <w:marTop w:val="0"/>
          <w:marBottom w:val="0"/>
          <w:divBdr>
            <w:top w:val="none" w:sz="0" w:space="0" w:color="auto"/>
            <w:left w:val="none" w:sz="0" w:space="0" w:color="auto"/>
            <w:bottom w:val="none" w:sz="0" w:space="0" w:color="auto"/>
            <w:right w:val="none" w:sz="0" w:space="0" w:color="auto"/>
          </w:divBdr>
          <w:divsChild>
            <w:div w:id="1219704124">
              <w:marLeft w:val="0"/>
              <w:marRight w:val="0"/>
              <w:marTop w:val="0"/>
              <w:marBottom w:val="0"/>
              <w:divBdr>
                <w:top w:val="none" w:sz="0" w:space="0" w:color="auto"/>
                <w:left w:val="none" w:sz="0" w:space="0" w:color="auto"/>
                <w:bottom w:val="none" w:sz="0" w:space="0" w:color="auto"/>
                <w:right w:val="none" w:sz="0" w:space="0" w:color="auto"/>
              </w:divBdr>
            </w:div>
          </w:divsChild>
        </w:div>
        <w:div w:id="1682464921">
          <w:marLeft w:val="0"/>
          <w:marRight w:val="0"/>
          <w:marTop w:val="0"/>
          <w:marBottom w:val="0"/>
          <w:divBdr>
            <w:top w:val="none" w:sz="0" w:space="0" w:color="auto"/>
            <w:left w:val="none" w:sz="0" w:space="0" w:color="auto"/>
            <w:bottom w:val="none" w:sz="0" w:space="0" w:color="auto"/>
            <w:right w:val="none" w:sz="0" w:space="0" w:color="auto"/>
          </w:divBdr>
          <w:divsChild>
            <w:div w:id="995189382">
              <w:marLeft w:val="0"/>
              <w:marRight w:val="0"/>
              <w:marTop w:val="0"/>
              <w:marBottom w:val="0"/>
              <w:divBdr>
                <w:top w:val="none" w:sz="0" w:space="0" w:color="auto"/>
                <w:left w:val="none" w:sz="0" w:space="0" w:color="auto"/>
                <w:bottom w:val="none" w:sz="0" w:space="0" w:color="auto"/>
                <w:right w:val="none" w:sz="0" w:space="0" w:color="auto"/>
              </w:divBdr>
            </w:div>
          </w:divsChild>
        </w:div>
        <w:div w:id="1683556798">
          <w:marLeft w:val="0"/>
          <w:marRight w:val="0"/>
          <w:marTop w:val="0"/>
          <w:marBottom w:val="0"/>
          <w:divBdr>
            <w:top w:val="none" w:sz="0" w:space="0" w:color="auto"/>
            <w:left w:val="none" w:sz="0" w:space="0" w:color="auto"/>
            <w:bottom w:val="none" w:sz="0" w:space="0" w:color="auto"/>
            <w:right w:val="none" w:sz="0" w:space="0" w:color="auto"/>
          </w:divBdr>
          <w:divsChild>
            <w:div w:id="1434863560">
              <w:marLeft w:val="0"/>
              <w:marRight w:val="0"/>
              <w:marTop w:val="0"/>
              <w:marBottom w:val="0"/>
              <w:divBdr>
                <w:top w:val="none" w:sz="0" w:space="0" w:color="auto"/>
                <w:left w:val="none" w:sz="0" w:space="0" w:color="auto"/>
                <w:bottom w:val="none" w:sz="0" w:space="0" w:color="auto"/>
                <w:right w:val="none" w:sz="0" w:space="0" w:color="auto"/>
              </w:divBdr>
            </w:div>
          </w:divsChild>
        </w:div>
        <w:div w:id="1685127285">
          <w:marLeft w:val="0"/>
          <w:marRight w:val="0"/>
          <w:marTop w:val="0"/>
          <w:marBottom w:val="0"/>
          <w:divBdr>
            <w:top w:val="none" w:sz="0" w:space="0" w:color="auto"/>
            <w:left w:val="none" w:sz="0" w:space="0" w:color="auto"/>
            <w:bottom w:val="none" w:sz="0" w:space="0" w:color="auto"/>
            <w:right w:val="none" w:sz="0" w:space="0" w:color="auto"/>
          </w:divBdr>
          <w:divsChild>
            <w:div w:id="1765882606">
              <w:marLeft w:val="0"/>
              <w:marRight w:val="0"/>
              <w:marTop w:val="0"/>
              <w:marBottom w:val="0"/>
              <w:divBdr>
                <w:top w:val="none" w:sz="0" w:space="0" w:color="auto"/>
                <w:left w:val="none" w:sz="0" w:space="0" w:color="auto"/>
                <w:bottom w:val="none" w:sz="0" w:space="0" w:color="auto"/>
                <w:right w:val="none" w:sz="0" w:space="0" w:color="auto"/>
              </w:divBdr>
            </w:div>
          </w:divsChild>
        </w:div>
        <w:div w:id="1685132101">
          <w:marLeft w:val="0"/>
          <w:marRight w:val="0"/>
          <w:marTop w:val="0"/>
          <w:marBottom w:val="0"/>
          <w:divBdr>
            <w:top w:val="none" w:sz="0" w:space="0" w:color="auto"/>
            <w:left w:val="none" w:sz="0" w:space="0" w:color="auto"/>
            <w:bottom w:val="none" w:sz="0" w:space="0" w:color="auto"/>
            <w:right w:val="none" w:sz="0" w:space="0" w:color="auto"/>
          </w:divBdr>
          <w:divsChild>
            <w:div w:id="1908303595">
              <w:marLeft w:val="0"/>
              <w:marRight w:val="0"/>
              <w:marTop w:val="0"/>
              <w:marBottom w:val="0"/>
              <w:divBdr>
                <w:top w:val="none" w:sz="0" w:space="0" w:color="auto"/>
                <w:left w:val="none" w:sz="0" w:space="0" w:color="auto"/>
                <w:bottom w:val="none" w:sz="0" w:space="0" w:color="auto"/>
                <w:right w:val="none" w:sz="0" w:space="0" w:color="auto"/>
              </w:divBdr>
            </w:div>
          </w:divsChild>
        </w:div>
        <w:div w:id="1691758807">
          <w:marLeft w:val="0"/>
          <w:marRight w:val="0"/>
          <w:marTop w:val="0"/>
          <w:marBottom w:val="0"/>
          <w:divBdr>
            <w:top w:val="none" w:sz="0" w:space="0" w:color="auto"/>
            <w:left w:val="none" w:sz="0" w:space="0" w:color="auto"/>
            <w:bottom w:val="none" w:sz="0" w:space="0" w:color="auto"/>
            <w:right w:val="none" w:sz="0" w:space="0" w:color="auto"/>
          </w:divBdr>
          <w:divsChild>
            <w:div w:id="1150900786">
              <w:marLeft w:val="0"/>
              <w:marRight w:val="0"/>
              <w:marTop w:val="0"/>
              <w:marBottom w:val="0"/>
              <w:divBdr>
                <w:top w:val="none" w:sz="0" w:space="0" w:color="auto"/>
                <w:left w:val="none" w:sz="0" w:space="0" w:color="auto"/>
                <w:bottom w:val="none" w:sz="0" w:space="0" w:color="auto"/>
                <w:right w:val="none" w:sz="0" w:space="0" w:color="auto"/>
              </w:divBdr>
            </w:div>
          </w:divsChild>
        </w:div>
        <w:div w:id="1692879889">
          <w:marLeft w:val="0"/>
          <w:marRight w:val="0"/>
          <w:marTop w:val="0"/>
          <w:marBottom w:val="0"/>
          <w:divBdr>
            <w:top w:val="none" w:sz="0" w:space="0" w:color="auto"/>
            <w:left w:val="none" w:sz="0" w:space="0" w:color="auto"/>
            <w:bottom w:val="none" w:sz="0" w:space="0" w:color="auto"/>
            <w:right w:val="none" w:sz="0" w:space="0" w:color="auto"/>
          </w:divBdr>
          <w:divsChild>
            <w:div w:id="1760564475">
              <w:marLeft w:val="0"/>
              <w:marRight w:val="0"/>
              <w:marTop w:val="0"/>
              <w:marBottom w:val="0"/>
              <w:divBdr>
                <w:top w:val="none" w:sz="0" w:space="0" w:color="auto"/>
                <w:left w:val="none" w:sz="0" w:space="0" w:color="auto"/>
                <w:bottom w:val="none" w:sz="0" w:space="0" w:color="auto"/>
                <w:right w:val="none" w:sz="0" w:space="0" w:color="auto"/>
              </w:divBdr>
            </w:div>
          </w:divsChild>
        </w:div>
        <w:div w:id="1692992722">
          <w:marLeft w:val="0"/>
          <w:marRight w:val="0"/>
          <w:marTop w:val="0"/>
          <w:marBottom w:val="0"/>
          <w:divBdr>
            <w:top w:val="none" w:sz="0" w:space="0" w:color="auto"/>
            <w:left w:val="none" w:sz="0" w:space="0" w:color="auto"/>
            <w:bottom w:val="none" w:sz="0" w:space="0" w:color="auto"/>
            <w:right w:val="none" w:sz="0" w:space="0" w:color="auto"/>
          </w:divBdr>
          <w:divsChild>
            <w:div w:id="2100716190">
              <w:marLeft w:val="0"/>
              <w:marRight w:val="0"/>
              <w:marTop w:val="0"/>
              <w:marBottom w:val="0"/>
              <w:divBdr>
                <w:top w:val="none" w:sz="0" w:space="0" w:color="auto"/>
                <w:left w:val="none" w:sz="0" w:space="0" w:color="auto"/>
                <w:bottom w:val="none" w:sz="0" w:space="0" w:color="auto"/>
                <w:right w:val="none" w:sz="0" w:space="0" w:color="auto"/>
              </w:divBdr>
            </w:div>
          </w:divsChild>
        </w:div>
        <w:div w:id="1697342345">
          <w:marLeft w:val="0"/>
          <w:marRight w:val="0"/>
          <w:marTop w:val="0"/>
          <w:marBottom w:val="0"/>
          <w:divBdr>
            <w:top w:val="none" w:sz="0" w:space="0" w:color="auto"/>
            <w:left w:val="none" w:sz="0" w:space="0" w:color="auto"/>
            <w:bottom w:val="none" w:sz="0" w:space="0" w:color="auto"/>
            <w:right w:val="none" w:sz="0" w:space="0" w:color="auto"/>
          </w:divBdr>
          <w:divsChild>
            <w:div w:id="1777478331">
              <w:marLeft w:val="0"/>
              <w:marRight w:val="0"/>
              <w:marTop w:val="0"/>
              <w:marBottom w:val="0"/>
              <w:divBdr>
                <w:top w:val="none" w:sz="0" w:space="0" w:color="auto"/>
                <w:left w:val="none" w:sz="0" w:space="0" w:color="auto"/>
                <w:bottom w:val="none" w:sz="0" w:space="0" w:color="auto"/>
                <w:right w:val="none" w:sz="0" w:space="0" w:color="auto"/>
              </w:divBdr>
            </w:div>
          </w:divsChild>
        </w:div>
        <w:div w:id="1698307917">
          <w:marLeft w:val="0"/>
          <w:marRight w:val="0"/>
          <w:marTop w:val="0"/>
          <w:marBottom w:val="0"/>
          <w:divBdr>
            <w:top w:val="none" w:sz="0" w:space="0" w:color="auto"/>
            <w:left w:val="none" w:sz="0" w:space="0" w:color="auto"/>
            <w:bottom w:val="none" w:sz="0" w:space="0" w:color="auto"/>
            <w:right w:val="none" w:sz="0" w:space="0" w:color="auto"/>
          </w:divBdr>
          <w:divsChild>
            <w:div w:id="1341858391">
              <w:marLeft w:val="0"/>
              <w:marRight w:val="0"/>
              <w:marTop w:val="0"/>
              <w:marBottom w:val="0"/>
              <w:divBdr>
                <w:top w:val="none" w:sz="0" w:space="0" w:color="auto"/>
                <w:left w:val="none" w:sz="0" w:space="0" w:color="auto"/>
                <w:bottom w:val="none" w:sz="0" w:space="0" w:color="auto"/>
                <w:right w:val="none" w:sz="0" w:space="0" w:color="auto"/>
              </w:divBdr>
            </w:div>
          </w:divsChild>
        </w:div>
        <w:div w:id="1701317744">
          <w:marLeft w:val="0"/>
          <w:marRight w:val="0"/>
          <w:marTop w:val="0"/>
          <w:marBottom w:val="0"/>
          <w:divBdr>
            <w:top w:val="none" w:sz="0" w:space="0" w:color="auto"/>
            <w:left w:val="none" w:sz="0" w:space="0" w:color="auto"/>
            <w:bottom w:val="none" w:sz="0" w:space="0" w:color="auto"/>
            <w:right w:val="none" w:sz="0" w:space="0" w:color="auto"/>
          </w:divBdr>
          <w:divsChild>
            <w:div w:id="1954315749">
              <w:marLeft w:val="0"/>
              <w:marRight w:val="0"/>
              <w:marTop w:val="0"/>
              <w:marBottom w:val="0"/>
              <w:divBdr>
                <w:top w:val="none" w:sz="0" w:space="0" w:color="auto"/>
                <w:left w:val="none" w:sz="0" w:space="0" w:color="auto"/>
                <w:bottom w:val="none" w:sz="0" w:space="0" w:color="auto"/>
                <w:right w:val="none" w:sz="0" w:space="0" w:color="auto"/>
              </w:divBdr>
            </w:div>
          </w:divsChild>
        </w:div>
        <w:div w:id="1701469150">
          <w:marLeft w:val="0"/>
          <w:marRight w:val="0"/>
          <w:marTop w:val="0"/>
          <w:marBottom w:val="0"/>
          <w:divBdr>
            <w:top w:val="none" w:sz="0" w:space="0" w:color="auto"/>
            <w:left w:val="none" w:sz="0" w:space="0" w:color="auto"/>
            <w:bottom w:val="none" w:sz="0" w:space="0" w:color="auto"/>
            <w:right w:val="none" w:sz="0" w:space="0" w:color="auto"/>
          </w:divBdr>
          <w:divsChild>
            <w:div w:id="531967275">
              <w:marLeft w:val="0"/>
              <w:marRight w:val="0"/>
              <w:marTop w:val="0"/>
              <w:marBottom w:val="0"/>
              <w:divBdr>
                <w:top w:val="none" w:sz="0" w:space="0" w:color="auto"/>
                <w:left w:val="none" w:sz="0" w:space="0" w:color="auto"/>
                <w:bottom w:val="none" w:sz="0" w:space="0" w:color="auto"/>
                <w:right w:val="none" w:sz="0" w:space="0" w:color="auto"/>
              </w:divBdr>
            </w:div>
          </w:divsChild>
        </w:div>
        <w:div w:id="1701589951">
          <w:marLeft w:val="0"/>
          <w:marRight w:val="0"/>
          <w:marTop w:val="0"/>
          <w:marBottom w:val="0"/>
          <w:divBdr>
            <w:top w:val="none" w:sz="0" w:space="0" w:color="auto"/>
            <w:left w:val="none" w:sz="0" w:space="0" w:color="auto"/>
            <w:bottom w:val="none" w:sz="0" w:space="0" w:color="auto"/>
            <w:right w:val="none" w:sz="0" w:space="0" w:color="auto"/>
          </w:divBdr>
          <w:divsChild>
            <w:div w:id="1420367105">
              <w:marLeft w:val="0"/>
              <w:marRight w:val="0"/>
              <w:marTop w:val="0"/>
              <w:marBottom w:val="0"/>
              <w:divBdr>
                <w:top w:val="none" w:sz="0" w:space="0" w:color="auto"/>
                <w:left w:val="none" w:sz="0" w:space="0" w:color="auto"/>
                <w:bottom w:val="none" w:sz="0" w:space="0" w:color="auto"/>
                <w:right w:val="none" w:sz="0" w:space="0" w:color="auto"/>
              </w:divBdr>
            </w:div>
          </w:divsChild>
        </w:div>
        <w:div w:id="1702389669">
          <w:marLeft w:val="0"/>
          <w:marRight w:val="0"/>
          <w:marTop w:val="0"/>
          <w:marBottom w:val="0"/>
          <w:divBdr>
            <w:top w:val="none" w:sz="0" w:space="0" w:color="auto"/>
            <w:left w:val="none" w:sz="0" w:space="0" w:color="auto"/>
            <w:bottom w:val="none" w:sz="0" w:space="0" w:color="auto"/>
            <w:right w:val="none" w:sz="0" w:space="0" w:color="auto"/>
          </w:divBdr>
          <w:divsChild>
            <w:div w:id="871501954">
              <w:marLeft w:val="0"/>
              <w:marRight w:val="0"/>
              <w:marTop w:val="0"/>
              <w:marBottom w:val="0"/>
              <w:divBdr>
                <w:top w:val="none" w:sz="0" w:space="0" w:color="auto"/>
                <w:left w:val="none" w:sz="0" w:space="0" w:color="auto"/>
                <w:bottom w:val="none" w:sz="0" w:space="0" w:color="auto"/>
                <w:right w:val="none" w:sz="0" w:space="0" w:color="auto"/>
              </w:divBdr>
            </w:div>
          </w:divsChild>
        </w:div>
        <w:div w:id="1708136566">
          <w:marLeft w:val="0"/>
          <w:marRight w:val="0"/>
          <w:marTop w:val="0"/>
          <w:marBottom w:val="0"/>
          <w:divBdr>
            <w:top w:val="none" w:sz="0" w:space="0" w:color="auto"/>
            <w:left w:val="none" w:sz="0" w:space="0" w:color="auto"/>
            <w:bottom w:val="none" w:sz="0" w:space="0" w:color="auto"/>
            <w:right w:val="none" w:sz="0" w:space="0" w:color="auto"/>
          </w:divBdr>
          <w:divsChild>
            <w:div w:id="798304652">
              <w:marLeft w:val="0"/>
              <w:marRight w:val="0"/>
              <w:marTop w:val="0"/>
              <w:marBottom w:val="0"/>
              <w:divBdr>
                <w:top w:val="none" w:sz="0" w:space="0" w:color="auto"/>
                <w:left w:val="none" w:sz="0" w:space="0" w:color="auto"/>
                <w:bottom w:val="none" w:sz="0" w:space="0" w:color="auto"/>
                <w:right w:val="none" w:sz="0" w:space="0" w:color="auto"/>
              </w:divBdr>
            </w:div>
          </w:divsChild>
        </w:div>
        <w:div w:id="1709987325">
          <w:marLeft w:val="0"/>
          <w:marRight w:val="0"/>
          <w:marTop w:val="0"/>
          <w:marBottom w:val="0"/>
          <w:divBdr>
            <w:top w:val="none" w:sz="0" w:space="0" w:color="auto"/>
            <w:left w:val="none" w:sz="0" w:space="0" w:color="auto"/>
            <w:bottom w:val="none" w:sz="0" w:space="0" w:color="auto"/>
            <w:right w:val="none" w:sz="0" w:space="0" w:color="auto"/>
          </w:divBdr>
          <w:divsChild>
            <w:div w:id="1935935598">
              <w:marLeft w:val="0"/>
              <w:marRight w:val="0"/>
              <w:marTop w:val="0"/>
              <w:marBottom w:val="0"/>
              <w:divBdr>
                <w:top w:val="none" w:sz="0" w:space="0" w:color="auto"/>
                <w:left w:val="none" w:sz="0" w:space="0" w:color="auto"/>
                <w:bottom w:val="none" w:sz="0" w:space="0" w:color="auto"/>
                <w:right w:val="none" w:sz="0" w:space="0" w:color="auto"/>
              </w:divBdr>
            </w:div>
          </w:divsChild>
        </w:div>
        <w:div w:id="1712268774">
          <w:marLeft w:val="0"/>
          <w:marRight w:val="0"/>
          <w:marTop w:val="0"/>
          <w:marBottom w:val="0"/>
          <w:divBdr>
            <w:top w:val="none" w:sz="0" w:space="0" w:color="auto"/>
            <w:left w:val="none" w:sz="0" w:space="0" w:color="auto"/>
            <w:bottom w:val="none" w:sz="0" w:space="0" w:color="auto"/>
            <w:right w:val="none" w:sz="0" w:space="0" w:color="auto"/>
          </w:divBdr>
          <w:divsChild>
            <w:div w:id="46488762">
              <w:marLeft w:val="0"/>
              <w:marRight w:val="0"/>
              <w:marTop w:val="0"/>
              <w:marBottom w:val="0"/>
              <w:divBdr>
                <w:top w:val="none" w:sz="0" w:space="0" w:color="auto"/>
                <w:left w:val="none" w:sz="0" w:space="0" w:color="auto"/>
                <w:bottom w:val="none" w:sz="0" w:space="0" w:color="auto"/>
                <w:right w:val="none" w:sz="0" w:space="0" w:color="auto"/>
              </w:divBdr>
            </w:div>
          </w:divsChild>
        </w:div>
        <w:div w:id="1719237804">
          <w:marLeft w:val="0"/>
          <w:marRight w:val="0"/>
          <w:marTop w:val="0"/>
          <w:marBottom w:val="0"/>
          <w:divBdr>
            <w:top w:val="none" w:sz="0" w:space="0" w:color="auto"/>
            <w:left w:val="none" w:sz="0" w:space="0" w:color="auto"/>
            <w:bottom w:val="none" w:sz="0" w:space="0" w:color="auto"/>
            <w:right w:val="none" w:sz="0" w:space="0" w:color="auto"/>
          </w:divBdr>
          <w:divsChild>
            <w:div w:id="1327056840">
              <w:marLeft w:val="0"/>
              <w:marRight w:val="0"/>
              <w:marTop w:val="0"/>
              <w:marBottom w:val="0"/>
              <w:divBdr>
                <w:top w:val="none" w:sz="0" w:space="0" w:color="auto"/>
                <w:left w:val="none" w:sz="0" w:space="0" w:color="auto"/>
                <w:bottom w:val="none" w:sz="0" w:space="0" w:color="auto"/>
                <w:right w:val="none" w:sz="0" w:space="0" w:color="auto"/>
              </w:divBdr>
            </w:div>
          </w:divsChild>
        </w:div>
        <w:div w:id="1720202387">
          <w:marLeft w:val="0"/>
          <w:marRight w:val="0"/>
          <w:marTop w:val="0"/>
          <w:marBottom w:val="0"/>
          <w:divBdr>
            <w:top w:val="none" w:sz="0" w:space="0" w:color="auto"/>
            <w:left w:val="none" w:sz="0" w:space="0" w:color="auto"/>
            <w:bottom w:val="none" w:sz="0" w:space="0" w:color="auto"/>
            <w:right w:val="none" w:sz="0" w:space="0" w:color="auto"/>
          </w:divBdr>
          <w:divsChild>
            <w:div w:id="1991013006">
              <w:marLeft w:val="0"/>
              <w:marRight w:val="0"/>
              <w:marTop w:val="0"/>
              <w:marBottom w:val="0"/>
              <w:divBdr>
                <w:top w:val="none" w:sz="0" w:space="0" w:color="auto"/>
                <w:left w:val="none" w:sz="0" w:space="0" w:color="auto"/>
                <w:bottom w:val="none" w:sz="0" w:space="0" w:color="auto"/>
                <w:right w:val="none" w:sz="0" w:space="0" w:color="auto"/>
              </w:divBdr>
            </w:div>
          </w:divsChild>
        </w:div>
        <w:div w:id="1720661781">
          <w:marLeft w:val="0"/>
          <w:marRight w:val="0"/>
          <w:marTop w:val="0"/>
          <w:marBottom w:val="0"/>
          <w:divBdr>
            <w:top w:val="none" w:sz="0" w:space="0" w:color="auto"/>
            <w:left w:val="none" w:sz="0" w:space="0" w:color="auto"/>
            <w:bottom w:val="none" w:sz="0" w:space="0" w:color="auto"/>
            <w:right w:val="none" w:sz="0" w:space="0" w:color="auto"/>
          </w:divBdr>
          <w:divsChild>
            <w:div w:id="1037461931">
              <w:marLeft w:val="0"/>
              <w:marRight w:val="0"/>
              <w:marTop w:val="0"/>
              <w:marBottom w:val="0"/>
              <w:divBdr>
                <w:top w:val="none" w:sz="0" w:space="0" w:color="auto"/>
                <w:left w:val="none" w:sz="0" w:space="0" w:color="auto"/>
                <w:bottom w:val="none" w:sz="0" w:space="0" w:color="auto"/>
                <w:right w:val="none" w:sz="0" w:space="0" w:color="auto"/>
              </w:divBdr>
            </w:div>
          </w:divsChild>
        </w:div>
        <w:div w:id="1720787478">
          <w:marLeft w:val="0"/>
          <w:marRight w:val="0"/>
          <w:marTop w:val="0"/>
          <w:marBottom w:val="0"/>
          <w:divBdr>
            <w:top w:val="none" w:sz="0" w:space="0" w:color="auto"/>
            <w:left w:val="none" w:sz="0" w:space="0" w:color="auto"/>
            <w:bottom w:val="none" w:sz="0" w:space="0" w:color="auto"/>
            <w:right w:val="none" w:sz="0" w:space="0" w:color="auto"/>
          </w:divBdr>
          <w:divsChild>
            <w:div w:id="1005477851">
              <w:marLeft w:val="0"/>
              <w:marRight w:val="0"/>
              <w:marTop w:val="0"/>
              <w:marBottom w:val="0"/>
              <w:divBdr>
                <w:top w:val="none" w:sz="0" w:space="0" w:color="auto"/>
                <w:left w:val="none" w:sz="0" w:space="0" w:color="auto"/>
                <w:bottom w:val="none" w:sz="0" w:space="0" w:color="auto"/>
                <w:right w:val="none" w:sz="0" w:space="0" w:color="auto"/>
              </w:divBdr>
            </w:div>
          </w:divsChild>
        </w:div>
        <w:div w:id="1721175714">
          <w:marLeft w:val="0"/>
          <w:marRight w:val="0"/>
          <w:marTop w:val="0"/>
          <w:marBottom w:val="0"/>
          <w:divBdr>
            <w:top w:val="none" w:sz="0" w:space="0" w:color="auto"/>
            <w:left w:val="none" w:sz="0" w:space="0" w:color="auto"/>
            <w:bottom w:val="none" w:sz="0" w:space="0" w:color="auto"/>
            <w:right w:val="none" w:sz="0" w:space="0" w:color="auto"/>
          </w:divBdr>
          <w:divsChild>
            <w:div w:id="534388100">
              <w:marLeft w:val="0"/>
              <w:marRight w:val="0"/>
              <w:marTop w:val="0"/>
              <w:marBottom w:val="0"/>
              <w:divBdr>
                <w:top w:val="none" w:sz="0" w:space="0" w:color="auto"/>
                <w:left w:val="none" w:sz="0" w:space="0" w:color="auto"/>
                <w:bottom w:val="none" w:sz="0" w:space="0" w:color="auto"/>
                <w:right w:val="none" w:sz="0" w:space="0" w:color="auto"/>
              </w:divBdr>
            </w:div>
          </w:divsChild>
        </w:div>
        <w:div w:id="1722971597">
          <w:marLeft w:val="0"/>
          <w:marRight w:val="0"/>
          <w:marTop w:val="0"/>
          <w:marBottom w:val="0"/>
          <w:divBdr>
            <w:top w:val="none" w:sz="0" w:space="0" w:color="auto"/>
            <w:left w:val="none" w:sz="0" w:space="0" w:color="auto"/>
            <w:bottom w:val="none" w:sz="0" w:space="0" w:color="auto"/>
            <w:right w:val="none" w:sz="0" w:space="0" w:color="auto"/>
          </w:divBdr>
          <w:divsChild>
            <w:div w:id="1887258785">
              <w:marLeft w:val="0"/>
              <w:marRight w:val="0"/>
              <w:marTop w:val="0"/>
              <w:marBottom w:val="0"/>
              <w:divBdr>
                <w:top w:val="none" w:sz="0" w:space="0" w:color="auto"/>
                <w:left w:val="none" w:sz="0" w:space="0" w:color="auto"/>
                <w:bottom w:val="none" w:sz="0" w:space="0" w:color="auto"/>
                <w:right w:val="none" w:sz="0" w:space="0" w:color="auto"/>
              </w:divBdr>
            </w:div>
          </w:divsChild>
        </w:div>
        <w:div w:id="1723821171">
          <w:marLeft w:val="0"/>
          <w:marRight w:val="0"/>
          <w:marTop w:val="0"/>
          <w:marBottom w:val="0"/>
          <w:divBdr>
            <w:top w:val="none" w:sz="0" w:space="0" w:color="auto"/>
            <w:left w:val="none" w:sz="0" w:space="0" w:color="auto"/>
            <w:bottom w:val="none" w:sz="0" w:space="0" w:color="auto"/>
            <w:right w:val="none" w:sz="0" w:space="0" w:color="auto"/>
          </w:divBdr>
          <w:divsChild>
            <w:div w:id="1713923432">
              <w:marLeft w:val="0"/>
              <w:marRight w:val="0"/>
              <w:marTop w:val="0"/>
              <w:marBottom w:val="0"/>
              <w:divBdr>
                <w:top w:val="none" w:sz="0" w:space="0" w:color="auto"/>
                <w:left w:val="none" w:sz="0" w:space="0" w:color="auto"/>
                <w:bottom w:val="none" w:sz="0" w:space="0" w:color="auto"/>
                <w:right w:val="none" w:sz="0" w:space="0" w:color="auto"/>
              </w:divBdr>
            </w:div>
          </w:divsChild>
        </w:div>
        <w:div w:id="1724479446">
          <w:marLeft w:val="0"/>
          <w:marRight w:val="0"/>
          <w:marTop w:val="0"/>
          <w:marBottom w:val="0"/>
          <w:divBdr>
            <w:top w:val="none" w:sz="0" w:space="0" w:color="auto"/>
            <w:left w:val="none" w:sz="0" w:space="0" w:color="auto"/>
            <w:bottom w:val="none" w:sz="0" w:space="0" w:color="auto"/>
            <w:right w:val="none" w:sz="0" w:space="0" w:color="auto"/>
          </w:divBdr>
          <w:divsChild>
            <w:div w:id="1190485718">
              <w:marLeft w:val="0"/>
              <w:marRight w:val="0"/>
              <w:marTop w:val="0"/>
              <w:marBottom w:val="0"/>
              <w:divBdr>
                <w:top w:val="none" w:sz="0" w:space="0" w:color="auto"/>
                <w:left w:val="none" w:sz="0" w:space="0" w:color="auto"/>
                <w:bottom w:val="none" w:sz="0" w:space="0" w:color="auto"/>
                <w:right w:val="none" w:sz="0" w:space="0" w:color="auto"/>
              </w:divBdr>
            </w:div>
          </w:divsChild>
        </w:div>
        <w:div w:id="1728872412">
          <w:marLeft w:val="0"/>
          <w:marRight w:val="0"/>
          <w:marTop w:val="0"/>
          <w:marBottom w:val="0"/>
          <w:divBdr>
            <w:top w:val="none" w:sz="0" w:space="0" w:color="auto"/>
            <w:left w:val="none" w:sz="0" w:space="0" w:color="auto"/>
            <w:bottom w:val="none" w:sz="0" w:space="0" w:color="auto"/>
            <w:right w:val="none" w:sz="0" w:space="0" w:color="auto"/>
          </w:divBdr>
          <w:divsChild>
            <w:div w:id="405956047">
              <w:marLeft w:val="0"/>
              <w:marRight w:val="0"/>
              <w:marTop w:val="0"/>
              <w:marBottom w:val="0"/>
              <w:divBdr>
                <w:top w:val="none" w:sz="0" w:space="0" w:color="auto"/>
                <w:left w:val="none" w:sz="0" w:space="0" w:color="auto"/>
                <w:bottom w:val="none" w:sz="0" w:space="0" w:color="auto"/>
                <w:right w:val="none" w:sz="0" w:space="0" w:color="auto"/>
              </w:divBdr>
            </w:div>
          </w:divsChild>
        </w:div>
        <w:div w:id="1730181134">
          <w:marLeft w:val="0"/>
          <w:marRight w:val="0"/>
          <w:marTop w:val="0"/>
          <w:marBottom w:val="0"/>
          <w:divBdr>
            <w:top w:val="none" w:sz="0" w:space="0" w:color="auto"/>
            <w:left w:val="none" w:sz="0" w:space="0" w:color="auto"/>
            <w:bottom w:val="none" w:sz="0" w:space="0" w:color="auto"/>
            <w:right w:val="none" w:sz="0" w:space="0" w:color="auto"/>
          </w:divBdr>
          <w:divsChild>
            <w:div w:id="1539968284">
              <w:marLeft w:val="0"/>
              <w:marRight w:val="0"/>
              <w:marTop w:val="0"/>
              <w:marBottom w:val="0"/>
              <w:divBdr>
                <w:top w:val="none" w:sz="0" w:space="0" w:color="auto"/>
                <w:left w:val="none" w:sz="0" w:space="0" w:color="auto"/>
                <w:bottom w:val="none" w:sz="0" w:space="0" w:color="auto"/>
                <w:right w:val="none" w:sz="0" w:space="0" w:color="auto"/>
              </w:divBdr>
            </w:div>
          </w:divsChild>
        </w:div>
        <w:div w:id="1731730347">
          <w:marLeft w:val="0"/>
          <w:marRight w:val="0"/>
          <w:marTop w:val="0"/>
          <w:marBottom w:val="0"/>
          <w:divBdr>
            <w:top w:val="none" w:sz="0" w:space="0" w:color="auto"/>
            <w:left w:val="none" w:sz="0" w:space="0" w:color="auto"/>
            <w:bottom w:val="none" w:sz="0" w:space="0" w:color="auto"/>
            <w:right w:val="none" w:sz="0" w:space="0" w:color="auto"/>
          </w:divBdr>
          <w:divsChild>
            <w:div w:id="449012625">
              <w:marLeft w:val="0"/>
              <w:marRight w:val="0"/>
              <w:marTop w:val="0"/>
              <w:marBottom w:val="0"/>
              <w:divBdr>
                <w:top w:val="none" w:sz="0" w:space="0" w:color="auto"/>
                <w:left w:val="none" w:sz="0" w:space="0" w:color="auto"/>
                <w:bottom w:val="none" w:sz="0" w:space="0" w:color="auto"/>
                <w:right w:val="none" w:sz="0" w:space="0" w:color="auto"/>
              </w:divBdr>
            </w:div>
          </w:divsChild>
        </w:div>
        <w:div w:id="1733693988">
          <w:marLeft w:val="0"/>
          <w:marRight w:val="0"/>
          <w:marTop w:val="0"/>
          <w:marBottom w:val="0"/>
          <w:divBdr>
            <w:top w:val="none" w:sz="0" w:space="0" w:color="auto"/>
            <w:left w:val="none" w:sz="0" w:space="0" w:color="auto"/>
            <w:bottom w:val="none" w:sz="0" w:space="0" w:color="auto"/>
            <w:right w:val="none" w:sz="0" w:space="0" w:color="auto"/>
          </w:divBdr>
          <w:divsChild>
            <w:div w:id="232128718">
              <w:marLeft w:val="0"/>
              <w:marRight w:val="0"/>
              <w:marTop w:val="0"/>
              <w:marBottom w:val="0"/>
              <w:divBdr>
                <w:top w:val="none" w:sz="0" w:space="0" w:color="auto"/>
                <w:left w:val="none" w:sz="0" w:space="0" w:color="auto"/>
                <w:bottom w:val="none" w:sz="0" w:space="0" w:color="auto"/>
                <w:right w:val="none" w:sz="0" w:space="0" w:color="auto"/>
              </w:divBdr>
            </w:div>
          </w:divsChild>
        </w:div>
        <w:div w:id="1738823665">
          <w:marLeft w:val="0"/>
          <w:marRight w:val="0"/>
          <w:marTop w:val="0"/>
          <w:marBottom w:val="0"/>
          <w:divBdr>
            <w:top w:val="none" w:sz="0" w:space="0" w:color="auto"/>
            <w:left w:val="none" w:sz="0" w:space="0" w:color="auto"/>
            <w:bottom w:val="none" w:sz="0" w:space="0" w:color="auto"/>
            <w:right w:val="none" w:sz="0" w:space="0" w:color="auto"/>
          </w:divBdr>
          <w:divsChild>
            <w:div w:id="2049645482">
              <w:marLeft w:val="0"/>
              <w:marRight w:val="0"/>
              <w:marTop w:val="0"/>
              <w:marBottom w:val="0"/>
              <w:divBdr>
                <w:top w:val="none" w:sz="0" w:space="0" w:color="auto"/>
                <w:left w:val="none" w:sz="0" w:space="0" w:color="auto"/>
                <w:bottom w:val="none" w:sz="0" w:space="0" w:color="auto"/>
                <w:right w:val="none" w:sz="0" w:space="0" w:color="auto"/>
              </w:divBdr>
            </w:div>
          </w:divsChild>
        </w:div>
        <w:div w:id="1738898931">
          <w:marLeft w:val="0"/>
          <w:marRight w:val="0"/>
          <w:marTop w:val="0"/>
          <w:marBottom w:val="0"/>
          <w:divBdr>
            <w:top w:val="none" w:sz="0" w:space="0" w:color="auto"/>
            <w:left w:val="none" w:sz="0" w:space="0" w:color="auto"/>
            <w:bottom w:val="none" w:sz="0" w:space="0" w:color="auto"/>
            <w:right w:val="none" w:sz="0" w:space="0" w:color="auto"/>
          </w:divBdr>
          <w:divsChild>
            <w:div w:id="102313920">
              <w:marLeft w:val="0"/>
              <w:marRight w:val="0"/>
              <w:marTop w:val="0"/>
              <w:marBottom w:val="0"/>
              <w:divBdr>
                <w:top w:val="none" w:sz="0" w:space="0" w:color="auto"/>
                <w:left w:val="none" w:sz="0" w:space="0" w:color="auto"/>
                <w:bottom w:val="none" w:sz="0" w:space="0" w:color="auto"/>
                <w:right w:val="none" w:sz="0" w:space="0" w:color="auto"/>
              </w:divBdr>
            </w:div>
          </w:divsChild>
        </w:div>
        <w:div w:id="1740247901">
          <w:marLeft w:val="0"/>
          <w:marRight w:val="0"/>
          <w:marTop w:val="0"/>
          <w:marBottom w:val="0"/>
          <w:divBdr>
            <w:top w:val="none" w:sz="0" w:space="0" w:color="auto"/>
            <w:left w:val="none" w:sz="0" w:space="0" w:color="auto"/>
            <w:bottom w:val="none" w:sz="0" w:space="0" w:color="auto"/>
            <w:right w:val="none" w:sz="0" w:space="0" w:color="auto"/>
          </w:divBdr>
          <w:divsChild>
            <w:div w:id="1567180991">
              <w:marLeft w:val="0"/>
              <w:marRight w:val="0"/>
              <w:marTop w:val="0"/>
              <w:marBottom w:val="0"/>
              <w:divBdr>
                <w:top w:val="none" w:sz="0" w:space="0" w:color="auto"/>
                <w:left w:val="none" w:sz="0" w:space="0" w:color="auto"/>
                <w:bottom w:val="none" w:sz="0" w:space="0" w:color="auto"/>
                <w:right w:val="none" w:sz="0" w:space="0" w:color="auto"/>
              </w:divBdr>
            </w:div>
          </w:divsChild>
        </w:div>
        <w:div w:id="1741559560">
          <w:marLeft w:val="0"/>
          <w:marRight w:val="0"/>
          <w:marTop w:val="0"/>
          <w:marBottom w:val="0"/>
          <w:divBdr>
            <w:top w:val="none" w:sz="0" w:space="0" w:color="auto"/>
            <w:left w:val="none" w:sz="0" w:space="0" w:color="auto"/>
            <w:bottom w:val="none" w:sz="0" w:space="0" w:color="auto"/>
            <w:right w:val="none" w:sz="0" w:space="0" w:color="auto"/>
          </w:divBdr>
          <w:divsChild>
            <w:div w:id="1940068056">
              <w:marLeft w:val="0"/>
              <w:marRight w:val="0"/>
              <w:marTop w:val="0"/>
              <w:marBottom w:val="0"/>
              <w:divBdr>
                <w:top w:val="none" w:sz="0" w:space="0" w:color="auto"/>
                <w:left w:val="none" w:sz="0" w:space="0" w:color="auto"/>
                <w:bottom w:val="none" w:sz="0" w:space="0" w:color="auto"/>
                <w:right w:val="none" w:sz="0" w:space="0" w:color="auto"/>
              </w:divBdr>
            </w:div>
          </w:divsChild>
        </w:div>
        <w:div w:id="1743792967">
          <w:marLeft w:val="0"/>
          <w:marRight w:val="0"/>
          <w:marTop w:val="0"/>
          <w:marBottom w:val="0"/>
          <w:divBdr>
            <w:top w:val="none" w:sz="0" w:space="0" w:color="auto"/>
            <w:left w:val="none" w:sz="0" w:space="0" w:color="auto"/>
            <w:bottom w:val="none" w:sz="0" w:space="0" w:color="auto"/>
            <w:right w:val="none" w:sz="0" w:space="0" w:color="auto"/>
          </w:divBdr>
          <w:divsChild>
            <w:div w:id="1860318504">
              <w:marLeft w:val="0"/>
              <w:marRight w:val="0"/>
              <w:marTop w:val="0"/>
              <w:marBottom w:val="0"/>
              <w:divBdr>
                <w:top w:val="none" w:sz="0" w:space="0" w:color="auto"/>
                <w:left w:val="none" w:sz="0" w:space="0" w:color="auto"/>
                <w:bottom w:val="none" w:sz="0" w:space="0" w:color="auto"/>
                <w:right w:val="none" w:sz="0" w:space="0" w:color="auto"/>
              </w:divBdr>
            </w:div>
          </w:divsChild>
        </w:div>
        <w:div w:id="1744642557">
          <w:marLeft w:val="0"/>
          <w:marRight w:val="0"/>
          <w:marTop w:val="0"/>
          <w:marBottom w:val="0"/>
          <w:divBdr>
            <w:top w:val="none" w:sz="0" w:space="0" w:color="auto"/>
            <w:left w:val="none" w:sz="0" w:space="0" w:color="auto"/>
            <w:bottom w:val="none" w:sz="0" w:space="0" w:color="auto"/>
            <w:right w:val="none" w:sz="0" w:space="0" w:color="auto"/>
          </w:divBdr>
          <w:divsChild>
            <w:div w:id="978846950">
              <w:marLeft w:val="0"/>
              <w:marRight w:val="0"/>
              <w:marTop w:val="0"/>
              <w:marBottom w:val="0"/>
              <w:divBdr>
                <w:top w:val="none" w:sz="0" w:space="0" w:color="auto"/>
                <w:left w:val="none" w:sz="0" w:space="0" w:color="auto"/>
                <w:bottom w:val="none" w:sz="0" w:space="0" w:color="auto"/>
                <w:right w:val="none" w:sz="0" w:space="0" w:color="auto"/>
              </w:divBdr>
            </w:div>
          </w:divsChild>
        </w:div>
        <w:div w:id="1747413596">
          <w:marLeft w:val="0"/>
          <w:marRight w:val="0"/>
          <w:marTop w:val="0"/>
          <w:marBottom w:val="0"/>
          <w:divBdr>
            <w:top w:val="none" w:sz="0" w:space="0" w:color="auto"/>
            <w:left w:val="none" w:sz="0" w:space="0" w:color="auto"/>
            <w:bottom w:val="none" w:sz="0" w:space="0" w:color="auto"/>
            <w:right w:val="none" w:sz="0" w:space="0" w:color="auto"/>
          </w:divBdr>
          <w:divsChild>
            <w:div w:id="245186297">
              <w:marLeft w:val="0"/>
              <w:marRight w:val="0"/>
              <w:marTop w:val="0"/>
              <w:marBottom w:val="0"/>
              <w:divBdr>
                <w:top w:val="none" w:sz="0" w:space="0" w:color="auto"/>
                <w:left w:val="none" w:sz="0" w:space="0" w:color="auto"/>
                <w:bottom w:val="none" w:sz="0" w:space="0" w:color="auto"/>
                <w:right w:val="none" w:sz="0" w:space="0" w:color="auto"/>
              </w:divBdr>
            </w:div>
          </w:divsChild>
        </w:div>
        <w:div w:id="1748649437">
          <w:marLeft w:val="0"/>
          <w:marRight w:val="0"/>
          <w:marTop w:val="0"/>
          <w:marBottom w:val="0"/>
          <w:divBdr>
            <w:top w:val="none" w:sz="0" w:space="0" w:color="auto"/>
            <w:left w:val="none" w:sz="0" w:space="0" w:color="auto"/>
            <w:bottom w:val="none" w:sz="0" w:space="0" w:color="auto"/>
            <w:right w:val="none" w:sz="0" w:space="0" w:color="auto"/>
          </w:divBdr>
          <w:divsChild>
            <w:div w:id="88358465">
              <w:marLeft w:val="0"/>
              <w:marRight w:val="0"/>
              <w:marTop w:val="0"/>
              <w:marBottom w:val="0"/>
              <w:divBdr>
                <w:top w:val="none" w:sz="0" w:space="0" w:color="auto"/>
                <w:left w:val="none" w:sz="0" w:space="0" w:color="auto"/>
                <w:bottom w:val="none" w:sz="0" w:space="0" w:color="auto"/>
                <w:right w:val="none" w:sz="0" w:space="0" w:color="auto"/>
              </w:divBdr>
            </w:div>
          </w:divsChild>
        </w:div>
        <w:div w:id="1751350815">
          <w:marLeft w:val="0"/>
          <w:marRight w:val="0"/>
          <w:marTop w:val="0"/>
          <w:marBottom w:val="0"/>
          <w:divBdr>
            <w:top w:val="none" w:sz="0" w:space="0" w:color="auto"/>
            <w:left w:val="none" w:sz="0" w:space="0" w:color="auto"/>
            <w:bottom w:val="none" w:sz="0" w:space="0" w:color="auto"/>
            <w:right w:val="none" w:sz="0" w:space="0" w:color="auto"/>
          </w:divBdr>
          <w:divsChild>
            <w:div w:id="889805496">
              <w:marLeft w:val="0"/>
              <w:marRight w:val="0"/>
              <w:marTop w:val="0"/>
              <w:marBottom w:val="0"/>
              <w:divBdr>
                <w:top w:val="none" w:sz="0" w:space="0" w:color="auto"/>
                <w:left w:val="none" w:sz="0" w:space="0" w:color="auto"/>
                <w:bottom w:val="none" w:sz="0" w:space="0" w:color="auto"/>
                <w:right w:val="none" w:sz="0" w:space="0" w:color="auto"/>
              </w:divBdr>
            </w:div>
          </w:divsChild>
        </w:div>
        <w:div w:id="1751613320">
          <w:marLeft w:val="0"/>
          <w:marRight w:val="0"/>
          <w:marTop w:val="0"/>
          <w:marBottom w:val="0"/>
          <w:divBdr>
            <w:top w:val="none" w:sz="0" w:space="0" w:color="auto"/>
            <w:left w:val="none" w:sz="0" w:space="0" w:color="auto"/>
            <w:bottom w:val="none" w:sz="0" w:space="0" w:color="auto"/>
            <w:right w:val="none" w:sz="0" w:space="0" w:color="auto"/>
          </w:divBdr>
          <w:divsChild>
            <w:div w:id="231238830">
              <w:marLeft w:val="0"/>
              <w:marRight w:val="0"/>
              <w:marTop w:val="0"/>
              <w:marBottom w:val="0"/>
              <w:divBdr>
                <w:top w:val="none" w:sz="0" w:space="0" w:color="auto"/>
                <w:left w:val="none" w:sz="0" w:space="0" w:color="auto"/>
                <w:bottom w:val="none" w:sz="0" w:space="0" w:color="auto"/>
                <w:right w:val="none" w:sz="0" w:space="0" w:color="auto"/>
              </w:divBdr>
            </w:div>
          </w:divsChild>
        </w:div>
        <w:div w:id="1751851668">
          <w:marLeft w:val="0"/>
          <w:marRight w:val="0"/>
          <w:marTop w:val="0"/>
          <w:marBottom w:val="0"/>
          <w:divBdr>
            <w:top w:val="none" w:sz="0" w:space="0" w:color="auto"/>
            <w:left w:val="none" w:sz="0" w:space="0" w:color="auto"/>
            <w:bottom w:val="none" w:sz="0" w:space="0" w:color="auto"/>
            <w:right w:val="none" w:sz="0" w:space="0" w:color="auto"/>
          </w:divBdr>
          <w:divsChild>
            <w:div w:id="1666518823">
              <w:marLeft w:val="0"/>
              <w:marRight w:val="0"/>
              <w:marTop w:val="0"/>
              <w:marBottom w:val="0"/>
              <w:divBdr>
                <w:top w:val="none" w:sz="0" w:space="0" w:color="auto"/>
                <w:left w:val="none" w:sz="0" w:space="0" w:color="auto"/>
                <w:bottom w:val="none" w:sz="0" w:space="0" w:color="auto"/>
                <w:right w:val="none" w:sz="0" w:space="0" w:color="auto"/>
              </w:divBdr>
            </w:div>
          </w:divsChild>
        </w:div>
        <w:div w:id="1752309642">
          <w:marLeft w:val="0"/>
          <w:marRight w:val="0"/>
          <w:marTop w:val="0"/>
          <w:marBottom w:val="0"/>
          <w:divBdr>
            <w:top w:val="none" w:sz="0" w:space="0" w:color="auto"/>
            <w:left w:val="none" w:sz="0" w:space="0" w:color="auto"/>
            <w:bottom w:val="none" w:sz="0" w:space="0" w:color="auto"/>
            <w:right w:val="none" w:sz="0" w:space="0" w:color="auto"/>
          </w:divBdr>
          <w:divsChild>
            <w:div w:id="1180198838">
              <w:marLeft w:val="0"/>
              <w:marRight w:val="0"/>
              <w:marTop w:val="0"/>
              <w:marBottom w:val="0"/>
              <w:divBdr>
                <w:top w:val="none" w:sz="0" w:space="0" w:color="auto"/>
                <w:left w:val="none" w:sz="0" w:space="0" w:color="auto"/>
                <w:bottom w:val="none" w:sz="0" w:space="0" w:color="auto"/>
                <w:right w:val="none" w:sz="0" w:space="0" w:color="auto"/>
              </w:divBdr>
            </w:div>
          </w:divsChild>
        </w:div>
        <w:div w:id="1753315862">
          <w:marLeft w:val="0"/>
          <w:marRight w:val="0"/>
          <w:marTop w:val="0"/>
          <w:marBottom w:val="0"/>
          <w:divBdr>
            <w:top w:val="none" w:sz="0" w:space="0" w:color="auto"/>
            <w:left w:val="none" w:sz="0" w:space="0" w:color="auto"/>
            <w:bottom w:val="none" w:sz="0" w:space="0" w:color="auto"/>
            <w:right w:val="none" w:sz="0" w:space="0" w:color="auto"/>
          </w:divBdr>
          <w:divsChild>
            <w:div w:id="2108689615">
              <w:marLeft w:val="0"/>
              <w:marRight w:val="0"/>
              <w:marTop w:val="0"/>
              <w:marBottom w:val="0"/>
              <w:divBdr>
                <w:top w:val="none" w:sz="0" w:space="0" w:color="auto"/>
                <w:left w:val="none" w:sz="0" w:space="0" w:color="auto"/>
                <w:bottom w:val="none" w:sz="0" w:space="0" w:color="auto"/>
                <w:right w:val="none" w:sz="0" w:space="0" w:color="auto"/>
              </w:divBdr>
            </w:div>
          </w:divsChild>
        </w:div>
        <w:div w:id="1762529609">
          <w:marLeft w:val="0"/>
          <w:marRight w:val="0"/>
          <w:marTop w:val="0"/>
          <w:marBottom w:val="0"/>
          <w:divBdr>
            <w:top w:val="none" w:sz="0" w:space="0" w:color="auto"/>
            <w:left w:val="none" w:sz="0" w:space="0" w:color="auto"/>
            <w:bottom w:val="none" w:sz="0" w:space="0" w:color="auto"/>
            <w:right w:val="none" w:sz="0" w:space="0" w:color="auto"/>
          </w:divBdr>
          <w:divsChild>
            <w:div w:id="1580290950">
              <w:marLeft w:val="0"/>
              <w:marRight w:val="0"/>
              <w:marTop w:val="0"/>
              <w:marBottom w:val="0"/>
              <w:divBdr>
                <w:top w:val="none" w:sz="0" w:space="0" w:color="auto"/>
                <w:left w:val="none" w:sz="0" w:space="0" w:color="auto"/>
                <w:bottom w:val="none" w:sz="0" w:space="0" w:color="auto"/>
                <w:right w:val="none" w:sz="0" w:space="0" w:color="auto"/>
              </w:divBdr>
            </w:div>
          </w:divsChild>
        </w:div>
        <w:div w:id="1766223569">
          <w:marLeft w:val="0"/>
          <w:marRight w:val="0"/>
          <w:marTop w:val="0"/>
          <w:marBottom w:val="0"/>
          <w:divBdr>
            <w:top w:val="none" w:sz="0" w:space="0" w:color="auto"/>
            <w:left w:val="none" w:sz="0" w:space="0" w:color="auto"/>
            <w:bottom w:val="none" w:sz="0" w:space="0" w:color="auto"/>
            <w:right w:val="none" w:sz="0" w:space="0" w:color="auto"/>
          </w:divBdr>
          <w:divsChild>
            <w:div w:id="1258245725">
              <w:marLeft w:val="0"/>
              <w:marRight w:val="0"/>
              <w:marTop w:val="0"/>
              <w:marBottom w:val="0"/>
              <w:divBdr>
                <w:top w:val="none" w:sz="0" w:space="0" w:color="auto"/>
                <w:left w:val="none" w:sz="0" w:space="0" w:color="auto"/>
                <w:bottom w:val="none" w:sz="0" w:space="0" w:color="auto"/>
                <w:right w:val="none" w:sz="0" w:space="0" w:color="auto"/>
              </w:divBdr>
            </w:div>
          </w:divsChild>
        </w:div>
        <w:div w:id="1768232227">
          <w:marLeft w:val="0"/>
          <w:marRight w:val="0"/>
          <w:marTop w:val="0"/>
          <w:marBottom w:val="0"/>
          <w:divBdr>
            <w:top w:val="none" w:sz="0" w:space="0" w:color="auto"/>
            <w:left w:val="none" w:sz="0" w:space="0" w:color="auto"/>
            <w:bottom w:val="none" w:sz="0" w:space="0" w:color="auto"/>
            <w:right w:val="none" w:sz="0" w:space="0" w:color="auto"/>
          </w:divBdr>
          <w:divsChild>
            <w:div w:id="1049567681">
              <w:marLeft w:val="0"/>
              <w:marRight w:val="0"/>
              <w:marTop w:val="0"/>
              <w:marBottom w:val="0"/>
              <w:divBdr>
                <w:top w:val="none" w:sz="0" w:space="0" w:color="auto"/>
                <w:left w:val="none" w:sz="0" w:space="0" w:color="auto"/>
                <w:bottom w:val="none" w:sz="0" w:space="0" w:color="auto"/>
                <w:right w:val="none" w:sz="0" w:space="0" w:color="auto"/>
              </w:divBdr>
            </w:div>
          </w:divsChild>
        </w:div>
        <w:div w:id="1770392097">
          <w:marLeft w:val="0"/>
          <w:marRight w:val="0"/>
          <w:marTop w:val="0"/>
          <w:marBottom w:val="0"/>
          <w:divBdr>
            <w:top w:val="none" w:sz="0" w:space="0" w:color="auto"/>
            <w:left w:val="none" w:sz="0" w:space="0" w:color="auto"/>
            <w:bottom w:val="none" w:sz="0" w:space="0" w:color="auto"/>
            <w:right w:val="none" w:sz="0" w:space="0" w:color="auto"/>
          </w:divBdr>
          <w:divsChild>
            <w:div w:id="93938424">
              <w:marLeft w:val="0"/>
              <w:marRight w:val="0"/>
              <w:marTop w:val="0"/>
              <w:marBottom w:val="0"/>
              <w:divBdr>
                <w:top w:val="none" w:sz="0" w:space="0" w:color="auto"/>
                <w:left w:val="none" w:sz="0" w:space="0" w:color="auto"/>
                <w:bottom w:val="none" w:sz="0" w:space="0" w:color="auto"/>
                <w:right w:val="none" w:sz="0" w:space="0" w:color="auto"/>
              </w:divBdr>
            </w:div>
          </w:divsChild>
        </w:div>
        <w:div w:id="1775133772">
          <w:marLeft w:val="0"/>
          <w:marRight w:val="0"/>
          <w:marTop w:val="0"/>
          <w:marBottom w:val="0"/>
          <w:divBdr>
            <w:top w:val="none" w:sz="0" w:space="0" w:color="auto"/>
            <w:left w:val="none" w:sz="0" w:space="0" w:color="auto"/>
            <w:bottom w:val="none" w:sz="0" w:space="0" w:color="auto"/>
            <w:right w:val="none" w:sz="0" w:space="0" w:color="auto"/>
          </w:divBdr>
          <w:divsChild>
            <w:div w:id="1884904904">
              <w:marLeft w:val="0"/>
              <w:marRight w:val="0"/>
              <w:marTop w:val="0"/>
              <w:marBottom w:val="0"/>
              <w:divBdr>
                <w:top w:val="none" w:sz="0" w:space="0" w:color="auto"/>
                <w:left w:val="none" w:sz="0" w:space="0" w:color="auto"/>
                <w:bottom w:val="none" w:sz="0" w:space="0" w:color="auto"/>
                <w:right w:val="none" w:sz="0" w:space="0" w:color="auto"/>
              </w:divBdr>
            </w:div>
          </w:divsChild>
        </w:div>
        <w:div w:id="1775395960">
          <w:marLeft w:val="0"/>
          <w:marRight w:val="0"/>
          <w:marTop w:val="0"/>
          <w:marBottom w:val="0"/>
          <w:divBdr>
            <w:top w:val="none" w:sz="0" w:space="0" w:color="auto"/>
            <w:left w:val="none" w:sz="0" w:space="0" w:color="auto"/>
            <w:bottom w:val="none" w:sz="0" w:space="0" w:color="auto"/>
            <w:right w:val="none" w:sz="0" w:space="0" w:color="auto"/>
          </w:divBdr>
          <w:divsChild>
            <w:div w:id="2080444823">
              <w:marLeft w:val="0"/>
              <w:marRight w:val="0"/>
              <w:marTop w:val="0"/>
              <w:marBottom w:val="0"/>
              <w:divBdr>
                <w:top w:val="none" w:sz="0" w:space="0" w:color="auto"/>
                <w:left w:val="none" w:sz="0" w:space="0" w:color="auto"/>
                <w:bottom w:val="none" w:sz="0" w:space="0" w:color="auto"/>
                <w:right w:val="none" w:sz="0" w:space="0" w:color="auto"/>
              </w:divBdr>
            </w:div>
          </w:divsChild>
        </w:div>
        <w:div w:id="1776635433">
          <w:marLeft w:val="0"/>
          <w:marRight w:val="0"/>
          <w:marTop w:val="0"/>
          <w:marBottom w:val="0"/>
          <w:divBdr>
            <w:top w:val="none" w:sz="0" w:space="0" w:color="auto"/>
            <w:left w:val="none" w:sz="0" w:space="0" w:color="auto"/>
            <w:bottom w:val="none" w:sz="0" w:space="0" w:color="auto"/>
            <w:right w:val="none" w:sz="0" w:space="0" w:color="auto"/>
          </w:divBdr>
          <w:divsChild>
            <w:div w:id="1816019825">
              <w:marLeft w:val="0"/>
              <w:marRight w:val="0"/>
              <w:marTop w:val="0"/>
              <w:marBottom w:val="0"/>
              <w:divBdr>
                <w:top w:val="none" w:sz="0" w:space="0" w:color="auto"/>
                <w:left w:val="none" w:sz="0" w:space="0" w:color="auto"/>
                <w:bottom w:val="none" w:sz="0" w:space="0" w:color="auto"/>
                <w:right w:val="none" w:sz="0" w:space="0" w:color="auto"/>
              </w:divBdr>
            </w:div>
          </w:divsChild>
        </w:div>
        <w:div w:id="1777407470">
          <w:marLeft w:val="0"/>
          <w:marRight w:val="0"/>
          <w:marTop w:val="0"/>
          <w:marBottom w:val="0"/>
          <w:divBdr>
            <w:top w:val="none" w:sz="0" w:space="0" w:color="auto"/>
            <w:left w:val="none" w:sz="0" w:space="0" w:color="auto"/>
            <w:bottom w:val="none" w:sz="0" w:space="0" w:color="auto"/>
            <w:right w:val="none" w:sz="0" w:space="0" w:color="auto"/>
          </w:divBdr>
          <w:divsChild>
            <w:div w:id="742222087">
              <w:marLeft w:val="0"/>
              <w:marRight w:val="0"/>
              <w:marTop w:val="0"/>
              <w:marBottom w:val="0"/>
              <w:divBdr>
                <w:top w:val="none" w:sz="0" w:space="0" w:color="auto"/>
                <w:left w:val="none" w:sz="0" w:space="0" w:color="auto"/>
                <w:bottom w:val="none" w:sz="0" w:space="0" w:color="auto"/>
                <w:right w:val="none" w:sz="0" w:space="0" w:color="auto"/>
              </w:divBdr>
            </w:div>
          </w:divsChild>
        </w:div>
        <w:div w:id="1782721865">
          <w:marLeft w:val="0"/>
          <w:marRight w:val="0"/>
          <w:marTop w:val="0"/>
          <w:marBottom w:val="0"/>
          <w:divBdr>
            <w:top w:val="none" w:sz="0" w:space="0" w:color="auto"/>
            <w:left w:val="none" w:sz="0" w:space="0" w:color="auto"/>
            <w:bottom w:val="none" w:sz="0" w:space="0" w:color="auto"/>
            <w:right w:val="none" w:sz="0" w:space="0" w:color="auto"/>
          </w:divBdr>
          <w:divsChild>
            <w:div w:id="62527249">
              <w:marLeft w:val="0"/>
              <w:marRight w:val="0"/>
              <w:marTop w:val="0"/>
              <w:marBottom w:val="0"/>
              <w:divBdr>
                <w:top w:val="none" w:sz="0" w:space="0" w:color="auto"/>
                <w:left w:val="none" w:sz="0" w:space="0" w:color="auto"/>
                <w:bottom w:val="none" w:sz="0" w:space="0" w:color="auto"/>
                <w:right w:val="none" w:sz="0" w:space="0" w:color="auto"/>
              </w:divBdr>
            </w:div>
          </w:divsChild>
        </w:div>
        <w:div w:id="1783110378">
          <w:marLeft w:val="0"/>
          <w:marRight w:val="0"/>
          <w:marTop w:val="0"/>
          <w:marBottom w:val="0"/>
          <w:divBdr>
            <w:top w:val="none" w:sz="0" w:space="0" w:color="auto"/>
            <w:left w:val="none" w:sz="0" w:space="0" w:color="auto"/>
            <w:bottom w:val="none" w:sz="0" w:space="0" w:color="auto"/>
            <w:right w:val="none" w:sz="0" w:space="0" w:color="auto"/>
          </w:divBdr>
          <w:divsChild>
            <w:div w:id="1764834591">
              <w:marLeft w:val="0"/>
              <w:marRight w:val="0"/>
              <w:marTop w:val="0"/>
              <w:marBottom w:val="0"/>
              <w:divBdr>
                <w:top w:val="none" w:sz="0" w:space="0" w:color="auto"/>
                <w:left w:val="none" w:sz="0" w:space="0" w:color="auto"/>
                <w:bottom w:val="none" w:sz="0" w:space="0" w:color="auto"/>
                <w:right w:val="none" w:sz="0" w:space="0" w:color="auto"/>
              </w:divBdr>
            </w:div>
          </w:divsChild>
        </w:div>
        <w:div w:id="1783258411">
          <w:marLeft w:val="0"/>
          <w:marRight w:val="0"/>
          <w:marTop w:val="0"/>
          <w:marBottom w:val="0"/>
          <w:divBdr>
            <w:top w:val="none" w:sz="0" w:space="0" w:color="auto"/>
            <w:left w:val="none" w:sz="0" w:space="0" w:color="auto"/>
            <w:bottom w:val="none" w:sz="0" w:space="0" w:color="auto"/>
            <w:right w:val="none" w:sz="0" w:space="0" w:color="auto"/>
          </w:divBdr>
          <w:divsChild>
            <w:div w:id="2030568124">
              <w:marLeft w:val="0"/>
              <w:marRight w:val="0"/>
              <w:marTop w:val="0"/>
              <w:marBottom w:val="0"/>
              <w:divBdr>
                <w:top w:val="none" w:sz="0" w:space="0" w:color="auto"/>
                <w:left w:val="none" w:sz="0" w:space="0" w:color="auto"/>
                <w:bottom w:val="none" w:sz="0" w:space="0" w:color="auto"/>
                <w:right w:val="none" w:sz="0" w:space="0" w:color="auto"/>
              </w:divBdr>
            </w:div>
          </w:divsChild>
        </w:div>
        <w:div w:id="1786268554">
          <w:marLeft w:val="0"/>
          <w:marRight w:val="0"/>
          <w:marTop w:val="0"/>
          <w:marBottom w:val="0"/>
          <w:divBdr>
            <w:top w:val="none" w:sz="0" w:space="0" w:color="auto"/>
            <w:left w:val="none" w:sz="0" w:space="0" w:color="auto"/>
            <w:bottom w:val="none" w:sz="0" w:space="0" w:color="auto"/>
            <w:right w:val="none" w:sz="0" w:space="0" w:color="auto"/>
          </w:divBdr>
          <w:divsChild>
            <w:div w:id="1009481799">
              <w:marLeft w:val="0"/>
              <w:marRight w:val="0"/>
              <w:marTop w:val="0"/>
              <w:marBottom w:val="0"/>
              <w:divBdr>
                <w:top w:val="none" w:sz="0" w:space="0" w:color="auto"/>
                <w:left w:val="none" w:sz="0" w:space="0" w:color="auto"/>
                <w:bottom w:val="none" w:sz="0" w:space="0" w:color="auto"/>
                <w:right w:val="none" w:sz="0" w:space="0" w:color="auto"/>
              </w:divBdr>
            </w:div>
          </w:divsChild>
        </w:div>
        <w:div w:id="1786315042">
          <w:marLeft w:val="0"/>
          <w:marRight w:val="0"/>
          <w:marTop w:val="0"/>
          <w:marBottom w:val="0"/>
          <w:divBdr>
            <w:top w:val="none" w:sz="0" w:space="0" w:color="auto"/>
            <w:left w:val="none" w:sz="0" w:space="0" w:color="auto"/>
            <w:bottom w:val="none" w:sz="0" w:space="0" w:color="auto"/>
            <w:right w:val="none" w:sz="0" w:space="0" w:color="auto"/>
          </w:divBdr>
          <w:divsChild>
            <w:div w:id="1370496065">
              <w:marLeft w:val="0"/>
              <w:marRight w:val="0"/>
              <w:marTop w:val="0"/>
              <w:marBottom w:val="0"/>
              <w:divBdr>
                <w:top w:val="none" w:sz="0" w:space="0" w:color="auto"/>
                <w:left w:val="none" w:sz="0" w:space="0" w:color="auto"/>
                <w:bottom w:val="none" w:sz="0" w:space="0" w:color="auto"/>
                <w:right w:val="none" w:sz="0" w:space="0" w:color="auto"/>
              </w:divBdr>
            </w:div>
          </w:divsChild>
        </w:div>
        <w:div w:id="1786388751">
          <w:marLeft w:val="0"/>
          <w:marRight w:val="0"/>
          <w:marTop w:val="0"/>
          <w:marBottom w:val="0"/>
          <w:divBdr>
            <w:top w:val="none" w:sz="0" w:space="0" w:color="auto"/>
            <w:left w:val="none" w:sz="0" w:space="0" w:color="auto"/>
            <w:bottom w:val="none" w:sz="0" w:space="0" w:color="auto"/>
            <w:right w:val="none" w:sz="0" w:space="0" w:color="auto"/>
          </w:divBdr>
          <w:divsChild>
            <w:div w:id="237250435">
              <w:marLeft w:val="0"/>
              <w:marRight w:val="0"/>
              <w:marTop w:val="0"/>
              <w:marBottom w:val="0"/>
              <w:divBdr>
                <w:top w:val="none" w:sz="0" w:space="0" w:color="auto"/>
                <w:left w:val="none" w:sz="0" w:space="0" w:color="auto"/>
                <w:bottom w:val="none" w:sz="0" w:space="0" w:color="auto"/>
                <w:right w:val="none" w:sz="0" w:space="0" w:color="auto"/>
              </w:divBdr>
            </w:div>
          </w:divsChild>
        </w:div>
        <w:div w:id="1789279590">
          <w:marLeft w:val="0"/>
          <w:marRight w:val="0"/>
          <w:marTop w:val="0"/>
          <w:marBottom w:val="0"/>
          <w:divBdr>
            <w:top w:val="none" w:sz="0" w:space="0" w:color="auto"/>
            <w:left w:val="none" w:sz="0" w:space="0" w:color="auto"/>
            <w:bottom w:val="none" w:sz="0" w:space="0" w:color="auto"/>
            <w:right w:val="none" w:sz="0" w:space="0" w:color="auto"/>
          </w:divBdr>
          <w:divsChild>
            <w:div w:id="1263681930">
              <w:marLeft w:val="0"/>
              <w:marRight w:val="0"/>
              <w:marTop w:val="0"/>
              <w:marBottom w:val="0"/>
              <w:divBdr>
                <w:top w:val="none" w:sz="0" w:space="0" w:color="auto"/>
                <w:left w:val="none" w:sz="0" w:space="0" w:color="auto"/>
                <w:bottom w:val="none" w:sz="0" w:space="0" w:color="auto"/>
                <w:right w:val="none" w:sz="0" w:space="0" w:color="auto"/>
              </w:divBdr>
            </w:div>
          </w:divsChild>
        </w:div>
        <w:div w:id="1793556292">
          <w:marLeft w:val="0"/>
          <w:marRight w:val="0"/>
          <w:marTop w:val="0"/>
          <w:marBottom w:val="0"/>
          <w:divBdr>
            <w:top w:val="none" w:sz="0" w:space="0" w:color="auto"/>
            <w:left w:val="none" w:sz="0" w:space="0" w:color="auto"/>
            <w:bottom w:val="none" w:sz="0" w:space="0" w:color="auto"/>
            <w:right w:val="none" w:sz="0" w:space="0" w:color="auto"/>
          </w:divBdr>
          <w:divsChild>
            <w:div w:id="1729835905">
              <w:marLeft w:val="0"/>
              <w:marRight w:val="0"/>
              <w:marTop w:val="0"/>
              <w:marBottom w:val="0"/>
              <w:divBdr>
                <w:top w:val="none" w:sz="0" w:space="0" w:color="auto"/>
                <w:left w:val="none" w:sz="0" w:space="0" w:color="auto"/>
                <w:bottom w:val="none" w:sz="0" w:space="0" w:color="auto"/>
                <w:right w:val="none" w:sz="0" w:space="0" w:color="auto"/>
              </w:divBdr>
            </w:div>
          </w:divsChild>
        </w:div>
        <w:div w:id="1795755168">
          <w:marLeft w:val="0"/>
          <w:marRight w:val="0"/>
          <w:marTop w:val="0"/>
          <w:marBottom w:val="0"/>
          <w:divBdr>
            <w:top w:val="none" w:sz="0" w:space="0" w:color="auto"/>
            <w:left w:val="none" w:sz="0" w:space="0" w:color="auto"/>
            <w:bottom w:val="none" w:sz="0" w:space="0" w:color="auto"/>
            <w:right w:val="none" w:sz="0" w:space="0" w:color="auto"/>
          </w:divBdr>
          <w:divsChild>
            <w:div w:id="539250469">
              <w:marLeft w:val="0"/>
              <w:marRight w:val="0"/>
              <w:marTop w:val="0"/>
              <w:marBottom w:val="0"/>
              <w:divBdr>
                <w:top w:val="none" w:sz="0" w:space="0" w:color="auto"/>
                <w:left w:val="none" w:sz="0" w:space="0" w:color="auto"/>
                <w:bottom w:val="none" w:sz="0" w:space="0" w:color="auto"/>
                <w:right w:val="none" w:sz="0" w:space="0" w:color="auto"/>
              </w:divBdr>
            </w:div>
          </w:divsChild>
        </w:div>
        <w:div w:id="1799106521">
          <w:marLeft w:val="0"/>
          <w:marRight w:val="0"/>
          <w:marTop w:val="0"/>
          <w:marBottom w:val="0"/>
          <w:divBdr>
            <w:top w:val="none" w:sz="0" w:space="0" w:color="auto"/>
            <w:left w:val="none" w:sz="0" w:space="0" w:color="auto"/>
            <w:bottom w:val="none" w:sz="0" w:space="0" w:color="auto"/>
            <w:right w:val="none" w:sz="0" w:space="0" w:color="auto"/>
          </w:divBdr>
          <w:divsChild>
            <w:div w:id="953101458">
              <w:marLeft w:val="0"/>
              <w:marRight w:val="0"/>
              <w:marTop w:val="0"/>
              <w:marBottom w:val="0"/>
              <w:divBdr>
                <w:top w:val="none" w:sz="0" w:space="0" w:color="auto"/>
                <w:left w:val="none" w:sz="0" w:space="0" w:color="auto"/>
                <w:bottom w:val="none" w:sz="0" w:space="0" w:color="auto"/>
                <w:right w:val="none" w:sz="0" w:space="0" w:color="auto"/>
              </w:divBdr>
            </w:div>
          </w:divsChild>
        </w:div>
        <w:div w:id="1801655418">
          <w:marLeft w:val="0"/>
          <w:marRight w:val="0"/>
          <w:marTop w:val="0"/>
          <w:marBottom w:val="0"/>
          <w:divBdr>
            <w:top w:val="none" w:sz="0" w:space="0" w:color="auto"/>
            <w:left w:val="none" w:sz="0" w:space="0" w:color="auto"/>
            <w:bottom w:val="none" w:sz="0" w:space="0" w:color="auto"/>
            <w:right w:val="none" w:sz="0" w:space="0" w:color="auto"/>
          </w:divBdr>
          <w:divsChild>
            <w:div w:id="1306928540">
              <w:marLeft w:val="0"/>
              <w:marRight w:val="0"/>
              <w:marTop w:val="0"/>
              <w:marBottom w:val="0"/>
              <w:divBdr>
                <w:top w:val="none" w:sz="0" w:space="0" w:color="auto"/>
                <w:left w:val="none" w:sz="0" w:space="0" w:color="auto"/>
                <w:bottom w:val="none" w:sz="0" w:space="0" w:color="auto"/>
                <w:right w:val="none" w:sz="0" w:space="0" w:color="auto"/>
              </w:divBdr>
            </w:div>
          </w:divsChild>
        </w:div>
        <w:div w:id="1804541408">
          <w:marLeft w:val="0"/>
          <w:marRight w:val="0"/>
          <w:marTop w:val="0"/>
          <w:marBottom w:val="0"/>
          <w:divBdr>
            <w:top w:val="none" w:sz="0" w:space="0" w:color="auto"/>
            <w:left w:val="none" w:sz="0" w:space="0" w:color="auto"/>
            <w:bottom w:val="none" w:sz="0" w:space="0" w:color="auto"/>
            <w:right w:val="none" w:sz="0" w:space="0" w:color="auto"/>
          </w:divBdr>
          <w:divsChild>
            <w:div w:id="323779929">
              <w:marLeft w:val="0"/>
              <w:marRight w:val="0"/>
              <w:marTop w:val="0"/>
              <w:marBottom w:val="0"/>
              <w:divBdr>
                <w:top w:val="none" w:sz="0" w:space="0" w:color="auto"/>
                <w:left w:val="none" w:sz="0" w:space="0" w:color="auto"/>
                <w:bottom w:val="none" w:sz="0" w:space="0" w:color="auto"/>
                <w:right w:val="none" w:sz="0" w:space="0" w:color="auto"/>
              </w:divBdr>
            </w:div>
          </w:divsChild>
        </w:div>
        <w:div w:id="1804932205">
          <w:marLeft w:val="0"/>
          <w:marRight w:val="0"/>
          <w:marTop w:val="0"/>
          <w:marBottom w:val="0"/>
          <w:divBdr>
            <w:top w:val="none" w:sz="0" w:space="0" w:color="auto"/>
            <w:left w:val="none" w:sz="0" w:space="0" w:color="auto"/>
            <w:bottom w:val="none" w:sz="0" w:space="0" w:color="auto"/>
            <w:right w:val="none" w:sz="0" w:space="0" w:color="auto"/>
          </w:divBdr>
          <w:divsChild>
            <w:div w:id="1459880289">
              <w:marLeft w:val="0"/>
              <w:marRight w:val="0"/>
              <w:marTop w:val="0"/>
              <w:marBottom w:val="0"/>
              <w:divBdr>
                <w:top w:val="none" w:sz="0" w:space="0" w:color="auto"/>
                <w:left w:val="none" w:sz="0" w:space="0" w:color="auto"/>
                <w:bottom w:val="none" w:sz="0" w:space="0" w:color="auto"/>
                <w:right w:val="none" w:sz="0" w:space="0" w:color="auto"/>
              </w:divBdr>
            </w:div>
          </w:divsChild>
        </w:div>
        <w:div w:id="1805350511">
          <w:marLeft w:val="0"/>
          <w:marRight w:val="0"/>
          <w:marTop w:val="0"/>
          <w:marBottom w:val="0"/>
          <w:divBdr>
            <w:top w:val="none" w:sz="0" w:space="0" w:color="auto"/>
            <w:left w:val="none" w:sz="0" w:space="0" w:color="auto"/>
            <w:bottom w:val="none" w:sz="0" w:space="0" w:color="auto"/>
            <w:right w:val="none" w:sz="0" w:space="0" w:color="auto"/>
          </w:divBdr>
          <w:divsChild>
            <w:div w:id="1905794096">
              <w:marLeft w:val="0"/>
              <w:marRight w:val="0"/>
              <w:marTop w:val="0"/>
              <w:marBottom w:val="0"/>
              <w:divBdr>
                <w:top w:val="none" w:sz="0" w:space="0" w:color="auto"/>
                <w:left w:val="none" w:sz="0" w:space="0" w:color="auto"/>
                <w:bottom w:val="none" w:sz="0" w:space="0" w:color="auto"/>
                <w:right w:val="none" w:sz="0" w:space="0" w:color="auto"/>
              </w:divBdr>
            </w:div>
          </w:divsChild>
        </w:div>
        <w:div w:id="1809669668">
          <w:marLeft w:val="0"/>
          <w:marRight w:val="0"/>
          <w:marTop w:val="0"/>
          <w:marBottom w:val="0"/>
          <w:divBdr>
            <w:top w:val="none" w:sz="0" w:space="0" w:color="auto"/>
            <w:left w:val="none" w:sz="0" w:space="0" w:color="auto"/>
            <w:bottom w:val="none" w:sz="0" w:space="0" w:color="auto"/>
            <w:right w:val="none" w:sz="0" w:space="0" w:color="auto"/>
          </w:divBdr>
          <w:divsChild>
            <w:div w:id="1389694469">
              <w:marLeft w:val="0"/>
              <w:marRight w:val="0"/>
              <w:marTop w:val="0"/>
              <w:marBottom w:val="0"/>
              <w:divBdr>
                <w:top w:val="none" w:sz="0" w:space="0" w:color="auto"/>
                <w:left w:val="none" w:sz="0" w:space="0" w:color="auto"/>
                <w:bottom w:val="none" w:sz="0" w:space="0" w:color="auto"/>
                <w:right w:val="none" w:sz="0" w:space="0" w:color="auto"/>
              </w:divBdr>
            </w:div>
          </w:divsChild>
        </w:div>
        <w:div w:id="1814640297">
          <w:marLeft w:val="0"/>
          <w:marRight w:val="0"/>
          <w:marTop w:val="0"/>
          <w:marBottom w:val="0"/>
          <w:divBdr>
            <w:top w:val="none" w:sz="0" w:space="0" w:color="auto"/>
            <w:left w:val="none" w:sz="0" w:space="0" w:color="auto"/>
            <w:bottom w:val="none" w:sz="0" w:space="0" w:color="auto"/>
            <w:right w:val="none" w:sz="0" w:space="0" w:color="auto"/>
          </w:divBdr>
          <w:divsChild>
            <w:div w:id="67307139">
              <w:marLeft w:val="0"/>
              <w:marRight w:val="0"/>
              <w:marTop w:val="0"/>
              <w:marBottom w:val="0"/>
              <w:divBdr>
                <w:top w:val="none" w:sz="0" w:space="0" w:color="auto"/>
                <w:left w:val="none" w:sz="0" w:space="0" w:color="auto"/>
                <w:bottom w:val="none" w:sz="0" w:space="0" w:color="auto"/>
                <w:right w:val="none" w:sz="0" w:space="0" w:color="auto"/>
              </w:divBdr>
            </w:div>
          </w:divsChild>
        </w:div>
        <w:div w:id="1815022996">
          <w:marLeft w:val="0"/>
          <w:marRight w:val="0"/>
          <w:marTop w:val="0"/>
          <w:marBottom w:val="0"/>
          <w:divBdr>
            <w:top w:val="none" w:sz="0" w:space="0" w:color="auto"/>
            <w:left w:val="none" w:sz="0" w:space="0" w:color="auto"/>
            <w:bottom w:val="none" w:sz="0" w:space="0" w:color="auto"/>
            <w:right w:val="none" w:sz="0" w:space="0" w:color="auto"/>
          </w:divBdr>
          <w:divsChild>
            <w:div w:id="1422869705">
              <w:marLeft w:val="0"/>
              <w:marRight w:val="0"/>
              <w:marTop w:val="0"/>
              <w:marBottom w:val="0"/>
              <w:divBdr>
                <w:top w:val="none" w:sz="0" w:space="0" w:color="auto"/>
                <w:left w:val="none" w:sz="0" w:space="0" w:color="auto"/>
                <w:bottom w:val="none" w:sz="0" w:space="0" w:color="auto"/>
                <w:right w:val="none" w:sz="0" w:space="0" w:color="auto"/>
              </w:divBdr>
            </w:div>
          </w:divsChild>
        </w:div>
        <w:div w:id="1815638503">
          <w:marLeft w:val="0"/>
          <w:marRight w:val="0"/>
          <w:marTop w:val="0"/>
          <w:marBottom w:val="0"/>
          <w:divBdr>
            <w:top w:val="none" w:sz="0" w:space="0" w:color="auto"/>
            <w:left w:val="none" w:sz="0" w:space="0" w:color="auto"/>
            <w:bottom w:val="none" w:sz="0" w:space="0" w:color="auto"/>
            <w:right w:val="none" w:sz="0" w:space="0" w:color="auto"/>
          </w:divBdr>
          <w:divsChild>
            <w:div w:id="1505591174">
              <w:marLeft w:val="0"/>
              <w:marRight w:val="0"/>
              <w:marTop w:val="0"/>
              <w:marBottom w:val="0"/>
              <w:divBdr>
                <w:top w:val="none" w:sz="0" w:space="0" w:color="auto"/>
                <w:left w:val="none" w:sz="0" w:space="0" w:color="auto"/>
                <w:bottom w:val="none" w:sz="0" w:space="0" w:color="auto"/>
                <w:right w:val="none" w:sz="0" w:space="0" w:color="auto"/>
              </w:divBdr>
            </w:div>
          </w:divsChild>
        </w:div>
        <w:div w:id="1818254122">
          <w:marLeft w:val="0"/>
          <w:marRight w:val="0"/>
          <w:marTop w:val="0"/>
          <w:marBottom w:val="0"/>
          <w:divBdr>
            <w:top w:val="none" w:sz="0" w:space="0" w:color="auto"/>
            <w:left w:val="none" w:sz="0" w:space="0" w:color="auto"/>
            <w:bottom w:val="none" w:sz="0" w:space="0" w:color="auto"/>
            <w:right w:val="none" w:sz="0" w:space="0" w:color="auto"/>
          </w:divBdr>
          <w:divsChild>
            <w:div w:id="1049837218">
              <w:marLeft w:val="0"/>
              <w:marRight w:val="0"/>
              <w:marTop w:val="0"/>
              <w:marBottom w:val="0"/>
              <w:divBdr>
                <w:top w:val="none" w:sz="0" w:space="0" w:color="auto"/>
                <w:left w:val="none" w:sz="0" w:space="0" w:color="auto"/>
                <w:bottom w:val="none" w:sz="0" w:space="0" w:color="auto"/>
                <w:right w:val="none" w:sz="0" w:space="0" w:color="auto"/>
              </w:divBdr>
            </w:div>
          </w:divsChild>
        </w:div>
        <w:div w:id="1818522689">
          <w:marLeft w:val="0"/>
          <w:marRight w:val="0"/>
          <w:marTop w:val="0"/>
          <w:marBottom w:val="0"/>
          <w:divBdr>
            <w:top w:val="none" w:sz="0" w:space="0" w:color="auto"/>
            <w:left w:val="none" w:sz="0" w:space="0" w:color="auto"/>
            <w:bottom w:val="none" w:sz="0" w:space="0" w:color="auto"/>
            <w:right w:val="none" w:sz="0" w:space="0" w:color="auto"/>
          </w:divBdr>
          <w:divsChild>
            <w:div w:id="2024624427">
              <w:marLeft w:val="0"/>
              <w:marRight w:val="0"/>
              <w:marTop w:val="0"/>
              <w:marBottom w:val="0"/>
              <w:divBdr>
                <w:top w:val="none" w:sz="0" w:space="0" w:color="auto"/>
                <w:left w:val="none" w:sz="0" w:space="0" w:color="auto"/>
                <w:bottom w:val="none" w:sz="0" w:space="0" w:color="auto"/>
                <w:right w:val="none" w:sz="0" w:space="0" w:color="auto"/>
              </w:divBdr>
            </w:div>
          </w:divsChild>
        </w:div>
        <w:div w:id="1821574147">
          <w:marLeft w:val="0"/>
          <w:marRight w:val="0"/>
          <w:marTop w:val="0"/>
          <w:marBottom w:val="0"/>
          <w:divBdr>
            <w:top w:val="none" w:sz="0" w:space="0" w:color="auto"/>
            <w:left w:val="none" w:sz="0" w:space="0" w:color="auto"/>
            <w:bottom w:val="none" w:sz="0" w:space="0" w:color="auto"/>
            <w:right w:val="none" w:sz="0" w:space="0" w:color="auto"/>
          </w:divBdr>
          <w:divsChild>
            <w:div w:id="931822313">
              <w:marLeft w:val="0"/>
              <w:marRight w:val="0"/>
              <w:marTop w:val="0"/>
              <w:marBottom w:val="0"/>
              <w:divBdr>
                <w:top w:val="none" w:sz="0" w:space="0" w:color="auto"/>
                <w:left w:val="none" w:sz="0" w:space="0" w:color="auto"/>
                <w:bottom w:val="none" w:sz="0" w:space="0" w:color="auto"/>
                <w:right w:val="none" w:sz="0" w:space="0" w:color="auto"/>
              </w:divBdr>
            </w:div>
          </w:divsChild>
        </w:div>
        <w:div w:id="1825050510">
          <w:marLeft w:val="0"/>
          <w:marRight w:val="0"/>
          <w:marTop w:val="0"/>
          <w:marBottom w:val="0"/>
          <w:divBdr>
            <w:top w:val="none" w:sz="0" w:space="0" w:color="auto"/>
            <w:left w:val="none" w:sz="0" w:space="0" w:color="auto"/>
            <w:bottom w:val="none" w:sz="0" w:space="0" w:color="auto"/>
            <w:right w:val="none" w:sz="0" w:space="0" w:color="auto"/>
          </w:divBdr>
          <w:divsChild>
            <w:div w:id="907763428">
              <w:marLeft w:val="0"/>
              <w:marRight w:val="0"/>
              <w:marTop w:val="0"/>
              <w:marBottom w:val="0"/>
              <w:divBdr>
                <w:top w:val="none" w:sz="0" w:space="0" w:color="auto"/>
                <w:left w:val="none" w:sz="0" w:space="0" w:color="auto"/>
                <w:bottom w:val="none" w:sz="0" w:space="0" w:color="auto"/>
                <w:right w:val="none" w:sz="0" w:space="0" w:color="auto"/>
              </w:divBdr>
            </w:div>
          </w:divsChild>
        </w:div>
        <w:div w:id="1825315089">
          <w:marLeft w:val="0"/>
          <w:marRight w:val="0"/>
          <w:marTop w:val="0"/>
          <w:marBottom w:val="0"/>
          <w:divBdr>
            <w:top w:val="none" w:sz="0" w:space="0" w:color="auto"/>
            <w:left w:val="none" w:sz="0" w:space="0" w:color="auto"/>
            <w:bottom w:val="none" w:sz="0" w:space="0" w:color="auto"/>
            <w:right w:val="none" w:sz="0" w:space="0" w:color="auto"/>
          </w:divBdr>
          <w:divsChild>
            <w:div w:id="893656672">
              <w:marLeft w:val="0"/>
              <w:marRight w:val="0"/>
              <w:marTop w:val="0"/>
              <w:marBottom w:val="0"/>
              <w:divBdr>
                <w:top w:val="none" w:sz="0" w:space="0" w:color="auto"/>
                <w:left w:val="none" w:sz="0" w:space="0" w:color="auto"/>
                <w:bottom w:val="none" w:sz="0" w:space="0" w:color="auto"/>
                <w:right w:val="none" w:sz="0" w:space="0" w:color="auto"/>
              </w:divBdr>
            </w:div>
          </w:divsChild>
        </w:div>
        <w:div w:id="1825537852">
          <w:marLeft w:val="0"/>
          <w:marRight w:val="0"/>
          <w:marTop w:val="0"/>
          <w:marBottom w:val="0"/>
          <w:divBdr>
            <w:top w:val="none" w:sz="0" w:space="0" w:color="auto"/>
            <w:left w:val="none" w:sz="0" w:space="0" w:color="auto"/>
            <w:bottom w:val="none" w:sz="0" w:space="0" w:color="auto"/>
            <w:right w:val="none" w:sz="0" w:space="0" w:color="auto"/>
          </w:divBdr>
          <w:divsChild>
            <w:div w:id="751391132">
              <w:marLeft w:val="0"/>
              <w:marRight w:val="0"/>
              <w:marTop w:val="0"/>
              <w:marBottom w:val="0"/>
              <w:divBdr>
                <w:top w:val="none" w:sz="0" w:space="0" w:color="auto"/>
                <w:left w:val="none" w:sz="0" w:space="0" w:color="auto"/>
                <w:bottom w:val="none" w:sz="0" w:space="0" w:color="auto"/>
                <w:right w:val="none" w:sz="0" w:space="0" w:color="auto"/>
              </w:divBdr>
            </w:div>
          </w:divsChild>
        </w:div>
        <w:div w:id="1825657646">
          <w:marLeft w:val="0"/>
          <w:marRight w:val="0"/>
          <w:marTop w:val="0"/>
          <w:marBottom w:val="0"/>
          <w:divBdr>
            <w:top w:val="none" w:sz="0" w:space="0" w:color="auto"/>
            <w:left w:val="none" w:sz="0" w:space="0" w:color="auto"/>
            <w:bottom w:val="none" w:sz="0" w:space="0" w:color="auto"/>
            <w:right w:val="none" w:sz="0" w:space="0" w:color="auto"/>
          </w:divBdr>
          <w:divsChild>
            <w:div w:id="1048266620">
              <w:marLeft w:val="0"/>
              <w:marRight w:val="0"/>
              <w:marTop w:val="0"/>
              <w:marBottom w:val="0"/>
              <w:divBdr>
                <w:top w:val="none" w:sz="0" w:space="0" w:color="auto"/>
                <w:left w:val="none" w:sz="0" w:space="0" w:color="auto"/>
                <w:bottom w:val="none" w:sz="0" w:space="0" w:color="auto"/>
                <w:right w:val="none" w:sz="0" w:space="0" w:color="auto"/>
              </w:divBdr>
            </w:div>
          </w:divsChild>
        </w:div>
        <w:div w:id="1829514345">
          <w:marLeft w:val="0"/>
          <w:marRight w:val="0"/>
          <w:marTop w:val="0"/>
          <w:marBottom w:val="0"/>
          <w:divBdr>
            <w:top w:val="none" w:sz="0" w:space="0" w:color="auto"/>
            <w:left w:val="none" w:sz="0" w:space="0" w:color="auto"/>
            <w:bottom w:val="none" w:sz="0" w:space="0" w:color="auto"/>
            <w:right w:val="none" w:sz="0" w:space="0" w:color="auto"/>
          </w:divBdr>
          <w:divsChild>
            <w:div w:id="816997356">
              <w:marLeft w:val="0"/>
              <w:marRight w:val="0"/>
              <w:marTop w:val="0"/>
              <w:marBottom w:val="0"/>
              <w:divBdr>
                <w:top w:val="none" w:sz="0" w:space="0" w:color="auto"/>
                <w:left w:val="none" w:sz="0" w:space="0" w:color="auto"/>
                <w:bottom w:val="none" w:sz="0" w:space="0" w:color="auto"/>
                <w:right w:val="none" w:sz="0" w:space="0" w:color="auto"/>
              </w:divBdr>
            </w:div>
          </w:divsChild>
        </w:div>
        <w:div w:id="1829710286">
          <w:marLeft w:val="0"/>
          <w:marRight w:val="0"/>
          <w:marTop w:val="0"/>
          <w:marBottom w:val="0"/>
          <w:divBdr>
            <w:top w:val="none" w:sz="0" w:space="0" w:color="auto"/>
            <w:left w:val="none" w:sz="0" w:space="0" w:color="auto"/>
            <w:bottom w:val="none" w:sz="0" w:space="0" w:color="auto"/>
            <w:right w:val="none" w:sz="0" w:space="0" w:color="auto"/>
          </w:divBdr>
          <w:divsChild>
            <w:div w:id="481704523">
              <w:marLeft w:val="0"/>
              <w:marRight w:val="0"/>
              <w:marTop w:val="0"/>
              <w:marBottom w:val="0"/>
              <w:divBdr>
                <w:top w:val="none" w:sz="0" w:space="0" w:color="auto"/>
                <w:left w:val="none" w:sz="0" w:space="0" w:color="auto"/>
                <w:bottom w:val="none" w:sz="0" w:space="0" w:color="auto"/>
                <w:right w:val="none" w:sz="0" w:space="0" w:color="auto"/>
              </w:divBdr>
            </w:div>
          </w:divsChild>
        </w:div>
        <w:div w:id="1830056253">
          <w:marLeft w:val="0"/>
          <w:marRight w:val="0"/>
          <w:marTop w:val="0"/>
          <w:marBottom w:val="0"/>
          <w:divBdr>
            <w:top w:val="none" w:sz="0" w:space="0" w:color="auto"/>
            <w:left w:val="none" w:sz="0" w:space="0" w:color="auto"/>
            <w:bottom w:val="none" w:sz="0" w:space="0" w:color="auto"/>
            <w:right w:val="none" w:sz="0" w:space="0" w:color="auto"/>
          </w:divBdr>
          <w:divsChild>
            <w:div w:id="653294220">
              <w:marLeft w:val="0"/>
              <w:marRight w:val="0"/>
              <w:marTop w:val="0"/>
              <w:marBottom w:val="0"/>
              <w:divBdr>
                <w:top w:val="none" w:sz="0" w:space="0" w:color="auto"/>
                <w:left w:val="none" w:sz="0" w:space="0" w:color="auto"/>
                <w:bottom w:val="none" w:sz="0" w:space="0" w:color="auto"/>
                <w:right w:val="none" w:sz="0" w:space="0" w:color="auto"/>
              </w:divBdr>
            </w:div>
          </w:divsChild>
        </w:div>
        <w:div w:id="1831208760">
          <w:marLeft w:val="0"/>
          <w:marRight w:val="0"/>
          <w:marTop w:val="0"/>
          <w:marBottom w:val="0"/>
          <w:divBdr>
            <w:top w:val="none" w:sz="0" w:space="0" w:color="auto"/>
            <w:left w:val="none" w:sz="0" w:space="0" w:color="auto"/>
            <w:bottom w:val="none" w:sz="0" w:space="0" w:color="auto"/>
            <w:right w:val="none" w:sz="0" w:space="0" w:color="auto"/>
          </w:divBdr>
          <w:divsChild>
            <w:div w:id="1826318416">
              <w:marLeft w:val="0"/>
              <w:marRight w:val="0"/>
              <w:marTop w:val="0"/>
              <w:marBottom w:val="0"/>
              <w:divBdr>
                <w:top w:val="none" w:sz="0" w:space="0" w:color="auto"/>
                <w:left w:val="none" w:sz="0" w:space="0" w:color="auto"/>
                <w:bottom w:val="none" w:sz="0" w:space="0" w:color="auto"/>
                <w:right w:val="none" w:sz="0" w:space="0" w:color="auto"/>
              </w:divBdr>
            </w:div>
          </w:divsChild>
        </w:div>
        <w:div w:id="1832139263">
          <w:marLeft w:val="0"/>
          <w:marRight w:val="0"/>
          <w:marTop w:val="0"/>
          <w:marBottom w:val="0"/>
          <w:divBdr>
            <w:top w:val="none" w:sz="0" w:space="0" w:color="auto"/>
            <w:left w:val="none" w:sz="0" w:space="0" w:color="auto"/>
            <w:bottom w:val="none" w:sz="0" w:space="0" w:color="auto"/>
            <w:right w:val="none" w:sz="0" w:space="0" w:color="auto"/>
          </w:divBdr>
          <w:divsChild>
            <w:div w:id="910311111">
              <w:marLeft w:val="0"/>
              <w:marRight w:val="0"/>
              <w:marTop w:val="0"/>
              <w:marBottom w:val="0"/>
              <w:divBdr>
                <w:top w:val="none" w:sz="0" w:space="0" w:color="auto"/>
                <w:left w:val="none" w:sz="0" w:space="0" w:color="auto"/>
                <w:bottom w:val="none" w:sz="0" w:space="0" w:color="auto"/>
                <w:right w:val="none" w:sz="0" w:space="0" w:color="auto"/>
              </w:divBdr>
            </w:div>
          </w:divsChild>
        </w:div>
        <w:div w:id="1834105592">
          <w:marLeft w:val="0"/>
          <w:marRight w:val="0"/>
          <w:marTop w:val="0"/>
          <w:marBottom w:val="0"/>
          <w:divBdr>
            <w:top w:val="none" w:sz="0" w:space="0" w:color="auto"/>
            <w:left w:val="none" w:sz="0" w:space="0" w:color="auto"/>
            <w:bottom w:val="none" w:sz="0" w:space="0" w:color="auto"/>
            <w:right w:val="none" w:sz="0" w:space="0" w:color="auto"/>
          </w:divBdr>
          <w:divsChild>
            <w:div w:id="2081127953">
              <w:marLeft w:val="0"/>
              <w:marRight w:val="0"/>
              <w:marTop w:val="0"/>
              <w:marBottom w:val="0"/>
              <w:divBdr>
                <w:top w:val="none" w:sz="0" w:space="0" w:color="auto"/>
                <w:left w:val="none" w:sz="0" w:space="0" w:color="auto"/>
                <w:bottom w:val="none" w:sz="0" w:space="0" w:color="auto"/>
                <w:right w:val="none" w:sz="0" w:space="0" w:color="auto"/>
              </w:divBdr>
            </w:div>
          </w:divsChild>
        </w:div>
        <w:div w:id="1839151263">
          <w:marLeft w:val="0"/>
          <w:marRight w:val="0"/>
          <w:marTop w:val="0"/>
          <w:marBottom w:val="0"/>
          <w:divBdr>
            <w:top w:val="none" w:sz="0" w:space="0" w:color="auto"/>
            <w:left w:val="none" w:sz="0" w:space="0" w:color="auto"/>
            <w:bottom w:val="none" w:sz="0" w:space="0" w:color="auto"/>
            <w:right w:val="none" w:sz="0" w:space="0" w:color="auto"/>
          </w:divBdr>
          <w:divsChild>
            <w:div w:id="2031831628">
              <w:marLeft w:val="0"/>
              <w:marRight w:val="0"/>
              <w:marTop w:val="0"/>
              <w:marBottom w:val="0"/>
              <w:divBdr>
                <w:top w:val="none" w:sz="0" w:space="0" w:color="auto"/>
                <w:left w:val="none" w:sz="0" w:space="0" w:color="auto"/>
                <w:bottom w:val="none" w:sz="0" w:space="0" w:color="auto"/>
                <w:right w:val="none" w:sz="0" w:space="0" w:color="auto"/>
              </w:divBdr>
            </w:div>
          </w:divsChild>
        </w:div>
        <w:div w:id="1842744423">
          <w:marLeft w:val="0"/>
          <w:marRight w:val="0"/>
          <w:marTop w:val="0"/>
          <w:marBottom w:val="0"/>
          <w:divBdr>
            <w:top w:val="none" w:sz="0" w:space="0" w:color="auto"/>
            <w:left w:val="none" w:sz="0" w:space="0" w:color="auto"/>
            <w:bottom w:val="none" w:sz="0" w:space="0" w:color="auto"/>
            <w:right w:val="none" w:sz="0" w:space="0" w:color="auto"/>
          </w:divBdr>
          <w:divsChild>
            <w:div w:id="784350752">
              <w:marLeft w:val="0"/>
              <w:marRight w:val="0"/>
              <w:marTop w:val="0"/>
              <w:marBottom w:val="0"/>
              <w:divBdr>
                <w:top w:val="none" w:sz="0" w:space="0" w:color="auto"/>
                <w:left w:val="none" w:sz="0" w:space="0" w:color="auto"/>
                <w:bottom w:val="none" w:sz="0" w:space="0" w:color="auto"/>
                <w:right w:val="none" w:sz="0" w:space="0" w:color="auto"/>
              </w:divBdr>
            </w:div>
          </w:divsChild>
        </w:div>
        <w:div w:id="1842769371">
          <w:marLeft w:val="0"/>
          <w:marRight w:val="0"/>
          <w:marTop w:val="0"/>
          <w:marBottom w:val="0"/>
          <w:divBdr>
            <w:top w:val="none" w:sz="0" w:space="0" w:color="auto"/>
            <w:left w:val="none" w:sz="0" w:space="0" w:color="auto"/>
            <w:bottom w:val="none" w:sz="0" w:space="0" w:color="auto"/>
            <w:right w:val="none" w:sz="0" w:space="0" w:color="auto"/>
          </w:divBdr>
          <w:divsChild>
            <w:div w:id="1753048094">
              <w:marLeft w:val="0"/>
              <w:marRight w:val="0"/>
              <w:marTop w:val="0"/>
              <w:marBottom w:val="0"/>
              <w:divBdr>
                <w:top w:val="none" w:sz="0" w:space="0" w:color="auto"/>
                <w:left w:val="none" w:sz="0" w:space="0" w:color="auto"/>
                <w:bottom w:val="none" w:sz="0" w:space="0" w:color="auto"/>
                <w:right w:val="none" w:sz="0" w:space="0" w:color="auto"/>
              </w:divBdr>
            </w:div>
          </w:divsChild>
        </w:div>
        <w:div w:id="1846355206">
          <w:marLeft w:val="0"/>
          <w:marRight w:val="0"/>
          <w:marTop w:val="0"/>
          <w:marBottom w:val="0"/>
          <w:divBdr>
            <w:top w:val="none" w:sz="0" w:space="0" w:color="auto"/>
            <w:left w:val="none" w:sz="0" w:space="0" w:color="auto"/>
            <w:bottom w:val="none" w:sz="0" w:space="0" w:color="auto"/>
            <w:right w:val="none" w:sz="0" w:space="0" w:color="auto"/>
          </w:divBdr>
          <w:divsChild>
            <w:div w:id="747456259">
              <w:marLeft w:val="0"/>
              <w:marRight w:val="0"/>
              <w:marTop w:val="0"/>
              <w:marBottom w:val="0"/>
              <w:divBdr>
                <w:top w:val="none" w:sz="0" w:space="0" w:color="auto"/>
                <w:left w:val="none" w:sz="0" w:space="0" w:color="auto"/>
                <w:bottom w:val="none" w:sz="0" w:space="0" w:color="auto"/>
                <w:right w:val="none" w:sz="0" w:space="0" w:color="auto"/>
              </w:divBdr>
            </w:div>
          </w:divsChild>
        </w:div>
        <w:div w:id="1846628419">
          <w:marLeft w:val="0"/>
          <w:marRight w:val="0"/>
          <w:marTop w:val="0"/>
          <w:marBottom w:val="0"/>
          <w:divBdr>
            <w:top w:val="none" w:sz="0" w:space="0" w:color="auto"/>
            <w:left w:val="none" w:sz="0" w:space="0" w:color="auto"/>
            <w:bottom w:val="none" w:sz="0" w:space="0" w:color="auto"/>
            <w:right w:val="none" w:sz="0" w:space="0" w:color="auto"/>
          </w:divBdr>
          <w:divsChild>
            <w:div w:id="541405787">
              <w:marLeft w:val="0"/>
              <w:marRight w:val="0"/>
              <w:marTop w:val="0"/>
              <w:marBottom w:val="0"/>
              <w:divBdr>
                <w:top w:val="none" w:sz="0" w:space="0" w:color="auto"/>
                <w:left w:val="none" w:sz="0" w:space="0" w:color="auto"/>
                <w:bottom w:val="none" w:sz="0" w:space="0" w:color="auto"/>
                <w:right w:val="none" w:sz="0" w:space="0" w:color="auto"/>
              </w:divBdr>
            </w:div>
          </w:divsChild>
        </w:div>
        <w:div w:id="1848055064">
          <w:marLeft w:val="0"/>
          <w:marRight w:val="0"/>
          <w:marTop w:val="0"/>
          <w:marBottom w:val="0"/>
          <w:divBdr>
            <w:top w:val="none" w:sz="0" w:space="0" w:color="auto"/>
            <w:left w:val="none" w:sz="0" w:space="0" w:color="auto"/>
            <w:bottom w:val="none" w:sz="0" w:space="0" w:color="auto"/>
            <w:right w:val="none" w:sz="0" w:space="0" w:color="auto"/>
          </w:divBdr>
          <w:divsChild>
            <w:div w:id="1824270178">
              <w:marLeft w:val="0"/>
              <w:marRight w:val="0"/>
              <w:marTop w:val="0"/>
              <w:marBottom w:val="0"/>
              <w:divBdr>
                <w:top w:val="none" w:sz="0" w:space="0" w:color="auto"/>
                <w:left w:val="none" w:sz="0" w:space="0" w:color="auto"/>
                <w:bottom w:val="none" w:sz="0" w:space="0" w:color="auto"/>
                <w:right w:val="none" w:sz="0" w:space="0" w:color="auto"/>
              </w:divBdr>
            </w:div>
          </w:divsChild>
        </w:div>
        <w:div w:id="1849245423">
          <w:marLeft w:val="0"/>
          <w:marRight w:val="0"/>
          <w:marTop w:val="0"/>
          <w:marBottom w:val="0"/>
          <w:divBdr>
            <w:top w:val="none" w:sz="0" w:space="0" w:color="auto"/>
            <w:left w:val="none" w:sz="0" w:space="0" w:color="auto"/>
            <w:bottom w:val="none" w:sz="0" w:space="0" w:color="auto"/>
            <w:right w:val="none" w:sz="0" w:space="0" w:color="auto"/>
          </w:divBdr>
          <w:divsChild>
            <w:div w:id="1060980113">
              <w:marLeft w:val="0"/>
              <w:marRight w:val="0"/>
              <w:marTop w:val="0"/>
              <w:marBottom w:val="0"/>
              <w:divBdr>
                <w:top w:val="none" w:sz="0" w:space="0" w:color="auto"/>
                <w:left w:val="none" w:sz="0" w:space="0" w:color="auto"/>
                <w:bottom w:val="none" w:sz="0" w:space="0" w:color="auto"/>
                <w:right w:val="none" w:sz="0" w:space="0" w:color="auto"/>
              </w:divBdr>
            </w:div>
          </w:divsChild>
        </w:div>
        <w:div w:id="1849516446">
          <w:marLeft w:val="0"/>
          <w:marRight w:val="0"/>
          <w:marTop w:val="0"/>
          <w:marBottom w:val="0"/>
          <w:divBdr>
            <w:top w:val="none" w:sz="0" w:space="0" w:color="auto"/>
            <w:left w:val="none" w:sz="0" w:space="0" w:color="auto"/>
            <w:bottom w:val="none" w:sz="0" w:space="0" w:color="auto"/>
            <w:right w:val="none" w:sz="0" w:space="0" w:color="auto"/>
          </w:divBdr>
          <w:divsChild>
            <w:div w:id="195507700">
              <w:marLeft w:val="0"/>
              <w:marRight w:val="0"/>
              <w:marTop w:val="0"/>
              <w:marBottom w:val="0"/>
              <w:divBdr>
                <w:top w:val="none" w:sz="0" w:space="0" w:color="auto"/>
                <w:left w:val="none" w:sz="0" w:space="0" w:color="auto"/>
                <w:bottom w:val="none" w:sz="0" w:space="0" w:color="auto"/>
                <w:right w:val="none" w:sz="0" w:space="0" w:color="auto"/>
              </w:divBdr>
            </w:div>
          </w:divsChild>
        </w:div>
        <w:div w:id="1850754242">
          <w:marLeft w:val="0"/>
          <w:marRight w:val="0"/>
          <w:marTop w:val="0"/>
          <w:marBottom w:val="0"/>
          <w:divBdr>
            <w:top w:val="none" w:sz="0" w:space="0" w:color="auto"/>
            <w:left w:val="none" w:sz="0" w:space="0" w:color="auto"/>
            <w:bottom w:val="none" w:sz="0" w:space="0" w:color="auto"/>
            <w:right w:val="none" w:sz="0" w:space="0" w:color="auto"/>
          </w:divBdr>
          <w:divsChild>
            <w:div w:id="2001421576">
              <w:marLeft w:val="0"/>
              <w:marRight w:val="0"/>
              <w:marTop w:val="0"/>
              <w:marBottom w:val="0"/>
              <w:divBdr>
                <w:top w:val="none" w:sz="0" w:space="0" w:color="auto"/>
                <w:left w:val="none" w:sz="0" w:space="0" w:color="auto"/>
                <w:bottom w:val="none" w:sz="0" w:space="0" w:color="auto"/>
                <w:right w:val="none" w:sz="0" w:space="0" w:color="auto"/>
              </w:divBdr>
            </w:div>
          </w:divsChild>
        </w:div>
        <w:div w:id="1850942977">
          <w:marLeft w:val="0"/>
          <w:marRight w:val="0"/>
          <w:marTop w:val="0"/>
          <w:marBottom w:val="0"/>
          <w:divBdr>
            <w:top w:val="none" w:sz="0" w:space="0" w:color="auto"/>
            <w:left w:val="none" w:sz="0" w:space="0" w:color="auto"/>
            <w:bottom w:val="none" w:sz="0" w:space="0" w:color="auto"/>
            <w:right w:val="none" w:sz="0" w:space="0" w:color="auto"/>
          </w:divBdr>
          <w:divsChild>
            <w:div w:id="1860971439">
              <w:marLeft w:val="0"/>
              <w:marRight w:val="0"/>
              <w:marTop w:val="0"/>
              <w:marBottom w:val="0"/>
              <w:divBdr>
                <w:top w:val="none" w:sz="0" w:space="0" w:color="auto"/>
                <w:left w:val="none" w:sz="0" w:space="0" w:color="auto"/>
                <w:bottom w:val="none" w:sz="0" w:space="0" w:color="auto"/>
                <w:right w:val="none" w:sz="0" w:space="0" w:color="auto"/>
              </w:divBdr>
            </w:div>
          </w:divsChild>
        </w:div>
        <w:div w:id="1850950766">
          <w:marLeft w:val="0"/>
          <w:marRight w:val="0"/>
          <w:marTop w:val="0"/>
          <w:marBottom w:val="0"/>
          <w:divBdr>
            <w:top w:val="none" w:sz="0" w:space="0" w:color="auto"/>
            <w:left w:val="none" w:sz="0" w:space="0" w:color="auto"/>
            <w:bottom w:val="none" w:sz="0" w:space="0" w:color="auto"/>
            <w:right w:val="none" w:sz="0" w:space="0" w:color="auto"/>
          </w:divBdr>
          <w:divsChild>
            <w:div w:id="608316615">
              <w:marLeft w:val="0"/>
              <w:marRight w:val="0"/>
              <w:marTop w:val="0"/>
              <w:marBottom w:val="0"/>
              <w:divBdr>
                <w:top w:val="none" w:sz="0" w:space="0" w:color="auto"/>
                <w:left w:val="none" w:sz="0" w:space="0" w:color="auto"/>
                <w:bottom w:val="none" w:sz="0" w:space="0" w:color="auto"/>
                <w:right w:val="none" w:sz="0" w:space="0" w:color="auto"/>
              </w:divBdr>
            </w:div>
          </w:divsChild>
        </w:div>
        <w:div w:id="1852406887">
          <w:marLeft w:val="0"/>
          <w:marRight w:val="0"/>
          <w:marTop w:val="0"/>
          <w:marBottom w:val="0"/>
          <w:divBdr>
            <w:top w:val="none" w:sz="0" w:space="0" w:color="auto"/>
            <w:left w:val="none" w:sz="0" w:space="0" w:color="auto"/>
            <w:bottom w:val="none" w:sz="0" w:space="0" w:color="auto"/>
            <w:right w:val="none" w:sz="0" w:space="0" w:color="auto"/>
          </w:divBdr>
          <w:divsChild>
            <w:div w:id="457261127">
              <w:marLeft w:val="0"/>
              <w:marRight w:val="0"/>
              <w:marTop w:val="0"/>
              <w:marBottom w:val="0"/>
              <w:divBdr>
                <w:top w:val="none" w:sz="0" w:space="0" w:color="auto"/>
                <w:left w:val="none" w:sz="0" w:space="0" w:color="auto"/>
                <w:bottom w:val="none" w:sz="0" w:space="0" w:color="auto"/>
                <w:right w:val="none" w:sz="0" w:space="0" w:color="auto"/>
              </w:divBdr>
            </w:div>
          </w:divsChild>
        </w:div>
        <w:div w:id="1852838390">
          <w:marLeft w:val="0"/>
          <w:marRight w:val="0"/>
          <w:marTop w:val="0"/>
          <w:marBottom w:val="0"/>
          <w:divBdr>
            <w:top w:val="none" w:sz="0" w:space="0" w:color="auto"/>
            <w:left w:val="none" w:sz="0" w:space="0" w:color="auto"/>
            <w:bottom w:val="none" w:sz="0" w:space="0" w:color="auto"/>
            <w:right w:val="none" w:sz="0" w:space="0" w:color="auto"/>
          </w:divBdr>
          <w:divsChild>
            <w:div w:id="1180465186">
              <w:marLeft w:val="0"/>
              <w:marRight w:val="0"/>
              <w:marTop w:val="0"/>
              <w:marBottom w:val="0"/>
              <w:divBdr>
                <w:top w:val="none" w:sz="0" w:space="0" w:color="auto"/>
                <w:left w:val="none" w:sz="0" w:space="0" w:color="auto"/>
                <w:bottom w:val="none" w:sz="0" w:space="0" w:color="auto"/>
                <w:right w:val="none" w:sz="0" w:space="0" w:color="auto"/>
              </w:divBdr>
            </w:div>
          </w:divsChild>
        </w:div>
        <w:div w:id="1855151569">
          <w:marLeft w:val="0"/>
          <w:marRight w:val="0"/>
          <w:marTop w:val="0"/>
          <w:marBottom w:val="0"/>
          <w:divBdr>
            <w:top w:val="none" w:sz="0" w:space="0" w:color="auto"/>
            <w:left w:val="none" w:sz="0" w:space="0" w:color="auto"/>
            <w:bottom w:val="none" w:sz="0" w:space="0" w:color="auto"/>
            <w:right w:val="none" w:sz="0" w:space="0" w:color="auto"/>
          </w:divBdr>
          <w:divsChild>
            <w:div w:id="1446534420">
              <w:marLeft w:val="0"/>
              <w:marRight w:val="0"/>
              <w:marTop w:val="0"/>
              <w:marBottom w:val="0"/>
              <w:divBdr>
                <w:top w:val="none" w:sz="0" w:space="0" w:color="auto"/>
                <w:left w:val="none" w:sz="0" w:space="0" w:color="auto"/>
                <w:bottom w:val="none" w:sz="0" w:space="0" w:color="auto"/>
                <w:right w:val="none" w:sz="0" w:space="0" w:color="auto"/>
              </w:divBdr>
            </w:div>
          </w:divsChild>
        </w:div>
        <w:div w:id="1857230004">
          <w:marLeft w:val="0"/>
          <w:marRight w:val="0"/>
          <w:marTop w:val="0"/>
          <w:marBottom w:val="0"/>
          <w:divBdr>
            <w:top w:val="none" w:sz="0" w:space="0" w:color="auto"/>
            <w:left w:val="none" w:sz="0" w:space="0" w:color="auto"/>
            <w:bottom w:val="none" w:sz="0" w:space="0" w:color="auto"/>
            <w:right w:val="none" w:sz="0" w:space="0" w:color="auto"/>
          </w:divBdr>
          <w:divsChild>
            <w:div w:id="1561404234">
              <w:marLeft w:val="0"/>
              <w:marRight w:val="0"/>
              <w:marTop w:val="0"/>
              <w:marBottom w:val="0"/>
              <w:divBdr>
                <w:top w:val="none" w:sz="0" w:space="0" w:color="auto"/>
                <w:left w:val="none" w:sz="0" w:space="0" w:color="auto"/>
                <w:bottom w:val="none" w:sz="0" w:space="0" w:color="auto"/>
                <w:right w:val="none" w:sz="0" w:space="0" w:color="auto"/>
              </w:divBdr>
            </w:div>
          </w:divsChild>
        </w:div>
        <w:div w:id="1858612629">
          <w:marLeft w:val="0"/>
          <w:marRight w:val="0"/>
          <w:marTop w:val="0"/>
          <w:marBottom w:val="0"/>
          <w:divBdr>
            <w:top w:val="none" w:sz="0" w:space="0" w:color="auto"/>
            <w:left w:val="none" w:sz="0" w:space="0" w:color="auto"/>
            <w:bottom w:val="none" w:sz="0" w:space="0" w:color="auto"/>
            <w:right w:val="none" w:sz="0" w:space="0" w:color="auto"/>
          </w:divBdr>
          <w:divsChild>
            <w:div w:id="1280528229">
              <w:marLeft w:val="0"/>
              <w:marRight w:val="0"/>
              <w:marTop w:val="0"/>
              <w:marBottom w:val="0"/>
              <w:divBdr>
                <w:top w:val="none" w:sz="0" w:space="0" w:color="auto"/>
                <w:left w:val="none" w:sz="0" w:space="0" w:color="auto"/>
                <w:bottom w:val="none" w:sz="0" w:space="0" w:color="auto"/>
                <w:right w:val="none" w:sz="0" w:space="0" w:color="auto"/>
              </w:divBdr>
            </w:div>
          </w:divsChild>
        </w:div>
        <w:div w:id="1860660953">
          <w:marLeft w:val="0"/>
          <w:marRight w:val="0"/>
          <w:marTop w:val="0"/>
          <w:marBottom w:val="0"/>
          <w:divBdr>
            <w:top w:val="none" w:sz="0" w:space="0" w:color="auto"/>
            <w:left w:val="none" w:sz="0" w:space="0" w:color="auto"/>
            <w:bottom w:val="none" w:sz="0" w:space="0" w:color="auto"/>
            <w:right w:val="none" w:sz="0" w:space="0" w:color="auto"/>
          </w:divBdr>
          <w:divsChild>
            <w:div w:id="1727989413">
              <w:marLeft w:val="0"/>
              <w:marRight w:val="0"/>
              <w:marTop w:val="0"/>
              <w:marBottom w:val="0"/>
              <w:divBdr>
                <w:top w:val="none" w:sz="0" w:space="0" w:color="auto"/>
                <w:left w:val="none" w:sz="0" w:space="0" w:color="auto"/>
                <w:bottom w:val="none" w:sz="0" w:space="0" w:color="auto"/>
                <w:right w:val="none" w:sz="0" w:space="0" w:color="auto"/>
              </w:divBdr>
            </w:div>
          </w:divsChild>
        </w:div>
        <w:div w:id="1865559605">
          <w:marLeft w:val="0"/>
          <w:marRight w:val="0"/>
          <w:marTop w:val="0"/>
          <w:marBottom w:val="0"/>
          <w:divBdr>
            <w:top w:val="none" w:sz="0" w:space="0" w:color="auto"/>
            <w:left w:val="none" w:sz="0" w:space="0" w:color="auto"/>
            <w:bottom w:val="none" w:sz="0" w:space="0" w:color="auto"/>
            <w:right w:val="none" w:sz="0" w:space="0" w:color="auto"/>
          </w:divBdr>
          <w:divsChild>
            <w:div w:id="601957455">
              <w:marLeft w:val="0"/>
              <w:marRight w:val="0"/>
              <w:marTop w:val="0"/>
              <w:marBottom w:val="0"/>
              <w:divBdr>
                <w:top w:val="none" w:sz="0" w:space="0" w:color="auto"/>
                <w:left w:val="none" w:sz="0" w:space="0" w:color="auto"/>
                <w:bottom w:val="none" w:sz="0" w:space="0" w:color="auto"/>
                <w:right w:val="none" w:sz="0" w:space="0" w:color="auto"/>
              </w:divBdr>
            </w:div>
          </w:divsChild>
        </w:div>
        <w:div w:id="1865749325">
          <w:marLeft w:val="0"/>
          <w:marRight w:val="0"/>
          <w:marTop w:val="0"/>
          <w:marBottom w:val="0"/>
          <w:divBdr>
            <w:top w:val="none" w:sz="0" w:space="0" w:color="auto"/>
            <w:left w:val="none" w:sz="0" w:space="0" w:color="auto"/>
            <w:bottom w:val="none" w:sz="0" w:space="0" w:color="auto"/>
            <w:right w:val="none" w:sz="0" w:space="0" w:color="auto"/>
          </w:divBdr>
          <w:divsChild>
            <w:div w:id="264658396">
              <w:marLeft w:val="0"/>
              <w:marRight w:val="0"/>
              <w:marTop w:val="0"/>
              <w:marBottom w:val="0"/>
              <w:divBdr>
                <w:top w:val="none" w:sz="0" w:space="0" w:color="auto"/>
                <w:left w:val="none" w:sz="0" w:space="0" w:color="auto"/>
                <w:bottom w:val="none" w:sz="0" w:space="0" w:color="auto"/>
                <w:right w:val="none" w:sz="0" w:space="0" w:color="auto"/>
              </w:divBdr>
            </w:div>
          </w:divsChild>
        </w:div>
        <w:div w:id="1870407174">
          <w:marLeft w:val="0"/>
          <w:marRight w:val="0"/>
          <w:marTop w:val="0"/>
          <w:marBottom w:val="0"/>
          <w:divBdr>
            <w:top w:val="none" w:sz="0" w:space="0" w:color="auto"/>
            <w:left w:val="none" w:sz="0" w:space="0" w:color="auto"/>
            <w:bottom w:val="none" w:sz="0" w:space="0" w:color="auto"/>
            <w:right w:val="none" w:sz="0" w:space="0" w:color="auto"/>
          </w:divBdr>
          <w:divsChild>
            <w:div w:id="177696392">
              <w:marLeft w:val="0"/>
              <w:marRight w:val="0"/>
              <w:marTop w:val="0"/>
              <w:marBottom w:val="0"/>
              <w:divBdr>
                <w:top w:val="none" w:sz="0" w:space="0" w:color="auto"/>
                <w:left w:val="none" w:sz="0" w:space="0" w:color="auto"/>
                <w:bottom w:val="none" w:sz="0" w:space="0" w:color="auto"/>
                <w:right w:val="none" w:sz="0" w:space="0" w:color="auto"/>
              </w:divBdr>
            </w:div>
          </w:divsChild>
        </w:div>
        <w:div w:id="1871642697">
          <w:marLeft w:val="0"/>
          <w:marRight w:val="0"/>
          <w:marTop w:val="0"/>
          <w:marBottom w:val="0"/>
          <w:divBdr>
            <w:top w:val="none" w:sz="0" w:space="0" w:color="auto"/>
            <w:left w:val="none" w:sz="0" w:space="0" w:color="auto"/>
            <w:bottom w:val="none" w:sz="0" w:space="0" w:color="auto"/>
            <w:right w:val="none" w:sz="0" w:space="0" w:color="auto"/>
          </w:divBdr>
          <w:divsChild>
            <w:div w:id="1508203673">
              <w:marLeft w:val="0"/>
              <w:marRight w:val="0"/>
              <w:marTop w:val="0"/>
              <w:marBottom w:val="0"/>
              <w:divBdr>
                <w:top w:val="none" w:sz="0" w:space="0" w:color="auto"/>
                <w:left w:val="none" w:sz="0" w:space="0" w:color="auto"/>
                <w:bottom w:val="none" w:sz="0" w:space="0" w:color="auto"/>
                <w:right w:val="none" w:sz="0" w:space="0" w:color="auto"/>
              </w:divBdr>
            </w:div>
          </w:divsChild>
        </w:div>
        <w:div w:id="1872525051">
          <w:marLeft w:val="0"/>
          <w:marRight w:val="0"/>
          <w:marTop w:val="0"/>
          <w:marBottom w:val="0"/>
          <w:divBdr>
            <w:top w:val="none" w:sz="0" w:space="0" w:color="auto"/>
            <w:left w:val="none" w:sz="0" w:space="0" w:color="auto"/>
            <w:bottom w:val="none" w:sz="0" w:space="0" w:color="auto"/>
            <w:right w:val="none" w:sz="0" w:space="0" w:color="auto"/>
          </w:divBdr>
          <w:divsChild>
            <w:div w:id="1818109467">
              <w:marLeft w:val="0"/>
              <w:marRight w:val="0"/>
              <w:marTop w:val="0"/>
              <w:marBottom w:val="0"/>
              <w:divBdr>
                <w:top w:val="none" w:sz="0" w:space="0" w:color="auto"/>
                <w:left w:val="none" w:sz="0" w:space="0" w:color="auto"/>
                <w:bottom w:val="none" w:sz="0" w:space="0" w:color="auto"/>
                <w:right w:val="none" w:sz="0" w:space="0" w:color="auto"/>
              </w:divBdr>
            </w:div>
          </w:divsChild>
        </w:div>
        <w:div w:id="1873640862">
          <w:marLeft w:val="0"/>
          <w:marRight w:val="0"/>
          <w:marTop w:val="0"/>
          <w:marBottom w:val="0"/>
          <w:divBdr>
            <w:top w:val="none" w:sz="0" w:space="0" w:color="auto"/>
            <w:left w:val="none" w:sz="0" w:space="0" w:color="auto"/>
            <w:bottom w:val="none" w:sz="0" w:space="0" w:color="auto"/>
            <w:right w:val="none" w:sz="0" w:space="0" w:color="auto"/>
          </w:divBdr>
          <w:divsChild>
            <w:div w:id="298926531">
              <w:marLeft w:val="0"/>
              <w:marRight w:val="0"/>
              <w:marTop w:val="0"/>
              <w:marBottom w:val="0"/>
              <w:divBdr>
                <w:top w:val="none" w:sz="0" w:space="0" w:color="auto"/>
                <w:left w:val="none" w:sz="0" w:space="0" w:color="auto"/>
                <w:bottom w:val="none" w:sz="0" w:space="0" w:color="auto"/>
                <w:right w:val="none" w:sz="0" w:space="0" w:color="auto"/>
              </w:divBdr>
            </w:div>
          </w:divsChild>
        </w:div>
        <w:div w:id="1874921658">
          <w:marLeft w:val="0"/>
          <w:marRight w:val="0"/>
          <w:marTop w:val="0"/>
          <w:marBottom w:val="0"/>
          <w:divBdr>
            <w:top w:val="none" w:sz="0" w:space="0" w:color="auto"/>
            <w:left w:val="none" w:sz="0" w:space="0" w:color="auto"/>
            <w:bottom w:val="none" w:sz="0" w:space="0" w:color="auto"/>
            <w:right w:val="none" w:sz="0" w:space="0" w:color="auto"/>
          </w:divBdr>
          <w:divsChild>
            <w:div w:id="149292235">
              <w:marLeft w:val="0"/>
              <w:marRight w:val="0"/>
              <w:marTop w:val="0"/>
              <w:marBottom w:val="0"/>
              <w:divBdr>
                <w:top w:val="none" w:sz="0" w:space="0" w:color="auto"/>
                <w:left w:val="none" w:sz="0" w:space="0" w:color="auto"/>
                <w:bottom w:val="none" w:sz="0" w:space="0" w:color="auto"/>
                <w:right w:val="none" w:sz="0" w:space="0" w:color="auto"/>
              </w:divBdr>
            </w:div>
          </w:divsChild>
        </w:div>
        <w:div w:id="1876042312">
          <w:marLeft w:val="0"/>
          <w:marRight w:val="0"/>
          <w:marTop w:val="0"/>
          <w:marBottom w:val="0"/>
          <w:divBdr>
            <w:top w:val="none" w:sz="0" w:space="0" w:color="auto"/>
            <w:left w:val="none" w:sz="0" w:space="0" w:color="auto"/>
            <w:bottom w:val="none" w:sz="0" w:space="0" w:color="auto"/>
            <w:right w:val="none" w:sz="0" w:space="0" w:color="auto"/>
          </w:divBdr>
          <w:divsChild>
            <w:div w:id="1266309416">
              <w:marLeft w:val="0"/>
              <w:marRight w:val="0"/>
              <w:marTop w:val="0"/>
              <w:marBottom w:val="0"/>
              <w:divBdr>
                <w:top w:val="none" w:sz="0" w:space="0" w:color="auto"/>
                <w:left w:val="none" w:sz="0" w:space="0" w:color="auto"/>
                <w:bottom w:val="none" w:sz="0" w:space="0" w:color="auto"/>
                <w:right w:val="none" w:sz="0" w:space="0" w:color="auto"/>
              </w:divBdr>
            </w:div>
          </w:divsChild>
        </w:div>
        <w:div w:id="1876505607">
          <w:marLeft w:val="0"/>
          <w:marRight w:val="0"/>
          <w:marTop w:val="0"/>
          <w:marBottom w:val="0"/>
          <w:divBdr>
            <w:top w:val="none" w:sz="0" w:space="0" w:color="auto"/>
            <w:left w:val="none" w:sz="0" w:space="0" w:color="auto"/>
            <w:bottom w:val="none" w:sz="0" w:space="0" w:color="auto"/>
            <w:right w:val="none" w:sz="0" w:space="0" w:color="auto"/>
          </w:divBdr>
          <w:divsChild>
            <w:div w:id="345404153">
              <w:marLeft w:val="0"/>
              <w:marRight w:val="0"/>
              <w:marTop w:val="0"/>
              <w:marBottom w:val="0"/>
              <w:divBdr>
                <w:top w:val="none" w:sz="0" w:space="0" w:color="auto"/>
                <w:left w:val="none" w:sz="0" w:space="0" w:color="auto"/>
                <w:bottom w:val="none" w:sz="0" w:space="0" w:color="auto"/>
                <w:right w:val="none" w:sz="0" w:space="0" w:color="auto"/>
              </w:divBdr>
            </w:div>
          </w:divsChild>
        </w:div>
        <w:div w:id="1877813401">
          <w:marLeft w:val="0"/>
          <w:marRight w:val="0"/>
          <w:marTop w:val="0"/>
          <w:marBottom w:val="0"/>
          <w:divBdr>
            <w:top w:val="none" w:sz="0" w:space="0" w:color="auto"/>
            <w:left w:val="none" w:sz="0" w:space="0" w:color="auto"/>
            <w:bottom w:val="none" w:sz="0" w:space="0" w:color="auto"/>
            <w:right w:val="none" w:sz="0" w:space="0" w:color="auto"/>
          </w:divBdr>
          <w:divsChild>
            <w:div w:id="741215015">
              <w:marLeft w:val="0"/>
              <w:marRight w:val="0"/>
              <w:marTop w:val="0"/>
              <w:marBottom w:val="0"/>
              <w:divBdr>
                <w:top w:val="none" w:sz="0" w:space="0" w:color="auto"/>
                <w:left w:val="none" w:sz="0" w:space="0" w:color="auto"/>
                <w:bottom w:val="none" w:sz="0" w:space="0" w:color="auto"/>
                <w:right w:val="none" w:sz="0" w:space="0" w:color="auto"/>
              </w:divBdr>
            </w:div>
          </w:divsChild>
        </w:div>
        <w:div w:id="1882982061">
          <w:marLeft w:val="0"/>
          <w:marRight w:val="0"/>
          <w:marTop w:val="0"/>
          <w:marBottom w:val="0"/>
          <w:divBdr>
            <w:top w:val="none" w:sz="0" w:space="0" w:color="auto"/>
            <w:left w:val="none" w:sz="0" w:space="0" w:color="auto"/>
            <w:bottom w:val="none" w:sz="0" w:space="0" w:color="auto"/>
            <w:right w:val="none" w:sz="0" w:space="0" w:color="auto"/>
          </w:divBdr>
          <w:divsChild>
            <w:div w:id="1962303551">
              <w:marLeft w:val="0"/>
              <w:marRight w:val="0"/>
              <w:marTop w:val="0"/>
              <w:marBottom w:val="0"/>
              <w:divBdr>
                <w:top w:val="none" w:sz="0" w:space="0" w:color="auto"/>
                <w:left w:val="none" w:sz="0" w:space="0" w:color="auto"/>
                <w:bottom w:val="none" w:sz="0" w:space="0" w:color="auto"/>
                <w:right w:val="none" w:sz="0" w:space="0" w:color="auto"/>
              </w:divBdr>
            </w:div>
          </w:divsChild>
        </w:div>
        <w:div w:id="1885671884">
          <w:marLeft w:val="0"/>
          <w:marRight w:val="0"/>
          <w:marTop w:val="0"/>
          <w:marBottom w:val="0"/>
          <w:divBdr>
            <w:top w:val="none" w:sz="0" w:space="0" w:color="auto"/>
            <w:left w:val="none" w:sz="0" w:space="0" w:color="auto"/>
            <w:bottom w:val="none" w:sz="0" w:space="0" w:color="auto"/>
            <w:right w:val="none" w:sz="0" w:space="0" w:color="auto"/>
          </w:divBdr>
          <w:divsChild>
            <w:div w:id="1283538771">
              <w:marLeft w:val="0"/>
              <w:marRight w:val="0"/>
              <w:marTop w:val="0"/>
              <w:marBottom w:val="0"/>
              <w:divBdr>
                <w:top w:val="none" w:sz="0" w:space="0" w:color="auto"/>
                <w:left w:val="none" w:sz="0" w:space="0" w:color="auto"/>
                <w:bottom w:val="none" w:sz="0" w:space="0" w:color="auto"/>
                <w:right w:val="none" w:sz="0" w:space="0" w:color="auto"/>
              </w:divBdr>
            </w:div>
          </w:divsChild>
        </w:div>
        <w:div w:id="1890460029">
          <w:marLeft w:val="0"/>
          <w:marRight w:val="0"/>
          <w:marTop w:val="0"/>
          <w:marBottom w:val="0"/>
          <w:divBdr>
            <w:top w:val="none" w:sz="0" w:space="0" w:color="auto"/>
            <w:left w:val="none" w:sz="0" w:space="0" w:color="auto"/>
            <w:bottom w:val="none" w:sz="0" w:space="0" w:color="auto"/>
            <w:right w:val="none" w:sz="0" w:space="0" w:color="auto"/>
          </w:divBdr>
          <w:divsChild>
            <w:div w:id="1305084287">
              <w:marLeft w:val="0"/>
              <w:marRight w:val="0"/>
              <w:marTop w:val="0"/>
              <w:marBottom w:val="0"/>
              <w:divBdr>
                <w:top w:val="none" w:sz="0" w:space="0" w:color="auto"/>
                <w:left w:val="none" w:sz="0" w:space="0" w:color="auto"/>
                <w:bottom w:val="none" w:sz="0" w:space="0" w:color="auto"/>
                <w:right w:val="none" w:sz="0" w:space="0" w:color="auto"/>
              </w:divBdr>
            </w:div>
          </w:divsChild>
        </w:div>
        <w:div w:id="1892304562">
          <w:marLeft w:val="0"/>
          <w:marRight w:val="0"/>
          <w:marTop w:val="0"/>
          <w:marBottom w:val="0"/>
          <w:divBdr>
            <w:top w:val="none" w:sz="0" w:space="0" w:color="auto"/>
            <w:left w:val="none" w:sz="0" w:space="0" w:color="auto"/>
            <w:bottom w:val="none" w:sz="0" w:space="0" w:color="auto"/>
            <w:right w:val="none" w:sz="0" w:space="0" w:color="auto"/>
          </w:divBdr>
          <w:divsChild>
            <w:div w:id="312417822">
              <w:marLeft w:val="0"/>
              <w:marRight w:val="0"/>
              <w:marTop w:val="0"/>
              <w:marBottom w:val="0"/>
              <w:divBdr>
                <w:top w:val="none" w:sz="0" w:space="0" w:color="auto"/>
                <w:left w:val="none" w:sz="0" w:space="0" w:color="auto"/>
                <w:bottom w:val="none" w:sz="0" w:space="0" w:color="auto"/>
                <w:right w:val="none" w:sz="0" w:space="0" w:color="auto"/>
              </w:divBdr>
            </w:div>
          </w:divsChild>
        </w:div>
        <w:div w:id="1892685951">
          <w:marLeft w:val="0"/>
          <w:marRight w:val="0"/>
          <w:marTop w:val="0"/>
          <w:marBottom w:val="0"/>
          <w:divBdr>
            <w:top w:val="none" w:sz="0" w:space="0" w:color="auto"/>
            <w:left w:val="none" w:sz="0" w:space="0" w:color="auto"/>
            <w:bottom w:val="none" w:sz="0" w:space="0" w:color="auto"/>
            <w:right w:val="none" w:sz="0" w:space="0" w:color="auto"/>
          </w:divBdr>
          <w:divsChild>
            <w:div w:id="133565487">
              <w:marLeft w:val="0"/>
              <w:marRight w:val="0"/>
              <w:marTop w:val="0"/>
              <w:marBottom w:val="0"/>
              <w:divBdr>
                <w:top w:val="none" w:sz="0" w:space="0" w:color="auto"/>
                <w:left w:val="none" w:sz="0" w:space="0" w:color="auto"/>
                <w:bottom w:val="none" w:sz="0" w:space="0" w:color="auto"/>
                <w:right w:val="none" w:sz="0" w:space="0" w:color="auto"/>
              </w:divBdr>
            </w:div>
          </w:divsChild>
        </w:div>
        <w:div w:id="1894192794">
          <w:marLeft w:val="0"/>
          <w:marRight w:val="0"/>
          <w:marTop w:val="0"/>
          <w:marBottom w:val="0"/>
          <w:divBdr>
            <w:top w:val="none" w:sz="0" w:space="0" w:color="auto"/>
            <w:left w:val="none" w:sz="0" w:space="0" w:color="auto"/>
            <w:bottom w:val="none" w:sz="0" w:space="0" w:color="auto"/>
            <w:right w:val="none" w:sz="0" w:space="0" w:color="auto"/>
          </w:divBdr>
          <w:divsChild>
            <w:div w:id="1752042746">
              <w:marLeft w:val="0"/>
              <w:marRight w:val="0"/>
              <w:marTop w:val="0"/>
              <w:marBottom w:val="0"/>
              <w:divBdr>
                <w:top w:val="none" w:sz="0" w:space="0" w:color="auto"/>
                <w:left w:val="none" w:sz="0" w:space="0" w:color="auto"/>
                <w:bottom w:val="none" w:sz="0" w:space="0" w:color="auto"/>
                <w:right w:val="none" w:sz="0" w:space="0" w:color="auto"/>
              </w:divBdr>
            </w:div>
          </w:divsChild>
        </w:div>
        <w:div w:id="1896887186">
          <w:marLeft w:val="0"/>
          <w:marRight w:val="0"/>
          <w:marTop w:val="0"/>
          <w:marBottom w:val="0"/>
          <w:divBdr>
            <w:top w:val="none" w:sz="0" w:space="0" w:color="auto"/>
            <w:left w:val="none" w:sz="0" w:space="0" w:color="auto"/>
            <w:bottom w:val="none" w:sz="0" w:space="0" w:color="auto"/>
            <w:right w:val="none" w:sz="0" w:space="0" w:color="auto"/>
          </w:divBdr>
          <w:divsChild>
            <w:div w:id="187522000">
              <w:marLeft w:val="0"/>
              <w:marRight w:val="0"/>
              <w:marTop w:val="0"/>
              <w:marBottom w:val="0"/>
              <w:divBdr>
                <w:top w:val="none" w:sz="0" w:space="0" w:color="auto"/>
                <w:left w:val="none" w:sz="0" w:space="0" w:color="auto"/>
                <w:bottom w:val="none" w:sz="0" w:space="0" w:color="auto"/>
                <w:right w:val="none" w:sz="0" w:space="0" w:color="auto"/>
              </w:divBdr>
            </w:div>
          </w:divsChild>
        </w:div>
        <w:div w:id="1897859959">
          <w:marLeft w:val="0"/>
          <w:marRight w:val="0"/>
          <w:marTop w:val="0"/>
          <w:marBottom w:val="0"/>
          <w:divBdr>
            <w:top w:val="none" w:sz="0" w:space="0" w:color="auto"/>
            <w:left w:val="none" w:sz="0" w:space="0" w:color="auto"/>
            <w:bottom w:val="none" w:sz="0" w:space="0" w:color="auto"/>
            <w:right w:val="none" w:sz="0" w:space="0" w:color="auto"/>
          </w:divBdr>
          <w:divsChild>
            <w:div w:id="464466186">
              <w:marLeft w:val="0"/>
              <w:marRight w:val="0"/>
              <w:marTop w:val="0"/>
              <w:marBottom w:val="0"/>
              <w:divBdr>
                <w:top w:val="none" w:sz="0" w:space="0" w:color="auto"/>
                <w:left w:val="none" w:sz="0" w:space="0" w:color="auto"/>
                <w:bottom w:val="none" w:sz="0" w:space="0" w:color="auto"/>
                <w:right w:val="none" w:sz="0" w:space="0" w:color="auto"/>
              </w:divBdr>
            </w:div>
          </w:divsChild>
        </w:div>
        <w:div w:id="1897931982">
          <w:marLeft w:val="0"/>
          <w:marRight w:val="0"/>
          <w:marTop w:val="0"/>
          <w:marBottom w:val="0"/>
          <w:divBdr>
            <w:top w:val="none" w:sz="0" w:space="0" w:color="auto"/>
            <w:left w:val="none" w:sz="0" w:space="0" w:color="auto"/>
            <w:bottom w:val="none" w:sz="0" w:space="0" w:color="auto"/>
            <w:right w:val="none" w:sz="0" w:space="0" w:color="auto"/>
          </w:divBdr>
          <w:divsChild>
            <w:div w:id="502399276">
              <w:marLeft w:val="0"/>
              <w:marRight w:val="0"/>
              <w:marTop w:val="0"/>
              <w:marBottom w:val="0"/>
              <w:divBdr>
                <w:top w:val="none" w:sz="0" w:space="0" w:color="auto"/>
                <w:left w:val="none" w:sz="0" w:space="0" w:color="auto"/>
                <w:bottom w:val="none" w:sz="0" w:space="0" w:color="auto"/>
                <w:right w:val="none" w:sz="0" w:space="0" w:color="auto"/>
              </w:divBdr>
            </w:div>
          </w:divsChild>
        </w:div>
        <w:div w:id="1898053775">
          <w:marLeft w:val="0"/>
          <w:marRight w:val="0"/>
          <w:marTop w:val="0"/>
          <w:marBottom w:val="0"/>
          <w:divBdr>
            <w:top w:val="none" w:sz="0" w:space="0" w:color="auto"/>
            <w:left w:val="none" w:sz="0" w:space="0" w:color="auto"/>
            <w:bottom w:val="none" w:sz="0" w:space="0" w:color="auto"/>
            <w:right w:val="none" w:sz="0" w:space="0" w:color="auto"/>
          </w:divBdr>
          <w:divsChild>
            <w:div w:id="1548952485">
              <w:marLeft w:val="0"/>
              <w:marRight w:val="0"/>
              <w:marTop w:val="0"/>
              <w:marBottom w:val="0"/>
              <w:divBdr>
                <w:top w:val="none" w:sz="0" w:space="0" w:color="auto"/>
                <w:left w:val="none" w:sz="0" w:space="0" w:color="auto"/>
                <w:bottom w:val="none" w:sz="0" w:space="0" w:color="auto"/>
                <w:right w:val="none" w:sz="0" w:space="0" w:color="auto"/>
              </w:divBdr>
            </w:div>
          </w:divsChild>
        </w:div>
        <w:div w:id="1902252835">
          <w:marLeft w:val="0"/>
          <w:marRight w:val="0"/>
          <w:marTop w:val="0"/>
          <w:marBottom w:val="0"/>
          <w:divBdr>
            <w:top w:val="none" w:sz="0" w:space="0" w:color="auto"/>
            <w:left w:val="none" w:sz="0" w:space="0" w:color="auto"/>
            <w:bottom w:val="none" w:sz="0" w:space="0" w:color="auto"/>
            <w:right w:val="none" w:sz="0" w:space="0" w:color="auto"/>
          </w:divBdr>
          <w:divsChild>
            <w:div w:id="1036202284">
              <w:marLeft w:val="0"/>
              <w:marRight w:val="0"/>
              <w:marTop w:val="0"/>
              <w:marBottom w:val="0"/>
              <w:divBdr>
                <w:top w:val="none" w:sz="0" w:space="0" w:color="auto"/>
                <w:left w:val="none" w:sz="0" w:space="0" w:color="auto"/>
                <w:bottom w:val="none" w:sz="0" w:space="0" w:color="auto"/>
                <w:right w:val="none" w:sz="0" w:space="0" w:color="auto"/>
              </w:divBdr>
            </w:div>
          </w:divsChild>
        </w:div>
        <w:div w:id="1909068834">
          <w:marLeft w:val="0"/>
          <w:marRight w:val="0"/>
          <w:marTop w:val="0"/>
          <w:marBottom w:val="0"/>
          <w:divBdr>
            <w:top w:val="none" w:sz="0" w:space="0" w:color="auto"/>
            <w:left w:val="none" w:sz="0" w:space="0" w:color="auto"/>
            <w:bottom w:val="none" w:sz="0" w:space="0" w:color="auto"/>
            <w:right w:val="none" w:sz="0" w:space="0" w:color="auto"/>
          </w:divBdr>
          <w:divsChild>
            <w:div w:id="1603564879">
              <w:marLeft w:val="0"/>
              <w:marRight w:val="0"/>
              <w:marTop w:val="0"/>
              <w:marBottom w:val="0"/>
              <w:divBdr>
                <w:top w:val="none" w:sz="0" w:space="0" w:color="auto"/>
                <w:left w:val="none" w:sz="0" w:space="0" w:color="auto"/>
                <w:bottom w:val="none" w:sz="0" w:space="0" w:color="auto"/>
                <w:right w:val="none" w:sz="0" w:space="0" w:color="auto"/>
              </w:divBdr>
            </w:div>
          </w:divsChild>
        </w:div>
        <w:div w:id="1915123289">
          <w:marLeft w:val="0"/>
          <w:marRight w:val="0"/>
          <w:marTop w:val="0"/>
          <w:marBottom w:val="0"/>
          <w:divBdr>
            <w:top w:val="none" w:sz="0" w:space="0" w:color="auto"/>
            <w:left w:val="none" w:sz="0" w:space="0" w:color="auto"/>
            <w:bottom w:val="none" w:sz="0" w:space="0" w:color="auto"/>
            <w:right w:val="none" w:sz="0" w:space="0" w:color="auto"/>
          </w:divBdr>
          <w:divsChild>
            <w:div w:id="1655334952">
              <w:marLeft w:val="0"/>
              <w:marRight w:val="0"/>
              <w:marTop w:val="0"/>
              <w:marBottom w:val="0"/>
              <w:divBdr>
                <w:top w:val="none" w:sz="0" w:space="0" w:color="auto"/>
                <w:left w:val="none" w:sz="0" w:space="0" w:color="auto"/>
                <w:bottom w:val="none" w:sz="0" w:space="0" w:color="auto"/>
                <w:right w:val="none" w:sz="0" w:space="0" w:color="auto"/>
              </w:divBdr>
            </w:div>
          </w:divsChild>
        </w:div>
        <w:div w:id="1917738013">
          <w:marLeft w:val="0"/>
          <w:marRight w:val="0"/>
          <w:marTop w:val="0"/>
          <w:marBottom w:val="0"/>
          <w:divBdr>
            <w:top w:val="none" w:sz="0" w:space="0" w:color="auto"/>
            <w:left w:val="none" w:sz="0" w:space="0" w:color="auto"/>
            <w:bottom w:val="none" w:sz="0" w:space="0" w:color="auto"/>
            <w:right w:val="none" w:sz="0" w:space="0" w:color="auto"/>
          </w:divBdr>
          <w:divsChild>
            <w:div w:id="525022201">
              <w:marLeft w:val="0"/>
              <w:marRight w:val="0"/>
              <w:marTop w:val="0"/>
              <w:marBottom w:val="0"/>
              <w:divBdr>
                <w:top w:val="none" w:sz="0" w:space="0" w:color="auto"/>
                <w:left w:val="none" w:sz="0" w:space="0" w:color="auto"/>
                <w:bottom w:val="none" w:sz="0" w:space="0" w:color="auto"/>
                <w:right w:val="none" w:sz="0" w:space="0" w:color="auto"/>
              </w:divBdr>
            </w:div>
          </w:divsChild>
        </w:div>
        <w:div w:id="1920433412">
          <w:marLeft w:val="0"/>
          <w:marRight w:val="0"/>
          <w:marTop w:val="0"/>
          <w:marBottom w:val="0"/>
          <w:divBdr>
            <w:top w:val="none" w:sz="0" w:space="0" w:color="auto"/>
            <w:left w:val="none" w:sz="0" w:space="0" w:color="auto"/>
            <w:bottom w:val="none" w:sz="0" w:space="0" w:color="auto"/>
            <w:right w:val="none" w:sz="0" w:space="0" w:color="auto"/>
          </w:divBdr>
          <w:divsChild>
            <w:div w:id="328556994">
              <w:marLeft w:val="0"/>
              <w:marRight w:val="0"/>
              <w:marTop w:val="0"/>
              <w:marBottom w:val="0"/>
              <w:divBdr>
                <w:top w:val="none" w:sz="0" w:space="0" w:color="auto"/>
                <w:left w:val="none" w:sz="0" w:space="0" w:color="auto"/>
                <w:bottom w:val="none" w:sz="0" w:space="0" w:color="auto"/>
                <w:right w:val="none" w:sz="0" w:space="0" w:color="auto"/>
              </w:divBdr>
            </w:div>
          </w:divsChild>
        </w:div>
        <w:div w:id="1922330841">
          <w:marLeft w:val="0"/>
          <w:marRight w:val="0"/>
          <w:marTop w:val="0"/>
          <w:marBottom w:val="0"/>
          <w:divBdr>
            <w:top w:val="none" w:sz="0" w:space="0" w:color="auto"/>
            <w:left w:val="none" w:sz="0" w:space="0" w:color="auto"/>
            <w:bottom w:val="none" w:sz="0" w:space="0" w:color="auto"/>
            <w:right w:val="none" w:sz="0" w:space="0" w:color="auto"/>
          </w:divBdr>
          <w:divsChild>
            <w:div w:id="1650013574">
              <w:marLeft w:val="0"/>
              <w:marRight w:val="0"/>
              <w:marTop w:val="0"/>
              <w:marBottom w:val="0"/>
              <w:divBdr>
                <w:top w:val="none" w:sz="0" w:space="0" w:color="auto"/>
                <w:left w:val="none" w:sz="0" w:space="0" w:color="auto"/>
                <w:bottom w:val="none" w:sz="0" w:space="0" w:color="auto"/>
                <w:right w:val="none" w:sz="0" w:space="0" w:color="auto"/>
              </w:divBdr>
            </w:div>
          </w:divsChild>
        </w:div>
        <w:div w:id="1924289996">
          <w:marLeft w:val="0"/>
          <w:marRight w:val="0"/>
          <w:marTop w:val="0"/>
          <w:marBottom w:val="0"/>
          <w:divBdr>
            <w:top w:val="none" w:sz="0" w:space="0" w:color="auto"/>
            <w:left w:val="none" w:sz="0" w:space="0" w:color="auto"/>
            <w:bottom w:val="none" w:sz="0" w:space="0" w:color="auto"/>
            <w:right w:val="none" w:sz="0" w:space="0" w:color="auto"/>
          </w:divBdr>
          <w:divsChild>
            <w:div w:id="1752390325">
              <w:marLeft w:val="0"/>
              <w:marRight w:val="0"/>
              <w:marTop w:val="0"/>
              <w:marBottom w:val="0"/>
              <w:divBdr>
                <w:top w:val="none" w:sz="0" w:space="0" w:color="auto"/>
                <w:left w:val="none" w:sz="0" w:space="0" w:color="auto"/>
                <w:bottom w:val="none" w:sz="0" w:space="0" w:color="auto"/>
                <w:right w:val="none" w:sz="0" w:space="0" w:color="auto"/>
              </w:divBdr>
            </w:div>
          </w:divsChild>
        </w:div>
        <w:div w:id="1924993022">
          <w:marLeft w:val="0"/>
          <w:marRight w:val="0"/>
          <w:marTop w:val="0"/>
          <w:marBottom w:val="0"/>
          <w:divBdr>
            <w:top w:val="none" w:sz="0" w:space="0" w:color="auto"/>
            <w:left w:val="none" w:sz="0" w:space="0" w:color="auto"/>
            <w:bottom w:val="none" w:sz="0" w:space="0" w:color="auto"/>
            <w:right w:val="none" w:sz="0" w:space="0" w:color="auto"/>
          </w:divBdr>
          <w:divsChild>
            <w:div w:id="1539006023">
              <w:marLeft w:val="0"/>
              <w:marRight w:val="0"/>
              <w:marTop w:val="0"/>
              <w:marBottom w:val="0"/>
              <w:divBdr>
                <w:top w:val="none" w:sz="0" w:space="0" w:color="auto"/>
                <w:left w:val="none" w:sz="0" w:space="0" w:color="auto"/>
                <w:bottom w:val="none" w:sz="0" w:space="0" w:color="auto"/>
                <w:right w:val="none" w:sz="0" w:space="0" w:color="auto"/>
              </w:divBdr>
            </w:div>
          </w:divsChild>
        </w:div>
        <w:div w:id="1925676101">
          <w:marLeft w:val="0"/>
          <w:marRight w:val="0"/>
          <w:marTop w:val="0"/>
          <w:marBottom w:val="0"/>
          <w:divBdr>
            <w:top w:val="none" w:sz="0" w:space="0" w:color="auto"/>
            <w:left w:val="none" w:sz="0" w:space="0" w:color="auto"/>
            <w:bottom w:val="none" w:sz="0" w:space="0" w:color="auto"/>
            <w:right w:val="none" w:sz="0" w:space="0" w:color="auto"/>
          </w:divBdr>
          <w:divsChild>
            <w:div w:id="195238006">
              <w:marLeft w:val="0"/>
              <w:marRight w:val="0"/>
              <w:marTop w:val="0"/>
              <w:marBottom w:val="0"/>
              <w:divBdr>
                <w:top w:val="none" w:sz="0" w:space="0" w:color="auto"/>
                <w:left w:val="none" w:sz="0" w:space="0" w:color="auto"/>
                <w:bottom w:val="none" w:sz="0" w:space="0" w:color="auto"/>
                <w:right w:val="none" w:sz="0" w:space="0" w:color="auto"/>
              </w:divBdr>
            </w:div>
          </w:divsChild>
        </w:div>
        <w:div w:id="1925871161">
          <w:marLeft w:val="0"/>
          <w:marRight w:val="0"/>
          <w:marTop w:val="0"/>
          <w:marBottom w:val="0"/>
          <w:divBdr>
            <w:top w:val="none" w:sz="0" w:space="0" w:color="auto"/>
            <w:left w:val="none" w:sz="0" w:space="0" w:color="auto"/>
            <w:bottom w:val="none" w:sz="0" w:space="0" w:color="auto"/>
            <w:right w:val="none" w:sz="0" w:space="0" w:color="auto"/>
          </w:divBdr>
          <w:divsChild>
            <w:div w:id="1889299540">
              <w:marLeft w:val="0"/>
              <w:marRight w:val="0"/>
              <w:marTop w:val="0"/>
              <w:marBottom w:val="0"/>
              <w:divBdr>
                <w:top w:val="none" w:sz="0" w:space="0" w:color="auto"/>
                <w:left w:val="none" w:sz="0" w:space="0" w:color="auto"/>
                <w:bottom w:val="none" w:sz="0" w:space="0" w:color="auto"/>
                <w:right w:val="none" w:sz="0" w:space="0" w:color="auto"/>
              </w:divBdr>
            </w:div>
          </w:divsChild>
        </w:div>
        <w:div w:id="1926839225">
          <w:marLeft w:val="0"/>
          <w:marRight w:val="0"/>
          <w:marTop w:val="0"/>
          <w:marBottom w:val="0"/>
          <w:divBdr>
            <w:top w:val="none" w:sz="0" w:space="0" w:color="auto"/>
            <w:left w:val="none" w:sz="0" w:space="0" w:color="auto"/>
            <w:bottom w:val="none" w:sz="0" w:space="0" w:color="auto"/>
            <w:right w:val="none" w:sz="0" w:space="0" w:color="auto"/>
          </w:divBdr>
          <w:divsChild>
            <w:div w:id="995036551">
              <w:marLeft w:val="0"/>
              <w:marRight w:val="0"/>
              <w:marTop w:val="0"/>
              <w:marBottom w:val="0"/>
              <w:divBdr>
                <w:top w:val="none" w:sz="0" w:space="0" w:color="auto"/>
                <w:left w:val="none" w:sz="0" w:space="0" w:color="auto"/>
                <w:bottom w:val="none" w:sz="0" w:space="0" w:color="auto"/>
                <w:right w:val="none" w:sz="0" w:space="0" w:color="auto"/>
              </w:divBdr>
            </w:div>
          </w:divsChild>
        </w:div>
        <w:div w:id="1927692579">
          <w:marLeft w:val="0"/>
          <w:marRight w:val="0"/>
          <w:marTop w:val="0"/>
          <w:marBottom w:val="0"/>
          <w:divBdr>
            <w:top w:val="none" w:sz="0" w:space="0" w:color="auto"/>
            <w:left w:val="none" w:sz="0" w:space="0" w:color="auto"/>
            <w:bottom w:val="none" w:sz="0" w:space="0" w:color="auto"/>
            <w:right w:val="none" w:sz="0" w:space="0" w:color="auto"/>
          </w:divBdr>
          <w:divsChild>
            <w:div w:id="1934892827">
              <w:marLeft w:val="0"/>
              <w:marRight w:val="0"/>
              <w:marTop w:val="0"/>
              <w:marBottom w:val="0"/>
              <w:divBdr>
                <w:top w:val="none" w:sz="0" w:space="0" w:color="auto"/>
                <w:left w:val="none" w:sz="0" w:space="0" w:color="auto"/>
                <w:bottom w:val="none" w:sz="0" w:space="0" w:color="auto"/>
                <w:right w:val="none" w:sz="0" w:space="0" w:color="auto"/>
              </w:divBdr>
            </w:div>
          </w:divsChild>
        </w:div>
        <w:div w:id="1928730458">
          <w:marLeft w:val="0"/>
          <w:marRight w:val="0"/>
          <w:marTop w:val="0"/>
          <w:marBottom w:val="0"/>
          <w:divBdr>
            <w:top w:val="none" w:sz="0" w:space="0" w:color="auto"/>
            <w:left w:val="none" w:sz="0" w:space="0" w:color="auto"/>
            <w:bottom w:val="none" w:sz="0" w:space="0" w:color="auto"/>
            <w:right w:val="none" w:sz="0" w:space="0" w:color="auto"/>
          </w:divBdr>
          <w:divsChild>
            <w:div w:id="380983769">
              <w:marLeft w:val="0"/>
              <w:marRight w:val="0"/>
              <w:marTop w:val="0"/>
              <w:marBottom w:val="0"/>
              <w:divBdr>
                <w:top w:val="none" w:sz="0" w:space="0" w:color="auto"/>
                <w:left w:val="none" w:sz="0" w:space="0" w:color="auto"/>
                <w:bottom w:val="none" w:sz="0" w:space="0" w:color="auto"/>
                <w:right w:val="none" w:sz="0" w:space="0" w:color="auto"/>
              </w:divBdr>
            </w:div>
          </w:divsChild>
        </w:div>
        <w:div w:id="1932007158">
          <w:marLeft w:val="0"/>
          <w:marRight w:val="0"/>
          <w:marTop w:val="0"/>
          <w:marBottom w:val="0"/>
          <w:divBdr>
            <w:top w:val="none" w:sz="0" w:space="0" w:color="auto"/>
            <w:left w:val="none" w:sz="0" w:space="0" w:color="auto"/>
            <w:bottom w:val="none" w:sz="0" w:space="0" w:color="auto"/>
            <w:right w:val="none" w:sz="0" w:space="0" w:color="auto"/>
          </w:divBdr>
          <w:divsChild>
            <w:div w:id="1425762037">
              <w:marLeft w:val="0"/>
              <w:marRight w:val="0"/>
              <w:marTop w:val="0"/>
              <w:marBottom w:val="0"/>
              <w:divBdr>
                <w:top w:val="none" w:sz="0" w:space="0" w:color="auto"/>
                <w:left w:val="none" w:sz="0" w:space="0" w:color="auto"/>
                <w:bottom w:val="none" w:sz="0" w:space="0" w:color="auto"/>
                <w:right w:val="none" w:sz="0" w:space="0" w:color="auto"/>
              </w:divBdr>
            </w:div>
          </w:divsChild>
        </w:div>
        <w:div w:id="1932660099">
          <w:marLeft w:val="0"/>
          <w:marRight w:val="0"/>
          <w:marTop w:val="0"/>
          <w:marBottom w:val="0"/>
          <w:divBdr>
            <w:top w:val="none" w:sz="0" w:space="0" w:color="auto"/>
            <w:left w:val="none" w:sz="0" w:space="0" w:color="auto"/>
            <w:bottom w:val="none" w:sz="0" w:space="0" w:color="auto"/>
            <w:right w:val="none" w:sz="0" w:space="0" w:color="auto"/>
          </w:divBdr>
          <w:divsChild>
            <w:div w:id="2003658829">
              <w:marLeft w:val="0"/>
              <w:marRight w:val="0"/>
              <w:marTop w:val="0"/>
              <w:marBottom w:val="0"/>
              <w:divBdr>
                <w:top w:val="none" w:sz="0" w:space="0" w:color="auto"/>
                <w:left w:val="none" w:sz="0" w:space="0" w:color="auto"/>
                <w:bottom w:val="none" w:sz="0" w:space="0" w:color="auto"/>
                <w:right w:val="none" w:sz="0" w:space="0" w:color="auto"/>
              </w:divBdr>
            </w:div>
          </w:divsChild>
        </w:div>
        <w:div w:id="1933010362">
          <w:marLeft w:val="0"/>
          <w:marRight w:val="0"/>
          <w:marTop w:val="0"/>
          <w:marBottom w:val="0"/>
          <w:divBdr>
            <w:top w:val="none" w:sz="0" w:space="0" w:color="auto"/>
            <w:left w:val="none" w:sz="0" w:space="0" w:color="auto"/>
            <w:bottom w:val="none" w:sz="0" w:space="0" w:color="auto"/>
            <w:right w:val="none" w:sz="0" w:space="0" w:color="auto"/>
          </w:divBdr>
          <w:divsChild>
            <w:div w:id="795415520">
              <w:marLeft w:val="0"/>
              <w:marRight w:val="0"/>
              <w:marTop w:val="0"/>
              <w:marBottom w:val="0"/>
              <w:divBdr>
                <w:top w:val="none" w:sz="0" w:space="0" w:color="auto"/>
                <w:left w:val="none" w:sz="0" w:space="0" w:color="auto"/>
                <w:bottom w:val="none" w:sz="0" w:space="0" w:color="auto"/>
                <w:right w:val="none" w:sz="0" w:space="0" w:color="auto"/>
              </w:divBdr>
            </w:div>
          </w:divsChild>
        </w:div>
        <w:div w:id="1933514580">
          <w:marLeft w:val="0"/>
          <w:marRight w:val="0"/>
          <w:marTop w:val="0"/>
          <w:marBottom w:val="0"/>
          <w:divBdr>
            <w:top w:val="none" w:sz="0" w:space="0" w:color="auto"/>
            <w:left w:val="none" w:sz="0" w:space="0" w:color="auto"/>
            <w:bottom w:val="none" w:sz="0" w:space="0" w:color="auto"/>
            <w:right w:val="none" w:sz="0" w:space="0" w:color="auto"/>
          </w:divBdr>
          <w:divsChild>
            <w:div w:id="1951737922">
              <w:marLeft w:val="0"/>
              <w:marRight w:val="0"/>
              <w:marTop w:val="0"/>
              <w:marBottom w:val="0"/>
              <w:divBdr>
                <w:top w:val="none" w:sz="0" w:space="0" w:color="auto"/>
                <w:left w:val="none" w:sz="0" w:space="0" w:color="auto"/>
                <w:bottom w:val="none" w:sz="0" w:space="0" w:color="auto"/>
                <w:right w:val="none" w:sz="0" w:space="0" w:color="auto"/>
              </w:divBdr>
            </w:div>
          </w:divsChild>
        </w:div>
        <w:div w:id="1934170335">
          <w:marLeft w:val="0"/>
          <w:marRight w:val="0"/>
          <w:marTop w:val="0"/>
          <w:marBottom w:val="0"/>
          <w:divBdr>
            <w:top w:val="none" w:sz="0" w:space="0" w:color="auto"/>
            <w:left w:val="none" w:sz="0" w:space="0" w:color="auto"/>
            <w:bottom w:val="none" w:sz="0" w:space="0" w:color="auto"/>
            <w:right w:val="none" w:sz="0" w:space="0" w:color="auto"/>
          </w:divBdr>
          <w:divsChild>
            <w:div w:id="1008748839">
              <w:marLeft w:val="0"/>
              <w:marRight w:val="0"/>
              <w:marTop w:val="0"/>
              <w:marBottom w:val="0"/>
              <w:divBdr>
                <w:top w:val="none" w:sz="0" w:space="0" w:color="auto"/>
                <w:left w:val="none" w:sz="0" w:space="0" w:color="auto"/>
                <w:bottom w:val="none" w:sz="0" w:space="0" w:color="auto"/>
                <w:right w:val="none" w:sz="0" w:space="0" w:color="auto"/>
              </w:divBdr>
            </w:div>
          </w:divsChild>
        </w:div>
        <w:div w:id="1934700261">
          <w:marLeft w:val="0"/>
          <w:marRight w:val="0"/>
          <w:marTop w:val="0"/>
          <w:marBottom w:val="0"/>
          <w:divBdr>
            <w:top w:val="none" w:sz="0" w:space="0" w:color="auto"/>
            <w:left w:val="none" w:sz="0" w:space="0" w:color="auto"/>
            <w:bottom w:val="none" w:sz="0" w:space="0" w:color="auto"/>
            <w:right w:val="none" w:sz="0" w:space="0" w:color="auto"/>
          </w:divBdr>
          <w:divsChild>
            <w:div w:id="29190915">
              <w:marLeft w:val="0"/>
              <w:marRight w:val="0"/>
              <w:marTop w:val="0"/>
              <w:marBottom w:val="0"/>
              <w:divBdr>
                <w:top w:val="none" w:sz="0" w:space="0" w:color="auto"/>
                <w:left w:val="none" w:sz="0" w:space="0" w:color="auto"/>
                <w:bottom w:val="none" w:sz="0" w:space="0" w:color="auto"/>
                <w:right w:val="none" w:sz="0" w:space="0" w:color="auto"/>
              </w:divBdr>
            </w:div>
          </w:divsChild>
        </w:div>
        <w:div w:id="1936016134">
          <w:marLeft w:val="0"/>
          <w:marRight w:val="0"/>
          <w:marTop w:val="0"/>
          <w:marBottom w:val="0"/>
          <w:divBdr>
            <w:top w:val="none" w:sz="0" w:space="0" w:color="auto"/>
            <w:left w:val="none" w:sz="0" w:space="0" w:color="auto"/>
            <w:bottom w:val="none" w:sz="0" w:space="0" w:color="auto"/>
            <w:right w:val="none" w:sz="0" w:space="0" w:color="auto"/>
          </w:divBdr>
          <w:divsChild>
            <w:div w:id="1023627833">
              <w:marLeft w:val="0"/>
              <w:marRight w:val="0"/>
              <w:marTop w:val="0"/>
              <w:marBottom w:val="0"/>
              <w:divBdr>
                <w:top w:val="none" w:sz="0" w:space="0" w:color="auto"/>
                <w:left w:val="none" w:sz="0" w:space="0" w:color="auto"/>
                <w:bottom w:val="none" w:sz="0" w:space="0" w:color="auto"/>
                <w:right w:val="none" w:sz="0" w:space="0" w:color="auto"/>
              </w:divBdr>
            </w:div>
          </w:divsChild>
        </w:div>
        <w:div w:id="1937246646">
          <w:marLeft w:val="0"/>
          <w:marRight w:val="0"/>
          <w:marTop w:val="0"/>
          <w:marBottom w:val="0"/>
          <w:divBdr>
            <w:top w:val="none" w:sz="0" w:space="0" w:color="auto"/>
            <w:left w:val="none" w:sz="0" w:space="0" w:color="auto"/>
            <w:bottom w:val="none" w:sz="0" w:space="0" w:color="auto"/>
            <w:right w:val="none" w:sz="0" w:space="0" w:color="auto"/>
          </w:divBdr>
          <w:divsChild>
            <w:div w:id="141970774">
              <w:marLeft w:val="0"/>
              <w:marRight w:val="0"/>
              <w:marTop w:val="0"/>
              <w:marBottom w:val="0"/>
              <w:divBdr>
                <w:top w:val="none" w:sz="0" w:space="0" w:color="auto"/>
                <w:left w:val="none" w:sz="0" w:space="0" w:color="auto"/>
                <w:bottom w:val="none" w:sz="0" w:space="0" w:color="auto"/>
                <w:right w:val="none" w:sz="0" w:space="0" w:color="auto"/>
              </w:divBdr>
            </w:div>
          </w:divsChild>
        </w:div>
        <w:div w:id="1937395987">
          <w:marLeft w:val="0"/>
          <w:marRight w:val="0"/>
          <w:marTop w:val="0"/>
          <w:marBottom w:val="0"/>
          <w:divBdr>
            <w:top w:val="none" w:sz="0" w:space="0" w:color="auto"/>
            <w:left w:val="none" w:sz="0" w:space="0" w:color="auto"/>
            <w:bottom w:val="none" w:sz="0" w:space="0" w:color="auto"/>
            <w:right w:val="none" w:sz="0" w:space="0" w:color="auto"/>
          </w:divBdr>
          <w:divsChild>
            <w:div w:id="363098476">
              <w:marLeft w:val="0"/>
              <w:marRight w:val="0"/>
              <w:marTop w:val="0"/>
              <w:marBottom w:val="0"/>
              <w:divBdr>
                <w:top w:val="none" w:sz="0" w:space="0" w:color="auto"/>
                <w:left w:val="none" w:sz="0" w:space="0" w:color="auto"/>
                <w:bottom w:val="none" w:sz="0" w:space="0" w:color="auto"/>
                <w:right w:val="none" w:sz="0" w:space="0" w:color="auto"/>
              </w:divBdr>
            </w:div>
          </w:divsChild>
        </w:div>
        <w:div w:id="1942491337">
          <w:marLeft w:val="0"/>
          <w:marRight w:val="0"/>
          <w:marTop w:val="0"/>
          <w:marBottom w:val="0"/>
          <w:divBdr>
            <w:top w:val="none" w:sz="0" w:space="0" w:color="auto"/>
            <w:left w:val="none" w:sz="0" w:space="0" w:color="auto"/>
            <w:bottom w:val="none" w:sz="0" w:space="0" w:color="auto"/>
            <w:right w:val="none" w:sz="0" w:space="0" w:color="auto"/>
          </w:divBdr>
          <w:divsChild>
            <w:div w:id="816845795">
              <w:marLeft w:val="0"/>
              <w:marRight w:val="0"/>
              <w:marTop w:val="0"/>
              <w:marBottom w:val="0"/>
              <w:divBdr>
                <w:top w:val="none" w:sz="0" w:space="0" w:color="auto"/>
                <w:left w:val="none" w:sz="0" w:space="0" w:color="auto"/>
                <w:bottom w:val="none" w:sz="0" w:space="0" w:color="auto"/>
                <w:right w:val="none" w:sz="0" w:space="0" w:color="auto"/>
              </w:divBdr>
            </w:div>
          </w:divsChild>
        </w:div>
        <w:div w:id="1944069566">
          <w:marLeft w:val="0"/>
          <w:marRight w:val="0"/>
          <w:marTop w:val="0"/>
          <w:marBottom w:val="0"/>
          <w:divBdr>
            <w:top w:val="none" w:sz="0" w:space="0" w:color="auto"/>
            <w:left w:val="none" w:sz="0" w:space="0" w:color="auto"/>
            <w:bottom w:val="none" w:sz="0" w:space="0" w:color="auto"/>
            <w:right w:val="none" w:sz="0" w:space="0" w:color="auto"/>
          </w:divBdr>
          <w:divsChild>
            <w:div w:id="769399733">
              <w:marLeft w:val="0"/>
              <w:marRight w:val="0"/>
              <w:marTop w:val="0"/>
              <w:marBottom w:val="0"/>
              <w:divBdr>
                <w:top w:val="none" w:sz="0" w:space="0" w:color="auto"/>
                <w:left w:val="none" w:sz="0" w:space="0" w:color="auto"/>
                <w:bottom w:val="none" w:sz="0" w:space="0" w:color="auto"/>
                <w:right w:val="none" w:sz="0" w:space="0" w:color="auto"/>
              </w:divBdr>
            </w:div>
          </w:divsChild>
        </w:div>
        <w:div w:id="1945572492">
          <w:marLeft w:val="0"/>
          <w:marRight w:val="0"/>
          <w:marTop w:val="0"/>
          <w:marBottom w:val="0"/>
          <w:divBdr>
            <w:top w:val="none" w:sz="0" w:space="0" w:color="auto"/>
            <w:left w:val="none" w:sz="0" w:space="0" w:color="auto"/>
            <w:bottom w:val="none" w:sz="0" w:space="0" w:color="auto"/>
            <w:right w:val="none" w:sz="0" w:space="0" w:color="auto"/>
          </w:divBdr>
          <w:divsChild>
            <w:div w:id="90901661">
              <w:marLeft w:val="0"/>
              <w:marRight w:val="0"/>
              <w:marTop w:val="0"/>
              <w:marBottom w:val="0"/>
              <w:divBdr>
                <w:top w:val="none" w:sz="0" w:space="0" w:color="auto"/>
                <w:left w:val="none" w:sz="0" w:space="0" w:color="auto"/>
                <w:bottom w:val="none" w:sz="0" w:space="0" w:color="auto"/>
                <w:right w:val="none" w:sz="0" w:space="0" w:color="auto"/>
              </w:divBdr>
            </w:div>
          </w:divsChild>
        </w:div>
        <w:div w:id="1949896094">
          <w:marLeft w:val="0"/>
          <w:marRight w:val="0"/>
          <w:marTop w:val="0"/>
          <w:marBottom w:val="0"/>
          <w:divBdr>
            <w:top w:val="none" w:sz="0" w:space="0" w:color="auto"/>
            <w:left w:val="none" w:sz="0" w:space="0" w:color="auto"/>
            <w:bottom w:val="none" w:sz="0" w:space="0" w:color="auto"/>
            <w:right w:val="none" w:sz="0" w:space="0" w:color="auto"/>
          </w:divBdr>
          <w:divsChild>
            <w:div w:id="1086072304">
              <w:marLeft w:val="0"/>
              <w:marRight w:val="0"/>
              <w:marTop w:val="0"/>
              <w:marBottom w:val="0"/>
              <w:divBdr>
                <w:top w:val="none" w:sz="0" w:space="0" w:color="auto"/>
                <w:left w:val="none" w:sz="0" w:space="0" w:color="auto"/>
                <w:bottom w:val="none" w:sz="0" w:space="0" w:color="auto"/>
                <w:right w:val="none" w:sz="0" w:space="0" w:color="auto"/>
              </w:divBdr>
            </w:div>
          </w:divsChild>
        </w:div>
        <w:div w:id="1951087043">
          <w:marLeft w:val="0"/>
          <w:marRight w:val="0"/>
          <w:marTop w:val="0"/>
          <w:marBottom w:val="0"/>
          <w:divBdr>
            <w:top w:val="none" w:sz="0" w:space="0" w:color="auto"/>
            <w:left w:val="none" w:sz="0" w:space="0" w:color="auto"/>
            <w:bottom w:val="none" w:sz="0" w:space="0" w:color="auto"/>
            <w:right w:val="none" w:sz="0" w:space="0" w:color="auto"/>
          </w:divBdr>
          <w:divsChild>
            <w:div w:id="317272651">
              <w:marLeft w:val="0"/>
              <w:marRight w:val="0"/>
              <w:marTop w:val="0"/>
              <w:marBottom w:val="0"/>
              <w:divBdr>
                <w:top w:val="none" w:sz="0" w:space="0" w:color="auto"/>
                <w:left w:val="none" w:sz="0" w:space="0" w:color="auto"/>
                <w:bottom w:val="none" w:sz="0" w:space="0" w:color="auto"/>
                <w:right w:val="none" w:sz="0" w:space="0" w:color="auto"/>
              </w:divBdr>
            </w:div>
          </w:divsChild>
        </w:div>
        <w:div w:id="1954749546">
          <w:marLeft w:val="0"/>
          <w:marRight w:val="0"/>
          <w:marTop w:val="0"/>
          <w:marBottom w:val="0"/>
          <w:divBdr>
            <w:top w:val="none" w:sz="0" w:space="0" w:color="auto"/>
            <w:left w:val="none" w:sz="0" w:space="0" w:color="auto"/>
            <w:bottom w:val="none" w:sz="0" w:space="0" w:color="auto"/>
            <w:right w:val="none" w:sz="0" w:space="0" w:color="auto"/>
          </w:divBdr>
          <w:divsChild>
            <w:div w:id="1032417194">
              <w:marLeft w:val="0"/>
              <w:marRight w:val="0"/>
              <w:marTop w:val="0"/>
              <w:marBottom w:val="0"/>
              <w:divBdr>
                <w:top w:val="none" w:sz="0" w:space="0" w:color="auto"/>
                <w:left w:val="none" w:sz="0" w:space="0" w:color="auto"/>
                <w:bottom w:val="none" w:sz="0" w:space="0" w:color="auto"/>
                <w:right w:val="none" w:sz="0" w:space="0" w:color="auto"/>
              </w:divBdr>
            </w:div>
          </w:divsChild>
        </w:div>
        <w:div w:id="1956015578">
          <w:marLeft w:val="0"/>
          <w:marRight w:val="0"/>
          <w:marTop w:val="0"/>
          <w:marBottom w:val="0"/>
          <w:divBdr>
            <w:top w:val="none" w:sz="0" w:space="0" w:color="auto"/>
            <w:left w:val="none" w:sz="0" w:space="0" w:color="auto"/>
            <w:bottom w:val="none" w:sz="0" w:space="0" w:color="auto"/>
            <w:right w:val="none" w:sz="0" w:space="0" w:color="auto"/>
          </w:divBdr>
          <w:divsChild>
            <w:div w:id="1105688551">
              <w:marLeft w:val="0"/>
              <w:marRight w:val="0"/>
              <w:marTop w:val="0"/>
              <w:marBottom w:val="0"/>
              <w:divBdr>
                <w:top w:val="none" w:sz="0" w:space="0" w:color="auto"/>
                <w:left w:val="none" w:sz="0" w:space="0" w:color="auto"/>
                <w:bottom w:val="none" w:sz="0" w:space="0" w:color="auto"/>
                <w:right w:val="none" w:sz="0" w:space="0" w:color="auto"/>
              </w:divBdr>
            </w:div>
          </w:divsChild>
        </w:div>
        <w:div w:id="1960602578">
          <w:marLeft w:val="0"/>
          <w:marRight w:val="0"/>
          <w:marTop w:val="0"/>
          <w:marBottom w:val="0"/>
          <w:divBdr>
            <w:top w:val="none" w:sz="0" w:space="0" w:color="auto"/>
            <w:left w:val="none" w:sz="0" w:space="0" w:color="auto"/>
            <w:bottom w:val="none" w:sz="0" w:space="0" w:color="auto"/>
            <w:right w:val="none" w:sz="0" w:space="0" w:color="auto"/>
          </w:divBdr>
          <w:divsChild>
            <w:div w:id="1122919547">
              <w:marLeft w:val="0"/>
              <w:marRight w:val="0"/>
              <w:marTop w:val="0"/>
              <w:marBottom w:val="0"/>
              <w:divBdr>
                <w:top w:val="none" w:sz="0" w:space="0" w:color="auto"/>
                <w:left w:val="none" w:sz="0" w:space="0" w:color="auto"/>
                <w:bottom w:val="none" w:sz="0" w:space="0" w:color="auto"/>
                <w:right w:val="none" w:sz="0" w:space="0" w:color="auto"/>
              </w:divBdr>
            </w:div>
          </w:divsChild>
        </w:div>
        <w:div w:id="1965577090">
          <w:marLeft w:val="0"/>
          <w:marRight w:val="0"/>
          <w:marTop w:val="0"/>
          <w:marBottom w:val="0"/>
          <w:divBdr>
            <w:top w:val="none" w:sz="0" w:space="0" w:color="auto"/>
            <w:left w:val="none" w:sz="0" w:space="0" w:color="auto"/>
            <w:bottom w:val="none" w:sz="0" w:space="0" w:color="auto"/>
            <w:right w:val="none" w:sz="0" w:space="0" w:color="auto"/>
          </w:divBdr>
          <w:divsChild>
            <w:div w:id="351952475">
              <w:marLeft w:val="0"/>
              <w:marRight w:val="0"/>
              <w:marTop w:val="0"/>
              <w:marBottom w:val="0"/>
              <w:divBdr>
                <w:top w:val="none" w:sz="0" w:space="0" w:color="auto"/>
                <w:left w:val="none" w:sz="0" w:space="0" w:color="auto"/>
                <w:bottom w:val="none" w:sz="0" w:space="0" w:color="auto"/>
                <w:right w:val="none" w:sz="0" w:space="0" w:color="auto"/>
              </w:divBdr>
            </w:div>
          </w:divsChild>
        </w:div>
        <w:div w:id="1971668975">
          <w:marLeft w:val="0"/>
          <w:marRight w:val="0"/>
          <w:marTop w:val="0"/>
          <w:marBottom w:val="0"/>
          <w:divBdr>
            <w:top w:val="none" w:sz="0" w:space="0" w:color="auto"/>
            <w:left w:val="none" w:sz="0" w:space="0" w:color="auto"/>
            <w:bottom w:val="none" w:sz="0" w:space="0" w:color="auto"/>
            <w:right w:val="none" w:sz="0" w:space="0" w:color="auto"/>
          </w:divBdr>
          <w:divsChild>
            <w:div w:id="1304696510">
              <w:marLeft w:val="0"/>
              <w:marRight w:val="0"/>
              <w:marTop w:val="0"/>
              <w:marBottom w:val="0"/>
              <w:divBdr>
                <w:top w:val="none" w:sz="0" w:space="0" w:color="auto"/>
                <w:left w:val="none" w:sz="0" w:space="0" w:color="auto"/>
                <w:bottom w:val="none" w:sz="0" w:space="0" w:color="auto"/>
                <w:right w:val="none" w:sz="0" w:space="0" w:color="auto"/>
              </w:divBdr>
            </w:div>
          </w:divsChild>
        </w:div>
        <w:div w:id="1972202370">
          <w:marLeft w:val="0"/>
          <w:marRight w:val="0"/>
          <w:marTop w:val="0"/>
          <w:marBottom w:val="0"/>
          <w:divBdr>
            <w:top w:val="none" w:sz="0" w:space="0" w:color="auto"/>
            <w:left w:val="none" w:sz="0" w:space="0" w:color="auto"/>
            <w:bottom w:val="none" w:sz="0" w:space="0" w:color="auto"/>
            <w:right w:val="none" w:sz="0" w:space="0" w:color="auto"/>
          </w:divBdr>
          <w:divsChild>
            <w:div w:id="252276627">
              <w:marLeft w:val="0"/>
              <w:marRight w:val="0"/>
              <w:marTop w:val="0"/>
              <w:marBottom w:val="0"/>
              <w:divBdr>
                <w:top w:val="none" w:sz="0" w:space="0" w:color="auto"/>
                <w:left w:val="none" w:sz="0" w:space="0" w:color="auto"/>
                <w:bottom w:val="none" w:sz="0" w:space="0" w:color="auto"/>
                <w:right w:val="none" w:sz="0" w:space="0" w:color="auto"/>
              </w:divBdr>
            </w:div>
          </w:divsChild>
        </w:div>
        <w:div w:id="1972439015">
          <w:marLeft w:val="0"/>
          <w:marRight w:val="0"/>
          <w:marTop w:val="0"/>
          <w:marBottom w:val="0"/>
          <w:divBdr>
            <w:top w:val="none" w:sz="0" w:space="0" w:color="auto"/>
            <w:left w:val="none" w:sz="0" w:space="0" w:color="auto"/>
            <w:bottom w:val="none" w:sz="0" w:space="0" w:color="auto"/>
            <w:right w:val="none" w:sz="0" w:space="0" w:color="auto"/>
          </w:divBdr>
          <w:divsChild>
            <w:div w:id="1335109875">
              <w:marLeft w:val="0"/>
              <w:marRight w:val="0"/>
              <w:marTop w:val="0"/>
              <w:marBottom w:val="0"/>
              <w:divBdr>
                <w:top w:val="none" w:sz="0" w:space="0" w:color="auto"/>
                <w:left w:val="none" w:sz="0" w:space="0" w:color="auto"/>
                <w:bottom w:val="none" w:sz="0" w:space="0" w:color="auto"/>
                <w:right w:val="none" w:sz="0" w:space="0" w:color="auto"/>
              </w:divBdr>
            </w:div>
          </w:divsChild>
        </w:div>
        <w:div w:id="1973093499">
          <w:marLeft w:val="0"/>
          <w:marRight w:val="0"/>
          <w:marTop w:val="0"/>
          <w:marBottom w:val="0"/>
          <w:divBdr>
            <w:top w:val="none" w:sz="0" w:space="0" w:color="auto"/>
            <w:left w:val="none" w:sz="0" w:space="0" w:color="auto"/>
            <w:bottom w:val="none" w:sz="0" w:space="0" w:color="auto"/>
            <w:right w:val="none" w:sz="0" w:space="0" w:color="auto"/>
          </w:divBdr>
          <w:divsChild>
            <w:div w:id="1025906332">
              <w:marLeft w:val="0"/>
              <w:marRight w:val="0"/>
              <w:marTop w:val="0"/>
              <w:marBottom w:val="0"/>
              <w:divBdr>
                <w:top w:val="none" w:sz="0" w:space="0" w:color="auto"/>
                <w:left w:val="none" w:sz="0" w:space="0" w:color="auto"/>
                <w:bottom w:val="none" w:sz="0" w:space="0" w:color="auto"/>
                <w:right w:val="none" w:sz="0" w:space="0" w:color="auto"/>
              </w:divBdr>
            </w:div>
          </w:divsChild>
        </w:div>
        <w:div w:id="1974823169">
          <w:marLeft w:val="0"/>
          <w:marRight w:val="0"/>
          <w:marTop w:val="0"/>
          <w:marBottom w:val="0"/>
          <w:divBdr>
            <w:top w:val="none" w:sz="0" w:space="0" w:color="auto"/>
            <w:left w:val="none" w:sz="0" w:space="0" w:color="auto"/>
            <w:bottom w:val="none" w:sz="0" w:space="0" w:color="auto"/>
            <w:right w:val="none" w:sz="0" w:space="0" w:color="auto"/>
          </w:divBdr>
          <w:divsChild>
            <w:div w:id="1670863491">
              <w:marLeft w:val="0"/>
              <w:marRight w:val="0"/>
              <w:marTop w:val="0"/>
              <w:marBottom w:val="0"/>
              <w:divBdr>
                <w:top w:val="none" w:sz="0" w:space="0" w:color="auto"/>
                <w:left w:val="none" w:sz="0" w:space="0" w:color="auto"/>
                <w:bottom w:val="none" w:sz="0" w:space="0" w:color="auto"/>
                <w:right w:val="none" w:sz="0" w:space="0" w:color="auto"/>
              </w:divBdr>
            </w:div>
          </w:divsChild>
        </w:div>
        <w:div w:id="1976791000">
          <w:marLeft w:val="0"/>
          <w:marRight w:val="0"/>
          <w:marTop w:val="0"/>
          <w:marBottom w:val="0"/>
          <w:divBdr>
            <w:top w:val="none" w:sz="0" w:space="0" w:color="auto"/>
            <w:left w:val="none" w:sz="0" w:space="0" w:color="auto"/>
            <w:bottom w:val="none" w:sz="0" w:space="0" w:color="auto"/>
            <w:right w:val="none" w:sz="0" w:space="0" w:color="auto"/>
          </w:divBdr>
          <w:divsChild>
            <w:div w:id="1135955002">
              <w:marLeft w:val="0"/>
              <w:marRight w:val="0"/>
              <w:marTop w:val="0"/>
              <w:marBottom w:val="0"/>
              <w:divBdr>
                <w:top w:val="none" w:sz="0" w:space="0" w:color="auto"/>
                <w:left w:val="none" w:sz="0" w:space="0" w:color="auto"/>
                <w:bottom w:val="none" w:sz="0" w:space="0" w:color="auto"/>
                <w:right w:val="none" w:sz="0" w:space="0" w:color="auto"/>
              </w:divBdr>
            </w:div>
          </w:divsChild>
        </w:div>
        <w:div w:id="1976831784">
          <w:marLeft w:val="0"/>
          <w:marRight w:val="0"/>
          <w:marTop w:val="0"/>
          <w:marBottom w:val="0"/>
          <w:divBdr>
            <w:top w:val="none" w:sz="0" w:space="0" w:color="auto"/>
            <w:left w:val="none" w:sz="0" w:space="0" w:color="auto"/>
            <w:bottom w:val="none" w:sz="0" w:space="0" w:color="auto"/>
            <w:right w:val="none" w:sz="0" w:space="0" w:color="auto"/>
          </w:divBdr>
          <w:divsChild>
            <w:div w:id="359362971">
              <w:marLeft w:val="0"/>
              <w:marRight w:val="0"/>
              <w:marTop w:val="0"/>
              <w:marBottom w:val="0"/>
              <w:divBdr>
                <w:top w:val="none" w:sz="0" w:space="0" w:color="auto"/>
                <w:left w:val="none" w:sz="0" w:space="0" w:color="auto"/>
                <w:bottom w:val="none" w:sz="0" w:space="0" w:color="auto"/>
                <w:right w:val="none" w:sz="0" w:space="0" w:color="auto"/>
              </w:divBdr>
            </w:div>
          </w:divsChild>
        </w:div>
        <w:div w:id="1977444033">
          <w:marLeft w:val="0"/>
          <w:marRight w:val="0"/>
          <w:marTop w:val="0"/>
          <w:marBottom w:val="0"/>
          <w:divBdr>
            <w:top w:val="none" w:sz="0" w:space="0" w:color="auto"/>
            <w:left w:val="none" w:sz="0" w:space="0" w:color="auto"/>
            <w:bottom w:val="none" w:sz="0" w:space="0" w:color="auto"/>
            <w:right w:val="none" w:sz="0" w:space="0" w:color="auto"/>
          </w:divBdr>
          <w:divsChild>
            <w:div w:id="1907032991">
              <w:marLeft w:val="0"/>
              <w:marRight w:val="0"/>
              <w:marTop w:val="0"/>
              <w:marBottom w:val="0"/>
              <w:divBdr>
                <w:top w:val="none" w:sz="0" w:space="0" w:color="auto"/>
                <w:left w:val="none" w:sz="0" w:space="0" w:color="auto"/>
                <w:bottom w:val="none" w:sz="0" w:space="0" w:color="auto"/>
                <w:right w:val="none" w:sz="0" w:space="0" w:color="auto"/>
              </w:divBdr>
            </w:div>
          </w:divsChild>
        </w:div>
        <w:div w:id="1978149213">
          <w:marLeft w:val="0"/>
          <w:marRight w:val="0"/>
          <w:marTop w:val="0"/>
          <w:marBottom w:val="0"/>
          <w:divBdr>
            <w:top w:val="none" w:sz="0" w:space="0" w:color="auto"/>
            <w:left w:val="none" w:sz="0" w:space="0" w:color="auto"/>
            <w:bottom w:val="none" w:sz="0" w:space="0" w:color="auto"/>
            <w:right w:val="none" w:sz="0" w:space="0" w:color="auto"/>
          </w:divBdr>
          <w:divsChild>
            <w:div w:id="1057165873">
              <w:marLeft w:val="0"/>
              <w:marRight w:val="0"/>
              <w:marTop w:val="0"/>
              <w:marBottom w:val="0"/>
              <w:divBdr>
                <w:top w:val="none" w:sz="0" w:space="0" w:color="auto"/>
                <w:left w:val="none" w:sz="0" w:space="0" w:color="auto"/>
                <w:bottom w:val="none" w:sz="0" w:space="0" w:color="auto"/>
                <w:right w:val="none" w:sz="0" w:space="0" w:color="auto"/>
              </w:divBdr>
            </w:div>
          </w:divsChild>
        </w:div>
        <w:div w:id="1979534097">
          <w:marLeft w:val="0"/>
          <w:marRight w:val="0"/>
          <w:marTop w:val="0"/>
          <w:marBottom w:val="0"/>
          <w:divBdr>
            <w:top w:val="none" w:sz="0" w:space="0" w:color="auto"/>
            <w:left w:val="none" w:sz="0" w:space="0" w:color="auto"/>
            <w:bottom w:val="none" w:sz="0" w:space="0" w:color="auto"/>
            <w:right w:val="none" w:sz="0" w:space="0" w:color="auto"/>
          </w:divBdr>
          <w:divsChild>
            <w:div w:id="1665284226">
              <w:marLeft w:val="0"/>
              <w:marRight w:val="0"/>
              <w:marTop w:val="0"/>
              <w:marBottom w:val="0"/>
              <w:divBdr>
                <w:top w:val="none" w:sz="0" w:space="0" w:color="auto"/>
                <w:left w:val="none" w:sz="0" w:space="0" w:color="auto"/>
                <w:bottom w:val="none" w:sz="0" w:space="0" w:color="auto"/>
                <w:right w:val="none" w:sz="0" w:space="0" w:color="auto"/>
              </w:divBdr>
            </w:div>
          </w:divsChild>
        </w:div>
        <w:div w:id="1979916981">
          <w:marLeft w:val="0"/>
          <w:marRight w:val="0"/>
          <w:marTop w:val="0"/>
          <w:marBottom w:val="0"/>
          <w:divBdr>
            <w:top w:val="none" w:sz="0" w:space="0" w:color="auto"/>
            <w:left w:val="none" w:sz="0" w:space="0" w:color="auto"/>
            <w:bottom w:val="none" w:sz="0" w:space="0" w:color="auto"/>
            <w:right w:val="none" w:sz="0" w:space="0" w:color="auto"/>
          </w:divBdr>
          <w:divsChild>
            <w:div w:id="653029247">
              <w:marLeft w:val="0"/>
              <w:marRight w:val="0"/>
              <w:marTop w:val="0"/>
              <w:marBottom w:val="0"/>
              <w:divBdr>
                <w:top w:val="none" w:sz="0" w:space="0" w:color="auto"/>
                <w:left w:val="none" w:sz="0" w:space="0" w:color="auto"/>
                <w:bottom w:val="none" w:sz="0" w:space="0" w:color="auto"/>
                <w:right w:val="none" w:sz="0" w:space="0" w:color="auto"/>
              </w:divBdr>
            </w:div>
          </w:divsChild>
        </w:div>
        <w:div w:id="1983610400">
          <w:marLeft w:val="0"/>
          <w:marRight w:val="0"/>
          <w:marTop w:val="0"/>
          <w:marBottom w:val="0"/>
          <w:divBdr>
            <w:top w:val="none" w:sz="0" w:space="0" w:color="auto"/>
            <w:left w:val="none" w:sz="0" w:space="0" w:color="auto"/>
            <w:bottom w:val="none" w:sz="0" w:space="0" w:color="auto"/>
            <w:right w:val="none" w:sz="0" w:space="0" w:color="auto"/>
          </w:divBdr>
          <w:divsChild>
            <w:div w:id="95449289">
              <w:marLeft w:val="0"/>
              <w:marRight w:val="0"/>
              <w:marTop w:val="0"/>
              <w:marBottom w:val="0"/>
              <w:divBdr>
                <w:top w:val="none" w:sz="0" w:space="0" w:color="auto"/>
                <w:left w:val="none" w:sz="0" w:space="0" w:color="auto"/>
                <w:bottom w:val="none" w:sz="0" w:space="0" w:color="auto"/>
                <w:right w:val="none" w:sz="0" w:space="0" w:color="auto"/>
              </w:divBdr>
            </w:div>
          </w:divsChild>
        </w:div>
        <w:div w:id="1986080785">
          <w:marLeft w:val="0"/>
          <w:marRight w:val="0"/>
          <w:marTop w:val="0"/>
          <w:marBottom w:val="0"/>
          <w:divBdr>
            <w:top w:val="none" w:sz="0" w:space="0" w:color="auto"/>
            <w:left w:val="none" w:sz="0" w:space="0" w:color="auto"/>
            <w:bottom w:val="none" w:sz="0" w:space="0" w:color="auto"/>
            <w:right w:val="none" w:sz="0" w:space="0" w:color="auto"/>
          </w:divBdr>
          <w:divsChild>
            <w:div w:id="1116634854">
              <w:marLeft w:val="0"/>
              <w:marRight w:val="0"/>
              <w:marTop w:val="0"/>
              <w:marBottom w:val="0"/>
              <w:divBdr>
                <w:top w:val="none" w:sz="0" w:space="0" w:color="auto"/>
                <w:left w:val="none" w:sz="0" w:space="0" w:color="auto"/>
                <w:bottom w:val="none" w:sz="0" w:space="0" w:color="auto"/>
                <w:right w:val="none" w:sz="0" w:space="0" w:color="auto"/>
              </w:divBdr>
            </w:div>
          </w:divsChild>
        </w:div>
        <w:div w:id="1986397563">
          <w:marLeft w:val="0"/>
          <w:marRight w:val="0"/>
          <w:marTop w:val="0"/>
          <w:marBottom w:val="0"/>
          <w:divBdr>
            <w:top w:val="none" w:sz="0" w:space="0" w:color="auto"/>
            <w:left w:val="none" w:sz="0" w:space="0" w:color="auto"/>
            <w:bottom w:val="none" w:sz="0" w:space="0" w:color="auto"/>
            <w:right w:val="none" w:sz="0" w:space="0" w:color="auto"/>
          </w:divBdr>
          <w:divsChild>
            <w:div w:id="1952081707">
              <w:marLeft w:val="0"/>
              <w:marRight w:val="0"/>
              <w:marTop w:val="0"/>
              <w:marBottom w:val="0"/>
              <w:divBdr>
                <w:top w:val="none" w:sz="0" w:space="0" w:color="auto"/>
                <w:left w:val="none" w:sz="0" w:space="0" w:color="auto"/>
                <w:bottom w:val="none" w:sz="0" w:space="0" w:color="auto"/>
                <w:right w:val="none" w:sz="0" w:space="0" w:color="auto"/>
              </w:divBdr>
            </w:div>
          </w:divsChild>
        </w:div>
        <w:div w:id="1986621805">
          <w:marLeft w:val="0"/>
          <w:marRight w:val="0"/>
          <w:marTop w:val="0"/>
          <w:marBottom w:val="0"/>
          <w:divBdr>
            <w:top w:val="none" w:sz="0" w:space="0" w:color="auto"/>
            <w:left w:val="none" w:sz="0" w:space="0" w:color="auto"/>
            <w:bottom w:val="none" w:sz="0" w:space="0" w:color="auto"/>
            <w:right w:val="none" w:sz="0" w:space="0" w:color="auto"/>
          </w:divBdr>
          <w:divsChild>
            <w:div w:id="1262683286">
              <w:marLeft w:val="0"/>
              <w:marRight w:val="0"/>
              <w:marTop w:val="0"/>
              <w:marBottom w:val="0"/>
              <w:divBdr>
                <w:top w:val="none" w:sz="0" w:space="0" w:color="auto"/>
                <w:left w:val="none" w:sz="0" w:space="0" w:color="auto"/>
                <w:bottom w:val="none" w:sz="0" w:space="0" w:color="auto"/>
                <w:right w:val="none" w:sz="0" w:space="0" w:color="auto"/>
              </w:divBdr>
            </w:div>
          </w:divsChild>
        </w:div>
        <w:div w:id="1986624328">
          <w:marLeft w:val="0"/>
          <w:marRight w:val="0"/>
          <w:marTop w:val="0"/>
          <w:marBottom w:val="0"/>
          <w:divBdr>
            <w:top w:val="none" w:sz="0" w:space="0" w:color="auto"/>
            <w:left w:val="none" w:sz="0" w:space="0" w:color="auto"/>
            <w:bottom w:val="none" w:sz="0" w:space="0" w:color="auto"/>
            <w:right w:val="none" w:sz="0" w:space="0" w:color="auto"/>
          </w:divBdr>
          <w:divsChild>
            <w:div w:id="1423263542">
              <w:marLeft w:val="0"/>
              <w:marRight w:val="0"/>
              <w:marTop w:val="0"/>
              <w:marBottom w:val="0"/>
              <w:divBdr>
                <w:top w:val="none" w:sz="0" w:space="0" w:color="auto"/>
                <w:left w:val="none" w:sz="0" w:space="0" w:color="auto"/>
                <w:bottom w:val="none" w:sz="0" w:space="0" w:color="auto"/>
                <w:right w:val="none" w:sz="0" w:space="0" w:color="auto"/>
              </w:divBdr>
            </w:div>
          </w:divsChild>
        </w:div>
        <w:div w:id="1987736734">
          <w:marLeft w:val="0"/>
          <w:marRight w:val="0"/>
          <w:marTop w:val="0"/>
          <w:marBottom w:val="0"/>
          <w:divBdr>
            <w:top w:val="none" w:sz="0" w:space="0" w:color="auto"/>
            <w:left w:val="none" w:sz="0" w:space="0" w:color="auto"/>
            <w:bottom w:val="none" w:sz="0" w:space="0" w:color="auto"/>
            <w:right w:val="none" w:sz="0" w:space="0" w:color="auto"/>
          </w:divBdr>
          <w:divsChild>
            <w:div w:id="384332738">
              <w:marLeft w:val="0"/>
              <w:marRight w:val="0"/>
              <w:marTop w:val="0"/>
              <w:marBottom w:val="0"/>
              <w:divBdr>
                <w:top w:val="none" w:sz="0" w:space="0" w:color="auto"/>
                <w:left w:val="none" w:sz="0" w:space="0" w:color="auto"/>
                <w:bottom w:val="none" w:sz="0" w:space="0" w:color="auto"/>
                <w:right w:val="none" w:sz="0" w:space="0" w:color="auto"/>
              </w:divBdr>
            </w:div>
          </w:divsChild>
        </w:div>
        <w:div w:id="1989167435">
          <w:marLeft w:val="0"/>
          <w:marRight w:val="0"/>
          <w:marTop w:val="0"/>
          <w:marBottom w:val="0"/>
          <w:divBdr>
            <w:top w:val="none" w:sz="0" w:space="0" w:color="auto"/>
            <w:left w:val="none" w:sz="0" w:space="0" w:color="auto"/>
            <w:bottom w:val="none" w:sz="0" w:space="0" w:color="auto"/>
            <w:right w:val="none" w:sz="0" w:space="0" w:color="auto"/>
          </w:divBdr>
          <w:divsChild>
            <w:div w:id="859010022">
              <w:marLeft w:val="0"/>
              <w:marRight w:val="0"/>
              <w:marTop w:val="0"/>
              <w:marBottom w:val="0"/>
              <w:divBdr>
                <w:top w:val="none" w:sz="0" w:space="0" w:color="auto"/>
                <w:left w:val="none" w:sz="0" w:space="0" w:color="auto"/>
                <w:bottom w:val="none" w:sz="0" w:space="0" w:color="auto"/>
                <w:right w:val="none" w:sz="0" w:space="0" w:color="auto"/>
              </w:divBdr>
            </w:div>
          </w:divsChild>
        </w:div>
        <w:div w:id="1991782955">
          <w:marLeft w:val="0"/>
          <w:marRight w:val="0"/>
          <w:marTop w:val="0"/>
          <w:marBottom w:val="0"/>
          <w:divBdr>
            <w:top w:val="none" w:sz="0" w:space="0" w:color="auto"/>
            <w:left w:val="none" w:sz="0" w:space="0" w:color="auto"/>
            <w:bottom w:val="none" w:sz="0" w:space="0" w:color="auto"/>
            <w:right w:val="none" w:sz="0" w:space="0" w:color="auto"/>
          </w:divBdr>
          <w:divsChild>
            <w:div w:id="629094457">
              <w:marLeft w:val="0"/>
              <w:marRight w:val="0"/>
              <w:marTop w:val="0"/>
              <w:marBottom w:val="0"/>
              <w:divBdr>
                <w:top w:val="none" w:sz="0" w:space="0" w:color="auto"/>
                <w:left w:val="none" w:sz="0" w:space="0" w:color="auto"/>
                <w:bottom w:val="none" w:sz="0" w:space="0" w:color="auto"/>
                <w:right w:val="none" w:sz="0" w:space="0" w:color="auto"/>
              </w:divBdr>
            </w:div>
          </w:divsChild>
        </w:div>
        <w:div w:id="1997220218">
          <w:marLeft w:val="0"/>
          <w:marRight w:val="0"/>
          <w:marTop w:val="0"/>
          <w:marBottom w:val="0"/>
          <w:divBdr>
            <w:top w:val="none" w:sz="0" w:space="0" w:color="auto"/>
            <w:left w:val="none" w:sz="0" w:space="0" w:color="auto"/>
            <w:bottom w:val="none" w:sz="0" w:space="0" w:color="auto"/>
            <w:right w:val="none" w:sz="0" w:space="0" w:color="auto"/>
          </w:divBdr>
          <w:divsChild>
            <w:div w:id="181600482">
              <w:marLeft w:val="0"/>
              <w:marRight w:val="0"/>
              <w:marTop w:val="0"/>
              <w:marBottom w:val="0"/>
              <w:divBdr>
                <w:top w:val="none" w:sz="0" w:space="0" w:color="auto"/>
                <w:left w:val="none" w:sz="0" w:space="0" w:color="auto"/>
                <w:bottom w:val="none" w:sz="0" w:space="0" w:color="auto"/>
                <w:right w:val="none" w:sz="0" w:space="0" w:color="auto"/>
              </w:divBdr>
            </w:div>
          </w:divsChild>
        </w:div>
        <w:div w:id="1997537747">
          <w:marLeft w:val="0"/>
          <w:marRight w:val="0"/>
          <w:marTop w:val="0"/>
          <w:marBottom w:val="0"/>
          <w:divBdr>
            <w:top w:val="none" w:sz="0" w:space="0" w:color="auto"/>
            <w:left w:val="none" w:sz="0" w:space="0" w:color="auto"/>
            <w:bottom w:val="none" w:sz="0" w:space="0" w:color="auto"/>
            <w:right w:val="none" w:sz="0" w:space="0" w:color="auto"/>
          </w:divBdr>
          <w:divsChild>
            <w:div w:id="105274935">
              <w:marLeft w:val="0"/>
              <w:marRight w:val="0"/>
              <w:marTop w:val="0"/>
              <w:marBottom w:val="0"/>
              <w:divBdr>
                <w:top w:val="none" w:sz="0" w:space="0" w:color="auto"/>
                <w:left w:val="none" w:sz="0" w:space="0" w:color="auto"/>
                <w:bottom w:val="none" w:sz="0" w:space="0" w:color="auto"/>
                <w:right w:val="none" w:sz="0" w:space="0" w:color="auto"/>
              </w:divBdr>
            </w:div>
          </w:divsChild>
        </w:div>
        <w:div w:id="1999456211">
          <w:marLeft w:val="0"/>
          <w:marRight w:val="0"/>
          <w:marTop w:val="0"/>
          <w:marBottom w:val="0"/>
          <w:divBdr>
            <w:top w:val="none" w:sz="0" w:space="0" w:color="auto"/>
            <w:left w:val="none" w:sz="0" w:space="0" w:color="auto"/>
            <w:bottom w:val="none" w:sz="0" w:space="0" w:color="auto"/>
            <w:right w:val="none" w:sz="0" w:space="0" w:color="auto"/>
          </w:divBdr>
          <w:divsChild>
            <w:div w:id="1452894365">
              <w:marLeft w:val="0"/>
              <w:marRight w:val="0"/>
              <w:marTop w:val="0"/>
              <w:marBottom w:val="0"/>
              <w:divBdr>
                <w:top w:val="none" w:sz="0" w:space="0" w:color="auto"/>
                <w:left w:val="none" w:sz="0" w:space="0" w:color="auto"/>
                <w:bottom w:val="none" w:sz="0" w:space="0" w:color="auto"/>
                <w:right w:val="none" w:sz="0" w:space="0" w:color="auto"/>
              </w:divBdr>
            </w:div>
          </w:divsChild>
        </w:div>
        <w:div w:id="2002464480">
          <w:marLeft w:val="0"/>
          <w:marRight w:val="0"/>
          <w:marTop w:val="0"/>
          <w:marBottom w:val="0"/>
          <w:divBdr>
            <w:top w:val="none" w:sz="0" w:space="0" w:color="auto"/>
            <w:left w:val="none" w:sz="0" w:space="0" w:color="auto"/>
            <w:bottom w:val="none" w:sz="0" w:space="0" w:color="auto"/>
            <w:right w:val="none" w:sz="0" w:space="0" w:color="auto"/>
          </w:divBdr>
          <w:divsChild>
            <w:div w:id="221866445">
              <w:marLeft w:val="0"/>
              <w:marRight w:val="0"/>
              <w:marTop w:val="0"/>
              <w:marBottom w:val="0"/>
              <w:divBdr>
                <w:top w:val="none" w:sz="0" w:space="0" w:color="auto"/>
                <w:left w:val="none" w:sz="0" w:space="0" w:color="auto"/>
                <w:bottom w:val="none" w:sz="0" w:space="0" w:color="auto"/>
                <w:right w:val="none" w:sz="0" w:space="0" w:color="auto"/>
              </w:divBdr>
            </w:div>
          </w:divsChild>
        </w:div>
        <w:div w:id="2006516596">
          <w:marLeft w:val="0"/>
          <w:marRight w:val="0"/>
          <w:marTop w:val="0"/>
          <w:marBottom w:val="0"/>
          <w:divBdr>
            <w:top w:val="none" w:sz="0" w:space="0" w:color="auto"/>
            <w:left w:val="none" w:sz="0" w:space="0" w:color="auto"/>
            <w:bottom w:val="none" w:sz="0" w:space="0" w:color="auto"/>
            <w:right w:val="none" w:sz="0" w:space="0" w:color="auto"/>
          </w:divBdr>
          <w:divsChild>
            <w:div w:id="336426782">
              <w:marLeft w:val="0"/>
              <w:marRight w:val="0"/>
              <w:marTop w:val="0"/>
              <w:marBottom w:val="0"/>
              <w:divBdr>
                <w:top w:val="none" w:sz="0" w:space="0" w:color="auto"/>
                <w:left w:val="none" w:sz="0" w:space="0" w:color="auto"/>
                <w:bottom w:val="none" w:sz="0" w:space="0" w:color="auto"/>
                <w:right w:val="none" w:sz="0" w:space="0" w:color="auto"/>
              </w:divBdr>
            </w:div>
          </w:divsChild>
        </w:div>
        <w:div w:id="2012557627">
          <w:marLeft w:val="0"/>
          <w:marRight w:val="0"/>
          <w:marTop w:val="0"/>
          <w:marBottom w:val="0"/>
          <w:divBdr>
            <w:top w:val="none" w:sz="0" w:space="0" w:color="auto"/>
            <w:left w:val="none" w:sz="0" w:space="0" w:color="auto"/>
            <w:bottom w:val="none" w:sz="0" w:space="0" w:color="auto"/>
            <w:right w:val="none" w:sz="0" w:space="0" w:color="auto"/>
          </w:divBdr>
          <w:divsChild>
            <w:div w:id="6180152">
              <w:marLeft w:val="0"/>
              <w:marRight w:val="0"/>
              <w:marTop w:val="0"/>
              <w:marBottom w:val="0"/>
              <w:divBdr>
                <w:top w:val="none" w:sz="0" w:space="0" w:color="auto"/>
                <w:left w:val="none" w:sz="0" w:space="0" w:color="auto"/>
                <w:bottom w:val="none" w:sz="0" w:space="0" w:color="auto"/>
                <w:right w:val="none" w:sz="0" w:space="0" w:color="auto"/>
              </w:divBdr>
            </w:div>
          </w:divsChild>
        </w:div>
        <w:div w:id="2015301372">
          <w:marLeft w:val="0"/>
          <w:marRight w:val="0"/>
          <w:marTop w:val="0"/>
          <w:marBottom w:val="0"/>
          <w:divBdr>
            <w:top w:val="none" w:sz="0" w:space="0" w:color="auto"/>
            <w:left w:val="none" w:sz="0" w:space="0" w:color="auto"/>
            <w:bottom w:val="none" w:sz="0" w:space="0" w:color="auto"/>
            <w:right w:val="none" w:sz="0" w:space="0" w:color="auto"/>
          </w:divBdr>
          <w:divsChild>
            <w:div w:id="22293533">
              <w:marLeft w:val="0"/>
              <w:marRight w:val="0"/>
              <w:marTop w:val="0"/>
              <w:marBottom w:val="0"/>
              <w:divBdr>
                <w:top w:val="none" w:sz="0" w:space="0" w:color="auto"/>
                <w:left w:val="none" w:sz="0" w:space="0" w:color="auto"/>
                <w:bottom w:val="none" w:sz="0" w:space="0" w:color="auto"/>
                <w:right w:val="none" w:sz="0" w:space="0" w:color="auto"/>
              </w:divBdr>
            </w:div>
          </w:divsChild>
        </w:div>
        <w:div w:id="2015692422">
          <w:marLeft w:val="0"/>
          <w:marRight w:val="0"/>
          <w:marTop w:val="0"/>
          <w:marBottom w:val="0"/>
          <w:divBdr>
            <w:top w:val="none" w:sz="0" w:space="0" w:color="auto"/>
            <w:left w:val="none" w:sz="0" w:space="0" w:color="auto"/>
            <w:bottom w:val="none" w:sz="0" w:space="0" w:color="auto"/>
            <w:right w:val="none" w:sz="0" w:space="0" w:color="auto"/>
          </w:divBdr>
          <w:divsChild>
            <w:div w:id="1582639981">
              <w:marLeft w:val="0"/>
              <w:marRight w:val="0"/>
              <w:marTop w:val="0"/>
              <w:marBottom w:val="0"/>
              <w:divBdr>
                <w:top w:val="none" w:sz="0" w:space="0" w:color="auto"/>
                <w:left w:val="none" w:sz="0" w:space="0" w:color="auto"/>
                <w:bottom w:val="none" w:sz="0" w:space="0" w:color="auto"/>
                <w:right w:val="none" w:sz="0" w:space="0" w:color="auto"/>
              </w:divBdr>
            </w:div>
          </w:divsChild>
        </w:div>
        <w:div w:id="2016378745">
          <w:marLeft w:val="0"/>
          <w:marRight w:val="0"/>
          <w:marTop w:val="0"/>
          <w:marBottom w:val="0"/>
          <w:divBdr>
            <w:top w:val="none" w:sz="0" w:space="0" w:color="auto"/>
            <w:left w:val="none" w:sz="0" w:space="0" w:color="auto"/>
            <w:bottom w:val="none" w:sz="0" w:space="0" w:color="auto"/>
            <w:right w:val="none" w:sz="0" w:space="0" w:color="auto"/>
          </w:divBdr>
          <w:divsChild>
            <w:div w:id="1727491086">
              <w:marLeft w:val="0"/>
              <w:marRight w:val="0"/>
              <w:marTop w:val="0"/>
              <w:marBottom w:val="0"/>
              <w:divBdr>
                <w:top w:val="none" w:sz="0" w:space="0" w:color="auto"/>
                <w:left w:val="none" w:sz="0" w:space="0" w:color="auto"/>
                <w:bottom w:val="none" w:sz="0" w:space="0" w:color="auto"/>
                <w:right w:val="none" w:sz="0" w:space="0" w:color="auto"/>
              </w:divBdr>
            </w:div>
          </w:divsChild>
        </w:div>
        <w:div w:id="2018725200">
          <w:marLeft w:val="0"/>
          <w:marRight w:val="0"/>
          <w:marTop w:val="0"/>
          <w:marBottom w:val="0"/>
          <w:divBdr>
            <w:top w:val="none" w:sz="0" w:space="0" w:color="auto"/>
            <w:left w:val="none" w:sz="0" w:space="0" w:color="auto"/>
            <w:bottom w:val="none" w:sz="0" w:space="0" w:color="auto"/>
            <w:right w:val="none" w:sz="0" w:space="0" w:color="auto"/>
          </w:divBdr>
          <w:divsChild>
            <w:div w:id="1517378162">
              <w:marLeft w:val="0"/>
              <w:marRight w:val="0"/>
              <w:marTop w:val="0"/>
              <w:marBottom w:val="0"/>
              <w:divBdr>
                <w:top w:val="none" w:sz="0" w:space="0" w:color="auto"/>
                <w:left w:val="none" w:sz="0" w:space="0" w:color="auto"/>
                <w:bottom w:val="none" w:sz="0" w:space="0" w:color="auto"/>
                <w:right w:val="none" w:sz="0" w:space="0" w:color="auto"/>
              </w:divBdr>
            </w:div>
          </w:divsChild>
        </w:div>
        <w:div w:id="2020354287">
          <w:marLeft w:val="0"/>
          <w:marRight w:val="0"/>
          <w:marTop w:val="0"/>
          <w:marBottom w:val="0"/>
          <w:divBdr>
            <w:top w:val="none" w:sz="0" w:space="0" w:color="auto"/>
            <w:left w:val="none" w:sz="0" w:space="0" w:color="auto"/>
            <w:bottom w:val="none" w:sz="0" w:space="0" w:color="auto"/>
            <w:right w:val="none" w:sz="0" w:space="0" w:color="auto"/>
          </w:divBdr>
          <w:divsChild>
            <w:div w:id="1353068750">
              <w:marLeft w:val="0"/>
              <w:marRight w:val="0"/>
              <w:marTop w:val="0"/>
              <w:marBottom w:val="0"/>
              <w:divBdr>
                <w:top w:val="none" w:sz="0" w:space="0" w:color="auto"/>
                <w:left w:val="none" w:sz="0" w:space="0" w:color="auto"/>
                <w:bottom w:val="none" w:sz="0" w:space="0" w:color="auto"/>
                <w:right w:val="none" w:sz="0" w:space="0" w:color="auto"/>
              </w:divBdr>
            </w:div>
          </w:divsChild>
        </w:div>
        <w:div w:id="2022510483">
          <w:marLeft w:val="0"/>
          <w:marRight w:val="0"/>
          <w:marTop w:val="0"/>
          <w:marBottom w:val="0"/>
          <w:divBdr>
            <w:top w:val="none" w:sz="0" w:space="0" w:color="auto"/>
            <w:left w:val="none" w:sz="0" w:space="0" w:color="auto"/>
            <w:bottom w:val="none" w:sz="0" w:space="0" w:color="auto"/>
            <w:right w:val="none" w:sz="0" w:space="0" w:color="auto"/>
          </w:divBdr>
          <w:divsChild>
            <w:div w:id="2007171485">
              <w:marLeft w:val="0"/>
              <w:marRight w:val="0"/>
              <w:marTop w:val="0"/>
              <w:marBottom w:val="0"/>
              <w:divBdr>
                <w:top w:val="none" w:sz="0" w:space="0" w:color="auto"/>
                <w:left w:val="none" w:sz="0" w:space="0" w:color="auto"/>
                <w:bottom w:val="none" w:sz="0" w:space="0" w:color="auto"/>
                <w:right w:val="none" w:sz="0" w:space="0" w:color="auto"/>
              </w:divBdr>
            </w:div>
          </w:divsChild>
        </w:div>
        <w:div w:id="2023702740">
          <w:marLeft w:val="0"/>
          <w:marRight w:val="0"/>
          <w:marTop w:val="0"/>
          <w:marBottom w:val="0"/>
          <w:divBdr>
            <w:top w:val="none" w:sz="0" w:space="0" w:color="auto"/>
            <w:left w:val="none" w:sz="0" w:space="0" w:color="auto"/>
            <w:bottom w:val="none" w:sz="0" w:space="0" w:color="auto"/>
            <w:right w:val="none" w:sz="0" w:space="0" w:color="auto"/>
          </w:divBdr>
          <w:divsChild>
            <w:div w:id="631832606">
              <w:marLeft w:val="0"/>
              <w:marRight w:val="0"/>
              <w:marTop w:val="0"/>
              <w:marBottom w:val="0"/>
              <w:divBdr>
                <w:top w:val="none" w:sz="0" w:space="0" w:color="auto"/>
                <w:left w:val="none" w:sz="0" w:space="0" w:color="auto"/>
                <w:bottom w:val="none" w:sz="0" w:space="0" w:color="auto"/>
                <w:right w:val="none" w:sz="0" w:space="0" w:color="auto"/>
              </w:divBdr>
            </w:div>
          </w:divsChild>
        </w:div>
        <w:div w:id="2027055059">
          <w:marLeft w:val="0"/>
          <w:marRight w:val="0"/>
          <w:marTop w:val="0"/>
          <w:marBottom w:val="0"/>
          <w:divBdr>
            <w:top w:val="none" w:sz="0" w:space="0" w:color="auto"/>
            <w:left w:val="none" w:sz="0" w:space="0" w:color="auto"/>
            <w:bottom w:val="none" w:sz="0" w:space="0" w:color="auto"/>
            <w:right w:val="none" w:sz="0" w:space="0" w:color="auto"/>
          </w:divBdr>
          <w:divsChild>
            <w:div w:id="312023115">
              <w:marLeft w:val="0"/>
              <w:marRight w:val="0"/>
              <w:marTop w:val="0"/>
              <w:marBottom w:val="0"/>
              <w:divBdr>
                <w:top w:val="none" w:sz="0" w:space="0" w:color="auto"/>
                <w:left w:val="none" w:sz="0" w:space="0" w:color="auto"/>
                <w:bottom w:val="none" w:sz="0" w:space="0" w:color="auto"/>
                <w:right w:val="none" w:sz="0" w:space="0" w:color="auto"/>
              </w:divBdr>
            </w:div>
          </w:divsChild>
        </w:div>
        <w:div w:id="2028091060">
          <w:marLeft w:val="0"/>
          <w:marRight w:val="0"/>
          <w:marTop w:val="0"/>
          <w:marBottom w:val="0"/>
          <w:divBdr>
            <w:top w:val="none" w:sz="0" w:space="0" w:color="auto"/>
            <w:left w:val="none" w:sz="0" w:space="0" w:color="auto"/>
            <w:bottom w:val="none" w:sz="0" w:space="0" w:color="auto"/>
            <w:right w:val="none" w:sz="0" w:space="0" w:color="auto"/>
          </w:divBdr>
          <w:divsChild>
            <w:div w:id="1939868556">
              <w:marLeft w:val="0"/>
              <w:marRight w:val="0"/>
              <w:marTop w:val="0"/>
              <w:marBottom w:val="0"/>
              <w:divBdr>
                <w:top w:val="none" w:sz="0" w:space="0" w:color="auto"/>
                <w:left w:val="none" w:sz="0" w:space="0" w:color="auto"/>
                <w:bottom w:val="none" w:sz="0" w:space="0" w:color="auto"/>
                <w:right w:val="none" w:sz="0" w:space="0" w:color="auto"/>
              </w:divBdr>
            </w:div>
          </w:divsChild>
        </w:div>
        <w:div w:id="2031029414">
          <w:marLeft w:val="0"/>
          <w:marRight w:val="0"/>
          <w:marTop w:val="0"/>
          <w:marBottom w:val="0"/>
          <w:divBdr>
            <w:top w:val="none" w:sz="0" w:space="0" w:color="auto"/>
            <w:left w:val="none" w:sz="0" w:space="0" w:color="auto"/>
            <w:bottom w:val="none" w:sz="0" w:space="0" w:color="auto"/>
            <w:right w:val="none" w:sz="0" w:space="0" w:color="auto"/>
          </w:divBdr>
          <w:divsChild>
            <w:div w:id="681664018">
              <w:marLeft w:val="0"/>
              <w:marRight w:val="0"/>
              <w:marTop w:val="0"/>
              <w:marBottom w:val="0"/>
              <w:divBdr>
                <w:top w:val="none" w:sz="0" w:space="0" w:color="auto"/>
                <w:left w:val="none" w:sz="0" w:space="0" w:color="auto"/>
                <w:bottom w:val="none" w:sz="0" w:space="0" w:color="auto"/>
                <w:right w:val="none" w:sz="0" w:space="0" w:color="auto"/>
              </w:divBdr>
            </w:div>
          </w:divsChild>
        </w:div>
        <w:div w:id="2034720904">
          <w:marLeft w:val="0"/>
          <w:marRight w:val="0"/>
          <w:marTop w:val="0"/>
          <w:marBottom w:val="0"/>
          <w:divBdr>
            <w:top w:val="none" w:sz="0" w:space="0" w:color="auto"/>
            <w:left w:val="none" w:sz="0" w:space="0" w:color="auto"/>
            <w:bottom w:val="none" w:sz="0" w:space="0" w:color="auto"/>
            <w:right w:val="none" w:sz="0" w:space="0" w:color="auto"/>
          </w:divBdr>
          <w:divsChild>
            <w:div w:id="774250875">
              <w:marLeft w:val="0"/>
              <w:marRight w:val="0"/>
              <w:marTop w:val="0"/>
              <w:marBottom w:val="0"/>
              <w:divBdr>
                <w:top w:val="none" w:sz="0" w:space="0" w:color="auto"/>
                <w:left w:val="none" w:sz="0" w:space="0" w:color="auto"/>
                <w:bottom w:val="none" w:sz="0" w:space="0" w:color="auto"/>
                <w:right w:val="none" w:sz="0" w:space="0" w:color="auto"/>
              </w:divBdr>
            </w:div>
          </w:divsChild>
        </w:div>
        <w:div w:id="2036812278">
          <w:marLeft w:val="0"/>
          <w:marRight w:val="0"/>
          <w:marTop w:val="0"/>
          <w:marBottom w:val="0"/>
          <w:divBdr>
            <w:top w:val="none" w:sz="0" w:space="0" w:color="auto"/>
            <w:left w:val="none" w:sz="0" w:space="0" w:color="auto"/>
            <w:bottom w:val="none" w:sz="0" w:space="0" w:color="auto"/>
            <w:right w:val="none" w:sz="0" w:space="0" w:color="auto"/>
          </w:divBdr>
          <w:divsChild>
            <w:div w:id="603463995">
              <w:marLeft w:val="0"/>
              <w:marRight w:val="0"/>
              <w:marTop w:val="0"/>
              <w:marBottom w:val="0"/>
              <w:divBdr>
                <w:top w:val="none" w:sz="0" w:space="0" w:color="auto"/>
                <w:left w:val="none" w:sz="0" w:space="0" w:color="auto"/>
                <w:bottom w:val="none" w:sz="0" w:space="0" w:color="auto"/>
                <w:right w:val="none" w:sz="0" w:space="0" w:color="auto"/>
              </w:divBdr>
            </w:div>
          </w:divsChild>
        </w:div>
        <w:div w:id="2041201726">
          <w:marLeft w:val="0"/>
          <w:marRight w:val="0"/>
          <w:marTop w:val="0"/>
          <w:marBottom w:val="0"/>
          <w:divBdr>
            <w:top w:val="none" w:sz="0" w:space="0" w:color="auto"/>
            <w:left w:val="none" w:sz="0" w:space="0" w:color="auto"/>
            <w:bottom w:val="none" w:sz="0" w:space="0" w:color="auto"/>
            <w:right w:val="none" w:sz="0" w:space="0" w:color="auto"/>
          </w:divBdr>
          <w:divsChild>
            <w:div w:id="246841056">
              <w:marLeft w:val="0"/>
              <w:marRight w:val="0"/>
              <w:marTop w:val="0"/>
              <w:marBottom w:val="0"/>
              <w:divBdr>
                <w:top w:val="none" w:sz="0" w:space="0" w:color="auto"/>
                <w:left w:val="none" w:sz="0" w:space="0" w:color="auto"/>
                <w:bottom w:val="none" w:sz="0" w:space="0" w:color="auto"/>
                <w:right w:val="none" w:sz="0" w:space="0" w:color="auto"/>
              </w:divBdr>
            </w:div>
          </w:divsChild>
        </w:div>
        <w:div w:id="2042432947">
          <w:marLeft w:val="0"/>
          <w:marRight w:val="0"/>
          <w:marTop w:val="0"/>
          <w:marBottom w:val="0"/>
          <w:divBdr>
            <w:top w:val="none" w:sz="0" w:space="0" w:color="auto"/>
            <w:left w:val="none" w:sz="0" w:space="0" w:color="auto"/>
            <w:bottom w:val="none" w:sz="0" w:space="0" w:color="auto"/>
            <w:right w:val="none" w:sz="0" w:space="0" w:color="auto"/>
          </w:divBdr>
          <w:divsChild>
            <w:div w:id="1541934387">
              <w:marLeft w:val="0"/>
              <w:marRight w:val="0"/>
              <w:marTop w:val="0"/>
              <w:marBottom w:val="0"/>
              <w:divBdr>
                <w:top w:val="none" w:sz="0" w:space="0" w:color="auto"/>
                <w:left w:val="none" w:sz="0" w:space="0" w:color="auto"/>
                <w:bottom w:val="none" w:sz="0" w:space="0" w:color="auto"/>
                <w:right w:val="none" w:sz="0" w:space="0" w:color="auto"/>
              </w:divBdr>
            </w:div>
          </w:divsChild>
        </w:div>
        <w:div w:id="2044860238">
          <w:marLeft w:val="0"/>
          <w:marRight w:val="0"/>
          <w:marTop w:val="0"/>
          <w:marBottom w:val="0"/>
          <w:divBdr>
            <w:top w:val="none" w:sz="0" w:space="0" w:color="auto"/>
            <w:left w:val="none" w:sz="0" w:space="0" w:color="auto"/>
            <w:bottom w:val="none" w:sz="0" w:space="0" w:color="auto"/>
            <w:right w:val="none" w:sz="0" w:space="0" w:color="auto"/>
          </w:divBdr>
          <w:divsChild>
            <w:div w:id="1264069364">
              <w:marLeft w:val="0"/>
              <w:marRight w:val="0"/>
              <w:marTop w:val="0"/>
              <w:marBottom w:val="0"/>
              <w:divBdr>
                <w:top w:val="none" w:sz="0" w:space="0" w:color="auto"/>
                <w:left w:val="none" w:sz="0" w:space="0" w:color="auto"/>
                <w:bottom w:val="none" w:sz="0" w:space="0" w:color="auto"/>
                <w:right w:val="none" w:sz="0" w:space="0" w:color="auto"/>
              </w:divBdr>
            </w:div>
          </w:divsChild>
        </w:div>
        <w:div w:id="2047024467">
          <w:marLeft w:val="0"/>
          <w:marRight w:val="0"/>
          <w:marTop w:val="0"/>
          <w:marBottom w:val="0"/>
          <w:divBdr>
            <w:top w:val="none" w:sz="0" w:space="0" w:color="auto"/>
            <w:left w:val="none" w:sz="0" w:space="0" w:color="auto"/>
            <w:bottom w:val="none" w:sz="0" w:space="0" w:color="auto"/>
            <w:right w:val="none" w:sz="0" w:space="0" w:color="auto"/>
          </w:divBdr>
          <w:divsChild>
            <w:div w:id="1961255315">
              <w:marLeft w:val="0"/>
              <w:marRight w:val="0"/>
              <w:marTop w:val="0"/>
              <w:marBottom w:val="0"/>
              <w:divBdr>
                <w:top w:val="none" w:sz="0" w:space="0" w:color="auto"/>
                <w:left w:val="none" w:sz="0" w:space="0" w:color="auto"/>
                <w:bottom w:val="none" w:sz="0" w:space="0" w:color="auto"/>
                <w:right w:val="none" w:sz="0" w:space="0" w:color="auto"/>
              </w:divBdr>
            </w:div>
          </w:divsChild>
        </w:div>
        <w:div w:id="2047826484">
          <w:marLeft w:val="0"/>
          <w:marRight w:val="0"/>
          <w:marTop w:val="0"/>
          <w:marBottom w:val="0"/>
          <w:divBdr>
            <w:top w:val="none" w:sz="0" w:space="0" w:color="auto"/>
            <w:left w:val="none" w:sz="0" w:space="0" w:color="auto"/>
            <w:bottom w:val="none" w:sz="0" w:space="0" w:color="auto"/>
            <w:right w:val="none" w:sz="0" w:space="0" w:color="auto"/>
          </w:divBdr>
          <w:divsChild>
            <w:div w:id="1777368346">
              <w:marLeft w:val="0"/>
              <w:marRight w:val="0"/>
              <w:marTop w:val="0"/>
              <w:marBottom w:val="0"/>
              <w:divBdr>
                <w:top w:val="none" w:sz="0" w:space="0" w:color="auto"/>
                <w:left w:val="none" w:sz="0" w:space="0" w:color="auto"/>
                <w:bottom w:val="none" w:sz="0" w:space="0" w:color="auto"/>
                <w:right w:val="none" w:sz="0" w:space="0" w:color="auto"/>
              </w:divBdr>
            </w:div>
          </w:divsChild>
        </w:div>
        <w:div w:id="2049910611">
          <w:marLeft w:val="0"/>
          <w:marRight w:val="0"/>
          <w:marTop w:val="0"/>
          <w:marBottom w:val="0"/>
          <w:divBdr>
            <w:top w:val="none" w:sz="0" w:space="0" w:color="auto"/>
            <w:left w:val="none" w:sz="0" w:space="0" w:color="auto"/>
            <w:bottom w:val="none" w:sz="0" w:space="0" w:color="auto"/>
            <w:right w:val="none" w:sz="0" w:space="0" w:color="auto"/>
          </w:divBdr>
          <w:divsChild>
            <w:div w:id="1303655774">
              <w:marLeft w:val="0"/>
              <w:marRight w:val="0"/>
              <w:marTop w:val="0"/>
              <w:marBottom w:val="0"/>
              <w:divBdr>
                <w:top w:val="none" w:sz="0" w:space="0" w:color="auto"/>
                <w:left w:val="none" w:sz="0" w:space="0" w:color="auto"/>
                <w:bottom w:val="none" w:sz="0" w:space="0" w:color="auto"/>
                <w:right w:val="none" w:sz="0" w:space="0" w:color="auto"/>
              </w:divBdr>
            </w:div>
          </w:divsChild>
        </w:div>
        <w:div w:id="2053188987">
          <w:marLeft w:val="0"/>
          <w:marRight w:val="0"/>
          <w:marTop w:val="0"/>
          <w:marBottom w:val="0"/>
          <w:divBdr>
            <w:top w:val="none" w:sz="0" w:space="0" w:color="auto"/>
            <w:left w:val="none" w:sz="0" w:space="0" w:color="auto"/>
            <w:bottom w:val="none" w:sz="0" w:space="0" w:color="auto"/>
            <w:right w:val="none" w:sz="0" w:space="0" w:color="auto"/>
          </w:divBdr>
          <w:divsChild>
            <w:div w:id="1964114120">
              <w:marLeft w:val="0"/>
              <w:marRight w:val="0"/>
              <w:marTop w:val="0"/>
              <w:marBottom w:val="0"/>
              <w:divBdr>
                <w:top w:val="none" w:sz="0" w:space="0" w:color="auto"/>
                <w:left w:val="none" w:sz="0" w:space="0" w:color="auto"/>
                <w:bottom w:val="none" w:sz="0" w:space="0" w:color="auto"/>
                <w:right w:val="none" w:sz="0" w:space="0" w:color="auto"/>
              </w:divBdr>
            </w:div>
          </w:divsChild>
        </w:div>
        <w:div w:id="2053843980">
          <w:marLeft w:val="0"/>
          <w:marRight w:val="0"/>
          <w:marTop w:val="0"/>
          <w:marBottom w:val="0"/>
          <w:divBdr>
            <w:top w:val="none" w:sz="0" w:space="0" w:color="auto"/>
            <w:left w:val="none" w:sz="0" w:space="0" w:color="auto"/>
            <w:bottom w:val="none" w:sz="0" w:space="0" w:color="auto"/>
            <w:right w:val="none" w:sz="0" w:space="0" w:color="auto"/>
          </w:divBdr>
          <w:divsChild>
            <w:div w:id="185800362">
              <w:marLeft w:val="0"/>
              <w:marRight w:val="0"/>
              <w:marTop w:val="0"/>
              <w:marBottom w:val="0"/>
              <w:divBdr>
                <w:top w:val="none" w:sz="0" w:space="0" w:color="auto"/>
                <w:left w:val="none" w:sz="0" w:space="0" w:color="auto"/>
                <w:bottom w:val="none" w:sz="0" w:space="0" w:color="auto"/>
                <w:right w:val="none" w:sz="0" w:space="0" w:color="auto"/>
              </w:divBdr>
            </w:div>
          </w:divsChild>
        </w:div>
        <w:div w:id="2059236157">
          <w:marLeft w:val="0"/>
          <w:marRight w:val="0"/>
          <w:marTop w:val="0"/>
          <w:marBottom w:val="0"/>
          <w:divBdr>
            <w:top w:val="none" w:sz="0" w:space="0" w:color="auto"/>
            <w:left w:val="none" w:sz="0" w:space="0" w:color="auto"/>
            <w:bottom w:val="none" w:sz="0" w:space="0" w:color="auto"/>
            <w:right w:val="none" w:sz="0" w:space="0" w:color="auto"/>
          </w:divBdr>
          <w:divsChild>
            <w:div w:id="1157914617">
              <w:marLeft w:val="0"/>
              <w:marRight w:val="0"/>
              <w:marTop w:val="0"/>
              <w:marBottom w:val="0"/>
              <w:divBdr>
                <w:top w:val="none" w:sz="0" w:space="0" w:color="auto"/>
                <w:left w:val="none" w:sz="0" w:space="0" w:color="auto"/>
                <w:bottom w:val="none" w:sz="0" w:space="0" w:color="auto"/>
                <w:right w:val="none" w:sz="0" w:space="0" w:color="auto"/>
              </w:divBdr>
            </w:div>
          </w:divsChild>
        </w:div>
        <w:div w:id="2059937912">
          <w:marLeft w:val="0"/>
          <w:marRight w:val="0"/>
          <w:marTop w:val="0"/>
          <w:marBottom w:val="0"/>
          <w:divBdr>
            <w:top w:val="none" w:sz="0" w:space="0" w:color="auto"/>
            <w:left w:val="none" w:sz="0" w:space="0" w:color="auto"/>
            <w:bottom w:val="none" w:sz="0" w:space="0" w:color="auto"/>
            <w:right w:val="none" w:sz="0" w:space="0" w:color="auto"/>
          </w:divBdr>
          <w:divsChild>
            <w:div w:id="1456027321">
              <w:marLeft w:val="0"/>
              <w:marRight w:val="0"/>
              <w:marTop w:val="0"/>
              <w:marBottom w:val="0"/>
              <w:divBdr>
                <w:top w:val="none" w:sz="0" w:space="0" w:color="auto"/>
                <w:left w:val="none" w:sz="0" w:space="0" w:color="auto"/>
                <w:bottom w:val="none" w:sz="0" w:space="0" w:color="auto"/>
                <w:right w:val="none" w:sz="0" w:space="0" w:color="auto"/>
              </w:divBdr>
            </w:div>
          </w:divsChild>
        </w:div>
        <w:div w:id="2065252068">
          <w:marLeft w:val="0"/>
          <w:marRight w:val="0"/>
          <w:marTop w:val="0"/>
          <w:marBottom w:val="0"/>
          <w:divBdr>
            <w:top w:val="none" w:sz="0" w:space="0" w:color="auto"/>
            <w:left w:val="none" w:sz="0" w:space="0" w:color="auto"/>
            <w:bottom w:val="none" w:sz="0" w:space="0" w:color="auto"/>
            <w:right w:val="none" w:sz="0" w:space="0" w:color="auto"/>
          </w:divBdr>
          <w:divsChild>
            <w:div w:id="1670131688">
              <w:marLeft w:val="0"/>
              <w:marRight w:val="0"/>
              <w:marTop w:val="0"/>
              <w:marBottom w:val="0"/>
              <w:divBdr>
                <w:top w:val="none" w:sz="0" w:space="0" w:color="auto"/>
                <w:left w:val="none" w:sz="0" w:space="0" w:color="auto"/>
                <w:bottom w:val="none" w:sz="0" w:space="0" w:color="auto"/>
                <w:right w:val="none" w:sz="0" w:space="0" w:color="auto"/>
              </w:divBdr>
            </w:div>
          </w:divsChild>
        </w:div>
        <w:div w:id="2066638845">
          <w:marLeft w:val="0"/>
          <w:marRight w:val="0"/>
          <w:marTop w:val="0"/>
          <w:marBottom w:val="0"/>
          <w:divBdr>
            <w:top w:val="none" w:sz="0" w:space="0" w:color="auto"/>
            <w:left w:val="none" w:sz="0" w:space="0" w:color="auto"/>
            <w:bottom w:val="none" w:sz="0" w:space="0" w:color="auto"/>
            <w:right w:val="none" w:sz="0" w:space="0" w:color="auto"/>
          </w:divBdr>
          <w:divsChild>
            <w:div w:id="594751281">
              <w:marLeft w:val="0"/>
              <w:marRight w:val="0"/>
              <w:marTop w:val="0"/>
              <w:marBottom w:val="0"/>
              <w:divBdr>
                <w:top w:val="none" w:sz="0" w:space="0" w:color="auto"/>
                <w:left w:val="none" w:sz="0" w:space="0" w:color="auto"/>
                <w:bottom w:val="none" w:sz="0" w:space="0" w:color="auto"/>
                <w:right w:val="none" w:sz="0" w:space="0" w:color="auto"/>
              </w:divBdr>
            </w:div>
          </w:divsChild>
        </w:div>
        <w:div w:id="2073772334">
          <w:marLeft w:val="0"/>
          <w:marRight w:val="0"/>
          <w:marTop w:val="0"/>
          <w:marBottom w:val="0"/>
          <w:divBdr>
            <w:top w:val="none" w:sz="0" w:space="0" w:color="auto"/>
            <w:left w:val="none" w:sz="0" w:space="0" w:color="auto"/>
            <w:bottom w:val="none" w:sz="0" w:space="0" w:color="auto"/>
            <w:right w:val="none" w:sz="0" w:space="0" w:color="auto"/>
          </w:divBdr>
          <w:divsChild>
            <w:div w:id="781344344">
              <w:marLeft w:val="0"/>
              <w:marRight w:val="0"/>
              <w:marTop w:val="0"/>
              <w:marBottom w:val="0"/>
              <w:divBdr>
                <w:top w:val="none" w:sz="0" w:space="0" w:color="auto"/>
                <w:left w:val="none" w:sz="0" w:space="0" w:color="auto"/>
                <w:bottom w:val="none" w:sz="0" w:space="0" w:color="auto"/>
                <w:right w:val="none" w:sz="0" w:space="0" w:color="auto"/>
              </w:divBdr>
            </w:div>
          </w:divsChild>
        </w:div>
        <w:div w:id="2075006646">
          <w:marLeft w:val="0"/>
          <w:marRight w:val="0"/>
          <w:marTop w:val="0"/>
          <w:marBottom w:val="0"/>
          <w:divBdr>
            <w:top w:val="none" w:sz="0" w:space="0" w:color="auto"/>
            <w:left w:val="none" w:sz="0" w:space="0" w:color="auto"/>
            <w:bottom w:val="none" w:sz="0" w:space="0" w:color="auto"/>
            <w:right w:val="none" w:sz="0" w:space="0" w:color="auto"/>
          </w:divBdr>
          <w:divsChild>
            <w:div w:id="1938251819">
              <w:marLeft w:val="0"/>
              <w:marRight w:val="0"/>
              <w:marTop w:val="0"/>
              <w:marBottom w:val="0"/>
              <w:divBdr>
                <w:top w:val="none" w:sz="0" w:space="0" w:color="auto"/>
                <w:left w:val="none" w:sz="0" w:space="0" w:color="auto"/>
                <w:bottom w:val="none" w:sz="0" w:space="0" w:color="auto"/>
                <w:right w:val="none" w:sz="0" w:space="0" w:color="auto"/>
              </w:divBdr>
            </w:div>
          </w:divsChild>
        </w:div>
        <w:div w:id="2075425089">
          <w:marLeft w:val="0"/>
          <w:marRight w:val="0"/>
          <w:marTop w:val="0"/>
          <w:marBottom w:val="0"/>
          <w:divBdr>
            <w:top w:val="none" w:sz="0" w:space="0" w:color="auto"/>
            <w:left w:val="none" w:sz="0" w:space="0" w:color="auto"/>
            <w:bottom w:val="none" w:sz="0" w:space="0" w:color="auto"/>
            <w:right w:val="none" w:sz="0" w:space="0" w:color="auto"/>
          </w:divBdr>
          <w:divsChild>
            <w:div w:id="1954701215">
              <w:marLeft w:val="0"/>
              <w:marRight w:val="0"/>
              <w:marTop w:val="0"/>
              <w:marBottom w:val="0"/>
              <w:divBdr>
                <w:top w:val="none" w:sz="0" w:space="0" w:color="auto"/>
                <w:left w:val="none" w:sz="0" w:space="0" w:color="auto"/>
                <w:bottom w:val="none" w:sz="0" w:space="0" w:color="auto"/>
                <w:right w:val="none" w:sz="0" w:space="0" w:color="auto"/>
              </w:divBdr>
            </w:div>
          </w:divsChild>
        </w:div>
        <w:div w:id="2077776959">
          <w:marLeft w:val="0"/>
          <w:marRight w:val="0"/>
          <w:marTop w:val="0"/>
          <w:marBottom w:val="0"/>
          <w:divBdr>
            <w:top w:val="none" w:sz="0" w:space="0" w:color="auto"/>
            <w:left w:val="none" w:sz="0" w:space="0" w:color="auto"/>
            <w:bottom w:val="none" w:sz="0" w:space="0" w:color="auto"/>
            <w:right w:val="none" w:sz="0" w:space="0" w:color="auto"/>
          </w:divBdr>
          <w:divsChild>
            <w:div w:id="1571161225">
              <w:marLeft w:val="0"/>
              <w:marRight w:val="0"/>
              <w:marTop w:val="0"/>
              <w:marBottom w:val="0"/>
              <w:divBdr>
                <w:top w:val="none" w:sz="0" w:space="0" w:color="auto"/>
                <w:left w:val="none" w:sz="0" w:space="0" w:color="auto"/>
                <w:bottom w:val="none" w:sz="0" w:space="0" w:color="auto"/>
                <w:right w:val="none" w:sz="0" w:space="0" w:color="auto"/>
              </w:divBdr>
            </w:div>
          </w:divsChild>
        </w:div>
        <w:div w:id="2081753273">
          <w:marLeft w:val="0"/>
          <w:marRight w:val="0"/>
          <w:marTop w:val="0"/>
          <w:marBottom w:val="0"/>
          <w:divBdr>
            <w:top w:val="none" w:sz="0" w:space="0" w:color="auto"/>
            <w:left w:val="none" w:sz="0" w:space="0" w:color="auto"/>
            <w:bottom w:val="none" w:sz="0" w:space="0" w:color="auto"/>
            <w:right w:val="none" w:sz="0" w:space="0" w:color="auto"/>
          </w:divBdr>
          <w:divsChild>
            <w:div w:id="63769994">
              <w:marLeft w:val="0"/>
              <w:marRight w:val="0"/>
              <w:marTop w:val="0"/>
              <w:marBottom w:val="0"/>
              <w:divBdr>
                <w:top w:val="none" w:sz="0" w:space="0" w:color="auto"/>
                <w:left w:val="none" w:sz="0" w:space="0" w:color="auto"/>
                <w:bottom w:val="none" w:sz="0" w:space="0" w:color="auto"/>
                <w:right w:val="none" w:sz="0" w:space="0" w:color="auto"/>
              </w:divBdr>
            </w:div>
          </w:divsChild>
        </w:div>
        <w:div w:id="2086567825">
          <w:marLeft w:val="0"/>
          <w:marRight w:val="0"/>
          <w:marTop w:val="0"/>
          <w:marBottom w:val="0"/>
          <w:divBdr>
            <w:top w:val="none" w:sz="0" w:space="0" w:color="auto"/>
            <w:left w:val="none" w:sz="0" w:space="0" w:color="auto"/>
            <w:bottom w:val="none" w:sz="0" w:space="0" w:color="auto"/>
            <w:right w:val="none" w:sz="0" w:space="0" w:color="auto"/>
          </w:divBdr>
          <w:divsChild>
            <w:div w:id="115373731">
              <w:marLeft w:val="0"/>
              <w:marRight w:val="0"/>
              <w:marTop w:val="0"/>
              <w:marBottom w:val="0"/>
              <w:divBdr>
                <w:top w:val="none" w:sz="0" w:space="0" w:color="auto"/>
                <w:left w:val="none" w:sz="0" w:space="0" w:color="auto"/>
                <w:bottom w:val="none" w:sz="0" w:space="0" w:color="auto"/>
                <w:right w:val="none" w:sz="0" w:space="0" w:color="auto"/>
              </w:divBdr>
            </w:div>
          </w:divsChild>
        </w:div>
        <w:div w:id="2086609611">
          <w:marLeft w:val="0"/>
          <w:marRight w:val="0"/>
          <w:marTop w:val="0"/>
          <w:marBottom w:val="0"/>
          <w:divBdr>
            <w:top w:val="none" w:sz="0" w:space="0" w:color="auto"/>
            <w:left w:val="none" w:sz="0" w:space="0" w:color="auto"/>
            <w:bottom w:val="none" w:sz="0" w:space="0" w:color="auto"/>
            <w:right w:val="none" w:sz="0" w:space="0" w:color="auto"/>
          </w:divBdr>
          <w:divsChild>
            <w:div w:id="2083402462">
              <w:marLeft w:val="0"/>
              <w:marRight w:val="0"/>
              <w:marTop w:val="0"/>
              <w:marBottom w:val="0"/>
              <w:divBdr>
                <w:top w:val="none" w:sz="0" w:space="0" w:color="auto"/>
                <w:left w:val="none" w:sz="0" w:space="0" w:color="auto"/>
                <w:bottom w:val="none" w:sz="0" w:space="0" w:color="auto"/>
                <w:right w:val="none" w:sz="0" w:space="0" w:color="auto"/>
              </w:divBdr>
            </w:div>
          </w:divsChild>
        </w:div>
        <w:div w:id="2086798571">
          <w:marLeft w:val="0"/>
          <w:marRight w:val="0"/>
          <w:marTop w:val="0"/>
          <w:marBottom w:val="0"/>
          <w:divBdr>
            <w:top w:val="none" w:sz="0" w:space="0" w:color="auto"/>
            <w:left w:val="none" w:sz="0" w:space="0" w:color="auto"/>
            <w:bottom w:val="none" w:sz="0" w:space="0" w:color="auto"/>
            <w:right w:val="none" w:sz="0" w:space="0" w:color="auto"/>
          </w:divBdr>
          <w:divsChild>
            <w:div w:id="646664674">
              <w:marLeft w:val="0"/>
              <w:marRight w:val="0"/>
              <w:marTop w:val="0"/>
              <w:marBottom w:val="0"/>
              <w:divBdr>
                <w:top w:val="none" w:sz="0" w:space="0" w:color="auto"/>
                <w:left w:val="none" w:sz="0" w:space="0" w:color="auto"/>
                <w:bottom w:val="none" w:sz="0" w:space="0" w:color="auto"/>
                <w:right w:val="none" w:sz="0" w:space="0" w:color="auto"/>
              </w:divBdr>
            </w:div>
          </w:divsChild>
        </w:div>
        <w:div w:id="2088846280">
          <w:marLeft w:val="0"/>
          <w:marRight w:val="0"/>
          <w:marTop w:val="0"/>
          <w:marBottom w:val="0"/>
          <w:divBdr>
            <w:top w:val="none" w:sz="0" w:space="0" w:color="auto"/>
            <w:left w:val="none" w:sz="0" w:space="0" w:color="auto"/>
            <w:bottom w:val="none" w:sz="0" w:space="0" w:color="auto"/>
            <w:right w:val="none" w:sz="0" w:space="0" w:color="auto"/>
          </w:divBdr>
          <w:divsChild>
            <w:div w:id="1702433229">
              <w:marLeft w:val="0"/>
              <w:marRight w:val="0"/>
              <w:marTop w:val="0"/>
              <w:marBottom w:val="0"/>
              <w:divBdr>
                <w:top w:val="none" w:sz="0" w:space="0" w:color="auto"/>
                <w:left w:val="none" w:sz="0" w:space="0" w:color="auto"/>
                <w:bottom w:val="none" w:sz="0" w:space="0" w:color="auto"/>
                <w:right w:val="none" w:sz="0" w:space="0" w:color="auto"/>
              </w:divBdr>
            </w:div>
          </w:divsChild>
        </w:div>
        <w:div w:id="2091659789">
          <w:marLeft w:val="0"/>
          <w:marRight w:val="0"/>
          <w:marTop w:val="0"/>
          <w:marBottom w:val="0"/>
          <w:divBdr>
            <w:top w:val="none" w:sz="0" w:space="0" w:color="auto"/>
            <w:left w:val="none" w:sz="0" w:space="0" w:color="auto"/>
            <w:bottom w:val="none" w:sz="0" w:space="0" w:color="auto"/>
            <w:right w:val="none" w:sz="0" w:space="0" w:color="auto"/>
          </w:divBdr>
          <w:divsChild>
            <w:div w:id="1793818382">
              <w:marLeft w:val="0"/>
              <w:marRight w:val="0"/>
              <w:marTop w:val="0"/>
              <w:marBottom w:val="0"/>
              <w:divBdr>
                <w:top w:val="none" w:sz="0" w:space="0" w:color="auto"/>
                <w:left w:val="none" w:sz="0" w:space="0" w:color="auto"/>
                <w:bottom w:val="none" w:sz="0" w:space="0" w:color="auto"/>
                <w:right w:val="none" w:sz="0" w:space="0" w:color="auto"/>
              </w:divBdr>
            </w:div>
          </w:divsChild>
        </w:div>
        <w:div w:id="2092895807">
          <w:marLeft w:val="0"/>
          <w:marRight w:val="0"/>
          <w:marTop w:val="0"/>
          <w:marBottom w:val="0"/>
          <w:divBdr>
            <w:top w:val="none" w:sz="0" w:space="0" w:color="auto"/>
            <w:left w:val="none" w:sz="0" w:space="0" w:color="auto"/>
            <w:bottom w:val="none" w:sz="0" w:space="0" w:color="auto"/>
            <w:right w:val="none" w:sz="0" w:space="0" w:color="auto"/>
          </w:divBdr>
          <w:divsChild>
            <w:div w:id="2096170281">
              <w:marLeft w:val="0"/>
              <w:marRight w:val="0"/>
              <w:marTop w:val="0"/>
              <w:marBottom w:val="0"/>
              <w:divBdr>
                <w:top w:val="none" w:sz="0" w:space="0" w:color="auto"/>
                <w:left w:val="none" w:sz="0" w:space="0" w:color="auto"/>
                <w:bottom w:val="none" w:sz="0" w:space="0" w:color="auto"/>
                <w:right w:val="none" w:sz="0" w:space="0" w:color="auto"/>
              </w:divBdr>
            </w:div>
          </w:divsChild>
        </w:div>
        <w:div w:id="2097246960">
          <w:marLeft w:val="0"/>
          <w:marRight w:val="0"/>
          <w:marTop w:val="0"/>
          <w:marBottom w:val="0"/>
          <w:divBdr>
            <w:top w:val="none" w:sz="0" w:space="0" w:color="auto"/>
            <w:left w:val="none" w:sz="0" w:space="0" w:color="auto"/>
            <w:bottom w:val="none" w:sz="0" w:space="0" w:color="auto"/>
            <w:right w:val="none" w:sz="0" w:space="0" w:color="auto"/>
          </w:divBdr>
          <w:divsChild>
            <w:div w:id="914972432">
              <w:marLeft w:val="0"/>
              <w:marRight w:val="0"/>
              <w:marTop w:val="0"/>
              <w:marBottom w:val="0"/>
              <w:divBdr>
                <w:top w:val="none" w:sz="0" w:space="0" w:color="auto"/>
                <w:left w:val="none" w:sz="0" w:space="0" w:color="auto"/>
                <w:bottom w:val="none" w:sz="0" w:space="0" w:color="auto"/>
                <w:right w:val="none" w:sz="0" w:space="0" w:color="auto"/>
              </w:divBdr>
            </w:div>
          </w:divsChild>
        </w:div>
        <w:div w:id="2106145759">
          <w:marLeft w:val="0"/>
          <w:marRight w:val="0"/>
          <w:marTop w:val="0"/>
          <w:marBottom w:val="0"/>
          <w:divBdr>
            <w:top w:val="none" w:sz="0" w:space="0" w:color="auto"/>
            <w:left w:val="none" w:sz="0" w:space="0" w:color="auto"/>
            <w:bottom w:val="none" w:sz="0" w:space="0" w:color="auto"/>
            <w:right w:val="none" w:sz="0" w:space="0" w:color="auto"/>
          </w:divBdr>
          <w:divsChild>
            <w:div w:id="524053084">
              <w:marLeft w:val="0"/>
              <w:marRight w:val="0"/>
              <w:marTop w:val="0"/>
              <w:marBottom w:val="0"/>
              <w:divBdr>
                <w:top w:val="none" w:sz="0" w:space="0" w:color="auto"/>
                <w:left w:val="none" w:sz="0" w:space="0" w:color="auto"/>
                <w:bottom w:val="none" w:sz="0" w:space="0" w:color="auto"/>
                <w:right w:val="none" w:sz="0" w:space="0" w:color="auto"/>
              </w:divBdr>
            </w:div>
          </w:divsChild>
        </w:div>
        <w:div w:id="2108309493">
          <w:marLeft w:val="0"/>
          <w:marRight w:val="0"/>
          <w:marTop w:val="0"/>
          <w:marBottom w:val="0"/>
          <w:divBdr>
            <w:top w:val="none" w:sz="0" w:space="0" w:color="auto"/>
            <w:left w:val="none" w:sz="0" w:space="0" w:color="auto"/>
            <w:bottom w:val="none" w:sz="0" w:space="0" w:color="auto"/>
            <w:right w:val="none" w:sz="0" w:space="0" w:color="auto"/>
          </w:divBdr>
          <w:divsChild>
            <w:div w:id="1437409235">
              <w:marLeft w:val="0"/>
              <w:marRight w:val="0"/>
              <w:marTop w:val="0"/>
              <w:marBottom w:val="0"/>
              <w:divBdr>
                <w:top w:val="none" w:sz="0" w:space="0" w:color="auto"/>
                <w:left w:val="none" w:sz="0" w:space="0" w:color="auto"/>
                <w:bottom w:val="none" w:sz="0" w:space="0" w:color="auto"/>
                <w:right w:val="none" w:sz="0" w:space="0" w:color="auto"/>
              </w:divBdr>
            </w:div>
          </w:divsChild>
        </w:div>
        <w:div w:id="2115132282">
          <w:marLeft w:val="0"/>
          <w:marRight w:val="0"/>
          <w:marTop w:val="0"/>
          <w:marBottom w:val="0"/>
          <w:divBdr>
            <w:top w:val="none" w:sz="0" w:space="0" w:color="auto"/>
            <w:left w:val="none" w:sz="0" w:space="0" w:color="auto"/>
            <w:bottom w:val="none" w:sz="0" w:space="0" w:color="auto"/>
            <w:right w:val="none" w:sz="0" w:space="0" w:color="auto"/>
          </w:divBdr>
          <w:divsChild>
            <w:div w:id="853500448">
              <w:marLeft w:val="0"/>
              <w:marRight w:val="0"/>
              <w:marTop w:val="0"/>
              <w:marBottom w:val="0"/>
              <w:divBdr>
                <w:top w:val="none" w:sz="0" w:space="0" w:color="auto"/>
                <w:left w:val="none" w:sz="0" w:space="0" w:color="auto"/>
                <w:bottom w:val="none" w:sz="0" w:space="0" w:color="auto"/>
                <w:right w:val="none" w:sz="0" w:space="0" w:color="auto"/>
              </w:divBdr>
            </w:div>
          </w:divsChild>
        </w:div>
        <w:div w:id="2115782147">
          <w:marLeft w:val="0"/>
          <w:marRight w:val="0"/>
          <w:marTop w:val="0"/>
          <w:marBottom w:val="0"/>
          <w:divBdr>
            <w:top w:val="none" w:sz="0" w:space="0" w:color="auto"/>
            <w:left w:val="none" w:sz="0" w:space="0" w:color="auto"/>
            <w:bottom w:val="none" w:sz="0" w:space="0" w:color="auto"/>
            <w:right w:val="none" w:sz="0" w:space="0" w:color="auto"/>
          </w:divBdr>
          <w:divsChild>
            <w:div w:id="55130152">
              <w:marLeft w:val="0"/>
              <w:marRight w:val="0"/>
              <w:marTop w:val="0"/>
              <w:marBottom w:val="0"/>
              <w:divBdr>
                <w:top w:val="none" w:sz="0" w:space="0" w:color="auto"/>
                <w:left w:val="none" w:sz="0" w:space="0" w:color="auto"/>
                <w:bottom w:val="none" w:sz="0" w:space="0" w:color="auto"/>
                <w:right w:val="none" w:sz="0" w:space="0" w:color="auto"/>
              </w:divBdr>
            </w:div>
          </w:divsChild>
        </w:div>
        <w:div w:id="2115977054">
          <w:marLeft w:val="0"/>
          <w:marRight w:val="0"/>
          <w:marTop w:val="0"/>
          <w:marBottom w:val="0"/>
          <w:divBdr>
            <w:top w:val="none" w:sz="0" w:space="0" w:color="auto"/>
            <w:left w:val="none" w:sz="0" w:space="0" w:color="auto"/>
            <w:bottom w:val="none" w:sz="0" w:space="0" w:color="auto"/>
            <w:right w:val="none" w:sz="0" w:space="0" w:color="auto"/>
          </w:divBdr>
          <w:divsChild>
            <w:div w:id="1653170052">
              <w:marLeft w:val="0"/>
              <w:marRight w:val="0"/>
              <w:marTop w:val="0"/>
              <w:marBottom w:val="0"/>
              <w:divBdr>
                <w:top w:val="none" w:sz="0" w:space="0" w:color="auto"/>
                <w:left w:val="none" w:sz="0" w:space="0" w:color="auto"/>
                <w:bottom w:val="none" w:sz="0" w:space="0" w:color="auto"/>
                <w:right w:val="none" w:sz="0" w:space="0" w:color="auto"/>
              </w:divBdr>
            </w:div>
          </w:divsChild>
        </w:div>
        <w:div w:id="2119446559">
          <w:marLeft w:val="0"/>
          <w:marRight w:val="0"/>
          <w:marTop w:val="0"/>
          <w:marBottom w:val="0"/>
          <w:divBdr>
            <w:top w:val="none" w:sz="0" w:space="0" w:color="auto"/>
            <w:left w:val="none" w:sz="0" w:space="0" w:color="auto"/>
            <w:bottom w:val="none" w:sz="0" w:space="0" w:color="auto"/>
            <w:right w:val="none" w:sz="0" w:space="0" w:color="auto"/>
          </w:divBdr>
          <w:divsChild>
            <w:div w:id="233509632">
              <w:marLeft w:val="0"/>
              <w:marRight w:val="0"/>
              <w:marTop w:val="0"/>
              <w:marBottom w:val="0"/>
              <w:divBdr>
                <w:top w:val="none" w:sz="0" w:space="0" w:color="auto"/>
                <w:left w:val="none" w:sz="0" w:space="0" w:color="auto"/>
                <w:bottom w:val="none" w:sz="0" w:space="0" w:color="auto"/>
                <w:right w:val="none" w:sz="0" w:space="0" w:color="auto"/>
              </w:divBdr>
            </w:div>
          </w:divsChild>
        </w:div>
        <w:div w:id="2121994862">
          <w:marLeft w:val="0"/>
          <w:marRight w:val="0"/>
          <w:marTop w:val="0"/>
          <w:marBottom w:val="0"/>
          <w:divBdr>
            <w:top w:val="none" w:sz="0" w:space="0" w:color="auto"/>
            <w:left w:val="none" w:sz="0" w:space="0" w:color="auto"/>
            <w:bottom w:val="none" w:sz="0" w:space="0" w:color="auto"/>
            <w:right w:val="none" w:sz="0" w:space="0" w:color="auto"/>
          </w:divBdr>
          <w:divsChild>
            <w:div w:id="407656988">
              <w:marLeft w:val="0"/>
              <w:marRight w:val="0"/>
              <w:marTop w:val="0"/>
              <w:marBottom w:val="0"/>
              <w:divBdr>
                <w:top w:val="none" w:sz="0" w:space="0" w:color="auto"/>
                <w:left w:val="none" w:sz="0" w:space="0" w:color="auto"/>
                <w:bottom w:val="none" w:sz="0" w:space="0" w:color="auto"/>
                <w:right w:val="none" w:sz="0" w:space="0" w:color="auto"/>
              </w:divBdr>
            </w:div>
          </w:divsChild>
        </w:div>
        <w:div w:id="2127236426">
          <w:marLeft w:val="0"/>
          <w:marRight w:val="0"/>
          <w:marTop w:val="0"/>
          <w:marBottom w:val="0"/>
          <w:divBdr>
            <w:top w:val="none" w:sz="0" w:space="0" w:color="auto"/>
            <w:left w:val="none" w:sz="0" w:space="0" w:color="auto"/>
            <w:bottom w:val="none" w:sz="0" w:space="0" w:color="auto"/>
            <w:right w:val="none" w:sz="0" w:space="0" w:color="auto"/>
          </w:divBdr>
          <w:divsChild>
            <w:div w:id="1988435319">
              <w:marLeft w:val="0"/>
              <w:marRight w:val="0"/>
              <w:marTop w:val="0"/>
              <w:marBottom w:val="0"/>
              <w:divBdr>
                <w:top w:val="none" w:sz="0" w:space="0" w:color="auto"/>
                <w:left w:val="none" w:sz="0" w:space="0" w:color="auto"/>
                <w:bottom w:val="none" w:sz="0" w:space="0" w:color="auto"/>
                <w:right w:val="none" w:sz="0" w:space="0" w:color="auto"/>
              </w:divBdr>
            </w:div>
          </w:divsChild>
        </w:div>
        <w:div w:id="2128156423">
          <w:marLeft w:val="0"/>
          <w:marRight w:val="0"/>
          <w:marTop w:val="0"/>
          <w:marBottom w:val="0"/>
          <w:divBdr>
            <w:top w:val="none" w:sz="0" w:space="0" w:color="auto"/>
            <w:left w:val="none" w:sz="0" w:space="0" w:color="auto"/>
            <w:bottom w:val="none" w:sz="0" w:space="0" w:color="auto"/>
            <w:right w:val="none" w:sz="0" w:space="0" w:color="auto"/>
          </w:divBdr>
          <w:divsChild>
            <w:div w:id="19207553">
              <w:marLeft w:val="0"/>
              <w:marRight w:val="0"/>
              <w:marTop w:val="0"/>
              <w:marBottom w:val="0"/>
              <w:divBdr>
                <w:top w:val="none" w:sz="0" w:space="0" w:color="auto"/>
                <w:left w:val="none" w:sz="0" w:space="0" w:color="auto"/>
                <w:bottom w:val="none" w:sz="0" w:space="0" w:color="auto"/>
                <w:right w:val="none" w:sz="0" w:space="0" w:color="auto"/>
              </w:divBdr>
            </w:div>
          </w:divsChild>
        </w:div>
        <w:div w:id="2128349444">
          <w:marLeft w:val="0"/>
          <w:marRight w:val="0"/>
          <w:marTop w:val="0"/>
          <w:marBottom w:val="0"/>
          <w:divBdr>
            <w:top w:val="none" w:sz="0" w:space="0" w:color="auto"/>
            <w:left w:val="none" w:sz="0" w:space="0" w:color="auto"/>
            <w:bottom w:val="none" w:sz="0" w:space="0" w:color="auto"/>
            <w:right w:val="none" w:sz="0" w:space="0" w:color="auto"/>
          </w:divBdr>
          <w:divsChild>
            <w:div w:id="1481574567">
              <w:marLeft w:val="0"/>
              <w:marRight w:val="0"/>
              <w:marTop w:val="0"/>
              <w:marBottom w:val="0"/>
              <w:divBdr>
                <w:top w:val="none" w:sz="0" w:space="0" w:color="auto"/>
                <w:left w:val="none" w:sz="0" w:space="0" w:color="auto"/>
                <w:bottom w:val="none" w:sz="0" w:space="0" w:color="auto"/>
                <w:right w:val="none" w:sz="0" w:space="0" w:color="auto"/>
              </w:divBdr>
            </w:div>
          </w:divsChild>
        </w:div>
        <w:div w:id="2129157676">
          <w:marLeft w:val="0"/>
          <w:marRight w:val="0"/>
          <w:marTop w:val="0"/>
          <w:marBottom w:val="0"/>
          <w:divBdr>
            <w:top w:val="none" w:sz="0" w:space="0" w:color="auto"/>
            <w:left w:val="none" w:sz="0" w:space="0" w:color="auto"/>
            <w:bottom w:val="none" w:sz="0" w:space="0" w:color="auto"/>
            <w:right w:val="none" w:sz="0" w:space="0" w:color="auto"/>
          </w:divBdr>
          <w:divsChild>
            <w:div w:id="976376107">
              <w:marLeft w:val="0"/>
              <w:marRight w:val="0"/>
              <w:marTop w:val="0"/>
              <w:marBottom w:val="0"/>
              <w:divBdr>
                <w:top w:val="none" w:sz="0" w:space="0" w:color="auto"/>
                <w:left w:val="none" w:sz="0" w:space="0" w:color="auto"/>
                <w:bottom w:val="none" w:sz="0" w:space="0" w:color="auto"/>
                <w:right w:val="none" w:sz="0" w:space="0" w:color="auto"/>
              </w:divBdr>
            </w:div>
          </w:divsChild>
        </w:div>
        <w:div w:id="2130274310">
          <w:marLeft w:val="0"/>
          <w:marRight w:val="0"/>
          <w:marTop w:val="0"/>
          <w:marBottom w:val="0"/>
          <w:divBdr>
            <w:top w:val="none" w:sz="0" w:space="0" w:color="auto"/>
            <w:left w:val="none" w:sz="0" w:space="0" w:color="auto"/>
            <w:bottom w:val="none" w:sz="0" w:space="0" w:color="auto"/>
            <w:right w:val="none" w:sz="0" w:space="0" w:color="auto"/>
          </w:divBdr>
          <w:divsChild>
            <w:div w:id="1742487960">
              <w:marLeft w:val="0"/>
              <w:marRight w:val="0"/>
              <w:marTop w:val="0"/>
              <w:marBottom w:val="0"/>
              <w:divBdr>
                <w:top w:val="none" w:sz="0" w:space="0" w:color="auto"/>
                <w:left w:val="none" w:sz="0" w:space="0" w:color="auto"/>
                <w:bottom w:val="none" w:sz="0" w:space="0" w:color="auto"/>
                <w:right w:val="none" w:sz="0" w:space="0" w:color="auto"/>
              </w:divBdr>
            </w:div>
          </w:divsChild>
        </w:div>
        <w:div w:id="2130850830">
          <w:marLeft w:val="0"/>
          <w:marRight w:val="0"/>
          <w:marTop w:val="0"/>
          <w:marBottom w:val="0"/>
          <w:divBdr>
            <w:top w:val="none" w:sz="0" w:space="0" w:color="auto"/>
            <w:left w:val="none" w:sz="0" w:space="0" w:color="auto"/>
            <w:bottom w:val="none" w:sz="0" w:space="0" w:color="auto"/>
            <w:right w:val="none" w:sz="0" w:space="0" w:color="auto"/>
          </w:divBdr>
          <w:divsChild>
            <w:div w:id="992219284">
              <w:marLeft w:val="0"/>
              <w:marRight w:val="0"/>
              <w:marTop w:val="0"/>
              <w:marBottom w:val="0"/>
              <w:divBdr>
                <w:top w:val="none" w:sz="0" w:space="0" w:color="auto"/>
                <w:left w:val="none" w:sz="0" w:space="0" w:color="auto"/>
                <w:bottom w:val="none" w:sz="0" w:space="0" w:color="auto"/>
                <w:right w:val="none" w:sz="0" w:space="0" w:color="auto"/>
              </w:divBdr>
            </w:div>
          </w:divsChild>
        </w:div>
        <w:div w:id="2131587894">
          <w:marLeft w:val="0"/>
          <w:marRight w:val="0"/>
          <w:marTop w:val="0"/>
          <w:marBottom w:val="0"/>
          <w:divBdr>
            <w:top w:val="none" w:sz="0" w:space="0" w:color="auto"/>
            <w:left w:val="none" w:sz="0" w:space="0" w:color="auto"/>
            <w:bottom w:val="none" w:sz="0" w:space="0" w:color="auto"/>
            <w:right w:val="none" w:sz="0" w:space="0" w:color="auto"/>
          </w:divBdr>
          <w:divsChild>
            <w:div w:id="590315265">
              <w:marLeft w:val="0"/>
              <w:marRight w:val="0"/>
              <w:marTop w:val="0"/>
              <w:marBottom w:val="0"/>
              <w:divBdr>
                <w:top w:val="none" w:sz="0" w:space="0" w:color="auto"/>
                <w:left w:val="none" w:sz="0" w:space="0" w:color="auto"/>
                <w:bottom w:val="none" w:sz="0" w:space="0" w:color="auto"/>
                <w:right w:val="none" w:sz="0" w:space="0" w:color="auto"/>
              </w:divBdr>
            </w:div>
          </w:divsChild>
        </w:div>
        <w:div w:id="2133594128">
          <w:marLeft w:val="0"/>
          <w:marRight w:val="0"/>
          <w:marTop w:val="0"/>
          <w:marBottom w:val="0"/>
          <w:divBdr>
            <w:top w:val="none" w:sz="0" w:space="0" w:color="auto"/>
            <w:left w:val="none" w:sz="0" w:space="0" w:color="auto"/>
            <w:bottom w:val="none" w:sz="0" w:space="0" w:color="auto"/>
            <w:right w:val="none" w:sz="0" w:space="0" w:color="auto"/>
          </w:divBdr>
          <w:divsChild>
            <w:div w:id="1086999867">
              <w:marLeft w:val="0"/>
              <w:marRight w:val="0"/>
              <w:marTop w:val="0"/>
              <w:marBottom w:val="0"/>
              <w:divBdr>
                <w:top w:val="none" w:sz="0" w:space="0" w:color="auto"/>
                <w:left w:val="none" w:sz="0" w:space="0" w:color="auto"/>
                <w:bottom w:val="none" w:sz="0" w:space="0" w:color="auto"/>
                <w:right w:val="none" w:sz="0" w:space="0" w:color="auto"/>
              </w:divBdr>
            </w:div>
          </w:divsChild>
        </w:div>
        <w:div w:id="2134325041">
          <w:marLeft w:val="0"/>
          <w:marRight w:val="0"/>
          <w:marTop w:val="0"/>
          <w:marBottom w:val="0"/>
          <w:divBdr>
            <w:top w:val="none" w:sz="0" w:space="0" w:color="auto"/>
            <w:left w:val="none" w:sz="0" w:space="0" w:color="auto"/>
            <w:bottom w:val="none" w:sz="0" w:space="0" w:color="auto"/>
            <w:right w:val="none" w:sz="0" w:space="0" w:color="auto"/>
          </w:divBdr>
          <w:divsChild>
            <w:div w:id="1614946693">
              <w:marLeft w:val="0"/>
              <w:marRight w:val="0"/>
              <w:marTop w:val="0"/>
              <w:marBottom w:val="0"/>
              <w:divBdr>
                <w:top w:val="none" w:sz="0" w:space="0" w:color="auto"/>
                <w:left w:val="none" w:sz="0" w:space="0" w:color="auto"/>
                <w:bottom w:val="none" w:sz="0" w:space="0" w:color="auto"/>
                <w:right w:val="none" w:sz="0" w:space="0" w:color="auto"/>
              </w:divBdr>
            </w:div>
          </w:divsChild>
        </w:div>
        <w:div w:id="2134788948">
          <w:marLeft w:val="0"/>
          <w:marRight w:val="0"/>
          <w:marTop w:val="0"/>
          <w:marBottom w:val="0"/>
          <w:divBdr>
            <w:top w:val="none" w:sz="0" w:space="0" w:color="auto"/>
            <w:left w:val="none" w:sz="0" w:space="0" w:color="auto"/>
            <w:bottom w:val="none" w:sz="0" w:space="0" w:color="auto"/>
            <w:right w:val="none" w:sz="0" w:space="0" w:color="auto"/>
          </w:divBdr>
          <w:divsChild>
            <w:div w:id="1145780938">
              <w:marLeft w:val="0"/>
              <w:marRight w:val="0"/>
              <w:marTop w:val="0"/>
              <w:marBottom w:val="0"/>
              <w:divBdr>
                <w:top w:val="none" w:sz="0" w:space="0" w:color="auto"/>
                <w:left w:val="none" w:sz="0" w:space="0" w:color="auto"/>
                <w:bottom w:val="none" w:sz="0" w:space="0" w:color="auto"/>
                <w:right w:val="none" w:sz="0" w:space="0" w:color="auto"/>
              </w:divBdr>
            </w:div>
          </w:divsChild>
        </w:div>
        <w:div w:id="2135756578">
          <w:marLeft w:val="0"/>
          <w:marRight w:val="0"/>
          <w:marTop w:val="0"/>
          <w:marBottom w:val="0"/>
          <w:divBdr>
            <w:top w:val="none" w:sz="0" w:space="0" w:color="auto"/>
            <w:left w:val="none" w:sz="0" w:space="0" w:color="auto"/>
            <w:bottom w:val="none" w:sz="0" w:space="0" w:color="auto"/>
            <w:right w:val="none" w:sz="0" w:space="0" w:color="auto"/>
          </w:divBdr>
          <w:divsChild>
            <w:div w:id="1193609450">
              <w:marLeft w:val="0"/>
              <w:marRight w:val="0"/>
              <w:marTop w:val="0"/>
              <w:marBottom w:val="0"/>
              <w:divBdr>
                <w:top w:val="none" w:sz="0" w:space="0" w:color="auto"/>
                <w:left w:val="none" w:sz="0" w:space="0" w:color="auto"/>
                <w:bottom w:val="none" w:sz="0" w:space="0" w:color="auto"/>
                <w:right w:val="none" w:sz="0" w:space="0" w:color="auto"/>
              </w:divBdr>
            </w:div>
          </w:divsChild>
        </w:div>
        <w:div w:id="2137987147">
          <w:marLeft w:val="0"/>
          <w:marRight w:val="0"/>
          <w:marTop w:val="0"/>
          <w:marBottom w:val="0"/>
          <w:divBdr>
            <w:top w:val="none" w:sz="0" w:space="0" w:color="auto"/>
            <w:left w:val="none" w:sz="0" w:space="0" w:color="auto"/>
            <w:bottom w:val="none" w:sz="0" w:space="0" w:color="auto"/>
            <w:right w:val="none" w:sz="0" w:space="0" w:color="auto"/>
          </w:divBdr>
          <w:divsChild>
            <w:div w:id="1803380009">
              <w:marLeft w:val="0"/>
              <w:marRight w:val="0"/>
              <w:marTop w:val="0"/>
              <w:marBottom w:val="0"/>
              <w:divBdr>
                <w:top w:val="none" w:sz="0" w:space="0" w:color="auto"/>
                <w:left w:val="none" w:sz="0" w:space="0" w:color="auto"/>
                <w:bottom w:val="none" w:sz="0" w:space="0" w:color="auto"/>
                <w:right w:val="none" w:sz="0" w:space="0" w:color="auto"/>
              </w:divBdr>
            </w:div>
          </w:divsChild>
        </w:div>
        <w:div w:id="2140681907">
          <w:marLeft w:val="0"/>
          <w:marRight w:val="0"/>
          <w:marTop w:val="0"/>
          <w:marBottom w:val="0"/>
          <w:divBdr>
            <w:top w:val="none" w:sz="0" w:space="0" w:color="auto"/>
            <w:left w:val="none" w:sz="0" w:space="0" w:color="auto"/>
            <w:bottom w:val="none" w:sz="0" w:space="0" w:color="auto"/>
            <w:right w:val="none" w:sz="0" w:space="0" w:color="auto"/>
          </w:divBdr>
          <w:divsChild>
            <w:div w:id="986124669">
              <w:marLeft w:val="0"/>
              <w:marRight w:val="0"/>
              <w:marTop w:val="0"/>
              <w:marBottom w:val="0"/>
              <w:divBdr>
                <w:top w:val="none" w:sz="0" w:space="0" w:color="auto"/>
                <w:left w:val="none" w:sz="0" w:space="0" w:color="auto"/>
                <w:bottom w:val="none" w:sz="0" w:space="0" w:color="auto"/>
                <w:right w:val="none" w:sz="0" w:space="0" w:color="auto"/>
              </w:divBdr>
            </w:div>
          </w:divsChild>
        </w:div>
        <w:div w:id="2143187573">
          <w:marLeft w:val="0"/>
          <w:marRight w:val="0"/>
          <w:marTop w:val="0"/>
          <w:marBottom w:val="0"/>
          <w:divBdr>
            <w:top w:val="none" w:sz="0" w:space="0" w:color="auto"/>
            <w:left w:val="none" w:sz="0" w:space="0" w:color="auto"/>
            <w:bottom w:val="none" w:sz="0" w:space="0" w:color="auto"/>
            <w:right w:val="none" w:sz="0" w:space="0" w:color="auto"/>
          </w:divBdr>
          <w:divsChild>
            <w:div w:id="436951330">
              <w:marLeft w:val="0"/>
              <w:marRight w:val="0"/>
              <w:marTop w:val="0"/>
              <w:marBottom w:val="0"/>
              <w:divBdr>
                <w:top w:val="none" w:sz="0" w:space="0" w:color="auto"/>
                <w:left w:val="none" w:sz="0" w:space="0" w:color="auto"/>
                <w:bottom w:val="none" w:sz="0" w:space="0" w:color="auto"/>
                <w:right w:val="none" w:sz="0" w:space="0" w:color="auto"/>
              </w:divBdr>
            </w:div>
          </w:divsChild>
        </w:div>
        <w:div w:id="2146577240">
          <w:marLeft w:val="0"/>
          <w:marRight w:val="0"/>
          <w:marTop w:val="0"/>
          <w:marBottom w:val="0"/>
          <w:divBdr>
            <w:top w:val="none" w:sz="0" w:space="0" w:color="auto"/>
            <w:left w:val="none" w:sz="0" w:space="0" w:color="auto"/>
            <w:bottom w:val="none" w:sz="0" w:space="0" w:color="auto"/>
            <w:right w:val="none" w:sz="0" w:space="0" w:color="auto"/>
          </w:divBdr>
          <w:divsChild>
            <w:div w:id="42134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4932">
      <w:bodyDiv w:val="1"/>
      <w:marLeft w:val="0"/>
      <w:marRight w:val="0"/>
      <w:marTop w:val="0"/>
      <w:marBottom w:val="0"/>
      <w:divBdr>
        <w:top w:val="none" w:sz="0" w:space="0" w:color="auto"/>
        <w:left w:val="none" w:sz="0" w:space="0" w:color="auto"/>
        <w:bottom w:val="none" w:sz="0" w:space="0" w:color="auto"/>
        <w:right w:val="none" w:sz="0" w:space="0" w:color="auto"/>
      </w:divBdr>
    </w:div>
    <w:div w:id="1718971990">
      <w:bodyDiv w:val="1"/>
      <w:marLeft w:val="0"/>
      <w:marRight w:val="0"/>
      <w:marTop w:val="0"/>
      <w:marBottom w:val="0"/>
      <w:divBdr>
        <w:top w:val="none" w:sz="0" w:space="0" w:color="auto"/>
        <w:left w:val="none" w:sz="0" w:space="0" w:color="auto"/>
        <w:bottom w:val="none" w:sz="0" w:space="0" w:color="auto"/>
        <w:right w:val="none" w:sz="0" w:space="0" w:color="auto"/>
      </w:divBdr>
    </w:div>
    <w:div w:id="1753161906">
      <w:bodyDiv w:val="1"/>
      <w:marLeft w:val="0"/>
      <w:marRight w:val="0"/>
      <w:marTop w:val="0"/>
      <w:marBottom w:val="0"/>
      <w:divBdr>
        <w:top w:val="none" w:sz="0" w:space="0" w:color="auto"/>
        <w:left w:val="none" w:sz="0" w:space="0" w:color="auto"/>
        <w:bottom w:val="none" w:sz="0" w:space="0" w:color="auto"/>
        <w:right w:val="none" w:sz="0" w:space="0" w:color="auto"/>
      </w:divBdr>
      <w:divsChild>
        <w:div w:id="203710619">
          <w:marLeft w:val="0"/>
          <w:marRight w:val="0"/>
          <w:marTop w:val="0"/>
          <w:marBottom w:val="0"/>
          <w:divBdr>
            <w:top w:val="none" w:sz="0" w:space="0" w:color="auto"/>
            <w:left w:val="none" w:sz="0" w:space="0" w:color="auto"/>
            <w:bottom w:val="none" w:sz="0" w:space="0" w:color="auto"/>
            <w:right w:val="none" w:sz="0" w:space="0" w:color="auto"/>
          </w:divBdr>
          <w:divsChild>
            <w:div w:id="1190028962">
              <w:marLeft w:val="0"/>
              <w:marRight w:val="0"/>
              <w:marTop w:val="0"/>
              <w:marBottom w:val="0"/>
              <w:divBdr>
                <w:top w:val="none" w:sz="0" w:space="0" w:color="auto"/>
                <w:left w:val="none" w:sz="0" w:space="0" w:color="auto"/>
                <w:bottom w:val="none" w:sz="0" w:space="0" w:color="auto"/>
                <w:right w:val="none" w:sz="0" w:space="0" w:color="auto"/>
              </w:divBdr>
            </w:div>
          </w:divsChild>
        </w:div>
        <w:div w:id="404037890">
          <w:marLeft w:val="0"/>
          <w:marRight w:val="0"/>
          <w:marTop w:val="0"/>
          <w:marBottom w:val="0"/>
          <w:divBdr>
            <w:top w:val="none" w:sz="0" w:space="0" w:color="auto"/>
            <w:left w:val="none" w:sz="0" w:space="0" w:color="auto"/>
            <w:bottom w:val="none" w:sz="0" w:space="0" w:color="auto"/>
            <w:right w:val="none" w:sz="0" w:space="0" w:color="auto"/>
          </w:divBdr>
          <w:divsChild>
            <w:div w:id="101831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6681">
      <w:bodyDiv w:val="1"/>
      <w:marLeft w:val="0"/>
      <w:marRight w:val="0"/>
      <w:marTop w:val="0"/>
      <w:marBottom w:val="0"/>
      <w:divBdr>
        <w:top w:val="none" w:sz="0" w:space="0" w:color="auto"/>
        <w:left w:val="none" w:sz="0" w:space="0" w:color="auto"/>
        <w:bottom w:val="none" w:sz="0" w:space="0" w:color="auto"/>
        <w:right w:val="none" w:sz="0" w:space="0" w:color="auto"/>
      </w:divBdr>
      <w:divsChild>
        <w:div w:id="259804041">
          <w:marLeft w:val="0"/>
          <w:marRight w:val="0"/>
          <w:marTop w:val="0"/>
          <w:marBottom w:val="0"/>
          <w:divBdr>
            <w:top w:val="none" w:sz="0" w:space="0" w:color="auto"/>
            <w:left w:val="none" w:sz="0" w:space="0" w:color="auto"/>
            <w:bottom w:val="none" w:sz="0" w:space="0" w:color="auto"/>
            <w:right w:val="none" w:sz="0" w:space="0" w:color="auto"/>
          </w:divBdr>
          <w:divsChild>
            <w:div w:id="313416669">
              <w:marLeft w:val="0"/>
              <w:marRight w:val="0"/>
              <w:marTop w:val="0"/>
              <w:marBottom w:val="0"/>
              <w:divBdr>
                <w:top w:val="none" w:sz="0" w:space="0" w:color="auto"/>
                <w:left w:val="none" w:sz="0" w:space="0" w:color="auto"/>
                <w:bottom w:val="none" w:sz="0" w:space="0" w:color="auto"/>
                <w:right w:val="none" w:sz="0" w:space="0" w:color="auto"/>
              </w:divBdr>
            </w:div>
            <w:div w:id="606355255">
              <w:marLeft w:val="0"/>
              <w:marRight w:val="0"/>
              <w:marTop w:val="0"/>
              <w:marBottom w:val="0"/>
              <w:divBdr>
                <w:top w:val="none" w:sz="0" w:space="0" w:color="auto"/>
                <w:left w:val="none" w:sz="0" w:space="0" w:color="auto"/>
                <w:bottom w:val="none" w:sz="0" w:space="0" w:color="auto"/>
                <w:right w:val="none" w:sz="0" w:space="0" w:color="auto"/>
              </w:divBdr>
              <w:divsChild>
                <w:div w:id="1595362230">
                  <w:marLeft w:val="0"/>
                  <w:marRight w:val="0"/>
                  <w:marTop w:val="0"/>
                  <w:marBottom w:val="0"/>
                  <w:divBdr>
                    <w:top w:val="none" w:sz="0" w:space="0" w:color="auto"/>
                    <w:left w:val="none" w:sz="0" w:space="0" w:color="auto"/>
                    <w:bottom w:val="none" w:sz="0" w:space="0" w:color="auto"/>
                    <w:right w:val="none" w:sz="0" w:space="0" w:color="auto"/>
                  </w:divBdr>
                  <w:divsChild>
                    <w:div w:id="93022102">
                      <w:marLeft w:val="0"/>
                      <w:marRight w:val="0"/>
                      <w:marTop w:val="0"/>
                      <w:marBottom w:val="0"/>
                      <w:divBdr>
                        <w:top w:val="none" w:sz="0" w:space="0" w:color="auto"/>
                        <w:left w:val="none" w:sz="0" w:space="0" w:color="auto"/>
                        <w:bottom w:val="none" w:sz="0" w:space="0" w:color="auto"/>
                        <w:right w:val="none" w:sz="0" w:space="0" w:color="auto"/>
                      </w:divBdr>
                      <w:divsChild>
                        <w:div w:id="1226643361">
                          <w:marLeft w:val="0"/>
                          <w:marRight w:val="0"/>
                          <w:marTop w:val="0"/>
                          <w:marBottom w:val="0"/>
                          <w:divBdr>
                            <w:top w:val="none" w:sz="0" w:space="0" w:color="auto"/>
                            <w:left w:val="none" w:sz="0" w:space="0" w:color="auto"/>
                            <w:bottom w:val="none" w:sz="0" w:space="0" w:color="auto"/>
                            <w:right w:val="none" w:sz="0" w:space="0" w:color="auto"/>
                          </w:divBdr>
                        </w:div>
                      </w:divsChild>
                    </w:div>
                    <w:div w:id="106853806">
                      <w:marLeft w:val="0"/>
                      <w:marRight w:val="0"/>
                      <w:marTop w:val="0"/>
                      <w:marBottom w:val="0"/>
                      <w:divBdr>
                        <w:top w:val="none" w:sz="0" w:space="0" w:color="auto"/>
                        <w:left w:val="none" w:sz="0" w:space="0" w:color="auto"/>
                        <w:bottom w:val="none" w:sz="0" w:space="0" w:color="auto"/>
                        <w:right w:val="none" w:sz="0" w:space="0" w:color="auto"/>
                      </w:divBdr>
                      <w:divsChild>
                        <w:div w:id="1512405334">
                          <w:marLeft w:val="0"/>
                          <w:marRight w:val="0"/>
                          <w:marTop w:val="0"/>
                          <w:marBottom w:val="0"/>
                          <w:divBdr>
                            <w:top w:val="none" w:sz="0" w:space="0" w:color="auto"/>
                            <w:left w:val="none" w:sz="0" w:space="0" w:color="auto"/>
                            <w:bottom w:val="none" w:sz="0" w:space="0" w:color="auto"/>
                            <w:right w:val="none" w:sz="0" w:space="0" w:color="auto"/>
                          </w:divBdr>
                        </w:div>
                      </w:divsChild>
                    </w:div>
                    <w:div w:id="213320351">
                      <w:marLeft w:val="0"/>
                      <w:marRight w:val="0"/>
                      <w:marTop w:val="0"/>
                      <w:marBottom w:val="0"/>
                      <w:divBdr>
                        <w:top w:val="none" w:sz="0" w:space="0" w:color="auto"/>
                        <w:left w:val="none" w:sz="0" w:space="0" w:color="auto"/>
                        <w:bottom w:val="none" w:sz="0" w:space="0" w:color="auto"/>
                        <w:right w:val="none" w:sz="0" w:space="0" w:color="auto"/>
                      </w:divBdr>
                      <w:divsChild>
                        <w:div w:id="1651328555">
                          <w:marLeft w:val="0"/>
                          <w:marRight w:val="0"/>
                          <w:marTop w:val="0"/>
                          <w:marBottom w:val="0"/>
                          <w:divBdr>
                            <w:top w:val="none" w:sz="0" w:space="0" w:color="auto"/>
                            <w:left w:val="none" w:sz="0" w:space="0" w:color="auto"/>
                            <w:bottom w:val="none" w:sz="0" w:space="0" w:color="auto"/>
                            <w:right w:val="none" w:sz="0" w:space="0" w:color="auto"/>
                          </w:divBdr>
                        </w:div>
                      </w:divsChild>
                    </w:div>
                    <w:div w:id="388845068">
                      <w:marLeft w:val="0"/>
                      <w:marRight w:val="0"/>
                      <w:marTop w:val="0"/>
                      <w:marBottom w:val="0"/>
                      <w:divBdr>
                        <w:top w:val="none" w:sz="0" w:space="0" w:color="auto"/>
                        <w:left w:val="none" w:sz="0" w:space="0" w:color="auto"/>
                        <w:bottom w:val="none" w:sz="0" w:space="0" w:color="auto"/>
                        <w:right w:val="none" w:sz="0" w:space="0" w:color="auto"/>
                      </w:divBdr>
                      <w:divsChild>
                        <w:div w:id="1270357018">
                          <w:marLeft w:val="0"/>
                          <w:marRight w:val="0"/>
                          <w:marTop w:val="0"/>
                          <w:marBottom w:val="0"/>
                          <w:divBdr>
                            <w:top w:val="none" w:sz="0" w:space="0" w:color="auto"/>
                            <w:left w:val="none" w:sz="0" w:space="0" w:color="auto"/>
                            <w:bottom w:val="none" w:sz="0" w:space="0" w:color="auto"/>
                            <w:right w:val="none" w:sz="0" w:space="0" w:color="auto"/>
                          </w:divBdr>
                        </w:div>
                      </w:divsChild>
                    </w:div>
                    <w:div w:id="453445938">
                      <w:marLeft w:val="0"/>
                      <w:marRight w:val="0"/>
                      <w:marTop w:val="0"/>
                      <w:marBottom w:val="0"/>
                      <w:divBdr>
                        <w:top w:val="none" w:sz="0" w:space="0" w:color="auto"/>
                        <w:left w:val="none" w:sz="0" w:space="0" w:color="auto"/>
                        <w:bottom w:val="none" w:sz="0" w:space="0" w:color="auto"/>
                        <w:right w:val="none" w:sz="0" w:space="0" w:color="auto"/>
                      </w:divBdr>
                      <w:divsChild>
                        <w:div w:id="1429035358">
                          <w:marLeft w:val="0"/>
                          <w:marRight w:val="0"/>
                          <w:marTop w:val="0"/>
                          <w:marBottom w:val="0"/>
                          <w:divBdr>
                            <w:top w:val="none" w:sz="0" w:space="0" w:color="auto"/>
                            <w:left w:val="none" w:sz="0" w:space="0" w:color="auto"/>
                            <w:bottom w:val="none" w:sz="0" w:space="0" w:color="auto"/>
                            <w:right w:val="none" w:sz="0" w:space="0" w:color="auto"/>
                          </w:divBdr>
                        </w:div>
                      </w:divsChild>
                    </w:div>
                    <w:div w:id="459566810">
                      <w:marLeft w:val="0"/>
                      <w:marRight w:val="0"/>
                      <w:marTop w:val="0"/>
                      <w:marBottom w:val="0"/>
                      <w:divBdr>
                        <w:top w:val="none" w:sz="0" w:space="0" w:color="auto"/>
                        <w:left w:val="none" w:sz="0" w:space="0" w:color="auto"/>
                        <w:bottom w:val="none" w:sz="0" w:space="0" w:color="auto"/>
                        <w:right w:val="none" w:sz="0" w:space="0" w:color="auto"/>
                      </w:divBdr>
                      <w:divsChild>
                        <w:div w:id="1101754637">
                          <w:marLeft w:val="0"/>
                          <w:marRight w:val="0"/>
                          <w:marTop w:val="0"/>
                          <w:marBottom w:val="0"/>
                          <w:divBdr>
                            <w:top w:val="none" w:sz="0" w:space="0" w:color="auto"/>
                            <w:left w:val="none" w:sz="0" w:space="0" w:color="auto"/>
                            <w:bottom w:val="none" w:sz="0" w:space="0" w:color="auto"/>
                            <w:right w:val="none" w:sz="0" w:space="0" w:color="auto"/>
                          </w:divBdr>
                        </w:div>
                      </w:divsChild>
                    </w:div>
                    <w:div w:id="750204686">
                      <w:marLeft w:val="0"/>
                      <w:marRight w:val="0"/>
                      <w:marTop w:val="0"/>
                      <w:marBottom w:val="0"/>
                      <w:divBdr>
                        <w:top w:val="none" w:sz="0" w:space="0" w:color="auto"/>
                        <w:left w:val="none" w:sz="0" w:space="0" w:color="auto"/>
                        <w:bottom w:val="none" w:sz="0" w:space="0" w:color="auto"/>
                        <w:right w:val="none" w:sz="0" w:space="0" w:color="auto"/>
                      </w:divBdr>
                      <w:divsChild>
                        <w:div w:id="1877309900">
                          <w:marLeft w:val="0"/>
                          <w:marRight w:val="0"/>
                          <w:marTop w:val="0"/>
                          <w:marBottom w:val="0"/>
                          <w:divBdr>
                            <w:top w:val="none" w:sz="0" w:space="0" w:color="auto"/>
                            <w:left w:val="none" w:sz="0" w:space="0" w:color="auto"/>
                            <w:bottom w:val="none" w:sz="0" w:space="0" w:color="auto"/>
                            <w:right w:val="none" w:sz="0" w:space="0" w:color="auto"/>
                          </w:divBdr>
                        </w:div>
                      </w:divsChild>
                    </w:div>
                    <w:div w:id="857351578">
                      <w:marLeft w:val="0"/>
                      <w:marRight w:val="0"/>
                      <w:marTop w:val="0"/>
                      <w:marBottom w:val="0"/>
                      <w:divBdr>
                        <w:top w:val="none" w:sz="0" w:space="0" w:color="auto"/>
                        <w:left w:val="none" w:sz="0" w:space="0" w:color="auto"/>
                        <w:bottom w:val="none" w:sz="0" w:space="0" w:color="auto"/>
                        <w:right w:val="none" w:sz="0" w:space="0" w:color="auto"/>
                      </w:divBdr>
                      <w:divsChild>
                        <w:div w:id="247542622">
                          <w:marLeft w:val="0"/>
                          <w:marRight w:val="0"/>
                          <w:marTop w:val="0"/>
                          <w:marBottom w:val="0"/>
                          <w:divBdr>
                            <w:top w:val="none" w:sz="0" w:space="0" w:color="auto"/>
                            <w:left w:val="none" w:sz="0" w:space="0" w:color="auto"/>
                            <w:bottom w:val="none" w:sz="0" w:space="0" w:color="auto"/>
                            <w:right w:val="none" w:sz="0" w:space="0" w:color="auto"/>
                          </w:divBdr>
                        </w:div>
                      </w:divsChild>
                    </w:div>
                    <w:div w:id="941766512">
                      <w:marLeft w:val="0"/>
                      <w:marRight w:val="0"/>
                      <w:marTop w:val="0"/>
                      <w:marBottom w:val="0"/>
                      <w:divBdr>
                        <w:top w:val="none" w:sz="0" w:space="0" w:color="auto"/>
                        <w:left w:val="none" w:sz="0" w:space="0" w:color="auto"/>
                        <w:bottom w:val="none" w:sz="0" w:space="0" w:color="auto"/>
                        <w:right w:val="none" w:sz="0" w:space="0" w:color="auto"/>
                      </w:divBdr>
                      <w:divsChild>
                        <w:div w:id="327175205">
                          <w:marLeft w:val="0"/>
                          <w:marRight w:val="0"/>
                          <w:marTop w:val="0"/>
                          <w:marBottom w:val="0"/>
                          <w:divBdr>
                            <w:top w:val="none" w:sz="0" w:space="0" w:color="auto"/>
                            <w:left w:val="none" w:sz="0" w:space="0" w:color="auto"/>
                            <w:bottom w:val="none" w:sz="0" w:space="0" w:color="auto"/>
                            <w:right w:val="none" w:sz="0" w:space="0" w:color="auto"/>
                          </w:divBdr>
                        </w:div>
                      </w:divsChild>
                    </w:div>
                    <w:div w:id="1591041606">
                      <w:marLeft w:val="0"/>
                      <w:marRight w:val="0"/>
                      <w:marTop w:val="0"/>
                      <w:marBottom w:val="0"/>
                      <w:divBdr>
                        <w:top w:val="none" w:sz="0" w:space="0" w:color="auto"/>
                        <w:left w:val="none" w:sz="0" w:space="0" w:color="auto"/>
                        <w:bottom w:val="none" w:sz="0" w:space="0" w:color="auto"/>
                        <w:right w:val="none" w:sz="0" w:space="0" w:color="auto"/>
                      </w:divBdr>
                      <w:divsChild>
                        <w:div w:id="341519305">
                          <w:marLeft w:val="0"/>
                          <w:marRight w:val="0"/>
                          <w:marTop w:val="0"/>
                          <w:marBottom w:val="0"/>
                          <w:divBdr>
                            <w:top w:val="none" w:sz="0" w:space="0" w:color="auto"/>
                            <w:left w:val="none" w:sz="0" w:space="0" w:color="auto"/>
                            <w:bottom w:val="none" w:sz="0" w:space="0" w:color="auto"/>
                            <w:right w:val="none" w:sz="0" w:space="0" w:color="auto"/>
                          </w:divBdr>
                        </w:div>
                      </w:divsChild>
                    </w:div>
                    <w:div w:id="1635061042">
                      <w:marLeft w:val="0"/>
                      <w:marRight w:val="0"/>
                      <w:marTop w:val="0"/>
                      <w:marBottom w:val="0"/>
                      <w:divBdr>
                        <w:top w:val="none" w:sz="0" w:space="0" w:color="auto"/>
                        <w:left w:val="none" w:sz="0" w:space="0" w:color="auto"/>
                        <w:bottom w:val="none" w:sz="0" w:space="0" w:color="auto"/>
                        <w:right w:val="none" w:sz="0" w:space="0" w:color="auto"/>
                      </w:divBdr>
                      <w:divsChild>
                        <w:div w:id="569270862">
                          <w:marLeft w:val="0"/>
                          <w:marRight w:val="0"/>
                          <w:marTop w:val="0"/>
                          <w:marBottom w:val="0"/>
                          <w:divBdr>
                            <w:top w:val="none" w:sz="0" w:space="0" w:color="auto"/>
                            <w:left w:val="none" w:sz="0" w:space="0" w:color="auto"/>
                            <w:bottom w:val="none" w:sz="0" w:space="0" w:color="auto"/>
                            <w:right w:val="none" w:sz="0" w:space="0" w:color="auto"/>
                          </w:divBdr>
                        </w:div>
                      </w:divsChild>
                    </w:div>
                    <w:div w:id="1709601317">
                      <w:marLeft w:val="0"/>
                      <w:marRight w:val="0"/>
                      <w:marTop w:val="0"/>
                      <w:marBottom w:val="0"/>
                      <w:divBdr>
                        <w:top w:val="none" w:sz="0" w:space="0" w:color="auto"/>
                        <w:left w:val="none" w:sz="0" w:space="0" w:color="auto"/>
                        <w:bottom w:val="none" w:sz="0" w:space="0" w:color="auto"/>
                        <w:right w:val="none" w:sz="0" w:space="0" w:color="auto"/>
                      </w:divBdr>
                      <w:divsChild>
                        <w:div w:id="916399833">
                          <w:marLeft w:val="0"/>
                          <w:marRight w:val="0"/>
                          <w:marTop w:val="0"/>
                          <w:marBottom w:val="0"/>
                          <w:divBdr>
                            <w:top w:val="none" w:sz="0" w:space="0" w:color="auto"/>
                            <w:left w:val="none" w:sz="0" w:space="0" w:color="auto"/>
                            <w:bottom w:val="none" w:sz="0" w:space="0" w:color="auto"/>
                            <w:right w:val="none" w:sz="0" w:space="0" w:color="auto"/>
                          </w:divBdr>
                        </w:div>
                      </w:divsChild>
                    </w:div>
                    <w:div w:id="1950577310">
                      <w:marLeft w:val="0"/>
                      <w:marRight w:val="0"/>
                      <w:marTop w:val="0"/>
                      <w:marBottom w:val="0"/>
                      <w:divBdr>
                        <w:top w:val="none" w:sz="0" w:space="0" w:color="auto"/>
                        <w:left w:val="none" w:sz="0" w:space="0" w:color="auto"/>
                        <w:bottom w:val="none" w:sz="0" w:space="0" w:color="auto"/>
                        <w:right w:val="none" w:sz="0" w:space="0" w:color="auto"/>
                      </w:divBdr>
                      <w:divsChild>
                        <w:div w:id="1735082315">
                          <w:marLeft w:val="0"/>
                          <w:marRight w:val="0"/>
                          <w:marTop w:val="0"/>
                          <w:marBottom w:val="0"/>
                          <w:divBdr>
                            <w:top w:val="none" w:sz="0" w:space="0" w:color="auto"/>
                            <w:left w:val="none" w:sz="0" w:space="0" w:color="auto"/>
                            <w:bottom w:val="none" w:sz="0" w:space="0" w:color="auto"/>
                            <w:right w:val="none" w:sz="0" w:space="0" w:color="auto"/>
                          </w:divBdr>
                        </w:div>
                      </w:divsChild>
                    </w:div>
                    <w:div w:id="1971200879">
                      <w:marLeft w:val="0"/>
                      <w:marRight w:val="0"/>
                      <w:marTop w:val="0"/>
                      <w:marBottom w:val="0"/>
                      <w:divBdr>
                        <w:top w:val="none" w:sz="0" w:space="0" w:color="auto"/>
                        <w:left w:val="none" w:sz="0" w:space="0" w:color="auto"/>
                        <w:bottom w:val="none" w:sz="0" w:space="0" w:color="auto"/>
                        <w:right w:val="none" w:sz="0" w:space="0" w:color="auto"/>
                      </w:divBdr>
                      <w:divsChild>
                        <w:div w:id="1233850035">
                          <w:marLeft w:val="0"/>
                          <w:marRight w:val="0"/>
                          <w:marTop w:val="0"/>
                          <w:marBottom w:val="0"/>
                          <w:divBdr>
                            <w:top w:val="none" w:sz="0" w:space="0" w:color="auto"/>
                            <w:left w:val="none" w:sz="0" w:space="0" w:color="auto"/>
                            <w:bottom w:val="none" w:sz="0" w:space="0" w:color="auto"/>
                            <w:right w:val="none" w:sz="0" w:space="0" w:color="auto"/>
                          </w:divBdr>
                        </w:div>
                      </w:divsChild>
                    </w:div>
                    <w:div w:id="2042826412">
                      <w:marLeft w:val="0"/>
                      <w:marRight w:val="0"/>
                      <w:marTop w:val="0"/>
                      <w:marBottom w:val="0"/>
                      <w:divBdr>
                        <w:top w:val="none" w:sz="0" w:space="0" w:color="auto"/>
                        <w:left w:val="none" w:sz="0" w:space="0" w:color="auto"/>
                        <w:bottom w:val="none" w:sz="0" w:space="0" w:color="auto"/>
                        <w:right w:val="none" w:sz="0" w:space="0" w:color="auto"/>
                      </w:divBdr>
                      <w:divsChild>
                        <w:div w:id="1528715950">
                          <w:marLeft w:val="0"/>
                          <w:marRight w:val="0"/>
                          <w:marTop w:val="0"/>
                          <w:marBottom w:val="0"/>
                          <w:divBdr>
                            <w:top w:val="none" w:sz="0" w:space="0" w:color="auto"/>
                            <w:left w:val="none" w:sz="0" w:space="0" w:color="auto"/>
                            <w:bottom w:val="none" w:sz="0" w:space="0" w:color="auto"/>
                            <w:right w:val="none" w:sz="0" w:space="0" w:color="auto"/>
                          </w:divBdr>
                        </w:div>
                      </w:divsChild>
                    </w:div>
                    <w:div w:id="2051370549">
                      <w:marLeft w:val="0"/>
                      <w:marRight w:val="0"/>
                      <w:marTop w:val="0"/>
                      <w:marBottom w:val="0"/>
                      <w:divBdr>
                        <w:top w:val="none" w:sz="0" w:space="0" w:color="auto"/>
                        <w:left w:val="none" w:sz="0" w:space="0" w:color="auto"/>
                        <w:bottom w:val="none" w:sz="0" w:space="0" w:color="auto"/>
                        <w:right w:val="none" w:sz="0" w:space="0" w:color="auto"/>
                      </w:divBdr>
                      <w:divsChild>
                        <w:div w:id="209997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34094">
      <w:bodyDiv w:val="1"/>
      <w:marLeft w:val="0"/>
      <w:marRight w:val="0"/>
      <w:marTop w:val="0"/>
      <w:marBottom w:val="0"/>
      <w:divBdr>
        <w:top w:val="none" w:sz="0" w:space="0" w:color="auto"/>
        <w:left w:val="none" w:sz="0" w:space="0" w:color="auto"/>
        <w:bottom w:val="none" w:sz="0" w:space="0" w:color="auto"/>
        <w:right w:val="none" w:sz="0" w:space="0" w:color="auto"/>
      </w:divBdr>
    </w:div>
    <w:div w:id="1768430435">
      <w:bodyDiv w:val="1"/>
      <w:marLeft w:val="0"/>
      <w:marRight w:val="0"/>
      <w:marTop w:val="0"/>
      <w:marBottom w:val="0"/>
      <w:divBdr>
        <w:top w:val="none" w:sz="0" w:space="0" w:color="auto"/>
        <w:left w:val="none" w:sz="0" w:space="0" w:color="auto"/>
        <w:bottom w:val="none" w:sz="0" w:space="0" w:color="auto"/>
        <w:right w:val="none" w:sz="0" w:space="0" w:color="auto"/>
      </w:divBdr>
      <w:divsChild>
        <w:div w:id="394475553">
          <w:marLeft w:val="0"/>
          <w:marRight w:val="0"/>
          <w:marTop w:val="0"/>
          <w:marBottom w:val="0"/>
          <w:divBdr>
            <w:top w:val="none" w:sz="0" w:space="0" w:color="auto"/>
            <w:left w:val="none" w:sz="0" w:space="0" w:color="auto"/>
            <w:bottom w:val="none" w:sz="0" w:space="0" w:color="auto"/>
            <w:right w:val="none" w:sz="0" w:space="0" w:color="auto"/>
          </w:divBdr>
          <w:divsChild>
            <w:div w:id="15634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529505">
      <w:bodyDiv w:val="1"/>
      <w:marLeft w:val="0"/>
      <w:marRight w:val="0"/>
      <w:marTop w:val="0"/>
      <w:marBottom w:val="0"/>
      <w:divBdr>
        <w:top w:val="none" w:sz="0" w:space="0" w:color="auto"/>
        <w:left w:val="none" w:sz="0" w:space="0" w:color="auto"/>
        <w:bottom w:val="none" w:sz="0" w:space="0" w:color="auto"/>
        <w:right w:val="none" w:sz="0" w:space="0" w:color="auto"/>
      </w:divBdr>
    </w:div>
    <w:div w:id="1827822504">
      <w:bodyDiv w:val="1"/>
      <w:marLeft w:val="0"/>
      <w:marRight w:val="0"/>
      <w:marTop w:val="0"/>
      <w:marBottom w:val="0"/>
      <w:divBdr>
        <w:top w:val="none" w:sz="0" w:space="0" w:color="auto"/>
        <w:left w:val="none" w:sz="0" w:space="0" w:color="auto"/>
        <w:bottom w:val="none" w:sz="0" w:space="0" w:color="auto"/>
        <w:right w:val="none" w:sz="0" w:space="0" w:color="auto"/>
      </w:divBdr>
    </w:div>
    <w:div w:id="1828087036">
      <w:bodyDiv w:val="1"/>
      <w:marLeft w:val="0"/>
      <w:marRight w:val="0"/>
      <w:marTop w:val="0"/>
      <w:marBottom w:val="0"/>
      <w:divBdr>
        <w:top w:val="none" w:sz="0" w:space="0" w:color="auto"/>
        <w:left w:val="none" w:sz="0" w:space="0" w:color="auto"/>
        <w:bottom w:val="none" w:sz="0" w:space="0" w:color="auto"/>
        <w:right w:val="none" w:sz="0" w:space="0" w:color="auto"/>
      </w:divBdr>
      <w:divsChild>
        <w:div w:id="921648358">
          <w:marLeft w:val="0"/>
          <w:marRight w:val="0"/>
          <w:marTop w:val="0"/>
          <w:marBottom w:val="0"/>
          <w:divBdr>
            <w:top w:val="none" w:sz="0" w:space="0" w:color="auto"/>
            <w:left w:val="none" w:sz="0" w:space="0" w:color="auto"/>
            <w:bottom w:val="none" w:sz="0" w:space="0" w:color="auto"/>
            <w:right w:val="none" w:sz="0" w:space="0" w:color="auto"/>
          </w:divBdr>
          <w:divsChild>
            <w:div w:id="143760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92223">
      <w:bodyDiv w:val="1"/>
      <w:marLeft w:val="0"/>
      <w:marRight w:val="0"/>
      <w:marTop w:val="0"/>
      <w:marBottom w:val="0"/>
      <w:divBdr>
        <w:top w:val="none" w:sz="0" w:space="0" w:color="auto"/>
        <w:left w:val="none" w:sz="0" w:space="0" w:color="auto"/>
        <w:bottom w:val="none" w:sz="0" w:space="0" w:color="auto"/>
        <w:right w:val="none" w:sz="0" w:space="0" w:color="auto"/>
      </w:divBdr>
    </w:div>
    <w:div w:id="1906723236">
      <w:bodyDiv w:val="1"/>
      <w:marLeft w:val="0"/>
      <w:marRight w:val="0"/>
      <w:marTop w:val="0"/>
      <w:marBottom w:val="0"/>
      <w:divBdr>
        <w:top w:val="none" w:sz="0" w:space="0" w:color="auto"/>
        <w:left w:val="none" w:sz="0" w:space="0" w:color="auto"/>
        <w:bottom w:val="none" w:sz="0" w:space="0" w:color="auto"/>
        <w:right w:val="none" w:sz="0" w:space="0" w:color="auto"/>
      </w:divBdr>
      <w:divsChild>
        <w:div w:id="366756381">
          <w:marLeft w:val="0"/>
          <w:marRight w:val="0"/>
          <w:marTop w:val="0"/>
          <w:marBottom w:val="0"/>
          <w:divBdr>
            <w:top w:val="none" w:sz="0" w:space="0" w:color="auto"/>
            <w:left w:val="none" w:sz="0" w:space="0" w:color="auto"/>
            <w:bottom w:val="none" w:sz="0" w:space="0" w:color="auto"/>
            <w:right w:val="none" w:sz="0" w:space="0" w:color="auto"/>
          </w:divBdr>
          <w:divsChild>
            <w:div w:id="14636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764168">
      <w:bodyDiv w:val="1"/>
      <w:marLeft w:val="0"/>
      <w:marRight w:val="0"/>
      <w:marTop w:val="0"/>
      <w:marBottom w:val="0"/>
      <w:divBdr>
        <w:top w:val="none" w:sz="0" w:space="0" w:color="auto"/>
        <w:left w:val="none" w:sz="0" w:space="0" w:color="auto"/>
        <w:bottom w:val="none" w:sz="0" w:space="0" w:color="auto"/>
        <w:right w:val="none" w:sz="0" w:space="0" w:color="auto"/>
      </w:divBdr>
      <w:divsChild>
        <w:div w:id="845630445">
          <w:marLeft w:val="0"/>
          <w:marRight w:val="0"/>
          <w:marTop w:val="0"/>
          <w:marBottom w:val="0"/>
          <w:divBdr>
            <w:top w:val="none" w:sz="0" w:space="0" w:color="auto"/>
            <w:left w:val="none" w:sz="0" w:space="0" w:color="auto"/>
            <w:bottom w:val="none" w:sz="0" w:space="0" w:color="auto"/>
            <w:right w:val="none" w:sz="0" w:space="0" w:color="auto"/>
          </w:divBdr>
          <w:divsChild>
            <w:div w:id="168940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620445">
      <w:bodyDiv w:val="1"/>
      <w:marLeft w:val="0"/>
      <w:marRight w:val="0"/>
      <w:marTop w:val="0"/>
      <w:marBottom w:val="0"/>
      <w:divBdr>
        <w:top w:val="none" w:sz="0" w:space="0" w:color="auto"/>
        <w:left w:val="none" w:sz="0" w:space="0" w:color="auto"/>
        <w:bottom w:val="none" w:sz="0" w:space="0" w:color="auto"/>
        <w:right w:val="none" w:sz="0" w:space="0" w:color="auto"/>
      </w:divBdr>
    </w:div>
    <w:div w:id="1967544951">
      <w:bodyDiv w:val="1"/>
      <w:marLeft w:val="0"/>
      <w:marRight w:val="0"/>
      <w:marTop w:val="0"/>
      <w:marBottom w:val="0"/>
      <w:divBdr>
        <w:top w:val="none" w:sz="0" w:space="0" w:color="auto"/>
        <w:left w:val="none" w:sz="0" w:space="0" w:color="auto"/>
        <w:bottom w:val="none" w:sz="0" w:space="0" w:color="auto"/>
        <w:right w:val="none" w:sz="0" w:space="0" w:color="auto"/>
      </w:divBdr>
    </w:div>
    <w:div w:id="1994289143">
      <w:bodyDiv w:val="1"/>
      <w:marLeft w:val="0"/>
      <w:marRight w:val="0"/>
      <w:marTop w:val="0"/>
      <w:marBottom w:val="0"/>
      <w:divBdr>
        <w:top w:val="none" w:sz="0" w:space="0" w:color="auto"/>
        <w:left w:val="none" w:sz="0" w:space="0" w:color="auto"/>
        <w:bottom w:val="none" w:sz="0" w:space="0" w:color="auto"/>
        <w:right w:val="none" w:sz="0" w:space="0" w:color="auto"/>
      </w:divBdr>
    </w:div>
    <w:div w:id="2052722560">
      <w:bodyDiv w:val="1"/>
      <w:marLeft w:val="0"/>
      <w:marRight w:val="0"/>
      <w:marTop w:val="0"/>
      <w:marBottom w:val="0"/>
      <w:divBdr>
        <w:top w:val="none" w:sz="0" w:space="0" w:color="auto"/>
        <w:left w:val="none" w:sz="0" w:space="0" w:color="auto"/>
        <w:bottom w:val="none" w:sz="0" w:space="0" w:color="auto"/>
        <w:right w:val="none" w:sz="0" w:space="0" w:color="auto"/>
      </w:divBdr>
    </w:div>
    <w:div w:id="2062437570">
      <w:bodyDiv w:val="1"/>
      <w:marLeft w:val="0"/>
      <w:marRight w:val="0"/>
      <w:marTop w:val="0"/>
      <w:marBottom w:val="0"/>
      <w:divBdr>
        <w:top w:val="none" w:sz="0" w:space="0" w:color="auto"/>
        <w:left w:val="none" w:sz="0" w:space="0" w:color="auto"/>
        <w:bottom w:val="none" w:sz="0" w:space="0" w:color="auto"/>
        <w:right w:val="none" w:sz="0" w:space="0" w:color="auto"/>
      </w:divBdr>
      <w:divsChild>
        <w:div w:id="7195943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3.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mail@clearhorizon.com.au" TargetMode="Externa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manda.robbins@equityeconomics.com.au"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microsoft.com/office/2019/05/relationships/documenttasks" Target="documenttasks/documenttasks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D9958226-DA6A-4A3C-921E-61661CED4A7F}">
    <t:Anchor>
      <t:Comment id="5096054"/>
    </t:Anchor>
    <t:History>
      <t:Event id="{70F8AD82-FF6E-4A3F-9DF2-547C67B6655F}" time="2024-06-13T05:05:38.644Z">
        <t:Attribution userId="S::dave@clearhorizon.com.au::5871082b-3f03-4211-af37-4b801e2705b7" userProvider="AD" userName="Dave Green"/>
        <t:Anchor>
          <t:Comment id="5096054"/>
        </t:Anchor>
        <t:Create/>
      </t:Event>
      <t:Event id="{30C078DE-D722-4C00-9E23-FA55186444DD}" time="2024-06-13T05:05:38.644Z">
        <t:Attribution userId="S::dave@clearhorizon.com.au::5871082b-3f03-4211-af37-4b801e2705b7" userProvider="AD" userName="Dave Green"/>
        <t:Anchor>
          <t:Comment id="5096054"/>
        </t:Anchor>
        <t:Assign userId="S::nikki@clearhorizon.com.au::de083b02-9b5a-48eb-9698-df28959f2f4e" userProvider="AD" userName="Nikki Bartlett"/>
      </t:Event>
      <t:Event id="{F402458F-4245-4542-BB23-644E42215007}" time="2024-06-13T05:05:38.644Z">
        <t:Attribution userId="S::dave@clearhorizon.com.au::5871082b-3f03-4211-af37-4b801e2705b7" userProvider="AD" userName="Dave Green"/>
        <t:Anchor>
          <t:Comment id="5096054"/>
        </t:Anchor>
        <t:SetTitle title="@Nikki Bartlett can you add a sentence here summarising the components of the partnership ie DID4All, OPD partnerships, research etc."/>
      </t:Event>
    </t:History>
  </t:Task>
  <t:Task id="{92CA8B4E-5C62-45C2-8EC0-6AB8352F5BB4}">
    <t:Anchor>
      <t:Comment id="849715790"/>
    </t:Anchor>
    <t:History>
      <t:Event id="{373765FC-E091-44B8-AD99-E7147F6A8953}" time="2024-06-06T02:27:25.54Z">
        <t:Attribution userId="S::dave@clearhorizon.com.au::5871082b-3f03-4211-af37-4b801e2705b7" userProvider="AD" userName="Dave Green"/>
        <t:Anchor>
          <t:Comment id="1066389968"/>
        </t:Anchor>
        <t:Create/>
      </t:Event>
      <t:Event id="{5E83EFBD-9A1A-4C0E-9C8E-DD0A4C9AD39F}" time="2024-06-06T02:27:25.54Z">
        <t:Attribution userId="S::dave@clearhorizon.com.au::5871082b-3f03-4211-af37-4b801e2705b7" userProvider="AD" userName="Dave Green"/>
        <t:Anchor>
          <t:Comment id="1066389968"/>
        </t:Anchor>
        <t:Assign userId="S::nikki@clearhorizon.com.au::de083b02-9b5a-48eb-9698-df28959f2f4e" userProvider="AD" userName="Nikki Bartlett"/>
      </t:Event>
      <t:Event id="{2BB17E94-5155-4F13-8B7D-C7A13EFE0D51}" time="2024-06-06T02:27:25.54Z">
        <t:Attribution userId="S::dave@clearhorizon.com.au::5871082b-3f03-4211-af37-4b801e2705b7" userProvider="AD" userName="Dave Green"/>
        <t:Anchor>
          <t:Comment id="1066389968"/>
        </t:Anchor>
        <t:SetTitle title="@Nikki Bartlett can you check you are happy with this para?"/>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014A9F48D329C4EBFE78981A6D74A18"/>
        <w:category>
          <w:name w:val="General"/>
          <w:gallery w:val="placeholder"/>
        </w:category>
        <w:types>
          <w:type w:val="bbPlcHdr"/>
        </w:types>
        <w:behaviors>
          <w:behavior w:val="content"/>
        </w:behaviors>
        <w:guid w:val="{914240BD-64CE-9F49-9F93-1A416A0F4615}"/>
      </w:docPartPr>
      <w:docPartBody>
        <w:p w:rsidR="00C42AE6" w:rsidRDefault="00C42AE6">
          <w:pPr>
            <w:pStyle w:val="A014A9F48D329C4EBFE78981A6D74A18"/>
          </w:pPr>
          <w:r>
            <w:t>Enter Document Title</w:t>
          </w:r>
        </w:p>
      </w:docPartBody>
    </w:docPart>
    <w:docPart>
      <w:docPartPr>
        <w:name w:val="1FC9BBE06091594B82ABAD5DD5F75010"/>
        <w:category>
          <w:name w:val="General"/>
          <w:gallery w:val="placeholder"/>
        </w:category>
        <w:types>
          <w:type w:val="bbPlcHdr"/>
        </w:types>
        <w:behaviors>
          <w:behavior w:val="content"/>
        </w:behaviors>
        <w:guid w:val="{F993406A-7B3D-6C45-8928-E14F50FECFEA}"/>
      </w:docPartPr>
      <w:docPartBody>
        <w:p w:rsidR="00C42AE6" w:rsidRDefault="00C42AE6">
          <w:pPr>
            <w:pStyle w:val="1FC9BBE06091594B82ABAD5DD5F75010"/>
          </w:pPr>
          <w:r w:rsidRPr="00D4409E">
            <w:rPr>
              <w:rStyle w:val="PlaceholderText"/>
            </w:rPr>
            <w:t>Enter Client name here</w:t>
          </w:r>
        </w:p>
      </w:docPartBody>
    </w:docPart>
    <w:docPart>
      <w:docPartPr>
        <w:name w:val="CAB51D376FB6D44DB6729240507D52D5"/>
        <w:category>
          <w:name w:val="General"/>
          <w:gallery w:val="placeholder"/>
        </w:category>
        <w:types>
          <w:type w:val="bbPlcHdr"/>
        </w:types>
        <w:behaviors>
          <w:behavior w:val="content"/>
        </w:behaviors>
        <w:guid w:val="{89F65430-E289-BA44-96AD-97623ACCC0E9}"/>
      </w:docPartPr>
      <w:docPartBody>
        <w:p w:rsidR="00C42AE6" w:rsidRDefault="00C42AE6">
          <w:pPr>
            <w:pStyle w:val="CAB51D376FB6D44DB6729240507D52D5"/>
          </w:pPr>
          <w:r>
            <w:rPr>
              <w:rStyle w:val="PlaceholderText"/>
            </w:rPr>
            <w:t>[e.g. 1.0]</w:t>
          </w:r>
        </w:p>
      </w:docPartBody>
    </w:docPart>
    <w:docPart>
      <w:docPartPr>
        <w:name w:val="E4D76F33B81938458E1DA6D096ED640C"/>
        <w:category>
          <w:name w:val="General"/>
          <w:gallery w:val="placeholder"/>
        </w:category>
        <w:types>
          <w:type w:val="bbPlcHdr"/>
        </w:types>
        <w:behaviors>
          <w:behavior w:val="content"/>
        </w:behaviors>
        <w:guid w:val="{21B421E7-9CB8-494D-BE92-7B19F4A447D0}"/>
      </w:docPartPr>
      <w:docPartBody>
        <w:p w:rsidR="00C42AE6" w:rsidRDefault="00C42AE6">
          <w:pPr>
            <w:pStyle w:val="E4D76F33B81938458E1DA6D096ED640C"/>
          </w:pPr>
          <w:r w:rsidRPr="001F36CE">
            <w:rPr>
              <w:rStyle w:val="PlaceholderText"/>
            </w:rPr>
            <w:t>[Company]</w:t>
          </w:r>
        </w:p>
      </w:docPartBody>
    </w:docPart>
    <w:docPart>
      <w:docPartPr>
        <w:name w:val="8394A4BAB14D47EAB9674927FB5ED4B1"/>
        <w:category>
          <w:name w:val="General"/>
          <w:gallery w:val="placeholder"/>
        </w:category>
        <w:types>
          <w:type w:val="bbPlcHdr"/>
        </w:types>
        <w:behaviors>
          <w:behavior w:val="content"/>
        </w:behaviors>
        <w:guid w:val="{6AFABD83-CC0F-4CC0-897F-E5FB122BDFFC}"/>
      </w:docPartPr>
      <w:docPartBody>
        <w:p w:rsidR="00826417" w:rsidRDefault="00C42AE6">
          <w:pPr>
            <w:pStyle w:val="8394A4BAB14D47EAB9674927FB5ED4B1"/>
          </w:pPr>
          <w:r>
            <w:rPr>
              <w:rStyle w:val="PlaceholderText"/>
            </w:rPr>
            <w:t>[summarise the data collected]</w:t>
          </w:r>
        </w:p>
      </w:docPartBody>
    </w:docPart>
    <w:docPart>
      <w:docPartPr>
        <w:name w:val="8B54744ACDF9A7469ACD2F1AB59385D7"/>
        <w:category>
          <w:name w:val="General"/>
          <w:gallery w:val="placeholder"/>
        </w:category>
        <w:types>
          <w:type w:val="bbPlcHdr"/>
        </w:types>
        <w:behaviors>
          <w:behavior w:val="content"/>
        </w:behaviors>
        <w:guid w:val="{77B606B7-C185-6643-B10C-1AFCC67E21BB}"/>
      </w:docPartPr>
      <w:docPartBody>
        <w:p w:rsidR="008007FD" w:rsidRDefault="00C42AE6">
          <w:pPr>
            <w:pStyle w:val="8B54744ACDF9A7469ACD2F1AB59385D7"/>
          </w:pPr>
          <w:r w:rsidRPr="004D61A4">
            <w:rPr>
              <w:rStyle w:val="PlaceholderText"/>
            </w:rPr>
            <w:t>[enter CH Contact Name]</w:t>
          </w:r>
        </w:p>
      </w:docPartBody>
    </w:docPart>
    <w:docPart>
      <w:docPartPr>
        <w:name w:val="B92263D1871A3A49B5838EA44136678F"/>
        <w:category>
          <w:name w:val="General"/>
          <w:gallery w:val="placeholder"/>
        </w:category>
        <w:types>
          <w:type w:val="bbPlcHdr"/>
        </w:types>
        <w:behaviors>
          <w:behavior w:val="content"/>
        </w:behaviors>
        <w:guid w:val="{05E1AE68-A974-B94E-810A-C74F5F801B4E}"/>
      </w:docPartPr>
      <w:docPartBody>
        <w:p w:rsidR="008007FD" w:rsidRDefault="00C42AE6">
          <w:pPr>
            <w:pStyle w:val="B92263D1871A3A49B5838EA44136678F"/>
          </w:pPr>
          <w:r w:rsidRPr="004D61A4">
            <w:rPr>
              <w:rStyle w:val="PlaceholderText"/>
            </w:rPr>
            <w:t>[enter Client Contact Name]</w:t>
          </w:r>
        </w:p>
      </w:docPartBody>
    </w:docPart>
    <w:docPart>
      <w:docPartPr>
        <w:name w:val="56641179E870B045A96251A12E082F0C"/>
        <w:category>
          <w:name w:val="General"/>
          <w:gallery w:val="placeholder"/>
        </w:category>
        <w:types>
          <w:type w:val="bbPlcHdr"/>
        </w:types>
        <w:behaviors>
          <w:behavior w:val="content"/>
        </w:behaviors>
        <w:guid w:val="{021C2B0E-B51E-8043-B59E-E2B87AFE28BE}"/>
      </w:docPartPr>
      <w:docPartBody>
        <w:p w:rsidR="008007FD" w:rsidRDefault="00C42AE6">
          <w:pPr>
            <w:pStyle w:val="56641179E870B045A96251A12E082F0C"/>
          </w:pPr>
          <w:r w:rsidRPr="004D61A4">
            <w:rPr>
              <w:rStyle w:val="PlaceholderText"/>
            </w:rPr>
            <w:t>[enter CH Contact Job Title]</w:t>
          </w:r>
        </w:p>
      </w:docPartBody>
    </w:docPart>
    <w:docPart>
      <w:docPartPr>
        <w:name w:val="5C04344B9296834B996F2837EBCD5EB4"/>
        <w:category>
          <w:name w:val="General"/>
          <w:gallery w:val="placeholder"/>
        </w:category>
        <w:types>
          <w:type w:val="bbPlcHdr"/>
        </w:types>
        <w:behaviors>
          <w:behavior w:val="content"/>
        </w:behaviors>
        <w:guid w:val="{72A9DD25-DBCB-554F-9197-109FDDC14977}"/>
      </w:docPartPr>
      <w:docPartBody>
        <w:p w:rsidR="008007FD" w:rsidRDefault="00C42AE6">
          <w:pPr>
            <w:pStyle w:val="5C04344B9296834B996F2837EBCD5EB4"/>
          </w:pPr>
          <w:r w:rsidRPr="004D61A4">
            <w:rPr>
              <w:rStyle w:val="PlaceholderText"/>
            </w:rPr>
            <w:t>[enter Client Contact Job Title]</w:t>
          </w:r>
        </w:p>
      </w:docPartBody>
    </w:docPart>
    <w:docPart>
      <w:docPartPr>
        <w:name w:val="C4A5F86C6D48DA46A3A0011749516258"/>
        <w:category>
          <w:name w:val="General"/>
          <w:gallery w:val="placeholder"/>
        </w:category>
        <w:types>
          <w:type w:val="bbPlcHdr"/>
        </w:types>
        <w:behaviors>
          <w:behavior w:val="content"/>
        </w:behaviors>
        <w:guid w:val="{C5EB97FA-8B1A-214C-8D3C-8623B881D82D}"/>
      </w:docPartPr>
      <w:docPartBody>
        <w:p w:rsidR="008007FD" w:rsidRDefault="00C42AE6">
          <w:pPr>
            <w:pStyle w:val="C4A5F86C6D48DA46A3A0011749516258"/>
          </w:pPr>
          <w:r w:rsidRPr="004D61A4">
            <w:rPr>
              <w:rStyle w:val="PlaceholderText"/>
            </w:rPr>
            <w:t>[enter Client Company Name]</w:t>
          </w:r>
        </w:p>
      </w:docPartBody>
    </w:docPart>
    <w:docPart>
      <w:docPartPr>
        <w:name w:val="8B0D54CAD6C0DE4389BCF68962F5C3BC"/>
        <w:category>
          <w:name w:val="General"/>
          <w:gallery w:val="placeholder"/>
        </w:category>
        <w:types>
          <w:type w:val="bbPlcHdr"/>
        </w:types>
        <w:behaviors>
          <w:behavior w:val="content"/>
        </w:behaviors>
        <w:guid w:val="{43149277-EB82-174F-9EA1-57C3298CE221}"/>
      </w:docPartPr>
      <w:docPartBody>
        <w:p w:rsidR="008007FD" w:rsidRDefault="00C42AE6">
          <w:pPr>
            <w:pStyle w:val="8B0D54CAD6C0DE4389BCF68962F5C3BC"/>
          </w:pPr>
          <w:r w:rsidRPr="004D61A4">
            <w:rPr>
              <w:rStyle w:val="PlaceholderText"/>
            </w:rPr>
            <w:t>[enter Client Company Address]</w:t>
          </w:r>
        </w:p>
      </w:docPartBody>
    </w:docPart>
    <w:docPart>
      <w:docPartPr>
        <w:name w:val="BA50CE6F7ACDE444ADCF90FF845A34B6"/>
        <w:category>
          <w:name w:val="General"/>
          <w:gallery w:val="placeholder"/>
        </w:category>
        <w:types>
          <w:type w:val="bbPlcHdr"/>
        </w:types>
        <w:behaviors>
          <w:behavior w:val="content"/>
        </w:behaviors>
        <w:guid w:val="{73B2A16C-75A3-564F-8556-5D155DBB11F2}"/>
      </w:docPartPr>
      <w:docPartBody>
        <w:p w:rsidR="008007FD" w:rsidRDefault="00C42AE6">
          <w:pPr>
            <w:pStyle w:val="BA50CE6F7ACDE444ADCF90FF845A34B6"/>
          </w:pPr>
          <w:r w:rsidRPr="004D61A4">
            <w:rPr>
              <w:rStyle w:val="PlaceholderText"/>
            </w:rPr>
            <w:t>[enter Client Contact Phone Number]</w:t>
          </w:r>
        </w:p>
      </w:docPartBody>
    </w:docPart>
    <w:docPart>
      <w:docPartPr>
        <w:name w:val="156AE31524187F48AAEADFE517B15853"/>
        <w:category>
          <w:name w:val="General"/>
          <w:gallery w:val="placeholder"/>
        </w:category>
        <w:types>
          <w:type w:val="bbPlcHdr"/>
        </w:types>
        <w:behaviors>
          <w:behavior w:val="content"/>
        </w:behaviors>
        <w:guid w:val="{8FF528F7-E041-F24D-9F2A-CF776C869424}"/>
      </w:docPartPr>
      <w:docPartBody>
        <w:p w:rsidR="008007FD" w:rsidRDefault="00C42AE6">
          <w:pPr>
            <w:pStyle w:val="156AE31524187F48AAEADFE517B15853"/>
          </w:pPr>
          <w:r w:rsidRPr="004D61A4">
            <w:rPr>
              <w:rStyle w:val="PlaceholderText"/>
            </w:rPr>
            <w:t>[your email]</w:t>
          </w:r>
        </w:p>
      </w:docPartBody>
    </w:docPart>
    <w:docPart>
      <w:docPartPr>
        <w:name w:val="AADBFAAE75A17243A3A3FFD84475A9D8"/>
        <w:category>
          <w:name w:val="General"/>
          <w:gallery w:val="placeholder"/>
        </w:category>
        <w:types>
          <w:type w:val="bbPlcHdr"/>
        </w:types>
        <w:behaviors>
          <w:behavior w:val="content"/>
        </w:behaviors>
        <w:guid w:val="{F0F7FB1A-DF88-AD4C-AA62-04B216A8B8D0}"/>
      </w:docPartPr>
      <w:docPartBody>
        <w:p w:rsidR="008007FD" w:rsidRDefault="00C42AE6">
          <w:pPr>
            <w:pStyle w:val="AADBFAAE75A17243A3A3FFD84475A9D8"/>
          </w:pPr>
          <w:r w:rsidRPr="004D61A4">
            <w:rPr>
              <w:rStyle w:val="PlaceholderText"/>
            </w:rPr>
            <w:t>[enter Client Contact Email]</w:t>
          </w:r>
        </w:p>
      </w:docPartBody>
    </w:docPart>
    <w:docPart>
      <w:docPartPr>
        <w:name w:val="9A0E64472652408FAF6940FCD52846D7"/>
        <w:category>
          <w:name w:val="General"/>
          <w:gallery w:val="placeholder"/>
        </w:category>
        <w:types>
          <w:type w:val="bbPlcHdr"/>
        </w:types>
        <w:behaviors>
          <w:behavior w:val="content"/>
        </w:behaviors>
        <w:guid w:val="{F0A333A4-B22C-4DB5-9D4C-8E045E4075F9}"/>
      </w:docPartPr>
      <w:docPartBody>
        <w:p w:rsidR="008D3070" w:rsidRDefault="008D3070" w:rsidP="008D3070">
          <w:pPr>
            <w:pStyle w:val="9A0E64472652408FAF6940FCD52846D7"/>
          </w:pPr>
          <w:r>
            <w:t>Enter Document Title</w:t>
          </w:r>
        </w:p>
      </w:docPartBody>
    </w:docPart>
    <w:docPart>
      <w:docPartPr>
        <w:name w:val="1E40B9B0BFD542AD8F2301EE18A07CD0"/>
        <w:category>
          <w:name w:val="General"/>
          <w:gallery w:val="placeholder"/>
        </w:category>
        <w:types>
          <w:type w:val="bbPlcHdr"/>
        </w:types>
        <w:behaviors>
          <w:behavior w:val="content"/>
        </w:behaviors>
        <w:guid w:val="{CB90A42C-FF92-449A-8B93-1CD4A695B2F3}"/>
      </w:docPartPr>
      <w:docPartBody>
        <w:p w:rsidR="008D3070" w:rsidRDefault="008D3070" w:rsidP="008D3070">
          <w:pPr>
            <w:pStyle w:val="1E40B9B0BFD542AD8F2301EE18A07CD0"/>
          </w:pPr>
          <w:r w:rsidRPr="00D4409E">
            <w:rPr>
              <w:rStyle w:val="PlaceholderText"/>
            </w:rPr>
            <w:t>Enter Client name here</w:t>
          </w:r>
        </w:p>
      </w:docPartBody>
    </w:docPart>
    <w:docPart>
      <w:docPartPr>
        <w:name w:val="A9E7BB3C4D104A4CA3001BDB36BAA1EF"/>
        <w:category>
          <w:name w:val="General"/>
          <w:gallery w:val="placeholder"/>
        </w:category>
        <w:types>
          <w:type w:val="bbPlcHdr"/>
        </w:types>
        <w:behaviors>
          <w:behavior w:val="content"/>
        </w:behaviors>
        <w:guid w:val="{4ECD240C-A40E-4180-A4BD-0FAA83A03B2A}"/>
      </w:docPartPr>
      <w:docPartBody>
        <w:p w:rsidR="008D3070" w:rsidRDefault="008D3070" w:rsidP="008D3070">
          <w:pPr>
            <w:pStyle w:val="A9E7BB3C4D104A4CA3001BDB36BAA1EF"/>
          </w:pPr>
          <w:r w:rsidRPr="00AE50D3">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Open Sans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ngsana New (Body CS)">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42AE6"/>
    <w:rsid w:val="00005065"/>
    <w:rsid w:val="000068C4"/>
    <w:rsid w:val="00007312"/>
    <w:rsid w:val="000246BA"/>
    <w:rsid w:val="000317D9"/>
    <w:rsid w:val="00044276"/>
    <w:rsid w:val="000471E0"/>
    <w:rsid w:val="000523CA"/>
    <w:rsid w:val="0005660B"/>
    <w:rsid w:val="000632BA"/>
    <w:rsid w:val="00074678"/>
    <w:rsid w:val="00076AA9"/>
    <w:rsid w:val="00095B84"/>
    <w:rsid w:val="00095DF7"/>
    <w:rsid w:val="000A5032"/>
    <w:rsid w:val="000B3EE4"/>
    <w:rsid w:val="000D25CF"/>
    <w:rsid w:val="00102A99"/>
    <w:rsid w:val="00112614"/>
    <w:rsid w:val="00123892"/>
    <w:rsid w:val="00132DB6"/>
    <w:rsid w:val="00172529"/>
    <w:rsid w:val="00174FAC"/>
    <w:rsid w:val="0017555F"/>
    <w:rsid w:val="001800BC"/>
    <w:rsid w:val="00191644"/>
    <w:rsid w:val="001B29E4"/>
    <w:rsid w:val="001B3B89"/>
    <w:rsid w:val="001F4E22"/>
    <w:rsid w:val="001F7619"/>
    <w:rsid w:val="002138E1"/>
    <w:rsid w:val="002202DE"/>
    <w:rsid w:val="002313C5"/>
    <w:rsid w:val="002313D4"/>
    <w:rsid w:val="002556E9"/>
    <w:rsid w:val="0027078D"/>
    <w:rsid w:val="002C037D"/>
    <w:rsid w:val="002C278B"/>
    <w:rsid w:val="002D12C1"/>
    <w:rsid w:val="002D3F75"/>
    <w:rsid w:val="002D612B"/>
    <w:rsid w:val="002E6CCA"/>
    <w:rsid w:val="002F4EB0"/>
    <w:rsid w:val="0034229B"/>
    <w:rsid w:val="00364C9D"/>
    <w:rsid w:val="0036571A"/>
    <w:rsid w:val="00367783"/>
    <w:rsid w:val="00367BFC"/>
    <w:rsid w:val="003744FD"/>
    <w:rsid w:val="00375C4F"/>
    <w:rsid w:val="0037748F"/>
    <w:rsid w:val="00383985"/>
    <w:rsid w:val="003847A5"/>
    <w:rsid w:val="003A2503"/>
    <w:rsid w:val="003B2EC9"/>
    <w:rsid w:val="003C603A"/>
    <w:rsid w:val="003C67A7"/>
    <w:rsid w:val="003F0017"/>
    <w:rsid w:val="00423223"/>
    <w:rsid w:val="0045776B"/>
    <w:rsid w:val="004A2012"/>
    <w:rsid w:val="004D6505"/>
    <w:rsid w:val="005033D3"/>
    <w:rsid w:val="00506433"/>
    <w:rsid w:val="00520B3A"/>
    <w:rsid w:val="00532FE9"/>
    <w:rsid w:val="00536234"/>
    <w:rsid w:val="005410FC"/>
    <w:rsid w:val="005573D3"/>
    <w:rsid w:val="0058072D"/>
    <w:rsid w:val="00582DC4"/>
    <w:rsid w:val="00585B2B"/>
    <w:rsid w:val="005916DD"/>
    <w:rsid w:val="00597C6E"/>
    <w:rsid w:val="005C4034"/>
    <w:rsid w:val="005C488C"/>
    <w:rsid w:val="005C64D7"/>
    <w:rsid w:val="005D4501"/>
    <w:rsid w:val="005E2F1F"/>
    <w:rsid w:val="005F5374"/>
    <w:rsid w:val="0061039D"/>
    <w:rsid w:val="0065559F"/>
    <w:rsid w:val="00671898"/>
    <w:rsid w:val="00671AEE"/>
    <w:rsid w:val="00693468"/>
    <w:rsid w:val="006B11B7"/>
    <w:rsid w:val="006C0C45"/>
    <w:rsid w:val="006D3B05"/>
    <w:rsid w:val="006E486E"/>
    <w:rsid w:val="00713174"/>
    <w:rsid w:val="00713C4E"/>
    <w:rsid w:val="00717C62"/>
    <w:rsid w:val="00717E61"/>
    <w:rsid w:val="00723BC5"/>
    <w:rsid w:val="00743364"/>
    <w:rsid w:val="007472F2"/>
    <w:rsid w:val="00757F15"/>
    <w:rsid w:val="00764F84"/>
    <w:rsid w:val="00765C8E"/>
    <w:rsid w:val="0077775D"/>
    <w:rsid w:val="007904AA"/>
    <w:rsid w:val="007C17EE"/>
    <w:rsid w:val="008007FD"/>
    <w:rsid w:val="00802BEE"/>
    <w:rsid w:val="0081139E"/>
    <w:rsid w:val="00826417"/>
    <w:rsid w:val="0083755F"/>
    <w:rsid w:val="00844B00"/>
    <w:rsid w:val="008802A7"/>
    <w:rsid w:val="00886F2B"/>
    <w:rsid w:val="0089240B"/>
    <w:rsid w:val="008A0C6A"/>
    <w:rsid w:val="008D3070"/>
    <w:rsid w:val="008D6ADC"/>
    <w:rsid w:val="008E28EE"/>
    <w:rsid w:val="008F629F"/>
    <w:rsid w:val="008F7661"/>
    <w:rsid w:val="008F7B58"/>
    <w:rsid w:val="00903A58"/>
    <w:rsid w:val="00910A67"/>
    <w:rsid w:val="00922FE3"/>
    <w:rsid w:val="00926CDA"/>
    <w:rsid w:val="009301B1"/>
    <w:rsid w:val="00934C52"/>
    <w:rsid w:val="00990607"/>
    <w:rsid w:val="009A566A"/>
    <w:rsid w:val="009A7026"/>
    <w:rsid w:val="009B2ED3"/>
    <w:rsid w:val="009D7A7D"/>
    <w:rsid w:val="009E2FB3"/>
    <w:rsid w:val="009E45EA"/>
    <w:rsid w:val="009E4692"/>
    <w:rsid w:val="009F7753"/>
    <w:rsid w:val="00A07DFA"/>
    <w:rsid w:val="00A25393"/>
    <w:rsid w:val="00A27C0C"/>
    <w:rsid w:val="00A50908"/>
    <w:rsid w:val="00A5136E"/>
    <w:rsid w:val="00A70D4E"/>
    <w:rsid w:val="00A83A56"/>
    <w:rsid w:val="00A91451"/>
    <w:rsid w:val="00AA6BD7"/>
    <w:rsid w:val="00AA77EA"/>
    <w:rsid w:val="00AB2F25"/>
    <w:rsid w:val="00AE1072"/>
    <w:rsid w:val="00B152B2"/>
    <w:rsid w:val="00B15747"/>
    <w:rsid w:val="00B35813"/>
    <w:rsid w:val="00B4179B"/>
    <w:rsid w:val="00B63E76"/>
    <w:rsid w:val="00B7109D"/>
    <w:rsid w:val="00B75AD3"/>
    <w:rsid w:val="00B9420D"/>
    <w:rsid w:val="00BC2E52"/>
    <w:rsid w:val="00BF4502"/>
    <w:rsid w:val="00C02921"/>
    <w:rsid w:val="00C26453"/>
    <w:rsid w:val="00C42AE6"/>
    <w:rsid w:val="00C53B04"/>
    <w:rsid w:val="00C76E18"/>
    <w:rsid w:val="00C916D9"/>
    <w:rsid w:val="00CA1670"/>
    <w:rsid w:val="00CD0B6E"/>
    <w:rsid w:val="00CE3863"/>
    <w:rsid w:val="00CE7B3C"/>
    <w:rsid w:val="00D10DA4"/>
    <w:rsid w:val="00D12B00"/>
    <w:rsid w:val="00D2458D"/>
    <w:rsid w:val="00D765B3"/>
    <w:rsid w:val="00D84A63"/>
    <w:rsid w:val="00D86911"/>
    <w:rsid w:val="00D93B6F"/>
    <w:rsid w:val="00DB301B"/>
    <w:rsid w:val="00DB4A3C"/>
    <w:rsid w:val="00DB6249"/>
    <w:rsid w:val="00DC0655"/>
    <w:rsid w:val="00DC35B8"/>
    <w:rsid w:val="00DC387C"/>
    <w:rsid w:val="00DE6771"/>
    <w:rsid w:val="00DF0A0A"/>
    <w:rsid w:val="00E04A36"/>
    <w:rsid w:val="00E0688B"/>
    <w:rsid w:val="00E43449"/>
    <w:rsid w:val="00E74EAD"/>
    <w:rsid w:val="00E82534"/>
    <w:rsid w:val="00EA7293"/>
    <w:rsid w:val="00EB19C3"/>
    <w:rsid w:val="00EC1CB4"/>
    <w:rsid w:val="00EC4C4D"/>
    <w:rsid w:val="00ED5ED0"/>
    <w:rsid w:val="00F260DB"/>
    <w:rsid w:val="00F33DE5"/>
    <w:rsid w:val="00F72DF0"/>
    <w:rsid w:val="00F773BF"/>
    <w:rsid w:val="00F87BAA"/>
    <w:rsid w:val="00FA228C"/>
    <w:rsid w:val="00FC0825"/>
    <w:rsid w:val="00FC1D4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014A9F48D329C4EBFE78981A6D74A18">
    <w:name w:val="A014A9F48D329C4EBFE78981A6D74A18"/>
  </w:style>
  <w:style w:type="character" w:styleId="PlaceholderText">
    <w:name w:val="Placeholder Text"/>
    <w:basedOn w:val="DefaultParagraphFont"/>
    <w:uiPriority w:val="99"/>
    <w:rsid w:val="008D3070"/>
    <w:rPr>
      <w:color w:val="A02B93" w:themeColor="accent5"/>
    </w:rPr>
  </w:style>
  <w:style w:type="paragraph" w:customStyle="1" w:styleId="1FC9BBE06091594B82ABAD5DD5F75010">
    <w:name w:val="1FC9BBE06091594B82ABAD5DD5F75010"/>
  </w:style>
  <w:style w:type="paragraph" w:customStyle="1" w:styleId="CAB51D376FB6D44DB6729240507D52D5">
    <w:name w:val="CAB51D376FB6D44DB6729240507D52D5"/>
  </w:style>
  <w:style w:type="paragraph" w:customStyle="1" w:styleId="E4D76F33B81938458E1DA6D096ED640C">
    <w:name w:val="E4D76F33B81938458E1DA6D096ED640C"/>
  </w:style>
  <w:style w:type="paragraph" w:customStyle="1" w:styleId="8394A4BAB14D47EAB9674927FB5ED4B1">
    <w:name w:val="8394A4BAB14D47EAB9674927FB5ED4B1"/>
    <w:pPr>
      <w:spacing w:after="160" w:line="278" w:lineRule="auto"/>
    </w:pPr>
    <w:rPr>
      <w:kern w:val="2"/>
      <w:lang w:eastAsia="en-AU"/>
      <w14:ligatures w14:val="standardContextual"/>
    </w:rPr>
  </w:style>
  <w:style w:type="paragraph" w:customStyle="1" w:styleId="8B54744ACDF9A7469ACD2F1AB59385D7">
    <w:name w:val="8B54744ACDF9A7469ACD2F1AB59385D7"/>
    <w:pPr>
      <w:spacing w:after="160" w:line="278" w:lineRule="auto"/>
    </w:pPr>
    <w:rPr>
      <w:kern w:val="2"/>
      <w:lang w:eastAsia="en-GB"/>
      <w14:ligatures w14:val="standardContextual"/>
    </w:rPr>
  </w:style>
  <w:style w:type="paragraph" w:customStyle="1" w:styleId="B92263D1871A3A49B5838EA44136678F">
    <w:name w:val="B92263D1871A3A49B5838EA44136678F"/>
    <w:pPr>
      <w:spacing w:after="160" w:line="278" w:lineRule="auto"/>
    </w:pPr>
    <w:rPr>
      <w:kern w:val="2"/>
      <w:lang w:eastAsia="en-GB"/>
      <w14:ligatures w14:val="standardContextual"/>
    </w:rPr>
  </w:style>
  <w:style w:type="paragraph" w:customStyle="1" w:styleId="56641179E870B045A96251A12E082F0C">
    <w:name w:val="56641179E870B045A96251A12E082F0C"/>
    <w:pPr>
      <w:spacing w:after="160" w:line="278" w:lineRule="auto"/>
    </w:pPr>
    <w:rPr>
      <w:kern w:val="2"/>
      <w:lang w:eastAsia="en-GB"/>
      <w14:ligatures w14:val="standardContextual"/>
    </w:rPr>
  </w:style>
  <w:style w:type="paragraph" w:customStyle="1" w:styleId="5C04344B9296834B996F2837EBCD5EB4">
    <w:name w:val="5C04344B9296834B996F2837EBCD5EB4"/>
    <w:pPr>
      <w:spacing w:after="160" w:line="278" w:lineRule="auto"/>
    </w:pPr>
    <w:rPr>
      <w:kern w:val="2"/>
      <w:lang w:eastAsia="en-GB"/>
      <w14:ligatures w14:val="standardContextual"/>
    </w:rPr>
  </w:style>
  <w:style w:type="paragraph" w:customStyle="1" w:styleId="C4A5F86C6D48DA46A3A0011749516258">
    <w:name w:val="C4A5F86C6D48DA46A3A0011749516258"/>
    <w:pPr>
      <w:spacing w:after="160" w:line="278" w:lineRule="auto"/>
    </w:pPr>
    <w:rPr>
      <w:kern w:val="2"/>
      <w:lang w:eastAsia="en-GB"/>
      <w14:ligatures w14:val="standardContextual"/>
    </w:rPr>
  </w:style>
  <w:style w:type="paragraph" w:customStyle="1" w:styleId="8B0D54CAD6C0DE4389BCF68962F5C3BC">
    <w:name w:val="8B0D54CAD6C0DE4389BCF68962F5C3BC"/>
    <w:pPr>
      <w:spacing w:after="160" w:line="278" w:lineRule="auto"/>
    </w:pPr>
    <w:rPr>
      <w:kern w:val="2"/>
      <w:lang w:eastAsia="en-GB"/>
      <w14:ligatures w14:val="standardContextual"/>
    </w:rPr>
  </w:style>
  <w:style w:type="paragraph" w:customStyle="1" w:styleId="BA50CE6F7ACDE444ADCF90FF845A34B6">
    <w:name w:val="BA50CE6F7ACDE444ADCF90FF845A34B6"/>
    <w:pPr>
      <w:spacing w:after="160" w:line="278" w:lineRule="auto"/>
    </w:pPr>
    <w:rPr>
      <w:kern w:val="2"/>
      <w:lang w:eastAsia="en-GB"/>
      <w14:ligatures w14:val="standardContextual"/>
    </w:rPr>
  </w:style>
  <w:style w:type="paragraph" w:customStyle="1" w:styleId="156AE31524187F48AAEADFE517B15853">
    <w:name w:val="156AE31524187F48AAEADFE517B15853"/>
    <w:pPr>
      <w:spacing w:after="160" w:line="278" w:lineRule="auto"/>
    </w:pPr>
    <w:rPr>
      <w:kern w:val="2"/>
      <w:lang w:eastAsia="en-GB"/>
      <w14:ligatures w14:val="standardContextual"/>
    </w:rPr>
  </w:style>
  <w:style w:type="paragraph" w:customStyle="1" w:styleId="AADBFAAE75A17243A3A3FFD84475A9D8">
    <w:name w:val="AADBFAAE75A17243A3A3FFD84475A9D8"/>
    <w:pPr>
      <w:spacing w:after="160" w:line="278" w:lineRule="auto"/>
    </w:pPr>
    <w:rPr>
      <w:kern w:val="2"/>
      <w:lang w:eastAsia="en-GB"/>
      <w14:ligatures w14:val="standardContextual"/>
    </w:rPr>
  </w:style>
  <w:style w:type="paragraph" w:customStyle="1" w:styleId="9A0E64472652408FAF6940FCD52846D7">
    <w:name w:val="9A0E64472652408FAF6940FCD52846D7"/>
    <w:rsid w:val="008D3070"/>
    <w:pPr>
      <w:spacing w:after="160" w:line="278" w:lineRule="auto"/>
    </w:pPr>
    <w:rPr>
      <w:kern w:val="2"/>
      <w:lang w:eastAsia="en-AU"/>
      <w14:ligatures w14:val="standardContextual"/>
    </w:rPr>
  </w:style>
  <w:style w:type="paragraph" w:customStyle="1" w:styleId="1E40B9B0BFD542AD8F2301EE18A07CD0">
    <w:name w:val="1E40B9B0BFD542AD8F2301EE18A07CD0"/>
    <w:rsid w:val="008D3070"/>
    <w:pPr>
      <w:spacing w:after="160" w:line="278" w:lineRule="auto"/>
    </w:pPr>
    <w:rPr>
      <w:kern w:val="2"/>
      <w:lang w:eastAsia="en-AU"/>
      <w14:ligatures w14:val="standardContextual"/>
    </w:rPr>
  </w:style>
  <w:style w:type="paragraph" w:customStyle="1" w:styleId="A9E7BB3C4D104A4CA3001BDB36BAA1EF">
    <w:name w:val="A9E7BB3C4D104A4CA3001BDB36BAA1EF"/>
    <w:rsid w:val="008D3070"/>
    <w:pPr>
      <w:spacing w:after="160" w:line="278" w:lineRule="auto"/>
    </w:pPr>
    <w:rPr>
      <w:kern w:val="2"/>
      <w:lang w:eastAsia="en-AU"/>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 Theme">
  <a:themeElements>
    <a:clrScheme name="Clear Horizon">
      <a:dk1>
        <a:srgbClr val="222222"/>
      </a:dk1>
      <a:lt1>
        <a:sysClr val="window" lastClr="FFFFFF"/>
      </a:lt1>
      <a:dk2>
        <a:srgbClr val="CBC3BB"/>
      </a:dk2>
      <a:lt2>
        <a:srgbClr val="EAE7E3"/>
      </a:lt2>
      <a:accent1>
        <a:srgbClr val="CC6600"/>
      </a:accent1>
      <a:accent2>
        <a:srgbClr val="FCE2CC"/>
      </a:accent2>
      <a:accent3>
        <a:srgbClr val="0D3E67"/>
      </a:accent3>
      <a:accent4>
        <a:srgbClr val="7D96B5"/>
      </a:accent4>
      <a:accent5>
        <a:srgbClr val="0D8577"/>
      </a:accent5>
      <a:accent6>
        <a:srgbClr val="46B8A9"/>
      </a:accent6>
      <a:hlink>
        <a:srgbClr val="0D3E67"/>
      </a:hlink>
      <a:folHlink>
        <a:srgbClr val="954F72"/>
      </a:folHlink>
    </a:clrScheme>
    <a:fontScheme name="Clear Horizon">
      <a:majorFont>
        <a:latin typeface="Franklin Gothic Medium"/>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05099ce-0528-40a1-9632-2562fe39117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DF5DD8DE0471246915A2C8735D5A48D" ma:contentTypeVersion="16" ma:contentTypeDescription="Create a new document." ma:contentTypeScope="" ma:versionID="d36dd215adc6bc2fc87726c17306b750">
  <xsd:schema xmlns:xsd="http://www.w3.org/2001/XMLSchema" xmlns:xs="http://www.w3.org/2001/XMLSchema" xmlns:p="http://schemas.microsoft.com/office/2006/metadata/properties" xmlns:ns2="405099ce-0528-40a1-9632-2562fe391178" xmlns:ns3="ca4e70c7-7a8a-4631-b02d-b8637257ebb6" targetNamespace="http://schemas.microsoft.com/office/2006/metadata/properties" ma:root="true" ma:fieldsID="6bd6de3be39feb946e7b8fc77f25345c" ns2:_="" ns3:_="">
    <xsd:import namespace="405099ce-0528-40a1-9632-2562fe391178"/>
    <xsd:import namespace="ca4e70c7-7a8a-4631-b02d-b8637257eb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5099ce-0528-40a1-9632-2562fe3911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4e70c7-7a8a-4631-b02d-b8637257ebb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F44A62-C2BE-4086-8E35-978908FC5452}">
  <ds:schemaRefs>
    <ds:schemaRef ds:uri="405099ce-0528-40a1-9632-2562fe391178"/>
    <ds:schemaRef ds:uri="ca4e70c7-7a8a-4631-b02d-b8637257ebb6"/>
    <ds:schemaRef ds:uri="http://schemas.microsoft.com/office/2006/documentManagement/types"/>
    <ds:schemaRef ds:uri="http://schemas.openxmlformats.org/package/2006/metadata/core-properties"/>
    <ds:schemaRef ds:uri="http://schemas.microsoft.com/office/infopath/2007/PartnerControls"/>
    <ds:schemaRef ds:uri="http://purl.org/dc/terms/"/>
    <ds:schemaRef ds:uri="http://purl.org/dc/dcmitype/"/>
    <ds:schemaRef ds:uri="http://schemas.microsoft.com/office/2006/metadata/properties"/>
    <ds:schemaRef ds:uri="http://www.w3.org/XML/1998/namespace"/>
    <ds:schemaRef ds:uri="http://purl.org/dc/elements/1.1/"/>
  </ds:schemaRefs>
</ds:datastoreItem>
</file>

<file path=customXml/itemProps2.xml><?xml version="1.0" encoding="utf-8"?>
<ds:datastoreItem xmlns:ds="http://schemas.openxmlformats.org/officeDocument/2006/customXml" ds:itemID="{2FF6690A-7966-44C2-9038-5B283181C4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5099ce-0528-40a1-9632-2562fe391178"/>
    <ds:schemaRef ds:uri="ca4e70c7-7a8a-4631-b02d-b8637257eb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F0E969-8E8B-4247-82A1-F7B6E7D87270}">
  <ds:schemaRefs>
    <ds:schemaRef ds:uri="http://schemas.openxmlformats.org/officeDocument/2006/bibliography"/>
  </ds:schemaRefs>
</ds:datastoreItem>
</file>

<file path=customXml/itemProps4.xml><?xml version="1.0" encoding="utf-8"?>
<ds:datastoreItem xmlns:ds="http://schemas.openxmlformats.org/officeDocument/2006/customXml" ds:itemID="{739E5A89-A8C1-4D7D-8D22-EA3D91AC23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64</Pages>
  <Words>24355</Words>
  <Characters>135272</Characters>
  <Application>Microsoft Office Word</Application>
  <DocSecurity>0</DocSecurity>
  <Lines>3403</Lines>
  <Paragraphs>2032</Paragraphs>
  <ScaleCrop>false</ScaleCrop>
  <HeadingPairs>
    <vt:vector size="2" baseType="variant">
      <vt:variant>
        <vt:lpstr>Title</vt:lpstr>
      </vt:variant>
      <vt:variant>
        <vt:i4>1</vt:i4>
      </vt:variant>
    </vt:vector>
  </HeadingPairs>
  <TitlesOfParts>
    <vt:vector size="1" baseType="lpstr">
      <vt:lpstr>The Pacific Recovery Economic Support (PRES) evaluation report</vt:lpstr>
    </vt:vector>
  </TitlesOfParts>
  <Company>DFAT</Company>
  <LinksUpToDate>false</LinksUpToDate>
  <CharactersWithSpaces>158114</CharactersWithSpaces>
  <SharedDoc>false</SharedDoc>
  <HLinks>
    <vt:vector size="60" baseType="variant">
      <vt:variant>
        <vt:i4>1048631</vt:i4>
      </vt:variant>
      <vt:variant>
        <vt:i4>56</vt:i4>
      </vt:variant>
      <vt:variant>
        <vt:i4>0</vt:i4>
      </vt:variant>
      <vt:variant>
        <vt:i4>5</vt:i4>
      </vt:variant>
      <vt:variant>
        <vt:lpwstr/>
      </vt:variant>
      <vt:variant>
        <vt:lpwstr>_Toc188284696</vt:lpwstr>
      </vt:variant>
      <vt:variant>
        <vt:i4>1048631</vt:i4>
      </vt:variant>
      <vt:variant>
        <vt:i4>50</vt:i4>
      </vt:variant>
      <vt:variant>
        <vt:i4>0</vt:i4>
      </vt:variant>
      <vt:variant>
        <vt:i4>5</vt:i4>
      </vt:variant>
      <vt:variant>
        <vt:lpwstr/>
      </vt:variant>
      <vt:variant>
        <vt:lpwstr>_Toc188284693</vt:lpwstr>
      </vt:variant>
      <vt:variant>
        <vt:i4>1048631</vt:i4>
      </vt:variant>
      <vt:variant>
        <vt:i4>44</vt:i4>
      </vt:variant>
      <vt:variant>
        <vt:i4>0</vt:i4>
      </vt:variant>
      <vt:variant>
        <vt:i4>5</vt:i4>
      </vt:variant>
      <vt:variant>
        <vt:lpwstr/>
      </vt:variant>
      <vt:variant>
        <vt:lpwstr>_Toc188284692</vt:lpwstr>
      </vt:variant>
      <vt:variant>
        <vt:i4>1048631</vt:i4>
      </vt:variant>
      <vt:variant>
        <vt:i4>38</vt:i4>
      </vt:variant>
      <vt:variant>
        <vt:i4>0</vt:i4>
      </vt:variant>
      <vt:variant>
        <vt:i4>5</vt:i4>
      </vt:variant>
      <vt:variant>
        <vt:lpwstr/>
      </vt:variant>
      <vt:variant>
        <vt:lpwstr>_Toc188284691</vt:lpwstr>
      </vt:variant>
      <vt:variant>
        <vt:i4>1114167</vt:i4>
      </vt:variant>
      <vt:variant>
        <vt:i4>32</vt:i4>
      </vt:variant>
      <vt:variant>
        <vt:i4>0</vt:i4>
      </vt:variant>
      <vt:variant>
        <vt:i4>5</vt:i4>
      </vt:variant>
      <vt:variant>
        <vt:lpwstr/>
      </vt:variant>
      <vt:variant>
        <vt:lpwstr>_Toc188284687</vt:lpwstr>
      </vt:variant>
      <vt:variant>
        <vt:i4>1114167</vt:i4>
      </vt:variant>
      <vt:variant>
        <vt:i4>26</vt:i4>
      </vt:variant>
      <vt:variant>
        <vt:i4>0</vt:i4>
      </vt:variant>
      <vt:variant>
        <vt:i4>5</vt:i4>
      </vt:variant>
      <vt:variant>
        <vt:lpwstr/>
      </vt:variant>
      <vt:variant>
        <vt:lpwstr>_Toc188284680</vt:lpwstr>
      </vt:variant>
      <vt:variant>
        <vt:i4>1966135</vt:i4>
      </vt:variant>
      <vt:variant>
        <vt:i4>20</vt:i4>
      </vt:variant>
      <vt:variant>
        <vt:i4>0</vt:i4>
      </vt:variant>
      <vt:variant>
        <vt:i4>5</vt:i4>
      </vt:variant>
      <vt:variant>
        <vt:lpwstr/>
      </vt:variant>
      <vt:variant>
        <vt:lpwstr>_Toc188284676</vt:lpwstr>
      </vt:variant>
      <vt:variant>
        <vt:i4>1966135</vt:i4>
      </vt:variant>
      <vt:variant>
        <vt:i4>14</vt:i4>
      </vt:variant>
      <vt:variant>
        <vt:i4>0</vt:i4>
      </vt:variant>
      <vt:variant>
        <vt:i4>5</vt:i4>
      </vt:variant>
      <vt:variant>
        <vt:lpwstr/>
      </vt:variant>
      <vt:variant>
        <vt:lpwstr>_Toc188284673</vt:lpwstr>
      </vt:variant>
      <vt:variant>
        <vt:i4>4849717</vt:i4>
      </vt:variant>
      <vt:variant>
        <vt:i4>3</vt:i4>
      </vt:variant>
      <vt:variant>
        <vt:i4>0</vt:i4>
      </vt:variant>
      <vt:variant>
        <vt:i4>5</vt:i4>
      </vt:variant>
      <vt:variant>
        <vt:lpwstr>mailto:mail@clearhorizon.com.au</vt:lpwstr>
      </vt:variant>
      <vt:variant>
        <vt:lpwstr/>
      </vt:variant>
      <vt:variant>
        <vt:i4>7536726</vt:i4>
      </vt:variant>
      <vt:variant>
        <vt:i4>0</vt:i4>
      </vt:variant>
      <vt:variant>
        <vt:i4>0</vt:i4>
      </vt:variant>
      <vt:variant>
        <vt:i4>5</vt:i4>
      </vt:variant>
      <vt:variant>
        <vt:lpwstr>mailto:amanda.robbins@equityeconomics.com.au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Pacific Recovery Economic Support (PRES) evaluation report</dc:title>
  <dc:subject/>
  <dc:creator>Clear Horizon</dc:creator>
  <cp:keywords>[SEC=OFFICIAL]</cp:keywords>
  <dc:description/>
  <cp:lastModifiedBy>Patrick Baggoley</cp:lastModifiedBy>
  <cp:revision>3</cp:revision>
  <cp:lastPrinted>2025-08-13T05:51:00Z</cp:lastPrinted>
  <dcterms:created xsi:type="dcterms:W3CDTF">2025-08-15T01:04:00Z</dcterms:created>
  <dcterms:modified xsi:type="dcterms:W3CDTF">2025-08-15T01:06:00Z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0x0101003DF5DD8DE0471246915A2C8735D5A48D</vt:lpwstr>
  </property>
  <property fmtid="{D5CDD505-2E9C-101B-9397-08002B2CF9AE}" pid="3" name="ShowGlobal">
    <vt:bool>true</vt:bool>
  </property>
  <property fmtid="{D5CDD505-2E9C-101B-9397-08002B2CF9AE}" pid="4" name="KeepMarginsTheSame">
    <vt:bool>true</vt:bool>
  </property>
  <property fmtid="{D5CDD505-2E9C-101B-9397-08002B2CF9AE}" pid="5" name="LinkHeadersFooters">
    <vt:bool>false</vt:bool>
  </property>
  <property fmtid="{D5CDD505-2E9C-101B-9397-08002B2CF9AE}" pid="6" name="RestartNumberingAtSection2">
    <vt:bool>true</vt:bool>
  </property>
  <property fmtid="{D5CDD505-2E9C-101B-9397-08002B2CF9AE}" pid="7" name="RestartNumberingAtSection3">
    <vt:bool>false</vt:bool>
  </property>
  <property fmtid="{D5CDD505-2E9C-101B-9397-08002B2CF9AE}" pid="8" name="CustomGallery1">
    <vt:bool>false</vt:bool>
  </property>
  <property fmtid="{D5CDD505-2E9C-101B-9397-08002B2CF9AE}" pid="9" name="CustomGallery2">
    <vt:bool>false</vt:bool>
  </property>
  <property fmtid="{D5CDD505-2E9C-101B-9397-08002B2CF9AE}" pid="10" name="CustomGallery3">
    <vt:bool>true</vt:bool>
  </property>
  <property fmtid="{D5CDD505-2E9C-101B-9397-08002B2CF9AE}" pid="11" name="CustomGallery4">
    <vt:bool>true</vt:bool>
  </property>
  <property fmtid="{D5CDD505-2E9C-101B-9397-08002B2CF9AE}" pid="12" name="CustomGallery5">
    <vt:bool>true</vt:bool>
  </property>
  <property fmtid="{D5CDD505-2E9C-101B-9397-08002B2CF9AE}" pid="13" name="TemplateType">
    <vt:lpwstr>Report</vt:lpwstr>
  </property>
  <property fmtid="{D5CDD505-2E9C-101B-9397-08002B2CF9AE}" pid="14" name="TemplateVersion">
    <vt:lpwstr>v1.0</vt:lpwstr>
  </property>
  <property fmtid="{D5CDD505-2E9C-101B-9397-08002B2CF9AE}" pid="15" name="CorrelatingCommon">
    <vt:lpwstr>v6.17</vt:lpwstr>
  </property>
  <property fmtid="{D5CDD505-2E9C-101B-9397-08002B2CF9AE}" pid="16" name="BaseMaster">
    <vt:lpwstr>v3.7</vt:lpwstr>
  </property>
  <property fmtid="{D5CDD505-2E9C-101B-9397-08002B2CF9AE}" pid="17" name="AutomationVersion">
    <vt:lpwstr>v#</vt:lpwstr>
  </property>
  <property fmtid="{D5CDD505-2E9C-101B-9397-08002B2CF9AE}" pid="18" name="Order">
    <vt:r8>9340100</vt:r8>
  </property>
  <property fmtid="{D5CDD505-2E9C-101B-9397-08002B2CF9AE}" pid="19" name="TriggerFlowInfo">
    <vt:lpwstr/>
  </property>
  <property fmtid="{D5CDD505-2E9C-101B-9397-08002B2CF9AE}" pid="20" name="ComplianceAssetId">
    <vt:lpwstr/>
  </property>
  <property fmtid="{D5CDD505-2E9C-101B-9397-08002B2CF9AE}" pid="21" name="_ExtendedDescription">
    <vt:lpwstr/>
  </property>
  <property fmtid="{D5CDD505-2E9C-101B-9397-08002B2CF9AE}" pid="22" name="xd_Signature">
    <vt:bool>false</vt:bool>
  </property>
  <property fmtid="{D5CDD505-2E9C-101B-9397-08002B2CF9AE}" pid="23" name="xd_ProgID">
    <vt:lpwstr/>
  </property>
  <property fmtid="{D5CDD505-2E9C-101B-9397-08002B2CF9AE}" pid="24" name="TemplateUrl">
    <vt:lpwstr/>
  </property>
  <property fmtid="{D5CDD505-2E9C-101B-9397-08002B2CF9AE}" pid="25" name="GrammarlyDocumentId">
    <vt:lpwstr>461a5fd46d66879d7e2be130bf92e551a1a01eeeb72d922213f32904ac72382a</vt:lpwstr>
  </property>
  <property fmtid="{D5CDD505-2E9C-101B-9397-08002B2CF9AE}" pid="26" name="MediaServiceImageTags">
    <vt:lpwstr/>
  </property>
  <property fmtid="{D5CDD505-2E9C-101B-9397-08002B2CF9AE}" pid="27" name="Amendment">
    <vt:bool>true</vt:bool>
  </property>
  <property fmtid="{D5CDD505-2E9C-101B-9397-08002B2CF9AE}" pid="28" name="PM_Namespace">
    <vt:lpwstr>gov.au</vt:lpwstr>
  </property>
  <property fmtid="{D5CDD505-2E9C-101B-9397-08002B2CF9AE}" pid="29" name="PM_Caveats_Count">
    <vt:lpwstr>0</vt:lpwstr>
  </property>
  <property fmtid="{D5CDD505-2E9C-101B-9397-08002B2CF9AE}" pid="30" name="PM_Version">
    <vt:lpwstr>2018.4</vt:lpwstr>
  </property>
  <property fmtid="{D5CDD505-2E9C-101B-9397-08002B2CF9AE}" pid="31" name="PM_Note">
    <vt:lpwstr/>
  </property>
  <property fmtid="{D5CDD505-2E9C-101B-9397-08002B2CF9AE}" pid="32" name="PMHMAC">
    <vt:lpwstr>v=2022.1;a=SHA256;h=C2AE6AF7CB409BD0F5DA150A1BAB89A9B6923F87CB83A2E0636004486BEAC980</vt:lpwstr>
  </property>
  <property fmtid="{D5CDD505-2E9C-101B-9397-08002B2CF9AE}" pid="33" name="PM_Qualifier">
    <vt:lpwstr/>
  </property>
  <property fmtid="{D5CDD505-2E9C-101B-9397-08002B2CF9AE}" pid="34" name="PM_SecurityClassification">
    <vt:lpwstr>OFFICIAL</vt:lpwstr>
  </property>
  <property fmtid="{D5CDD505-2E9C-101B-9397-08002B2CF9AE}" pid="35" name="PM_ProtectiveMarkingValue_Header">
    <vt:lpwstr>OFFICIAL</vt:lpwstr>
  </property>
  <property fmtid="{D5CDD505-2E9C-101B-9397-08002B2CF9AE}" pid="36" name="PM_OriginationTimeStamp">
    <vt:lpwstr>2024-07-29T01:57:14Z</vt:lpwstr>
  </property>
  <property fmtid="{D5CDD505-2E9C-101B-9397-08002B2CF9AE}" pid="37" name="PM_Markers">
    <vt:lpwstr/>
  </property>
  <property fmtid="{D5CDD505-2E9C-101B-9397-08002B2CF9AE}" pid="38" name="PM_InsertionValue">
    <vt:lpwstr>OFFICIAL</vt:lpwstr>
  </property>
  <property fmtid="{D5CDD505-2E9C-101B-9397-08002B2CF9AE}" pid="39" name="PM_Originator_Hash_SHA1">
    <vt:lpwstr>E5329D78ADFF18985C404F3A4015F7B7C209C4C5</vt:lpwstr>
  </property>
  <property fmtid="{D5CDD505-2E9C-101B-9397-08002B2CF9AE}" pid="40" name="PM_DisplayValueSecClassificationWithQualifier">
    <vt:lpwstr>OFFICIAL</vt:lpwstr>
  </property>
  <property fmtid="{D5CDD505-2E9C-101B-9397-08002B2CF9AE}" pid="41" name="PM_Originating_FileId">
    <vt:lpwstr>815AAE129D4F4D07A6C615BFB6CE387B</vt:lpwstr>
  </property>
  <property fmtid="{D5CDD505-2E9C-101B-9397-08002B2CF9AE}" pid="42" name="PM_ProtectiveMarkingValue_Footer">
    <vt:lpwstr>OFFICIAL</vt:lpwstr>
  </property>
  <property fmtid="{D5CDD505-2E9C-101B-9397-08002B2CF9AE}" pid="43" name="PM_ProtectiveMarkingImage_Header">
    <vt:lpwstr>C:\Program Files\Common Files\janusNET Shared\janusSEAL\Images\DocumentSlashBlue.png</vt:lpwstr>
  </property>
  <property fmtid="{D5CDD505-2E9C-101B-9397-08002B2CF9AE}" pid="44" name="PM_ProtectiveMarkingImage_Footer">
    <vt:lpwstr>C:\Program Files\Common Files\janusNET Shared\janusSEAL\Images\DocumentSlashBlue.png</vt:lpwstr>
  </property>
  <property fmtid="{D5CDD505-2E9C-101B-9397-08002B2CF9AE}" pid="45" name="PM_Display">
    <vt:lpwstr>OFFICIAL</vt:lpwstr>
  </property>
  <property fmtid="{D5CDD505-2E9C-101B-9397-08002B2CF9AE}" pid="46" name="PM_OriginatorUserAccountName_SHA256">
    <vt:lpwstr>C427463A240001568B1E728057080C091949066E05DD342FA6B5B9F6FF33F8D6</vt:lpwstr>
  </property>
  <property fmtid="{D5CDD505-2E9C-101B-9397-08002B2CF9AE}" pid="47" name="PM_OriginatorDomainName_SHA256">
    <vt:lpwstr>6F3591835F3B2A8A025B00B5BA6418010DA3A17C9C26EA9C049FFD28039489A2</vt:lpwstr>
  </property>
  <property fmtid="{D5CDD505-2E9C-101B-9397-08002B2CF9AE}" pid="48" name="PMUuid">
    <vt:lpwstr>v=2022.2;d=gov.au;g=46DD6D7C-8107-577B-BC6E-F348953B2E44</vt:lpwstr>
  </property>
  <property fmtid="{D5CDD505-2E9C-101B-9397-08002B2CF9AE}" pid="49" name="PM_Hash_Version">
    <vt:lpwstr>2022.1</vt:lpwstr>
  </property>
  <property fmtid="{D5CDD505-2E9C-101B-9397-08002B2CF9AE}" pid="50" name="PM_Hash_Salt_Prev">
    <vt:lpwstr>7C80E7A83EAF9AEFBDA2D8A51F7FC78D</vt:lpwstr>
  </property>
  <property fmtid="{D5CDD505-2E9C-101B-9397-08002B2CF9AE}" pid="51" name="PM_Hash_Salt">
    <vt:lpwstr>D48BAAF54431DE5EA63D746CC2C20A32</vt:lpwstr>
  </property>
  <property fmtid="{D5CDD505-2E9C-101B-9397-08002B2CF9AE}" pid="52" name="PM_Hash_SHA1">
    <vt:lpwstr>0AB83F6EF2C925804DC1BA7DDE2BDD346AA7D228</vt:lpwstr>
  </property>
  <property fmtid="{D5CDD505-2E9C-101B-9397-08002B2CF9AE}" pid="53" name="PM_SecurityClassification_Prev">
    <vt:lpwstr>OFFICIAL</vt:lpwstr>
  </property>
  <property fmtid="{D5CDD505-2E9C-101B-9397-08002B2CF9AE}" pid="54" name="PM_Qualifier_Prev">
    <vt:lpwstr/>
  </property>
</Properties>
</file>