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8F" w:rsidRPr="000C7BCF" w:rsidRDefault="0026068F" w:rsidP="0026068F">
      <w:pPr>
        <w:pStyle w:val="Referencestyle"/>
        <w:ind w:left="180"/>
        <w:jc w:val="right"/>
        <w:rPr>
          <w:b/>
          <w:u w:val="single"/>
        </w:rPr>
      </w:pPr>
      <w:r w:rsidRPr="000C7BCF">
        <w:rPr>
          <w:b/>
          <w:u w:val="single"/>
        </w:rPr>
        <w:t>CONFORMED COPY</w:t>
      </w:r>
    </w:p>
    <w:p w:rsidR="00A74C81" w:rsidRDefault="00A74C81" w:rsidP="00D902E3">
      <w:pPr>
        <w:pStyle w:val="Letdear"/>
        <w:jc w:val="right"/>
        <w:rPr>
          <w:color w:val="000000"/>
          <w:szCs w:val="24"/>
        </w:rPr>
      </w:pPr>
    </w:p>
    <w:p w:rsidR="00A74C81" w:rsidRDefault="0026068F" w:rsidP="00D902E3">
      <w:pPr>
        <w:pStyle w:val="Letdear"/>
        <w:jc w:val="right"/>
        <w:rPr>
          <w:color w:val="000000"/>
          <w:szCs w:val="24"/>
        </w:rPr>
      </w:pPr>
      <w:r>
        <w:rPr>
          <w:color w:val="000000"/>
          <w:szCs w:val="24"/>
        </w:rPr>
        <w:t>March 31</w:t>
      </w:r>
      <w:r w:rsidR="009B5374">
        <w:rPr>
          <w:color w:val="000000"/>
          <w:szCs w:val="24"/>
        </w:rPr>
        <w:t xml:space="preserve">, </w:t>
      </w:r>
      <w:r w:rsidR="00A74C81">
        <w:rPr>
          <w:color w:val="000000"/>
          <w:szCs w:val="24"/>
        </w:rPr>
        <w:t>2011</w:t>
      </w:r>
    </w:p>
    <w:p w:rsidR="00A74C81" w:rsidRDefault="00A74C81" w:rsidP="00D902E3">
      <w:pPr>
        <w:pStyle w:val="Letdear"/>
        <w:jc w:val="right"/>
        <w:rPr>
          <w:szCs w:val="24"/>
        </w:rPr>
      </w:pPr>
    </w:p>
    <w:p w:rsidR="00A74C81" w:rsidRDefault="00A74C81" w:rsidP="0010527B">
      <w:pPr>
        <w:pStyle w:val="Letdear"/>
        <w:rPr>
          <w:szCs w:val="24"/>
        </w:rPr>
      </w:pPr>
    </w:p>
    <w:p w:rsidR="00A74C81" w:rsidRDefault="00A74C81" w:rsidP="0010527B">
      <w:pPr>
        <w:pStyle w:val="Letdear"/>
        <w:rPr>
          <w:szCs w:val="24"/>
        </w:rPr>
      </w:pPr>
    </w:p>
    <w:p w:rsidR="00A74C81" w:rsidRPr="00954C7A" w:rsidRDefault="00A74C81" w:rsidP="00221E77">
      <w:pPr>
        <w:pStyle w:val="BlockText"/>
        <w:tabs>
          <w:tab w:val="left" w:pos="-2160"/>
          <w:tab w:val="left" w:pos="720"/>
          <w:tab w:val="left" w:pos="11610"/>
        </w:tabs>
        <w:ind w:left="0" w:right="0"/>
        <w:jc w:val="left"/>
        <w:rPr>
          <w:b w:val="0"/>
          <w:i w:val="0"/>
        </w:rPr>
      </w:pPr>
      <w:r w:rsidRPr="00954C7A">
        <w:rPr>
          <w:b w:val="0"/>
          <w:i w:val="0"/>
        </w:rPr>
        <w:t>M</w:t>
      </w:r>
      <w:r>
        <w:rPr>
          <w:b w:val="0"/>
          <w:i w:val="0"/>
        </w:rPr>
        <w:t xml:space="preserve">r. </w:t>
      </w:r>
      <w:smartTag w:uri="urn:schemas-microsoft-com:office:smarttags" w:element="PersonName">
        <w:r>
          <w:rPr>
            <w:b w:val="0"/>
            <w:i w:val="0"/>
          </w:rPr>
          <w:t>Murray Proctor</w:t>
        </w:r>
      </w:smartTag>
    </w:p>
    <w:p w:rsidR="00A74C81" w:rsidRPr="00954C7A" w:rsidRDefault="00A74C81" w:rsidP="00221E77">
      <w:pPr>
        <w:pStyle w:val="BlockText"/>
        <w:tabs>
          <w:tab w:val="left" w:pos="-2160"/>
          <w:tab w:val="left" w:pos="720"/>
          <w:tab w:val="left" w:pos="11610"/>
        </w:tabs>
        <w:ind w:left="0" w:right="0"/>
        <w:jc w:val="left"/>
        <w:rPr>
          <w:b w:val="0"/>
          <w:i w:val="0"/>
        </w:rPr>
      </w:pPr>
      <w:r>
        <w:rPr>
          <w:b w:val="0"/>
          <w:i w:val="0"/>
        </w:rPr>
        <w:t>First-Assistant Director General</w:t>
      </w:r>
    </w:p>
    <w:p w:rsidR="00A74C81" w:rsidRPr="00954C7A" w:rsidRDefault="00A74C81" w:rsidP="00221E77">
      <w:pPr>
        <w:pStyle w:val="BlockText"/>
        <w:tabs>
          <w:tab w:val="left" w:pos="-2160"/>
          <w:tab w:val="left" w:pos="720"/>
          <w:tab w:val="left" w:pos="11610"/>
        </w:tabs>
        <w:ind w:left="0" w:right="0"/>
        <w:jc w:val="left"/>
        <w:rPr>
          <w:b w:val="0"/>
          <w:i w:val="0"/>
        </w:rPr>
      </w:pPr>
      <w:proofErr w:type="spellStart"/>
      <w:r>
        <w:rPr>
          <w:b w:val="0"/>
          <w:i w:val="0"/>
        </w:rPr>
        <w:t>Sectoral</w:t>
      </w:r>
      <w:proofErr w:type="spellEnd"/>
      <w:r>
        <w:rPr>
          <w:b w:val="0"/>
          <w:i w:val="0"/>
        </w:rPr>
        <w:t xml:space="preserve"> Policy Division</w:t>
      </w:r>
    </w:p>
    <w:p w:rsidR="00A74C81" w:rsidRPr="00954C7A" w:rsidRDefault="00A74C81" w:rsidP="00221E77">
      <w:pPr>
        <w:pStyle w:val="BlockText"/>
        <w:tabs>
          <w:tab w:val="left" w:pos="-2160"/>
          <w:tab w:val="left" w:pos="720"/>
          <w:tab w:val="left" w:pos="11610"/>
        </w:tabs>
        <w:ind w:left="0" w:right="0"/>
        <w:jc w:val="left"/>
        <w:rPr>
          <w:b w:val="0"/>
          <w:i w:val="0"/>
        </w:rPr>
      </w:pPr>
      <w:r w:rsidRPr="00954C7A">
        <w:rPr>
          <w:b w:val="0"/>
          <w:i w:val="0"/>
        </w:rPr>
        <w:t>Australian Agency for International Development (</w:t>
      </w:r>
      <w:proofErr w:type="spellStart"/>
      <w:r w:rsidRPr="00954C7A">
        <w:rPr>
          <w:b w:val="0"/>
          <w:i w:val="0"/>
        </w:rPr>
        <w:t>AusAID</w:t>
      </w:r>
      <w:proofErr w:type="spellEnd"/>
      <w:r w:rsidRPr="00954C7A">
        <w:rPr>
          <w:b w:val="0"/>
          <w:i w:val="0"/>
        </w:rPr>
        <w:t>)</w:t>
      </w:r>
    </w:p>
    <w:p w:rsidR="00A74C81" w:rsidRPr="00954C7A" w:rsidRDefault="00A74C81" w:rsidP="00221E77">
      <w:pPr>
        <w:pStyle w:val="BlockText"/>
        <w:tabs>
          <w:tab w:val="left" w:pos="-2160"/>
          <w:tab w:val="left" w:pos="720"/>
          <w:tab w:val="left" w:pos="11610"/>
        </w:tabs>
        <w:ind w:left="0" w:right="0"/>
        <w:jc w:val="left"/>
        <w:rPr>
          <w:b w:val="0"/>
          <w:i w:val="0"/>
        </w:rPr>
      </w:pPr>
      <w:smartTag w:uri="urn:schemas-microsoft-com:office:smarttags" w:element="address">
        <w:smartTag w:uri="urn:schemas-microsoft-com:office:smarttags" w:element="Street">
          <w:r>
            <w:rPr>
              <w:b w:val="0"/>
              <w:i w:val="0"/>
            </w:rPr>
            <w:t xml:space="preserve">20 </w:t>
          </w:r>
          <w:proofErr w:type="spellStart"/>
          <w:r>
            <w:rPr>
              <w:b w:val="0"/>
              <w:i w:val="0"/>
            </w:rPr>
            <w:t>Allara</w:t>
          </w:r>
          <w:proofErr w:type="spellEnd"/>
          <w:r>
            <w:rPr>
              <w:b w:val="0"/>
              <w:i w:val="0"/>
            </w:rPr>
            <w:t xml:space="preserve"> Street</w:t>
          </w:r>
        </w:smartTag>
      </w:smartTag>
    </w:p>
    <w:p w:rsidR="00A74C81" w:rsidRPr="00954C7A" w:rsidRDefault="00A74C81" w:rsidP="00221E77">
      <w:pPr>
        <w:pStyle w:val="BlockText"/>
        <w:tabs>
          <w:tab w:val="left" w:pos="-2160"/>
          <w:tab w:val="left" w:pos="720"/>
          <w:tab w:val="left" w:pos="11610"/>
        </w:tabs>
        <w:ind w:left="0" w:right="0"/>
        <w:jc w:val="left"/>
        <w:rPr>
          <w:b w:val="0"/>
          <w:i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954C7A">
                <w:rPr>
                  <w:b w:val="0"/>
                  <w:i w:val="0"/>
                </w:rPr>
                <w:t>PO Box 887</w:t>
              </w:r>
            </w:smartTag>
          </w:smartTag>
          <w:r>
            <w:rPr>
              <w:b w:val="0"/>
              <w:i w:val="0"/>
            </w:rPr>
            <w:t xml:space="preserve">, </w:t>
          </w:r>
          <w:smartTag w:uri="urn:schemas-microsoft-com:office:smarttags" w:element="City">
            <w:r w:rsidRPr="00954C7A">
              <w:rPr>
                <w:b w:val="0"/>
                <w:i w:val="0"/>
              </w:rPr>
              <w:t>Canberra</w:t>
            </w:r>
          </w:smartTag>
        </w:smartTag>
      </w:smartTag>
      <w:r w:rsidRPr="00954C7A">
        <w:rPr>
          <w:b w:val="0"/>
          <w:i w:val="0"/>
        </w:rPr>
        <w:t xml:space="preserve"> ACT 2601</w:t>
      </w:r>
    </w:p>
    <w:p w:rsidR="00A74C81" w:rsidRPr="00954C7A" w:rsidRDefault="00A74C81" w:rsidP="00221E77">
      <w:pPr>
        <w:pStyle w:val="BlockText"/>
        <w:tabs>
          <w:tab w:val="left" w:pos="-2160"/>
          <w:tab w:val="left" w:pos="720"/>
          <w:tab w:val="left" w:pos="11610"/>
        </w:tabs>
        <w:ind w:left="0" w:right="0"/>
        <w:jc w:val="left"/>
        <w:rPr>
          <w:b w:val="0"/>
          <w:i w:val="0"/>
        </w:rPr>
      </w:pPr>
      <w:smartTag w:uri="urn:schemas-microsoft-com:office:smarttags" w:element="PersonName">
        <w:smartTag w:uri="urn:schemas-microsoft-com:office:smarttags" w:element="country-region">
          <w:smartTag w:uri="urn:schemas-microsoft-com:office:smarttags" w:element="place">
            <w:r w:rsidRPr="00954C7A">
              <w:rPr>
                <w:b w:val="0"/>
                <w:i w:val="0"/>
              </w:rPr>
              <w:t>Australia</w:t>
            </w:r>
          </w:smartTag>
        </w:smartTag>
      </w:smartTag>
    </w:p>
    <w:p w:rsidR="00A74C81" w:rsidRDefault="00A74C81" w:rsidP="0010527B">
      <w:pPr>
        <w:pStyle w:val="Letdear"/>
        <w:rPr>
          <w:szCs w:val="24"/>
        </w:rPr>
      </w:pPr>
    </w:p>
    <w:p w:rsidR="00A74C81" w:rsidRDefault="00A74C81" w:rsidP="0010527B">
      <w:pPr>
        <w:pStyle w:val="Letdear"/>
        <w:rPr>
          <w:szCs w:val="24"/>
        </w:rPr>
      </w:pPr>
    </w:p>
    <w:p w:rsidR="00A74C81" w:rsidRPr="00954C7A" w:rsidRDefault="00A74C81" w:rsidP="009B5374">
      <w:pPr>
        <w:pStyle w:val="Letdear"/>
        <w:tabs>
          <w:tab w:val="clear" w:pos="5400"/>
          <w:tab w:val="clear" w:pos="7200"/>
        </w:tabs>
        <w:jc w:val="both"/>
        <w:rPr>
          <w:b/>
          <w:bCs/>
          <w:i/>
          <w:iCs/>
        </w:rPr>
      </w:pPr>
      <w:r w:rsidRPr="00954C7A">
        <w:rPr>
          <w:b/>
          <w:i/>
        </w:rPr>
        <w:t xml:space="preserve">Trust Fund Administration Agreement between the </w:t>
      </w:r>
      <w:r w:rsidRPr="00954C7A">
        <w:rPr>
          <w:b/>
          <w:bCs/>
          <w:i/>
          <w:iCs/>
          <w:szCs w:val="24"/>
        </w:rPr>
        <w:t>Australian Agency for International Development (</w:t>
      </w:r>
      <w:proofErr w:type="spellStart"/>
      <w:r w:rsidRPr="00954C7A">
        <w:rPr>
          <w:b/>
          <w:bCs/>
          <w:i/>
          <w:iCs/>
          <w:szCs w:val="24"/>
        </w:rPr>
        <w:t>AusAID</w:t>
      </w:r>
      <w:proofErr w:type="spellEnd"/>
      <w:r w:rsidRPr="00954C7A">
        <w:rPr>
          <w:b/>
          <w:bCs/>
          <w:i/>
          <w:iCs/>
          <w:szCs w:val="24"/>
        </w:rPr>
        <w:t xml:space="preserve">) </w:t>
      </w:r>
      <w:r w:rsidRPr="00954C7A">
        <w:rPr>
          <w:b/>
          <w:i/>
        </w:rPr>
        <w:t xml:space="preserve">and the International Bank for Reconstruction and Development and the International Development Association concerning the </w:t>
      </w:r>
      <w:r>
        <w:rPr>
          <w:b/>
          <w:i/>
        </w:rPr>
        <w:t xml:space="preserve">Trust Fund for the </w:t>
      </w:r>
      <w:r w:rsidRPr="00954C7A">
        <w:rPr>
          <w:b/>
          <w:i/>
        </w:rPr>
        <w:t xml:space="preserve">Public-Private Infrastructure Advisory Facility </w:t>
      </w:r>
      <w:r>
        <w:rPr>
          <w:b/>
          <w:i/>
        </w:rPr>
        <w:t xml:space="preserve">Sub-National Technical Assistance Program  - </w:t>
      </w:r>
      <w:r w:rsidRPr="00954C7A">
        <w:rPr>
          <w:b/>
          <w:i/>
        </w:rPr>
        <w:t>TF No. 0</w:t>
      </w:r>
      <w:r>
        <w:rPr>
          <w:b/>
          <w:i/>
        </w:rPr>
        <w:t xml:space="preserve">70804 – </w:t>
      </w:r>
      <w:proofErr w:type="spellStart"/>
      <w:r>
        <w:rPr>
          <w:b/>
          <w:i/>
        </w:rPr>
        <w:t>AusAID</w:t>
      </w:r>
      <w:proofErr w:type="spellEnd"/>
      <w:r>
        <w:rPr>
          <w:b/>
          <w:i/>
        </w:rPr>
        <w:t xml:space="preserve"> Agreement No 58761</w:t>
      </w:r>
    </w:p>
    <w:p w:rsidR="00A74C81" w:rsidRDefault="00A74C81" w:rsidP="00221E77">
      <w:pPr>
        <w:pStyle w:val="Letdear"/>
        <w:tabs>
          <w:tab w:val="clear" w:pos="5400"/>
          <w:tab w:val="clear" w:pos="7200"/>
        </w:tabs>
        <w:jc w:val="both"/>
        <w:rPr>
          <w:b/>
          <w:bCs/>
          <w:i/>
          <w:iCs/>
        </w:rPr>
      </w:pPr>
    </w:p>
    <w:p w:rsidR="009B5374" w:rsidRDefault="009B5374" w:rsidP="009B5374">
      <w:pPr>
        <w:pStyle w:val="Letdear"/>
      </w:pPr>
    </w:p>
    <w:p w:rsidR="009B5374" w:rsidRPr="000178D9" w:rsidRDefault="009B5374" w:rsidP="009B5374">
      <w:pPr>
        <w:pStyle w:val="Letdear"/>
        <w:rPr>
          <w:color w:val="0000FF"/>
        </w:rPr>
      </w:pPr>
      <w:r>
        <w:t>Dear Mr. Proctor:</w:t>
      </w:r>
    </w:p>
    <w:p w:rsidR="009B5374" w:rsidRPr="00954C7A" w:rsidRDefault="009B5374" w:rsidP="00221E77">
      <w:pPr>
        <w:pStyle w:val="Letdear"/>
        <w:tabs>
          <w:tab w:val="clear" w:pos="5400"/>
          <w:tab w:val="clear" w:pos="7200"/>
        </w:tabs>
        <w:jc w:val="both"/>
        <w:rPr>
          <w:b/>
          <w:bCs/>
          <w:i/>
          <w:iCs/>
        </w:rPr>
      </w:pPr>
    </w:p>
    <w:p w:rsidR="00A74C81" w:rsidRPr="00B15A5E" w:rsidRDefault="00A74C81" w:rsidP="001F053B">
      <w:pPr>
        <w:jc w:val="both"/>
        <w:rPr>
          <w:szCs w:val="24"/>
        </w:rPr>
      </w:pPr>
      <w:bookmarkStart w:id="0" w:name="Final"/>
      <w:bookmarkEnd w:id="0"/>
      <w:r w:rsidRPr="00B15A5E">
        <w:rPr>
          <w:szCs w:val="24"/>
        </w:rPr>
        <w:t>1.</w:t>
      </w:r>
      <w:r w:rsidRPr="00B15A5E">
        <w:rPr>
          <w:szCs w:val="24"/>
        </w:rPr>
        <w:tab/>
        <w:t xml:space="preserve">We are pleased to acknowledge on behalf of the International Bank for Reconstruction and Development (“IBRD”) and the International Development Association (“IDA”) (collectively, the “Bank”) that the </w:t>
      </w:r>
      <w:r>
        <w:rPr>
          <w:szCs w:val="24"/>
        </w:rPr>
        <w:t>Australian Agency for International Development</w:t>
      </w:r>
      <w:r w:rsidRPr="00B15A5E">
        <w:rPr>
          <w:szCs w:val="24"/>
        </w:rPr>
        <w:t xml:space="preserve"> </w:t>
      </w:r>
      <w:r>
        <w:rPr>
          <w:szCs w:val="24"/>
        </w:rPr>
        <w:t>(</w:t>
      </w:r>
      <w:proofErr w:type="spellStart"/>
      <w:r>
        <w:rPr>
          <w:szCs w:val="24"/>
        </w:rPr>
        <w:t>AusAID</w:t>
      </w:r>
      <w:proofErr w:type="spellEnd"/>
      <w:r>
        <w:rPr>
          <w:szCs w:val="24"/>
        </w:rPr>
        <w:t xml:space="preserve">) </w:t>
      </w:r>
      <w:r w:rsidRPr="00B15A5E">
        <w:rPr>
          <w:szCs w:val="24"/>
        </w:rPr>
        <w:t xml:space="preserve">(the “Donor”) </w:t>
      </w:r>
      <w:r w:rsidRPr="00623CD9">
        <w:rPr>
          <w:szCs w:val="24"/>
        </w:rPr>
        <w:t>will make available as a grant the</w:t>
      </w:r>
      <w:r w:rsidRPr="00B15A5E">
        <w:rPr>
          <w:szCs w:val="24"/>
        </w:rPr>
        <w:t xml:space="preserve"> </w:t>
      </w:r>
      <w:r w:rsidRPr="00623CD9">
        <w:rPr>
          <w:szCs w:val="24"/>
        </w:rPr>
        <w:t xml:space="preserve">sum of </w:t>
      </w:r>
      <w:r>
        <w:rPr>
          <w:szCs w:val="24"/>
        </w:rPr>
        <w:t xml:space="preserve">two </w:t>
      </w:r>
      <w:r w:rsidRPr="00623CD9">
        <w:rPr>
          <w:szCs w:val="24"/>
        </w:rPr>
        <w:t xml:space="preserve">million </w:t>
      </w:r>
      <w:r>
        <w:rPr>
          <w:szCs w:val="24"/>
        </w:rPr>
        <w:t>Australian Dollars (</w:t>
      </w:r>
      <w:r w:rsidRPr="00F857BF">
        <w:rPr>
          <w:b/>
          <w:szCs w:val="24"/>
        </w:rPr>
        <w:t>AUD2,000,000</w:t>
      </w:r>
      <w:r>
        <w:rPr>
          <w:szCs w:val="24"/>
        </w:rPr>
        <w:t xml:space="preserve">) </w:t>
      </w:r>
      <w:r w:rsidRPr="00B15A5E">
        <w:rPr>
          <w:szCs w:val="24"/>
        </w:rPr>
        <w:t>(the “Contribution”) for the</w:t>
      </w:r>
      <w:r>
        <w:rPr>
          <w:szCs w:val="24"/>
        </w:rPr>
        <w:t xml:space="preserve"> </w:t>
      </w:r>
      <w:r w:rsidRPr="00F33B1F">
        <w:t>Public-Private Infrastructure Advisory Facility (PPIAF)</w:t>
      </w:r>
      <w:r>
        <w:t xml:space="preserve"> Sub-N</w:t>
      </w:r>
      <w:r w:rsidRPr="00F33B1F">
        <w:t xml:space="preserve">ational Technical Assistance Program (SNTA) </w:t>
      </w:r>
      <w:r w:rsidRPr="00D015E1">
        <w:t>(TF No.070804</w:t>
      </w:r>
      <w:r>
        <w:t>)</w:t>
      </w:r>
      <w:r w:rsidRPr="00F33B1F">
        <w:t xml:space="preserve"> (the “Trust Fund”)</w:t>
      </w:r>
      <w:r>
        <w:t xml:space="preserve"> </w:t>
      </w:r>
      <w:r w:rsidRPr="00B15A5E">
        <w:rPr>
          <w:szCs w:val="24"/>
        </w:rPr>
        <w:t xml:space="preserve"> in accordance with the terms of this A</w:t>
      </w:r>
      <w:r>
        <w:rPr>
          <w:szCs w:val="24"/>
        </w:rPr>
        <w:t>greement</w:t>
      </w:r>
      <w:r w:rsidRPr="00B15A5E">
        <w:rPr>
          <w:szCs w:val="24"/>
        </w:rPr>
        <w:t>.</w:t>
      </w:r>
      <w:r>
        <w:rPr>
          <w:szCs w:val="24"/>
        </w:rPr>
        <w:t xml:space="preserve">  </w:t>
      </w:r>
      <w:r w:rsidRPr="00B15A5E">
        <w:rPr>
          <w:szCs w:val="24"/>
        </w:rPr>
        <w:t xml:space="preserve">Other donors are also expected to contribute to the Trust Fund on the terms and conditions specified in the </w:t>
      </w:r>
      <w:r w:rsidR="003D23E7" w:rsidRPr="003D23E7">
        <w:rPr>
          <w:b/>
          <w:szCs w:val="24"/>
        </w:rPr>
        <w:t>Annexes 1 and 2</w:t>
      </w:r>
      <w:r>
        <w:rPr>
          <w:szCs w:val="24"/>
        </w:rPr>
        <w:t xml:space="preserve"> </w:t>
      </w:r>
      <w:r w:rsidRPr="00B15A5E">
        <w:rPr>
          <w:szCs w:val="24"/>
        </w:rPr>
        <w:t xml:space="preserve">to this </w:t>
      </w:r>
      <w:r>
        <w:rPr>
          <w:szCs w:val="24"/>
        </w:rPr>
        <w:t>Agreement</w:t>
      </w:r>
      <w:r w:rsidRPr="00B15A5E">
        <w:rPr>
          <w:szCs w:val="24"/>
        </w:rPr>
        <w:t>.</w:t>
      </w:r>
    </w:p>
    <w:p w:rsidR="00A74C81" w:rsidRPr="00B15A5E" w:rsidRDefault="00A74C81">
      <w:pPr>
        <w:jc w:val="both"/>
        <w:rPr>
          <w:szCs w:val="24"/>
        </w:rPr>
      </w:pPr>
    </w:p>
    <w:p w:rsidR="00A74C81" w:rsidRDefault="00A74C81" w:rsidP="00553FB7">
      <w:pPr>
        <w:jc w:val="both"/>
        <w:rPr>
          <w:szCs w:val="24"/>
        </w:rPr>
      </w:pPr>
      <w:r w:rsidRPr="00B15A5E">
        <w:rPr>
          <w:szCs w:val="24"/>
        </w:rPr>
        <w:t>2.</w:t>
      </w:r>
      <w:r w:rsidRPr="00B15A5E">
        <w:rPr>
          <w:szCs w:val="24"/>
        </w:rPr>
        <w:tab/>
        <w:t xml:space="preserve">The Contribution </w:t>
      </w:r>
      <w:r>
        <w:rPr>
          <w:szCs w:val="24"/>
        </w:rPr>
        <w:t>will</w:t>
      </w:r>
      <w:r w:rsidRPr="00B15A5E">
        <w:rPr>
          <w:szCs w:val="24"/>
        </w:rPr>
        <w:t xml:space="preserve"> be used to finance the activities and the categories of expenditure set forth in the “Description of Activities and Expenditures under the PPIAF </w:t>
      </w:r>
      <w:r>
        <w:rPr>
          <w:szCs w:val="24"/>
        </w:rPr>
        <w:t>Sub-National Technical Assistance Program”</w:t>
      </w:r>
      <w:r w:rsidRPr="00B15A5E">
        <w:rPr>
          <w:szCs w:val="24"/>
        </w:rPr>
        <w:t xml:space="preserve"> attached hereto as Annex 1, and </w:t>
      </w:r>
      <w:r>
        <w:rPr>
          <w:szCs w:val="24"/>
        </w:rPr>
        <w:t>will</w:t>
      </w:r>
      <w:r w:rsidRPr="00B15A5E">
        <w:rPr>
          <w:szCs w:val="24"/>
        </w:rPr>
        <w:t xml:space="preserve"> be administered by the Bank on behalf of the Donor in accordance with the terms of this Agreement including the “Standard Provisions Applicable to the </w:t>
      </w:r>
      <w:r>
        <w:rPr>
          <w:szCs w:val="24"/>
        </w:rPr>
        <w:t>Trust Fund for the Sub-National Technical Assistance Program</w:t>
      </w:r>
      <w:r w:rsidRPr="00B15A5E">
        <w:rPr>
          <w:szCs w:val="24"/>
        </w:rPr>
        <w:t xml:space="preserve">” (the “Standard Provisions”) attached hereto as Annex 2. </w:t>
      </w:r>
      <w:r>
        <w:rPr>
          <w:szCs w:val="24"/>
        </w:rPr>
        <w:t xml:space="preserve"> </w:t>
      </w:r>
      <w:r w:rsidRPr="00623CD9">
        <w:rPr>
          <w:szCs w:val="24"/>
        </w:rPr>
        <w:t xml:space="preserve">The </w:t>
      </w:r>
      <w:r>
        <w:rPr>
          <w:szCs w:val="24"/>
        </w:rPr>
        <w:t>Standard Provisions constitute an integral part of this Agreement.</w:t>
      </w:r>
    </w:p>
    <w:p w:rsidR="00A74C81" w:rsidRDefault="00A74C81" w:rsidP="00553FB7">
      <w:pPr>
        <w:jc w:val="both"/>
        <w:rPr>
          <w:szCs w:val="24"/>
        </w:rPr>
      </w:pPr>
    </w:p>
    <w:p w:rsidR="00A74C81" w:rsidRDefault="00A74C81" w:rsidP="00A805CB">
      <w:pPr>
        <w:jc w:val="both"/>
      </w:pPr>
      <w:r w:rsidRPr="009247BC">
        <w:rPr>
          <w:szCs w:val="24"/>
        </w:rPr>
        <w:t>3.</w:t>
      </w:r>
      <w:r w:rsidRPr="009247BC">
        <w:rPr>
          <w:szCs w:val="24"/>
        </w:rPr>
        <w:tab/>
        <w:t>The Donor will deposit the Contribution in</w:t>
      </w:r>
      <w:r>
        <w:rPr>
          <w:szCs w:val="24"/>
        </w:rPr>
        <w:t xml:space="preserve"> the amount of two million Australian Dollars (</w:t>
      </w:r>
      <w:r w:rsidRPr="00F857BF">
        <w:rPr>
          <w:b/>
          <w:szCs w:val="24"/>
        </w:rPr>
        <w:t>AUD2</w:t>
      </w:r>
      <w:proofErr w:type="gramStart"/>
      <w:r w:rsidRPr="00F857BF">
        <w:rPr>
          <w:b/>
          <w:szCs w:val="24"/>
        </w:rPr>
        <w:t>,000,000</w:t>
      </w:r>
      <w:proofErr w:type="gramEnd"/>
      <w:r>
        <w:rPr>
          <w:szCs w:val="24"/>
        </w:rPr>
        <w:t xml:space="preserve">) into such bank account designated by the Bank </w:t>
      </w:r>
      <w:r>
        <w:t>in accordance with the following schedule:</w:t>
      </w:r>
    </w:p>
    <w:p w:rsidR="00A74C81" w:rsidRDefault="00A74C81" w:rsidP="00A805CB">
      <w:pPr>
        <w:jc w:val="both"/>
      </w:pPr>
    </w:p>
    <w:p w:rsidR="00A74C81" w:rsidRDefault="00A74C81" w:rsidP="00576F54">
      <w:pPr>
        <w:numPr>
          <w:ilvl w:val="0"/>
          <w:numId w:val="16"/>
        </w:numPr>
        <w:ind w:left="1440" w:hanging="720"/>
        <w:jc w:val="both"/>
        <w:rPr>
          <w:szCs w:val="24"/>
        </w:rPr>
      </w:pPr>
      <w:r>
        <w:rPr>
          <w:szCs w:val="24"/>
        </w:rPr>
        <w:lastRenderedPageBreak/>
        <w:t xml:space="preserve">A first installment in the amount of </w:t>
      </w:r>
      <w:r w:rsidRPr="003C7AB3">
        <w:rPr>
          <w:szCs w:val="24"/>
        </w:rPr>
        <w:t xml:space="preserve">one million Australian Dollars </w:t>
      </w:r>
    </w:p>
    <w:p w:rsidR="00A74C81" w:rsidRPr="009247BC" w:rsidRDefault="00A74C81" w:rsidP="00576F54">
      <w:pPr>
        <w:numPr>
          <w:ilvl w:val="0"/>
          <w:numId w:val="16"/>
        </w:numPr>
        <w:ind w:left="1440" w:hanging="720"/>
        <w:jc w:val="both"/>
        <w:rPr>
          <w:szCs w:val="24"/>
        </w:rPr>
      </w:pPr>
      <w:r w:rsidRPr="003C7AB3">
        <w:rPr>
          <w:szCs w:val="24"/>
        </w:rPr>
        <w:t>(</w:t>
      </w:r>
      <w:r w:rsidR="003D23E7" w:rsidRPr="003D23E7">
        <w:rPr>
          <w:b/>
          <w:szCs w:val="24"/>
        </w:rPr>
        <w:t>AUD1</w:t>
      </w:r>
      <w:proofErr w:type="gramStart"/>
      <w:r w:rsidR="003D23E7" w:rsidRPr="003D23E7">
        <w:rPr>
          <w:b/>
          <w:szCs w:val="24"/>
        </w:rPr>
        <w:t>,000,000</w:t>
      </w:r>
      <w:proofErr w:type="gramEnd"/>
      <w:r w:rsidRPr="003C7AB3">
        <w:rPr>
          <w:szCs w:val="24"/>
        </w:rPr>
        <w:t>) will be deposited by the Donor on or before June 30, 2012</w:t>
      </w:r>
      <w:r>
        <w:rPr>
          <w:color w:val="000000"/>
          <w:szCs w:val="24"/>
        </w:rPr>
        <w:t xml:space="preserve"> upon effectiveness of this Agreement</w:t>
      </w:r>
      <w:r w:rsidRPr="009247BC">
        <w:rPr>
          <w:color w:val="000000"/>
          <w:szCs w:val="24"/>
        </w:rPr>
        <w:t>.</w:t>
      </w:r>
    </w:p>
    <w:p w:rsidR="00A74C81" w:rsidRPr="009247BC" w:rsidRDefault="00A74C81" w:rsidP="00576F54">
      <w:pPr>
        <w:ind w:left="1440" w:hanging="720"/>
        <w:jc w:val="both"/>
        <w:rPr>
          <w:szCs w:val="24"/>
        </w:rPr>
      </w:pPr>
    </w:p>
    <w:p w:rsidR="00A74C81" w:rsidRPr="00A805CB" w:rsidRDefault="00A74C81" w:rsidP="00576F54">
      <w:pPr>
        <w:numPr>
          <w:ilvl w:val="0"/>
          <w:numId w:val="16"/>
        </w:numPr>
        <w:ind w:left="1440" w:hanging="720"/>
        <w:jc w:val="both"/>
        <w:rPr>
          <w:szCs w:val="24"/>
        </w:rPr>
      </w:pPr>
      <w:r>
        <w:rPr>
          <w:color w:val="000000"/>
          <w:szCs w:val="24"/>
        </w:rPr>
        <w:t xml:space="preserve">A second installment in the amount of </w:t>
      </w:r>
      <w:r w:rsidRPr="003C7AB3">
        <w:rPr>
          <w:szCs w:val="24"/>
        </w:rPr>
        <w:t>one million Australian Dollars (</w:t>
      </w:r>
      <w:r w:rsidR="003D23E7" w:rsidRPr="003D23E7">
        <w:rPr>
          <w:b/>
          <w:szCs w:val="24"/>
        </w:rPr>
        <w:t>AUD1</w:t>
      </w:r>
      <w:proofErr w:type="gramStart"/>
      <w:r w:rsidR="003D23E7" w:rsidRPr="003D23E7">
        <w:rPr>
          <w:b/>
          <w:szCs w:val="24"/>
        </w:rPr>
        <w:t>,000,000</w:t>
      </w:r>
      <w:proofErr w:type="gramEnd"/>
      <w:r>
        <w:rPr>
          <w:szCs w:val="24"/>
        </w:rPr>
        <w:t>)</w:t>
      </w:r>
      <w:r w:rsidRPr="003C7AB3">
        <w:rPr>
          <w:szCs w:val="24"/>
        </w:rPr>
        <w:t xml:space="preserve"> will be deposited by the Donor on or before June 30, 2013</w:t>
      </w:r>
      <w:r w:rsidRPr="009247BC">
        <w:rPr>
          <w:color w:val="000000"/>
          <w:szCs w:val="24"/>
        </w:rPr>
        <w:t xml:space="preserve"> upon submission </w:t>
      </w:r>
      <w:r>
        <w:rPr>
          <w:szCs w:val="24"/>
        </w:rPr>
        <w:t>by the Bank of a payment request together with an unaudited financial statement on the use of the previous fund payment.</w:t>
      </w:r>
    </w:p>
    <w:p w:rsidR="00A74C81" w:rsidRPr="00B15A5E" w:rsidRDefault="00A74C81" w:rsidP="009247BC">
      <w:pPr>
        <w:tabs>
          <w:tab w:val="left" w:pos="720"/>
        </w:tabs>
        <w:jc w:val="both"/>
        <w:rPr>
          <w:szCs w:val="24"/>
        </w:rPr>
      </w:pPr>
    </w:p>
    <w:p w:rsidR="00A74C81" w:rsidRPr="00383847" w:rsidRDefault="00A74C81" w:rsidP="00A805CB">
      <w:pPr>
        <w:tabs>
          <w:tab w:val="left" w:pos="720"/>
        </w:tabs>
        <w:autoSpaceDE w:val="0"/>
        <w:autoSpaceDN w:val="0"/>
        <w:adjustRightInd w:val="0"/>
        <w:jc w:val="both"/>
        <w:rPr>
          <w:rFonts w:eastAsia="MS Mincho"/>
          <w:color w:val="000000"/>
          <w:szCs w:val="24"/>
          <w:lang w:eastAsia="ja-JP"/>
        </w:rPr>
      </w:pPr>
      <w:r w:rsidRPr="007611A3">
        <w:rPr>
          <w:szCs w:val="24"/>
        </w:rPr>
        <w:t xml:space="preserve">4. </w:t>
      </w:r>
      <w:r>
        <w:rPr>
          <w:szCs w:val="24"/>
        </w:rPr>
        <w:tab/>
      </w:r>
      <w:r>
        <w:rPr>
          <w:rFonts w:eastAsia="MS Mincho"/>
          <w:color w:val="000000"/>
          <w:szCs w:val="24"/>
          <w:lang w:eastAsia="ja-JP"/>
        </w:rPr>
        <w:t>When making such deposit</w:t>
      </w:r>
      <w:r w:rsidRPr="00383847">
        <w:rPr>
          <w:rFonts w:eastAsia="MS Mincho"/>
          <w:color w:val="000000"/>
          <w:szCs w:val="24"/>
          <w:lang w:eastAsia="ja-JP"/>
        </w:rPr>
        <w:t xml:space="preserve">, the Donor </w:t>
      </w:r>
      <w:r>
        <w:rPr>
          <w:rFonts w:eastAsia="MS Mincho"/>
          <w:color w:val="000000"/>
          <w:szCs w:val="24"/>
          <w:lang w:eastAsia="ja-JP"/>
        </w:rPr>
        <w:t>shall</w:t>
      </w:r>
      <w:r w:rsidRPr="00383847">
        <w:rPr>
          <w:rFonts w:eastAsia="MS Mincho"/>
          <w:color w:val="000000"/>
          <w:szCs w:val="24"/>
          <w:lang w:eastAsia="ja-JP"/>
        </w:rPr>
        <w:t xml:space="preserve"> instruct </w:t>
      </w:r>
      <w:r>
        <w:rPr>
          <w:rFonts w:eastAsia="MS Mincho"/>
          <w:color w:val="000000"/>
          <w:szCs w:val="24"/>
          <w:lang w:eastAsia="ja-JP"/>
        </w:rPr>
        <w:t xml:space="preserve">its </w:t>
      </w:r>
      <w:r w:rsidRPr="00383847">
        <w:rPr>
          <w:rFonts w:eastAsia="MS Mincho"/>
          <w:color w:val="000000"/>
          <w:szCs w:val="24"/>
          <w:lang w:eastAsia="ja-JP"/>
        </w:rPr>
        <w:t xml:space="preserve">bank to include in its payment details information (remittance advice) field of its SWIFT payment message, information indicating: the amount paid, that the payment is </w:t>
      </w:r>
      <w:r>
        <w:rPr>
          <w:rFonts w:eastAsia="MS Mincho"/>
          <w:color w:val="000000"/>
          <w:szCs w:val="24"/>
          <w:lang w:eastAsia="ja-JP"/>
        </w:rPr>
        <w:t xml:space="preserve">made </w:t>
      </w:r>
      <w:r w:rsidRPr="00383847">
        <w:rPr>
          <w:rFonts w:eastAsia="MS Mincho"/>
          <w:color w:val="000000"/>
          <w:szCs w:val="24"/>
          <w:lang w:eastAsia="ja-JP"/>
        </w:rPr>
        <w:t xml:space="preserve">by the Donor for TF070804 </w:t>
      </w:r>
      <w:r>
        <w:rPr>
          <w:rFonts w:eastAsia="MS Mincho"/>
          <w:color w:val="000000"/>
          <w:szCs w:val="24"/>
          <w:lang w:eastAsia="ja-JP"/>
        </w:rPr>
        <w:t>(</w:t>
      </w:r>
      <w:r w:rsidRPr="00383847">
        <w:rPr>
          <w:rFonts w:eastAsia="MS Mincho"/>
          <w:color w:val="000000"/>
          <w:szCs w:val="24"/>
          <w:lang w:eastAsia="ja-JP"/>
        </w:rPr>
        <w:t>PPIAF SUB-NATIONAL TECHNICAL ASSISTANCE FUND</w:t>
      </w:r>
      <w:r>
        <w:rPr>
          <w:rFonts w:eastAsia="MS Mincho"/>
          <w:color w:val="000000"/>
          <w:szCs w:val="24"/>
          <w:lang w:eastAsia="ja-JP"/>
        </w:rPr>
        <w:t>)</w:t>
      </w:r>
      <w:r w:rsidRPr="00383847">
        <w:rPr>
          <w:rFonts w:eastAsia="MS Mincho"/>
          <w:color w:val="000000"/>
          <w:szCs w:val="24"/>
          <w:lang w:eastAsia="ja-JP"/>
        </w:rPr>
        <w:t xml:space="preserve"> and the date of deposit</w:t>
      </w:r>
      <w:r>
        <w:rPr>
          <w:rFonts w:eastAsia="MS Mincho"/>
          <w:color w:val="000000"/>
          <w:szCs w:val="24"/>
          <w:lang w:eastAsia="ja-JP"/>
        </w:rPr>
        <w:t xml:space="preserve"> (the “Deposit Instruction”)</w:t>
      </w:r>
      <w:r w:rsidRPr="00383847">
        <w:rPr>
          <w:rFonts w:eastAsia="MS Mincho"/>
          <w:color w:val="000000"/>
          <w:szCs w:val="24"/>
          <w:lang w:eastAsia="ja-JP"/>
        </w:rPr>
        <w:t xml:space="preserve">. </w:t>
      </w:r>
      <w:r>
        <w:rPr>
          <w:rFonts w:eastAsia="MS Mincho"/>
          <w:color w:val="000000"/>
          <w:szCs w:val="24"/>
          <w:lang w:eastAsia="ja-JP"/>
        </w:rPr>
        <w:t xml:space="preserve"> </w:t>
      </w:r>
      <w:r w:rsidRPr="00383847">
        <w:rPr>
          <w:rFonts w:eastAsia="MS Mincho"/>
          <w:color w:val="000000"/>
          <w:szCs w:val="24"/>
          <w:lang w:eastAsia="ja-JP"/>
        </w:rPr>
        <w:t xml:space="preserve">In addition, the Donor </w:t>
      </w:r>
      <w:r>
        <w:rPr>
          <w:rFonts w:eastAsia="MS Mincho"/>
          <w:color w:val="000000"/>
          <w:szCs w:val="24"/>
          <w:lang w:eastAsia="ja-JP"/>
        </w:rPr>
        <w:t xml:space="preserve">shall provide </w:t>
      </w:r>
      <w:r w:rsidRPr="00383847">
        <w:rPr>
          <w:rFonts w:eastAsia="MS Mincho"/>
          <w:color w:val="000000"/>
          <w:szCs w:val="24"/>
          <w:lang w:eastAsia="ja-JP"/>
        </w:rPr>
        <w:t>a copy of the</w:t>
      </w:r>
      <w:r>
        <w:rPr>
          <w:rFonts w:eastAsia="MS Mincho"/>
          <w:color w:val="000000"/>
          <w:szCs w:val="24"/>
          <w:lang w:eastAsia="ja-JP"/>
        </w:rPr>
        <w:t xml:space="preserve"> Donor’s Deposit I</w:t>
      </w:r>
      <w:r w:rsidRPr="00383847">
        <w:rPr>
          <w:rFonts w:eastAsia="MS Mincho"/>
          <w:color w:val="000000"/>
          <w:szCs w:val="24"/>
          <w:lang w:eastAsia="ja-JP"/>
        </w:rPr>
        <w:t xml:space="preserve">nstruction to the Bank’s Trust Funds Accounting Division by e-mail </w:t>
      </w:r>
      <w:r>
        <w:rPr>
          <w:rFonts w:eastAsia="MS Mincho"/>
          <w:color w:val="000000"/>
          <w:szCs w:val="24"/>
          <w:lang w:eastAsia="ja-JP"/>
        </w:rPr>
        <w:t xml:space="preserve">sent </w:t>
      </w:r>
      <w:r w:rsidRPr="00383847">
        <w:rPr>
          <w:rFonts w:eastAsia="MS Mincho"/>
          <w:color w:val="000000"/>
          <w:szCs w:val="24"/>
          <w:lang w:eastAsia="ja-JP"/>
        </w:rPr>
        <w:t>to “tfremitadvice@worldbank.org” or by fax to (202) 614-1315.</w:t>
      </w:r>
    </w:p>
    <w:p w:rsidR="00A74C81" w:rsidRPr="007611A3" w:rsidRDefault="00A74C81" w:rsidP="00623CD9">
      <w:pPr>
        <w:autoSpaceDE w:val="0"/>
        <w:autoSpaceDN w:val="0"/>
        <w:adjustRightInd w:val="0"/>
        <w:jc w:val="both"/>
        <w:rPr>
          <w:color w:val="000000"/>
          <w:szCs w:val="24"/>
        </w:rPr>
      </w:pPr>
    </w:p>
    <w:p w:rsidR="00A74C81" w:rsidRDefault="00A74C81" w:rsidP="007611A3">
      <w:pPr>
        <w:jc w:val="both"/>
        <w:rPr>
          <w:color w:val="000000"/>
          <w:szCs w:val="24"/>
        </w:rPr>
      </w:pPr>
      <w:r>
        <w:rPr>
          <w:color w:val="000000"/>
          <w:szCs w:val="24"/>
        </w:rPr>
        <w:t>5.</w:t>
      </w:r>
      <w:r>
        <w:rPr>
          <w:color w:val="000000"/>
          <w:szCs w:val="24"/>
        </w:rPr>
        <w:tab/>
        <w:t xml:space="preserve"> The Bank will</w:t>
      </w:r>
      <w:r w:rsidRPr="007611A3">
        <w:rPr>
          <w:color w:val="000000"/>
          <w:szCs w:val="24"/>
        </w:rPr>
        <w:t xml:space="preserve"> convert the Contribution funds into the holding currency of the Trust Fund, namely </w:t>
      </w:r>
      <w:r>
        <w:rPr>
          <w:color w:val="000000"/>
          <w:szCs w:val="24"/>
        </w:rPr>
        <w:t>United States Dollars</w:t>
      </w:r>
      <w:r w:rsidRPr="007611A3">
        <w:rPr>
          <w:color w:val="000000"/>
          <w:szCs w:val="24"/>
        </w:rPr>
        <w:t xml:space="preserve">, promptly upon receipt of the Contribution funds and the Deposit Instruction containing the information specified in paragraph 4 at the exchange rate obtained by the Bank on the date of the conversion.  Where the Contribution </w:t>
      </w:r>
      <w:proofErr w:type="gramStart"/>
      <w:r w:rsidRPr="007611A3">
        <w:rPr>
          <w:color w:val="000000"/>
          <w:szCs w:val="24"/>
        </w:rPr>
        <w:t>proves to be insufficient to complete the activities as a result of an exchange rate fluctuation, neither</w:t>
      </w:r>
      <w:proofErr w:type="gramEnd"/>
      <w:r w:rsidRPr="007611A3">
        <w:rPr>
          <w:color w:val="000000"/>
          <w:szCs w:val="24"/>
        </w:rPr>
        <w:t xml:space="preserve"> the Bank nor t</w:t>
      </w:r>
      <w:r>
        <w:rPr>
          <w:color w:val="000000"/>
          <w:szCs w:val="24"/>
        </w:rPr>
        <w:t>he Donor will</w:t>
      </w:r>
      <w:r w:rsidRPr="007611A3">
        <w:rPr>
          <w:color w:val="000000"/>
          <w:szCs w:val="24"/>
        </w:rPr>
        <w:t xml:space="preserve"> bear any responsibility for providing any additional financing</w:t>
      </w:r>
    </w:p>
    <w:p w:rsidR="00A74C81" w:rsidRDefault="00A74C81" w:rsidP="007611A3">
      <w:pPr>
        <w:jc w:val="both"/>
        <w:rPr>
          <w:color w:val="000000"/>
          <w:szCs w:val="24"/>
        </w:rPr>
      </w:pPr>
    </w:p>
    <w:p w:rsidR="00A74C81" w:rsidRPr="00B15A5E" w:rsidRDefault="00A74C81">
      <w:pPr>
        <w:jc w:val="both"/>
        <w:rPr>
          <w:szCs w:val="24"/>
        </w:rPr>
      </w:pPr>
      <w:r>
        <w:rPr>
          <w:szCs w:val="24"/>
        </w:rPr>
        <w:t>6</w:t>
      </w:r>
      <w:r w:rsidRPr="00B15A5E">
        <w:rPr>
          <w:szCs w:val="24"/>
        </w:rPr>
        <w:t>.</w:t>
      </w:r>
      <w:r w:rsidRPr="00B15A5E">
        <w:rPr>
          <w:szCs w:val="24"/>
        </w:rPr>
        <w:tab/>
      </w:r>
      <w:r>
        <w:rPr>
          <w:szCs w:val="24"/>
        </w:rPr>
        <w:t>A</w:t>
      </w:r>
      <w:r w:rsidRPr="00B15A5E">
        <w:rPr>
          <w:szCs w:val="24"/>
        </w:rPr>
        <w:t xml:space="preserve">ny notice, request or other communication to be given or made under this Agreement </w:t>
      </w:r>
      <w:r>
        <w:rPr>
          <w:szCs w:val="24"/>
        </w:rPr>
        <w:t>will</w:t>
      </w:r>
      <w:r w:rsidRPr="00B15A5E">
        <w:rPr>
          <w:szCs w:val="24"/>
        </w:rPr>
        <w:t xml:space="preserve"> be in writing and delivered by mail, facsimile or e-mail to the respective party’s address specified below or at such other address as such party notifies in writing to the other party from time to time:</w:t>
      </w:r>
    </w:p>
    <w:p w:rsidR="00A74C81" w:rsidRDefault="00A74C81">
      <w:pPr>
        <w:jc w:val="both"/>
        <w:rPr>
          <w:szCs w:val="24"/>
        </w:rPr>
      </w:pPr>
    </w:p>
    <w:p w:rsidR="00A74C81" w:rsidRPr="00B15A5E" w:rsidRDefault="00A74C81">
      <w:pPr>
        <w:jc w:val="both"/>
        <w:rPr>
          <w:szCs w:val="24"/>
        </w:rPr>
      </w:pPr>
    </w:p>
    <w:p w:rsidR="00A74C81" w:rsidRPr="00B15A5E" w:rsidRDefault="00A74C81">
      <w:pPr>
        <w:ind w:firstLine="720"/>
        <w:jc w:val="both"/>
        <w:rPr>
          <w:szCs w:val="24"/>
        </w:rPr>
      </w:pPr>
      <w:r w:rsidRPr="00B15A5E">
        <w:rPr>
          <w:szCs w:val="24"/>
          <w:u w:val="single"/>
        </w:rPr>
        <w:t>For the Bank</w:t>
      </w:r>
      <w:r w:rsidRPr="00B15A5E">
        <w:rPr>
          <w:szCs w:val="24"/>
        </w:rPr>
        <w:t>:</w:t>
      </w:r>
    </w:p>
    <w:p w:rsidR="00A74C81" w:rsidRPr="00B15A5E" w:rsidRDefault="00A74C81">
      <w:pPr>
        <w:jc w:val="both"/>
        <w:rPr>
          <w:szCs w:val="24"/>
        </w:rPr>
      </w:pPr>
    </w:p>
    <w:p w:rsidR="00A74C81" w:rsidRPr="00B15A5E" w:rsidRDefault="00A74C81" w:rsidP="00AE4AFC">
      <w:pPr>
        <w:ind w:left="720"/>
        <w:rPr>
          <w:color w:val="000000"/>
          <w:szCs w:val="24"/>
        </w:rPr>
      </w:pPr>
      <w:r w:rsidRPr="00B15A5E">
        <w:rPr>
          <w:color w:val="000000"/>
          <w:szCs w:val="24"/>
        </w:rPr>
        <w:t xml:space="preserve">Ms. </w:t>
      </w:r>
      <w:proofErr w:type="spellStart"/>
      <w:r w:rsidRPr="00B15A5E">
        <w:rPr>
          <w:color w:val="000000"/>
          <w:szCs w:val="24"/>
        </w:rPr>
        <w:t>Zoubida</w:t>
      </w:r>
      <w:proofErr w:type="spellEnd"/>
      <w:r w:rsidRPr="00B15A5E">
        <w:rPr>
          <w:color w:val="000000"/>
          <w:szCs w:val="24"/>
        </w:rPr>
        <w:t xml:space="preserve"> </w:t>
      </w:r>
      <w:proofErr w:type="spellStart"/>
      <w:r w:rsidRPr="00B15A5E">
        <w:rPr>
          <w:color w:val="000000"/>
          <w:szCs w:val="24"/>
        </w:rPr>
        <w:t>Allaoua</w:t>
      </w:r>
      <w:proofErr w:type="spellEnd"/>
    </w:p>
    <w:p w:rsidR="00A74C81" w:rsidRPr="00B15A5E" w:rsidRDefault="00A74C81" w:rsidP="00AE4AFC">
      <w:pPr>
        <w:ind w:left="720"/>
        <w:rPr>
          <w:color w:val="000000"/>
          <w:szCs w:val="24"/>
        </w:rPr>
      </w:pPr>
      <w:r w:rsidRPr="00B15A5E">
        <w:rPr>
          <w:color w:val="000000"/>
          <w:szCs w:val="24"/>
        </w:rPr>
        <w:t>Director</w:t>
      </w:r>
    </w:p>
    <w:p w:rsidR="00A74C81" w:rsidRPr="00B15A5E" w:rsidRDefault="00A74C81" w:rsidP="00AE4AFC">
      <w:pPr>
        <w:ind w:left="720"/>
        <w:rPr>
          <w:color w:val="000000"/>
          <w:szCs w:val="24"/>
        </w:rPr>
      </w:pPr>
      <w:r w:rsidRPr="00B15A5E">
        <w:rPr>
          <w:color w:val="000000"/>
          <w:szCs w:val="24"/>
        </w:rPr>
        <w:t>Finance, Economics and Urban Development Department (FEU)</w:t>
      </w:r>
    </w:p>
    <w:p w:rsidR="00A74C81" w:rsidRPr="00B15A5E" w:rsidRDefault="00A74C81" w:rsidP="00AE4AFC">
      <w:pPr>
        <w:ind w:left="720"/>
        <w:rPr>
          <w:color w:val="000000"/>
          <w:szCs w:val="24"/>
        </w:rPr>
      </w:pPr>
      <w:r w:rsidRPr="00B15A5E">
        <w:rPr>
          <w:color w:val="000000"/>
          <w:szCs w:val="24"/>
        </w:rPr>
        <w:t>The World Bank</w:t>
      </w:r>
    </w:p>
    <w:p w:rsidR="00A74C81" w:rsidRPr="00B15A5E" w:rsidRDefault="00A74C81" w:rsidP="00AE4AFC">
      <w:pPr>
        <w:ind w:left="720"/>
        <w:rPr>
          <w:color w:val="000000"/>
          <w:szCs w:val="24"/>
        </w:rPr>
      </w:pPr>
      <w:smartTag w:uri="urn:schemas-microsoft-com:office:smarttags" w:element="address">
        <w:smartTag w:uri="urn:schemas-microsoft-com:office:smarttags" w:element="Street">
          <w:r w:rsidRPr="00B15A5E">
            <w:rPr>
              <w:color w:val="000000"/>
              <w:szCs w:val="24"/>
            </w:rPr>
            <w:t>1818 H Street, N.W.</w:t>
          </w:r>
        </w:smartTag>
      </w:smartTag>
      <w:r w:rsidRPr="00B15A5E">
        <w:rPr>
          <w:color w:val="000000"/>
          <w:szCs w:val="24"/>
        </w:rPr>
        <w:t xml:space="preserve"> </w:t>
      </w:r>
    </w:p>
    <w:p w:rsidR="00A74C81" w:rsidRPr="00B15A5E" w:rsidRDefault="00A74C81" w:rsidP="00AE4AFC">
      <w:pPr>
        <w:ind w:left="720"/>
        <w:rPr>
          <w:color w:val="000000"/>
          <w:szCs w:val="24"/>
        </w:rPr>
      </w:pPr>
      <w:smartTag w:uri="urn:schemas-microsoft-com:office:smarttags" w:element="City">
        <w:smartTag w:uri="urn:schemas-microsoft-com:office:smarttags" w:element="place">
          <w:r w:rsidRPr="00B15A5E">
            <w:rPr>
              <w:color w:val="000000"/>
              <w:szCs w:val="24"/>
            </w:rPr>
            <w:t>Washington</w:t>
          </w:r>
        </w:smartTag>
        <w:r w:rsidRPr="00B15A5E">
          <w:rPr>
            <w:color w:val="000000"/>
            <w:szCs w:val="24"/>
          </w:rPr>
          <w:t xml:space="preserve">, </w:t>
        </w:r>
        <w:smartTag w:uri="urn:schemas-microsoft-com:office:smarttags" w:element="State">
          <w:r w:rsidRPr="00B15A5E">
            <w:rPr>
              <w:color w:val="000000"/>
              <w:szCs w:val="24"/>
            </w:rPr>
            <w:t>DC</w:t>
          </w:r>
        </w:smartTag>
        <w:r w:rsidRPr="00B15A5E">
          <w:rPr>
            <w:color w:val="000000"/>
            <w:szCs w:val="24"/>
          </w:rPr>
          <w:t xml:space="preserve">  </w:t>
        </w:r>
        <w:smartTag w:uri="urn:schemas-microsoft-com:office:smarttags" w:element="PostalCode">
          <w:r w:rsidRPr="00B15A5E">
            <w:rPr>
              <w:color w:val="000000"/>
              <w:szCs w:val="24"/>
            </w:rPr>
            <w:t>20433</w:t>
          </w:r>
        </w:smartTag>
        <w:r w:rsidRPr="00B15A5E">
          <w:rPr>
            <w:color w:val="000000"/>
            <w:szCs w:val="24"/>
          </w:rPr>
          <w:t xml:space="preserve">, </w:t>
        </w:r>
        <w:smartTag w:uri="urn:schemas-microsoft-com:office:smarttags" w:element="country-region">
          <w:r w:rsidRPr="00B15A5E">
            <w:rPr>
              <w:color w:val="000000"/>
              <w:szCs w:val="24"/>
            </w:rPr>
            <w:t>United States of America</w:t>
          </w:r>
        </w:smartTag>
      </w:smartTag>
    </w:p>
    <w:p w:rsidR="00A74C81" w:rsidRPr="00B15A5E" w:rsidRDefault="00A74C81" w:rsidP="00AE4AFC">
      <w:pPr>
        <w:ind w:left="720"/>
        <w:rPr>
          <w:color w:val="000000"/>
          <w:szCs w:val="24"/>
        </w:rPr>
      </w:pPr>
      <w:r w:rsidRPr="00B15A5E">
        <w:rPr>
          <w:color w:val="000000"/>
          <w:szCs w:val="24"/>
        </w:rPr>
        <w:t xml:space="preserve">Tel: </w:t>
      </w:r>
      <w:r w:rsidRPr="00B15A5E">
        <w:rPr>
          <w:color w:val="000000"/>
          <w:szCs w:val="24"/>
        </w:rPr>
        <w:tab/>
        <w:t>+1 202 458-0993</w:t>
      </w:r>
    </w:p>
    <w:p w:rsidR="00A74C81" w:rsidRDefault="00A74C81" w:rsidP="00AE4AFC">
      <w:pPr>
        <w:ind w:left="720"/>
        <w:rPr>
          <w:color w:val="000000"/>
          <w:szCs w:val="24"/>
        </w:rPr>
      </w:pPr>
      <w:r w:rsidRPr="00B15A5E">
        <w:rPr>
          <w:color w:val="000000"/>
          <w:szCs w:val="24"/>
        </w:rPr>
        <w:t>Fax:</w:t>
      </w:r>
      <w:r w:rsidRPr="00B15A5E">
        <w:rPr>
          <w:color w:val="000000"/>
          <w:szCs w:val="24"/>
        </w:rPr>
        <w:tab/>
        <w:t>+1 202 522-3481</w:t>
      </w:r>
    </w:p>
    <w:p w:rsidR="00A74C81" w:rsidRPr="00B15A5E" w:rsidRDefault="00A74C81" w:rsidP="00AE4AFC">
      <w:pPr>
        <w:ind w:left="720"/>
        <w:rPr>
          <w:color w:val="000000"/>
          <w:szCs w:val="24"/>
        </w:rPr>
      </w:pPr>
      <w:r>
        <w:rPr>
          <w:color w:val="000000"/>
          <w:szCs w:val="24"/>
        </w:rPr>
        <w:t>Email:</w:t>
      </w:r>
      <w:r>
        <w:rPr>
          <w:color w:val="000000"/>
          <w:szCs w:val="24"/>
        </w:rPr>
        <w:tab/>
        <w:t>zallaoua@worldbank.org</w:t>
      </w:r>
    </w:p>
    <w:p w:rsidR="00A74C81" w:rsidRPr="00B15A5E" w:rsidRDefault="00A74C81" w:rsidP="0010527B">
      <w:pPr>
        <w:jc w:val="both"/>
        <w:rPr>
          <w:szCs w:val="24"/>
        </w:rPr>
      </w:pPr>
    </w:p>
    <w:p w:rsidR="00A74C81" w:rsidRDefault="00A74C81">
      <w:pPr>
        <w:jc w:val="both"/>
        <w:rPr>
          <w:szCs w:val="24"/>
        </w:rPr>
      </w:pPr>
      <w:r w:rsidRPr="00B15A5E">
        <w:rPr>
          <w:szCs w:val="24"/>
        </w:rPr>
        <w:tab/>
      </w:r>
    </w:p>
    <w:p w:rsidR="00A74C81" w:rsidRDefault="00A74C81">
      <w:pPr>
        <w:rPr>
          <w:szCs w:val="24"/>
          <w:u w:val="single"/>
        </w:rPr>
      </w:pPr>
      <w:r>
        <w:rPr>
          <w:szCs w:val="24"/>
          <w:u w:val="single"/>
        </w:rPr>
        <w:br w:type="page"/>
      </w:r>
    </w:p>
    <w:p w:rsidR="00A74C81" w:rsidRPr="00B15A5E" w:rsidRDefault="00A74C81" w:rsidP="00576494">
      <w:pPr>
        <w:ind w:firstLine="720"/>
        <w:jc w:val="both"/>
        <w:rPr>
          <w:szCs w:val="24"/>
        </w:rPr>
      </w:pPr>
      <w:r w:rsidRPr="00B15A5E">
        <w:rPr>
          <w:szCs w:val="24"/>
          <w:u w:val="single"/>
        </w:rPr>
        <w:lastRenderedPageBreak/>
        <w:t>For the Donor</w:t>
      </w:r>
      <w:r w:rsidRPr="00B15A5E">
        <w:rPr>
          <w:szCs w:val="24"/>
        </w:rPr>
        <w:t>:</w:t>
      </w:r>
    </w:p>
    <w:p w:rsidR="00A74C81" w:rsidRPr="00B15A5E" w:rsidRDefault="00A74C81">
      <w:pPr>
        <w:jc w:val="both"/>
        <w:rPr>
          <w:szCs w:val="24"/>
        </w:rPr>
      </w:pPr>
    </w:p>
    <w:p w:rsidR="00A74C81" w:rsidRPr="00954C7A" w:rsidRDefault="00A74C81" w:rsidP="00AE4AFC">
      <w:pPr>
        <w:pStyle w:val="BlockText"/>
        <w:tabs>
          <w:tab w:val="left" w:pos="-2160"/>
          <w:tab w:val="left" w:pos="720"/>
          <w:tab w:val="left" w:pos="11610"/>
        </w:tabs>
        <w:ind w:right="0"/>
        <w:jc w:val="left"/>
        <w:rPr>
          <w:b w:val="0"/>
          <w:i w:val="0"/>
        </w:rPr>
      </w:pPr>
      <w:bookmarkStart w:id="1" w:name="_DV_M61"/>
      <w:bookmarkStart w:id="2" w:name="_DV_M62"/>
      <w:bookmarkStart w:id="3" w:name="_DV_M63"/>
      <w:bookmarkStart w:id="4" w:name="_DV_M64"/>
      <w:bookmarkStart w:id="5" w:name="_DV_M65"/>
      <w:bookmarkStart w:id="6" w:name="_DV_M66"/>
      <w:bookmarkEnd w:id="1"/>
      <w:bookmarkEnd w:id="2"/>
      <w:bookmarkEnd w:id="3"/>
      <w:bookmarkEnd w:id="4"/>
      <w:bookmarkEnd w:id="5"/>
      <w:bookmarkEnd w:id="6"/>
      <w:r w:rsidRPr="00954C7A">
        <w:rPr>
          <w:b w:val="0"/>
          <w:i w:val="0"/>
        </w:rPr>
        <w:t>M</w:t>
      </w:r>
      <w:r>
        <w:rPr>
          <w:b w:val="0"/>
          <w:i w:val="0"/>
        </w:rPr>
        <w:t xml:space="preserve">r. </w:t>
      </w:r>
      <w:smartTag w:uri="urn:schemas-microsoft-com:office:smarttags" w:element="PersonName">
        <w:r>
          <w:rPr>
            <w:b w:val="0"/>
            <w:i w:val="0"/>
          </w:rPr>
          <w:t>Murray Proctor</w:t>
        </w:r>
      </w:smartTag>
    </w:p>
    <w:p w:rsidR="00A74C81" w:rsidRPr="00954C7A" w:rsidRDefault="00A74C81" w:rsidP="00AE4AFC">
      <w:pPr>
        <w:pStyle w:val="BlockText"/>
        <w:tabs>
          <w:tab w:val="left" w:pos="-2160"/>
          <w:tab w:val="left" w:pos="720"/>
          <w:tab w:val="left" w:pos="11610"/>
        </w:tabs>
        <w:ind w:right="0"/>
        <w:jc w:val="left"/>
        <w:rPr>
          <w:b w:val="0"/>
          <w:i w:val="0"/>
        </w:rPr>
      </w:pPr>
      <w:r>
        <w:rPr>
          <w:b w:val="0"/>
          <w:i w:val="0"/>
        </w:rPr>
        <w:t>First-Assistant Director General</w:t>
      </w:r>
    </w:p>
    <w:p w:rsidR="00A74C81" w:rsidRPr="00954C7A" w:rsidRDefault="00A74C81" w:rsidP="00AE4AFC">
      <w:pPr>
        <w:pStyle w:val="BlockText"/>
        <w:tabs>
          <w:tab w:val="left" w:pos="-2160"/>
          <w:tab w:val="left" w:pos="720"/>
          <w:tab w:val="left" w:pos="11610"/>
        </w:tabs>
        <w:ind w:right="0"/>
        <w:jc w:val="left"/>
        <w:rPr>
          <w:b w:val="0"/>
          <w:i w:val="0"/>
        </w:rPr>
      </w:pPr>
      <w:proofErr w:type="spellStart"/>
      <w:r>
        <w:rPr>
          <w:b w:val="0"/>
          <w:i w:val="0"/>
        </w:rPr>
        <w:t>Sectoral</w:t>
      </w:r>
      <w:proofErr w:type="spellEnd"/>
      <w:r>
        <w:rPr>
          <w:b w:val="0"/>
          <w:i w:val="0"/>
        </w:rPr>
        <w:t xml:space="preserve"> Policy Division</w:t>
      </w:r>
    </w:p>
    <w:p w:rsidR="00A74C81" w:rsidRPr="00954C7A" w:rsidRDefault="00A74C81" w:rsidP="00AE4AFC">
      <w:pPr>
        <w:pStyle w:val="BlockText"/>
        <w:tabs>
          <w:tab w:val="left" w:pos="-2160"/>
          <w:tab w:val="left" w:pos="720"/>
          <w:tab w:val="left" w:pos="11610"/>
        </w:tabs>
        <w:ind w:right="0"/>
        <w:jc w:val="left"/>
        <w:rPr>
          <w:b w:val="0"/>
          <w:i w:val="0"/>
        </w:rPr>
      </w:pPr>
      <w:r w:rsidRPr="00954C7A">
        <w:rPr>
          <w:b w:val="0"/>
          <w:i w:val="0"/>
        </w:rPr>
        <w:t>Australian Agency for International Development (</w:t>
      </w:r>
      <w:proofErr w:type="spellStart"/>
      <w:r w:rsidRPr="00954C7A">
        <w:rPr>
          <w:b w:val="0"/>
          <w:i w:val="0"/>
        </w:rPr>
        <w:t>AusAID</w:t>
      </w:r>
      <w:proofErr w:type="spellEnd"/>
      <w:r w:rsidRPr="00954C7A">
        <w:rPr>
          <w:b w:val="0"/>
          <w:i w:val="0"/>
        </w:rPr>
        <w:t>)</w:t>
      </w:r>
    </w:p>
    <w:p w:rsidR="00A74C81" w:rsidRPr="00954C7A" w:rsidRDefault="00A74C81" w:rsidP="00AE4AFC">
      <w:pPr>
        <w:pStyle w:val="BlockText"/>
        <w:tabs>
          <w:tab w:val="left" w:pos="-2160"/>
          <w:tab w:val="left" w:pos="720"/>
          <w:tab w:val="left" w:pos="11610"/>
        </w:tabs>
        <w:ind w:right="0"/>
        <w:jc w:val="left"/>
        <w:rPr>
          <w:b w:val="0"/>
          <w:i w:val="0"/>
        </w:rPr>
      </w:pPr>
      <w:smartTag w:uri="urn:schemas-microsoft-com:office:smarttags" w:element="address">
        <w:smartTag w:uri="urn:schemas-microsoft-com:office:smarttags" w:element="Street">
          <w:r>
            <w:rPr>
              <w:b w:val="0"/>
              <w:i w:val="0"/>
            </w:rPr>
            <w:t xml:space="preserve">20 </w:t>
          </w:r>
          <w:proofErr w:type="spellStart"/>
          <w:r>
            <w:rPr>
              <w:b w:val="0"/>
              <w:i w:val="0"/>
            </w:rPr>
            <w:t>Allara</w:t>
          </w:r>
          <w:proofErr w:type="spellEnd"/>
          <w:r>
            <w:rPr>
              <w:b w:val="0"/>
              <w:i w:val="0"/>
            </w:rPr>
            <w:t xml:space="preserve"> Street</w:t>
          </w:r>
        </w:smartTag>
      </w:smartTag>
    </w:p>
    <w:p w:rsidR="00A74C81" w:rsidRPr="00954C7A" w:rsidRDefault="00A74C81" w:rsidP="00AE4AFC">
      <w:pPr>
        <w:pStyle w:val="BlockText"/>
        <w:tabs>
          <w:tab w:val="left" w:pos="-2160"/>
          <w:tab w:val="left" w:pos="720"/>
          <w:tab w:val="left" w:pos="11610"/>
        </w:tabs>
        <w:ind w:right="0"/>
        <w:jc w:val="left"/>
        <w:rPr>
          <w:b w:val="0"/>
          <w:i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954C7A">
                <w:rPr>
                  <w:b w:val="0"/>
                  <w:i w:val="0"/>
                </w:rPr>
                <w:t>PO Box 887</w:t>
              </w:r>
            </w:smartTag>
          </w:smartTag>
          <w:r>
            <w:rPr>
              <w:b w:val="0"/>
              <w:i w:val="0"/>
            </w:rPr>
            <w:t xml:space="preserve">, </w:t>
          </w:r>
          <w:smartTag w:uri="urn:schemas-microsoft-com:office:smarttags" w:element="City">
            <w:r w:rsidRPr="00954C7A">
              <w:rPr>
                <w:b w:val="0"/>
                <w:i w:val="0"/>
              </w:rPr>
              <w:t>Canberra</w:t>
            </w:r>
          </w:smartTag>
        </w:smartTag>
      </w:smartTag>
      <w:r w:rsidRPr="00954C7A">
        <w:rPr>
          <w:b w:val="0"/>
          <w:i w:val="0"/>
        </w:rPr>
        <w:t xml:space="preserve"> ACT 2601</w:t>
      </w:r>
    </w:p>
    <w:p w:rsidR="00A74C81" w:rsidRPr="00954C7A" w:rsidRDefault="00A74C81" w:rsidP="00AE4AFC">
      <w:pPr>
        <w:pStyle w:val="BlockText"/>
        <w:tabs>
          <w:tab w:val="left" w:pos="-2160"/>
          <w:tab w:val="left" w:pos="720"/>
          <w:tab w:val="left" w:pos="11610"/>
        </w:tabs>
        <w:ind w:right="0"/>
        <w:jc w:val="left"/>
        <w:rPr>
          <w:b w:val="0"/>
          <w:i w:val="0"/>
        </w:rPr>
      </w:pPr>
      <w:smartTag w:uri="urn:schemas-microsoft-com:office:smarttags" w:element="PersonName">
        <w:smartTag w:uri="urn:schemas-microsoft-com:office:smarttags" w:element="country-region">
          <w:smartTag w:uri="urn:schemas-microsoft-com:office:smarttags" w:element="place">
            <w:r w:rsidRPr="00954C7A">
              <w:rPr>
                <w:b w:val="0"/>
                <w:i w:val="0"/>
              </w:rPr>
              <w:t>Australia</w:t>
            </w:r>
          </w:smartTag>
        </w:smartTag>
      </w:smartTag>
    </w:p>
    <w:p w:rsidR="00A74C81" w:rsidRDefault="00A74C81" w:rsidP="00AB238F">
      <w:pPr>
        <w:pStyle w:val="BlockText"/>
        <w:tabs>
          <w:tab w:val="left" w:pos="-2160"/>
          <w:tab w:val="left" w:pos="720"/>
          <w:tab w:val="left" w:pos="11610"/>
        </w:tabs>
        <w:ind w:right="0"/>
        <w:jc w:val="left"/>
        <w:rPr>
          <w:b w:val="0"/>
          <w:i w:val="0"/>
        </w:rPr>
      </w:pPr>
    </w:p>
    <w:p w:rsidR="00A74C81" w:rsidRDefault="00A74C81" w:rsidP="00553FB7">
      <w:pPr>
        <w:jc w:val="both"/>
        <w:rPr>
          <w:szCs w:val="24"/>
        </w:rPr>
      </w:pPr>
    </w:p>
    <w:p w:rsidR="00A74C81" w:rsidRPr="00B15A5E" w:rsidRDefault="00A74C81" w:rsidP="00553FB7">
      <w:pPr>
        <w:jc w:val="both"/>
        <w:rPr>
          <w:szCs w:val="24"/>
        </w:rPr>
      </w:pPr>
      <w:r>
        <w:rPr>
          <w:szCs w:val="24"/>
        </w:rPr>
        <w:t>7</w:t>
      </w:r>
      <w:r w:rsidRPr="00B15A5E">
        <w:rPr>
          <w:szCs w:val="24"/>
        </w:rPr>
        <w:t>.</w:t>
      </w:r>
      <w:r w:rsidRPr="00B15A5E">
        <w:rPr>
          <w:szCs w:val="24"/>
        </w:rPr>
        <w:tab/>
        <w:t>All annexes hereto constitute an integral part of this A</w:t>
      </w:r>
      <w:r>
        <w:rPr>
          <w:szCs w:val="24"/>
        </w:rPr>
        <w:t>greement</w:t>
      </w:r>
      <w:r w:rsidRPr="00B15A5E">
        <w:rPr>
          <w:szCs w:val="24"/>
        </w:rPr>
        <w:t xml:space="preserve">. This </w:t>
      </w:r>
      <w:r>
        <w:rPr>
          <w:szCs w:val="24"/>
        </w:rPr>
        <w:t>Agreement</w:t>
      </w:r>
      <w:r w:rsidRPr="00B15A5E">
        <w:rPr>
          <w:szCs w:val="24"/>
        </w:rPr>
        <w:t xml:space="preserve"> may be amended only in writing between the Bank and the Donor; provided, however, </w:t>
      </w:r>
      <w:proofErr w:type="gramStart"/>
      <w:r w:rsidRPr="00B15A5E">
        <w:rPr>
          <w:szCs w:val="24"/>
        </w:rPr>
        <w:t>that such annexes</w:t>
      </w:r>
      <w:proofErr w:type="gramEnd"/>
      <w:r w:rsidRPr="00B15A5E">
        <w:rPr>
          <w:szCs w:val="24"/>
        </w:rPr>
        <w:t xml:space="preserve"> may be amended only with the agreement of all donors contributing to the Trust Fund. </w:t>
      </w:r>
    </w:p>
    <w:p w:rsidR="00A74C81" w:rsidRDefault="00A74C81" w:rsidP="0072580F">
      <w:pPr>
        <w:jc w:val="both"/>
      </w:pPr>
    </w:p>
    <w:p w:rsidR="00A74C81" w:rsidRPr="009C0593" w:rsidRDefault="00A74C81" w:rsidP="0072580F">
      <w:pPr>
        <w:jc w:val="both"/>
        <w:rPr>
          <w:color w:val="000000"/>
          <w:szCs w:val="24"/>
        </w:rPr>
      </w:pPr>
      <w:r>
        <w:rPr>
          <w:color w:val="000000"/>
          <w:szCs w:val="24"/>
        </w:rPr>
        <w:t>8.</w:t>
      </w:r>
      <w:r>
        <w:rPr>
          <w:color w:val="000000"/>
          <w:szCs w:val="24"/>
        </w:rPr>
        <w:tab/>
        <w:t xml:space="preserve">The Bank will disclose this Agreement and related information on this Trust Fund in accordance with the </w:t>
      </w:r>
      <w:r w:rsidRPr="009C0593">
        <w:rPr>
          <w:color w:val="000000"/>
          <w:szCs w:val="24"/>
        </w:rPr>
        <w:t xml:space="preserve">World Bank </w:t>
      </w:r>
      <w:r>
        <w:rPr>
          <w:color w:val="000000"/>
          <w:szCs w:val="24"/>
        </w:rPr>
        <w:t xml:space="preserve">Policy on </w:t>
      </w:r>
      <w:r w:rsidRPr="009C0593">
        <w:rPr>
          <w:color w:val="000000"/>
          <w:szCs w:val="24"/>
        </w:rPr>
        <w:t>Access to Information. By ente</w:t>
      </w:r>
      <w:r>
        <w:rPr>
          <w:color w:val="000000"/>
          <w:szCs w:val="24"/>
        </w:rPr>
        <w:t>ring into this Agreement, the Donor</w:t>
      </w:r>
      <w:r w:rsidRPr="009C0593">
        <w:rPr>
          <w:color w:val="000000"/>
          <w:szCs w:val="24"/>
        </w:rPr>
        <w:t xml:space="preserve"> consent</w:t>
      </w:r>
      <w:r>
        <w:rPr>
          <w:color w:val="000000"/>
          <w:szCs w:val="24"/>
        </w:rPr>
        <w:t>s</w:t>
      </w:r>
      <w:r w:rsidRPr="009C0593">
        <w:rPr>
          <w:color w:val="000000"/>
          <w:szCs w:val="24"/>
        </w:rPr>
        <w:t xml:space="preserve"> to disclosure of this A</w:t>
      </w:r>
      <w:r>
        <w:rPr>
          <w:color w:val="000000"/>
          <w:szCs w:val="24"/>
        </w:rPr>
        <w:t>greement</w:t>
      </w:r>
      <w:r w:rsidRPr="009C0593">
        <w:rPr>
          <w:color w:val="000000"/>
          <w:szCs w:val="24"/>
        </w:rPr>
        <w:t xml:space="preserve"> and related information on this Trust Fund.</w:t>
      </w:r>
    </w:p>
    <w:p w:rsidR="00A74C81" w:rsidRPr="00B15A5E" w:rsidRDefault="00A74C81" w:rsidP="00553FB7">
      <w:pPr>
        <w:jc w:val="both"/>
        <w:rPr>
          <w:szCs w:val="24"/>
        </w:rPr>
      </w:pPr>
    </w:p>
    <w:p w:rsidR="00A74C81" w:rsidRDefault="00A74C81" w:rsidP="009B5374">
      <w:pPr>
        <w:widowControl w:val="0"/>
        <w:jc w:val="both"/>
        <w:rPr>
          <w:szCs w:val="24"/>
        </w:rPr>
      </w:pPr>
      <w:r>
        <w:rPr>
          <w:szCs w:val="24"/>
        </w:rPr>
        <w:t>9</w:t>
      </w:r>
      <w:r w:rsidRPr="00B15A5E">
        <w:rPr>
          <w:szCs w:val="24"/>
        </w:rPr>
        <w:t>.</w:t>
      </w:r>
      <w:r w:rsidRPr="00B15A5E">
        <w:rPr>
          <w:szCs w:val="24"/>
        </w:rPr>
        <w:tab/>
        <w:t xml:space="preserve">Please confirm your agreement with the foregoing, on behalf of the Donor, by signing, dating, and returning to us the enclosed copy of this </w:t>
      </w:r>
      <w:r>
        <w:rPr>
          <w:szCs w:val="24"/>
        </w:rPr>
        <w:t>Agreement</w:t>
      </w:r>
      <w:r w:rsidRPr="00B15A5E">
        <w:rPr>
          <w:szCs w:val="24"/>
        </w:rPr>
        <w:t xml:space="preserve">. Upon receipt by the Bank of the copy of this </w:t>
      </w:r>
      <w:r>
        <w:rPr>
          <w:szCs w:val="24"/>
        </w:rPr>
        <w:t xml:space="preserve">Agreement </w:t>
      </w:r>
      <w:r w:rsidRPr="00B15A5E">
        <w:rPr>
          <w:szCs w:val="24"/>
        </w:rPr>
        <w:t xml:space="preserve">countersigned by you, this </w:t>
      </w:r>
      <w:r>
        <w:rPr>
          <w:szCs w:val="24"/>
        </w:rPr>
        <w:t xml:space="preserve">Agreement </w:t>
      </w:r>
      <w:r w:rsidRPr="00B15A5E">
        <w:rPr>
          <w:szCs w:val="24"/>
        </w:rPr>
        <w:t>will become effective as of the date of the countersignature.</w:t>
      </w:r>
      <w:r>
        <w:rPr>
          <w:szCs w:val="24"/>
        </w:rPr>
        <w:br/>
      </w:r>
    </w:p>
    <w:p w:rsidR="009B5374" w:rsidRPr="00B15A5E" w:rsidRDefault="009B5374" w:rsidP="009247BC">
      <w:pPr>
        <w:widowControl w:val="0"/>
        <w:jc w:val="both"/>
        <w:rPr>
          <w:szCs w:val="24"/>
        </w:rPr>
      </w:pPr>
    </w:p>
    <w:p w:rsidR="00A74C81" w:rsidRPr="00B15A5E" w:rsidRDefault="00A74C81">
      <w:pPr>
        <w:jc w:val="center"/>
        <w:rPr>
          <w:szCs w:val="24"/>
        </w:rPr>
      </w:pPr>
      <w:r w:rsidRPr="00B15A5E">
        <w:rPr>
          <w:szCs w:val="24"/>
        </w:rPr>
        <w:t>Sincerely,</w:t>
      </w:r>
    </w:p>
    <w:p w:rsidR="00A74C81" w:rsidRPr="00B15A5E" w:rsidRDefault="00A74C81">
      <w:pPr>
        <w:jc w:val="center"/>
        <w:rPr>
          <w:szCs w:val="24"/>
        </w:rPr>
      </w:pPr>
    </w:p>
    <w:p w:rsidR="00A74C81" w:rsidRPr="00B15A5E" w:rsidRDefault="00A74C81">
      <w:pPr>
        <w:jc w:val="center"/>
        <w:rPr>
          <w:b/>
          <w:bCs/>
          <w:szCs w:val="24"/>
        </w:rPr>
      </w:pPr>
      <w:r w:rsidRPr="00B15A5E">
        <w:rPr>
          <w:b/>
          <w:bCs/>
          <w:szCs w:val="24"/>
        </w:rPr>
        <w:t>INTERNATIONAL BANK FOR RECONSTRUCTION AND DEVELOPMENT</w:t>
      </w:r>
    </w:p>
    <w:p w:rsidR="00A74C81" w:rsidRPr="00B15A5E" w:rsidRDefault="00A74C81">
      <w:pPr>
        <w:jc w:val="center"/>
        <w:rPr>
          <w:b/>
          <w:bCs/>
          <w:szCs w:val="24"/>
        </w:rPr>
      </w:pPr>
      <w:r w:rsidRPr="00B15A5E">
        <w:rPr>
          <w:b/>
          <w:bCs/>
          <w:szCs w:val="24"/>
        </w:rPr>
        <w:t>INTERNATIONAL DEVELOPMENT ASSOCIATION</w:t>
      </w:r>
    </w:p>
    <w:p w:rsidR="00A74C81" w:rsidRPr="00B15A5E" w:rsidRDefault="00A74C81">
      <w:pPr>
        <w:jc w:val="center"/>
        <w:rPr>
          <w:szCs w:val="24"/>
        </w:rPr>
      </w:pPr>
    </w:p>
    <w:p w:rsidR="00A74C81" w:rsidRDefault="00A74C81">
      <w:pPr>
        <w:jc w:val="center"/>
        <w:rPr>
          <w:szCs w:val="24"/>
        </w:rPr>
      </w:pPr>
    </w:p>
    <w:p w:rsidR="00A74C81" w:rsidRDefault="00A74C81">
      <w:pPr>
        <w:jc w:val="center"/>
        <w:rPr>
          <w:szCs w:val="24"/>
        </w:rPr>
      </w:pPr>
    </w:p>
    <w:p w:rsidR="00A74C81" w:rsidRPr="00B15A5E" w:rsidRDefault="0026068F" w:rsidP="0010527B">
      <w:pPr>
        <w:jc w:val="center"/>
        <w:rPr>
          <w:color w:val="000000"/>
          <w:szCs w:val="24"/>
        </w:rPr>
      </w:pPr>
      <w:r>
        <w:rPr>
          <w:szCs w:val="24"/>
        </w:rPr>
        <w:t xml:space="preserve">/s/ </w:t>
      </w:r>
      <w:proofErr w:type="spellStart"/>
      <w:r w:rsidR="00A74C81">
        <w:rPr>
          <w:color w:val="000000"/>
          <w:szCs w:val="24"/>
        </w:rPr>
        <w:t>Zoubida</w:t>
      </w:r>
      <w:proofErr w:type="spellEnd"/>
      <w:r w:rsidR="00A74C81">
        <w:rPr>
          <w:color w:val="000000"/>
          <w:szCs w:val="24"/>
        </w:rPr>
        <w:t xml:space="preserve"> </w:t>
      </w:r>
      <w:proofErr w:type="spellStart"/>
      <w:r w:rsidR="00A74C81">
        <w:rPr>
          <w:color w:val="000000"/>
          <w:szCs w:val="24"/>
        </w:rPr>
        <w:t>Allaoua</w:t>
      </w:r>
      <w:proofErr w:type="spellEnd"/>
    </w:p>
    <w:p w:rsidR="00A74C81" w:rsidRPr="00B15A5E" w:rsidRDefault="00A74C81" w:rsidP="0010527B">
      <w:pPr>
        <w:jc w:val="center"/>
        <w:rPr>
          <w:color w:val="000000"/>
          <w:szCs w:val="24"/>
        </w:rPr>
      </w:pPr>
      <w:r w:rsidRPr="00B15A5E">
        <w:rPr>
          <w:color w:val="000000"/>
          <w:szCs w:val="24"/>
        </w:rPr>
        <w:t>Director</w:t>
      </w:r>
    </w:p>
    <w:p w:rsidR="00A74C81" w:rsidRPr="00B15A5E" w:rsidRDefault="00A74C81" w:rsidP="0010527B">
      <w:pPr>
        <w:jc w:val="center"/>
        <w:rPr>
          <w:szCs w:val="24"/>
        </w:rPr>
      </w:pPr>
      <w:r w:rsidRPr="00B15A5E">
        <w:rPr>
          <w:szCs w:val="24"/>
        </w:rPr>
        <w:t>Finance, Economics and Urban Department</w:t>
      </w:r>
    </w:p>
    <w:p w:rsidR="00A74C81" w:rsidRPr="00B15A5E" w:rsidRDefault="00A74C81" w:rsidP="0010527B">
      <w:pPr>
        <w:jc w:val="center"/>
        <w:rPr>
          <w:szCs w:val="24"/>
        </w:rPr>
      </w:pPr>
      <w:r w:rsidRPr="00B15A5E">
        <w:rPr>
          <w:szCs w:val="24"/>
        </w:rPr>
        <w:t>Sustainable Development Network</w:t>
      </w:r>
    </w:p>
    <w:p w:rsidR="00A74C81" w:rsidRPr="00B15A5E" w:rsidRDefault="00A74C81">
      <w:pPr>
        <w:jc w:val="both"/>
        <w:rPr>
          <w:szCs w:val="24"/>
        </w:rPr>
      </w:pPr>
    </w:p>
    <w:p w:rsidR="00A74C81" w:rsidRDefault="00A74C81">
      <w:pPr>
        <w:jc w:val="both"/>
        <w:rPr>
          <w:szCs w:val="24"/>
        </w:rPr>
      </w:pPr>
    </w:p>
    <w:p w:rsidR="00A74C81" w:rsidRPr="00B15A5E" w:rsidRDefault="00A74C81">
      <w:pPr>
        <w:jc w:val="both"/>
        <w:rPr>
          <w:szCs w:val="24"/>
        </w:rPr>
      </w:pPr>
    </w:p>
    <w:p w:rsidR="00A74C81" w:rsidRDefault="00A74C81">
      <w:pPr>
        <w:rPr>
          <w:b/>
          <w:bCs/>
          <w:szCs w:val="24"/>
          <w:u w:val="single"/>
        </w:rPr>
      </w:pPr>
      <w:r>
        <w:rPr>
          <w:b/>
          <w:bCs/>
          <w:szCs w:val="24"/>
          <w:u w:val="single"/>
        </w:rPr>
        <w:br w:type="page"/>
      </w:r>
    </w:p>
    <w:p w:rsidR="00A74C81" w:rsidRPr="00B15A5E" w:rsidRDefault="00A74C81">
      <w:pPr>
        <w:jc w:val="both"/>
        <w:rPr>
          <w:b/>
          <w:bCs/>
          <w:szCs w:val="24"/>
        </w:rPr>
      </w:pPr>
      <w:r w:rsidRPr="00B15A5E">
        <w:rPr>
          <w:b/>
          <w:bCs/>
          <w:szCs w:val="24"/>
          <w:u w:val="single"/>
        </w:rPr>
        <w:lastRenderedPageBreak/>
        <w:t>CONFIRMED AND AGREED:</w:t>
      </w:r>
    </w:p>
    <w:p w:rsidR="009B5374" w:rsidRDefault="009B5374" w:rsidP="00AB238F">
      <w:pPr>
        <w:rPr>
          <w:b/>
          <w:bCs/>
          <w:caps/>
          <w:szCs w:val="24"/>
        </w:rPr>
      </w:pPr>
    </w:p>
    <w:p w:rsidR="00A74C81" w:rsidRPr="00E24B80" w:rsidRDefault="00A74C81" w:rsidP="00AB238F">
      <w:pPr>
        <w:rPr>
          <w:b/>
          <w:caps/>
          <w:szCs w:val="24"/>
          <w:highlight w:val="green"/>
        </w:rPr>
      </w:pPr>
      <w:r w:rsidRPr="00E24B80">
        <w:rPr>
          <w:b/>
          <w:bCs/>
          <w:caps/>
          <w:szCs w:val="24"/>
        </w:rPr>
        <w:t>AUSTRALIAN AGENCY FOR INTERNATIONAL dEVELOPMENT</w:t>
      </w:r>
    </w:p>
    <w:p w:rsidR="00A74C81" w:rsidRDefault="00A74C81" w:rsidP="00AB238F">
      <w:pPr>
        <w:pStyle w:val="Letdear"/>
      </w:pPr>
    </w:p>
    <w:p w:rsidR="00A74C81" w:rsidRDefault="00A74C81" w:rsidP="00AB238F">
      <w:pPr>
        <w:jc w:val="both"/>
      </w:pPr>
    </w:p>
    <w:p w:rsidR="00A74C81" w:rsidRDefault="00A74C81" w:rsidP="00AB238F">
      <w:pPr>
        <w:jc w:val="both"/>
      </w:pPr>
    </w:p>
    <w:p w:rsidR="00A74C81" w:rsidRDefault="00A74C81" w:rsidP="00AB238F">
      <w:pPr>
        <w:jc w:val="both"/>
      </w:pPr>
    </w:p>
    <w:p w:rsidR="00A74C81" w:rsidRPr="003033D4" w:rsidRDefault="0026068F" w:rsidP="00AB238F">
      <w:pPr>
        <w:jc w:val="both"/>
      </w:pPr>
      <w:r>
        <w:t>/s/    Murray Proctor</w:t>
      </w:r>
      <w:r>
        <w:tab/>
      </w:r>
      <w:r>
        <w:tab/>
      </w:r>
      <w:r w:rsidR="00A74C81" w:rsidRPr="003033D4">
        <w:tab/>
      </w:r>
      <w:r w:rsidR="00A74C81" w:rsidRPr="003033D4">
        <w:tab/>
      </w:r>
      <w:r w:rsidR="00A74C81" w:rsidRPr="003033D4">
        <w:tab/>
      </w:r>
      <w:r w:rsidR="00A74C81" w:rsidRPr="003033D4">
        <w:tab/>
        <w:t xml:space="preserve">Date: </w:t>
      </w:r>
      <w:r>
        <w:t>April 12, 2011</w:t>
      </w:r>
    </w:p>
    <w:p w:rsidR="009B5374" w:rsidRDefault="009B5374" w:rsidP="00AE4AFC">
      <w:pPr>
        <w:pStyle w:val="BlockText"/>
        <w:tabs>
          <w:tab w:val="left" w:pos="-2160"/>
          <w:tab w:val="left" w:pos="720"/>
          <w:tab w:val="left" w:pos="11610"/>
        </w:tabs>
        <w:ind w:left="540" w:right="0"/>
        <w:jc w:val="left"/>
        <w:rPr>
          <w:b w:val="0"/>
          <w:i w:val="0"/>
        </w:rPr>
      </w:pPr>
      <w:r>
        <w:rPr>
          <w:b w:val="0"/>
          <w:i w:val="0"/>
        </w:rPr>
        <w:t xml:space="preserve"> (Authorized Representative)</w:t>
      </w:r>
    </w:p>
    <w:p w:rsidR="00A74C81" w:rsidRPr="00954C7A" w:rsidRDefault="009B5374" w:rsidP="009B5374">
      <w:pPr>
        <w:pStyle w:val="BlockText"/>
        <w:tabs>
          <w:tab w:val="left" w:pos="-2160"/>
          <w:tab w:val="left" w:pos="720"/>
          <w:tab w:val="left" w:pos="11610"/>
        </w:tabs>
        <w:ind w:left="540" w:right="0" w:hanging="540"/>
        <w:jc w:val="left"/>
        <w:rPr>
          <w:b w:val="0"/>
          <w:i w:val="0"/>
        </w:rPr>
      </w:pPr>
      <w:r>
        <w:rPr>
          <w:b w:val="0"/>
          <w:i w:val="0"/>
        </w:rPr>
        <w:t xml:space="preserve">Name:  </w:t>
      </w:r>
      <w:r w:rsidR="00A74C81" w:rsidRPr="00954C7A">
        <w:rPr>
          <w:b w:val="0"/>
          <w:i w:val="0"/>
        </w:rPr>
        <w:t>M</w:t>
      </w:r>
      <w:r w:rsidR="00A74C81">
        <w:rPr>
          <w:b w:val="0"/>
          <w:i w:val="0"/>
        </w:rPr>
        <w:t xml:space="preserve">r. </w:t>
      </w:r>
      <w:smartTag w:uri="urn:schemas-microsoft-com:office:smarttags" w:element="PersonName">
        <w:r w:rsidR="00A74C81">
          <w:rPr>
            <w:b w:val="0"/>
            <w:i w:val="0"/>
          </w:rPr>
          <w:t>Murray Proctor</w:t>
        </w:r>
      </w:smartTag>
    </w:p>
    <w:p w:rsidR="00A74C81" w:rsidRPr="00954C7A" w:rsidRDefault="009B5374" w:rsidP="009B5374">
      <w:pPr>
        <w:pStyle w:val="BlockText"/>
        <w:tabs>
          <w:tab w:val="left" w:pos="-2160"/>
          <w:tab w:val="left" w:pos="720"/>
          <w:tab w:val="left" w:pos="11610"/>
        </w:tabs>
        <w:ind w:left="540" w:right="0" w:hanging="540"/>
        <w:jc w:val="left"/>
        <w:rPr>
          <w:b w:val="0"/>
          <w:i w:val="0"/>
        </w:rPr>
      </w:pPr>
      <w:r>
        <w:rPr>
          <w:b w:val="0"/>
          <w:i w:val="0"/>
        </w:rPr>
        <w:t xml:space="preserve">Title:    </w:t>
      </w:r>
      <w:r w:rsidR="00A74C81">
        <w:rPr>
          <w:b w:val="0"/>
          <w:i w:val="0"/>
        </w:rPr>
        <w:t>First-Assistant Director General</w:t>
      </w:r>
    </w:p>
    <w:p w:rsidR="00A74C81" w:rsidRDefault="00A74C81" w:rsidP="00AE4AFC">
      <w:pPr>
        <w:pStyle w:val="BlockText"/>
        <w:tabs>
          <w:tab w:val="left" w:pos="-2160"/>
          <w:tab w:val="left" w:pos="720"/>
          <w:tab w:val="left" w:pos="11610"/>
        </w:tabs>
        <w:ind w:left="0" w:right="0"/>
        <w:jc w:val="left"/>
        <w:rPr>
          <w:b w:val="0"/>
          <w:bCs/>
          <w:iCs/>
          <w:szCs w:val="24"/>
        </w:rPr>
      </w:pPr>
    </w:p>
    <w:p w:rsidR="00A74C81" w:rsidRDefault="00A74C81">
      <w:pPr>
        <w:rPr>
          <w:b/>
          <w:szCs w:val="24"/>
          <w:u w:val="single"/>
        </w:rPr>
      </w:pPr>
      <w:r>
        <w:rPr>
          <w:b/>
          <w:szCs w:val="24"/>
          <w:u w:val="single"/>
        </w:rPr>
        <w:br w:type="page"/>
      </w:r>
    </w:p>
    <w:p w:rsidR="00A74C81" w:rsidRPr="00B15A5E" w:rsidRDefault="00A74C81" w:rsidP="00E81155">
      <w:pPr>
        <w:jc w:val="right"/>
        <w:rPr>
          <w:b/>
          <w:szCs w:val="24"/>
          <w:u w:val="single"/>
        </w:rPr>
      </w:pPr>
      <w:r w:rsidRPr="00B15A5E">
        <w:rPr>
          <w:b/>
          <w:szCs w:val="24"/>
          <w:u w:val="single"/>
        </w:rPr>
        <w:lastRenderedPageBreak/>
        <w:t>ANNEX 1</w:t>
      </w:r>
    </w:p>
    <w:p w:rsidR="00A74C81" w:rsidRPr="00B15A5E" w:rsidRDefault="00A74C81">
      <w:pPr>
        <w:jc w:val="right"/>
        <w:rPr>
          <w:szCs w:val="24"/>
          <w:u w:val="single"/>
        </w:rPr>
      </w:pPr>
    </w:p>
    <w:p w:rsidR="00A74C81" w:rsidRDefault="00A74C81" w:rsidP="00981305">
      <w:pPr>
        <w:jc w:val="both"/>
        <w:rPr>
          <w:szCs w:val="24"/>
        </w:rPr>
      </w:pPr>
      <w:r w:rsidRPr="00B15A5E">
        <w:rPr>
          <w:szCs w:val="24"/>
        </w:rPr>
        <w:t xml:space="preserve">           </w:t>
      </w:r>
    </w:p>
    <w:p w:rsidR="00A74C81" w:rsidRDefault="00A74C81" w:rsidP="00286441">
      <w:pPr>
        <w:jc w:val="center"/>
        <w:rPr>
          <w:b/>
          <w:u w:val="single"/>
        </w:rPr>
      </w:pPr>
      <w:r>
        <w:rPr>
          <w:b/>
          <w:u w:val="single"/>
        </w:rPr>
        <w:t xml:space="preserve">Description of Activities and Expenditures under the Trust Fund for the </w:t>
      </w:r>
    </w:p>
    <w:p w:rsidR="00A74C81" w:rsidRDefault="00A74C81" w:rsidP="00286441">
      <w:pPr>
        <w:jc w:val="center"/>
        <w:rPr>
          <w:i/>
        </w:rPr>
      </w:pPr>
      <w:r>
        <w:rPr>
          <w:b/>
          <w:u w:val="single"/>
        </w:rPr>
        <w:t>Public-Private Infrastructure Advisory Facility (PPIAF) Sub-National Technical Assistance Program (SNTA) (TF No. 070804)</w:t>
      </w:r>
    </w:p>
    <w:p w:rsidR="00A74C81" w:rsidRDefault="00A74C81" w:rsidP="00286441">
      <w:pPr>
        <w:jc w:val="center"/>
        <w:rPr>
          <w:i/>
        </w:rPr>
      </w:pPr>
    </w:p>
    <w:p w:rsidR="00A74C81" w:rsidRDefault="00A74C81" w:rsidP="00286441">
      <w:pPr>
        <w:jc w:val="center"/>
        <w:rPr>
          <w:i/>
        </w:rPr>
      </w:pPr>
    </w:p>
    <w:p w:rsidR="00A74C81" w:rsidRDefault="00A74C81" w:rsidP="00B51658">
      <w:pPr>
        <w:rPr>
          <w:u w:val="single"/>
        </w:rPr>
      </w:pPr>
      <w:r w:rsidRPr="009B5374">
        <w:t>1.</w:t>
      </w:r>
      <w:r w:rsidRPr="009B5374">
        <w:tab/>
      </w:r>
      <w:r>
        <w:rPr>
          <w:u w:val="single"/>
        </w:rPr>
        <w:t>Description of Activities</w:t>
      </w:r>
    </w:p>
    <w:p w:rsidR="00A74C81" w:rsidRDefault="00A74C81" w:rsidP="00286441">
      <w:pPr>
        <w:rPr>
          <w:u w:val="single"/>
        </w:rPr>
      </w:pPr>
    </w:p>
    <w:p w:rsidR="0027327E" w:rsidRDefault="00A74C81">
      <w:pPr>
        <w:jc w:val="both"/>
        <w:rPr>
          <w:szCs w:val="24"/>
        </w:rPr>
      </w:pPr>
      <w:r>
        <w:rPr>
          <w:szCs w:val="24"/>
        </w:rPr>
        <w:t>1.1</w:t>
      </w:r>
      <w:r>
        <w:rPr>
          <w:szCs w:val="24"/>
        </w:rPr>
        <w:tab/>
        <w:t xml:space="preserve">The Trust Fund for the Public-Private Infrastructure Advisory Facility (PPIAF) </w:t>
      </w:r>
      <w:r>
        <w:rPr>
          <w:szCs w:val="24"/>
        </w:rPr>
        <w:tab/>
      </w:r>
      <w:r>
        <w:rPr>
          <w:bCs/>
          <w:iCs/>
        </w:rPr>
        <w:t>Sub-National Technical Assistance Program (SNTA)</w:t>
      </w:r>
      <w:r>
        <w:rPr>
          <w:szCs w:val="24"/>
        </w:rPr>
        <w:t xml:space="preserve"> (TF No.070804) (the “Trust </w:t>
      </w:r>
      <w:r>
        <w:rPr>
          <w:szCs w:val="24"/>
        </w:rPr>
        <w:tab/>
        <w:t>Fund”) shall finance activities of the SNTA under the PPIAF.</w:t>
      </w:r>
      <w:r>
        <w:t xml:space="preserve"> </w:t>
      </w:r>
    </w:p>
    <w:p w:rsidR="00A74C81" w:rsidRDefault="00A74C81" w:rsidP="00286441">
      <w:pPr>
        <w:ind w:firstLine="720"/>
        <w:jc w:val="both"/>
        <w:rPr>
          <w:u w:val="single"/>
        </w:rPr>
      </w:pPr>
    </w:p>
    <w:p w:rsidR="00A74C81" w:rsidRDefault="00A74C81" w:rsidP="00286441">
      <w:pPr>
        <w:pStyle w:val="BodyTextIndent2"/>
        <w:spacing w:after="0" w:line="240" w:lineRule="auto"/>
        <w:ind w:left="0"/>
        <w:jc w:val="both"/>
      </w:pPr>
      <w:r>
        <w:t>1.2</w:t>
      </w:r>
      <w:r>
        <w:tab/>
        <w:t xml:space="preserve">The PPIAF is </w:t>
      </w:r>
      <w:proofErr w:type="gramStart"/>
      <w:r>
        <w:t xml:space="preserve">a multi-donor technical assistance facility aimed at helping </w:t>
      </w:r>
      <w:r>
        <w:tab/>
        <w:t>developing country governments improve</w:t>
      </w:r>
      <w:proofErr w:type="gramEnd"/>
      <w:r>
        <w:t xml:space="preserve"> the quality of their infrastructure </w:t>
      </w:r>
      <w:r>
        <w:tab/>
        <w:t xml:space="preserve">through private sector involvement. PPIAF’s mission is to help eliminate poverty </w:t>
      </w:r>
      <w:r>
        <w:tab/>
        <w:t xml:space="preserve">and achieve sustainable development in developing countries by facilitating </w:t>
      </w:r>
      <w:r>
        <w:tab/>
        <w:t xml:space="preserve">private sector involvement in infrastructure.  In particular, PPIAF’s objectives are </w:t>
      </w:r>
      <w:r>
        <w:tab/>
        <w:t>to:</w:t>
      </w:r>
    </w:p>
    <w:p w:rsidR="00A74C81" w:rsidRDefault="00A74C81" w:rsidP="00286441">
      <w:pPr>
        <w:pStyle w:val="BodyTextIndent2"/>
        <w:spacing w:after="0" w:line="240" w:lineRule="auto"/>
        <w:jc w:val="both"/>
      </w:pPr>
    </w:p>
    <w:p w:rsidR="0027327E" w:rsidRDefault="00A74C81">
      <w:pPr>
        <w:pStyle w:val="BodyTextIndent2"/>
        <w:spacing w:after="0" w:line="240" w:lineRule="auto"/>
        <w:ind w:left="720"/>
        <w:jc w:val="both"/>
      </w:pPr>
      <w:r>
        <w:t>(a)</w:t>
      </w:r>
      <w:r>
        <w:tab/>
        <w:t>Mobilize and leverage donor resources;</w:t>
      </w:r>
    </w:p>
    <w:p w:rsidR="0027327E" w:rsidRDefault="00A74C81">
      <w:pPr>
        <w:pStyle w:val="BodyTextIndent2"/>
        <w:spacing w:after="0" w:line="240" w:lineRule="auto"/>
        <w:ind w:left="720"/>
        <w:jc w:val="both"/>
      </w:pPr>
      <w:r>
        <w:t>(b)</w:t>
      </w:r>
      <w:r>
        <w:tab/>
        <w:t xml:space="preserve">Exploit the expertise and economies of scale and scope available from an </w:t>
      </w:r>
      <w:r>
        <w:tab/>
        <w:t>integrated, multi-donor work program;</w:t>
      </w:r>
    </w:p>
    <w:p w:rsidR="0027327E" w:rsidRDefault="00A74C81">
      <w:pPr>
        <w:pStyle w:val="BodyTextIndent2"/>
        <w:spacing w:after="0" w:line="240" w:lineRule="auto"/>
        <w:ind w:left="720"/>
        <w:jc w:val="both"/>
      </w:pPr>
      <w:r>
        <w:t>(c)</w:t>
      </w:r>
      <w:r>
        <w:tab/>
        <w:t xml:space="preserve">Promote the exchange of lessons of experience between sectors, regions, </w:t>
      </w:r>
      <w:r>
        <w:tab/>
        <w:t>and donors;</w:t>
      </w:r>
      <w:r w:rsidR="009B5374">
        <w:t xml:space="preserve"> and</w:t>
      </w:r>
    </w:p>
    <w:p w:rsidR="0027327E" w:rsidRDefault="00A74C81">
      <w:pPr>
        <w:pStyle w:val="BodyTextIndent2"/>
        <w:spacing w:after="0" w:line="240" w:lineRule="auto"/>
        <w:ind w:left="720"/>
        <w:jc w:val="both"/>
      </w:pPr>
      <w:r>
        <w:t>(d)</w:t>
      </w:r>
      <w:r>
        <w:tab/>
        <w:t xml:space="preserve">Facilitate coordination between bilateral and multilateral programs </w:t>
      </w:r>
      <w:r>
        <w:tab/>
        <w:t>addressing the same concerns.</w:t>
      </w:r>
    </w:p>
    <w:p w:rsidR="00A74C81" w:rsidRDefault="00A74C81" w:rsidP="00286441">
      <w:pPr>
        <w:pStyle w:val="BodyTextIndent2"/>
        <w:spacing w:after="0" w:line="240" w:lineRule="auto"/>
        <w:jc w:val="both"/>
      </w:pPr>
    </w:p>
    <w:p w:rsidR="00A74C81" w:rsidRDefault="00A74C81" w:rsidP="00286441">
      <w:pPr>
        <w:pStyle w:val="BodyTextIndent2"/>
        <w:spacing w:after="0" w:line="240" w:lineRule="auto"/>
        <w:ind w:left="0"/>
        <w:jc w:val="both"/>
      </w:pPr>
      <w:r>
        <w:t>1.3</w:t>
      </w:r>
      <w:r>
        <w:tab/>
        <w:t xml:space="preserve">PPIAF supports a program of country-specific and multi-country advisory and </w:t>
      </w:r>
      <w:r>
        <w:tab/>
        <w:t>related activities in the following areas</w:t>
      </w:r>
    </w:p>
    <w:p w:rsidR="00A74C81" w:rsidRDefault="00A74C81" w:rsidP="00286441">
      <w:pPr>
        <w:pStyle w:val="BodyTextIndent2"/>
        <w:spacing w:after="0" w:line="240" w:lineRule="auto"/>
        <w:jc w:val="both"/>
      </w:pPr>
    </w:p>
    <w:p w:rsidR="0027327E" w:rsidRDefault="00A74C81">
      <w:pPr>
        <w:pStyle w:val="BodyTextIndent2"/>
        <w:spacing w:after="0" w:line="240" w:lineRule="auto"/>
        <w:ind w:left="720"/>
        <w:jc w:val="both"/>
      </w:pPr>
      <w:r>
        <w:t>(a)</w:t>
      </w:r>
      <w:r>
        <w:tab/>
        <w:t xml:space="preserve">Framing infrastructure development strategies to take full advantage of the </w:t>
      </w:r>
      <w:r>
        <w:tab/>
        <w:t>potential for private sector involvement;</w:t>
      </w:r>
    </w:p>
    <w:p w:rsidR="0027327E" w:rsidRDefault="00A74C81">
      <w:pPr>
        <w:pStyle w:val="BodyTextIndent2"/>
        <w:spacing w:after="0" w:line="240" w:lineRule="auto"/>
        <w:ind w:left="720"/>
        <w:jc w:val="both"/>
      </w:pPr>
      <w:r>
        <w:t>(b)</w:t>
      </w:r>
      <w:r>
        <w:tab/>
        <w:t xml:space="preserve">Building consensus for appropriate policy, regulatory and institutional </w:t>
      </w:r>
      <w:r>
        <w:tab/>
        <w:t>reforms;</w:t>
      </w:r>
    </w:p>
    <w:p w:rsidR="0027327E" w:rsidRDefault="00A74C81">
      <w:pPr>
        <w:pStyle w:val="BodyTextIndent2"/>
        <w:spacing w:after="0" w:line="240" w:lineRule="auto"/>
        <w:ind w:left="720"/>
        <w:jc w:val="both"/>
      </w:pPr>
      <w:r>
        <w:t>(c)</w:t>
      </w:r>
      <w:r>
        <w:tab/>
        <w:t xml:space="preserve">Designing and implementing specific policy, regulatory and institutional </w:t>
      </w:r>
      <w:r>
        <w:tab/>
        <w:t>reforms;</w:t>
      </w:r>
    </w:p>
    <w:p w:rsidR="0027327E" w:rsidRDefault="00A74C81">
      <w:pPr>
        <w:pStyle w:val="BodyTextIndent2"/>
        <w:spacing w:after="0" w:line="240" w:lineRule="auto"/>
        <w:ind w:left="720"/>
        <w:jc w:val="both"/>
      </w:pPr>
      <w:r>
        <w:t>(d)</w:t>
      </w:r>
      <w:r>
        <w:tab/>
        <w:t xml:space="preserve">Supporting the design and implementation of pioneering projects and </w:t>
      </w:r>
      <w:r>
        <w:tab/>
        <w:t>transactions;</w:t>
      </w:r>
      <w:r w:rsidR="009B5374">
        <w:t xml:space="preserve"> and</w:t>
      </w:r>
    </w:p>
    <w:p w:rsidR="0027327E" w:rsidRDefault="00A74C81">
      <w:pPr>
        <w:pStyle w:val="BodyTextIndent2"/>
        <w:spacing w:after="0" w:line="240" w:lineRule="auto"/>
        <w:ind w:left="720"/>
        <w:jc w:val="both"/>
      </w:pPr>
      <w:r>
        <w:t>(e)</w:t>
      </w:r>
      <w:r>
        <w:tab/>
        <w:t xml:space="preserve">Building government capacity in the design and execution of private </w:t>
      </w:r>
      <w:r>
        <w:tab/>
        <w:t xml:space="preserve">infrastructure arrangements and in the regulation of private service </w:t>
      </w:r>
      <w:r>
        <w:tab/>
        <w:t>providers.</w:t>
      </w:r>
    </w:p>
    <w:p w:rsidR="00A74C81" w:rsidRDefault="00A74C81" w:rsidP="00286441">
      <w:pPr>
        <w:pStyle w:val="BodyTextIndent2"/>
        <w:spacing w:after="0" w:line="240" w:lineRule="auto"/>
        <w:jc w:val="both"/>
      </w:pPr>
    </w:p>
    <w:p w:rsidR="00A74C81" w:rsidRDefault="00A74C81" w:rsidP="00286441">
      <w:pPr>
        <w:pStyle w:val="BodyTextIndent2"/>
        <w:spacing w:after="0" w:line="240" w:lineRule="auto"/>
        <w:ind w:left="0"/>
        <w:jc w:val="both"/>
      </w:pPr>
      <w:r>
        <w:t>1.4</w:t>
      </w:r>
      <w:r>
        <w:tab/>
        <w:t xml:space="preserve">PPIAF also supports identifying and disseminating best practices in private </w:t>
      </w:r>
      <w:r>
        <w:tab/>
        <w:t>involvements in infrastructure.</w:t>
      </w:r>
    </w:p>
    <w:p w:rsidR="00A74C81" w:rsidRDefault="00A74C81" w:rsidP="00286441">
      <w:pPr>
        <w:pStyle w:val="BodyTextIndent2"/>
        <w:spacing w:after="0" w:line="240" w:lineRule="auto"/>
        <w:ind w:left="720"/>
        <w:jc w:val="both"/>
      </w:pPr>
    </w:p>
    <w:p w:rsidR="00A74C81" w:rsidRDefault="00A74C81" w:rsidP="00286441">
      <w:pPr>
        <w:pStyle w:val="BodyTextIndent2"/>
        <w:spacing w:after="0" w:line="240" w:lineRule="auto"/>
        <w:ind w:left="0"/>
        <w:jc w:val="both"/>
      </w:pPr>
      <w:r>
        <w:lastRenderedPageBreak/>
        <w:t>1.5</w:t>
      </w:r>
      <w:r>
        <w:tab/>
        <w:t xml:space="preserve">The SNTA is managed and implemented as a Non-Core Fund within the PPIAF in </w:t>
      </w:r>
      <w:r>
        <w:tab/>
        <w:t xml:space="preserve">accordance with the Program Charter.  Contributors to the Trust Fund as a PPIAF </w:t>
      </w:r>
      <w:r>
        <w:tab/>
        <w:t xml:space="preserve">Non-Core Fund will be required to make at least the minimum contribution to the </w:t>
      </w:r>
      <w:r>
        <w:tab/>
        <w:t xml:space="preserve">Core Fund of the PPIAF as set out in the Program Charter.  </w:t>
      </w:r>
    </w:p>
    <w:p w:rsidR="00A74C81" w:rsidRDefault="00A74C81" w:rsidP="00286441">
      <w:pPr>
        <w:pStyle w:val="BodyTextIndent2"/>
        <w:spacing w:after="0" w:line="240" w:lineRule="auto"/>
        <w:jc w:val="both"/>
      </w:pPr>
    </w:p>
    <w:p w:rsidR="00A74C81" w:rsidRDefault="00A74C81" w:rsidP="00286441">
      <w:pPr>
        <w:pStyle w:val="BodyTextIndent2"/>
        <w:spacing w:after="0" w:line="240" w:lineRule="auto"/>
        <w:ind w:left="0"/>
        <w:jc w:val="both"/>
      </w:pPr>
      <w:r>
        <w:t>1.6</w:t>
      </w:r>
      <w:r>
        <w:tab/>
        <w:t xml:space="preserve">The objectives of the SNTA are to assist sub-national entities that demonstrate </w:t>
      </w:r>
      <w:r>
        <w:tab/>
        <w:t xml:space="preserve">good governance and efficiency benchmarks to develop their capacity to access </w:t>
      </w:r>
      <w:r>
        <w:tab/>
        <w:t xml:space="preserve">market based financing without recourse to sovereign guarantees.  </w:t>
      </w:r>
    </w:p>
    <w:p w:rsidR="00A74C81" w:rsidRDefault="00A74C81" w:rsidP="00286441">
      <w:pPr>
        <w:pStyle w:val="BodyTextIndent2"/>
        <w:spacing w:after="0" w:line="240" w:lineRule="auto"/>
        <w:ind w:left="0"/>
        <w:jc w:val="both"/>
      </w:pPr>
    </w:p>
    <w:p w:rsidR="00A74C81" w:rsidRDefault="00A74C81" w:rsidP="00286441">
      <w:pPr>
        <w:pStyle w:val="BodyTextIndent2"/>
        <w:spacing w:after="0" w:line="240" w:lineRule="auto"/>
        <w:ind w:left="0"/>
        <w:jc w:val="both"/>
      </w:pPr>
      <w:r>
        <w:t>1.7</w:t>
      </w:r>
      <w:r>
        <w:tab/>
        <w:t xml:space="preserve">The SNTA will support the above described areas of PPIAF activities, which </w:t>
      </w:r>
      <w:r>
        <w:tab/>
        <w:t>promote capacity building designed to improve the credit worthiness of sub-</w:t>
      </w:r>
      <w:r>
        <w:tab/>
        <w:t xml:space="preserve">national entities and their investment projects as measured by an appropriate </w:t>
      </w:r>
      <w:r>
        <w:tab/>
        <w:t xml:space="preserve">credit rating and/or actual access to financing.  Such capacity building will </w:t>
      </w:r>
      <w:r>
        <w:tab/>
        <w:t xml:space="preserve">include technical assistance for improved financial management, strengthened </w:t>
      </w:r>
      <w:r>
        <w:tab/>
        <w:t xml:space="preserve">governance and human resource capacity, best-practice procurement procedures </w:t>
      </w:r>
      <w:r>
        <w:tab/>
        <w:t xml:space="preserve">as well as better corporate and business planning. </w:t>
      </w:r>
    </w:p>
    <w:p w:rsidR="00A74C81" w:rsidRDefault="00A74C81" w:rsidP="00286441">
      <w:pPr>
        <w:ind w:left="720" w:firstLine="720"/>
        <w:rPr>
          <w:u w:val="single"/>
        </w:rPr>
      </w:pPr>
    </w:p>
    <w:p w:rsidR="0027327E" w:rsidRDefault="00A74C81">
      <w:pPr>
        <w:jc w:val="both"/>
        <w:rPr>
          <w:szCs w:val="24"/>
        </w:rPr>
      </w:pPr>
      <w:r>
        <w:rPr>
          <w:szCs w:val="24"/>
        </w:rPr>
        <w:t>1.8</w:t>
      </w:r>
      <w:r>
        <w:rPr>
          <w:szCs w:val="24"/>
        </w:rPr>
        <w:tab/>
      </w:r>
      <w:r w:rsidRPr="00B15A5E">
        <w:rPr>
          <w:szCs w:val="24"/>
        </w:rPr>
        <w:t xml:space="preserve">Additional information on PPIAF including its governance structure can be found </w:t>
      </w:r>
      <w:r>
        <w:rPr>
          <w:szCs w:val="24"/>
        </w:rPr>
        <w:tab/>
      </w:r>
      <w:r w:rsidRPr="00B15A5E">
        <w:rPr>
          <w:szCs w:val="24"/>
        </w:rPr>
        <w:t>in the PP</w:t>
      </w:r>
      <w:r>
        <w:rPr>
          <w:szCs w:val="24"/>
        </w:rPr>
        <w:t>IAF Program Charter, dated May 200</w:t>
      </w:r>
      <w:r w:rsidRPr="00B15A5E">
        <w:rPr>
          <w:szCs w:val="24"/>
        </w:rPr>
        <w:t>1, as amended from time to time</w:t>
      </w:r>
      <w:r>
        <w:rPr>
          <w:szCs w:val="24"/>
        </w:rPr>
        <w:t xml:space="preserve"> </w:t>
      </w:r>
      <w:r>
        <w:rPr>
          <w:szCs w:val="24"/>
        </w:rPr>
        <w:tab/>
        <w:t>and</w:t>
      </w:r>
      <w:r w:rsidRPr="00B15A5E">
        <w:rPr>
          <w:szCs w:val="24"/>
        </w:rPr>
        <w:t xml:space="preserve"> available at </w:t>
      </w:r>
      <w:hyperlink r:id="rId7" w:history="1">
        <w:r w:rsidRPr="00B15A5E">
          <w:rPr>
            <w:rStyle w:val="Hyperlink"/>
            <w:color w:val="auto"/>
            <w:szCs w:val="24"/>
            <w:u w:val="none"/>
          </w:rPr>
          <w:t>www.ppiaf.org</w:t>
        </w:r>
      </w:hyperlink>
      <w:r w:rsidRPr="00B15A5E">
        <w:rPr>
          <w:szCs w:val="24"/>
        </w:rPr>
        <w:t xml:space="preserve">.  Although this Trust Fund will be non-core </w:t>
      </w:r>
      <w:r>
        <w:rPr>
          <w:szCs w:val="24"/>
        </w:rPr>
        <w:tab/>
      </w:r>
      <w:r w:rsidRPr="00B15A5E">
        <w:rPr>
          <w:szCs w:val="24"/>
        </w:rPr>
        <w:t xml:space="preserve">PPIAF fund, all proposals will be circulated to PPIAF donors for information and </w:t>
      </w:r>
      <w:r>
        <w:rPr>
          <w:szCs w:val="24"/>
        </w:rPr>
        <w:tab/>
      </w:r>
      <w:r w:rsidRPr="00B15A5E">
        <w:rPr>
          <w:szCs w:val="24"/>
        </w:rPr>
        <w:t xml:space="preserve">coordination but with explicit approval requested only from the non-core donors </w:t>
      </w:r>
      <w:r>
        <w:rPr>
          <w:szCs w:val="24"/>
        </w:rPr>
        <w:tab/>
      </w:r>
      <w:r w:rsidRPr="00B15A5E">
        <w:rPr>
          <w:szCs w:val="24"/>
        </w:rPr>
        <w:t>to this Trust Fund.</w:t>
      </w:r>
    </w:p>
    <w:p w:rsidR="00A74C81" w:rsidRDefault="00A74C81" w:rsidP="00286441">
      <w:pPr>
        <w:ind w:firstLine="720"/>
        <w:jc w:val="both"/>
      </w:pPr>
    </w:p>
    <w:p w:rsidR="00A74C81" w:rsidRDefault="00A74C81" w:rsidP="00286441">
      <w:pPr>
        <w:jc w:val="both"/>
      </w:pPr>
    </w:p>
    <w:p w:rsidR="00A74C81" w:rsidRDefault="00A74C81" w:rsidP="00B51658">
      <w:pPr>
        <w:rPr>
          <w:u w:val="single"/>
        </w:rPr>
      </w:pPr>
      <w:r w:rsidRPr="009B5374">
        <w:t>2.</w:t>
      </w:r>
      <w:r w:rsidRPr="009B5374">
        <w:tab/>
      </w:r>
      <w:r>
        <w:rPr>
          <w:u w:val="single"/>
        </w:rPr>
        <w:t>Categories of Expenditure</w:t>
      </w:r>
    </w:p>
    <w:p w:rsidR="00A74C81" w:rsidRDefault="00A74C81" w:rsidP="00286441">
      <w:pPr>
        <w:rPr>
          <w:u w:val="single"/>
        </w:rPr>
      </w:pPr>
    </w:p>
    <w:p w:rsidR="0027327E" w:rsidRDefault="00A74C81">
      <w:pPr>
        <w:pStyle w:val="BankNormal"/>
        <w:spacing w:after="0"/>
      </w:pPr>
      <w:r>
        <w:t>2.1</w:t>
      </w:r>
      <w:r>
        <w:tab/>
        <w:t xml:space="preserve">The Contribution funds will be used to finance the following categories of </w:t>
      </w:r>
      <w:r>
        <w:tab/>
        <w:t>expenditure:</w:t>
      </w:r>
    </w:p>
    <w:p w:rsidR="00A74C81" w:rsidRDefault="00A74C81" w:rsidP="00286441">
      <w:pPr>
        <w:pStyle w:val="BankNormal"/>
        <w:spacing w:after="0"/>
        <w:ind w:firstLine="720"/>
      </w:pPr>
    </w:p>
    <w:p w:rsidR="0027327E" w:rsidRDefault="00A74C81">
      <w:pPr>
        <w:pStyle w:val="BankNormal"/>
        <w:spacing w:after="0"/>
        <w:rPr>
          <w:u w:val="single"/>
        </w:rPr>
      </w:pPr>
      <w:r>
        <w:t>2.2</w:t>
      </w:r>
      <w:r>
        <w:tab/>
        <w:t xml:space="preserve">For Recipient-executed activities, the Contribution funds may be used by </w:t>
      </w:r>
      <w:r>
        <w:tab/>
        <w:t xml:space="preserve">Recipients (as defined in Annex 2, paragraph 6.1) to finance goods, works and </w:t>
      </w:r>
      <w:r>
        <w:tab/>
        <w:t>services.</w:t>
      </w:r>
    </w:p>
    <w:p w:rsidR="00A74C81" w:rsidRDefault="00A74C81" w:rsidP="00286441">
      <w:pPr>
        <w:pStyle w:val="BankNormal"/>
        <w:spacing w:after="0"/>
        <w:ind w:firstLine="720"/>
      </w:pPr>
    </w:p>
    <w:p w:rsidR="0027327E" w:rsidRDefault="00A74C81">
      <w:pPr>
        <w:pStyle w:val="BankNormal"/>
        <w:spacing w:after="0"/>
        <w:rPr>
          <w:szCs w:val="24"/>
        </w:rPr>
      </w:pPr>
      <w:r>
        <w:t>2.3</w:t>
      </w:r>
      <w:r>
        <w:tab/>
        <w:t xml:space="preserve">For Bank-executed activities, the Contribution funds may be used to finance the </w:t>
      </w:r>
      <w:r>
        <w:tab/>
        <w:t xml:space="preserve">following categories of expenditures: </w:t>
      </w:r>
    </w:p>
    <w:p w:rsidR="00A74C81" w:rsidRPr="00B15A5E" w:rsidRDefault="00A74C81" w:rsidP="00400F12">
      <w:pPr>
        <w:ind w:left="1440"/>
        <w:jc w:val="both"/>
        <w:rPr>
          <w:szCs w:val="24"/>
        </w:rPr>
      </w:pPr>
    </w:p>
    <w:p w:rsidR="00A74C81" w:rsidRPr="00B15A5E" w:rsidRDefault="00A74C81" w:rsidP="00B51658">
      <w:pPr>
        <w:numPr>
          <w:ilvl w:val="0"/>
          <w:numId w:val="18"/>
        </w:numPr>
        <w:jc w:val="both"/>
        <w:rPr>
          <w:szCs w:val="24"/>
        </w:rPr>
      </w:pPr>
      <w:r w:rsidRPr="00B15A5E">
        <w:rPr>
          <w:szCs w:val="24"/>
        </w:rPr>
        <w:t xml:space="preserve">Associated </w:t>
      </w:r>
      <w:r>
        <w:rPr>
          <w:szCs w:val="24"/>
        </w:rPr>
        <w:t>o</w:t>
      </w:r>
      <w:r w:rsidRPr="00B15A5E">
        <w:rPr>
          <w:szCs w:val="24"/>
        </w:rPr>
        <w:t>verheads</w:t>
      </w:r>
    </w:p>
    <w:p w:rsidR="00A74C81" w:rsidRPr="00B15A5E" w:rsidRDefault="00A74C81" w:rsidP="00B51658">
      <w:pPr>
        <w:numPr>
          <w:ilvl w:val="0"/>
          <w:numId w:val="18"/>
        </w:numPr>
        <w:jc w:val="both"/>
        <w:rPr>
          <w:szCs w:val="24"/>
        </w:rPr>
      </w:pPr>
      <w:r w:rsidRPr="00B15A5E">
        <w:rPr>
          <w:szCs w:val="24"/>
        </w:rPr>
        <w:t xml:space="preserve">Consultant </w:t>
      </w:r>
      <w:r>
        <w:rPr>
          <w:szCs w:val="24"/>
        </w:rPr>
        <w:t>f</w:t>
      </w:r>
      <w:r w:rsidRPr="00B15A5E">
        <w:rPr>
          <w:szCs w:val="24"/>
        </w:rPr>
        <w:t>ees</w:t>
      </w:r>
    </w:p>
    <w:p w:rsidR="00A74C81" w:rsidRPr="00B15A5E" w:rsidRDefault="00A74C81" w:rsidP="00B51658">
      <w:pPr>
        <w:numPr>
          <w:ilvl w:val="0"/>
          <w:numId w:val="18"/>
        </w:numPr>
        <w:jc w:val="both"/>
        <w:rPr>
          <w:szCs w:val="24"/>
        </w:rPr>
      </w:pPr>
      <w:r w:rsidRPr="00B15A5E">
        <w:rPr>
          <w:szCs w:val="24"/>
        </w:rPr>
        <w:t xml:space="preserve">Contractual </w:t>
      </w:r>
      <w:r>
        <w:rPr>
          <w:szCs w:val="24"/>
        </w:rPr>
        <w:t>s</w:t>
      </w:r>
      <w:r w:rsidRPr="00B15A5E">
        <w:rPr>
          <w:szCs w:val="24"/>
        </w:rPr>
        <w:t>ervices</w:t>
      </w:r>
    </w:p>
    <w:p w:rsidR="00A74C81" w:rsidRPr="00B15A5E" w:rsidRDefault="00A74C81" w:rsidP="00B51658">
      <w:pPr>
        <w:numPr>
          <w:ilvl w:val="0"/>
          <w:numId w:val="18"/>
        </w:numPr>
        <w:jc w:val="both"/>
        <w:rPr>
          <w:szCs w:val="24"/>
        </w:rPr>
      </w:pPr>
      <w:r w:rsidRPr="00B15A5E">
        <w:rPr>
          <w:szCs w:val="24"/>
        </w:rPr>
        <w:t>Equipment costs lease</w:t>
      </w:r>
    </w:p>
    <w:p w:rsidR="00A74C81" w:rsidRPr="00B15A5E" w:rsidRDefault="00A74C81" w:rsidP="00B51658">
      <w:pPr>
        <w:numPr>
          <w:ilvl w:val="0"/>
          <w:numId w:val="18"/>
        </w:numPr>
        <w:jc w:val="both"/>
        <w:rPr>
          <w:szCs w:val="24"/>
        </w:rPr>
      </w:pPr>
      <w:r w:rsidRPr="00B15A5E">
        <w:rPr>
          <w:szCs w:val="24"/>
        </w:rPr>
        <w:t>Extended term consultants</w:t>
      </w:r>
    </w:p>
    <w:p w:rsidR="00A74C81" w:rsidRPr="00B15A5E" w:rsidRDefault="00A74C81" w:rsidP="00B51658">
      <w:pPr>
        <w:numPr>
          <w:ilvl w:val="0"/>
          <w:numId w:val="18"/>
        </w:numPr>
        <w:jc w:val="both"/>
        <w:rPr>
          <w:szCs w:val="24"/>
        </w:rPr>
      </w:pPr>
      <w:r w:rsidRPr="00B15A5E">
        <w:rPr>
          <w:szCs w:val="24"/>
        </w:rPr>
        <w:t>Media and workshop costs</w:t>
      </w:r>
    </w:p>
    <w:p w:rsidR="00A74C81" w:rsidRPr="00B15A5E" w:rsidRDefault="00A74C81" w:rsidP="00B51658">
      <w:pPr>
        <w:numPr>
          <w:ilvl w:val="0"/>
          <w:numId w:val="18"/>
        </w:numPr>
        <w:jc w:val="both"/>
        <w:rPr>
          <w:szCs w:val="24"/>
        </w:rPr>
      </w:pPr>
      <w:r w:rsidRPr="00B15A5E">
        <w:rPr>
          <w:szCs w:val="24"/>
        </w:rPr>
        <w:t>Staff costs</w:t>
      </w:r>
    </w:p>
    <w:p w:rsidR="00A74C81" w:rsidRPr="00B15A5E" w:rsidRDefault="00A74C81" w:rsidP="00B51658">
      <w:pPr>
        <w:numPr>
          <w:ilvl w:val="0"/>
          <w:numId w:val="18"/>
        </w:numPr>
        <w:jc w:val="both"/>
        <w:rPr>
          <w:szCs w:val="24"/>
        </w:rPr>
      </w:pPr>
      <w:r w:rsidRPr="00B15A5E">
        <w:rPr>
          <w:szCs w:val="24"/>
        </w:rPr>
        <w:t xml:space="preserve">Temporary </w:t>
      </w:r>
      <w:r>
        <w:rPr>
          <w:szCs w:val="24"/>
        </w:rPr>
        <w:t>s</w:t>
      </w:r>
      <w:r w:rsidRPr="00B15A5E">
        <w:rPr>
          <w:szCs w:val="24"/>
        </w:rPr>
        <w:t>upport staff costs (program administration)</w:t>
      </w:r>
    </w:p>
    <w:p w:rsidR="00A74C81" w:rsidRPr="00B15A5E" w:rsidRDefault="00A74C81" w:rsidP="00B51658">
      <w:pPr>
        <w:numPr>
          <w:ilvl w:val="0"/>
          <w:numId w:val="18"/>
        </w:numPr>
        <w:jc w:val="both"/>
        <w:rPr>
          <w:szCs w:val="24"/>
        </w:rPr>
      </w:pPr>
      <w:r w:rsidRPr="00B15A5E">
        <w:rPr>
          <w:szCs w:val="24"/>
        </w:rPr>
        <w:t>Travel expenses</w:t>
      </w:r>
    </w:p>
    <w:p w:rsidR="00A74C81" w:rsidRDefault="00A74C81" w:rsidP="00286441">
      <w:pPr>
        <w:pStyle w:val="BankNormal"/>
        <w:spacing w:after="0"/>
        <w:ind w:firstLine="720"/>
      </w:pPr>
    </w:p>
    <w:p w:rsidR="0027327E" w:rsidRDefault="00A74C81">
      <w:pPr>
        <w:numPr>
          <w:ilvl w:val="1"/>
          <w:numId w:val="19"/>
        </w:numPr>
        <w:jc w:val="both"/>
      </w:pPr>
      <w:r>
        <w:lastRenderedPageBreak/>
        <w:t>Pursuant to paragraph 3 of Annex 2, a maximum of 30% of the Contribution funds may be used for the costs associated with staff of the World Bank Group (as defined in Annex 2, paragraph 3) in identifying, supervising, and, in limited cases, delivering PPIAF assignments on behalf of the Program Management Unit of the PPIAF in connection with the SNTA.</w:t>
      </w:r>
    </w:p>
    <w:p w:rsidR="0027327E" w:rsidRDefault="00A74C81">
      <w:pPr>
        <w:jc w:val="both"/>
      </w:pPr>
      <w:r>
        <w:br w:type="page"/>
      </w:r>
    </w:p>
    <w:p w:rsidR="00A74C81" w:rsidRPr="00B15A5E" w:rsidRDefault="00A74C81">
      <w:pPr>
        <w:jc w:val="right"/>
        <w:rPr>
          <w:b/>
          <w:szCs w:val="24"/>
          <w:u w:val="single"/>
        </w:rPr>
      </w:pPr>
      <w:r w:rsidRPr="00B15A5E">
        <w:rPr>
          <w:b/>
          <w:szCs w:val="24"/>
          <w:u w:val="single"/>
        </w:rPr>
        <w:lastRenderedPageBreak/>
        <w:t>ANNEX 2</w:t>
      </w:r>
    </w:p>
    <w:p w:rsidR="00A74C81" w:rsidRPr="00B15A5E" w:rsidRDefault="00A74C81">
      <w:pPr>
        <w:jc w:val="right"/>
        <w:rPr>
          <w:szCs w:val="24"/>
          <w:u w:val="single"/>
        </w:rPr>
      </w:pPr>
    </w:p>
    <w:p w:rsidR="00A74C81" w:rsidRDefault="00A74C81" w:rsidP="00286441">
      <w:pPr>
        <w:jc w:val="center"/>
      </w:pPr>
      <w:r>
        <w:rPr>
          <w:b/>
          <w:u w:val="single"/>
        </w:rPr>
        <w:t xml:space="preserve">Standard Provisions Applicable to the Trust Fund for the </w:t>
      </w:r>
      <w:r>
        <w:rPr>
          <w:b/>
          <w:bCs/>
          <w:iCs/>
          <w:u w:val="single"/>
        </w:rPr>
        <w:t>Sub-National Technical Assistance Program (SNTA)</w:t>
      </w:r>
      <w:r>
        <w:rPr>
          <w:szCs w:val="24"/>
        </w:rPr>
        <w:t xml:space="preserve"> </w:t>
      </w:r>
      <w:r>
        <w:rPr>
          <w:b/>
          <w:u w:val="single"/>
        </w:rPr>
        <w:t xml:space="preserve">Public-Private Infrastructure Advisory Facility (PPIAF) Trust Fund (TF No. 070804) </w:t>
      </w:r>
    </w:p>
    <w:p w:rsidR="00A74C81" w:rsidRDefault="00A74C81" w:rsidP="00286441">
      <w:pPr>
        <w:pStyle w:val="BodyTextIndent"/>
      </w:pPr>
    </w:p>
    <w:p w:rsidR="0027327E" w:rsidRDefault="00A74C81">
      <w:pPr>
        <w:pStyle w:val="BodyTextIndent"/>
        <w:ind w:firstLine="0"/>
      </w:pPr>
      <w:r>
        <w:t>1.</w:t>
      </w:r>
      <w:r>
        <w:tab/>
        <w:t xml:space="preserve">The following provisions (hereinafter referred to as the “Standard Provisions”) </w:t>
      </w:r>
      <w:r>
        <w:tab/>
        <w:t xml:space="preserve">shall be applicable to and </w:t>
      </w:r>
      <w:proofErr w:type="spellStart"/>
      <w:r>
        <w:t>form</w:t>
      </w:r>
      <w:proofErr w:type="spellEnd"/>
      <w:r>
        <w:t xml:space="preserve"> an integral part of all agreements entered into </w:t>
      </w:r>
      <w:r>
        <w:tab/>
        <w:t xml:space="preserve">between the International Bank for Reconstruction and Development (“IBRD”) </w:t>
      </w:r>
      <w:r>
        <w:tab/>
        <w:t xml:space="preserve">and the International Development Association (“IDA”) (collectively, the </w:t>
      </w:r>
      <w:r>
        <w:tab/>
        <w:t xml:space="preserve">“Bank”) and donor countries and/or organizations (hereinafter referred to as the </w:t>
      </w:r>
      <w:r>
        <w:tab/>
        <w:t xml:space="preserve">“Donors”) that provide grants (referred to as the “Contributions”) to be </w:t>
      </w:r>
      <w:r>
        <w:tab/>
        <w:t xml:space="preserve">administered by the Bank for the Trust Fund for the Public-Private Infrastructure </w:t>
      </w:r>
      <w:r>
        <w:tab/>
        <w:t xml:space="preserve">Advisory Facility (PPIAF) </w:t>
      </w:r>
      <w:r>
        <w:rPr>
          <w:bCs/>
          <w:iCs/>
        </w:rPr>
        <w:t>Sub-National Technical Assistance Program (SNTA)</w:t>
      </w:r>
      <w:r>
        <w:t xml:space="preserve"> </w:t>
      </w:r>
      <w:r>
        <w:tab/>
        <w:t>(TF No. 070804)</w:t>
      </w:r>
      <w:r>
        <w:rPr>
          <w:i/>
        </w:rPr>
        <w:t xml:space="preserve"> </w:t>
      </w:r>
      <w:r>
        <w:t xml:space="preserve">(the “Trust Fund”).  </w:t>
      </w:r>
    </w:p>
    <w:p w:rsidR="00A74C81" w:rsidRDefault="00A74C81" w:rsidP="00286441">
      <w:pPr>
        <w:ind w:firstLine="720"/>
        <w:jc w:val="both"/>
      </w:pPr>
    </w:p>
    <w:p w:rsidR="00A74C81" w:rsidRDefault="00A74C81" w:rsidP="00286441">
      <w:r>
        <w:t>2.</w:t>
      </w:r>
      <w:r>
        <w:tab/>
      </w:r>
      <w:r>
        <w:rPr>
          <w:u w:val="single"/>
        </w:rPr>
        <w:t>Administration of the Contributions</w:t>
      </w:r>
    </w:p>
    <w:p w:rsidR="00A74C81" w:rsidRDefault="00A74C81" w:rsidP="00286441"/>
    <w:p w:rsidR="00A74C81" w:rsidRDefault="00A74C81" w:rsidP="00286441">
      <w:pPr>
        <w:jc w:val="both"/>
      </w:pPr>
      <w:r>
        <w:t>2.1</w:t>
      </w:r>
      <w:r>
        <w:tab/>
        <w:t xml:space="preserve">The Bank shall be responsible only for performing those functions specifically set </w:t>
      </w:r>
      <w:r>
        <w:tab/>
        <w:t xml:space="preserve">forth in this Agreement and shall not be subject to any other duties or </w:t>
      </w:r>
      <w:r>
        <w:tab/>
        <w:t xml:space="preserve">responsibilities to the Donors, including, without limitation, any duties or </w:t>
      </w:r>
      <w:r>
        <w:tab/>
        <w:t xml:space="preserve">obligations that might otherwise apply to a fiduciary or trustee under general </w:t>
      </w:r>
      <w:r>
        <w:tab/>
        <w:t xml:space="preserve">principles of trust or fiduciary law.  Nothing in this Agreement shall be </w:t>
      </w:r>
      <w:r>
        <w:tab/>
        <w:t xml:space="preserve">considered a waiver of any privileges or immunities of the IBRD and IDA under </w:t>
      </w:r>
      <w:r>
        <w:tab/>
        <w:t xml:space="preserve">their Articles of Agreement or any applicable law, all of which are expressly </w:t>
      </w:r>
      <w:r>
        <w:tab/>
        <w:t xml:space="preserve">reserved. </w:t>
      </w:r>
    </w:p>
    <w:p w:rsidR="00A74C81" w:rsidRDefault="00A74C81" w:rsidP="00286441">
      <w:pPr>
        <w:jc w:val="both"/>
      </w:pPr>
    </w:p>
    <w:p w:rsidR="00A74C81" w:rsidRDefault="00A74C81" w:rsidP="00286441">
      <w:r>
        <w:t>3.</w:t>
      </w:r>
      <w:r>
        <w:tab/>
      </w:r>
      <w:r>
        <w:rPr>
          <w:u w:val="single"/>
        </w:rPr>
        <w:t xml:space="preserve">Use of Contribution Funds </w:t>
      </w:r>
    </w:p>
    <w:p w:rsidR="00A74C81" w:rsidRDefault="00A74C81" w:rsidP="00286441">
      <w:pPr>
        <w:jc w:val="both"/>
      </w:pPr>
    </w:p>
    <w:p w:rsidR="0027327E" w:rsidRDefault="00A74C81">
      <w:pPr>
        <w:jc w:val="both"/>
      </w:pPr>
      <w:r>
        <w:t>3.1</w:t>
      </w:r>
      <w:r>
        <w:tab/>
        <w:t xml:space="preserve">The Bank may use the Contribution funds for any purpose that is: </w:t>
      </w:r>
    </w:p>
    <w:p w:rsidR="00A74C81" w:rsidRDefault="00A74C81" w:rsidP="00286441">
      <w:pPr>
        <w:ind w:firstLine="720"/>
        <w:jc w:val="both"/>
      </w:pPr>
    </w:p>
    <w:p w:rsidR="00A74C81" w:rsidRDefault="00A74C81" w:rsidP="00286441">
      <w:pPr>
        <w:ind w:firstLine="720"/>
        <w:jc w:val="both"/>
      </w:pPr>
      <w:r>
        <w:tab/>
        <w:t xml:space="preserve">(a) </w:t>
      </w:r>
      <w:r>
        <w:tab/>
      </w:r>
      <w:proofErr w:type="gramStart"/>
      <w:r>
        <w:t>permissible</w:t>
      </w:r>
      <w:proofErr w:type="gramEnd"/>
      <w:r>
        <w:t xml:space="preserve"> under the Program Charter, as it may be amended from </w:t>
      </w:r>
      <w:r>
        <w:tab/>
      </w:r>
      <w:r>
        <w:tab/>
      </w:r>
      <w:r>
        <w:tab/>
        <w:t>time to time; and</w:t>
      </w:r>
    </w:p>
    <w:p w:rsidR="00A74C81" w:rsidRDefault="00A74C81" w:rsidP="00286441">
      <w:pPr>
        <w:ind w:firstLine="720"/>
        <w:jc w:val="both"/>
      </w:pPr>
      <w:r>
        <w:tab/>
        <w:t xml:space="preserve"> (b) </w:t>
      </w:r>
      <w:r>
        <w:tab/>
      </w:r>
      <w:proofErr w:type="gramStart"/>
      <w:r>
        <w:t>authorized</w:t>
      </w:r>
      <w:proofErr w:type="gramEnd"/>
      <w:r>
        <w:t xml:space="preserve"> by the non-core donors group comprised of the Program </w:t>
      </w:r>
      <w:r>
        <w:tab/>
      </w:r>
      <w:r>
        <w:tab/>
      </w:r>
      <w:r>
        <w:tab/>
        <w:t xml:space="preserve">Council members contributing to the SNTA (“SNTA Non-Core </w:t>
      </w:r>
      <w:r>
        <w:tab/>
      </w:r>
      <w:r>
        <w:tab/>
      </w:r>
      <w:r>
        <w:tab/>
      </w:r>
      <w:r>
        <w:tab/>
        <w:t>Donors Group”) in accordance with the Program Charter.</w:t>
      </w:r>
    </w:p>
    <w:p w:rsidR="00A74C81" w:rsidRDefault="00A74C81" w:rsidP="00286441">
      <w:pPr>
        <w:ind w:left="720" w:hanging="270"/>
        <w:jc w:val="both"/>
      </w:pPr>
    </w:p>
    <w:p w:rsidR="00A74C81" w:rsidRDefault="00A74C81" w:rsidP="00286441">
      <w:pPr>
        <w:keepNext/>
        <w:jc w:val="both"/>
      </w:pPr>
      <w:r>
        <w:t>4.</w:t>
      </w:r>
      <w:r>
        <w:tab/>
      </w:r>
      <w:r>
        <w:rPr>
          <w:u w:val="single"/>
        </w:rPr>
        <w:t>Use of PPIAF Trust Fund for World Bank Group Staff</w:t>
      </w:r>
    </w:p>
    <w:p w:rsidR="00A74C81" w:rsidRDefault="00A74C81" w:rsidP="00286441">
      <w:pPr>
        <w:keepNext/>
        <w:jc w:val="both"/>
      </w:pPr>
    </w:p>
    <w:p w:rsidR="0027327E" w:rsidRDefault="00A74C81">
      <w:pPr>
        <w:jc w:val="both"/>
      </w:pPr>
      <w:r>
        <w:t>4.1</w:t>
      </w:r>
      <w:r>
        <w:tab/>
        <w:t xml:space="preserve">A maximum of thirty percent (30%) of the funds provided under the Agreement </w:t>
      </w:r>
      <w:r>
        <w:tab/>
        <w:t xml:space="preserve">may be used for the costs associated with staff of the Bank, the International </w:t>
      </w:r>
      <w:r>
        <w:tab/>
        <w:t xml:space="preserve">Finance Corporation, the Multilateral Investment Guarantee Agency, and the </w:t>
      </w:r>
      <w:r>
        <w:tab/>
        <w:t xml:space="preserve">International Center for Settlement of Investment Disputes (collectively, the </w:t>
      </w:r>
      <w:r>
        <w:tab/>
        <w:t xml:space="preserve">“World Bank Group”) involved in identifying, supervising, and, in limited cases, </w:t>
      </w:r>
      <w:r>
        <w:tab/>
        <w:t xml:space="preserve">delivering PPIAF assignments on behalf of the Program Management Unit of the </w:t>
      </w:r>
      <w:r>
        <w:tab/>
        <w:t xml:space="preserve">PPIAF (the “PMU”) in connection with the SNTA. </w:t>
      </w:r>
    </w:p>
    <w:p w:rsidR="00A74C81" w:rsidRDefault="00A74C81" w:rsidP="00286441">
      <w:pPr>
        <w:ind w:left="720" w:hanging="720"/>
        <w:rPr>
          <w:u w:val="single"/>
        </w:rPr>
      </w:pPr>
      <w:r>
        <w:br w:type="page"/>
      </w:r>
      <w:r>
        <w:lastRenderedPageBreak/>
        <w:t>5.</w:t>
      </w:r>
      <w:r>
        <w:tab/>
      </w:r>
      <w:r>
        <w:rPr>
          <w:u w:val="single"/>
        </w:rPr>
        <w:t xml:space="preserve">Commingling, Exchange and Investment of the Contributions </w:t>
      </w:r>
    </w:p>
    <w:p w:rsidR="00A74C81" w:rsidRDefault="00A74C81" w:rsidP="00286441">
      <w:pPr>
        <w:pStyle w:val="Referencestyle"/>
      </w:pPr>
    </w:p>
    <w:p w:rsidR="00A74C81" w:rsidRDefault="00A74C81" w:rsidP="00286441">
      <w:pPr>
        <w:jc w:val="both"/>
      </w:pPr>
      <w:r>
        <w:t>5.1.</w:t>
      </w:r>
      <w:r>
        <w:tab/>
        <w:t xml:space="preserve">The Contribution funds shall be accounted for as a single trust fund and shall be </w:t>
      </w:r>
      <w:r>
        <w:tab/>
        <w:t xml:space="preserve">kept separate and apart from the funds of the Bank.  The Contribution funds may </w:t>
      </w:r>
      <w:r>
        <w:tab/>
        <w:t xml:space="preserve">be commingled with other trust fund assets maintained by the Bank.  </w:t>
      </w:r>
    </w:p>
    <w:p w:rsidR="00A74C81" w:rsidRDefault="00A74C81" w:rsidP="00286441">
      <w:pPr>
        <w:jc w:val="both"/>
      </w:pPr>
    </w:p>
    <w:p w:rsidR="00A74C81" w:rsidRDefault="00A74C81" w:rsidP="00286441">
      <w:pPr>
        <w:jc w:val="both"/>
      </w:pPr>
      <w:r>
        <w:t>5.2.</w:t>
      </w:r>
      <w:r>
        <w:tab/>
        <w:t xml:space="preserve">The Contribution funds may be freely exchanged by the Bank into other </w:t>
      </w:r>
      <w:r>
        <w:tab/>
        <w:t xml:space="preserve">currencies as may facilitate their disbursement.  </w:t>
      </w:r>
    </w:p>
    <w:p w:rsidR="00A74C81" w:rsidRDefault="00A74C81" w:rsidP="00286441">
      <w:pPr>
        <w:ind w:firstLine="720"/>
        <w:jc w:val="both"/>
      </w:pPr>
    </w:p>
    <w:p w:rsidR="00A74C81" w:rsidRDefault="00A74C81" w:rsidP="00286441">
      <w:pPr>
        <w:jc w:val="both"/>
      </w:pPr>
      <w:r>
        <w:t>5.3.</w:t>
      </w:r>
      <w:r>
        <w:tab/>
        <w:t xml:space="preserve">The Bank shall invest and reinvest the Contribution funds pending their </w:t>
      </w:r>
      <w:r>
        <w:tab/>
        <w:t xml:space="preserve">disbursement in accordance with the Bank’s policies and procedures for the </w:t>
      </w:r>
      <w:r>
        <w:tab/>
        <w:t xml:space="preserve">investment of trust funds administered by the Bank. The Bank shall credit all </w:t>
      </w:r>
      <w:r>
        <w:tab/>
        <w:t xml:space="preserve">income from such investment to the trust fund established under this Agreement </w:t>
      </w:r>
      <w:r>
        <w:tab/>
        <w:t xml:space="preserve">to be used for the same purposes as the Contribution funds. </w:t>
      </w:r>
    </w:p>
    <w:p w:rsidR="00A74C81" w:rsidRDefault="00A74C81" w:rsidP="00286441">
      <w:pPr>
        <w:jc w:val="both"/>
      </w:pPr>
    </w:p>
    <w:p w:rsidR="00A74C81" w:rsidRDefault="00A74C81" w:rsidP="00286441">
      <w:pPr>
        <w:jc w:val="both"/>
      </w:pPr>
      <w:r>
        <w:t>6.</w:t>
      </w:r>
      <w:r>
        <w:tab/>
      </w:r>
      <w:r>
        <w:rPr>
          <w:u w:val="single"/>
        </w:rPr>
        <w:t>Administrative Cost Recovery</w:t>
      </w:r>
    </w:p>
    <w:p w:rsidR="00A74C81" w:rsidRDefault="00A74C81" w:rsidP="00286441">
      <w:pPr>
        <w:jc w:val="both"/>
      </w:pPr>
    </w:p>
    <w:p w:rsidR="00A74C81" w:rsidRDefault="00A74C81" w:rsidP="00286441">
      <w:pPr>
        <w:jc w:val="both"/>
      </w:pPr>
      <w:r>
        <w:t>6.1</w:t>
      </w:r>
      <w:r>
        <w:tab/>
        <w:t xml:space="preserve">In order to assist in the defrayment of the costs of administration and other </w:t>
      </w:r>
      <w:r>
        <w:tab/>
        <w:t xml:space="preserve">expenses incurred by the Bank under this Agreement, the Bank may, following </w:t>
      </w:r>
      <w:r>
        <w:tab/>
        <w:t xml:space="preserve">deposit of Contribution funds, deduct from such funds and retain for the Bank’s </w:t>
      </w:r>
      <w:r>
        <w:tab/>
        <w:t xml:space="preserve">own account an amount equal to two percent (2%) of the Contributions. </w:t>
      </w:r>
    </w:p>
    <w:p w:rsidR="00A74C81" w:rsidRDefault="00A74C81" w:rsidP="00286441">
      <w:pPr>
        <w:jc w:val="both"/>
      </w:pPr>
    </w:p>
    <w:p w:rsidR="00A74C81" w:rsidRDefault="00A74C81" w:rsidP="00286441">
      <w:pPr>
        <w:jc w:val="both"/>
        <w:rPr>
          <w:u w:val="single"/>
        </w:rPr>
      </w:pPr>
      <w:r>
        <w:t>7.</w:t>
      </w:r>
      <w:r>
        <w:tab/>
      </w:r>
      <w:r>
        <w:rPr>
          <w:u w:val="single"/>
        </w:rPr>
        <w:t>Grants to Recipients</w:t>
      </w:r>
    </w:p>
    <w:p w:rsidR="00A74C81" w:rsidRDefault="00A74C81" w:rsidP="00286441">
      <w:pPr>
        <w:jc w:val="both"/>
      </w:pPr>
    </w:p>
    <w:p w:rsidR="00A74C81" w:rsidRDefault="00A74C81" w:rsidP="00286441">
      <w:pPr>
        <w:pStyle w:val="BodyText2"/>
      </w:pPr>
      <w:r>
        <w:t>7.1.</w:t>
      </w:r>
      <w:r>
        <w:tab/>
        <w:t xml:space="preserve">When so authorized by the SNTA Non-Core Donors Group, the Bank may use the </w:t>
      </w:r>
      <w:r>
        <w:tab/>
        <w:t xml:space="preserve">Contribution funds to provide a grant to a member country of the IBRD or IDA or </w:t>
      </w:r>
      <w:r>
        <w:tab/>
        <w:t xml:space="preserve">to another entity for the purposes specified in paragraph 2 above. In such cases, </w:t>
      </w:r>
      <w:r>
        <w:tab/>
        <w:t xml:space="preserve">the Bank shall, as administrator on behalf of the Donors, enter into grant </w:t>
      </w:r>
      <w:r>
        <w:tab/>
        <w:t xml:space="preserve">agreements (the “Grant Agreements”) with one or more entities (the “Recipients”) </w:t>
      </w:r>
      <w:r>
        <w:tab/>
        <w:t xml:space="preserve">for the provision of Contribution funds for the purposes of this Agreement and on </w:t>
      </w:r>
      <w:r>
        <w:tab/>
        <w:t xml:space="preserve">the terms and conditions set forth in the Grant Agreements.  The Bank shall </w:t>
      </w:r>
      <w:r>
        <w:tab/>
        <w:t xml:space="preserve">furnish a copy of the Grant Agreements to the Donors.  </w:t>
      </w:r>
    </w:p>
    <w:p w:rsidR="00A74C81" w:rsidRDefault="00A74C81" w:rsidP="00286441">
      <w:pPr>
        <w:jc w:val="both"/>
      </w:pPr>
    </w:p>
    <w:p w:rsidR="00A74C81" w:rsidRDefault="00A74C81" w:rsidP="00286441">
      <w:pPr>
        <w:jc w:val="both"/>
      </w:pPr>
      <w:r>
        <w:t>7.2.</w:t>
      </w:r>
      <w:r>
        <w:tab/>
        <w:t xml:space="preserve">The Bank shall be solely responsible for the supervision of project activities </w:t>
      </w:r>
      <w:r>
        <w:tab/>
        <w:t xml:space="preserve">financed under the Grant Agreements.  </w:t>
      </w:r>
    </w:p>
    <w:p w:rsidR="00A74C81" w:rsidRDefault="00A74C81" w:rsidP="00286441">
      <w:pPr>
        <w:jc w:val="both"/>
      </w:pPr>
    </w:p>
    <w:p w:rsidR="00A74C81" w:rsidRDefault="00A74C81" w:rsidP="00286441">
      <w:pPr>
        <w:pStyle w:val="BodyText2"/>
        <w:rPr>
          <w:b/>
        </w:rPr>
      </w:pPr>
      <w:r>
        <w:t xml:space="preserve">7.3. </w:t>
      </w:r>
      <w:r>
        <w:tab/>
        <w:t xml:space="preserve">If, in the Bank’s opinion, an amount of the Contribution funds allocated to any of </w:t>
      </w:r>
      <w:r>
        <w:tab/>
        <w:t xml:space="preserve">the expenditure categories specified in Annex 1 to this Agreement will be </w:t>
      </w:r>
      <w:r>
        <w:tab/>
        <w:t xml:space="preserve">insufficient to finance the expenditures for such category, the Bank may reallocate </w:t>
      </w:r>
      <w:r>
        <w:tab/>
        <w:t xml:space="preserve">to such category an amount of the Contribution funds then allocated to another </w:t>
      </w:r>
      <w:r>
        <w:tab/>
        <w:t xml:space="preserve">category which, in the Bank’s opinion, will not be necessary to meet other </w:t>
      </w:r>
      <w:r>
        <w:tab/>
        <w:t>expenditures. The Bank will notify the Donors of such a reallocation.</w:t>
      </w:r>
    </w:p>
    <w:p w:rsidR="00A74C81" w:rsidRDefault="00A74C81" w:rsidP="00286441">
      <w:pPr>
        <w:jc w:val="both"/>
      </w:pPr>
    </w:p>
    <w:p w:rsidR="00A74C81" w:rsidRDefault="00A74C81" w:rsidP="00286441">
      <w:pPr>
        <w:jc w:val="both"/>
      </w:pPr>
      <w:r>
        <w:br w:type="page"/>
      </w:r>
      <w:r>
        <w:lastRenderedPageBreak/>
        <w:t>8.</w:t>
      </w:r>
      <w:r>
        <w:tab/>
      </w:r>
      <w:r>
        <w:rPr>
          <w:u w:val="single"/>
        </w:rPr>
        <w:t>Employment of Consultants and Procurement of Goods</w:t>
      </w:r>
    </w:p>
    <w:p w:rsidR="00A74C81" w:rsidRDefault="00A74C81" w:rsidP="00286441">
      <w:pPr>
        <w:jc w:val="both"/>
      </w:pPr>
    </w:p>
    <w:p w:rsidR="00A74C81" w:rsidRDefault="00A74C81" w:rsidP="00286441">
      <w:pPr>
        <w:jc w:val="both"/>
      </w:pPr>
      <w:r>
        <w:t>8.1</w:t>
      </w:r>
      <w:r>
        <w:tab/>
        <w:t xml:space="preserve">The employment and supervision of consultants and the procurement of goods </w:t>
      </w:r>
      <w:r>
        <w:tab/>
        <w:t xml:space="preserve">financed by the Contributions shall be the responsibility solely of the Bank and </w:t>
      </w:r>
      <w:r>
        <w:tab/>
        <w:t xml:space="preserve">shall be carried out in accordance with its applicable policies and procedures.  </w:t>
      </w:r>
      <w:r>
        <w:tab/>
        <w:t xml:space="preserve">Where the Bank has entered into Grants Agreements, the Grant Agreements shall </w:t>
      </w:r>
      <w:r>
        <w:tab/>
        <w:t xml:space="preserve">provide that the Contributions shall be used by the Recipients to finance </w:t>
      </w:r>
      <w:r>
        <w:tab/>
        <w:t xml:space="preserve">expenditures for goods and services, as the case may be, in accordance with the </w:t>
      </w:r>
      <w:r>
        <w:tab/>
        <w:t xml:space="preserve">Bank’s Guidelines on “Procurement under IBRD Loans and IDA Credits” and the </w:t>
      </w:r>
      <w:r>
        <w:tab/>
        <w:t xml:space="preserve">Bank’s Guidelines on the “Selection and Employment of Consultants by World </w:t>
      </w:r>
      <w:r>
        <w:tab/>
        <w:t>Bank Borrowers,” as in effect at the date of the Grant Agreements.</w:t>
      </w:r>
    </w:p>
    <w:p w:rsidR="00A74C81" w:rsidRDefault="00A74C81" w:rsidP="00286441"/>
    <w:p w:rsidR="00A74C81" w:rsidRDefault="00A74C81" w:rsidP="00286441">
      <w:r>
        <w:t>9.</w:t>
      </w:r>
      <w:r>
        <w:tab/>
      </w:r>
      <w:r>
        <w:rPr>
          <w:u w:val="single"/>
        </w:rPr>
        <w:t>Accounting and Financial Reporting</w:t>
      </w:r>
    </w:p>
    <w:p w:rsidR="00A74C81" w:rsidRDefault="00A74C81" w:rsidP="00286441"/>
    <w:p w:rsidR="00A74C81" w:rsidRDefault="00A74C81" w:rsidP="00286441">
      <w:pPr>
        <w:jc w:val="both"/>
      </w:pPr>
      <w:r>
        <w:t>9.1.</w:t>
      </w:r>
      <w:r>
        <w:tab/>
        <w:t xml:space="preserve">The Bank shall maintain separate records and ledger accounts in respect of the </w:t>
      </w:r>
      <w:r>
        <w:tab/>
        <w:t xml:space="preserve">Contributions deposited in the trust fund account and disbursements made thereof.  </w:t>
      </w:r>
    </w:p>
    <w:p w:rsidR="00A74C81" w:rsidRDefault="00A74C81" w:rsidP="00286441">
      <w:pPr>
        <w:ind w:right="-270"/>
        <w:jc w:val="both"/>
      </w:pPr>
    </w:p>
    <w:p w:rsidR="00A74C81" w:rsidRDefault="00A74C81" w:rsidP="00286441">
      <w:pPr>
        <w:jc w:val="both"/>
        <w:rPr>
          <w:i/>
        </w:rPr>
      </w:pPr>
      <w:r>
        <w:t>9.2.</w:t>
      </w:r>
      <w:r>
        <w:tab/>
        <w:t xml:space="preserve">Within ninety (90) days of each March 31, June 30, September 30 and December </w:t>
      </w:r>
      <w:r>
        <w:tab/>
        <w:t xml:space="preserve">31, the Bank shall furnish to the Donors an unaudited cash-based statement of </w:t>
      </w:r>
      <w:r>
        <w:tab/>
        <w:t xml:space="preserve">receipts, disbursements and fund balance in United States dollars with respect to </w:t>
      </w:r>
      <w:r>
        <w:tab/>
        <w:t xml:space="preserve">the Contributions.   Within six (6) months of the final disbursement date specified </w:t>
      </w:r>
      <w:r>
        <w:tab/>
        <w:t>in paragraph 10.1, the Bank shall furnish to the Donors a final unaudited cash-</w:t>
      </w:r>
      <w:r>
        <w:tab/>
        <w:t xml:space="preserve">based statement of receipts, disbursements and fund balance in United States </w:t>
      </w:r>
      <w:r>
        <w:tab/>
        <w:t xml:space="preserve">dollars with respect to the Contribution funds.  </w:t>
      </w:r>
    </w:p>
    <w:p w:rsidR="00A74C81" w:rsidRDefault="00A74C81" w:rsidP="00286441">
      <w:pPr>
        <w:jc w:val="both"/>
      </w:pPr>
    </w:p>
    <w:p w:rsidR="00A74C81" w:rsidRDefault="00A74C81" w:rsidP="00286441">
      <w:pPr>
        <w:jc w:val="both"/>
      </w:pPr>
      <w:r>
        <w:t>9.3.</w:t>
      </w:r>
      <w:r>
        <w:tab/>
        <w:t xml:space="preserve">The Bank shall also provide the Donors with copies of all financial statements and </w:t>
      </w:r>
      <w:r>
        <w:tab/>
        <w:t xml:space="preserve">auditors’ reports received by the Bank from the Recipients pursuant to the Grant </w:t>
      </w:r>
      <w:r>
        <w:tab/>
        <w:t xml:space="preserve">Agreements. </w:t>
      </w:r>
    </w:p>
    <w:p w:rsidR="00A74C81" w:rsidRDefault="00A74C81" w:rsidP="00286441">
      <w:pPr>
        <w:jc w:val="both"/>
      </w:pPr>
    </w:p>
    <w:p w:rsidR="00A74C81" w:rsidRDefault="00A74C81" w:rsidP="00286441">
      <w:pPr>
        <w:jc w:val="both"/>
      </w:pPr>
      <w:r>
        <w:t>9.4.</w:t>
      </w:r>
      <w:r>
        <w:tab/>
        <w:t xml:space="preserve">The Bank shall provide to the Donors, within six (6) months following the end of </w:t>
      </w:r>
      <w:r>
        <w:tab/>
        <w:t xml:space="preserve">each Bank fiscal year, a management assertion together with an attestation from </w:t>
      </w:r>
      <w:r>
        <w:tab/>
        <w:t xml:space="preserve">the Bank’s external auditors concerning the adequacy of internal control over </w:t>
      </w:r>
      <w:r>
        <w:tab/>
        <w:t xml:space="preserve">cash-based financial reporting for trust funds as a whole.  The cost of such </w:t>
      </w:r>
      <w:r>
        <w:tab/>
        <w:t xml:space="preserve">attestations shall be borne by the Bank.  </w:t>
      </w:r>
    </w:p>
    <w:p w:rsidR="00A74C81" w:rsidRDefault="00A74C81" w:rsidP="00286441">
      <w:pPr>
        <w:jc w:val="both"/>
      </w:pPr>
    </w:p>
    <w:p w:rsidR="00A74C81" w:rsidRDefault="00A74C81" w:rsidP="00286441">
      <w:pPr>
        <w:jc w:val="both"/>
      </w:pPr>
      <w:r>
        <w:t>9.5.</w:t>
      </w:r>
      <w:r>
        <w:tab/>
        <w:t xml:space="preserve">If a Donor wishes to request, on an exceptional basis, a financial statement audit </w:t>
      </w:r>
      <w:r>
        <w:tab/>
        <w:t xml:space="preserve">by the Bank’s external auditors of the trust fund established under this </w:t>
      </w:r>
      <w:r>
        <w:tab/>
        <w:t xml:space="preserve">Agreement, the Donor and the Bank shall first consult as to whether such an </w:t>
      </w:r>
      <w:r>
        <w:tab/>
        <w:t xml:space="preserve">external audit is necessary.  The Bank and the Donor shall agree on the most </w:t>
      </w:r>
      <w:r>
        <w:tab/>
        <w:t xml:space="preserve">appropriate scope and terms of reference of such audit.  Following agreement on </w:t>
      </w:r>
      <w:r>
        <w:tab/>
        <w:t xml:space="preserve">the scope and terms of reference, the Bank shall arrange for such external audit. </w:t>
      </w:r>
      <w:r>
        <w:tab/>
        <w:t xml:space="preserve">The costs of any such audit, including the internal costs of the Bank with respect </w:t>
      </w:r>
      <w:r>
        <w:tab/>
        <w:t>to such audit, shall be paid by the Donor.</w:t>
      </w:r>
    </w:p>
    <w:p w:rsidR="00A74C81" w:rsidRDefault="00A74C81" w:rsidP="00286441">
      <w:pPr>
        <w:jc w:val="both"/>
      </w:pPr>
    </w:p>
    <w:p w:rsidR="00A74C81" w:rsidRDefault="00A74C81" w:rsidP="00286441">
      <w:r>
        <w:br w:type="page"/>
      </w:r>
      <w:r>
        <w:lastRenderedPageBreak/>
        <w:t>10.</w:t>
      </w:r>
      <w:r>
        <w:tab/>
      </w:r>
      <w:r>
        <w:rPr>
          <w:u w:val="single"/>
        </w:rPr>
        <w:t>Project Reporting</w:t>
      </w:r>
    </w:p>
    <w:p w:rsidR="00A74C81" w:rsidRDefault="00A74C81" w:rsidP="00286441"/>
    <w:p w:rsidR="0027327E" w:rsidRDefault="00A74C81">
      <w:pPr>
        <w:pStyle w:val="BodyTextIndent"/>
        <w:ind w:firstLine="0"/>
        <w:rPr>
          <w:i/>
        </w:rPr>
      </w:pPr>
      <w:r>
        <w:t>10.1</w:t>
      </w:r>
      <w:r>
        <w:tab/>
        <w:t xml:space="preserve">Within ninety (90) days of each June 30 and December 31, for as long as any </w:t>
      </w:r>
      <w:r>
        <w:tab/>
        <w:t xml:space="preserve">Contribution funds remain in the Trust Fund, the PMU will provide a report to the </w:t>
      </w:r>
      <w:r>
        <w:tab/>
        <w:t xml:space="preserve">Donors and on the activities approved, the financial commitments made in respect </w:t>
      </w:r>
      <w:r>
        <w:tab/>
        <w:t xml:space="preserve">of the activities and the implementation status of the activities. </w:t>
      </w:r>
    </w:p>
    <w:p w:rsidR="00A74C81" w:rsidRDefault="00A74C81" w:rsidP="00286441"/>
    <w:p w:rsidR="00A74C81" w:rsidRDefault="00A74C81" w:rsidP="00286441">
      <w:r>
        <w:t>11.</w:t>
      </w:r>
      <w:r>
        <w:tab/>
      </w:r>
      <w:r>
        <w:rPr>
          <w:u w:val="single"/>
        </w:rPr>
        <w:t>Disbursement Deadline; Cancellation; Refund</w:t>
      </w:r>
    </w:p>
    <w:p w:rsidR="00A74C81" w:rsidRDefault="00A74C81" w:rsidP="00286441"/>
    <w:p w:rsidR="00A74C81" w:rsidRDefault="00A74C81" w:rsidP="00286441">
      <w:pPr>
        <w:jc w:val="both"/>
      </w:pPr>
      <w:r>
        <w:t>11.1.</w:t>
      </w:r>
      <w:r>
        <w:tab/>
        <w:t xml:space="preserve">It is expected that the Contribution funds will be fully disbursed by the Bank in </w:t>
      </w:r>
      <w:r>
        <w:tab/>
        <w:t xml:space="preserve">accordance with the provisions of this Agreement by </w:t>
      </w:r>
      <w:r w:rsidRPr="00400F12">
        <w:t>October 31, 2013</w:t>
      </w:r>
      <w:r>
        <w:t xml:space="preserve">.  The </w:t>
      </w:r>
      <w:r>
        <w:tab/>
        <w:t xml:space="preserve">Bank shall only disburse Contribution funds for the purposes of this Agreement </w:t>
      </w:r>
      <w:r>
        <w:tab/>
        <w:t>after such date with the written approval of the Donors.</w:t>
      </w:r>
    </w:p>
    <w:p w:rsidR="00A74C81" w:rsidRDefault="00A74C81" w:rsidP="00286441"/>
    <w:p w:rsidR="00A74C81" w:rsidRDefault="00A74C81" w:rsidP="00286441">
      <w:pPr>
        <w:jc w:val="both"/>
      </w:pPr>
      <w:r>
        <w:t>11.2.</w:t>
      </w:r>
      <w:r>
        <w:tab/>
        <w:t xml:space="preserve">Any Donor or the Bank may, upon three (3) months’ prior written notice, cancel </w:t>
      </w:r>
      <w:r>
        <w:tab/>
        <w:t xml:space="preserve">all or part of the Donor’s pro rata share of any remaining balance of the </w:t>
      </w:r>
      <w:r>
        <w:tab/>
        <w:t xml:space="preserve">Contribution funds that is not committed pursuant to any agreements entered into </w:t>
      </w:r>
      <w:r>
        <w:tab/>
        <w:t xml:space="preserve">between the Bank and any consultants and/or other third parties for the purposes </w:t>
      </w:r>
      <w:r>
        <w:tab/>
        <w:t xml:space="preserve">of this Agreement prior to the receipt of such notice, including the Grant </w:t>
      </w:r>
      <w:r>
        <w:tab/>
        <w:t xml:space="preserve">Agreements.  </w:t>
      </w:r>
    </w:p>
    <w:p w:rsidR="00A74C81" w:rsidRDefault="00A74C81" w:rsidP="00286441">
      <w:pPr>
        <w:jc w:val="both"/>
      </w:pPr>
    </w:p>
    <w:p w:rsidR="00A74C81" w:rsidRDefault="00A74C81" w:rsidP="00286441">
      <w:pPr>
        <w:jc w:val="both"/>
      </w:pPr>
      <w:r>
        <w:t>11.3.</w:t>
      </w:r>
      <w:r>
        <w:tab/>
        <w:t xml:space="preserve">Upon the final disbursement date specified in paragraph 10.1, the Bank shall </w:t>
      </w:r>
      <w:r>
        <w:tab/>
        <w:t xml:space="preserve">return any remaining balance of the Contribution funds to the Donors on a pro </w:t>
      </w:r>
      <w:r>
        <w:tab/>
        <w:t xml:space="preserve">rata basis. In the event of a cancellation of an individual Donor’s pro rata share of </w:t>
      </w:r>
      <w:r>
        <w:tab/>
        <w:t xml:space="preserve">uncommitted Contribution funds in accordance with paragraph 10.2, the Bank </w:t>
      </w:r>
      <w:r>
        <w:tab/>
        <w:t xml:space="preserve">shall return such cancelled balance to the Donor. </w:t>
      </w:r>
    </w:p>
    <w:p w:rsidR="00A74C81" w:rsidRDefault="00A74C81" w:rsidP="00286441">
      <w:pPr>
        <w:jc w:val="both"/>
      </w:pPr>
    </w:p>
    <w:p w:rsidR="00A74C81" w:rsidRDefault="00A74C81" w:rsidP="00286441">
      <w:pPr>
        <w:jc w:val="both"/>
      </w:pPr>
      <w:r>
        <w:t>12.</w:t>
      </w:r>
      <w:r>
        <w:tab/>
      </w:r>
      <w:r>
        <w:rPr>
          <w:u w:val="single"/>
        </w:rPr>
        <w:t>Disclosure</w:t>
      </w:r>
    </w:p>
    <w:p w:rsidR="00A74C81" w:rsidRDefault="00A74C81" w:rsidP="00286441"/>
    <w:p w:rsidR="00A74C81" w:rsidRDefault="00A74C81" w:rsidP="00286441">
      <w:pPr>
        <w:jc w:val="both"/>
      </w:pPr>
      <w:r>
        <w:t>12.1</w:t>
      </w:r>
      <w:r>
        <w:tab/>
        <w:t xml:space="preserve">The Bank may disclose this Agreement and information on this Trust Fund in </w:t>
      </w:r>
      <w:r>
        <w:tab/>
        <w:t>accordance with the Bank’s policy on disclosure of information.</w:t>
      </w:r>
    </w:p>
    <w:p w:rsidR="00A74C81" w:rsidRDefault="00A74C81" w:rsidP="00286441"/>
    <w:p w:rsidR="00A74C81" w:rsidRDefault="00A74C81" w:rsidP="00286441"/>
    <w:p w:rsidR="00A74C81" w:rsidRPr="00B15A5E" w:rsidRDefault="00A74C81">
      <w:pPr>
        <w:pStyle w:val="BodyTextIndent"/>
        <w:rPr>
          <w:szCs w:val="24"/>
        </w:rPr>
      </w:pPr>
    </w:p>
    <w:sectPr w:rsidR="00A74C81" w:rsidRPr="00B15A5E" w:rsidSect="004E2BD2">
      <w:headerReference w:type="default" r:id="rId8"/>
      <w:headerReference w:type="first" r:id="rId9"/>
      <w:pgSz w:w="12240" w:h="15840" w:code="1"/>
      <w:pgMar w:top="1440" w:right="1800" w:bottom="126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C81" w:rsidRDefault="00A74C81">
      <w:r>
        <w:separator/>
      </w:r>
    </w:p>
  </w:endnote>
  <w:endnote w:type="continuationSeparator" w:id="0">
    <w:p w:rsidR="00A74C81" w:rsidRDefault="00A74C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C81" w:rsidRDefault="00A74C81">
      <w:r>
        <w:separator/>
      </w:r>
    </w:p>
  </w:footnote>
  <w:footnote w:type="continuationSeparator" w:id="0">
    <w:p w:rsidR="00A74C81" w:rsidRDefault="00A74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81" w:rsidRPr="00AE286B" w:rsidRDefault="00A74C81" w:rsidP="001F606A">
    <w:pPr>
      <w:pStyle w:val="Header"/>
      <w:framePr w:w="646" w:wrap="around" w:vAnchor="text" w:hAnchor="page" w:x="5686" w:y="1"/>
      <w:jc w:val="center"/>
      <w:rPr>
        <w:rStyle w:val="PageNumber"/>
        <w:sz w:val="22"/>
      </w:rPr>
    </w:pPr>
    <w:r w:rsidRPr="00AE286B">
      <w:rPr>
        <w:rStyle w:val="PageNumber"/>
        <w:sz w:val="22"/>
      </w:rPr>
      <w:t xml:space="preserve">- </w:t>
    </w:r>
    <w:r w:rsidR="0027327E" w:rsidRPr="00AE286B">
      <w:rPr>
        <w:rStyle w:val="PageNumber"/>
        <w:sz w:val="22"/>
      </w:rPr>
      <w:fldChar w:fldCharType="begin"/>
    </w:r>
    <w:r w:rsidRPr="00AE286B">
      <w:rPr>
        <w:rStyle w:val="PageNumber"/>
        <w:sz w:val="22"/>
      </w:rPr>
      <w:instrText xml:space="preserve">PAGE  </w:instrText>
    </w:r>
    <w:r w:rsidR="0027327E" w:rsidRPr="00AE286B">
      <w:rPr>
        <w:rStyle w:val="PageNumber"/>
        <w:sz w:val="22"/>
      </w:rPr>
      <w:fldChar w:fldCharType="separate"/>
    </w:r>
    <w:r w:rsidR="0026068F">
      <w:rPr>
        <w:rStyle w:val="PageNumber"/>
        <w:noProof/>
        <w:sz w:val="22"/>
      </w:rPr>
      <w:t>4</w:t>
    </w:r>
    <w:r w:rsidR="0027327E" w:rsidRPr="00AE286B">
      <w:rPr>
        <w:rStyle w:val="PageNumber"/>
        <w:sz w:val="22"/>
      </w:rPr>
      <w:fldChar w:fldCharType="end"/>
    </w:r>
    <w:r w:rsidRPr="00AE286B">
      <w:rPr>
        <w:rStyle w:val="PageNumber"/>
        <w:sz w:val="22"/>
      </w:rPr>
      <w:t xml:space="preserve"> -</w:t>
    </w:r>
  </w:p>
  <w:p w:rsidR="00A74C81" w:rsidRDefault="00A74C81">
    <w:pPr>
      <w:pStyle w:val="Header"/>
      <w:rPr>
        <w:lang w:val="es-ES"/>
      </w:rPr>
    </w:pPr>
    <w:r>
      <w:rPr>
        <w:lang w:val="es-ES"/>
      </w:rPr>
      <w:tab/>
    </w:r>
    <w:r>
      <w:rPr>
        <w:lang w:val="es-E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81" w:rsidRDefault="00A74C81" w:rsidP="004D4468">
    <w:pPr>
      <w:pStyle w:val="Formletterhead"/>
      <w:tabs>
        <w:tab w:val="clear" w:pos="5130"/>
        <w:tab w:val="clear" w:pos="7290"/>
        <w:tab w:val="left" w:pos="4500"/>
        <w:tab w:val="left" w:pos="7200"/>
      </w:tabs>
      <w:ind w:left="-1080" w:right="-1051"/>
      <w:rPr>
        <w:sz w:val="16"/>
      </w:rPr>
    </w:pPr>
    <w:bookmarkStart w:id="7" w:name="NewBName"/>
    <w:r>
      <w:rPr>
        <w:b/>
        <w:sz w:val="22"/>
      </w:rPr>
      <w:t>The World Bank</w:t>
    </w:r>
    <w:bookmarkEnd w:id="7"/>
    <w:r>
      <w:rPr>
        <w:b/>
        <w:sz w:val="22"/>
      </w:rPr>
      <w:tab/>
    </w:r>
    <w:bookmarkStart w:id="8" w:name="NewAddress"/>
    <w:smartTag w:uri="urn:schemas-microsoft-com:office:smarttags" w:element="address">
      <w:r>
        <w:rPr>
          <w:sz w:val="16"/>
        </w:rPr>
        <w:t>1818 H Street N.W.</w:t>
      </w:r>
    </w:smartTag>
    <w:bookmarkEnd w:id="8"/>
    <w:r>
      <w:rPr>
        <w:sz w:val="16"/>
      </w:rPr>
      <w:tab/>
    </w:r>
    <w:bookmarkStart w:id="9" w:name="NewPhone"/>
    <w:r>
      <w:rPr>
        <w:sz w:val="16"/>
      </w:rPr>
      <w:t>(202) 473-1</w:t>
    </w:r>
    <w:bookmarkEnd w:id="9"/>
    <w:r>
      <w:rPr>
        <w:sz w:val="16"/>
      </w:rPr>
      <w:t>000</w:t>
    </w:r>
  </w:p>
  <w:p w:rsidR="00A74C81" w:rsidRDefault="00A74C81" w:rsidP="004D4468">
    <w:pPr>
      <w:pStyle w:val="Formletterhead"/>
      <w:tabs>
        <w:tab w:val="clear" w:pos="5130"/>
        <w:tab w:val="clear" w:pos="7290"/>
        <w:tab w:val="left" w:pos="4500"/>
        <w:tab w:val="left" w:pos="7200"/>
      </w:tabs>
      <w:ind w:left="-1080" w:right="-1051"/>
      <w:rPr>
        <w:sz w:val="16"/>
      </w:rPr>
    </w:pPr>
    <w:bookmarkStart w:id="10" w:name="NewLName"/>
    <w:r>
      <w:rPr>
        <w:sz w:val="14"/>
      </w:rPr>
      <w:t>INTERNATIONAL BANK FOR RECONSTRUCTION AND DEVELOPMENT</w:t>
    </w:r>
    <w:bookmarkEnd w:id="10"/>
    <w:r>
      <w:rPr>
        <w:sz w:val="16"/>
      </w:rPr>
      <w:tab/>
    </w:r>
    <w:bookmarkStart w:id="11" w:name="NewCity"/>
    <w:smartTag w:uri="urn:schemas-microsoft-com:office:smarttags" w:element="City">
      <w:smartTag w:uri="urn:schemas-microsoft-com:office:smarttags" w:element="place">
        <w:r>
          <w:rPr>
            <w:sz w:val="16"/>
          </w:rPr>
          <w:t>Washington</w:t>
        </w:r>
      </w:smartTag>
      <w:r>
        <w:rPr>
          <w:sz w:val="16"/>
        </w:rPr>
        <w:t xml:space="preserve">, </w:t>
      </w:r>
      <w:smartTag w:uri="urn:schemas-microsoft-com:office:smarttags" w:element="State">
        <w:r>
          <w:rPr>
            <w:sz w:val="16"/>
          </w:rPr>
          <w:t>D.C.</w:t>
        </w:r>
      </w:smartTag>
    </w:smartTag>
    <w:r>
      <w:rPr>
        <w:sz w:val="16"/>
      </w:rPr>
      <w:t xml:space="preserve">  20433</w:t>
    </w:r>
    <w:bookmarkEnd w:id="11"/>
    <w:r>
      <w:rPr>
        <w:sz w:val="16"/>
      </w:rPr>
      <w:tab/>
    </w:r>
    <w:bookmarkStart w:id="12" w:name="NewCable"/>
    <w:r>
      <w:rPr>
        <w:sz w:val="16"/>
      </w:rPr>
      <w:t>Cable Address:  INTBAFRAD</w:t>
    </w:r>
    <w:bookmarkEnd w:id="12"/>
  </w:p>
  <w:p w:rsidR="00A74C81" w:rsidRDefault="00A74C81" w:rsidP="004D4468">
    <w:pPr>
      <w:pStyle w:val="Formletterhead"/>
      <w:tabs>
        <w:tab w:val="clear" w:pos="5130"/>
        <w:tab w:val="clear" w:pos="7290"/>
        <w:tab w:val="left" w:pos="4500"/>
        <w:tab w:val="left" w:pos="7200"/>
      </w:tabs>
      <w:ind w:left="-1080" w:right="-1051"/>
      <w:rPr>
        <w:sz w:val="16"/>
      </w:rPr>
    </w:pPr>
    <w:bookmarkStart w:id="13" w:name="NewLName2"/>
    <w:r>
      <w:rPr>
        <w:sz w:val="14"/>
      </w:rPr>
      <w:t>INTERNATIONAL DEVELOPMENT ASSOCIATION</w:t>
    </w:r>
    <w:bookmarkEnd w:id="13"/>
    <w:r>
      <w:tab/>
    </w:r>
    <w:bookmarkStart w:id="14" w:name="NewCountry"/>
    <w:smartTag w:uri="urn:schemas-microsoft-com:office:smarttags" w:element="country-region">
      <w:smartTag w:uri="urn:schemas-microsoft-com:office:smarttags" w:element="place">
        <w:r>
          <w:rPr>
            <w:sz w:val="16"/>
          </w:rPr>
          <w:t>U.S.A.</w:t>
        </w:r>
      </w:smartTag>
    </w:smartTag>
    <w:bookmarkEnd w:id="14"/>
    <w:r>
      <w:rPr>
        <w:sz w:val="16"/>
      </w:rPr>
      <w:tab/>
    </w:r>
    <w:bookmarkStart w:id="15" w:name="NewCable2"/>
    <w:r>
      <w:rPr>
        <w:sz w:val="16"/>
      </w:rPr>
      <w:t>Cable Address:  INDEVAS</w:t>
    </w:r>
  </w:p>
  <w:bookmarkEnd w:id="15"/>
  <w:p w:rsidR="00A74C81" w:rsidRDefault="00A74C81" w:rsidP="00DE0D0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432" w:legacyIndent="0"/>
      <w:lvlJc w:val="left"/>
      <w:rPr>
        <w:rFonts w:cs="Times New Roman"/>
      </w:rPr>
    </w:lvl>
    <w:lvl w:ilvl="1">
      <w:start w:val="1"/>
      <w:numFmt w:val="none"/>
      <w:pStyle w:val="Heading2"/>
      <w:suff w:val="nothing"/>
      <w:lvlText w:val=""/>
      <w:lvlJc w:val="left"/>
      <w:pPr>
        <w:ind w:hanging="720"/>
      </w:pPr>
      <w:rPr>
        <w:rFonts w:cs="Times New Roman"/>
      </w:rPr>
    </w:lvl>
    <w:lvl w:ilvl="2">
      <w:start w:val="1"/>
      <w:numFmt w:val="none"/>
      <w:pStyle w:val="Heading3"/>
      <w:suff w:val="nothing"/>
      <w:lvlText w:val=""/>
      <w:lvlJc w:val="left"/>
      <w:pPr>
        <w:ind w:hanging="720"/>
      </w:pPr>
      <w:rPr>
        <w:rFonts w:cs="Times New Roman"/>
      </w:rPr>
    </w:lvl>
    <w:lvl w:ilvl="3">
      <w:start w:val="1"/>
      <w:numFmt w:val="none"/>
      <w:pStyle w:val="Heading4"/>
      <w:suff w:val="nothing"/>
      <w:lvlText w:val=""/>
      <w:lvlJc w:val="left"/>
      <w:pPr>
        <w:ind w:hanging="720"/>
      </w:pPr>
      <w:rPr>
        <w:rFonts w:cs="Times New Roman"/>
      </w:rPr>
    </w:lvl>
    <w:lvl w:ilvl="4">
      <w:start w:val="1"/>
      <w:numFmt w:val="none"/>
      <w:pStyle w:val="Heading5"/>
      <w:suff w:val="nothing"/>
      <w:lvlText w:val=""/>
      <w:lvlJc w:val="left"/>
      <w:rPr>
        <w:rFonts w:cs="Times New Roman"/>
      </w:rPr>
    </w:lvl>
    <w:lvl w:ilvl="5">
      <w:start w:val="1"/>
      <w:numFmt w:val="lowerLetter"/>
      <w:pStyle w:val="Heading6"/>
      <w:lvlText w:val="(%6)"/>
      <w:legacy w:legacy="1" w:legacySpace="0" w:legacyIndent="720"/>
      <w:lvlJc w:val="left"/>
      <w:pPr>
        <w:ind w:left="1440" w:hanging="720"/>
      </w:pPr>
      <w:rPr>
        <w:rFonts w:cs="Times New Roman"/>
      </w:rPr>
    </w:lvl>
    <w:lvl w:ilvl="6">
      <w:start w:val="1"/>
      <w:numFmt w:val="lowerRoman"/>
      <w:pStyle w:val="Heading7"/>
      <w:lvlText w:val="(%7)"/>
      <w:legacy w:legacy="1" w:legacySpace="0" w:legacyIndent="720"/>
      <w:lvlJc w:val="left"/>
      <w:pPr>
        <w:ind w:left="2160" w:hanging="720"/>
      </w:pPr>
      <w:rPr>
        <w:rFonts w:cs="Times New Roman"/>
      </w:rPr>
    </w:lvl>
    <w:lvl w:ilvl="7">
      <w:start w:val="1"/>
      <w:numFmt w:val="lowerLetter"/>
      <w:pStyle w:val="Heading8"/>
      <w:lvlText w:val="%8."/>
      <w:legacy w:legacy="1" w:legacySpace="0" w:legacyIndent="720"/>
      <w:lvlJc w:val="left"/>
      <w:pPr>
        <w:ind w:left="2880" w:hanging="720"/>
      </w:pPr>
      <w:rPr>
        <w:rFonts w:cs="Times New Roman"/>
      </w:rPr>
    </w:lvl>
    <w:lvl w:ilvl="8">
      <w:start w:val="1"/>
      <w:numFmt w:val="lowerRoman"/>
      <w:pStyle w:val="Heading9"/>
      <w:lvlText w:val="%9."/>
      <w:legacy w:legacy="1" w:legacySpace="0" w:legacyIndent="720"/>
      <w:lvlJc w:val="left"/>
      <w:pPr>
        <w:ind w:left="3600" w:hanging="720"/>
      </w:pPr>
      <w:rPr>
        <w:rFonts w:cs="Times New Roman"/>
      </w:rPr>
    </w:lvl>
  </w:abstractNum>
  <w:abstractNum w:abstractNumId="1">
    <w:nsid w:val="007B2674"/>
    <w:multiLevelType w:val="multilevel"/>
    <w:tmpl w:val="C732422C"/>
    <w:lvl w:ilvl="0">
      <w:start w:val="1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1E72A14"/>
    <w:multiLevelType w:val="hybridMultilevel"/>
    <w:tmpl w:val="3AFA1D38"/>
    <w:lvl w:ilvl="0" w:tplc="B2586C9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77A7270"/>
    <w:multiLevelType w:val="hybridMultilevel"/>
    <w:tmpl w:val="93E8CE30"/>
    <w:lvl w:ilvl="0" w:tplc="DE340DE0">
      <w:start w:val="6"/>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2B6AAA"/>
    <w:multiLevelType w:val="multilevel"/>
    <w:tmpl w:val="8B26A988"/>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28B22AA"/>
    <w:multiLevelType w:val="multilevel"/>
    <w:tmpl w:val="FF808FAE"/>
    <w:lvl w:ilvl="0">
      <w:start w:val="2"/>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8693041"/>
    <w:multiLevelType w:val="hybridMultilevel"/>
    <w:tmpl w:val="E286AC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A271152"/>
    <w:multiLevelType w:val="multilevel"/>
    <w:tmpl w:val="899EEF58"/>
    <w:lvl w:ilvl="0">
      <w:start w:val="9"/>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4836388"/>
    <w:multiLevelType w:val="hybridMultilevel"/>
    <w:tmpl w:val="E13C41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C2F4917"/>
    <w:multiLevelType w:val="hybridMultilevel"/>
    <w:tmpl w:val="512A275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37B736DF"/>
    <w:multiLevelType w:val="multilevel"/>
    <w:tmpl w:val="7772EB2A"/>
    <w:lvl w:ilvl="0">
      <w:start w:val="6"/>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52246A88"/>
    <w:multiLevelType w:val="hybridMultilevel"/>
    <w:tmpl w:val="41D2A6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29D04EF"/>
    <w:multiLevelType w:val="multilevel"/>
    <w:tmpl w:val="76FAF096"/>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CB560E4"/>
    <w:multiLevelType w:val="hybridMultilevel"/>
    <w:tmpl w:val="E5046754"/>
    <w:lvl w:ilvl="0" w:tplc="743A5204">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28005AB"/>
    <w:multiLevelType w:val="hybridMultilevel"/>
    <w:tmpl w:val="83B66DD2"/>
    <w:lvl w:ilvl="0" w:tplc="701671BE">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69290D"/>
    <w:multiLevelType w:val="hybridMultilevel"/>
    <w:tmpl w:val="46BC2CD6"/>
    <w:lvl w:ilvl="0" w:tplc="04090001">
      <w:start w:val="1"/>
      <w:numFmt w:val="bullet"/>
      <w:lvlText w:val=""/>
      <w:lvlJc w:val="left"/>
      <w:pPr>
        <w:tabs>
          <w:tab w:val="num" w:pos="2227"/>
        </w:tabs>
        <w:ind w:left="2227" w:hanging="360"/>
      </w:pPr>
      <w:rPr>
        <w:rFonts w:ascii="Symbol" w:hAnsi="Symbol" w:hint="default"/>
      </w:rPr>
    </w:lvl>
    <w:lvl w:ilvl="1" w:tplc="04090003" w:tentative="1">
      <w:start w:val="1"/>
      <w:numFmt w:val="bullet"/>
      <w:lvlText w:val="o"/>
      <w:lvlJc w:val="left"/>
      <w:pPr>
        <w:tabs>
          <w:tab w:val="num" w:pos="2947"/>
        </w:tabs>
        <w:ind w:left="2947" w:hanging="360"/>
      </w:pPr>
      <w:rPr>
        <w:rFonts w:ascii="Courier New" w:hAnsi="Courier New" w:hint="default"/>
      </w:rPr>
    </w:lvl>
    <w:lvl w:ilvl="2" w:tplc="04090005" w:tentative="1">
      <w:start w:val="1"/>
      <w:numFmt w:val="bullet"/>
      <w:lvlText w:val=""/>
      <w:lvlJc w:val="left"/>
      <w:pPr>
        <w:tabs>
          <w:tab w:val="num" w:pos="3667"/>
        </w:tabs>
        <w:ind w:left="3667" w:hanging="360"/>
      </w:pPr>
      <w:rPr>
        <w:rFonts w:ascii="Wingdings" w:hAnsi="Wingdings" w:hint="default"/>
      </w:rPr>
    </w:lvl>
    <w:lvl w:ilvl="3" w:tplc="04090001" w:tentative="1">
      <w:start w:val="1"/>
      <w:numFmt w:val="bullet"/>
      <w:lvlText w:val=""/>
      <w:lvlJc w:val="left"/>
      <w:pPr>
        <w:tabs>
          <w:tab w:val="num" w:pos="4387"/>
        </w:tabs>
        <w:ind w:left="4387" w:hanging="360"/>
      </w:pPr>
      <w:rPr>
        <w:rFonts w:ascii="Symbol" w:hAnsi="Symbol" w:hint="default"/>
      </w:rPr>
    </w:lvl>
    <w:lvl w:ilvl="4" w:tplc="04090003" w:tentative="1">
      <w:start w:val="1"/>
      <w:numFmt w:val="bullet"/>
      <w:lvlText w:val="o"/>
      <w:lvlJc w:val="left"/>
      <w:pPr>
        <w:tabs>
          <w:tab w:val="num" w:pos="5107"/>
        </w:tabs>
        <w:ind w:left="5107" w:hanging="360"/>
      </w:pPr>
      <w:rPr>
        <w:rFonts w:ascii="Courier New" w:hAnsi="Courier New" w:hint="default"/>
      </w:rPr>
    </w:lvl>
    <w:lvl w:ilvl="5" w:tplc="04090005" w:tentative="1">
      <w:start w:val="1"/>
      <w:numFmt w:val="bullet"/>
      <w:lvlText w:val=""/>
      <w:lvlJc w:val="left"/>
      <w:pPr>
        <w:tabs>
          <w:tab w:val="num" w:pos="5827"/>
        </w:tabs>
        <w:ind w:left="5827" w:hanging="360"/>
      </w:pPr>
      <w:rPr>
        <w:rFonts w:ascii="Wingdings" w:hAnsi="Wingdings" w:hint="default"/>
      </w:rPr>
    </w:lvl>
    <w:lvl w:ilvl="6" w:tplc="04090001" w:tentative="1">
      <w:start w:val="1"/>
      <w:numFmt w:val="bullet"/>
      <w:lvlText w:val=""/>
      <w:lvlJc w:val="left"/>
      <w:pPr>
        <w:tabs>
          <w:tab w:val="num" w:pos="6547"/>
        </w:tabs>
        <w:ind w:left="6547" w:hanging="360"/>
      </w:pPr>
      <w:rPr>
        <w:rFonts w:ascii="Symbol" w:hAnsi="Symbol" w:hint="default"/>
      </w:rPr>
    </w:lvl>
    <w:lvl w:ilvl="7" w:tplc="04090003" w:tentative="1">
      <w:start w:val="1"/>
      <w:numFmt w:val="bullet"/>
      <w:lvlText w:val="o"/>
      <w:lvlJc w:val="left"/>
      <w:pPr>
        <w:tabs>
          <w:tab w:val="num" w:pos="7267"/>
        </w:tabs>
        <w:ind w:left="7267" w:hanging="360"/>
      </w:pPr>
      <w:rPr>
        <w:rFonts w:ascii="Courier New" w:hAnsi="Courier New" w:hint="default"/>
      </w:rPr>
    </w:lvl>
    <w:lvl w:ilvl="8" w:tplc="04090005" w:tentative="1">
      <w:start w:val="1"/>
      <w:numFmt w:val="bullet"/>
      <w:lvlText w:val=""/>
      <w:lvlJc w:val="left"/>
      <w:pPr>
        <w:tabs>
          <w:tab w:val="num" w:pos="7987"/>
        </w:tabs>
        <w:ind w:left="7987" w:hanging="360"/>
      </w:pPr>
      <w:rPr>
        <w:rFonts w:ascii="Wingdings" w:hAnsi="Wingdings" w:hint="default"/>
      </w:rPr>
    </w:lvl>
  </w:abstractNum>
  <w:abstractNum w:abstractNumId="16">
    <w:nsid w:val="6DD26978"/>
    <w:multiLevelType w:val="hybridMultilevel"/>
    <w:tmpl w:val="7DC8E2DE"/>
    <w:lvl w:ilvl="0" w:tplc="FFFFFFFF">
      <w:start w:val="1"/>
      <w:numFmt w:val="upperRoman"/>
      <w:lvlText w:val="%1."/>
      <w:lvlJc w:val="left"/>
      <w:pPr>
        <w:tabs>
          <w:tab w:val="num" w:pos="720"/>
        </w:tabs>
        <w:ind w:left="720" w:hanging="720"/>
      </w:pPr>
      <w:rPr>
        <w:rFonts w:cs="Times New Roman" w:hint="default"/>
        <w:u w:val="none"/>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
    <w:nsid w:val="754D658C"/>
    <w:multiLevelType w:val="hybridMultilevel"/>
    <w:tmpl w:val="D304C760"/>
    <w:lvl w:ilvl="0" w:tplc="8004AE30">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762403E4"/>
    <w:multiLevelType w:val="hybridMultilevel"/>
    <w:tmpl w:val="E200BFC8"/>
    <w:lvl w:ilvl="0" w:tplc="7E4A51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13"/>
  </w:num>
  <w:num w:numId="4">
    <w:abstractNumId w:val="15"/>
  </w:num>
  <w:num w:numId="5">
    <w:abstractNumId w:val="18"/>
  </w:num>
  <w:num w:numId="6">
    <w:abstractNumId w:val="7"/>
  </w:num>
  <w:num w:numId="7">
    <w:abstractNumId w:val="4"/>
  </w:num>
  <w:num w:numId="8">
    <w:abstractNumId w:val="10"/>
  </w:num>
  <w:num w:numId="9">
    <w:abstractNumId w:val="2"/>
  </w:num>
  <w:num w:numId="10">
    <w:abstractNumId w:val="1"/>
  </w:num>
  <w:num w:numId="11">
    <w:abstractNumId w:val="12"/>
  </w:num>
  <w:num w:numId="12">
    <w:abstractNumId w:val="17"/>
  </w:num>
  <w:num w:numId="13">
    <w:abstractNumId w:val="16"/>
  </w:num>
  <w:num w:numId="14">
    <w:abstractNumId w:val="9"/>
  </w:num>
  <w:num w:numId="15">
    <w:abstractNumId w:val="11"/>
  </w:num>
  <w:num w:numId="16">
    <w:abstractNumId w:val="14"/>
  </w:num>
  <w:num w:numId="17">
    <w:abstractNumId w:val="6"/>
  </w:num>
  <w:num w:numId="18">
    <w:abstractNumId w:val="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B1288"/>
    <w:rsid w:val="00006514"/>
    <w:rsid w:val="0000678E"/>
    <w:rsid w:val="0001625D"/>
    <w:rsid w:val="000178D9"/>
    <w:rsid w:val="00017C37"/>
    <w:rsid w:val="00021022"/>
    <w:rsid w:val="00022219"/>
    <w:rsid w:val="000223E1"/>
    <w:rsid w:val="0002246B"/>
    <w:rsid w:val="00031C05"/>
    <w:rsid w:val="00035FE9"/>
    <w:rsid w:val="000363CE"/>
    <w:rsid w:val="0003755F"/>
    <w:rsid w:val="000439E1"/>
    <w:rsid w:val="00044D33"/>
    <w:rsid w:val="0004711D"/>
    <w:rsid w:val="000521F1"/>
    <w:rsid w:val="00084BCE"/>
    <w:rsid w:val="00086D90"/>
    <w:rsid w:val="00096D44"/>
    <w:rsid w:val="000A0FB6"/>
    <w:rsid w:val="000A5DB9"/>
    <w:rsid w:val="000C0573"/>
    <w:rsid w:val="000C4373"/>
    <w:rsid w:val="000D478D"/>
    <w:rsid w:val="000E2521"/>
    <w:rsid w:val="000E2F8F"/>
    <w:rsid w:val="000E7C39"/>
    <w:rsid w:val="000F098E"/>
    <w:rsid w:val="000F1776"/>
    <w:rsid w:val="000F3146"/>
    <w:rsid w:val="000F3B25"/>
    <w:rsid w:val="000F5D2A"/>
    <w:rsid w:val="0010527B"/>
    <w:rsid w:val="00107A8A"/>
    <w:rsid w:val="0011593D"/>
    <w:rsid w:val="00120D8C"/>
    <w:rsid w:val="00125C17"/>
    <w:rsid w:val="00126208"/>
    <w:rsid w:val="001310E8"/>
    <w:rsid w:val="00134EB7"/>
    <w:rsid w:val="00142CC3"/>
    <w:rsid w:val="00147B3A"/>
    <w:rsid w:val="0015153A"/>
    <w:rsid w:val="0015158A"/>
    <w:rsid w:val="00163B33"/>
    <w:rsid w:val="00165995"/>
    <w:rsid w:val="001679E4"/>
    <w:rsid w:val="00181D10"/>
    <w:rsid w:val="00190081"/>
    <w:rsid w:val="0019096D"/>
    <w:rsid w:val="001A6E01"/>
    <w:rsid w:val="001B13B6"/>
    <w:rsid w:val="001B2242"/>
    <w:rsid w:val="001B323B"/>
    <w:rsid w:val="001B4D12"/>
    <w:rsid w:val="001B60B7"/>
    <w:rsid w:val="001D028C"/>
    <w:rsid w:val="001D0DAE"/>
    <w:rsid w:val="001E2DCF"/>
    <w:rsid w:val="001F053B"/>
    <w:rsid w:val="001F606A"/>
    <w:rsid w:val="00211FFB"/>
    <w:rsid w:val="00217E44"/>
    <w:rsid w:val="00221E77"/>
    <w:rsid w:val="00227B4F"/>
    <w:rsid w:val="002348E6"/>
    <w:rsid w:val="00241B6E"/>
    <w:rsid w:val="00241EE5"/>
    <w:rsid w:val="0024628B"/>
    <w:rsid w:val="00246F21"/>
    <w:rsid w:val="002476C4"/>
    <w:rsid w:val="002503C0"/>
    <w:rsid w:val="00253BD2"/>
    <w:rsid w:val="00253C9D"/>
    <w:rsid w:val="0026068F"/>
    <w:rsid w:val="002648DE"/>
    <w:rsid w:val="00267038"/>
    <w:rsid w:val="0027132D"/>
    <w:rsid w:val="0027327E"/>
    <w:rsid w:val="00286407"/>
    <w:rsid w:val="00286441"/>
    <w:rsid w:val="002903DB"/>
    <w:rsid w:val="00291F0D"/>
    <w:rsid w:val="00295EB0"/>
    <w:rsid w:val="002B16AF"/>
    <w:rsid w:val="002C3B3A"/>
    <w:rsid w:val="002E1BBF"/>
    <w:rsid w:val="002F0259"/>
    <w:rsid w:val="002F05BD"/>
    <w:rsid w:val="003018A4"/>
    <w:rsid w:val="003033D4"/>
    <w:rsid w:val="00307077"/>
    <w:rsid w:val="00312FB2"/>
    <w:rsid w:val="003143B2"/>
    <w:rsid w:val="00316AFA"/>
    <w:rsid w:val="00320868"/>
    <w:rsid w:val="003209D0"/>
    <w:rsid w:val="00321A16"/>
    <w:rsid w:val="00325E43"/>
    <w:rsid w:val="00327707"/>
    <w:rsid w:val="00331288"/>
    <w:rsid w:val="00331E08"/>
    <w:rsid w:val="00333655"/>
    <w:rsid w:val="003341A3"/>
    <w:rsid w:val="00335311"/>
    <w:rsid w:val="00351999"/>
    <w:rsid w:val="00357AB2"/>
    <w:rsid w:val="00364759"/>
    <w:rsid w:val="00364CF8"/>
    <w:rsid w:val="00376D7B"/>
    <w:rsid w:val="003776E8"/>
    <w:rsid w:val="00383847"/>
    <w:rsid w:val="0038411F"/>
    <w:rsid w:val="003A5AAB"/>
    <w:rsid w:val="003B14BB"/>
    <w:rsid w:val="003B2ACD"/>
    <w:rsid w:val="003B2CE8"/>
    <w:rsid w:val="003C50DE"/>
    <w:rsid w:val="003C7AB3"/>
    <w:rsid w:val="003D23E7"/>
    <w:rsid w:val="003F36EE"/>
    <w:rsid w:val="00400F12"/>
    <w:rsid w:val="00410D1E"/>
    <w:rsid w:val="004275A4"/>
    <w:rsid w:val="00436991"/>
    <w:rsid w:val="00443D0D"/>
    <w:rsid w:val="004628C7"/>
    <w:rsid w:val="00463EFC"/>
    <w:rsid w:val="004672F9"/>
    <w:rsid w:val="00483568"/>
    <w:rsid w:val="00491DD3"/>
    <w:rsid w:val="004A02C1"/>
    <w:rsid w:val="004A33EE"/>
    <w:rsid w:val="004A5BDE"/>
    <w:rsid w:val="004A6E61"/>
    <w:rsid w:val="004A7D79"/>
    <w:rsid w:val="004B6245"/>
    <w:rsid w:val="004C36B2"/>
    <w:rsid w:val="004C64A2"/>
    <w:rsid w:val="004D4468"/>
    <w:rsid w:val="004D72A8"/>
    <w:rsid w:val="004E279E"/>
    <w:rsid w:val="004E2BD2"/>
    <w:rsid w:val="004E3B6B"/>
    <w:rsid w:val="004E42F1"/>
    <w:rsid w:val="004F0D18"/>
    <w:rsid w:val="004F1383"/>
    <w:rsid w:val="004F17C4"/>
    <w:rsid w:val="004F2F16"/>
    <w:rsid w:val="004F481B"/>
    <w:rsid w:val="005015D6"/>
    <w:rsid w:val="00516262"/>
    <w:rsid w:val="0051770C"/>
    <w:rsid w:val="00526E15"/>
    <w:rsid w:val="005326C6"/>
    <w:rsid w:val="00540831"/>
    <w:rsid w:val="00541CBC"/>
    <w:rsid w:val="005439CE"/>
    <w:rsid w:val="005525BF"/>
    <w:rsid w:val="00553FB7"/>
    <w:rsid w:val="00560782"/>
    <w:rsid w:val="00560C96"/>
    <w:rsid w:val="00563A70"/>
    <w:rsid w:val="0056481E"/>
    <w:rsid w:val="00571864"/>
    <w:rsid w:val="00576494"/>
    <w:rsid w:val="00576F54"/>
    <w:rsid w:val="00582C6F"/>
    <w:rsid w:val="0058647D"/>
    <w:rsid w:val="00590687"/>
    <w:rsid w:val="005922EC"/>
    <w:rsid w:val="005A0B64"/>
    <w:rsid w:val="005A2287"/>
    <w:rsid w:val="005A359A"/>
    <w:rsid w:val="005A7D4C"/>
    <w:rsid w:val="005B59D5"/>
    <w:rsid w:val="005C011A"/>
    <w:rsid w:val="005C2A99"/>
    <w:rsid w:val="005C3F1F"/>
    <w:rsid w:val="005D2A02"/>
    <w:rsid w:val="005E203E"/>
    <w:rsid w:val="005E5C7A"/>
    <w:rsid w:val="005F137F"/>
    <w:rsid w:val="005F452D"/>
    <w:rsid w:val="00605AB5"/>
    <w:rsid w:val="00611815"/>
    <w:rsid w:val="006171BD"/>
    <w:rsid w:val="0062146D"/>
    <w:rsid w:val="00622CAD"/>
    <w:rsid w:val="00623CD9"/>
    <w:rsid w:val="00636714"/>
    <w:rsid w:val="006368C5"/>
    <w:rsid w:val="006504B9"/>
    <w:rsid w:val="00653056"/>
    <w:rsid w:val="00673AAF"/>
    <w:rsid w:val="006869EC"/>
    <w:rsid w:val="006B0877"/>
    <w:rsid w:val="006B0A60"/>
    <w:rsid w:val="006B6E13"/>
    <w:rsid w:val="006C1FC9"/>
    <w:rsid w:val="006C3791"/>
    <w:rsid w:val="006D351F"/>
    <w:rsid w:val="006E525F"/>
    <w:rsid w:val="006F2FDD"/>
    <w:rsid w:val="006F5501"/>
    <w:rsid w:val="00710FE2"/>
    <w:rsid w:val="00714F46"/>
    <w:rsid w:val="00717E51"/>
    <w:rsid w:val="00723964"/>
    <w:rsid w:val="0072580F"/>
    <w:rsid w:val="00731A60"/>
    <w:rsid w:val="00731C33"/>
    <w:rsid w:val="007416F1"/>
    <w:rsid w:val="0075119F"/>
    <w:rsid w:val="00751573"/>
    <w:rsid w:val="00755BF2"/>
    <w:rsid w:val="007611A3"/>
    <w:rsid w:val="00762205"/>
    <w:rsid w:val="00765886"/>
    <w:rsid w:val="007666AF"/>
    <w:rsid w:val="00775E84"/>
    <w:rsid w:val="0077706E"/>
    <w:rsid w:val="00791654"/>
    <w:rsid w:val="007965F3"/>
    <w:rsid w:val="007A4048"/>
    <w:rsid w:val="007A4AAA"/>
    <w:rsid w:val="007A4E13"/>
    <w:rsid w:val="007B1288"/>
    <w:rsid w:val="007B287B"/>
    <w:rsid w:val="007B59CB"/>
    <w:rsid w:val="007E36D2"/>
    <w:rsid w:val="007E4DA8"/>
    <w:rsid w:val="007F4216"/>
    <w:rsid w:val="007F6380"/>
    <w:rsid w:val="00807875"/>
    <w:rsid w:val="00811C0A"/>
    <w:rsid w:val="008157D3"/>
    <w:rsid w:val="008168C5"/>
    <w:rsid w:val="00817A7B"/>
    <w:rsid w:val="00824DBC"/>
    <w:rsid w:val="00832A02"/>
    <w:rsid w:val="00840F16"/>
    <w:rsid w:val="0084283B"/>
    <w:rsid w:val="00842F83"/>
    <w:rsid w:val="00854B2B"/>
    <w:rsid w:val="00854EE1"/>
    <w:rsid w:val="0085708A"/>
    <w:rsid w:val="00860415"/>
    <w:rsid w:val="00863258"/>
    <w:rsid w:val="00863905"/>
    <w:rsid w:val="00864A83"/>
    <w:rsid w:val="008852D3"/>
    <w:rsid w:val="0088672F"/>
    <w:rsid w:val="00891160"/>
    <w:rsid w:val="00892C2E"/>
    <w:rsid w:val="008B0067"/>
    <w:rsid w:val="008B05A8"/>
    <w:rsid w:val="008B53AE"/>
    <w:rsid w:val="008C5DCE"/>
    <w:rsid w:val="008D3B74"/>
    <w:rsid w:val="008E0637"/>
    <w:rsid w:val="00907F59"/>
    <w:rsid w:val="00917FF1"/>
    <w:rsid w:val="00922CE8"/>
    <w:rsid w:val="009247BC"/>
    <w:rsid w:val="00932E92"/>
    <w:rsid w:val="0093558D"/>
    <w:rsid w:val="00936215"/>
    <w:rsid w:val="009365C7"/>
    <w:rsid w:val="009501E9"/>
    <w:rsid w:val="00950DBA"/>
    <w:rsid w:val="00954C7A"/>
    <w:rsid w:val="00956149"/>
    <w:rsid w:val="009630D6"/>
    <w:rsid w:val="00976E07"/>
    <w:rsid w:val="00980256"/>
    <w:rsid w:val="00981305"/>
    <w:rsid w:val="00990520"/>
    <w:rsid w:val="00996970"/>
    <w:rsid w:val="009B1154"/>
    <w:rsid w:val="009B4DEB"/>
    <w:rsid w:val="009B5374"/>
    <w:rsid w:val="009B59CB"/>
    <w:rsid w:val="009C0593"/>
    <w:rsid w:val="009C0E74"/>
    <w:rsid w:val="009C2F58"/>
    <w:rsid w:val="009C3EA7"/>
    <w:rsid w:val="009C6168"/>
    <w:rsid w:val="009D378B"/>
    <w:rsid w:val="009D684C"/>
    <w:rsid w:val="009F2160"/>
    <w:rsid w:val="00A03637"/>
    <w:rsid w:val="00A153A3"/>
    <w:rsid w:val="00A20FCE"/>
    <w:rsid w:val="00A23241"/>
    <w:rsid w:val="00A23701"/>
    <w:rsid w:val="00A313C9"/>
    <w:rsid w:val="00A31A0B"/>
    <w:rsid w:val="00A3228F"/>
    <w:rsid w:val="00A3592D"/>
    <w:rsid w:val="00A44B17"/>
    <w:rsid w:val="00A4513B"/>
    <w:rsid w:val="00A61433"/>
    <w:rsid w:val="00A63728"/>
    <w:rsid w:val="00A644F3"/>
    <w:rsid w:val="00A679F0"/>
    <w:rsid w:val="00A71F73"/>
    <w:rsid w:val="00A74C81"/>
    <w:rsid w:val="00A805CB"/>
    <w:rsid w:val="00A8076C"/>
    <w:rsid w:val="00A814BF"/>
    <w:rsid w:val="00A868FD"/>
    <w:rsid w:val="00A91ED3"/>
    <w:rsid w:val="00A96715"/>
    <w:rsid w:val="00AA20B0"/>
    <w:rsid w:val="00AA4C92"/>
    <w:rsid w:val="00AA78DE"/>
    <w:rsid w:val="00AB1D62"/>
    <w:rsid w:val="00AB238F"/>
    <w:rsid w:val="00AB5863"/>
    <w:rsid w:val="00AC1B51"/>
    <w:rsid w:val="00AC358E"/>
    <w:rsid w:val="00AC42D9"/>
    <w:rsid w:val="00AD515F"/>
    <w:rsid w:val="00AD7A89"/>
    <w:rsid w:val="00AE2307"/>
    <w:rsid w:val="00AE286B"/>
    <w:rsid w:val="00AE358D"/>
    <w:rsid w:val="00AE4AFC"/>
    <w:rsid w:val="00AE5B99"/>
    <w:rsid w:val="00AE6948"/>
    <w:rsid w:val="00AE6B1A"/>
    <w:rsid w:val="00B0163D"/>
    <w:rsid w:val="00B15A5E"/>
    <w:rsid w:val="00B22480"/>
    <w:rsid w:val="00B23CF7"/>
    <w:rsid w:val="00B33AD8"/>
    <w:rsid w:val="00B362D5"/>
    <w:rsid w:val="00B443F4"/>
    <w:rsid w:val="00B458FE"/>
    <w:rsid w:val="00B509D3"/>
    <w:rsid w:val="00B51658"/>
    <w:rsid w:val="00B53B88"/>
    <w:rsid w:val="00B71D32"/>
    <w:rsid w:val="00B7730A"/>
    <w:rsid w:val="00B81086"/>
    <w:rsid w:val="00B831EF"/>
    <w:rsid w:val="00B90B1F"/>
    <w:rsid w:val="00BA1AB2"/>
    <w:rsid w:val="00BA322C"/>
    <w:rsid w:val="00BB113F"/>
    <w:rsid w:val="00BC0348"/>
    <w:rsid w:val="00BC4F1A"/>
    <w:rsid w:val="00BF6E1E"/>
    <w:rsid w:val="00C21736"/>
    <w:rsid w:val="00C21AB9"/>
    <w:rsid w:val="00C239F7"/>
    <w:rsid w:val="00C275A6"/>
    <w:rsid w:val="00C309E8"/>
    <w:rsid w:val="00C32780"/>
    <w:rsid w:val="00C502A4"/>
    <w:rsid w:val="00C52D56"/>
    <w:rsid w:val="00C61856"/>
    <w:rsid w:val="00C73DD4"/>
    <w:rsid w:val="00C83BEA"/>
    <w:rsid w:val="00C83DF9"/>
    <w:rsid w:val="00C858B7"/>
    <w:rsid w:val="00C86F11"/>
    <w:rsid w:val="00CB0DA8"/>
    <w:rsid w:val="00CB2893"/>
    <w:rsid w:val="00CB479E"/>
    <w:rsid w:val="00CC2FCF"/>
    <w:rsid w:val="00CC4BB9"/>
    <w:rsid w:val="00CD025B"/>
    <w:rsid w:val="00CD4570"/>
    <w:rsid w:val="00CD4DE3"/>
    <w:rsid w:val="00CD5EBE"/>
    <w:rsid w:val="00CD6622"/>
    <w:rsid w:val="00CE782B"/>
    <w:rsid w:val="00CF2413"/>
    <w:rsid w:val="00CF3A29"/>
    <w:rsid w:val="00CF6390"/>
    <w:rsid w:val="00CF6BA7"/>
    <w:rsid w:val="00CF794F"/>
    <w:rsid w:val="00D015E1"/>
    <w:rsid w:val="00D02465"/>
    <w:rsid w:val="00D07F40"/>
    <w:rsid w:val="00D10111"/>
    <w:rsid w:val="00D253C1"/>
    <w:rsid w:val="00D301D9"/>
    <w:rsid w:val="00D416AC"/>
    <w:rsid w:val="00D61B65"/>
    <w:rsid w:val="00D65EB4"/>
    <w:rsid w:val="00D669EC"/>
    <w:rsid w:val="00D676C7"/>
    <w:rsid w:val="00D72947"/>
    <w:rsid w:val="00D85854"/>
    <w:rsid w:val="00D87068"/>
    <w:rsid w:val="00D902E3"/>
    <w:rsid w:val="00D9397C"/>
    <w:rsid w:val="00D9697D"/>
    <w:rsid w:val="00DA161B"/>
    <w:rsid w:val="00DA1BA8"/>
    <w:rsid w:val="00DA502D"/>
    <w:rsid w:val="00DB2C84"/>
    <w:rsid w:val="00DB5A5F"/>
    <w:rsid w:val="00DB6B1C"/>
    <w:rsid w:val="00DC0FD4"/>
    <w:rsid w:val="00DC2133"/>
    <w:rsid w:val="00DD55E4"/>
    <w:rsid w:val="00DD735D"/>
    <w:rsid w:val="00DE0D03"/>
    <w:rsid w:val="00DE3A49"/>
    <w:rsid w:val="00DF43C5"/>
    <w:rsid w:val="00DF7D67"/>
    <w:rsid w:val="00E06C8B"/>
    <w:rsid w:val="00E141A9"/>
    <w:rsid w:val="00E14ADC"/>
    <w:rsid w:val="00E1574B"/>
    <w:rsid w:val="00E24B80"/>
    <w:rsid w:val="00E27EC5"/>
    <w:rsid w:val="00E35CA0"/>
    <w:rsid w:val="00E43C69"/>
    <w:rsid w:val="00E46B8C"/>
    <w:rsid w:val="00E61042"/>
    <w:rsid w:val="00E73D49"/>
    <w:rsid w:val="00E81155"/>
    <w:rsid w:val="00E83D36"/>
    <w:rsid w:val="00E84878"/>
    <w:rsid w:val="00E91593"/>
    <w:rsid w:val="00E96567"/>
    <w:rsid w:val="00EB44FA"/>
    <w:rsid w:val="00ED5716"/>
    <w:rsid w:val="00ED6C2C"/>
    <w:rsid w:val="00ED7DDE"/>
    <w:rsid w:val="00EE28DE"/>
    <w:rsid w:val="00EF0FC5"/>
    <w:rsid w:val="00EF1222"/>
    <w:rsid w:val="00F24F0B"/>
    <w:rsid w:val="00F24FB6"/>
    <w:rsid w:val="00F256C9"/>
    <w:rsid w:val="00F25707"/>
    <w:rsid w:val="00F25ABB"/>
    <w:rsid w:val="00F33B1F"/>
    <w:rsid w:val="00F34212"/>
    <w:rsid w:val="00F43F90"/>
    <w:rsid w:val="00F450DE"/>
    <w:rsid w:val="00F45763"/>
    <w:rsid w:val="00F527E5"/>
    <w:rsid w:val="00F566A8"/>
    <w:rsid w:val="00F7114D"/>
    <w:rsid w:val="00F71FF3"/>
    <w:rsid w:val="00F73CB0"/>
    <w:rsid w:val="00F80873"/>
    <w:rsid w:val="00F81881"/>
    <w:rsid w:val="00F84960"/>
    <w:rsid w:val="00F857BF"/>
    <w:rsid w:val="00F85C1B"/>
    <w:rsid w:val="00F870D5"/>
    <w:rsid w:val="00F87343"/>
    <w:rsid w:val="00F93687"/>
    <w:rsid w:val="00F95DF0"/>
    <w:rsid w:val="00FA5D79"/>
    <w:rsid w:val="00FA5D97"/>
    <w:rsid w:val="00FB256C"/>
    <w:rsid w:val="00FB54EB"/>
    <w:rsid w:val="00FC7D71"/>
    <w:rsid w:val="00FD0510"/>
    <w:rsid w:val="00FD5CA5"/>
    <w:rsid w:val="00FE25A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90520"/>
    <w:rPr>
      <w:sz w:val="24"/>
      <w:szCs w:val="20"/>
      <w:lang w:val="en-US" w:eastAsia="en-US"/>
    </w:rPr>
  </w:style>
  <w:style w:type="paragraph" w:styleId="Heading1">
    <w:name w:val="heading 1"/>
    <w:basedOn w:val="Normal"/>
    <w:next w:val="BankNormal"/>
    <w:link w:val="Heading1Char"/>
    <w:uiPriority w:val="99"/>
    <w:qFormat/>
    <w:rsid w:val="00990520"/>
    <w:pPr>
      <w:keepNext/>
      <w:keepLines/>
      <w:numPr>
        <w:numId w:val="1"/>
      </w:numPr>
      <w:spacing w:before="1440" w:after="240"/>
      <w:jc w:val="center"/>
      <w:outlineLvl w:val="0"/>
    </w:pPr>
    <w:rPr>
      <w:b/>
      <w:caps/>
      <w:sz w:val="32"/>
    </w:rPr>
  </w:style>
  <w:style w:type="paragraph" w:styleId="Heading2">
    <w:name w:val="heading 2"/>
    <w:basedOn w:val="Normal"/>
    <w:next w:val="BankNormal"/>
    <w:link w:val="Heading2Char"/>
    <w:uiPriority w:val="99"/>
    <w:qFormat/>
    <w:rsid w:val="00990520"/>
    <w:pPr>
      <w:keepNext/>
      <w:keepLines/>
      <w:numPr>
        <w:ilvl w:val="1"/>
        <w:numId w:val="1"/>
      </w:numPr>
      <w:spacing w:before="120" w:after="240"/>
      <w:ind w:firstLine="0"/>
      <w:jc w:val="center"/>
      <w:outlineLvl w:val="1"/>
    </w:pPr>
    <w:rPr>
      <w:b/>
      <w:smallCaps/>
    </w:rPr>
  </w:style>
  <w:style w:type="paragraph" w:styleId="Heading3">
    <w:name w:val="heading 3"/>
    <w:basedOn w:val="Normal"/>
    <w:next w:val="BankNormal"/>
    <w:link w:val="Heading3Char"/>
    <w:uiPriority w:val="99"/>
    <w:qFormat/>
    <w:rsid w:val="00990520"/>
    <w:pPr>
      <w:keepNext/>
      <w:keepLines/>
      <w:numPr>
        <w:ilvl w:val="2"/>
        <w:numId w:val="1"/>
      </w:numPr>
      <w:spacing w:before="120" w:after="240"/>
      <w:ind w:firstLine="0"/>
      <w:outlineLvl w:val="2"/>
    </w:pPr>
    <w:rPr>
      <w:b/>
    </w:rPr>
  </w:style>
  <w:style w:type="paragraph" w:styleId="Heading4">
    <w:name w:val="heading 4"/>
    <w:basedOn w:val="Normal"/>
    <w:next w:val="BankNormal"/>
    <w:link w:val="Heading4Char"/>
    <w:uiPriority w:val="99"/>
    <w:qFormat/>
    <w:rsid w:val="00990520"/>
    <w:pPr>
      <w:keepNext/>
      <w:keepLines/>
      <w:numPr>
        <w:ilvl w:val="3"/>
        <w:numId w:val="1"/>
      </w:numPr>
      <w:spacing w:before="120" w:after="240"/>
      <w:ind w:firstLine="0"/>
      <w:outlineLvl w:val="3"/>
    </w:pPr>
    <w:rPr>
      <w:b/>
      <w:i/>
    </w:rPr>
  </w:style>
  <w:style w:type="paragraph" w:styleId="Heading5">
    <w:name w:val="heading 5"/>
    <w:basedOn w:val="Normal"/>
    <w:next w:val="BankNormal"/>
    <w:link w:val="Heading5Char"/>
    <w:uiPriority w:val="99"/>
    <w:qFormat/>
    <w:rsid w:val="00990520"/>
    <w:pPr>
      <w:numPr>
        <w:ilvl w:val="4"/>
        <w:numId w:val="1"/>
      </w:numPr>
      <w:spacing w:after="240"/>
      <w:outlineLvl w:val="4"/>
    </w:pPr>
  </w:style>
  <w:style w:type="paragraph" w:styleId="Heading6">
    <w:name w:val="heading 6"/>
    <w:basedOn w:val="Normal"/>
    <w:next w:val="BankNormal"/>
    <w:link w:val="Heading6Char"/>
    <w:uiPriority w:val="99"/>
    <w:qFormat/>
    <w:rsid w:val="00990520"/>
    <w:pPr>
      <w:numPr>
        <w:ilvl w:val="5"/>
        <w:numId w:val="1"/>
      </w:numPr>
      <w:spacing w:after="240"/>
      <w:outlineLvl w:val="5"/>
    </w:pPr>
  </w:style>
  <w:style w:type="paragraph" w:styleId="Heading7">
    <w:name w:val="heading 7"/>
    <w:basedOn w:val="Normal"/>
    <w:next w:val="BankNormal"/>
    <w:link w:val="Heading7Char"/>
    <w:uiPriority w:val="99"/>
    <w:qFormat/>
    <w:rsid w:val="00990520"/>
    <w:pPr>
      <w:numPr>
        <w:ilvl w:val="6"/>
        <w:numId w:val="1"/>
      </w:numPr>
      <w:spacing w:after="240"/>
      <w:outlineLvl w:val="6"/>
    </w:pPr>
  </w:style>
  <w:style w:type="paragraph" w:styleId="Heading8">
    <w:name w:val="heading 8"/>
    <w:basedOn w:val="Normal"/>
    <w:next w:val="BankNormal"/>
    <w:link w:val="Heading8Char"/>
    <w:uiPriority w:val="99"/>
    <w:qFormat/>
    <w:rsid w:val="00990520"/>
    <w:pPr>
      <w:numPr>
        <w:ilvl w:val="7"/>
        <w:numId w:val="1"/>
      </w:numPr>
      <w:spacing w:after="240"/>
      <w:outlineLvl w:val="7"/>
    </w:pPr>
  </w:style>
  <w:style w:type="paragraph" w:styleId="Heading9">
    <w:name w:val="heading 9"/>
    <w:basedOn w:val="Normal"/>
    <w:next w:val="BankNormal"/>
    <w:link w:val="Heading9Char"/>
    <w:uiPriority w:val="99"/>
    <w:qFormat/>
    <w:rsid w:val="00990520"/>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7F40"/>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D07F40"/>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D07F40"/>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D07F40"/>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D07F40"/>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D07F40"/>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D07F40"/>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D07F40"/>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D07F40"/>
    <w:rPr>
      <w:rFonts w:ascii="Cambria" w:hAnsi="Cambria" w:cs="Times New Roman"/>
      <w:lang w:val="en-US" w:eastAsia="en-US"/>
    </w:rPr>
  </w:style>
  <w:style w:type="paragraph" w:customStyle="1" w:styleId="ChapterNumber">
    <w:name w:val="ChapterNumber"/>
    <w:basedOn w:val="Normal"/>
    <w:next w:val="Normal"/>
    <w:uiPriority w:val="99"/>
    <w:rsid w:val="00990520"/>
    <w:pPr>
      <w:spacing w:after="360"/>
    </w:pPr>
  </w:style>
  <w:style w:type="paragraph" w:styleId="Footer">
    <w:name w:val="footer"/>
    <w:basedOn w:val="Normal"/>
    <w:link w:val="FooterChar"/>
    <w:uiPriority w:val="99"/>
    <w:rsid w:val="00990520"/>
    <w:pPr>
      <w:tabs>
        <w:tab w:val="center" w:pos="4320"/>
        <w:tab w:val="right" w:pos="8640"/>
      </w:tabs>
    </w:pPr>
  </w:style>
  <w:style w:type="character" w:customStyle="1" w:styleId="FooterChar">
    <w:name w:val="Footer Char"/>
    <w:basedOn w:val="DefaultParagraphFont"/>
    <w:link w:val="Footer"/>
    <w:uiPriority w:val="99"/>
    <w:semiHidden/>
    <w:locked/>
    <w:rsid w:val="00D07F40"/>
    <w:rPr>
      <w:rFonts w:cs="Times New Roman"/>
      <w:sz w:val="20"/>
      <w:szCs w:val="20"/>
      <w:lang w:val="en-US" w:eastAsia="en-US"/>
    </w:rPr>
  </w:style>
  <w:style w:type="character" w:styleId="FootnoteReference">
    <w:name w:val="footnote reference"/>
    <w:basedOn w:val="DefaultParagraphFont"/>
    <w:uiPriority w:val="99"/>
    <w:semiHidden/>
    <w:rsid w:val="00990520"/>
    <w:rPr>
      <w:rFonts w:ascii="Times New Roman" w:hAnsi="Times New Roman" w:cs="Times New Roman"/>
      <w:position w:val="0"/>
      <w:sz w:val="24"/>
      <w:vertAlign w:val="superscript"/>
    </w:rPr>
  </w:style>
  <w:style w:type="paragraph" w:styleId="FootnoteText">
    <w:name w:val="footnote text"/>
    <w:basedOn w:val="Normal"/>
    <w:link w:val="FootnoteTextChar"/>
    <w:uiPriority w:val="99"/>
    <w:semiHidden/>
    <w:rsid w:val="00990520"/>
    <w:pPr>
      <w:spacing w:after="120"/>
      <w:ind w:left="432" w:hanging="432"/>
    </w:pPr>
    <w:rPr>
      <w:sz w:val="20"/>
    </w:rPr>
  </w:style>
  <w:style w:type="character" w:customStyle="1" w:styleId="FootnoteTextChar">
    <w:name w:val="Footnote Text Char"/>
    <w:basedOn w:val="DefaultParagraphFont"/>
    <w:link w:val="FootnoteText"/>
    <w:uiPriority w:val="99"/>
    <w:semiHidden/>
    <w:locked/>
    <w:rsid w:val="00D07F40"/>
    <w:rPr>
      <w:rFonts w:cs="Times New Roman"/>
      <w:sz w:val="20"/>
      <w:szCs w:val="20"/>
      <w:lang w:val="en-US" w:eastAsia="en-US"/>
    </w:rPr>
  </w:style>
  <w:style w:type="paragraph" w:styleId="Header">
    <w:name w:val="header"/>
    <w:basedOn w:val="Normal"/>
    <w:link w:val="HeaderChar"/>
    <w:uiPriority w:val="99"/>
    <w:rsid w:val="00990520"/>
    <w:pPr>
      <w:tabs>
        <w:tab w:val="center" w:pos="4320"/>
        <w:tab w:val="right" w:pos="8640"/>
      </w:tabs>
    </w:pPr>
  </w:style>
  <w:style w:type="character" w:customStyle="1" w:styleId="HeaderChar">
    <w:name w:val="Header Char"/>
    <w:basedOn w:val="DefaultParagraphFont"/>
    <w:link w:val="Header"/>
    <w:uiPriority w:val="99"/>
    <w:semiHidden/>
    <w:locked/>
    <w:rsid w:val="00D07F40"/>
    <w:rPr>
      <w:rFonts w:cs="Times New Roman"/>
      <w:sz w:val="20"/>
      <w:szCs w:val="20"/>
      <w:lang w:val="en-US" w:eastAsia="en-US"/>
    </w:rPr>
  </w:style>
  <w:style w:type="paragraph" w:styleId="NormalIndent">
    <w:name w:val="Normal Indent"/>
    <w:basedOn w:val="Normal"/>
    <w:uiPriority w:val="99"/>
    <w:rsid w:val="00990520"/>
    <w:pPr>
      <w:ind w:left="720"/>
    </w:pPr>
  </w:style>
  <w:style w:type="paragraph" w:customStyle="1" w:styleId="TextBox">
    <w:name w:val="Text Box"/>
    <w:basedOn w:val="Normal"/>
    <w:uiPriority w:val="99"/>
    <w:rsid w:val="00990520"/>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uiPriority w:val="99"/>
    <w:rsid w:val="00990520"/>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uiPriority w:val="99"/>
    <w:rsid w:val="00990520"/>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uiPriority w:val="99"/>
    <w:rsid w:val="00990520"/>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99"/>
    <w:semiHidden/>
    <w:rsid w:val="00990520"/>
    <w:pPr>
      <w:tabs>
        <w:tab w:val="right" w:leader="dot" w:pos="9360"/>
      </w:tabs>
    </w:pPr>
    <w:rPr>
      <w:caps/>
    </w:rPr>
  </w:style>
  <w:style w:type="paragraph" w:styleId="TOC2">
    <w:name w:val="toc 2"/>
    <w:basedOn w:val="Normal"/>
    <w:next w:val="Normal"/>
    <w:uiPriority w:val="99"/>
    <w:semiHidden/>
    <w:rsid w:val="00990520"/>
    <w:pPr>
      <w:tabs>
        <w:tab w:val="right" w:leader="dot" w:pos="9360"/>
      </w:tabs>
      <w:ind w:left="720"/>
    </w:pPr>
    <w:rPr>
      <w:smallCaps/>
    </w:rPr>
  </w:style>
  <w:style w:type="paragraph" w:styleId="TOC3">
    <w:name w:val="toc 3"/>
    <w:basedOn w:val="Normal"/>
    <w:next w:val="Normal"/>
    <w:uiPriority w:val="99"/>
    <w:semiHidden/>
    <w:rsid w:val="00990520"/>
    <w:pPr>
      <w:tabs>
        <w:tab w:val="right" w:leader="dot" w:pos="9360"/>
      </w:tabs>
      <w:ind w:left="1440"/>
    </w:pPr>
  </w:style>
  <w:style w:type="paragraph" w:styleId="TOC4">
    <w:name w:val="toc 4"/>
    <w:basedOn w:val="Normal"/>
    <w:next w:val="Normal"/>
    <w:uiPriority w:val="99"/>
    <w:semiHidden/>
    <w:rsid w:val="00990520"/>
    <w:pPr>
      <w:tabs>
        <w:tab w:val="right" w:leader="dot" w:pos="9360"/>
      </w:tabs>
      <w:ind w:left="2160"/>
    </w:pPr>
  </w:style>
  <w:style w:type="paragraph" w:styleId="TOC5">
    <w:name w:val="toc 5"/>
    <w:basedOn w:val="Normal"/>
    <w:next w:val="Normal"/>
    <w:uiPriority w:val="99"/>
    <w:semiHidden/>
    <w:rsid w:val="00990520"/>
    <w:pPr>
      <w:tabs>
        <w:tab w:val="right" w:leader="dot" w:pos="9360"/>
      </w:tabs>
      <w:ind w:left="2880"/>
    </w:pPr>
    <w:rPr>
      <w:sz w:val="18"/>
    </w:rPr>
  </w:style>
  <w:style w:type="paragraph" w:customStyle="1" w:styleId="BankNormal">
    <w:name w:val="BankNormal"/>
    <w:basedOn w:val="Normal"/>
    <w:uiPriority w:val="99"/>
    <w:rsid w:val="00990520"/>
    <w:pPr>
      <w:spacing w:after="240"/>
    </w:pPr>
  </w:style>
  <w:style w:type="paragraph" w:customStyle="1" w:styleId="Heading1a">
    <w:name w:val="Heading 1a"/>
    <w:basedOn w:val="Heading1"/>
    <w:next w:val="BankNormal"/>
    <w:uiPriority w:val="99"/>
    <w:rsid w:val="00990520"/>
    <w:pPr>
      <w:outlineLvl w:val="9"/>
    </w:pPr>
  </w:style>
  <w:style w:type="paragraph" w:styleId="TOC6">
    <w:name w:val="toc 6"/>
    <w:basedOn w:val="Normal"/>
    <w:next w:val="Normal"/>
    <w:uiPriority w:val="99"/>
    <w:semiHidden/>
    <w:rsid w:val="00990520"/>
    <w:pPr>
      <w:tabs>
        <w:tab w:val="right" w:leader="dot" w:pos="9360"/>
      </w:tabs>
      <w:ind w:left="3600"/>
    </w:pPr>
    <w:rPr>
      <w:sz w:val="18"/>
    </w:rPr>
  </w:style>
  <w:style w:type="paragraph" w:styleId="TOC7">
    <w:name w:val="toc 7"/>
    <w:basedOn w:val="Normal"/>
    <w:next w:val="Normal"/>
    <w:uiPriority w:val="99"/>
    <w:semiHidden/>
    <w:rsid w:val="00990520"/>
    <w:pPr>
      <w:tabs>
        <w:tab w:val="right" w:leader="dot" w:pos="9360"/>
      </w:tabs>
      <w:ind w:left="1200"/>
    </w:pPr>
    <w:rPr>
      <w:sz w:val="18"/>
    </w:rPr>
  </w:style>
  <w:style w:type="paragraph" w:styleId="TOC8">
    <w:name w:val="toc 8"/>
    <w:basedOn w:val="Normal"/>
    <w:next w:val="Normal"/>
    <w:uiPriority w:val="99"/>
    <w:semiHidden/>
    <w:rsid w:val="00990520"/>
    <w:pPr>
      <w:tabs>
        <w:tab w:val="right" w:leader="dot" w:pos="9360"/>
      </w:tabs>
      <w:ind w:left="1440"/>
    </w:pPr>
    <w:rPr>
      <w:sz w:val="18"/>
    </w:rPr>
  </w:style>
  <w:style w:type="paragraph" w:styleId="TOC9">
    <w:name w:val="toc 9"/>
    <w:basedOn w:val="Normal"/>
    <w:next w:val="Normal"/>
    <w:uiPriority w:val="99"/>
    <w:semiHidden/>
    <w:rsid w:val="00990520"/>
    <w:pPr>
      <w:tabs>
        <w:tab w:val="right" w:leader="dot" w:pos="9360"/>
      </w:tabs>
      <w:ind w:left="1680"/>
    </w:pPr>
    <w:rPr>
      <w:sz w:val="18"/>
    </w:rPr>
  </w:style>
  <w:style w:type="paragraph" w:styleId="MacroText">
    <w:name w:val="macro"/>
    <w:link w:val="MacroTextChar"/>
    <w:uiPriority w:val="99"/>
    <w:semiHidden/>
    <w:rsid w:val="00990520"/>
    <w:pPr>
      <w:tabs>
        <w:tab w:val="left" w:pos="480"/>
        <w:tab w:val="left" w:pos="960"/>
        <w:tab w:val="left" w:pos="1440"/>
        <w:tab w:val="left" w:pos="1920"/>
        <w:tab w:val="left" w:pos="2400"/>
        <w:tab w:val="left" w:pos="2880"/>
        <w:tab w:val="left" w:pos="3360"/>
        <w:tab w:val="left" w:pos="3840"/>
        <w:tab w:val="left" w:pos="4320"/>
      </w:tabs>
    </w:pPr>
    <w:rPr>
      <w:sz w:val="24"/>
      <w:szCs w:val="20"/>
      <w:lang w:val="en-US" w:eastAsia="en-US"/>
    </w:rPr>
  </w:style>
  <w:style w:type="character" w:customStyle="1" w:styleId="MacroTextChar">
    <w:name w:val="Macro Text Char"/>
    <w:basedOn w:val="DefaultParagraphFont"/>
    <w:link w:val="MacroText"/>
    <w:uiPriority w:val="99"/>
    <w:semiHidden/>
    <w:locked/>
    <w:rsid w:val="00D07F40"/>
    <w:rPr>
      <w:rFonts w:cs="Times New Roman"/>
      <w:sz w:val="24"/>
      <w:lang w:val="en-US" w:eastAsia="en-US" w:bidi="ar-SA"/>
    </w:rPr>
  </w:style>
  <w:style w:type="character" w:styleId="PageNumber">
    <w:name w:val="page number"/>
    <w:basedOn w:val="DefaultParagraphFont"/>
    <w:uiPriority w:val="99"/>
    <w:rsid w:val="00990520"/>
    <w:rPr>
      <w:rFonts w:cs="Times New Roman"/>
    </w:rPr>
  </w:style>
  <w:style w:type="paragraph" w:customStyle="1" w:styleId="Referencestyle">
    <w:name w:val="Reference style"/>
    <w:basedOn w:val="Normal"/>
    <w:rsid w:val="00990520"/>
  </w:style>
  <w:style w:type="paragraph" w:customStyle="1" w:styleId="Letdate">
    <w:name w:val="Let: date"/>
    <w:basedOn w:val="Referencestyle"/>
    <w:uiPriority w:val="99"/>
    <w:rsid w:val="00990520"/>
    <w:pPr>
      <w:tabs>
        <w:tab w:val="left" w:pos="5400"/>
        <w:tab w:val="left" w:pos="7200"/>
      </w:tabs>
    </w:pPr>
  </w:style>
  <w:style w:type="paragraph" w:customStyle="1" w:styleId="Letaddressee">
    <w:name w:val="Let: addressee"/>
    <w:basedOn w:val="Referencestyle"/>
    <w:uiPriority w:val="99"/>
    <w:rsid w:val="00990520"/>
    <w:pPr>
      <w:tabs>
        <w:tab w:val="left" w:pos="5400"/>
        <w:tab w:val="left" w:pos="7200"/>
      </w:tabs>
    </w:pPr>
  </w:style>
  <w:style w:type="paragraph" w:customStyle="1" w:styleId="Letdear">
    <w:name w:val="Let: dear"/>
    <w:basedOn w:val="Referencestyle"/>
    <w:uiPriority w:val="99"/>
    <w:rsid w:val="00990520"/>
    <w:pPr>
      <w:tabs>
        <w:tab w:val="left" w:pos="5400"/>
        <w:tab w:val="left" w:pos="7200"/>
      </w:tabs>
    </w:pPr>
  </w:style>
  <w:style w:type="paragraph" w:customStyle="1" w:styleId="Letsincerely">
    <w:name w:val="Let: sincerely"/>
    <w:basedOn w:val="Referencestyle"/>
    <w:uiPriority w:val="99"/>
    <w:rsid w:val="00990520"/>
    <w:pPr>
      <w:tabs>
        <w:tab w:val="left" w:pos="5400"/>
        <w:tab w:val="left" w:pos="7200"/>
      </w:tabs>
    </w:pPr>
  </w:style>
  <w:style w:type="paragraph" w:customStyle="1" w:styleId="Letsender">
    <w:name w:val="Let: sender"/>
    <w:basedOn w:val="Referencestyle"/>
    <w:uiPriority w:val="99"/>
    <w:rsid w:val="00990520"/>
    <w:pPr>
      <w:tabs>
        <w:tab w:val="left" w:pos="5400"/>
        <w:tab w:val="left" w:pos="7200"/>
      </w:tabs>
    </w:pPr>
  </w:style>
  <w:style w:type="paragraph" w:styleId="BodyTextIndent">
    <w:name w:val="Body Text Indent"/>
    <w:basedOn w:val="Normal"/>
    <w:link w:val="BodyTextIndentChar"/>
    <w:uiPriority w:val="99"/>
    <w:rsid w:val="00990520"/>
    <w:pPr>
      <w:ind w:firstLine="720"/>
      <w:jc w:val="both"/>
    </w:pPr>
  </w:style>
  <w:style w:type="character" w:customStyle="1" w:styleId="BodyTextIndentChar">
    <w:name w:val="Body Text Indent Char"/>
    <w:basedOn w:val="DefaultParagraphFont"/>
    <w:link w:val="BodyTextIndent"/>
    <w:uiPriority w:val="99"/>
    <w:semiHidden/>
    <w:locked/>
    <w:rsid w:val="00D07F40"/>
    <w:rPr>
      <w:rFonts w:cs="Times New Roman"/>
      <w:sz w:val="20"/>
      <w:szCs w:val="20"/>
      <w:lang w:val="en-US" w:eastAsia="en-US"/>
    </w:rPr>
  </w:style>
  <w:style w:type="paragraph" w:styleId="BodyText2">
    <w:name w:val="Body Text 2"/>
    <w:basedOn w:val="Normal"/>
    <w:link w:val="BodyText2Char"/>
    <w:uiPriority w:val="99"/>
    <w:rsid w:val="00990520"/>
    <w:pPr>
      <w:jc w:val="both"/>
    </w:pPr>
  </w:style>
  <w:style w:type="character" w:customStyle="1" w:styleId="BodyText2Char">
    <w:name w:val="Body Text 2 Char"/>
    <w:basedOn w:val="DefaultParagraphFont"/>
    <w:link w:val="BodyText2"/>
    <w:uiPriority w:val="99"/>
    <w:locked/>
    <w:rsid w:val="00FA5D79"/>
    <w:rPr>
      <w:rFonts w:cs="Times New Roman"/>
      <w:sz w:val="24"/>
    </w:rPr>
  </w:style>
  <w:style w:type="character" w:styleId="Hyperlink">
    <w:name w:val="Hyperlink"/>
    <w:basedOn w:val="DefaultParagraphFont"/>
    <w:uiPriority w:val="99"/>
    <w:rsid w:val="00990520"/>
    <w:rPr>
      <w:rFonts w:cs="Times New Roman"/>
      <w:color w:val="0000FF"/>
      <w:u w:val="single"/>
    </w:rPr>
  </w:style>
  <w:style w:type="paragraph" w:styleId="BalloonText">
    <w:name w:val="Balloon Text"/>
    <w:basedOn w:val="Normal"/>
    <w:link w:val="BalloonTextChar"/>
    <w:uiPriority w:val="99"/>
    <w:semiHidden/>
    <w:rsid w:val="002864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7F40"/>
    <w:rPr>
      <w:rFonts w:cs="Times New Roman"/>
      <w:sz w:val="2"/>
      <w:lang w:val="en-US" w:eastAsia="en-US"/>
    </w:rPr>
  </w:style>
  <w:style w:type="character" w:styleId="CommentReference">
    <w:name w:val="annotation reference"/>
    <w:basedOn w:val="DefaultParagraphFont"/>
    <w:uiPriority w:val="99"/>
    <w:semiHidden/>
    <w:rsid w:val="00286407"/>
    <w:rPr>
      <w:rFonts w:cs="Times New Roman"/>
      <w:sz w:val="16"/>
      <w:szCs w:val="16"/>
    </w:rPr>
  </w:style>
  <w:style w:type="paragraph" w:styleId="CommentText">
    <w:name w:val="annotation text"/>
    <w:basedOn w:val="Normal"/>
    <w:link w:val="CommentTextChar"/>
    <w:uiPriority w:val="99"/>
    <w:semiHidden/>
    <w:rsid w:val="00286407"/>
    <w:rPr>
      <w:sz w:val="20"/>
    </w:rPr>
  </w:style>
  <w:style w:type="character" w:customStyle="1" w:styleId="CommentTextChar">
    <w:name w:val="Comment Text Char"/>
    <w:basedOn w:val="DefaultParagraphFont"/>
    <w:link w:val="CommentText"/>
    <w:uiPriority w:val="99"/>
    <w:semiHidden/>
    <w:locked/>
    <w:rsid w:val="00D07F40"/>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286407"/>
    <w:rPr>
      <w:b/>
      <w:bCs/>
    </w:rPr>
  </w:style>
  <w:style w:type="character" w:customStyle="1" w:styleId="CommentSubjectChar">
    <w:name w:val="Comment Subject Char"/>
    <w:basedOn w:val="CommentTextChar"/>
    <w:link w:val="CommentSubject"/>
    <w:uiPriority w:val="99"/>
    <w:semiHidden/>
    <w:locked/>
    <w:rsid w:val="00D07F40"/>
    <w:rPr>
      <w:b/>
      <w:bCs/>
    </w:rPr>
  </w:style>
  <w:style w:type="paragraph" w:styleId="BodyTextIndent2">
    <w:name w:val="Body Text Indent 2"/>
    <w:basedOn w:val="Normal"/>
    <w:link w:val="BodyTextIndent2Char"/>
    <w:uiPriority w:val="99"/>
    <w:rsid w:val="00CE782B"/>
    <w:pPr>
      <w:spacing w:after="120" w:line="480" w:lineRule="auto"/>
      <w:ind w:left="360"/>
    </w:pPr>
  </w:style>
  <w:style w:type="character" w:customStyle="1" w:styleId="BodyTextIndent2Char">
    <w:name w:val="Body Text Indent 2 Char"/>
    <w:basedOn w:val="DefaultParagraphFont"/>
    <w:link w:val="BodyTextIndent2"/>
    <w:uiPriority w:val="99"/>
    <w:locked/>
    <w:rsid w:val="00CE782B"/>
    <w:rPr>
      <w:rFonts w:cs="Times New Roman"/>
      <w:sz w:val="24"/>
    </w:rPr>
  </w:style>
  <w:style w:type="paragraph" w:styleId="ListParagraph">
    <w:name w:val="List Paragraph"/>
    <w:basedOn w:val="Normal"/>
    <w:uiPriority w:val="99"/>
    <w:qFormat/>
    <w:rsid w:val="00134EB7"/>
    <w:pPr>
      <w:ind w:left="720"/>
    </w:pPr>
  </w:style>
  <w:style w:type="paragraph" w:customStyle="1" w:styleId="Formletterhead">
    <w:name w:val="Form: letterhead"/>
    <w:basedOn w:val="Referencestyle"/>
    <w:uiPriority w:val="99"/>
    <w:rsid w:val="004D4468"/>
    <w:pPr>
      <w:tabs>
        <w:tab w:val="left" w:pos="5130"/>
        <w:tab w:val="left" w:pos="7290"/>
      </w:tabs>
      <w:ind w:left="180"/>
    </w:pPr>
    <w:rPr>
      <w:rFonts w:ascii="Arial" w:hAnsi="Arial"/>
      <w:sz w:val="28"/>
    </w:rPr>
  </w:style>
  <w:style w:type="paragraph" w:styleId="BlockText">
    <w:name w:val="Block Text"/>
    <w:basedOn w:val="Normal"/>
    <w:uiPriority w:val="99"/>
    <w:rsid w:val="00221E77"/>
    <w:pPr>
      <w:tabs>
        <w:tab w:val="center" w:pos="4320"/>
      </w:tabs>
      <w:ind w:left="720" w:right="900"/>
      <w:jc w:val="both"/>
    </w:pPr>
    <w:rPr>
      <w:b/>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ppiaf.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1B852-C003-401A-9974-913AA2A36E0C}"/>
</file>

<file path=customXml/itemProps2.xml><?xml version="1.0" encoding="utf-8"?>
<ds:datastoreItem xmlns:ds="http://schemas.openxmlformats.org/officeDocument/2006/customXml" ds:itemID="{28EEF508-5FA8-44E3-AA47-E8633896FDD9}"/>
</file>

<file path=customXml/itemProps3.xml><?xml version="1.0" encoding="utf-8"?>
<ds:datastoreItem xmlns:ds="http://schemas.openxmlformats.org/officeDocument/2006/customXml" ds:itemID="{64967064-2C20-441D-AE4E-4F244326BB12}"/>
</file>

<file path=docProps/app.xml><?xml version="1.0" encoding="utf-8"?>
<Properties xmlns="http://schemas.openxmlformats.org/officeDocument/2006/extended-properties" xmlns:vt="http://schemas.openxmlformats.org/officeDocument/2006/docPropsVTypes">
  <Template>Normal.dotm</Template>
  <TotalTime>2</TotalTime>
  <Pages>11</Pages>
  <Words>2941</Words>
  <Characters>16508</Characters>
  <Application>Microsoft Office Word</Application>
  <DocSecurity>0</DocSecurity>
  <Lines>137</Lines>
  <Paragraphs>38</Paragraphs>
  <ScaleCrop>false</ScaleCrop>
  <Company>The World Bank Group</Company>
  <LinksUpToDate>false</LinksUpToDate>
  <CharactersWithSpaces>19411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dc:title>
  <dc:creator>Elizabeth Tellez</dc:creator>
  <cp:lastModifiedBy>WB172531</cp:lastModifiedBy>
  <cp:revision>2</cp:revision>
  <cp:lastPrinted>2011-02-17T15:58:00Z</cp:lastPrinted>
  <dcterms:created xsi:type="dcterms:W3CDTF">2011-05-04T19:49:00Z</dcterms:created>
  <dcterms:modified xsi:type="dcterms:W3CDTF">2011-05-04T19:49:00Z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